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DDB3" w14:textId="25F8433A" w:rsidR="00FA5EFD" w:rsidRDefault="002E500A" w:rsidP="00DE6F40">
      <w:pPr>
        <w:pStyle w:val="Heading1"/>
        <w:spacing w:before="240"/>
      </w:pPr>
      <w:r w:rsidRPr="002E500A">
        <w:t xml:space="preserve">2020-21 </w:t>
      </w:r>
      <w:r w:rsidR="006C1942">
        <w:t xml:space="preserve">VIETNAM </w:t>
      </w:r>
      <w:r w:rsidR="001F7F4D" w:rsidRPr="002E500A">
        <w:t>D</w:t>
      </w:r>
      <w:r w:rsidR="00382CE7">
        <w:t>evelopment</w:t>
      </w:r>
      <w:r w:rsidR="001F7F4D" w:rsidRPr="002E500A">
        <w:t xml:space="preserve"> </w:t>
      </w:r>
      <w:r w:rsidRPr="002E500A">
        <w:t>P</w:t>
      </w:r>
      <w:r w:rsidR="00382CE7">
        <w:t xml:space="preserve">rogram </w:t>
      </w:r>
      <w:r w:rsidRPr="002E500A">
        <w:t>P</w:t>
      </w:r>
      <w:r w:rsidR="00382CE7">
        <w:t>rogress</w:t>
      </w:r>
      <w:r w:rsidRPr="002E500A">
        <w:t xml:space="preserve"> R</w:t>
      </w:r>
      <w:r w:rsidR="00382CE7">
        <w:t>eport</w:t>
      </w:r>
    </w:p>
    <w:p w14:paraId="595E0950" w14:textId="28252E7C" w:rsidR="00576F2C" w:rsidRDefault="00F37A59" w:rsidP="00576F2C">
      <w:pPr>
        <w:rPr>
          <w:noProof/>
        </w:rPr>
      </w:pPr>
      <w:r w:rsidRPr="00F37A59">
        <w:rPr>
          <w:noProof/>
        </w:rPr>
        <w:drawing>
          <wp:inline distT="0" distB="0" distL="0" distR="0" wp14:anchorId="2445F5D5" wp14:editId="7F657182">
            <wp:extent cx="6696710" cy="2673350"/>
            <wp:effectExtent l="0" t="0" r="0" b="0"/>
            <wp:docPr id="6" name="Picture 6" descr="2020-21 Budget estimate. Total ODA $98.1 million. Bilateral program budget $57.2 million. Regional program budget $11.3 million. Global program budget $7.3 million. Other government departments budget $3.0 million. Temporary, targeted and supplementary measures $19.3 million.&#10;Our development program to Vietnam contributes towards achieving the following Sustainable Development Goals: 1,4,5,6,8,9,10 and 13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020-21 Budget estimate. Total ODA $98.1 million. Bilateral program budget $57.2 million. Regional program budget $11.3 million. Global program budget $7.3 million. Other government departments budget $3.0 million. Temporary, targeted and supplementary measures $19.3 million.&#10;Our development program to Vietnam contributes towards achieving the following Sustainable Development Goals: 1,4,5,6,8,9,10 and 13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7"/>
                    <a:stretch/>
                  </pic:blipFill>
                  <pic:spPr bwMode="auto">
                    <a:xfrm>
                      <a:off x="0" y="0"/>
                      <a:ext cx="669671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6FA7D" w14:textId="4A4D584F" w:rsidR="00EE2095" w:rsidRPr="00FA1B3E" w:rsidRDefault="00EE2095" w:rsidP="001248B8">
      <w:pPr>
        <w:pStyle w:val="Heading2"/>
        <w:rPr>
          <w:i/>
        </w:rPr>
      </w:pPr>
      <w:r w:rsidRPr="00FA1B3E">
        <w:t>CONTEXT</w:t>
      </w:r>
    </w:p>
    <w:p w14:paraId="3664BA89" w14:textId="512C7D5A" w:rsidR="000935CA" w:rsidRDefault="000935CA" w:rsidP="00DE6F40">
      <w:pPr>
        <w:widowControl w:val="0"/>
        <w:spacing w:before="60" w:after="120" w:line="260" w:lineRule="exact"/>
        <w:rPr>
          <w:color w:val="auto"/>
        </w:rPr>
      </w:pPr>
      <w:r w:rsidRPr="00DE6F40">
        <w:t xml:space="preserve">An increasingly sophisticated Australia-Vietnam bilateral relationship reflects our close strategic and economic ties. In July, Vietnam’s new cabinet approved the next </w:t>
      </w:r>
      <w:r w:rsidR="00F14566">
        <w:t>five</w:t>
      </w:r>
      <w:r w:rsidRPr="00DE6F40">
        <w:t>-</w:t>
      </w:r>
      <w:r w:rsidR="00F14566">
        <w:t>y</w:t>
      </w:r>
      <w:r w:rsidRPr="00DE6F40">
        <w:t>ear Socio-Economic Development Plan (2021-2025), highlighting a number of priorities relevant to Australia’s development, diplomatic, people to people and economic relationship. Australia is well-placed to assist Vietnam achieve its ambitions, and to increase two-way trade and investment, as envisaged in the forthcoming Enhanced Economic Engagement Strategy</w:t>
      </w:r>
      <w:r w:rsidRPr="00261F34">
        <w:rPr>
          <w:color w:val="auto"/>
        </w:rPr>
        <w:t>.</w:t>
      </w:r>
    </w:p>
    <w:p w14:paraId="38E87455" w14:textId="097A158E" w:rsidR="00FA7682" w:rsidRPr="00DE6F40" w:rsidRDefault="00B76DB6" w:rsidP="00DE6F40">
      <w:pPr>
        <w:widowControl w:val="0"/>
        <w:spacing w:before="60" w:after="120" w:line="260" w:lineRule="exact"/>
      </w:pPr>
      <w:r w:rsidRPr="00744B0C">
        <w:t>Throughout 2020</w:t>
      </w:r>
      <w:r w:rsidR="00E674FD" w:rsidRPr="00744B0C">
        <w:t xml:space="preserve"> and early 2021</w:t>
      </w:r>
      <w:r w:rsidRPr="00744B0C">
        <w:t>, Vietnam</w:t>
      </w:r>
      <w:r w:rsidR="003A0631" w:rsidRPr="00744B0C">
        <w:t xml:space="preserve"> was</w:t>
      </w:r>
      <w:r w:rsidR="003B7449" w:rsidRPr="00744B0C">
        <w:t xml:space="preserve"> highly successful in </w:t>
      </w:r>
      <w:r w:rsidRPr="00744B0C">
        <w:t>manag</w:t>
      </w:r>
      <w:r w:rsidR="003B7449" w:rsidRPr="00744B0C">
        <w:t>ing</w:t>
      </w:r>
      <w:r w:rsidRPr="00744B0C">
        <w:t xml:space="preserve"> the COVID-19 pandemic</w:t>
      </w:r>
      <w:r w:rsidR="00EF2C69" w:rsidRPr="00744B0C">
        <w:t xml:space="preserve"> </w:t>
      </w:r>
      <w:r w:rsidR="00EF2C69" w:rsidRPr="00DE6F40">
        <w:t>and was one of only a few ASEAN countries to record</w:t>
      </w:r>
      <w:r w:rsidR="004E6BE5" w:rsidRPr="00DE6F40">
        <w:t xml:space="preserve"> </w:t>
      </w:r>
      <w:r w:rsidRPr="00DE6F40">
        <w:t>positive economic growth</w:t>
      </w:r>
      <w:r w:rsidRPr="00370A2E">
        <w:t xml:space="preserve">. </w:t>
      </w:r>
      <w:r w:rsidR="00E674FD" w:rsidRPr="00370A2E">
        <w:t>In April 2021</w:t>
      </w:r>
      <w:r w:rsidR="00261F34" w:rsidRPr="00370A2E">
        <w:t xml:space="preserve">, </w:t>
      </w:r>
      <w:r w:rsidR="00E674FD" w:rsidRPr="00370A2E">
        <w:t xml:space="preserve">Vietnam had recorded under 4,000 infections and 35 deaths. </w:t>
      </w:r>
      <w:r w:rsidRPr="00744B0C">
        <w:t>However,</w:t>
      </w:r>
      <w:r w:rsidRPr="00B81598">
        <w:rPr>
          <w:b/>
          <w:bCs/>
        </w:rPr>
        <w:t xml:space="preserve"> since the beginning of </w:t>
      </w:r>
      <w:r w:rsidR="003B7449" w:rsidRPr="00B81598">
        <w:rPr>
          <w:b/>
          <w:bCs/>
        </w:rPr>
        <w:t xml:space="preserve">a dramatic </w:t>
      </w:r>
      <w:r w:rsidRPr="00B81598">
        <w:rPr>
          <w:b/>
          <w:bCs/>
        </w:rPr>
        <w:t>fourth wave</w:t>
      </w:r>
      <w:r w:rsidR="00F36B7C" w:rsidRPr="00B81598">
        <w:rPr>
          <w:b/>
          <w:bCs/>
        </w:rPr>
        <w:t xml:space="preserve"> in late</w:t>
      </w:r>
      <w:r w:rsidRPr="00B81598">
        <w:rPr>
          <w:b/>
          <w:bCs/>
        </w:rPr>
        <w:t xml:space="preserve"> April</w:t>
      </w:r>
      <w:r w:rsidR="00B81598">
        <w:rPr>
          <w:b/>
          <w:bCs/>
        </w:rPr>
        <w:t xml:space="preserve"> 2021</w:t>
      </w:r>
      <w:r w:rsidRPr="00B81598">
        <w:rPr>
          <w:b/>
          <w:bCs/>
        </w:rPr>
        <w:t>, both the economic and health impacts have been severe</w:t>
      </w:r>
      <w:r w:rsidR="00960F2E" w:rsidRPr="00B81598">
        <w:rPr>
          <w:b/>
          <w:bCs/>
        </w:rPr>
        <w:t>.</w:t>
      </w:r>
      <w:r w:rsidR="00EF2C69" w:rsidRPr="00370A2E">
        <w:t xml:space="preserve"> </w:t>
      </w:r>
      <w:r w:rsidR="003A0631" w:rsidRPr="00370A2E">
        <w:t>By</w:t>
      </w:r>
      <w:r w:rsidR="00D23D4E" w:rsidRPr="00370A2E">
        <w:t xml:space="preserve"> mid-</w:t>
      </w:r>
      <w:r w:rsidR="00EF2C69" w:rsidRPr="00370A2E">
        <w:t xml:space="preserve">September, there </w:t>
      </w:r>
      <w:r w:rsidR="00D23D4E" w:rsidRPr="00370A2E">
        <w:t xml:space="preserve">were 624,494 infections and 15,660 deaths, </w:t>
      </w:r>
      <w:r w:rsidR="003B7449" w:rsidRPr="00370A2E">
        <w:t xml:space="preserve">while Vietnam was struggling with vaccine supply, </w:t>
      </w:r>
      <w:r w:rsidR="00D23D4E" w:rsidRPr="00370A2E">
        <w:t xml:space="preserve">with only </w:t>
      </w:r>
      <w:r w:rsidR="00ED70D6">
        <w:t>five</w:t>
      </w:r>
      <w:r w:rsidR="00D23D4E" w:rsidRPr="00370A2E">
        <w:t xml:space="preserve"> per cent of the adult population vaccinated</w:t>
      </w:r>
      <w:r w:rsidR="00D23D4E" w:rsidRPr="00DE6F40">
        <w:t xml:space="preserve">. </w:t>
      </w:r>
      <w:r w:rsidR="00985DDC" w:rsidRPr="00DE6F40">
        <w:t>T</w:t>
      </w:r>
      <w:r w:rsidR="00FA7682" w:rsidRPr="00DE6F40">
        <w:t xml:space="preserve">he economic tail of the pandemic </w:t>
      </w:r>
      <w:r w:rsidR="00985DDC" w:rsidRPr="00DE6F40">
        <w:t xml:space="preserve">is expected to </w:t>
      </w:r>
      <w:r w:rsidR="00FA7682" w:rsidRPr="00DE6F40">
        <w:t>be significant</w:t>
      </w:r>
      <w:r w:rsidR="00C70322" w:rsidRPr="00DE6F40">
        <w:t xml:space="preserve"> for the foreseeable future, and </w:t>
      </w:r>
      <w:r w:rsidR="00FA7682" w:rsidRPr="00DE6F40">
        <w:t xml:space="preserve">Vietnam’s development trajectory </w:t>
      </w:r>
      <w:r w:rsidR="00261F34" w:rsidRPr="00DE6F40">
        <w:t>will</w:t>
      </w:r>
      <w:r w:rsidR="00FA7682" w:rsidRPr="00DE6F40">
        <w:t xml:space="preserve"> be affected. </w:t>
      </w:r>
      <w:r w:rsidR="000935CA">
        <w:t>However, w</w:t>
      </w:r>
      <w:r w:rsidR="000935CA" w:rsidRPr="00DE6F40">
        <w:t>hile the impact of the pandemic has been severe, the longer-term trends underpinning Vietnam’s growth have not gone away</w:t>
      </w:r>
      <w:r w:rsidR="00045791">
        <w:t>. In the short term</w:t>
      </w:r>
      <w:r w:rsidR="00E56E85">
        <w:t>, gross domestic product</w:t>
      </w:r>
      <w:r w:rsidR="004C7099">
        <w:t xml:space="preserve"> growth of 3.8 per cent </w:t>
      </w:r>
      <w:r w:rsidR="00045791">
        <w:t xml:space="preserve">is </w:t>
      </w:r>
      <w:r w:rsidR="004C7099">
        <w:t xml:space="preserve">forecast for 2021 </w:t>
      </w:r>
      <w:r w:rsidR="00E619C5">
        <w:t xml:space="preserve">(revised from 6.7 per cent) </w:t>
      </w:r>
      <w:r w:rsidR="004C7099">
        <w:t>and 6.5 per cent for 2022 (Asian Development Bank, September 2021)</w:t>
      </w:r>
      <w:r w:rsidR="003D7532">
        <w:t>.</w:t>
      </w:r>
    </w:p>
    <w:p w14:paraId="4DAEAF81" w14:textId="0A728E58" w:rsidR="00B76DB6" w:rsidRPr="00DE6F40" w:rsidRDefault="00E674FD" w:rsidP="00DE6F40">
      <w:pPr>
        <w:widowControl w:val="0"/>
        <w:spacing w:before="60" w:after="120" w:line="260" w:lineRule="exact"/>
      </w:pPr>
      <w:r w:rsidRPr="00DE6F40">
        <w:t xml:space="preserve">In response to the </w:t>
      </w:r>
      <w:r w:rsidR="00261F34" w:rsidRPr="00DE6F40">
        <w:t>2021 outbreak,</w:t>
      </w:r>
      <w:r w:rsidRPr="00DE6F40">
        <w:t xml:space="preserve"> t</w:t>
      </w:r>
      <w:r w:rsidR="00960F2E" w:rsidRPr="00DE6F40">
        <w:t>he Government of Vietnam implemented t</w:t>
      </w:r>
      <w:r w:rsidR="00F36B7C" w:rsidRPr="00DE6F40">
        <w:t>ight restrictions in both the capital, Hanoi, and the epicentre of the fourth wave, Ho Chi Minh City in the south.</w:t>
      </w:r>
      <w:r w:rsidR="00960F2E" w:rsidRPr="00DE6F40">
        <w:t xml:space="preserve"> </w:t>
      </w:r>
      <w:r w:rsidR="00264AFC" w:rsidRPr="00DE6F40">
        <w:t>Many of the country’s health professional</w:t>
      </w:r>
      <w:r w:rsidR="00DC4231" w:rsidRPr="00DE6F40">
        <w:t>s</w:t>
      </w:r>
      <w:r w:rsidR="00264AFC" w:rsidRPr="00DE6F40">
        <w:t xml:space="preserve"> </w:t>
      </w:r>
      <w:r w:rsidR="00DC4231" w:rsidRPr="00DE6F40">
        <w:t xml:space="preserve">have been </w:t>
      </w:r>
      <w:r w:rsidR="00264AFC" w:rsidRPr="00DE6F40">
        <w:t>deployed to th</w:t>
      </w:r>
      <w:r w:rsidR="003B7449" w:rsidRPr="00DE6F40">
        <w:t>e</w:t>
      </w:r>
      <w:r w:rsidR="00264AFC" w:rsidRPr="00DE6F40">
        <w:t xml:space="preserve"> southern region</w:t>
      </w:r>
      <w:r w:rsidR="00DC4231" w:rsidRPr="00DE6F40">
        <w:t>, placing other areas at risk should there be further outbreaks</w:t>
      </w:r>
      <w:r w:rsidR="00264AFC" w:rsidRPr="00DE6F40">
        <w:t xml:space="preserve">. </w:t>
      </w:r>
    </w:p>
    <w:p w14:paraId="5C1950F3" w14:textId="77777777" w:rsidR="00E60108" w:rsidRDefault="003A0631" w:rsidP="00E60108">
      <w:pPr>
        <w:widowControl w:val="0"/>
        <w:spacing w:before="60" w:after="120" w:line="260" w:lineRule="exact"/>
        <w:rPr>
          <w:b/>
          <w:bCs/>
        </w:rPr>
      </w:pPr>
      <w:r w:rsidRPr="00370A2E">
        <w:rPr>
          <w:b/>
          <w:bCs/>
        </w:rPr>
        <w:t xml:space="preserve">The </w:t>
      </w:r>
      <w:r w:rsidR="004A2845" w:rsidRPr="00370A2E">
        <w:rPr>
          <w:b/>
          <w:bCs/>
        </w:rPr>
        <w:t xml:space="preserve">Government of Vietnam’s </w:t>
      </w:r>
      <w:r w:rsidRPr="00370A2E">
        <w:rPr>
          <w:b/>
          <w:bCs/>
        </w:rPr>
        <w:t>focus is firmly</w:t>
      </w:r>
      <w:r w:rsidR="0019037F" w:rsidRPr="00370A2E">
        <w:rPr>
          <w:b/>
          <w:bCs/>
        </w:rPr>
        <w:t xml:space="preserve"> </w:t>
      </w:r>
      <w:r w:rsidR="00FA7682" w:rsidRPr="00370A2E">
        <w:rPr>
          <w:b/>
          <w:bCs/>
        </w:rPr>
        <w:t xml:space="preserve">on </w:t>
      </w:r>
      <w:r w:rsidR="00AD31D4" w:rsidRPr="00370A2E">
        <w:rPr>
          <w:b/>
          <w:bCs/>
        </w:rPr>
        <w:t>vaccine access and immediate support for livelihoods</w:t>
      </w:r>
      <w:r w:rsidR="00C70322" w:rsidRPr="00DE6F40">
        <w:t xml:space="preserve">. In the medium to </w:t>
      </w:r>
      <w:r w:rsidR="00AD31D4" w:rsidRPr="00DE6F40">
        <w:t>long</w:t>
      </w:r>
      <w:r w:rsidR="00C70322" w:rsidRPr="00DE6F40">
        <w:t xml:space="preserve"> </w:t>
      </w:r>
      <w:r w:rsidR="00AD31D4" w:rsidRPr="00DE6F40">
        <w:t>term</w:t>
      </w:r>
      <w:r w:rsidR="00C70322" w:rsidRPr="00DE6F40">
        <w:t xml:space="preserve">, </w:t>
      </w:r>
      <w:r w:rsidR="00AD31D4" w:rsidRPr="00DE6F40">
        <w:t>economic recovery, particularly for vulnerable groups</w:t>
      </w:r>
      <w:r w:rsidR="00C70322" w:rsidRPr="00DE6F40">
        <w:t xml:space="preserve"> </w:t>
      </w:r>
      <w:r w:rsidR="00010215" w:rsidRPr="00DE6F40">
        <w:t xml:space="preserve">who have been </w:t>
      </w:r>
      <w:r w:rsidR="00AD31D4" w:rsidRPr="00DE6F40">
        <w:t xml:space="preserve">disproportionately affected by job losses and </w:t>
      </w:r>
      <w:r w:rsidR="00010215" w:rsidRPr="00DE6F40">
        <w:t xml:space="preserve">with </w:t>
      </w:r>
      <w:r w:rsidR="00AD31D4" w:rsidRPr="00DE6F40">
        <w:t>limited access to safety nets</w:t>
      </w:r>
      <w:r w:rsidR="00C70322" w:rsidRPr="00DE6F40">
        <w:t>, will be important to regain momentum</w:t>
      </w:r>
      <w:r w:rsidR="00AD31D4" w:rsidRPr="00DE6F40">
        <w:t>.</w:t>
      </w:r>
      <w:r w:rsidR="008A2A2B" w:rsidRPr="00DE6F40">
        <w:t xml:space="preserve"> W</w:t>
      </w:r>
      <w:r w:rsidR="00DC4231" w:rsidRPr="00DE6F40">
        <w:t xml:space="preserve">omen </w:t>
      </w:r>
      <w:r w:rsidR="00010215" w:rsidRPr="00DE6F40">
        <w:t xml:space="preserve">often </w:t>
      </w:r>
      <w:r w:rsidR="00DC4231" w:rsidRPr="00DE6F40">
        <w:t>work in sectors most affected by lockdown measures</w:t>
      </w:r>
      <w:r w:rsidR="00010215" w:rsidRPr="00DE6F40">
        <w:t xml:space="preserve">, </w:t>
      </w:r>
      <w:r w:rsidR="00DC4231" w:rsidRPr="00DE6F40">
        <w:t>and there has been an increase in calls to violence support centres. E</w:t>
      </w:r>
      <w:r w:rsidR="009A5DBB" w:rsidRPr="00DE6F40">
        <w:t>th</w:t>
      </w:r>
      <w:r w:rsidR="00DC4231" w:rsidRPr="00DE6F40">
        <w:t>n</w:t>
      </w:r>
      <w:r w:rsidR="009A5DBB" w:rsidRPr="00DE6F40">
        <w:t>ic minorit</w:t>
      </w:r>
      <w:r w:rsidR="00DC4231" w:rsidRPr="00DE6F40">
        <w:t xml:space="preserve">y women are already among the most disadvantaged groups in Vietnam, and extended lockdowns may further minimise their education and economic opportunities as well as community leadership roles. </w:t>
      </w:r>
      <w:r w:rsidRPr="00DE6F40">
        <w:t>People with disabilities are also likely to face more barriers to accessing support</w:t>
      </w:r>
      <w:r w:rsidR="00D00B39" w:rsidRPr="00DE6F40">
        <w:t xml:space="preserve">. </w:t>
      </w:r>
      <w:r w:rsidR="00E60108">
        <w:br/>
      </w:r>
      <w:r w:rsidR="00E60108">
        <w:br/>
      </w:r>
      <w:r w:rsidR="00E60108">
        <w:br/>
      </w:r>
      <w:r w:rsidR="00FC1216" w:rsidRPr="00E60108">
        <w:rPr>
          <w:b/>
          <w:bCs/>
        </w:rPr>
        <w:lastRenderedPageBreak/>
        <w:t>AUSTRALIA’S RESPONS</w:t>
      </w:r>
      <w:r w:rsidR="00193C49" w:rsidRPr="00E60108">
        <w:rPr>
          <w:b/>
          <w:bCs/>
        </w:rPr>
        <w:t xml:space="preserve">E </w:t>
      </w:r>
      <w:r w:rsidR="00A46B28" w:rsidRPr="00E60108">
        <w:rPr>
          <w:b/>
          <w:bCs/>
        </w:rPr>
        <w:t>and</w:t>
      </w:r>
      <w:r w:rsidR="00193C49" w:rsidRPr="00E60108">
        <w:rPr>
          <w:b/>
          <w:bCs/>
        </w:rPr>
        <w:t xml:space="preserve"> PROGRAM HIGHLIGHTS</w:t>
      </w:r>
    </w:p>
    <w:p w14:paraId="52E39ED1" w14:textId="2530CC46" w:rsidR="00D25E17" w:rsidRPr="00E60108" w:rsidRDefault="00D25E17" w:rsidP="00E60108">
      <w:pPr>
        <w:widowControl w:val="0"/>
        <w:spacing w:before="60" w:after="120" w:line="260" w:lineRule="exact"/>
        <w:rPr>
          <w:b/>
          <w:bCs/>
        </w:rPr>
      </w:pPr>
      <w:r w:rsidRPr="00CF4EBC">
        <w:t xml:space="preserve">Australia’s development program continues to align with </w:t>
      </w:r>
      <w:r>
        <w:t>Vietnam’s</w:t>
      </w:r>
      <w:r w:rsidRPr="00CF4EBC">
        <w:t xml:space="preserve"> priorities. </w:t>
      </w:r>
      <w:r w:rsidR="00706F02">
        <w:t>Despite a challenging operating environment</w:t>
      </w:r>
      <w:r w:rsidR="004738DC">
        <w:t xml:space="preserve"> </w:t>
      </w:r>
      <w:r w:rsidR="00E60108">
        <w:t>in</w:t>
      </w:r>
      <w:r w:rsidR="004738DC">
        <w:t xml:space="preserve"> the reporting period</w:t>
      </w:r>
      <w:r w:rsidR="00706F02">
        <w:t>, most investments were able to adapt their activities to suit the COVID-19 context, while still making progress towards expected outcomes.</w:t>
      </w:r>
      <w:r w:rsidR="00706F02" w:rsidRPr="00CF4EBC">
        <w:t xml:space="preserve"> </w:t>
      </w:r>
    </w:p>
    <w:p w14:paraId="79BE876C" w14:textId="68208608" w:rsidR="00297FD1" w:rsidRPr="00DE6F40" w:rsidRDefault="00297FD1" w:rsidP="001248B8">
      <w:pPr>
        <w:pStyle w:val="Heading3"/>
      </w:pPr>
      <w:r w:rsidRPr="00DE6F40">
        <w:t>Health Security</w:t>
      </w:r>
    </w:p>
    <w:p w14:paraId="2700729C" w14:textId="7370A1B1" w:rsidR="00E9708F" w:rsidRPr="00370A2E" w:rsidRDefault="006E6F49" w:rsidP="00DE6F40">
      <w:pPr>
        <w:widowControl w:val="0"/>
        <w:spacing w:before="60" w:after="120" w:line="260" w:lineRule="exact"/>
      </w:pPr>
      <w:bookmarkStart w:id="0" w:name="_Hlk84278848"/>
      <w:r w:rsidRPr="00DE6F40">
        <w:t>Australia is a key partner for Vietnam in its efforts to combat COVID-19</w:t>
      </w:r>
      <w:r w:rsidR="00FD1869">
        <w:t xml:space="preserve"> </w:t>
      </w:r>
      <w:r w:rsidR="00D00B39" w:rsidRPr="00DE6F40">
        <w:t>and has</w:t>
      </w:r>
      <w:r w:rsidRPr="00DE6F40">
        <w:t xml:space="preserve"> a particular focus on supporting Vietnam’s COVID-19 vaccine rollout. </w:t>
      </w:r>
      <w:r w:rsidRPr="00370A2E">
        <w:t xml:space="preserve">Australia has committed </w:t>
      </w:r>
      <w:r w:rsidR="00F14566">
        <w:t>$</w:t>
      </w:r>
      <w:r w:rsidR="00744B0C">
        <w:t>60</w:t>
      </w:r>
      <w:r w:rsidRPr="00370A2E">
        <w:t xml:space="preserve"> million over three years (2020-2023) for COVID-19 vaccine access in Vietnam</w:t>
      </w:r>
      <w:r w:rsidRPr="00DE6F40">
        <w:t xml:space="preserve">, including delivery support and vaccine procurement, drawing on Australia’s </w:t>
      </w:r>
      <w:r w:rsidRPr="00370A2E">
        <w:rPr>
          <w:b/>
          <w:bCs/>
        </w:rPr>
        <w:t xml:space="preserve">Regional </w:t>
      </w:r>
      <w:r w:rsidR="00F14566">
        <w:rPr>
          <w:b/>
          <w:bCs/>
        </w:rPr>
        <w:br/>
      </w:r>
      <w:r w:rsidRPr="00370A2E">
        <w:rPr>
          <w:b/>
          <w:bCs/>
        </w:rPr>
        <w:t>COVID-19 Vaccine and Health Security Initiative</w:t>
      </w:r>
      <w:r w:rsidRPr="00DE6F40">
        <w:t xml:space="preserve"> and bilateral funding</w:t>
      </w:r>
      <w:r w:rsidRPr="00370A2E">
        <w:t xml:space="preserve">. </w:t>
      </w:r>
      <w:r w:rsidR="000935CA" w:rsidRPr="00370A2E">
        <w:t>Australia has also committed to share 1.5 million AstraZeneca vaccine doses with Vietnam by the end of 2021, with 400,000 delivered to Ho Chi Minh City in August</w:t>
      </w:r>
      <w:r w:rsidR="00291006">
        <w:t xml:space="preserve"> and 300,000 to Hanoi in September</w:t>
      </w:r>
      <w:r w:rsidR="00C4722C">
        <w:t xml:space="preserve"> and another 800,000 to Hanoi in October</w:t>
      </w:r>
      <w:r w:rsidR="000935CA" w:rsidRPr="00370A2E">
        <w:t xml:space="preserve">. This is in addition to Australia’s support to the </w:t>
      </w:r>
      <w:r w:rsidR="00F14566" w:rsidRPr="00F14566">
        <w:t xml:space="preserve">COVID-19 Vaccines Global Access </w:t>
      </w:r>
      <w:r w:rsidR="00F14566">
        <w:t>(</w:t>
      </w:r>
      <w:r w:rsidR="000935CA" w:rsidRPr="00370A2E">
        <w:t>COVAX</w:t>
      </w:r>
      <w:r w:rsidR="00F14566">
        <w:t>)</w:t>
      </w:r>
      <w:r w:rsidR="000935CA" w:rsidRPr="00370A2E">
        <w:t xml:space="preserve"> Advance Market Commitment totalling </w:t>
      </w:r>
      <w:r w:rsidR="00F14566">
        <w:t>$</w:t>
      </w:r>
      <w:r w:rsidR="000935CA" w:rsidRPr="00370A2E">
        <w:t xml:space="preserve">130 million. As at end 30 June, this global mechanism had delivered almost 2.5 million COVID-19 vaccine doses to Vietnam. </w:t>
      </w:r>
      <w:bookmarkEnd w:id="0"/>
    </w:p>
    <w:p w14:paraId="272AC76E" w14:textId="4F99B55E" w:rsidR="006E6F49" w:rsidRPr="00DE6F40" w:rsidRDefault="00985DDC" w:rsidP="00DE6F40">
      <w:pPr>
        <w:widowControl w:val="0"/>
        <w:spacing w:before="60" w:after="120" w:line="260" w:lineRule="exact"/>
      </w:pPr>
      <w:r w:rsidRPr="00370A2E">
        <w:rPr>
          <w:b/>
          <w:bCs/>
        </w:rPr>
        <w:t xml:space="preserve">In </w:t>
      </w:r>
      <w:r w:rsidR="006E6F49" w:rsidRPr="00370A2E">
        <w:rPr>
          <w:b/>
          <w:bCs/>
        </w:rPr>
        <w:t xml:space="preserve">April 2021, Australia launched a </w:t>
      </w:r>
      <w:r w:rsidR="00F14566">
        <w:rPr>
          <w:b/>
          <w:bCs/>
        </w:rPr>
        <w:t>$</w:t>
      </w:r>
      <w:r w:rsidR="006E6F49" w:rsidRPr="00370A2E">
        <w:rPr>
          <w:b/>
          <w:bCs/>
        </w:rPr>
        <w:t xml:space="preserve">13.5 million partnership with </w:t>
      </w:r>
      <w:r w:rsidR="00F14566" w:rsidRPr="00F14566">
        <w:rPr>
          <w:b/>
          <w:bCs/>
        </w:rPr>
        <w:t xml:space="preserve">United Nations Children's Fund </w:t>
      </w:r>
      <w:r w:rsidR="00F14566">
        <w:rPr>
          <w:b/>
          <w:bCs/>
        </w:rPr>
        <w:t>(</w:t>
      </w:r>
      <w:r w:rsidR="006E6F49" w:rsidRPr="00370A2E">
        <w:rPr>
          <w:b/>
          <w:bCs/>
        </w:rPr>
        <w:t>UNICEF</w:t>
      </w:r>
      <w:r w:rsidR="00F14566">
        <w:rPr>
          <w:b/>
          <w:bCs/>
        </w:rPr>
        <w:t>)</w:t>
      </w:r>
      <w:r w:rsidR="006E6F49" w:rsidRPr="00370A2E">
        <w:rPr>
          <w:b/>
          <w:bCs/>
        </w:rPr>
        <w:t xml:space="preserve"> to support COVID-19 vaccine delivery</w:t>
      </w:r>
      <w:r w:rsidR="006E6F49" w:rsidRPr="00DE6F40">
        <w:t xml:space="preserve"> in Vietnam. UNICEF has </w:t>
      </w:r>
      <w:r w:rsidR="006E6F49" w:rsidRPr="00370A2E">
        <w:rPr>
          <w:b/>
          <w:bCs/>
        </w:rPr>
        <w:t>procured 1,900 refrigerators and five refrigerated trucks</w:t>
      </w:r>
      <w:r w:rsidR="006E6F49" w:rsidRPr="00DE6F40">
        <w:t xml:space="preserve"> to upgrade Vietnam’s cold chain storage, procured </w:t>
      </w:r>
      <w:r w:rsidR="00F14566">
        <w:t>five</w:t>
      </w:r>
      <w:r w:rsidR="006E6F49" w:rsidRPr="00DE6F40">
        <w:t xml:space="preserve"> million syringes, developed and disseminated COVID-19 vaccination information, and conducted a survey to understand the social drivers behind COVID-19 vaccine access in Vietnam. </w:t>
      </w:r>
    </w:p>
    <w:p w14:paraId="2F318647" w14:textId="5DF13CA4" w:rsidR="006E6F49" w:rsidRPr="00DE6F40" w:rsidRDefault="006E6F49" w:rsidP="00DE6F40">
      <w:pPr>
        <w:widowControl w:val="0"/>
        <w:spacing w:before="60" w:after="120" w:line="260" w:lineRule="exact"/>
      </w:pPr>
      <w:r w:rsidRPr="00DE6F40">
        <w:t xml:space="preserve">In addition to our support for Vietnam’s COVID-19 vaccine rollout, </w:t>
      </w:r>
      <w:r w:rsidRPr="00370A2E">
        <w:rPr>
          <w:b/>
          <w:bCs/>
        </w:rPr>
        <w:t>we helped to strengthen public health preparedness and response efforts</w:t>
      </w:r>
      <w:r w:rsidRPr="00DE6F40">
        <w:t xml:space="preserve"> </w:t>
      </w:r>
      <w:r w:rsidR="00E60108">
        <w:t>in</w:t>
      </w:r>
      <w:r w:rsidR="004738DC">
        <w:t xml:space="preserve"> the reporting period, </w:t>
      </w:r>
      <w:r w:rsidRPr="00DE6F40">
        <w:t xml:space="preserve">through activities </w:t>
      </w:r>
      <w:r w:rsidRPr="00370A2E">
        <w:t>supported by the Indo-Pacific Centre for Health Security</w:t>
      </w:r>
      <w:r w:rsidRPr="00DE6F40">
        <w:t xml:space="preserve">. These included </w:t>
      </w:r>
      <w:r w:rsidRPr="00370A2E">
        <w:t>conducting five studies on the health policy, social, immunological and clinical impacts of COVID-19 in</w:t>
      </w:r>
      <w:r w:rsidRPr="00DE6F40">
        <w:t xml:space="preserve"> Vietnam in collaboration with the National Hospital for Tropical Diseases; research on antimicrobial resistance; and supporting two Vietnamese students to undertake field placements to strengthen Vietnam’s capacity in epidemiology, surveillance and data analysis, through Australia’s ASEAN-Australia Health Security Fellowship program. </w:t>
      </w:r>
    </w:p>
    <w:p w14:paraId="689D16DF" w14:textId="620F6252" w:rsidR="00636B09" w:rsidRPr="00DE6F40" w:rsidRDefault="00AD31D4" w:rsidP="00DE6F40">
      <w:pPr>
        <w:widowControl w:val="0"/>
        <w:spacing w:before="60" w:after="120" w:line="260" w:lineRule="exact"/>
      </w:pPr>
      <w:r w:rsidRPr="00DE6F40">
        <w:t xml:space="preserve">In </w:t>
      </w:r>
      <w:r w:rsidR="00924179" w:rsidRPr="00DE6F40">
        <w:t>October</w:t>
      </w:r>
      <w:r w:rsidRPr="00DE6F40">
        <w:t xml:space="preserve"> 2020, </w:t>
      </w:r>
      <w:r w:rsidR="00E9040A" w:rsidRPr="00DE6F40">
        <w:t xml:space="preserve">the </w:t>
      </w:r>
      <w:r w:rsidR="00BE7756">
        <w:t>c</w:t>
      </w:r>
      <w:r w:rsidR="00E9040A" w:rsidRPr="00DE6F40">
        <w:t xml:space="preserve">entral region of Vietnam experienced prolonged, heavy rains that caused </w:t>
      </w:r>
      <w:r w:rsidR="00E9040A" w:rsidRPr="00370A2E">
        <w:rPr>
          <w:b/>
          <w:bCs/>
        </w:rPr>
        <w:t>severe and widespread flooding and landslides</w:t>
      </w:r>
      <w:r w:rsidR="00E9040A" w:rsidRPr="00DE6F40">
        <w:t>. Vietnam reported more than 100 deaths</w:t>
      </w:r>
      <w:r w:rsidR="00D00B39" w:rsidRPr="00DE6F40">
        <w:t>, with</w:t>
      </w:r>
      <w:r w:rsidR="006E6F49" w:rsidRPr="00DE6F40">
        <w:t xml:space="preserve"> </w:t>
      </w:r>
      <w:r w:rsidR="00E9040A" w:rsidRPr="00DE6F40">
        <w:t>178,000 houses flooded</w:t>
      </w:r>
      <w:r w:rsidR="00ED0239" w:rsidRPr="00DE6F40">
        <w:t>,</w:t>
      </w:r>
      <w:r w:rsidR="00924179" w:rsidRPr="00DE6F40">
        <w:t xml:space="preserve"> </w:t>
      </w:r>
      <w:r w:rsidR="006E6F49" w:rsidRPr="00DE6F40">
        <w:t>and millions of people affected</w:t>
      </w:r>
      <w:r w:rsidR="00E9040A" w:rsidRPr="00DE6F40">
        <w:t xml:space="preserve">. In response, </w:t>
      </w:r>
      <w:r w:rsidR="00E9040A" w:rsidRPr="00370A2E">
        <w:rPr>
          <w:b/>
          <w:bCs/>
        </w:rPr>
        <w:t xml:space="preserve">Australia provided </w:t>
      </w:r>
      <w:r w:rsidR="00F14566">
        <w:rPr>
          <w:b/>
          <w:bCs/>
        </w:rPr>
        <w:t>$</w:t>
      </w:r>
      <w:r w:rsidR="00E9040A" w:rsidRPr="00370A2E">
        <w:rPr>
          <w:b/>
          <w:bCs/>
        </w:rPr>
        <w:t>2.1 million in humanitarian support</w:t>
      </w:r>
      <w:r w:rsidR="00ED0239" w:rsidRPr="00370A2E">
        <w:rPr>
          <w:b/>
          <w:bCs/>
        </w:rPr>
        <w:t xml:space="preserve"> </w:t>
      </w:r>
      <w:r w:rsidR="00E9040A" w:rsidRPr="00370A2E">
        <w:rPr>
          <w:b/>
          <w:bCs/>
        </w:rPr>
        <w:t xml:space="preserve">via UNICEF and the Australian Humanitarian Partnership </w:t>
      </w:r>
      <w:r w:rsidR="00ED0239" w:rsidRPr="00370A2E">
        <w:rPr>
          <w:b/>
          <w:bCs/>
        </w:rPr>
        <w:t xml:space="preserve">through </w:t>
      </w:r>
      <w:r w:rsidR="00E9040A" w:rsidRPr="00370A2E">
        <w:rPr>
          <w:b/>
          <w:bCs/>
        </w:rPr>
        <w:t xml:space="preserve">four </w:t>
      </w:r>
      <w:r w:rsidR="00BE7756">
        <w:rPr>
          <w:b/>
          <w:bCs/>
        </w:rPr>
        <w:t>non-government organisations</w:t>
      </w:r>
      <w:r w:rsidR="00E9040A" w:rsidRPr="00DE6F40">
        <w:t xml:space="preserve">. </w:t>
      </w:r>
      <w:r w:rsidRPr="00DE6F40">
        <w:t xml:space="preserve">In total, </w:t>
      </w:r>
      <w:r w:rsidRPr="00370A2E">
        <w:t>128,595 people directly benefited</w:t>
      </w:r>
      <w:r w:rsidRPr="00DE6F40">
        <w:t xml:space="preserve"> from Australian humanitarian assistance </w:t>
      </w:r>
      <w:r w:rsidR="007142AE" w:rsidRPr="00DE6F40">
        <w:t xml:space="preserve">across </w:t>
      </w:r>
      <w:r w:rsidR="00BE7756">
        <w:t>w</w:t>
      </w:r>
      <w:r w:rsidRPr="00DE6F40">
        <w:t xml:space="preserve">ater, </w:t>
      </w:r>
      <w:r w:rsidR="00BE7756">
        <w:t>s</w:t>
      </w:r>
      <w:r w:rsidRPr="00DE6F40">
        <w:t>anitation</w:t>
      </w:r>
      <w:r w:rsidR="00BE7756">
        <w:t>, h</w:t>
      </w:r>
      <w:r w:rsidRPr="00DE6F40">
        <w:t xml:space="preserve">ygiene, livelihoods recovery, mental health and psycho-social support, </w:t>
      </w:r>
      <w:r w:rsidR="007142AE" w:rsidRPr="00DE6F40">
        <w:t xml:space="preserve">and </w:t>
      </w:r>
      <w:r w:rsidRPr="00DE6F40">
        <w:t>protection</w:t>
      </w:r>
      <w:r w:rsidR="007142AE" w:rsidRPr="00DE6F40">
        <w:t xml:space="preserve"> </w:t>
      </w:r>
      <w:r w:rsidR="00E9040A" w:rsidRPr="00DE6F40">
        <w:t>measures (women and girls were a strong focus of our support)</w:t>
      </w:r>
      <w:r w:rsidR="00E60108">
        <w:t xml:space="preserve">. </w:t>
      </w:r>
    </w:p>
    <w:p w14:paraId="56A9AE44" w14:textId="4DF827B1" w:rsidR="004F2D9E" w:rsidRPr="00DE6F40" w:rsidRDefault="004B7A2F" w:rsidP="00DE6F40">
      <w:pPr>
        <w:widowControl w:val="0"/>
        <w:spacing w:before="60" w:after="120" w:line="260" w:lineRule="exact"/>
      </w:pPr>
      <w:r w:rsidRPr="00DE6F40">
        <w:t xml:space="preserve">Access to </w:t>
      </w:r>
      <w:r w:rsidRPr="00370A2E">
        <w:rPr>
          <w:b/>
          <w:bCs/>
        </w:rPr>
        <w:t>safe drinking water</w:t>
      </w:r>
      <w:r w:rsidRPr="00DE6F40">
        <w:t xml:space="preserve"> is a fundamental need. </w:t>
      </w:r>
      <w:r w:rsidR="00B32B8C" w:rsidRPr="00DE6F40">
        <w:t xml:space="preserve">Through </w:t>
      </w:r>
      <w:r w:rsidR="00F10265" w:rsidRPr="00DE6F40">
        <w:t xml:space="preserve">the </w:t>
      </w:r>
      <w:r w:rsidR="00B32B8C" w:rsidRPr="00DE6F40">
        <w:t>Aus4Innovation</w:t>
      </w:r>
      <w:r w:rsidR="00F10265" w:rsidRPr="00DE6F40">
        <w:t xml:space="preserve"> program</w:t>
      </w:r>
      <w:r w:rsidR="00B32B8C" w:rsidRPr="00DE6F40">
        <w:t>, safe water was provided to more than 6,000 people, including those affected b</w:t>
      </w:r>
      <w:r w:rsidR="00EB036B" w:rsidRPr="00DE6F40">
        <w:t xml:space="preserve">y the floods </w:t>
      </w:r>
      <w:r w:rsidR="00B32B8C" w:rsidRPr="00DE6F40">
        <w:t xml:space="preserve">in central Vietnam. </w:t>
      </w:r>
    </w:p>
    <w:p w14:paraId="6ED54EAA" w14:textId="29D1CED1" w:rsidR="00EB036B" w:rsidRPr="00DE6F40" w:rsidRDefault="00EB036B" w:rsidP="00DE6F40">
      <w:pPr>
        <w:widowControl w:val="0"/>
        <w:spacing w:before="60" w:after="0" w:line="260" w:lineRule="exact"/>
      </w:pPr>
      <w:r w:rsidRPr="00370A2E">
        <w:t>A funding round for Australia awards alumni s</w:t>
      </w:r>
      <w:r w:rsidR="006B0AAE" w:rsidRPr="00370A2E">
        <w:t>upported research into the psychological, sociocultural, and political factors affecting the acceptance of COVID-19 vaccines in Vietnam. Research</w:t>
      </w:r>
      <w:r w:rsidR="006B0AAE" w:rsidRPr="00DE6F40">
        <w:t xml:space="preserve"> and recommendations were provided to the Government to assist Vietnam’s vaccine roll-out. </w:t>
      </w:r>
      <w:r w:rsidR="00636B09" w:rsidRPr="00DE6F40">
        <w:t>G</w:t>
      </w:r>
      <w:r w:rsidR="006B0AAE" w:rsidRPr="00DE6F40">
        <w:t xml:space="preserve">rant funding </w:t>
      </w:r>
      <w:r w:rsidR="00924179" w:rsidRPr="00DE6F40">
        <w:t xml:space="preserve">also </w:t>
      </w:r>
      <w:r w:rsidR="006B0AAE" w:rsidRPr="00DE6F40">
        <w:t>supported research on the physical, mental and social barriers among people with disabilit</w:t>
      </w:r>
      <w:r w:rsidR="00F14566">
        <w:t>ies</w:t>
      </w:r>
      <w:r w:rsidR="006B0AAE" w:rsidRPr="00DE6F40">
        <w:t xml:space="preserve"> in Ha </w:t>
      </w:r>
      <w:proofErr w:type="spellStart"/>
      <w:r w:rsidR="006B0AAE" w:rsidRPr="00DE6F40">
        <w:t>Tinh</w:t>
      </w:r>
      <w:proofErr w:type="spellEnd"/>
      <w:r w:rsidR="006B0AAE" w:rsidRPr="00DE6F40">
        <w:t xml:space="preserve"> province in the context of COVID-19. </w:t>
      </w:r>
      <w:r w:rsidR="00636B09" w:rsidRPr="00DE6F40">
        <w:t>F</w:t>
      </w:r>
      <w:r w:rsidR="00924179" w:rsidRPr="00DE6F40">
        <w:t xml:space="preserve">indings </w:t>
      </w:r>
      <w:r w:rsidR="006B0AAE" w:rsidRPr="00DE6F40">
        <w:t>will help families and health operators better support people with disabilit</w:t>
      </w:r>
      <w:r w:rsidR="00F14566">
        <w:t>ies</w:t>
      </w:r>
      <w:r w:rsidR="006B0AAE" w:rsidRPr="00DE6F40">
        <w:t xml:space="preserve"> throughout the pandemic. </w:t>
      </w:r>
    </w:p>
    <w:p w14:paraId="00EE911B" w14:textId="6DF4A93F" w:rsidR="00E9040A" w:rsidRPr="00DE6F40" w:rsidRDefault="00297FD1" w:rsidP="001248B8">
      <w:pPr>
        <w:pStyle w:val="Heading3"/>
      </w:pPr>
      <w:r w:rsidRPr="00DE6F40">
        <w:t>Stability</w:t>
      </w:r>
    </w:p>
    <w:p w14:paraId="7546FE08" w14:textId="70F7ECC8" w:rsidR="008C1D2D" w:rsidRPr="00DE6F40" w:rsidRDefault="007142AE" w:rsidP="00DE6F40">
      <w:pPr>
        <w:widowControl w:val="0"/>
        <w:spacing w:before="60" w:after="120" w:line="260" w:lineRule="exact"/>
      </w:pPr>
      <w:r w:rsidRPr="00DE6F40">
        <w:t xml:space="preserve">At the onset of the pandemic, </w:t>
      </w:r>
      <w:r w:rsidR="006F00BC">
        <w:t>Australia</w:t>
      </w:r>
      <w:r w:rsidR="006F00BC" w:rsidRPr="00DE6F40">
        <w:t xml:space="preserve"> </w:t>
      </w:r>
      <w:r w:rsidRPr="00DE6F40">
        <w:t>and the U</w:t>
      </w:r>
      <w:r w:rsidR="00BE7756">
        <w:t xml:space="preserve">nited </w:t>
      </w:r>
      <w:r w:rsidRPr="00DE6F40">
        <w:t>N</w:t>
      </w:r>
      <w:r w:rsidR="00BE7756">
        <w:t>ations</w:t>
      </w:r>
      <w:r w:rsidRPr="00DE6F40">
        <w:t xml:space="preserve"> (</w:t>
      </w:r>
      <w:r w:rsidR="00BE7756">
        <w:t xml:space="preserve">the </w:t>
      </w:r>
      <w:r w:rsidR="00BE7756" w:rsidRPr="00BE7756">
        <w:t>United Nations Population Fund</w:t>
      </w:r>
      <w:r w:rsidRPr="00DE6F40">
        <w:t xml:space="preserve">, UN Women and UNICEF) designed </w:t>
      </w:r>
      <w:r w:rsidRPr="00370A2E">
        <w:rPr>
          <w:b/>
          <w:bCs/>
        </w:rPr>
        <w:t>a</w:t>
      </w:r>
      <w:r w:rsidR="00FA7682" w:rsidRPr="00370A2E">
        <w:rPr>
          <w:b/>
          <w:bCs/>
        </w:rPr>
        <w:t xml:space="preserve"> 12-month, </w:t>
      </w:r>
      <w:r w:rsidR="00F14566">
        <w:rPr>
          <w:b/>
          <w:bCs/>
        </w:rPr>
        <w:t>$</w:t>
      </w:r>
      <w:r w:rsidR="00FA7682" w:rsidRPr="00370A2E">
        <w:rPr>
          <w:b/>
          <w:bCs/>
        </w:rPr>
        <w:t xml:space="preserve">2.5 million </w:t>
      </w:r>
      <w:r w:rsidRPr="00370A2E">
        <w:rPr>
          <w:b/>
          <w:bCs/>
        </w:rPr>
        <w:t xml:space="preserve">emergency response </w:t>
      </w:r>
      <w:r w:rsidR="00FA7682" w:rsidRPr="00370A2E">
        <w:rPr>
          <w:b/>
          <w:bCs/>
        </w:rPr>
        <w:t xml:space="preserve">initiative </w:t>
      </w:r>
      <w:r w:rsidRPr="00370A2E">
        <w:rPr>
          <w:b/>
          <w:bCs/>
        </w:rPr>
        <w:t xml:space="preserve">to </w:t>
      </w:r>
      <w:r w:rsidR="00FA7682" w:rsidRPr="00370A2E">
        <w:rPr>
          <w:b/>
          <w:bCs/>
        </w:rPr>
        <w:t xml:space="preserve">address </w:t>
      </w:r>
      <w:r w:rsidRPr="00370A2E">
        <w:rPr>
          <w:b/>
          <w:bCs/>
        </w:rPr>
        <w:t xml:space="preserve">safety risks for women and children in quarantine </w:t>
      </w:r>
      <w:r w:rsidR="003149D4" w:rsidRPr="00370A2E">
        <w:rPr>
          <w:b/>
          <w:bCs/>
        </w:rPr>
        <w:t xml:space="preserve">or </w:t>
      </w:r>
      <w:r w:rsidR="00FA7682" w:rsidRPr="00370A2E">
        <w:rPr>
          <w:b/>
          <w:bCs/>
        </w:rPr>
        <w:t xml:space="preserve">living under </w:t>
      </w:r>
      <w:r w:rsidRPr="00370A2E">
        <w:rPr>
          <w:b/>
          <w:bCs/>
        </w:rPr>
        <w:t>shelter-in-place orders</w:t>
      </w:r>
      <w:r w:rsidRPr="00DE6F40">
        <w:t xml:space="preserve">. </w:t>
      </w:r>
      <w:r w:rsidR="003149D4" w:rsidRPr="00DE6F40">
        <w:t xml:space="preserve">This initiative </w:t>
      </w:r>
      <w:r w:rsidR="00A75D03" w:rsidRPr="00DE6F40">
        <w:t>supported</w:t>
      </w:r>
      <w:r w:rsidRPr="00DE6F40">
        <w:t xml:space="preserve"> innovative communication activities (online and offline) </w:t>
      </w:r>
      <w:r w:rsidR="00E60108">
        <w:t>in</w:t>
      </w:r>
      <w:r w:rsidR="004738DC">
        <w:t xml:space="preserve"> the reporting period, </w:t>
      </w:r>
      <w:r w:rsidRPr="00DE6F40">
        <w:t xml:space="preserve">to ensure that information about hotlines and support services reached women and children survivors of </w:t>
      </w:r>
      <w:r w:rsidR="00EB036B" w:rsidRPr="00DE6F40">
        <w:t>violence</w:t>
      </w:r>
      <w:r w:rsidRPr="00DE6F40">
        <w:t xml:space="preserve">. An estimated </w:t>
      </w:r>
      <w:r w:rsidRPr="00370A2E">
        <w:rPr>
          <w:b/>
          <w:bCs/>
        </w:rPr>
        <w:t>13,000 calls for consultations were received by hotlines</w:t>
      </w:r>
      <w:r w:rsidR="007F2757" w:rsidRPr="00370A2E">
        <w:rPr>
          <w:b/>
          <w:bCs/>
        </w:rPr>
        <w:t xml:space="preserve"> and</w:t>
      </w:r>
      <w:r w:rsidRPr="00370A2E">
        <w:rPr>
          <w:b/>
          <w:bCs/>
        </w:rPr>
        <w:t xml:space="preserve"> 832 survivors of </w:t>
      </w:r>
      <w:r w:rsidR="00EB036B" w:rsidRPr="00370A2E">
        <w:rPr>
          <w:b/>
          <w:bCs/>
        </w:rPr>
        <w:t xml:space="preserve">violence </w:t>
      </w:r>
      <w:r w:rsidRPr="00370A2E">
        <w:rPr>
          <w:b/>
          <w:bCs/>
        </w:rPr>
        <w:t>received support from trained staff</w:t>
      </w:r>
      <w:r w:rsidRPr="00DE6F40">
        <w:t xml:space="preserve">. The #BlueHeart Communications Campaign, </w:t>
      </w:r>
      <w:r w:rsidR="00E9040A" w:rsidRPr="00DE6F40">
        <w:t>targeting</w:t>
      </w:r>
      <w:r w:rsidRPr="00DE6F40">
        <w:t xml:space="preserve"> a younger audience, </w:t>
      </w:r>
      <w:r w:rsidR="00E9040A" w:rsidRPr="00DE6F40">
        <w:t xml:space="preserve">reached </w:t>
      </w:r>
      <w:r w:rsidRPr="00DE6F40">
        <w:t xml:space="preserve">more than 100 million </w:t>
      </w:r>
      <w:r w:rsidR="00E9040A" w:rsidRPr="00DE6F40">
        <w:t>views across more than</w:t>
      </w:r>
      <w:r w:rsidRPr="00DE6F40">
        <w:t xml:space="preserve"> 40 Facebook posts, </w:t>
      </w:r>
      <w:r w:rsidR="00E9040A" w:rsidRPr="00DE6F40">
        <w:t xml:space="preserve">with </w:t>
      </w:r>
      <w:r w:rsidRPr="00DE6F40">
        <w:t xml:space="preserve">more </w:t>
      </w:r>
      <w:r w:rsidR="00EB036B" w:rsidRPr="00DE6F40">
        <w:t xml:space="preserve">than </w:t>
      </w:r>
      <w:r w:rsidRPr="00DE6F40">
        <w:t>16 million views of 10 videos about services and staying safe.</w:t>
      </w:r>
      <w:r w:rsidR="00E9040A" w:rsidRPr="00DE6F40">
        <w:t xml:space="preserve"> </w:t>
      </w:r>
      <w:r w:rsidR="007F2757" w:rsidRPr="00DE6F40">
        <w:t>Over 150,000 communications</w:t>
      </w:r>
      <w:r w:rsidRPr="00DE6F40">
        <w:t xml:space="preserve"> materials were distributed, </w:t>
      </w:r>
      <w:r w:rsidR="00E9040A" w:rsidRPr="00DE6F40">
        <w:t>including</w:t>
      </w:r>
      <w:r w:rsidRPr="00DE6F40">
        <w:t xml:space="preserve"> up to 10,700 leaflets on gender-based violence in 100 mini</w:t>
      </w:r>
      <w:r w:rsidR="00E9040A" w:rsidRPr="00DE6F40">
        <w:t>-</w:t>
      </w:r>
      <w:r w:rsidRPr="00DE6F40">
        <w:t>mart</w:t>
      </w:r>
      <w:r w:rsidR="00E9040A" w:rsidRPr="00DE6F40">
        <w:t>s</w:t>
      </w:r>
      <w:r w:rsidRPr="00DE6F40">
        <w:t xml:space="preserve"> and pharmacies (the first points </w:t>
      </w:r>
      <w:r w:rsidRPr="00DE6F40">
        <w:lastRenderedPageBreak/>
        <w:t>of contact in a lockdown situation)</w:t>
      </w:r>
      <w:r w:rsidR="004B7A2F" w:rsidRPr="00DE6F40">
        <w:t xml:space="preserve"> as well as </w:t>
      </w:r>
      <w:r w:rsidR="00C000A2" w:rsidRPr="00DE6F40">
        <w:t xml:space="preserve">material </w:t>
      </w:r>
      <w:r w:rsidRPr="00DE6F40">
        <w:t>on guidelines for the safety of women and children in quarantine centres</w:t>
      </w:r>
      <w:r w:rsidR="004B7A2F" w:rsidRPr="00DE6F40">
        <w:t xml:space="preserve">, and </w:t>
      </w:r>
      <w:r w:rsidRPr="00DE6F40">
        <w:t>mental health and psychosocial support for children and adolescents.</w:t>
      </w:r>
      <w:r w:rsidR="00E9040A" w:rsidRPr="00DE6F40">
        <w:t xml:space="preserve"> </w:t>
      </w:r>
      <w:r w:rsidR="00E9040A" w:rsidRPr="00370A2E">
        <w:t>T</w:t>
      </w:r>
      <w:r w:rsidRPr="00370A2E">
        <w:t>raining activities for services providers</w:t>
      </w:r>
      <w:r w:rsidR="00E9040A" w:rsidRPr="00370A2E">
        <w:t xml:space="preserve"> </w:t>
      </w:r>
      <w:r w:rsidR="0022520C" w:rsidRPr="00370A2E">
        <w:t xml:space="preserve">improved the capability of </w:t>
      </w:r>
      <w:r w:rsidRPr="00370A2E">
        <w:t>1,559 social workers,</w:t>
      </w:r>
      <w:r w:rsidRPr="00DE6F40">
        <w:t xml:space="preserve"> National Child Protection helpline staff and key officers </w:t>
      </w:r>
      <w:r w:rsidR="0022520C" w:rsidRPr="00DE6F40">
        <w:t xml:space="preserve">in </w:t>
      </w:r>
      <w:r w:rsidRPr="00DE6F40">
        <w:t xml:space="preserve">social welfare, health and education sectors. </w:t>
      </w:r>
    </w:p>
    <w:p w14:paraId="0638B10A" w14:textId="7243B215" w:rsidR="000074CD" w:rsidRPr="00DE6F40" w:rsidRDefault="005E318F" w:rsidP="00DE6F40">
      <w:pPr>
        <w:widowControl w:val="0"/>
        <w:spacing w:before="60" w:after="120" w:line="260" w:lineRule="exact"/>
      </w:pPr>
      <w:r w:rsidRPr="00DE6F40">
        <w:t xml:space="preserve">Displacements </w:t>
      </w:r>
      <w:r w:rsidR="00CA6FB7" w:rsidRPr="00DE6F40">
        <w:t>are disruptive, and can</w:t>
      </w:r>
      <w:r w:rsidRPr="00DE6F40">
        <w:t xml:space="preserve"> lead to a loss of possessions</w:t>
      </w:r>
      <w:r w:rsidR="008C1D2D" w:rsidRPr="00DE6F40">
        <w:t xml:space="preserve">, </w:t>
      </w:r>
      <w:r w:rsidR="00CA6FB7" w:rsidRPr="00DE6F40">
        <w:t xml:space="preserve">with </w:t>
      </w:r>
      <w:r w:rsidR="008C1D2D" w:rsidRPr="00DE6F40">
        <w:t>certain groups hav</w:t>
      </w:r>
      <w:r w:rsidR="00CA6FB7" w:rsidRPr="00DE6F40">
        <w:t>ing</w:t>
      </w:r>
      <w:r w:rsidR="008C1D2D" w:rsidRPr="00DE6F40">
        <w:t xml:space="preserve"> </w:t>
      </w:r>
      <w:r w:rsidRPr="00DE6F40">
        <w:t xml:space="preserve">specific needs. </w:t>
      </w:r>
      <w:r w:rsidR="006E6F49" w:rsidRPr="00DE6F40">
        <w:t>In response to the pandemic,</w:t>
      </w:r>
      <w:r w:rsidR="006E6F49" w:rsidRPr="00370A2E">
        <w:rPr>
          <w:b/>
          <w:bCs/>
        </w:rPr>
        <w:t xml:space="preserve"> 6,644 dignity kits were provided to women in quarantine camps</w:t>
      </w:r>
      <w:r w:rsidRPr="00370A2E">
        <w:rPr>
          <w:b/>
          <w:bCs/>
        </w:rPr>
        <w:t xml:space="preserve"> </w:t>
      </w:r>
      <w:r w:rsidR="006E6F49" w:rsidRPr="00370A2E">
        <w:rPr>
          <w:b/>
          <w:bCs/>
        </w:rPr>
        <w:t>and lockdown areas</w:t>
      </w:r>
      <w:r w:rsidR="00FC6AB7">
        <w:rPr>
          <w:b/>
          <w:bCs/>
        </w:rPr>
        <w:t xml:space="preserve"> </w:t>
      </w:r>
      <w:r w:rsidR="00E60108">
        <w:rPr>
          <w:b/>
          <w:bCs/>
        </w:rPr>
        <w:t>in</w:t>
      </w:r>
      <w:r w:rsidR="00FC6AB7">
        <w:rPr>
          <w:b/>
          <w:bCs/>
        </w:rPr>
        <w:t xml:space="preserve"> the reporting period</w:t>
      </w:r>
      <w:r w:rsidR="006E6F49" w:rsidRPr="00DE6F40">
        <w:t>. Over 500 vulnerable children</w:t>
      </w:r>
      <w:r w:rsidR="001E438B" w:rsidRPr="00DE6F40">
        <w:t xml:space="preserve">, </w:t>
      </w:r>
      <w:r w:rsidRPr="00DE6F40">
        <w:t xml:space="preserve">including </w:t>
      </w:r>
      <w:r w:rsidR="00F14566">
        <w:t>those</w:t>
      </w:r>
      <w:r w:rsidR="001E438B" w:rsidRPr="00DE6F40">
        <w:t xml:space="preserve"> </w:t>
      </w:r>
      <w:r w:rsidRPr="00DE6F40">
        <w:t>with disabilities</w:t>
      </w:r>
      <w:r w:rsidR="001E438B" w:rsidRPr="00DE6F40">
        <w:t>,</w:t>
      </w:r>
      <w:r w:rsidRPr="00DE6F40">
        <w:t xml:space="preserve"> were</w:t>
      </w:r>
      <w:r w:rsidR="00985DDC" w:rsidRPr="00DE6F40">
        <w:t xml:space="preserve"> </w:t>
      </w:r>
      <w:r w:rsidR="006E6F49" w:rsidRPr="00DE6F40">
        <w:t>support</w:t>
      </w:r>
      <w:r w:rsidRPr="00DE6F40">
        <w:t>ed</w:t>
      </w:r>
      <w:r w:rsidR="006E6F49" w:rsidRPr="00DE6F40">
        <w:t>.</w:t>
      </w:r>
    </w:p>
    <w:p w14:paraId="0B17EEFD" w14:textId="14154948" w:rsidR="008C1F60" w:rsidRPr="00216C55" w:rsidRDefault="00297FD1" w:rsidP="001248B8">
      <w:pPr>
        <w:pStyle w:val="Heading3"/>
      </w:pPr>
      <w:r w:rsidRPr="00216C55">
        <w:t xml:space="preserve">Economic </w:t>
      </w:r>
      <w:r w:rsidR="00DE6F40">
        <w:t>R</w:t>
      </w:r>
      <w:r w:rsidRPr="00216C55">
        <w:t>ecovery</w:t>
      </w:r>
    </w:p>
    <w:p w14:paraId="295A2EC1" w14:textId="725AF86A" w:rsidR="002B68DA" w:rsidRPr="00DE6F40" w:rsidRDefault="000765BA" w:rsidP="00DE6F40">
      <w:pPr>
        <w:widowControl w:val="0"/>
        <w:spacing w:before="60" w:after="120" w:line="260" w:lineRule="exact"/>
      </w:pPr>
      <w:r w:rsidRPr="00DE6F40">
        <w:t xml:space="preserve">In the COVID-19 context, strong economic ties will be </w:t>
      </w:r>
      <w:r w:rsidR="007F2757" w:rsidRPr="00DE6F40">
        <w:t xml:space="preserve">critical </w:t>
      </w:r>
      <w:r w:rsidRPr="00DE6F40">
        <w:t xml:space="preserve">to a shared recovery for both Australia and Vietnam. </w:t>
      </w:r>
      <w:r w:rsidR="007C2D06" w:rsidRPr="00DE6F40">
        <w:t>The</w:t>
      </w:r>
      <w:r w:rsidR="002B68DA" w:rsidRPr="00DE6F40">
        <w:t xml:space="preserve"> sophistication of the bilateral relationship is reflected in the interconnectedness of priorities across </w:t>
      </w:r>
      <w:r w:rsidR="007C2D06" w:rsidRPr="00DE6F40">
        <w:t xml:space="preserve">the </w:t>
      </w:r>
      <w:r w:rsidR="002B68DA" w:rsidRPr="00DE6F40">
        <w:t xml:space="preserve">development, diplomatic, trade and commercial and people to people </w:t>
      </w:r>
      <w:r w:rsidR="007C2D06" w:rsidRPr="00DE6F40">
        <w:t>agenda</w:t>
      </w:r>
      <w:r w:rsidR="00C000A2" w:rsidRPr="00DE6F40">
        <w:t>s of a range of Australian Government agencies</w:t>
      </w:r>
      <w:r w:rsidR="002B68DA" w:rsidRPr="00DE6F40">
        <w:t xml:space="preserve">. </w:t>
      </w:r>
    </w:p>
    <w:p w14:paraId="0CA1DD4D" w14:textId="28DDD836" w:rsidR="007142AE" w:rsidRPr="00DE6F40" w:rsidRDefault="0043031B" w:rsidP="00DE6F40">
      <w:pPr>
        <w:widowControl w:val="0"/>
        <w:spacing w:before="60" w:after="120" w:line="260" w:lineRule="exact"/>
      </w:pPr>
      <w:r w:rsidRPr="00DE6F40">
        <w:t>Under</w:t>
      </w:r>
      <w:r w:rsidR="00AD31D4" w:rsidRPr="00DE6F40">
        <w:t xml:space="preserve"> </w:t>
      </w:r>
      <w:r w:rsidR="00356BF2" w:rsidRPr="00DE6F40">
        <w:t xml:space="preserve">the </w:t>
      </w:r>
      <w:r w:rsidR="00AD31D4" w:rsidRPr="0005518F">
        <w:t>Aus4Equality</w:t>
      </w:r>
      <w:r w:rsidR="00356BF2" w:rsidRPr="0005518F">
        <w:t xml:space="preserve"> program</w:t>
      </w:r>
      <w:r w:rsidR="00AD31D4" w:rsidRPr="00DE6F40">
        <w:t xml:space="preserve">, </w:t>
      </w:r>
      <w:r w:rsidRPr="00DE6F40">
        <w:t xml:space="preserve">Australia </w:t>
      </w:r>
      <w:r w:rsidR="00356BF2" w:rsidRPr="00DE6F40">
        <w:t>supported the</w:t>
      </w:r>
      <w:r w:rsidR="00BF6074" w:rsidRPr="00DE6F40">
        <w:t xml:space="preserve"> </w:t>
      </w:r>
      <w:r w:rsidR="00AD31D4" w:rsidRPr="00DE6F40">
        <w:t xml:space="preserve">economic empowerment of women in </w:t>
      </w:r>
      <w:r w:rsidR="00291006">
        <w:t>N</w:t>
      </w:r>
      <w:r w:rsidR="00AD31D4" w:rsidRPr="00DE6F40">
        <w:t>orthwest Vietnam, with</w:t>
      </w:r>
      <w:r w:rsidRPr="00DE6F40">
        <w:t xml:space="preserve"> a</w:t>
      </w:r>
      <w:r w:rsidR="00AD31D4" w:rsidRPr="00DE6F40">
        <w:t xml:space="preserve"> focus on ethnic minority communities. </w:t>
      </w:r>
      <w:r w:rsidR="00356BF2" w:rsidRPr="00DE6F40">
        <w:t>This included</w:t>
      </w:r>
      <w:r w:rsidR="00AD31D4" w:rsidRPr="00DE6F40">
        <w:t xml:space="preserve"> facilitat</w:t>
      </w:r>
      <w:r w:rsidR="00356BF2" w:rsidRPr="00DE6F40">
        <w:t>ing</w:t>
      </w:r>
      <w:r w:rsidR="00AD31D4" w:rsidRPr="00DE6F40">
        <w:t xml:space="preserve"> women’s participation in agricultural value chains and tourism market</w:t>
      </w:r>
      <w:r w:rsidR="00BF6074" w:rsidRPr="00DE6F40">
        <w:t>s</w:t>
      </w:r>
      <w:r w:rsidR="00AD31D4" w:rsidRPr="00DE6F40">
        <w:t>, improv</w:t>
      </w:r>
      <w:r w:rsidR="00356BF2" w:rsidRPr="00DE6F40">
        <w:t>ing</w:t>
      </w:r>
      <w:r w:rsidR="00AD31D4" w:rsidRPr="00DE6F40">
        <w:t xml:space="preserve"> access to finance, and provid</w:t>
      </w:r>
      <w:r w:rsidR="00356BF2" w:rsidRPr="00DE6F40">
        <w:t>ing</w:t>
      </w:r>
      <w:r w:rsidR="00AD31D4" w:rsidRPr="00DE6F40">
        <w:t xml:space="preserve"> technical knowledge and skills</w:t>
      </w:r>
      <w:r w:rsidR="00F14566">
        <w:t xml:space="preserve">. </w:t>
      </w:r>
      <w:r w:rsidR="00BF6074" w:rsidRPr="00DE6F40">
        <w:t>Around</w:t>
      </w:r>
      <w:r w:rsidR="00AD31D4" w:rsidRPr="00DE6F40">
        <w:t xml:space="preserve"> </w:t>
      </w:r>
      <w:r w:rsidR="00ED70D6">
        <w:br/>
      </w:r>
      <w:r w:rsidR="00AD31D4" w:rsidRPr="00370A2E">
        <w:rPr>
          <w:b/>
          <w:bCs/>
        </w:rPr>
        <w:t>82</w:t>
      </w:r>
      <w:r w:rsidR="000E563F" w:rsidRPr="00370A2E">
        <w:rPr>
          <w:b/>
          <w:bCs/>
        </w:rPr>
        <w:t xml:space="preserve"> per cent</w:t>
      </w:r>
      <w:r w:rsidR="00AD31D4" w:rsidRPr="00370A2E">
        <w:rPr>
          <w:b/>
          <w:bCs/>
        </w:rPr>
        <w:t xml:space="preserve"> of women beneficiaries</w:t>
      </w:r>
      <w:r w:rsidRPr="00370A2E">
        <w:rPr>
          <w:b/>
          <w:bCs/>
        </w:rPr>
        <w:t xml:space="preserve"> </w:t>
      </w:r>
      <w:r w:rsidR="00AD31D4" w:rsidRPr="00370A2E">
        <w:rPr>
          <w:b/>
          <w:bCs/>
        </w:rPr>
        <w:t>reported increased confidence in farming techniques and tourism</w:t>
      </w:r>
      <w:r w:rsidRPr="00370A2E">
        <w:rPr>
          <w:b/>
          <w:bCs/>
        </w:rPr>
        <w:t xml:space="preserve"> </w:t>
      </w:r>
      <w:r w:rsidR="00AD31D4" w:rsidRPr="00370A2E">
        <w:rPr>
          <w:b/>
          <w:bCs/>
        </w:rPr>
        <w:t>services</w:t>
      </w:r>
      <w:r w:rsidR="004B7A2F" w:rsidRPr="00DE6F40">
        <w:t>, and</w:t>
      </w:r>
      <w:r w:rsidR="00BF6074" w:rsidRPr="00DE6F40">
        <w:t xml:space="preserve"> a</w:t>
      </w:r>
      <w:r w:rsidR="00AD31D4" w:rsidRPr="00DE6F40">
        <w:t xml:space="preserve"> total of </w:t>
      </w:r>
      <w:r w:rsidR="00AD31D4" w:rsidRPr="00370A2E">
        <w:rPr>
          <w:b/>
          <w:bCs/>
        </w:rPr>
        <w:t xml:space="preserve">9,666 households </w:t>
      </w:r>
      <w:r w:rsidR="00BF6074" w:rsidRPr="00370A2E">
        <w:rPr>
          <w:b/>
          <w:bCs/>
        </w:rPr>
        <w:t>reported</w:t>
      </w:r>
      <w:r w:rsidR="00AD31D4" w:rsidRPr="00370A2E">
        <w:rPr>
          <w:b/>
          <w:bCs/>
        </w:rPr>
        <w:t xml:space="preserve"> increased income</w:t>
      </w:r>
      <w:r w:rsidRPr="00370A2E">
        <w:rPr>
          <w:b/>
          <w:bCs/>
        </w:rPr>
        <w:t>s</w:t>
      </w:r>
      <w:r w:rsidR="00AD31D4" w:rsidRPr="00DE6F40">
        <w:t xml:space="preserve">. </w:t>
      </w:r>
      <w:r w:rsidR="004B7A2F" w:rsidRPr="00DE6F40">
        <w:t>A</w:t>
      </w:r>
      <w:r w:rsidRPr="00DE6F40">
        <w:t xml:space="preserve"> further </w:t>
      </w:r>
      <w:r w:rsidR="00AD31D4" w:rsidRPr="00D742B7">
        <w:t>US</w:t>
      </w:r>
      <w:r w:rsidR="0005518F" w:rsidRPr="00D742B7">
        <w:t>D</w:t>
      </w:r>
      <w:r w:rsidR="00AD31D4" w:rsidRPr="00D742B7">
        <w:t>2.</w:t>
      </w:r>
      <w:r w:rsidR="00AD31D4" w:rsidRPr="00DE6F40">
        <w:t xml:space="preserve">07 million </w:t>
      </w:r>
      <w:r w:rsidR="004B7A2F" w:rsidRPr="00DE6F40">
        <w:t xml:space="preserve">was also leveraged </w:t>
      </w:r>
      <w:r w:rsidR="00AD31D4" w:rsidRPr="00DE6F40">
        <w:t>from the private sector.</w:t>
      </w:r>
    </w:p>
    <w:p w14:paraId="0E2B87FB" w14:textId="7EC4B355" w:rsidR="006B0AAE" w:rsidRPr="00DE6F40" w:rsidRDefault="0043031B" w:rsidP="00DE6F40">
      <w:pPr>
        <w:widowControl w:val="0"/>
        <w:spacing w:before="60" w:after="120" w:line="260" w:lineRule="exact"/>
      </w:pPr>
      <w:r w:rsidRPr="00DE6F40">
        <w:t xml:space="preserve">The </w:t>
      </w:r>
      <w:r w:rsidR="007142AE" w:rsidRPr="00DE6F40">
        <w:t xml:space="preserve">Investing in Women </w:t>
      </w:r>
      <w:r w:rsidRPr="00DE6F40">
        <w:t xml:space="preserve">program </w:t>
      </w:r>
      <w:r w:rsidR="007142AE" w:rsidRPr="00DE6F40">
        <w:t>supported</w:t>
      </w:r>
      <w:r w:rsidRPr="00DE6F40">
        <w:t xml:space="preserve"> </w:t>
      </w:r>
      <w:r w:rsidR="007142AE" w:rsidRPr="00DE6F40">
        <w:t>partners</w:t>
      </w:r>
      <w:r w:rsidR="00F35145" w:rsidRPr="00DE6F40">
        <w:t xml:space="preserve"> to</w:t>
      </w:r>
      <w:r w:rsidR="007142AE" w:rsidRPr="00DE6F40">
        <w:t xml:space="preserve"> adapt to the changing</w:t>
      </w:r>
      <w:r w:rsidR="00C43038" w:rsidRPr="00DE6F40">
        <w:t xml:space="preserve"> COVID-19</w:t>
      </w:r>
      <w:r w:rsidR="007142AE" w:rsidRPr="00DE6F40">
        <w:t xml:space="preserve"> circumstances</w:t>
      </w:r>
      <w:r w:rsidR="00641A60" w:rsidRPr="00DE6F40">
        <w:t xml:space="preserve">. </w:t>
      </w:r>
      <w:r w:rsidRPr="00DE6F40">
        <w:t xml:space="preserve">Despite the impact of </w:t>
      </w:r>
      <w:r w:rsidR="00C43038" w:rsidRPr="00DE6F40">
        <w:t>the pandemic on many businesses</w:t>
      </w:r>
      <w:r w:rsidR="00641A60" w:rsidRPr="00DE6F40">
        <w:t>, the Vietnam Business Coalition</w:t>
      </w:r>
      <w:r w:rsidR="007142AE" w:rsidRPr="00DE6F40">
        <w:t xml:space="preserve"> recruit</w:t>
      </w:r>
      <w:r w:rsidRPr="00DE6F40">
        <w:t xml:space="preserve">ed </w:t>
      </w:r>
      <w:r w:rsidR="000E563F" w:rsidRPr="00DE6F40">
        <w:t>three</w:t>
      </w:r>
      <w:r w:rsidR="007142AE" w:rsidRPr="00DE6F40">
        <w:t xml:space="preserve"> new </w:t>
      </w:r>
      <w:r w:rsidR="00641A60" w:rsidRPr="00DE6F40">
        <w:t>client</w:t>
      </w:r>
      <w:r w:rsidR="007142AE" w:rsidRPr="00DE6F40">
        <w:t xml:space="preserve">s, </w:t>
      </w:r>
      <w:r w:rsidR="00641A60" w:rsidRPr="00DE6F40">
        <w:t xml:space="preserve">and </w:t>
      </w:r>
      <w:r w:rsidR="00985DDC" w:rsidRPr="00DE6F40">
        <w:t>continue</w:t>
      </w:r>
      <w:r w:rsidR="00382DB5" w:rsidRPr="00DE6F40">
        <w:t>d</w:t>
      </w:r>
      <w:r w:rsidR="00985DDC" w:rsidRPr="00DE6F40">
        <w:t xml:space="preserve"> </w:t>
      </w:r>
      <w:r w:rsidR="00291006">
        <w:t>with</w:t>
      </w:r>
      <w:r w:rsidR="00985DDC" w:rsidRPr="00DE6F40">
        <w:t xml:space="preserve"> gender equality certifications for businesses</w:t>
      </w:r>
      <w:r w:rsidR="007142AE" w:rsidRPr="00DE6F40">
        <w:t>.</w:t>
      </w:r>
      <w:r w:rsidR="00641A60" w:rsidRPr="00DE6F40">
        <w:t xml:space="preserve"> </w:t>
      </w:r>
      <w:r w:rsidR="00985DDC" w:rsidRPr="00DE6F40">
        <w:t>T</w:t>
      </w:r>
      <w:r w:rsidR="00641A60" w:rsidRPr="00DE6F40">
        <w:t xml:space="preserve">here was an increase in </w:t>
      </w:r>
      <w:r w:rsidR="007142AE" w:rsidRPr="00DE6F40">
        <w:t xml:space="preserve">investor funding </w:t>
      </w:r>
      <w:r w:rsidRPr="00DE6F40">
        <w:t xml:space="preserve">in </w:t>
      </w:r>
      <w:r w:rsidR="007142AE" w:rsidRPr="00DE6F40">
        <w:t xml:space="preserve">education, training and fintech platforms. </w:t>
      </w:r>
      <w:r w:rsidRPr="00370A2E">
        <w:rPr>
          <w:b/>
          <w:bCs/>
        </w:rPr>
        <w:t>A</w:t>
      </w:r>
      <w:r w:rsidR="007142AE" w:rsidRPr="00370A2E">
        <w:rPr>
          <w:b/>
          <w:bCs/>
        </w:rPr>
        <w:t xml:space="preserve"> 22</w:t>
      </w:r>
      <w:r w:rsidR="000E563F" w:rsidRPr="00370A2E">
        <w:rPr>
          <w:b/>
          <w:bCs/>
        </w:rPr>
        <w:t xml:space="preserve"> per cent</w:t>
      </w:r>
      <w:r w:rsidR="007142AE" w:rsidRPr="00370A2E">
        <w:rPr>
          <w:b/>
          <w:bCs/>
        </w:rPr>
        <w:t xml:space="preserve"> increase </w:t>
      </w:r>
      <w:r w:rsidRPr="00370A2E">
        <w:rPr>
          <w:b/>
          <w:bCs/>
        </w:rPr>
        <w:t xml:space="preserve">was reported </w:t>
      </w:r>
      <w:r w:rsidR="007142AE" w:rsidRPr="00370A2E">
        <w:rPr>
          <w:b/>
          <w:bCs/>
        </w:rPr>
        <w:t>in jobs created through W</w:t>
      </w:r>
      <w:r w:rsidRPr="00370A2E">
        <w:rPr>
          <w:b/>
          <w:bCs/>
        </w:rPr>
        <w:t>omen-</w:t>
      </w:r>
      <w:r w:rsidR="007142AE" w:rsidRPr="00370A2E">
        <w:rPr>
          <w:b/>
          <w:bCs/>
        </w:rPr>
        <w:t>S</w:t>
      </w:r>
      <w:r w:rsidR="00382DB5" w:rsidRPr="00370A2E">
        <w:rPr>
          <w:b/>
          <w:bCs/>
        </w:rPr>
        <w:t xml:space="preserve">mall to </w:t>
      </w:r>
      <w:r w:rsidR="007142AE" w:rsidRPr="00370A2E">
        <w:rPr>
          <w:b/>
          <w:bCs/>
        </w:rPr>
        <w:t>M</w:t>
      </w:r>
      <w:r w:rsidR="00382DB5" w:rsidRPr="00370A2E">
        <w:rPr>
          <w:b/>
          <w:bCs/>
        </w:rPr>
        <w:t xml:space="preserve">edium </w:t>
      </w:r>
      <w:r w:rsidR="007142AE" w:rsidRPr="00370A2E">
        <w:rPr>
          <w:b/>
          <w:bCs/>
        </w:rPr>
        <w:t>E</w:t>
      </w:r>
      <w:r w:rsidR="00382DB5" w:rsidRPr="00370A2E">
        <w:rPr>
          <w:b/>
          <w:bCs/>
        </w:rPr>
        <w:t>nterprise</w:t>
      </w:r>
      <w:r w:rsidR="007142AE" w:rsidRPr="00370A2E">
        <w:rPr>
          <w:b/>
          <w:bCs/>
        </w:rPr>
        <w:t>s</w:t>
      </w:r>
      <w:r w:rsidR="00724B5D" w:rsidRPr="00DE6F40">
        <w:t xml:space="preserve">, with work </w:t>
      </w:r>
      <w:r w:rsidR="000765BA" w:rsidRPr="00DE6F40">
        <w:t>undertaken to</w:t>
      </w:r>
      <w:r w:rsidR="00724B5D" w:rsidRPr="00DE6F40">
        <w:t xml:space="preserve"> restr</w:t>
      </w:r>
      <w:r w:rsidR="000074CD" w:rsidRPr="00DE6F40">
        <w:t>uctur</w:t>
      </w:r>
      <w:r w:rsidR="000765BA" w:rsidRPr="00DE6F40">
        <w:t>e</w:t>
      </w:r>
      <w:r w:rsidR="00724B5D" w:rsidRPr="00DE6F40">
        <w:t xml:space="preserve"> capital </w:t>
      </w:r>
      <w:r w:rsidR="000765BA" w:rsidRPr="00DE6F40">
        <w:t xml:space="preserve">and </w:t>
      </w:r>
      <w:r w:rsidR="00724B5D" w:rsidRPr="00DE6F40">
        <w:t>build a pipeline of investment-ready projects</w:t>
      </w:r>
      <w:r w:rsidR="007142AE" w:rsidRPr="00DE6F40">
        <w:t xml:space="preserve">. </w:t>
      </w:r>
    </w:p>
    <w:p w14:paraId="3E9D0442" w14:textId="612D4FCA" w:rsidR="000074CD" w:rsidRPr="00DE6F40" w:rsidRDefault="000E563F" w:rsidP="00DE6F40">
      <w:pPr>
        <w:widowControl w:val="0"/>
        <w:spacing w:before="60" w:after="120" w:line="260" w:lineRule="exact"/>
      </w:pPr>
      <w:r w:rsidRPr="00DE6F40">
        <w:t xml:space="preserve">The </w:t>
      </w:r>
      <w:r w:rsidR="006B0AAE" w:rsidRPr="00DE6F40">
        <w:t xml:space="preserve">Aus4Skills </w:t>
      </w:r>
      <w:r w:rsidRPr="00DE6F40">
        <w:t xml:space="preserve">program </w:t>
      </w:r>
      <w:r w:rsidR="006B0AAE" w:rsidRPr="00DE6F40">
        <w:t>promote</w:t>
      </w:r>
      <w:r w:rsidR="000074CD" w:rsidRPr="00DE6F40">
        <w:t>d</w:t>
      </w:r>
      <w:r w:rsidR="006B0AAE" w:rsidRPr="00DE6F40">
        <w:t xml:space="preserve"> industry engagement to provide inclusive training practices to logistics students, including people with disabilities. Enrolments of logistics stude</w:t>
      </w:r>
      <w:r w:rsidR="004B7A2F" w:rsidRPr="00DE6F40">
        <w:t xml:space="preserve">nts </w:t>
      </w:r>
      <w:r w:rsidR="006B0AAE" w:rsidRPr="00DE6F40">
        <w:t xml:space="preserve">in partner colleges supported by Aus4Skills increased </w:t>
      </w:r>
      <w:r w:rsidRPr="00DE6F40">
        <w:t>eight</w:t>
      </w:r>
      <w:r w:rsidR="006B0AAE" w:rsidRPr="00DE6F40">
        <w:t xml:space="preserve">-fold from 187 (including 25 </w:t>
      </w:r>
      <w:r w:rsidR="00724B5D" w:rsidRPr="00DE6F40">
        <w:t>women</w:t>
      </w:r>
      <w:r w:rsidR="006B0AAE" w:rsidRPr="00DE6F40">
        <w:t xml:space="preserve">) in 2017 to 1,440 (including 517 </w:t>
      </w:r>
      <w:r w:rsidR="00724B5D" w:rsidRPr="00DE6F40">
        <w:t>women</w:t>
      </w:r>
      <w:r w:rsidR="006B0AAE" w:rsidRPr="00DE6F40">
        <w:t>) in 2021</w:t>
      </w:r>
      <w:r w:rsidR="004B7A2F" w:rsidRPr="00DE6F40">
        <w:t>, a</w:t>
      </w:r>
      <w:r w:rsidR="006B0AAE" w:rsidRPr="00DE6F40">
        <w:t>ccount</w:t>
      </w:r>
      <w:r w:rsidR="004B7A2F" w:rsidRPr="00DE6F40">
        <w:t>ing</w:t>
      </w:r>
      <w:r w:rsidR="006B0AAE" w:rsidRPr="00DE6F40">
        <w:t xml:space="preserve"> for 40 per cent of all newly enrolled logistics students in Ho Chi Minh City – a leading logistics training hub. </w:t>
      </w:r>
    </w:p>
    <w:p w14:paraId="0B933E07" w14:textId="56CFBA5A" w:rsidR="00D7766C" w:rsidRPr="00DE6F40" w:rsidRDefault="00A04CF6" w:rsidP="00DE6F40">
      <w:pPr>
        <w:widowControl w:val="0"/>
        <w:spacing w:before="60" w:after="120" w:line="260" w:lineRule="exact"/>
      </w:pPr>
      <w:r w:rsidRPr="00DE6F40">
        <w:t>Through our partnership with the World Bank</w:t>
      </w:r>
      <w:r w:rsidRPr="00370A2E">
        <w:t>, t</w:t>
      </w:r>
      <w:r w:rsidR="004F2D9E" w:rsidRPr="00370A2E">
        <w:t>wo analytical products on women's economic empowerment were completed</w:t>
      </w:r>
      <w:r w:rsidR="00B44148" w:rsidRPr="00370A2E">
        <w:t xml:space="preserve"> -</w:t>
      </w:r>
      <w:r w:rsidRPr="00370A2E">
        <w:t xml:space="preserve"> on joint land titling</w:t>
      </w:r>
      <w:r w:rsidR="00C43038" w:rsidRPr="00370A2E">
        <w:t xml:space="preserve"> and </w:t>
      </w:r>
      <w:r w:rsidRPr="00370A2E">
        <w:t>perceptions of gender</w:t>
      </w:r>
      <w:r w:rsidRPr="00DE6F40">
        <w:t xml:space="preserve"> disparities in Vietnam’s labour market. The World Bank also provided advice on employer obligations and standard</w:t>
      </w:r>
      <w:r w:rsidR="00724B5D" w:rsidRPr="00DE6F40">
        <w:t xml:space="preserve">s </w:t>
      </w:r>
      <w:r w:rsidRPr="00DE6F40">
        <w:t xml:space="preserve">around childcare services, including in industrial zones, as part of revising the Labour Code. </w:t>
      </w:r>
      <w:r w:rsidR="000E563F" w:rsidRPr="00DE6F40">
        <w:t>Australia is</w:t>
      </w:r>
      <w:r w:rsidRPr="00DE6F40">
        <w:t xml:space="preserve"> also supporting </w:t>
      </w:r>
      <w:r w:rsidRPr="00370A2E">
        <w:rPr>
          <w:b/>
          <w:bCs/>
        </w:rPr>
        <w:t>a gender assessment of the Social Insurance Law to further close the gender gap in the pension age</w:t>
      </w:r>
      <w:r w:rsidR="00B44148" w:rsidRPr="00370A2E">
        <w:rPr>
          <w:b/>
          <w:bCs/>
        </w:rPr>
        <w:t xml:space="preserve"> and </w:t>
      </w:r>
      <w:r w:rsidR="00F15D59" w:rsidRPr="00370A2E">
        <w:rPr>
          <w:b/>
          <w:bCs/>
        </w:rPr>
        <w:t>improve social protection policies</w:t>
      </w:r>
      <w:r w:rsidR="00F15D59" w:rsidRPr="00DE6F40">
        <w:t xml:space="preserve">. </w:t>
      </w:r>
      <w:r w:rsidR="002B68DA" w:rsidRPr="00DE6F40">
        <w:t xml:space="preserve">As a result, </w:t>
      </w:r>
      <w:r w:rsidR="002B68DA" w:rsidRPr="00370A2E">
        <w:rPr>
          <w:b/>
          <w:bCs/>
        </w:rPr>
        <w:t>m</w:t>
      </w:r>
      <w:r w:rsidR="00F15D59" w:rsidRPr="00370A2E">
        <w:rPr>
          <w:b/>
          <w:bCs/>
        </w:rPr>
        <w:t xml:space="preserve">ore than 3.13 million beneficiaries will receive increased social assistance monthly benefits </w:t>
      </w:r>
      <w:r w:rsidR="00F15D59" w:rsidRPr="00DE6F40">
        <w:t>(about 33</w:t>
      </w:r>
      <w:r w:rsidR="000E563F" w:rsidRPr="00DE6F40">
        <w:t xml:space="preserve"> per cent</w:t>
      </w:r>
      <w:r w:rsidR="00F15D59" w:rsidRPr="00DE6F40">
        <w:t xml:space="preserve"> up from the current amount). </w:t>
      </w:r>
      <w:r w:rsidR="00C000A2" w:rsidRPr="00DE6F40">
        <w:t>A</w:t>
      </w:r>
      <w:r w:rsidR="00F15D59" w:rsidRPr="00DE6F40">
        <w:t xml:space="preserve"> pilot project on e-payments to social assistance programs was expanded to three provinces of Vietnam</w:t>
      </w:r>
      <w:r w:rsidR="001366CE" w:rsidRPr="00DE6F40">
        <w:t xml:space="preserve">, meaning 13,366 beneficiaries were able to receive social benefits through </w:t>
      </w:r>
      <w:r w:rsidR="00F15D59" w:rsidRPr="00DE6F40">
        <w:t>e-payment accounts. The World Bank also launched a</w:t>
      </w:r>
      <w:r w:rsidR="001366CE" w:rsidRPr="00DE6F40">
        <w:t xml:space="preserve"> </w:t>
      </w:r>
      <w:r w:rsidR="00BE7756">
        <w:t>free trade agreement (FTA)</w:t>
      </w:r>
      <w:r w:rsidR="00BE7756" w:rsidRPr="00DE6F40">
        <w:t xml:space="preserve"> </w:t>
      </w:r>
      <w:r w:rsidR="00F15D59" w:rsidRPr="00DE6F40">
        <w:t>portal in December 2020 to facilitate Vietnam's integration into global trade in the COVID-19 context</w:t>
      </w:r>
      <w:r w:rsidR="001366CE" w:rsidRPr="00DE6F40">
        <w:t xml:space="preserve">. Through </w:t>
      </w:r>
      <w:r w:rsidR="00C000A2" w:rsidRPr="00DE6F40">
        <w:t>our partnership with the</w:t>
      </w:r>
      <w:r w:rsidR="005638A8" w:rsidRPr="00DE6F40">
        <w:t xml:space="preserve"> World</w:t>
      </w:r>
      <w:r w:rsidR="00C000A2" w:rsidRPr="00DE6F40">
        <w:t xml:space="preserve"> </w:t>
      </w:r>
      <w:r w:rsidR="001366CE" w:rsidRPr="00DE6F40">
        <w:t xml:space="preserve">Bank, </w:t>
      </w:r>
      <w:r w:rsidR="00724B5D" w:rsidRPr="00DE6F40">
        <w:t>Australia</w:t>
      </w:r>
      <w:r w:rsidR="001366CE" w:rsidRPr="00DE6F40">
        <w:t xml:space="preserve"> </w:t>
      </w:r>
      <w:r w:rsidR="00F15D59" w:rsidRPr="00DE6F40">
        <w:t xml:space="preserve">also provided advisory support on </w:t>
      </w:r>
      <w:r w:rsidR="00ED1D24" w:rsidRPr="00DE6F40">
        <w:t>d</w:t>
      </w:r>
      <w:r w:rsidR="00F15D59" w:rsidRPr="00DE6F40">
        <w:t xml:space="preserve">ata </w:t>
      </w:r>
      <w:r w:rsidR="00ED1D24" w:rsidRPr="00DE6F40">
        <w:t>s</w:t>
      </w:r>
      <w:r w:rsidR="00F15D59" w:rsidRPr="00DE6F40">
        <w:t>haring</w:t>
      </w:r>
      <w:r w:rsidR="002B68DA" w:rsidRPr="00DE6F40">
        <w:t xml:space="preserve"> </w:t>
      </w:r>
      <w:r w:rsidR="00D7766C" w:rsidRPr="00DE6F40">
        <w:t>and on a suite of COVID</w:t>
      </w:r>
      <w:r w:rsidR="00F14566">
        <w:t>-</w:t>
      </w:r>
      <w:r w:rsidR="00D7766C" w:rsidRPr="00DE6F40">
        <w:t xml:space="preserve">19 economic advice to bolster macroeconomic and fiscal monitoring, </w:t>
      </w:r>
      <w:r w:rsidR="00724B5D" w:rsidRPr="00DE6F40">
        <w:t xml:space="preserve">to </w:t>
      </w:r>
      <w:r w:rsidR="00D7766C" w:rsidRPr="00DE6F40">
        <w:t>support stimulus measures and</w:t>
      </w:r>
      <w:r w:rsidR="00724B5D" w:rsidRPr="00DE6F40">
        <w:t xml:space="preserve"> to</w:t>
      </w:r>
      <w:r w:rsidR="00D7766C" w:rsidRPr="00DE6F40">
        <w:t xml:space="preserve"> accelerate priority reforms</w:t>
      </w:r>
      <w:r w:rsidR="005638A8" w:rsidRPr="00DE6F40">
        <w:t xml:space="preserve"> after the health crisis is resolved</w:t>
      </w:r>
      <w:r w:rsidR="00D7766C" w:rsidRPr="00DE6F40">
        <w:t>.</w:t>
      </w:r>
    </w:p>
    <w:p w14:paraId="17E8B450" w14:textId="4A2AF77B" w:rsidR="00B32B8C" w:rsidRPr="00DE6F40" w:rsidRDefault="00D7766C" w:rsidP="00DE6F40">
      <w:pPr>
        <w:widowControl w:val="0"/>
        <w:spacing w:before="60" w:after="120" w:line="260" w:lineRule="exact"/>
      </w:pPr>
      <w:r w:rsidRPr="00DE6F40">
        <w:t>The Aus4Reform program is undertaking policy analysis</w:t>
      </w:r>
      <w:r w:rsidR="00EA7BD3" w:rsidRPr="00DE6F40">
        <w:t xml:space="preserve"> </w:t>
      </w:r>
      <w:r w:rsidRPr="00DE6F40">
        <w:t xml:space="preserve">to help alleviate the economic impacts of COVID-19 </w:t>
      </w:r>
      <w:r w:rsidR="00EA7BD3" w:rsidRPr="00DE6F40">
        <w:t>including</w:t>
      </w:r>
      <w:r w:rsidR="000E563F" w:rsidRPr="00DE6F40">
        <w:t xml:space="preserve"> </w:t>
      </w:r>
      <w:r w:rsidRPr="00DE6F40">
        <w:t xml:space="preserve">research </w:t>
      </w:r>
      <w:r w:rsidR="000E563F" w:rsidRPr="00DE6F40">
        <w:t xml:space="preserve">to assess </w:t>
      </w:r>
      <w:r w:rsidRPr="00DE6F40">
        <w:t xml:space="preserve">the impact of COVID-19 on the agriculture, tourism, and manufacturing sectors. </w:t>
      </w:r>
      <w:r w:rsidR="004B7A2F" w:rsidRPr="00370A2E">
        <w:rPr>
          <w:b/>
          <w:bCs/>
        </w:rPr>
        <w:t>The Aus4Transport program is improving the quality of transport infrastructure</w:t>
      </w:r>
      <w:r w:rsidR="00985DDC" w:rsidRPr="00DE6F40">
        <w:t xml:space="preserve"> and has </w:t>
      </w:r>
      <w:r w:rsidR="00985DDC" w:rsidRPr="00370A2E">
        <w:rPr>
          <w:b/>
          <w:bCs/>
        </w:rPr>
        <w:t xml:space="preserve">helped secure government investment decisions to </w:t>
      </w:r>
      <w:r w:rsidR="00985DDC" w:rsidRPr="00D742B7">
        <w:rPr>
          <w:b/>
          <w:bCs/>
        </w:rPr>
        <w:t>facilitate USD384.5 million</w:t>
      </w:r>
      <w:r w:rsidR="00985DDC" w:rsidRPr="00370A2E">
        <w:rPr>
          <w:b/>
          <w:bCs/>
        </w:rPr>
        <w:t xml:space="preserve"> in two major road upgrades</w:t>
      </w:r>
      <w:r w:rsidR="00985DDC" w:rsidRPr="00DE6F40">
        <w:t xml:space="preserve"> in the disadvantaged Northwest and Central Highlands</w:t>
      </w:r>
      <w:r w:rsidR="00EC0512" w:rsidRPr="00DE6F40">
        <w:t xml:space="preserve"> regions</w:t>
      </w:r>
      <w:r w:rsidR="00985DDC" w:rsidRPr="00DE6F40">
        <w:t xml:space="preserve">. </w:t>
      </w:r>
      <w:r w:rsidR="00614F98" w:rsidRPr="00DE6F40">
        <w:t>Alongside t</w:t>
      </w:r>
      <w:r w:rsidR="00EA7BD3" w:rsidRPr="00DE6F40">
        <w:t xml:space="preserve">he </w:t>
      </w:r>
      <w:r w:rsidR="00BE7756" w:rsidRPr="00BE7756">
        <w:t>Commonwealth Scientific and Industrial Research Organisation</w:t>
      </w:r>
      <w:r w:rsidR="00BE7756" w:rsidRPr="00BE7756" w:rsidDel="00BE7756">
        <w:t xml:space="preserve"> </w:t>
      </w:r>
      <w:r w:rsidR="00A6578F">
        <w:t>and its work on the digital economy and resilient agriculture and food systems through the Aus4Innovation program</w:t>
      </w:r>
      <w:r w:rsidR="00614F98" w:rsidRPr="00DE6F40">
        <w:t xml:space="preserve">, </w:t>
      </w:r>
      <w:r w:rsidR="00BE7756">
        <w:t>t</w:t>
      </w:r>
      <w:r w:rsidR="00BE7756" w:rsidRPr="00BE7756">
        <w:t>he Australian Centre for International Agricultural Research</w:t>
      </w:r>
      <w:r w:rsidR="00BE7756" w:rsidRPr="00BE7756" w:rsidDel="00BE7756">
        <w:t xml:space="preserve"> </w:t>
      </w:r>
      <w:r w:rsidR="006F00BC">
        <w:t>worked</w:t>
      </w:r>
      <w:r w:rsidR="00614F98" w:rsidRPr="00DE6F40">
        <w:t xml:space="preserve"> across Vietnam to </w:t>
      </w:r>
      <w:r w:rsidR="00614F98" w:rsidRPr="00370A2E">
        <w:t>diversify agricultural commodities</w:t>
      </w:r>
      <w:r w:rsidR="005E318F" w:rsidRPr="00370A2E">
        <w:t xml:space="preserve"> </w:t>
      </w:r>
      <w:r w:rsidR="00614F98" w:rsidRPr="00370A2E">
        <w:t>and create more climate</w:t>
      </w:r>
      <w:r w:rsidR="005E318F" w:rsidRPr="00370A2E">
        <w:t>-</w:t>
      </w:r>
      <w:r w:rsidR="00614F98" w:rsidRPr="00370A2E">
        <w:t>resilient industries and practices</w:t>
      </w:r>
      <w:r w:rsidR="00F14566">
        <w:t xml:space="preserve">. </w:t>
      </w:r>
    </w:p>
    <w:p w14:paraId="67575F11" w14:textId="4BD46071" w:rsidR="00F15D59" w:rsidRPr="00A04CF6" w:rsidRDefault="00F15D59" w:rsidP="00AD31D4">
      <w:pPr>
        <w:rPr>
          <w:color w:val="auto"/>
        </w:rPr>
        <w:sectPr w:rsidR="00F15D59" w:rsidRPr="00A04CF6" w:rsidSect="00E6010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680" w:bottom="1418" w:left="680" w:header="284" w:footer="340" w:gutter="0"/>
          <w:cols w:space="397"/>
          <w:titlePg/>
          <w:docGrid w:linePitch="360"/>
        </w:sectPr>
      </w:pPr>
    </w:p>
    <w:p w14:paraId="29B9FAD1" w14:textId="7620174F" w:rsidR="00010006" w:rsidRPr="001248B8" w:rsidRDefault="00121DDD" w:rsidP="001248B8">
      <w:pPr>
        <w:pStyle w:val="Heading2"/>
      </w:pPr>
      <w:r w:rsidRPr="001248B8">
        <w:lastRenderedPageBreak/>
        <w:t>Annex 1</w:t>
      </w:r>
      <w:r w:rsidR="001F7F4D" w:rsidRPr="001248B8">
        <w:t xml:space="preserve">: </w:t>
      </w:r>
      <w:r w:rsidR="00540A22" w:rsidRPr="001248B8">
        <w:t xml:space="preserve">Progress against </w:t>
      </w:r>
      <w:r w:rsidR="008A1503" w:rsidRPr="001248B8">
        <w:t xml:space="preserve">COVID-19 Response plan </w:t>
      </w:r>
      <w:r w:rsidR="00E1666D" w:rsidRPr="001248B8">
        <w:t>results indicators</w:t>
      </w:r>
    </w:p>
    <w:p w14:paraId="53E0B1CB" w14:textId="3AB240E3" w:rsidR="00AE2B7B" w:rsidRDefault="00AE2B7B" w:rsidP="001248B8">
      <w:pPr>
        <w:pStyle w:val="Heading3"/>
      </w:pPr>
      <w:r w:rsidRPr="00AE2B7B">
        <w:t>Health Security</w:t>
      </w:r>
    </w:p>
    <w:p w14:paraId="6370257F" w14:textId="77777777" w:rsidR="00162D3B" w:rsidRPr="00162D3B" w:rsidRDefault="00162D3B" w:rsidP="00162D3B"/>
    <w:tbl>
      <w:tblPr>
        <w:tblStyle w:val="TableGrid"/>
        <w:tblW w:w="10565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6884"/>
      </w:tblGrid>
      <w:tr w:rsidR="00AD31D4" w14:paraId="141E348F" w14:textId="77777777" w:rsidTr="00DE6F40">
        <w:trPr>
          <w:trHeight w:val="248"/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hideMark/>
          </w:tcPr>
          <w:p w14:paraId="7B01F6E5" w14:textId="77777777" w:rsidR="00AD31D4" w:rsidRDefault="00AD31D4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bookmarkStart w:id="17" w:name="_Hlk82435319"/>
            <w:r>
              <w:rPr>
                <w:b/>
                <w:sz w:val="20"/>
                <w:szCs w:val="20"/>
              </w:rPr>
              <w:t>Key Results Indicators</w:t>
            </w:r>
          </w:p>
        </w:tc>
        <w:tc>
          <w:tcPr>
            <w:tcW w:w="6884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hideMark/>
          </w:tcPr>
          <w:p w14:paraId="1569BA56" w14:textId="77777777" w:rsidR="00AD31D4" w:rsidRDefault="00AD31D4">
            <w:pPr>
              <w:spacing w:before="0" w:after="0"/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Progress/Result</w:t>
            </w:r>
          </w:p>
        </w:tc>
      </w:tr>
      <w:tr w:rsidR="00AD31D4" w14:paraId="0355473C" w14:textId="77777777" w:rsidTr="00DE6F40">
        <w:trPr>
          <w:trHeight w:val="1262"/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65D31815" w14:textId="04402E45" w:rsidR="00AD31D4" w:rsidRPr="00D742B7" w:rsidRDefault="00AD31D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bookmarkStart w:id="18" w:name="_Hlk82436725"/>
            <w:r w:rsidRPr="00D742B7">
              <w:rPr>
                <w:rFonts w:cstheme="minorHAnsi"/>
                <w:sz w:val="20"/>
                <w:szCs w:val="20"/>
              </w:rPr>
              <w:t>Evidence of improved health system functionality, including number of children immunised, n</w:t>
            </w:r>
            <w:r w:rsidR="00DC2B29" w:rsidRPr="00D742B7">
              <w:rPr>
                <w:rFonts w:cstheme="minorHAnsi"/>
                <w:sz w:val="20"/>
                <w:szCs w:val="20"/>
              </w:rPr>
              <w:t>umber</w:t>
            </w:r>
            <w:r w:rsidRPr="00D742B7">
              <w:rPr>
                <w:rFonts w:cstheme="minorHAnsi"/>
                <w:sz w:val="20"/>
                <w:szCs w:val="20"/>
              </w:rPr>
              <w:t xml:space="preserve"> of </w:t>
            </w:r>
            <w:r w:rsidR="00DC2B29" w:rsidRPr="00D742B7">
              <w:rPr>
                <w:rFonts w:cstheme="minorHAnsi"/>
                <w:sz w:val="20"/>
                <w:szCs w:val="20"/>
              </w:rPr>
              <w:t>Couple Years of Protection</w:t>
            </w:r>
            <w:r w:rsidR="007B44DD">
              <w:rPr>
                <w:rStyle w:val="FootnoteReference"/>
                <w:rFonts w:cstheme="minorHAnsi"/>
                <w:sz w:val="20"/>
                <w:szCs w:val="20"/>
              </w:rPr>
              <w:footnoteReference w:id="1"/>
            </w:r>
            <w:r w:rsidR="00DC2B29" w:rsidRPr="00D742B7">
              <w:rPr>
                <w:rFonts w:cstheme="minorHAnsi"/>
                <w:sz w:val="20"/>
                <w:szCs w:val="20"/>
              </w:rPr>
              <w:t xml:space="preserve"> (</w:t>
            </w:r>
            <w:r w:rsidRPr="00D742B7">
              <w:rPr>
                <w:rFonts w:cstheme="minorHAnsi"/>
                <w:sz w:val="20"/>
                <w:szCs w:val="20"/>
              </w:rPr>
              <w:t>CYP</w:t>
            </w:r>
            <w:r w:rsidR="00DC2B29" w:rsidRPr="00D742B7">
              <w:rPr>
                <w:rFonts w:cstheme="minorHAnsi"/>
                <w:sz w:val="20"/>
                <w:szCs w:val="20"/>
              </w:rPr>
              <w:t>)</w:t>
            </w:r>
            <w:r w:rsidRPr="00D742B7">
              <w:rPr>
                <w:rFonts w:cstheme="minorHAnsi"/>
                <w:sz w:val="20"/>
                <w:szCs w:val="20"/>
              </w:rPr>
              <w:t xml:space="preserve"> achieved through access to contraceptive services, and / or improved community sanitation or disease prevention practices </w:t>
            </w:r>
          </w:p>
        </w:tc>
        <w:tc>
          <w:tcPr>
            <w:tcW w:w="6884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096B3712" w14:textId="6FF1A316" w:rsidR="00AD31D4" w:rsidRPr="00D742B7" w:rsidRDefault="007B44DD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0765BA" w:rsidRPr="00D742B7">
              <w:rPr>
                <w:rFonts w:cstheme="minorHAnsi"/>
                <w:sz w:val="20"/>
                <w:szCs w:val="20"/>
              </w:rPr>
              <w:t xml:space="preserve">upported 22,112 </w:t>
            </w:r>
            <w:r w:rsidR="00636B09" w:rsidRPr="00D742B7">
              <w:rPr>
                <w:rFonts w:cstheme="minorHAnsi"/>
                <w:sz w:val="20"/>
                <w:szCs w:val="20"/>
              </w:rPr>
              <w:t>CYP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E4FB811" w14:textId="169A4046" w:rsidR="000765BA" w:rsidRPr="00D742B7" w:rsidRDefault="007B44DD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results attributable to Australia’s support to the </w:t>
            </w:r>
            <w:r w:rsidR="00BE7756" w:rsidRPr="00BE7756">
              <w:rPr>
                <w:rFonts w:cstheme="minorHAnsi"/>
                <w:sz w:val="20"/>
                <w:szCs w:val="20"/>
              </w:rPr>
              <w:t>Global Fund to Fight AIDS, Tuberculosis and Malaria</w:t>
            </w:r>
            <w:r w:rsidR="00BE7756">
              <w:rPr>
                <w:rFonts w:cstheme="minorHAnsi"/>
                <w:sz w:val="20"/>
                <w:szCs w:val="20"/>
              </w:rPr>
              <w:t xml:space="preserve"> (the Global Fund)</w:t>
            </w:r>
            <w:r>
              <w:rPr>
                <w:rFonts w:cstheme="minorHAnsi"/>
                <w:sz w:val="20"/>
                <w:szCs w:val="20"/>
              </w:rPr>
              <w:t xml:space="preserve">. For </w:t>
            </w:r>
            <w:r w:rsidR="0019037F" w:rsidRPr="00D742B7">
              <w:rPr>
                <w:rFonts w:cstheme="minorHAnsi"/>
                <w:sz w:val="20"/>
                <w:szCs w:val="20"/>
              </w:rPr>
              <w:t>the 2020-2022 Vietnam received US</w:t>
            </w:r>
            <w:r w:rsidR="00C756C7">
              <w:rPr>
                <w:rFonts w:cstheme="minorHAnsi"/>
                <w:sz w:val="20"/>
                <w:szCs w:val="20"/>
              </w:rPr>
              <w:t>D</w:t>
            </w:r>
            <w:r w:rsidR="0019037F" w:rsidRPr="00D742B7">
              <w:rPr>
                <w:rFonts w:cstheme="minorHAnsi"/>
                <w:sz w:val="20"/>
                <w:szCs w:val="20"/>
              </w:rPr>
              <w:t>145,948,256 to fight HIV/AIDS, tuberculosis and malaria</w:t>
            </w:r>
            <w:r w:rsidR="00F14566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In addition,</w:t>
            </w:r>
            <w:r w:rsidR="0019037F" w:rsidRPr="00D742B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during this reporting period </w:t>
            </w:r>
            <w:r w:rsidR="0019037F" w:rsidRPr="00D742B7">
              <w:rPr>
                <w:rFonts w:cstheme="minorHAnsi"/>
                <w:sz w:val="20"/>
                <w:szCs w:val="20"/>
              </w:rPr>
              <w:t>Vietnam received US</w:t>
            </w:r>
            <w:r w:rsidR="00C756C7">
              <w:rPr>
                <w:rFonts w:cstheme="minorHAnsi"/>
                <w:sz w:val="20"/>
                <w:szCs w:val="20"/>
              </w:rPr>
              <w:t>D</w:t>
            </w:r>
            <w:r w:rsidR="0019037F" w:rsidRPr="00D742B7">
              <w:rPr>
                <w:rFonts w:cstheme="minorHAnsi"/>
                <w:sz w:val="20"/>
                <w:szCs w:val="20"/>
              </w:rPr>
              <w:t>47,852,453 from the Global Fund to respond to COVID-19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AD31D4" w14:paraId="3ECE057A" w14:textId="77777777" w:rsidTr="00DE6F40">
        <w:trPr>
          <w:trHeight w:val="241"/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799A815D" w14:textId="393B1C8C" w:rsidR="00AD31D4" w:rsidRPr="00D742B7" w:rsidRDefault="00AD31D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Number of people vaccinat</w:t>
            </w:r>
            <w:r w:rsidR="00DC2B29" w:rsidRPr="00D742B7">
              <w:rPr>
                <w:rFonts w:cstheme="minorHAnsi"/>
                <w:sz w:val="20"/>
                <w:szCs w:val="20"/>
              </w:rPr>
              <w:t>ed</w:t>
            </w:r>
          </w:p>
        </w:tc>
        <w:tc>
          <w:tcPr>
            <w:tcW w:w="6884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766BEEF9" w14:textId="1950B2AC" w:rsidR="00B44148" w:rsidRPr="00D742B7" w:rsidRDefault="007B44DD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Supported</w:t>
            </w:r>
            <w:r w:rsidR="00B44148"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985DDC" w:rsidRPr="00D742B7">
              <w:rPr>
                <w:rFonts w:cstheme="minorHAnsi"/>
                <w:sz w:val="20"/>
                <w:szCs w:val="20"/>
              </w:rPr>
              <w:t xml:space="preserve">approximately </w:t>
            </w:r>
            <w:r w:rsidR="00B44148" w:rsidRPr="00D742B7">
              <w:rPr>
                <w:rFonts w:cstheme="minorHAnsi"/>
                <w:sz w:val="20"/>
                <w:szCs w:val="20"/>
              </w:rPr>
              <w:t xml:space="preserve">400,000 </w:t>
            </w:r>
            <w:r w:rsidR="00C774AF" w:rsidRPr="00D742B7">
              <w:rPr>
                <w:rFonts w:cstheme="minorHAnsi"/>
                <w:sz w:val="20"/>
                <w:szCs w:val="20"/>
              </w:rPr>
              <w:t xml:space="preserve">COVID-19 </w:t>
            </w:r>
            <w:r w:rsidR="00B44148" w:rsidRPr="00D742B7">
              <w:rPr>
                <w:rFonts w:cstheme="minorHAnsi"/>
                <w:sz w:val="20"/>
                <w:szCs w:val="20"/>
              </w:rPr>
              <w:t>vaccines to Ho Chi</w:t>
            </w:r>
            <w:r w:rsidR="00C774AF"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B44148" w:rsidRPr="00D742B7">
              <w:rPr>
                <w:rFonts w:cstheme="minorHAnsi"/>
                <w:sz w:val="20"/>
                <w:szCs w:val="20"/>
              </w:rPr>
              <w:t>Minh City</w:t>
            </w:r>
            <w:r w:rsidR="004B2322">
              <w:rPr>
                <w:rFonts w:cstheme="minorHAnsi"/>
                <w:sz w:val="20"/>
                <w:szCs w:val="20"/>
              </w:rPr>
              <w:t xml:space="preserve"> and two separate deliveries of </w:t>
            </w:r>
            <w:r w:rsidR="00DE41FB">
              <w:rPr>
                <w:rFonts w:cstheme="minorHAnsi"/>
                <w:sz w:val="20"/>
                <w:szCs w:val="20"/>
              </w:rPr>
              <w:t>3</w:t>
            </w:r>
            <w:r w:rsidR="004B2322">
              <w:rPr>
                <w:rFonts w:cstheme="minorHAnsi"/>
                <w:sz w:val="20"/>
                <w:szCs w:val="20"/>
              </w:rPr>
              <w:t xml:space="preserve">00,000 and </w:t>
            </w:r>
            <w:r w:rsidR="00DE41FB">
              <w:rPr>
                <w:rFonts w:cstheme="minorHAnsi"/>
                <w:sz w:val="20"/>
                <w:szCs w:val="20"/>
              </w:rPr>
              <w:t>8</w:t>
            </w:r>
            <w:r w:rsidR="004B2322">
              <w:rPr>
                <w:rFonts w:cstheme="minorHAnsi"/>
                <w:sz w:val="20"/>
                <w:szCs w:val="20"/>
              </w:rPr>
              <w:t>00,000 vaccines into Hanoi to meet Australia’s commitment to deliver 1.5 million COVID-19 doses by the end of 2021.</w:t>
            </w:r>
          </w:p>
          <w:p w14:paraId="3761D250" w14:textId="0645443A" w:rsidR="00AD31D4" w:rsidRPr="00D742B7" w:rsidRDefault="009C1D56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 at end June </w:t>
            </w:r>
            <w:r w:rsidR="0019037F" w:rsidRPr="00D742B7">
              <w:rPr>
                <w:rFonts w:cstheme="minorHAnsi"/>
                <w:sz w:val="20"/>
                <w:szCs w:val="20"/>
              </w:rPr>
              <w:t xml:space="preserve">Vietnam received 2,493,600 COVID-19 vaccine doses as part of the COVAX AMC, to which Australia contributed </w:t>
            </w:r>
            <w:r w:rsidR="00F14566">
              <w:rPr>
                <w:rFonts w:cstheme="minorHAnsi"/>
                <w:sz w:val="20"/>
                <w:szCs w:val="20"/>
              </w:rPr>
              <w:t>$</w:t>
            </w:r>
            <w:r w:rsidR="0019037F" w:rsidRPr="00D742B7">
              <w:rPr>
                <w:rFonts w:cstheme="minorHAnsi"/>
                <w:sz w:val="20"/>
                <w:szCs w:val="20"/>
              </w:rPr>
              <w:t xml:space="preserve">130 million. </w:t>
            </w:r>
          </w:p>
        </w:tc>
      </w:tr>
      <w:bookmarkEnd w:id="18"/>
      <w:tr w:rsidR="00AD31D4" w14:paraId="65E03350" w14:textId="77777777" w:rsidTr="00DE6F40">
        <w:trPr>
          <w:trHeight w:val="1093"/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00B4FEED" w14:textId="47FDB914" w:rsidR="00AD31D4" w:rsidRPr="00D742B7" w:rsidRDefault="00AD31D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Number of people access</w:t>
            </w:r>
            <w:r w:rsidR="00DC2B29" w:rsidRPr="00D742B7">
              <w:rPr>
                <w:rFonts w:cstheme="minorHAnsi"/>
                <w:sz w:val="20"/>
                <w:szCs w:val="20"/>
              </w:rPr>
              <w:t>ing</w:t>
            </w:r>
            <w:r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DC2B29" w:rsidRPr="00D742B7">
              <w:rPr>
                <w:rFonts w:cstheme="minorHAnsi"/>
                <w:sz w:val="20"/>
                <w:szCs w:val="20"/>
              </w:rPr>
              <w:t>W</w:t>
            </w:r>
            <w:r w:rsidRPr="00D742B7">
              <w:rPr>
                <w:rFonts w:cstheme="minorHAnsi"/>
                <w:sz w:val="20"/>
                <w:szCs w:val="20"/>
              </w:rPr>
              <w:t>ater, Sanitation and Hygiene, mental health and psycho-social support, protection</w:t>
            </w:r>
          </w:p>
        </w:tc>
        <w:tc>
          <w:tcPr>
            <w:tcW w:w="6884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0B7E7DAC" w14:textId="788FE748" w:rsidR="004F57FD" w:rsidRPr="00D742B7" w:rsidRDefault="007B44DD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</w:t>
            </w:r>
            <w:r w:rsidR="004F57FD" w:rsidRPr="00D742B7">
              <w:rPr>
                <w:rFonts w:cstheme="minorHAnsi"/>
                <w:sz w:val="20"/>
                <w:szCs w:val="20"/>
              </w:rPr>
              <w:t xml:space="preserve">128,595 people </w:t>
            </w: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4F57FD" w:rsidRPr="00D742B7">
              <w:rPr>
                <w:rFonts w:cstheme="minorHAnsi"/>
                <w:sz w:val="20"/>
                <w:szCs w:val="20"/>
              </w:rPr>
              <w:t xml:space="preserve">access water,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4F57FD" w:rsidRPr="00D742B7">
              <w:rPr>
                <w:rFonts w:cstheme="minorHAnsi"/>
                <w:sz w:val="20"/>
                <w:szCs w:val="20"/>
              </w:rPr>
              <w:t>anitation</w:t>
            </w:r>
            <w:r>
              <w:rPr>
                <w:rFonts w:cstheme="minorHAnsi"/>
                <w:sz w:val="20"/>
                <w:szCs w:val="20"/>
              </w:rPr>
              <w:t>, h</w:t>
            </w:r>
            <w:r w:rsidR="004F57FD" w:rsidRPr="00D742B7">
              <w:rPr>
                <w:rFonts w:cstheme="minorHAnsi"/>
                <w:sz w:val="20"/>
                <w:szCs w:val="20"/>
              </w:rPr>
              <w:t xml:space="preserve">ygiene, mental health and psycho-social </w:t>
            </w:r>
            <w:r>
              <w:rPr>
                <w:rFonts w:cstheme="minorHAnsi"/>
                <w:sz w:val="20"/>
                <w:szCs w:val="20"/>
              </w:rPr>
              <w:t xml:space="preserve">infrastructure and services. </w:t>
            </w:r>
          </w:p>
          <w:p w14:paraId="14463EB4" w14:textId="3956A6C6" w:rsidR="00AD31D4" w:rsidRPr="00D742B7" w:rsidRDefault="007B44DD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</w:t>
            </w:r>
            <w:r w:rsidR="004F57FD" w:rsidRPr="00D742B7">
              <w:rPr>
                <w:rFonts w:cstheme="minorHAnsi"/>
                <w:sz w:val="20"/>
                <w:szCs w:val="20"/>
              </w:rPr>
              <w:t xml:space="preserve">117,049 people </w:t>
            </w: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4F57FD" w:rsidRPr="00D742B7">
              <w:rPr>
                <w:rFonts w:cstheme="minorHAnsi"/>
                <w:sz w:val="20"/>
                <w:szCs w:val="20"/>
              </w:rPr>
              <w:t xml:space="preserve">access information, services and products </w:t>
            </w:r>
            <w:r>
              <w:rPr>
                <w:rFonts w:cstheme="minorHAnsi"/>
                <w:sz w:val="20"/>
                <w:szCs w:val="20"/>
              </w:rPr>
              <w:t>for</w:t>
            </w:r>
            <w:r w:rsidR="004F57FD" w:rsidRPr="00D742B7">
              <w:rPr>
                <w:rFonts w:cstheme="minorHAnsi"/>
                <w:sz w:val="20"/>
                <w:szCs w:val="20"/>
              </w:rPr>
              <w:t xml:space="preserve"> sexual and reproductive health and family planning</w:t>
            </w:r>
            <w:r w:rsidR="008532F1" w:rsidRPr="00D742B7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AD31D4" w14:paraId="640F8B27" w14:textId="77777777" w:rsidTr="00DE6F40">
        <w:trPr>
          <w:trHeight w:val="1569"/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651D7F8B" w14:textId="0F582486" w:rsidR="00AD31D4" w:rsidRPr="00D742B7" w:rsidRDefault="00AD31D4" w:rsidP="00DE6F40">
            <w:pPr>
              <w:suppressAutoHyphens w:val="0"/>
              <w:spacing w:before="0" w:line="276" w:lineRule="auto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 xml:space="preserve">Evidence of partnerships, significant </w:t>
            </w:r>
            <w:r w:rsidR="00BE7756">
              <w:rPr>
                <w:rFonts w:cstheme="minorHAnsi"/>
                <w:sz w:val="20"/>
                <w:szCs w:val="20"/>
              </w:rPr>
              <w:br/>
            </w:r>
            <w:r w:rsidRPr="00D742B7">
              <w:rPr>
                <w:rFonts w:cstheme="minorHAnsi"/>
                <w:sz w:val="20"/>
                <w:szCs w:val="20"/>
              </w:rPr>
              <w:t>people-to-people engagements and institutional collaboration which contribute to health system strengthening in Vietnam</w:t>
            </w:r>
          </w:p>
        </w:tc>
        <w:tc>
          <w:tcPr>
            <w:tcW w:w="6884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73F56377" w14:textId="1B4FB6C1" w:rsidR="00724B5D" w:rsidRPr="00D742B7" w:rsidRDefault="007B44DD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a </w:t>
            </w:r>
            <w:r w:rsidR="00E92E9E" w:rsidRPr="00D742B7">
              <w:rPr>
                <w:rFonts w:cstheme="minorHAnsi"/>
                <w:sz w:val="20"/>
                <w:szCs w:val="20"/>
              </w:rPr>
              <w:t>partnership between the University of Sydney and the Health Strategic Policy Institute (Vietnam)</w:t>
            </w:r>
            <w:r>
              <w:rPr>
                <w:rFonts w:cstheme="minorHAnsi"/>
                <w:sz w:val="20"/>
                <w:szCs w:val="20"/>
              </w:rPr>
              <w:t xml:space="preserve"> to</w:t>
            </w:r>
            <w:r w:rsidR="00E92E9E" w:rsidRPr="00D742B7">
              <w:rPr>
                <w:rFonts w:cstheme="minorHAnsi"/>
                <w:sz w:val="20"/>
                <w:szCs w:val="20"/>
              </w:rPr>
              <w:t xml:space="preserve"> develop</w:t>
            </w:r>
            <w:r w:rsidR="00B44148" w:rsidRPr="00D742B7">
              <w:rPr>
                <w:rFonts w:cstheme="minorHAnsi"/>
                <w:sz w:val="20"/>
                <w:szCs w:val="20"/>
              </w:rPr>
              <w:t>ed</w:t>
            </w:r>
            <w:r w:rsidR="00E92E9E" w:rsidRPr="00D742B7">
              <w:rPr>
                <w:rFonts w:cstheme="minorHAnsi"/>
                <w:sz w:val="20"/>
                <w:szCs w:val="20"/>
              </w:rPr>
              <w:t xml:space="preserve"> capacity for early breast cancer detection for about 100 radiologists from 25 hospitals. </w:t>
            </w:r>
          </w:p>
          <w:p w14:paraId="1FC30CA2" w14:textId="36A08AE8" w:rsidR="00475107" w:rsidRDefault="007B44DD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 the</w:t>
            </w:r>
            <w:r w:rsidR="006C421E"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BE7756" w:rsidRPr="00BE7756">
              <w:rPr>
                <w:rFonts w:cstheme="minorHAnsi"/>
                <w:sz w:val="20"/>
                <w:szCs w:val="20"/>
              </w:rPr>
              <w:t>Combating the emergence and spread of antimicrobial resistant infectious diseases in Vietnam</w:t>
            </w:r>
            <w:r w:rsidR="00BE7756" w:rsidRPr="00BE7756" w:rsidDel="00BE7756">
              <w:rPr>
                <w:rFonts w:cstheme="minorHAnsi"/>
                <w:sz w:val="20"/>
                <w:szCs w:val="20"/>
              </w:rPr>
              <w:t xml:space="preserve"> </w:t>
            </w:r>
            <w:r w:rsidR="006C421E" w:rsidRPr="00D742B7">
              <w:rPr>
                <w:rFonts w:cstheme="minorHAnsi"/>
                <w:sz w:val="20"/>
                <w:szCs w:val="20"/>
              </w:rPr>
              <w:t>partnership</w:t>
            </w:r>
            <w:r>
              <w:rPr>
                <w:rFonts w:cstheme="minorHAnsi"/>
                <w:sz w:val="20"/>
                <w:szCs w:val="20"/>
              </w:rPr>
              <w:t xml:space="preserve"> (a grouping of Australian, Vietnamese and Swedish</w:t>
            </w:r>
            <w:r w:rsidR="00475107">
              <w:rPr>
                <w:rFonts w:cstheme="minorHAnsi"/>
                <w:sz w:val="20"/>
                <w:szCs w:val="20"/>
              </w:rPr>
              <w:t xml:space="preserve"> institutions), supported research on </w:t>
            </w:r>
            <w:r w:rsidR="006C421E" w:rsidRPr="00D742B7">
              <w:rPr>
                <w:rFonts w:cstheme="minorHAnsi"/>
                <w:sz w:val="20"/>
                <w:szCs w:val="20"/>
              </w:rPr>
              <w:t>antimicrobial resistant disease</w:t>
            </w:r>
            <w:r w:rsidR="0047510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7B2DE86" w14:textId="3B9D6DE0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bookmarkEnd w:id="17"/>
    </w:tbl>
    <w:p w14:paraId="482617C3" w14:textId="77777777" w:rsidR="00162D3B" w:rsidRDefault="00162D3B" w:rsidP="001248B8">
      <w:pPr>
        <w:pStyle w:val="Heading3"/>
      </w:pPr>
    </w:p>
    <w:p w14:paraId="24609082" w14:textId="77777777" w:rsidR="00162D3B" w:rsidRDefault="00162D3B">
      <w:pPr>
        <w:suppressAutoHyphens w:val="0"/>
        <w:spacing w:before="0" w:after="120" w:line="440" w:lineRule="atLeast"/>
        <w:rPr>
          <w:rFonts w:eastAsiaTheme="majorEastAsia" w:cstheme="minorHAnsi"/>
          <w:b/>
          <w:bCs/>
          <w:i/>
          <w:sz w:val="24"/>
          <w:szCs w:val="24"/>
        </w:rPr>
      </w:pPr>
      <w:r>
        <w:br w:type="page"/>
      </w:r>
    </w:p>
    <w:p w14:paraId="08BBE344" w14:textId="605B5B97" w:rsidR="00AE2B7B" w:rsidRDefault="00AE2B7B" w:rsidP="001248B8">
      <w:pPr>
        <w:pStyle w:val="Heading3"/>
      </w:pPr>
      <w:r w:rsidRPr="00AE2B7B">
        <w:lastRenderedPageBreak/>
        <w:t>Stability</w:t>
      </w:r>
    </w:p>
    <w:p w14:paraId="2BD5A39F" w14:textId="77777777" w:rsidR="00162D3B" w:rsidRPr="00162D3B" w:rsidRDefault="00162D3B" w:rsidP="00162D3B"/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6855"/>
      </w:tblGrid>
      <w:tr w:rsidR="00AD31D4" w14:paraId="68BD1185" w14:textId="77777777" w:rsidTr="00DE6F40">
        <w:trPr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vAlign w:val="bottom"/>
            <w:hideMark/>
          </w:tcPr>
          <w:p w14:paraId="7CA9DACE" w14:textId="77777777" w:rsidR="00AD31D4" w:rsidRPr="00D742B7" w:rsidRDefault="00AD31D4" w:rsidP="00D742B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D742B7">
              <w:rPr>
                <w:b/>
                <w:sz w:val="20"/>
                <w:szCs w:val="20"/>
              </w:rPr>
              <w:t>Key Results Indicators</w:t>
            </w:r>
          </w:p>
        </w:tc>
        <w:tc>
          <w:tcPr>
            <w:tcW w:w="6855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vAlign w:val="bottom"/>
            <w:hideMark/>
          </w:tcPr>
          <w:p w14:paraId="1B3C05F4" w14:textId="77777777" w:rsidR="00AD31D4" w:rsidRPr="00D742B7" w:rsidRDefault="00AD31D4" w:rsidP="00D742B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D742B7">
              <w:rPr>
                <w:b/>
                <w:sz w:val="20"/>
                <w:szCs w:val="20"/>
              </w:rPr>
              <w:t>Progress/Result</w:t>
            </w:r>
          </w:p>
        </w:tc>
      </w:tr>
      <w:tr w:rsidR="00085AE8" w:rsidRPr="00F13946" w14:paraId="4BC90B74" w14:textId="77777777" w:rsidTr="00DE6F40">
        <w:trPr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3855F7C7" w14:textId="675F82C1" w:rsidR="00AD31D4" w:rsidRPr="00D742B7" w:rsidRDefault="00AD31D4" w:rsidP="00DE6F4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The Vietnam-Australia Centre (VAC) is established and has provided leadership and public policy skills training to Vietnamese leaders</w:t>
            </w:r>
          </w:p>
        </w:tc>
        <w:tc>
          <w:tcPr>
            <w:tcW w:w="6855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550F6CAD" w14:textId="19FCE6C0" w:rsidR="006B0AAE" w:rsidRPr="00D742B7" w:rsidRDefault="006B0AAE" w:rsidP="00DE6F4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Formal establishment of the VAC is currently pending Government of Vietnam approval</w:t>
            </w:r>
            <w:r w:rsidR="00724B5D" w:rsidRPr="00D742B7">
              <w:rPr>
                <w:rFonts w:cstheme="minorHAnsi"/>
                <w:sz w:val="20"/>
                <w:szCs w:val="20"/>
              </w:rPr>
              <w:t>.</w:t>
            </w:r>
            <w:r w:rsidR="00CE020E" w:rsidRPr="00D742B7">
              <w:rPr>
                <w:rFonts w:cstheme="minorHAnsi"/>
                <w:sz w:val="20"/>
                <w:szCs w:val="20"/>
              </w:rPr>
              <w:t xml:space="preserve"> Interim leadership training and economic research have been delivered.</w:t>
            </w:r>
          </w:p>
        </w:tc>
      </w:tr>
      <w:tr w:rsidR="00162D3B" w:rsidRPr="00F13946" w14:paraId="5C50B6BC" w14:textId="77777777" w:rsidTr="00DE6F40">
        <w:trPr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402C8A66" w14:textId="2F282F30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Evidence of improved inclusion of vulnerable groups in Vietnamese society and COVID-19 recovery support</w:t>
            </w:r>
          </w:p>
        </w:tc>
        <w:tc>
          <w:tcPr>
            <w:tcW w:w="6855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33A70759" w14:textId="77777777" w:rsidR="00162D3B" w:rsidRPr="00D742B7" w:rsidRDefault="00162D3B" w:rsidP="00162D3B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</w:t>
            </w:r>
            <w:r w:rsidRPr="00D742B7">
              <w:rPr>
                <w:rFonts w:cstheme="minorHAnsi"/>
                <w:sz w:val="20"/>
                <w:szCs w:val="20"/>
              </w:rPr>
              <w:t>partnership with the World Bank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742B7">
              <w:rPr>
                <w:rFonts w:cstheme="minorHAnsi"/>
                <w:sz w:val="20"/>
                <w:szCs w:val="20"/>
              </w:rPr>
              <w:t xml:space="preserve">supported the Government of Vietnam to improve social protection policies. As a result, more than 3.13 million beneficiaries will receive increased social assistance monthly benefits. 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D742B7">
              <w:rPr>
                <w:rFonts w:cstheme="minorHAnsi"/>
                <w:sz w:val="20"/>
                <w:szCs w:val="20"/>
              </w:rPr>
              <w:t xml:space="preserve"> e-payment pilot enabled</w:t>
            </w:r>
            <w:r>
              <w:rPr>
                <w:rFonts w:cstheme="minorHAnsi"/>
                <w:sz w:val="20"/>
                <w:szCs w:val="20"/>
              </w:rPr>
              <w:t xml:space="preserve"> an additional</w:t>
            </w:r>
            <w:r w:rsidRPr="00D742B7">
              <w:rPr>
                <w:rFonts w:cstheme="minorHAnsi"/>
                <w:sz w:val="20"/>
                <w:szCs w:val="20"/>
              </w:rPr>
              <w:t xml:space="preserve"> 13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742B7">
              <w:rPr>
                <w:rFonts w:cstheme="minorHAnsi"/>
                <w:sz w:val="20"/>
                <w:szCs w:val="20"/>
              </w:rPr>
              <w:t xml:space="preserve">366 beneficiaries to receive assistance. </w:t>
            </w:r>
          </w:p>
          <w:p w14:paraId="07C644F9" w14:textId="29D1C30A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D742B7">
              <w:rPr>
                <w:rFonts w:cstheme="minorHAnsi"/>
                <w:sz w:val="20"/>
                <w:szCs w:val="20"/>
              </w:rPr>
              <w:t xml:space="preserve">upported </w:t>
            </w:r>
            <w:r>
              <w:rPr>
                <w:rFonts w:cstheme="minorHAnsi"/>
                <w:sz w:val="20"/>
                <w:szCs w:val="20"/>
              </w:rPr>
              <w:t>Government of Vietnam’s economic policy response to COVID-19</w:t>
            </w:r>
            <w:r w:rsidRPr="00D742B7">
              <w:rPr>
                <w:rFonts w:cstheme="minorHAnsi"/>
                <w:sz w:val="20"/>
                <w:szCs w:val="20"/>
              </w:rPr>
              <w:t xml:space="preserve"> including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742B7">
              <w:rPr>
                <w:rFonts w:cstheme="minorHAnsi"/>
                <w:sz w:val="20"/>
                <w:szCs w:val="20"/>
              </w:rPr>
              <w:t xml:space="preserve">developing options for medium-term economic recovery and institutional reform, such as assisting micro and small enterprises to access and use support policies effectively; conducting impact assessments for crucial sectors (textiles, footwear and electronics) and proposing recommendations for economic recovery post-COVID-19; and providing recommendations on opportunities and challenges for Vietnam’s agricultural trade in the context of the pandemic. </w:t>
            </w:r>
          </w:p>
        </w:tc>
      </w:tr>
      <w:tr w:rsidR="00162D3B" w:rsidRPr="00F13946" w14:paraId="483792C3" w14:textId="77777777" w:rsidTr="00DE6F40">
        <w:trPr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4CAB8806" w14:textId="6F342B13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Increased support available to women survivors of gender-based violence</w:t>
            </w:r>
          </w:p>
        </w:tc>
        <w:tc>
          <w:tcPr>
            <w:tcW w:w="6855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3F656CF1" w14:textId="77777777" w:rsidR="00162D3B" w:rsidRPr="00D742B7" w:rsidRDefault="00162D3B" w:rsidP="00162D3B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Supported c</w:t>
            </w:r>
            <w:r w:rsidRPr="00D742B7">
              <w:rPr>
                <w:rFonts w:cstheme="minorHAnsi"/>
                <w:sz w:val="20"/>
                <w:szCs w:val="20"/>
              </w:rPr>
              <w:t xml:space="preserve">ounselling </w:t>
            </w:r>
            <w:r>
              <w:rPr>
                <w:rFonts w:cstheme="minorHAnsi"/>
                <w:sz w:val="20"/>
                <w:szCs w:val="20"/>
              </w:rPr>
              <w:t xml:space="preserve">services for </w:t>
            </w:r>
            <w:r w:rsidRPr="00D742B7">
              <w:rPr>
                <w:rFonts w:cstheme="minorHAnsi"/>
                <w:sz w:val="20"/>
                <w:szCs w:val="20"/>
              </w:rPr>
              <w:t xml:space="preserve">836 women and children seeking support. </w:t>
            </w:r>
          </w:p>
          <w:p w14:paraId="311128E7" w14:textId="77777777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the training of </w:t>
            </w:r>
            <w:r w:rsidRPr="00D742B7">
              <w:rPr>
                <w:rFonts w:cstheme="minorHAnsi"/>
                <w:sz w:val="20"/>
                <w:szCs w:val="20"/>
              </w:rPr>
              <w:t xml:space="preserve">1,559 social workers on violence against women and girls and case management. </w:t>
            </w:r>
          </w:p>
          <w:p w14:paraId="7A5AE71A" w14:textId="77777777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the distribution of </w:t>
            </w:r>
            <w:r w:rsidRPr="00D742B7">
              <w:rPr>
                <w:rFonts w:cstheme="minorHAnsi"/>
                <w:sz w:val="20"/>
                <w:szCs w:val="20"/>
              </w:rPr>
              <w:t xml:space="preserve">6,644 Dignity Kits. </w:t>
            </w:r>
          </w:p>
          <w:p w14:paraId="6B8E2BEA" w14:textId="77777777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162D3B" w:rsidRPr="00F13946" w14:paraId="014AB782" w14:textId="77777777" w:rsidTr="00DE6F40">
        <w:trPr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51D590C0" w14:textId="0C60D1B3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 xml:space="preserve">Examples of policy or practice uptake </w:t>
            </w:r>
            <w:proofErr w:type="gramStart"/>
            <w:r w:rsidRPr="00D742B7">
              <w:rPr>
                <w:rFonts w:cstheme="minorHAnsi"/>
                <w:sz w:val="20"/>
                <w:szCs w:val="20"/>
              </w:rPr>
              <w:t>as a result of</w:t>
            </w:r>
            <w:proofErr w:type="gramEnd"/>
            <w:r w:rsidRPr="00D742B7">
              <w:rPr>
                <w:rFonts w:cstheme="minorHAnsi"/>
                <w:sz w:val="20"/>
                <w:szCs w:val="20"/>
              </w:rPr>
              <w:t xml:space="preserve"> advice or technical assistance on building resilience to future shocks and supporting improved agricultural practices and water management</w:t>
            </w:r>
          </w:p>
        </w:tc>
        <w:tc>
          <w:tcPr>
            <w:tcW w:w="6855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7959803D" w14:textId="77777777" w:rsidR="00162D3B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Supported the</w:t>
            </w:r>
            <w:r w:rsidRPr="00D742B7">
              <w:rPr>
                <w:rFonts w:cstheme="minorHAnsi"/>
                <w:sz w:val="20"/>
                <w:szCs w:val="20"/>
              </w:rPr>
              <w:t xml:space="preserve"> development of decrees </w:t>
            </w: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D742B7">
              <w:rPr>
                <w:rFonts w:cstheme="minorHAnsi"/>
                <w:sz w:val="20"/>
                <w:szCs w:val="20"/>
              </w:rPr>
              <w:t>guid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742B7">
              <w:rPr>
                <w:rFonts w:cstheme="minorHAnsi"/>
                <w:sz w:val="20"/>
                <w:szCs w:val="20"/>
              </w:rPr>
              <w:t xml:space="preserve"> the Land Law on agricultural land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91EE52D" w14:textId="7999978C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</w:t>
            </w:r>
            <w:r w:rsidRPr="00D742B7">
              <w:rPr>
                <w:rFonts w:cstheme="minorHAnsi"/>
                <w:sz w:val="20"/>
                <w:szCs w:val="20"/>
              </w:rPr>
              <w:t>stud</w:t>
            </w:r>
            <w:r>
              <w:rPr>
                <w:rFonts w:cstheme="minorHAnsi"/>
                <w:sz w:val="20"/>
                <w:szCs w:val="20"/>
              </w:rPr>
              <w:t>ies</w:t>
            </w:r>
            <w:r w:rsidRPr="00D742B7">
              <w:rPr>
                <w:rFonts w:cstheme="minorHAnsi"/>
                <w:sz w:val="20"/>
                <w:szCs w:val="20"/>
              </w:rPr>
              <w:t xml:space="preserve"> 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742B7">
              <w:rPr>
                <w:rFonts w:cstheme="minorHAnsi"/>
                <w:sz w:val="20"/>
                <w:szCs w:val="20"/>
              </w:rPr>
              <w:t xml:space="preserve">transferring rural labour to higher productivity sectors in the Mekong River Delta </w:t>
            </w:r>
            <w:proofErr w:type="gramStart"/>
            <w:r w:rsidRPr="00D742B7">
              <w:rPr>
                <w:rFonts w:cstheme="minorHAnsi"/>
                <w:sz w:val="20"/>
                <w:szCs w:val="20"/>
              </w:rPr>
              <w:t>area</w:t>
            </w:r>
            <w:r>
              <w:rPr>
                <w:rFonts w:cstheme="minorHAnsi"/>
                <w:sz w:val="20"/>
                <w:szCs w:val="20"/>
              </w:rPr>
              <w:t>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742B7">
              <w:rPr>
                <w:rFonts w:cstheme="minorHAnsi"/>
                <w:sz w:val="20"/>
                <w:szCs w:val="20"/>
              </w:rPr>
              <w:t xml:space="preserve">and agricultural vocational training for rural workers in Vietnam. </w:t>
            </w:r>
          </w:p>
        </w:tc>
      </w:tr>
      <w:tr w:rsidR="00162D3B" w:rsidRPr="00F13946" w14:paraId="4AEBB6AD" w14:textId="77777777" w:rsidTr="00DE6F40">
        <w:trPr>
          <w:tblHeader/>
        </w:trPr>
        <w:tc>
          <w:tcPr>
            <w:tcW w:w="3681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5206C52F" w14:textId="1457CB93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Design of a new activity on energy security to support economic stability</w:t>
            </w:r>
          </w:p>
        </w:tc>
        <w:tc>
          <w:tcPr>
            <w:tcW w:w="6855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68C78FFC" w14:textId="072987AB" w:rsidR="00162D3B" w:rsidRPr="00D742B7" w:rsidRDefault="00162D3B" w:rsidP="00162D3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Commenced a </w:t>
            </w:r>
            <w:r w:rsidRPr="00D742B7">
              <w:rPr>
                <w:rFonts w:cstheme="minorHAnsi"/>
                <w:sz w:val="20"/>
                <w:szCs w:val="20"/>
              </w:rPr>
              <w:t>scoping study on energy and climate sectors in Vietnam</w:t>
            </w:r>
            <w:r>
              <w:rPr>
                <w:rFonts w:cstheme="minorHAnsi"/>
                <w:sz w:val="20"/>
                <w:szCs w:val="20"/>
              </w:rPr>
              <w:t xml:space="preserve"> that </w:t>
            </w:r>
            <w:r w:rsidRPr="00D742B7">
              <w:rPr>
                <w:rFonts w:cstheme="minorHAnsi"/>
                <w:sz w:val="20"/>
                <w:szCs w:val="20"/>
              </w:rPr>
              <w:t xml:space="preserve">will underpin the design of new </w:t>
            </w:r>
            <w:r>
              <w:rPr>
                <w:rFonts w:cstheme="minorHAnsi"/>
                <w:sz w:val="20"/>
                <w:szCs w:val="20"/>
              </w:rPr>
              <w:t>support</w:t>
            </w:r>
            <w:r w:rsidRPr="00D742B7">
              <w:rPr>
                <w:rFonts w:cstheme="minorHAnsi"/>
                <w:sz w:val="20"/>
                <w:szCs w:val="20"/>
              </w:rPr>
              <w:t xml:space="preserve"> on energy and climate. </w:t>
            </w:r>
          </w:p>
        </w:tc>
      </w:tr>
    </w:tbl>
    <w:p w14:paraId="45081AD4" w14:textId="77777777" w:rsidR="00DE6F40" w:rsidRPr="00D742B7" w:rsidRDefault="00DE6F40" w:rsidP="00DE6F40">
      <w:pPr>
        <w:spacing w:before="0" w:after="0"/>
        <w:rPr>
          <w:rFonts w:cstheme="minorHAnsi"/>
          <w:sz w:val="20"/>
          <w:szCs w:val="20"/>
        </w:rPr>
      </w:pPr>
    </w:p>
    <w:p w14:paraId="08B36CB2" w14:textId="77777777" w:rsidR="00162D3B" w:rsidRDefault="00162D3B">
      <w:pPr>
        <w:suppressAutoHyphens w:val="0"/>
        <w:spacing w:before="0" w:after="120" w:line="440" w:lineRule="atLeast"/>
        <w:rPr>
          <w:rFonts w:eastAsiaTheme="majorEastAsia" w:cstheme="minorHAnsi"/>
          <w:b/>
          <w:bCs/>
          <w:i/>
          <w:sz w:val="24"/>
          <w:szCs w:val="24"/>
        </w:rPr>
      </w:pPr>
      <w:r>
        <w:br w:type="page"/>
      </w:r>
    </w:p>
    <w:p w14:paraId="5AB5EFBD" w14:textId="4FC6623C" w:rsidR="00636B09" w:rsidRDefault="00636B09" w:rsidP="001248B8">
      <w:pPr>
        <w:pStyle w:val="Heading3"/>
        <w:rPr>
          <w:color w:val="auto"/>
        </w:rPr>
      </w:pPr>
      <w:r w:rsidRPr="00636B09">
        <w:lastRenderedPageBreak/>
        <w:t>Economic Recovery</w:t>
      </w:r>
      <w:r>
        <w:rPr>
          <w:color w:val="auto"/>
        </w:rPr>
        <w:t xml:space="preserve"> </w:t>
      </w:r>
    </w:p>
    <w:p w14:paraId="281F31CE" w14:textId="77777777" w:rsidR="00162D3B" w:rsidRPr="00162D3B" w:rsidRDefault="00162D3B" w:rsidP="00162D3B"/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997"/>
      </w:tblGrid>
      <w:tr w:rsidR="00261F34" w:rsidRPr="00085AE8" w14:paraId="4E456FF1" w14:textId="77777777" w:rsidTr="00DE6F40">
        <w:trPr>
          <w:tblHeader/>
        </w:trPr>
        <w:tc>
          <w:tcPr>
            <w:tcW w:w="3539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vAlign w:val="bottom"/>
            <w:hideMark/>
          </w:tcPr>
          <w:p w14:paraId="092FD587" w14:textId="2F066BFD" w:rsidR="00261F34" w:rsidRPr="00D742B7" w:rsidRDefault="00261F34" w:rsidP="00D742B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D742B7">
              <w:rPr>
                <w:b/>
                <w:sz w:val="20"/>
                <w:szCs w:val="20"/>
              </w:rPr>
              <w:t>Key Results Indicators</w:t>
            </w:r>
          </w:p>
        </w:tc>
        <w:tc>
          <w:tcPr>
            <w:tcW w:w="6997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vAlign w:val="bottom"/>
            <w:hideMark/>
          </w:tcPr>
          <w:p w14:paraId="0B1F63D4" w14:textId="77777777" w:rsidR="00261F34" w:rsidRPr="00085AE8" w:rsidRDefault="00261F34" w:rsidP="00D742B7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742B7">
              <w:rPr>
                <w:b/>
                <w:sz w:val="20"/>
                <w:szCs w:val="20"/>
              </w:rPr>
              <w:t>Progress/Result</w:t>
            </w:r>
          </w:p>
        </w:tc>
      </w:tr>
      <w:tr w:rsidR="00261F34" w:rsidRPr="00085AE8" w14:paraId="580FE5BB" w14:textId="77777777" w:rsidTr="00DE6F40">
        <w:trPr>
          <w:tblHeader/>
        </w:trPr>
        <w:tc>
          <w:tcPr>
            <w:tcW w:w="3539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58E445AB" w14:textId="65FAF395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Examples of economic policy or practice taken up by Vietnamese institutions as a result of advice and technical assistance provided</w:t>
            </w:r>
          </w:p>
        </w:tc>
        <w:tc>
          <w:tcPr>
            <w:tcW w:w="6997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48519826" w14:textId="5D72CAFB" w:rsidR="00261F34" w:rsidRPr="00D742B7" w:rsidRDefault="00475107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partnership with the World Bank, supported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timely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advice </w:t>
            </w:r>
            <w:r>
              <w:rPr>
                <w:rFonts w:cstheme="minorHAnsi"/>
                <w:sz w:val="20"/>
                <w:szCs w:val="20"/>
              </w:rPr>
              <w:t>on</w:t>
            </w:r>
            <w:r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Decree 145 of the Labour Code to </w:t>
            </w:r>
            <w:r>
              <w:rPr>
                <w:rFonts w:cstheme="minorHAnsi"/>
                <w:sz w:val="20"/>
                <w:szCs w:val="20"/>
              </w:rPr>
              <w:t>clearly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articulat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employer obligations and standards relating to childcare services, including in industrial zones.</w:t>
            </w:r>
          </w:p>
          <w:p w14:paraId="50AEAC2C" w14:textId="272D667E" w:rsidR="00603A69" w:rsidRPr="00D742B7" w:rsidRDefault="00475107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the preparation of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data processing models </w:t>
            </w:r>
            <w:r>
              <w:rPr>
                <w:rFonts w:cstheme="minorHAnsi"/>
                <w:sz w:val="20"/>
                <w:szCs w:val="20"/>
              </w:rPr>
              <w:t>to</w:t>
            </w:r>
            <w:r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261F34" w:rsidRPr="00D742B7">
              <w:rPr>
                <w:rFonts w:cstheme="minorHAnsi"/>
                <w:sz w:val="20"/>
                <w:szCs w:val="20"/>
              </w:rPr>
              <w:t>assess the impact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of technological creation and adoption on economic growth and productivity</w:t>
            </w:r>
            <w:r>
              <w:rPr>
                <w:rFonts w:cstheme="minorHAnsi"/>
                <w:sz w:val="20"/>
                <w:szCs w:val="20"/>
              </w:rPr>
              <w:t>. These were provided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to </w:t>
            </w:r>
            <w:r w:rsidR="000F313F" w:rsidRPr="00D742B7">
              <w:rPr>
                <w:rFonts w:cstheme="minorHAnsi"/>
                <w:sz w:val="20"/>
                <w:szCs w:val="20"/>
              </w:rPr>
              <w:t xml:space="preserve">the </w:t>
            </w:r>
            <w:r w:rsidR="00261F34" w:rsidRPr="00D742B7">
              <w:rPr>
                <w:rFonts w:cstheme="minorHAnsi"/>
                <w:sz w:val="20"/>
                <w:szCs w:val="20"/>
              </w:rPr>
              <w:t>State Agency of Technology Information</w:t>
            </w:r>
            <w:r>
              <w:rPr>
                <w:rFonts w:cstheme="minorHAnsi"/>
                <w:sz w:val="20"/>
                <w:szCs w:val="20"/>
              </w:rPr>
              <w:t xml:space="preserve"> to inform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evidence-based policy making at the Ministry of Science and Technology and other relevant ministries. </w:t>
            </w:r>
            <w:r>
              <w:rPr>
                <w:rFonts w:cstheme="minorHAnsi"/>
                <w:sz w:val="20"/>
                <w:szCs w:val="20"/>
              </w:rPr>
              <w:t>Results from these models</w:t>
            </w:r>
            <w:r w:rsidR="00245ED2">
              <w:rPr>
                <w:rFonts w:cstheme="minorHAnsi"/>
                <w:sz w:val="20"/>
                <w:szCs w:val="20"/>
              </w:rPr>
              <w:t xml:space="preserve"> have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being used as inputs to develop the </w:t>
            </w:r>
            <w:r w:rsidR="00245ED2">
              <w:rPr>
                <w:rFonts w:cstheme="minorHAnsi"/>
                <w:sz w:val="20"/>
                <w:szCs w:val="20"/>
              </w:rPr>
              <w:t xml:space="preserve">new 10-year </w:t>
            </w:r>
            <w:r w:rsidR="00261F34" w:rsidRPr="00D742B7">
              <w:rPr>
                <w:rFonts w:cstheme="minorHAnsi"/>
                <w:sz w:val="20"/>
                <w:szCs w:val="20"/>
              </w:rPr>
              <w:t>National Science, Technology and Innovation Strategy</w:t>
            </w:r>
            <w:r w:rsidR="00245ED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61F34" w:rsidRPr="00776726" w14:paraId="0E0D60FB" w14:textId="77777777" w:rsidTr="00DE6F40">
        <w:trPr>
          <w:tblHeader/>
        </w:trPr>
        <w:tc>
          <w:tcPr>
            <w:tcW w:w="3539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74ED174A" w14:textId="77BCB3A5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Evidence of increased investment in infrastructure</w:t>
            </w:r>
          </w:p>
          <w:p w14:paraId="46A3625A" w14:textId="77777777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0500E2E7" w14:textId="5275BACB" w:rsidR="00603A69" w:rsidRPr="00D742B7" w:rsidRDefault="00245ED2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Supported Government of Vietnam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preparations </w:t>
            </w:r>
            <w:r w:rsidRPr="00E275A8">
              <w:rPr>
                <w:rFonts w:cstheme="minorHAnsi"/>
                <w:sz w:val="20"/>
                <w:szCs w:val="20"/>
              </w:rPr>
              <w:t>two major road upgrades in the disadvantaged regions of the Northwest and Central Highlands</w:t>
            </w:r>
            <w:r>
              <w:rPr>
                <w:rFonts w:cstheme="minorHAnsi"/>
                <w:sz w:val="20"/>
                <w:szCs w:val="20"/>
              </w:rPr>
              <w:t xml:space="preserve">. This </w:t>
            </w:r>
            <w:r w:rsidR="00261F34" w:rsidRPr="00D742B7">
              <w:rPr>
                <w:rFonts w:cstheme="minorHAnsi"/>
                <w:sz w:val="20"/>
                <w:szCs w:val="20"/>
              </w:rPr>
              <w:t>will facilitate USD384.5 million in investment in</w:t>
            </w:r>
            <w:r>
              <w:rPr>
                <w:rFonts w:cstheme="minorHAnsi"/>
                <w:sz w:val="20"/>
                <w:szCs w:val="20"/>
              </w:rPr>
              <w:t xml:space="preserve"> vital national infrastructure</w:t>
            </w:r>
            <w:r w:rsidR="00F14566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261F34" w:rsidRPr="00085AE8" w14:paraId="0EC91963" w14:textId="77777777" w:rsidTr="00DE6F40">
        <w:trPr>
          <w:tblHeader/>
        </w:trPr>
        <w:tc>
          <w:tcPr>
            <w:tcW w:w="3539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324E4557" w14:textId="6CBDA296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Number of participants provided with improved business, technical or management skills for improved workforce participation</w:t>
            </w:r>
          </w:p>
        </w:tc>
        <w:tc>
          <w:tcPr>
            <w:tcW w:w="6997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06156663" w14:textId="55C915D3" w:rsidR="00245ED2" w:rsidRPr="00D742B7" w:rsidRDefault="00245ED2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Supported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85 Vietnamese participants (60 women</w:t>
            </w:r>
            <w:r>
              <w:rPr>
                <w:rFonts w:cstheme="minorHAnsi"/>
                <w:sz w:val="20"/>
                <w:szCs w:val="20"/>
              </w:rPr>
              <w:t>, 3 people with disabilities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>to</w:t>
            </w:r>
            <w:r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completed Australia Awards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hort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ourses on change management, competency-based training and assessment, and women’s leadership. </w:t>
            </w:r>
          </w:p>
          <w:p w14:paraId="7D49AEF0" w14:textId="0B6BAA8C" w:rsidR="00261F34" w:rsidRPr="00D742B7" w:rsidRDefault="00245ED2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Supported the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train</w:t>
            </w:r>
            <w:r>
              <w:rPr>
                <w:rFonts w:cstheme="minorHAnsi"/>
                <w:sz w:val="20"/>
                <w:szCs w:val="20"/>
              </w:rPr>
              <w:t>ing of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26,568 women on farming techniques, processing, tourism and business management.</w:t>
            </w:r>
          </w:p>
        </w:tc>
      </w:tr>
      <w:tr w:rsidR="00261F34" w:rsidRPr="00085AE8" w14:paraId="62036E55" w14:textId="77777777" w:rsidTr="00DE6F40">
        <w:trPr>
          <w:tblHeader/>
        </w:trPr>
        <w:tc>
          <w:tcPr>
            <w:tcW w:w="3539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</w:tcPr>
          <w:p w14:paraId="53DFA987" w14:textId="74C2887C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Number of women provided with economic empowerment opportunities including through business or financial support</w:t>
            </w:r>
          </w:p>
          <w:p w14:paraId="46779395" w14:textId="77777777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74659869" w14:textId="7E8FB9FD" w:rsidR="00261F34" w:rsidRPr="00D742B7" w:rsidRDefault="00245ED2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Supported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6,883 women to improve their understanding of markets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175 </w:t>
            </w:r>
            <w:r w:rsidR="00F14566">
              <w:rPr>
                <w:rFonts w:cstheme="minorHAnsi"/>
                <w:sz w:val="20"/>
                <w:szCs w:val="20"/>
              </w:rPr>
              <w:t>women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entrepreneurs to develop skills in business management, leadership, use of ecommerce platforms and access to finance.</w:t>
            </w:r>
          </w:p>
          <w:p w14:paraId="0640A291" w14:textId="5D5A27D3" w:rsidR="00261F34" w:rsidRPr="00D742B7" w:rsidRDefault="00245ED2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 the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Investing in Women </w:t>
            </w:r>
            <w:r>
              <w:rPr>
                <w:rFonts w:cstheme="minorHAnsi"/>
                <w:sz w:val="20"/>
                <w:szCs w:val="20"/>
              </w:rPr>
              <w:t xml:space="preserve">program,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supported 17 </w:t>
            </w:r>
            <w:r w:rsidR="00F14566">
              <w:rPr>
                <w:rFonts w:cstheme="minorHAnsi"/>
                <w:sz w:val="20"/>
                <w:szCs w:val="20"/>
              </w:rPr>
              <w:t>women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entrepreneurs, with financial and /or business development services </w:t>
            </w:r>
            <w:r>
              <w:rPr>
                <w:rFonts w:cstheme="minorHAnsi"/>
                <w:sz w:val="20"/>
                <w:szCs w:val="20"/>
              </w:rPr>
              <w:t>to help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women of tech-based start-ups articulate their business narratives for growth, team building and fundraising.</w:t>
            </w:r>
          </w:p>
          <w:p w14:paraId="121C4804" w14:textId="60E930D0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261F34" w:rsidRPr="00085AE8" w14:paraId="25AEC5E6" w14:textId="77777777" w:rsidTr="00DE6F40">
        <w:trPr>
          <w:tblHeader/>
        </w:trPr>
        <w:tc>
          <w:tcPr>
            <w:tcW w:w="3539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38ACAB84" w14:textId="538D647E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D742B7">
              <w:rPr>
                <w:rFonts w:cstheme="minorHAnsi"/>
                <w:sz w:val="20"/>
                <w:szCs w:val="20"/>
              </w:rPr>
              <w:t>Examples of partnering with the private sector and other partners (or government) to ensure supply lines are open to promote the utilisation of FTA provisions and to support increased trade</w:t>
            </w:r>
            <w:r w:rsidRPr="00D742B7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D742B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7" w:type="dxa"/>
            <w:tcBorders>
              <w:top w:val="single" w:sz="4" w:space="0" w:color="65C5B4" w:themeColor="accent1"/>
              <w:left w:val="single" w:sz="4" w:space="0" w:color="65C5B4" w:themeColor="accent1"/>
              <w:bottom w:val="single" w:sz="4" w:space="0" w:color="65C5B4" w:themeColor="accent1"/>
              <w:right w:val="single" w:sz="4" w:space="0" w:color="65C5B4" w:themeColor="accent1"/>
            </w:tcBorders>
            <w:hideMark/>
          </w:tcPr>
          <w:p w14:paraId="533CAB5D" w14:textId="3C7A7AFA" w:rsidR="00261F34" w:rsidRPr="00D742B7" w:rsidRDefault="00245ED2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Supported the establishment of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36 partnerships for innovation on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D742B7">
              <w:rPr>
                <w:rFonts w:cstheme="minorHAnsi"/>
                <w:sz w:val="20"/>
                <w:szCs w:val="20"/>
              </w:rPr>
              <w:t xml:space="preserve">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themes </w:t>
            </w:r>
            <w:r>
              <w:rPr>
                <w:rFonts w:cstheme="minorHAnsi"/>
                <w:sz w:val="20"/>
                <w:szCs w:val="20"/>
              </w:rPr>
              <w:t xml:space="preserve">of: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Digital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conomy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261F34" w:rsidRPr="00D742B7">
              <w:rPr>
                <w:rFonts w:cstheme="minorHAnsi"/>
                <w:sz w:val="20"/>
                <w:szCs w:val="20"/>
              </w:rPr>
              <w:t>evelopment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="00261F34" w:rsidRPr="00D742B7">
              <w:rPr>
                <w:rFonts w:cstheme="minorHAnsi"/>
                <w:sz w:val="20"/>
                <w:szCs w:val="20"/>
              </w:rPr>
              <w:t>and Resilient Agriculture and Food Systems</w:t>
            </w:r>
            <w:r>
              <w:rPr>
                <w:rFonts w:cstheme="minorHAnsi"/>
                <w:sz w:val="20"/>
                <w:szCs w:val="20"/>
              </w:rPr>
              <w:t>. These partnership</w:t>
            </w:r>
            <w:r w:rsidR="00D742B7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will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directly stimulate technology exchange and contribute to increasing trade and openness of economic activities.</w:t>
            </w:r>
          </w:p>
          <w:p w14:paraId="26A87E88" w14:textId="1B2090A4" w:rsidR="00261F34" w:rsidRPr="00D742B7" w:rsidRDefault="00245ED2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partnership with </w:t>
            </w:r>
            <w:r w:rsidRPr="00F13946">
              <w:rPr>
                <w:rFonts w:cstheme="minorHAnsi"/>
                <w:sz w:val="20"/>
                <w:szCs w:val="20"/>
              </w:rPr>
              <w:t>private sector</w:t>
            </w:r>
            <w:r>
              <w:rPr>
                <w:rFonts w:cstheme="minorHAnsi"/>
                <w:sz w:val="20"/>
                <w:szCs w:val="20"/>
              </w:rPr>
              <w:t xml:space="preserve"> companies provided grant financing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for activities, networ</w:t>
            </w:r>
            <w:r>
              <w:rPr>
                <w:rFonts w:cstheme="minorHAnsi"/>
                <w:sz w:val="20"/>
                <w:szCs w:val="20"/>
              </w:rPr>
              <w:t>king</w:t>
            </w:r>
            <w:r w:rsidR="00261F34" w:rsidRPr="00D742B7">
              <w:rPr>
                <w:rFonts w:cstheme="minorHAnsi"/>
                <w:sz w:val="20"/>
                <w:szCs w:val="20"/>
              </w:rPr>
              <w:t>, knowledge</w:t>
            </w:r>
            <w:r>
              <w:rPr>
                <w:rFonts w:cstheme="minorHAnsi"/>
                <w:sz w:val="20"/>
                <w:szCs w:val="20"/>
              </w:rPr>
              <w:t xml:space="preserve"> exchange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and expertise</w:t>
            </w:r>
            <w:r>
              <w:rPr>
                <w:rFonts w:cstheme="minorHAnsi"/>
                <w:sz w:val="20"/>
                <w:szCs w:val="20"/>
              </w:rPr>
              <w:t xml:space="preserve"> sharing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. A </w:t>
            </w:r>
            <w:r>
              <w:rPr>
                <w:rFonts w:cstheme="minorHAnsi"/>
                <w:sz w:val="20"/>
                <w:szCs w:val="20"/>
              </w:rPr>
              <w:t xml:space="preserve">dedicated 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COVID-19 Green Recovery Round </w:t>
            </w:r>
            <w:r w:rsidR="00D742B7">
              <w:rPr>
                <w:rFonts w:cstheme="minorHAnsi"/>
                <w:sz w:val="20"/>
                <w:szCs w:val="20"/>
              </w:rPr>
              <w:t>led</w:t>
            </w:r>
            <w:r>
              <w:rPr>
                <w:rFonts w:cstheme="minorHAnsi"/>
                <w:sz w:val="20"/>
                <w:szCs w:val="20"/>
              </w:rPr>
              <w:t xml:space="preserve"> to support for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four </w:t>
            </w:r>
            <w:r>
              <w:rPr>
                <w:rFonts w:cstheme="minorHAnsi"/>
                <w:sz w:val="20"/>
                <w:szCs w:val="20"/>
              </w:rPr>
              <w:t xml:space="preserve">new </w:t>
            </w:r>
            <w:r w:rsidR="00261F34" w:rsidRPr="00D742B7">
              <w:rPr>
                <w:rFonts w:cstheme="minorHAnsi"/>
                <w:sz w:val="20"/>
                <w:szCs w:val="20"/>
              </w:rPr>
              <w:t>partnerships</w:t>
            </w:r>
            <w:r>
              <w:rPr>
                <w:rFonts w:cstheme="minorHAnsi"/>
                <w:sz w:val="20"/>
                <w:szCs w:val="20"/>
              </w:rPr>
              <w:t xml:space="preserve"> on the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themes of green transitions and climate resilience. The</w:t>
            </w:r>
            <w:r>
              <w:rPr>
                <w:rFonts w:cstheme="minorHAnsi"/>
                <w:sz w:val="20"/>
                <w:szCs w:val="20"/>
              </w:rPr>
              <w:t>se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 four partnerships could leverage up to </w:t>
            </w:r>
            <w:r w:rsidR="00F14566">
              <w:rPr>
                <w:rFonts w:cstheme="minorHAnsi"/>
                <w:sz w:val="20"/>
                <w:szCs w:val="20"/>
              </w:rPr>
              <w:br/>
              <w:t>$</w:t>
            </w:r>
            <w:r w:rsidR="00261F34" w:rsidRPr="00D742B7">
              <w:rPr>
                <w:rFonts w:cstheme="minorHAnsi"/>
                <w:sz w:val="20"/>
                <w:szCs w:val="20"/>
              </w:rPr>
              <w:t xml:space="preserve">9 million in private sector investment. </w:t>
            </w:r>
          </w:p>
          <w:p w14:paraId="290AFD93" w14:textId="53D8CB9E" w:rsidR="00261F34" w:rsidRPr="00D742B7" w:rsidRDefault="00261F34" w:rsidP="00DE6F40">
            <w:pPr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</w:tbl>
    <w:p w14:paraId="3ED19437" w14:textId="77777777" w:rsidR="00261F34" w:rsidRDefault="00261F34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/>
          <w:caps/>
          <w:color w:val="auto"/>
          <w:szCs w:val="26"/>
        </w:rPr>
      </w:pPr>
      <w:r>
        <w:rPr>
          <w:color w:val="auto"/>
        </w:rPr>
        <w:br w:type="page"/>
      </w:r>
    </w:p>
    <w:p w14:paraId="06ABEE3D" w14:textId="6DA3C536" w:rsidR="00D1231A" w:rsidRPr="00DE6F40" w:rsidRDefault="00121DDD" w:rsidP="00DE6F40">
      <w:pPr>
        <w:pStyle w:val="Heading2"/>
      </w:pPr>
      <w:r w:rsidRPr="00DE6F40">
        <w:lastRenderedPageBreak/>
        <w:t>Annex 2</w:t>
      </w:r>
      <w:r w:rsidR="00D1231A" w:rsidRPr="00DE6F40">
        <w:t>: Investment Performance</w:t>
      </w:r>
      <w:r w:rsidR="000F78C9" w:rsidRPr="00DE6F40">
        <w:t xml:space="preserve"> ratings</w:t>
      </w:r>
    </w:p>
    <w:tbl>
      <w:tblPr>
        <w:tblStyle w:val="DFATTable1"/>
        <w:tblW w:w="10620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4"/>
        <w:gridCol w:w="1133"/>
        <w:gridCol w:w="1275"/>
        <w:gridCol w:w="1133"/>
        <w:gridCol w:w="1275"/>
      </w:tblGrid>
      <w:tr w:rsidR="00DE6F40" w:rsidRPr="00DE6F40" w14:paraId="7AFBFDFE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15730719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78E3F3F7" w14:textId="7C075C99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5C13392C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6885434B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5B738D2E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DE6F40" w:rsidRPr="00DE6F40" w14:paraId="38CA524D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F2F2F2" w:themeFill="background1" w:themeFillShade="F2"/>
            <w:vAlign w:val="bottom"/>
            <w:hideMark/>
          </w:tcPr>
          <w:p w14:paraId="304BE2C6" w14:textId="7579FF83" w:rsidR="007142AE" w:rsidRPr="00DE6F40" w:rsidRDefault="007142A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Human Resource Development Facility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6A47962D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57592AC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12CB7D8C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239C287F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6</w:t>
            </w:r>
          </w:p>
        </w:tc>
      </w:tr>
      <w:tr w:rsidR="00DE6F40" w:rsidRPr="00DE6F40" w14:paraId="06F75101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4C4165C" w14:textId="3F083E38" w:rsidR="007142AE" w:rsidRPr="00DE6F40" w:rsidRDefault="007142AE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Investment duration: 2016-</w:t>
            </w:r>
            <w:r w:rsidR="00FA1B3E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25; Budget: $</w:t>
            </w:r>
            <w:r w:rsidR="002910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76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319A9EB7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13C79D69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6BEE9132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3A451304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6</w:t>
            </w:r>
          </w:p>
        </w:tc>
      </w:tr>
      <w:tr w:rsidR="00DE6F40" w:rsidRPr="00DE6F40" w14:paraId="6241B66A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vAlign w:val="bottom"/>
            <w:hideMark/>
          </w:tcPr>
          <w:p w14:paraId="58EB50F4" w14:textId="0057AEE5" w:rsidR="007142AE" w:rsidRPr="00DE6F40" w:rsidRDefault="007142A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Australia World Bank Partnership Phase 2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568D8651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0E66BDED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1690E12D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4F1B380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5</w:t>
            </w:r>
          </w:p>
        </w:tc>
      </w:tr>
      <w:tr w:rsidR="00DE6F40" w:rsidRPr="00DE6F40" w14:paraId="7FA63741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0DFFF819" w14:textId="3A47D1AC" w:rsidR="007142AE" w:rsidRPr="00DE6F40" w:rsidRDefault="007142AE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Investment duration: 201</w:t>
            </w:r>
            <w:r w:rsidR="002910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7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-</w:t>
            </w:r>
            <w:r w:rsidR="00FA1B3E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23; Budget: $35m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2FDD86A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6083E858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3F7567D6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161D5DD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5</w:t>
            </w:r>
          </w:p>
        </w:tc>
      </w:tr>
      <w:tr w:rsidR="00DE6F40" w:rsidRPr="00DE6F40" w14:paraId="5DC276E8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A2A842" w14:textId="77777777" w:rsidR="007142AE" w:rsidRPr="00DE6F40" w:rsidRDefault="007142A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Aus4Equality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91DB854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14354BE1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5BACB6A7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0BE7FC30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5</w:t>
            </w:r>
          </w:p>
        </w:tc>
      </w:tr>
      <w:tr w:rsidR="00DE6F40" w:rsidRPr="00DE6F40" w14:paraId="679C3B9A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08588856" w14:textId="1FF49E64" w:rsidR="007142AE" w:rsidRPr="00DE6F40" w:rsidRDefault="007142AE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Investment duration: 2015-</w:t>
            </w:r>
            <w:proofErr w:type="gramStart"/>
            <w:r w:rsidR="00FA1B3E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22;  Budget</w:t>
            </w:r>
            <w:proofErr w:type="gramEnd"/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: $43.3m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7730DD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23E75065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7C03F141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3E4B3E27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5</w:t>
            </w:r>
          </w:p>
        </w:tc>
      </w:tr>
      <w:tr w:rsidR="00DE6F40" w:rsidRPr="00DE6F40" w14:paraId="7FD0780E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vAlign w:val="bottom"/>
            <w:hideMark/>
          </w:tcPr>
          <w:p w14:paraId="6FA77030" w14:textId="77777777" w:rsidR="007142AE" w:rsidRPr="00DE6F40" w:rsidRDefault="007142A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Aus4Transport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0587DB33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47F0ED72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00D217EB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16EC3C42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</w:tr>
      <w:tr w:rsidR="00DE6F40" w:rsidRPr="00DE6F40" w14:paraId="2F5E8456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7B9AB2BF" w14:textId="26AD1AAD" w:rsidR="007142AE" w:rsidRPr="00DE6F40" w:rsidRDefault="007142AE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Investment duration: 2016-</w:t>
            </w:r>
            <w:proofErr w:type="gramStart"/>
            <w:r w:rsidR="00FA1B3E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22;  Budget</w:t>
            </w:r>
            <w:proofErr w:type="gramEnd"/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: $30.5m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78C84324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35C4C2B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586F1CC8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39AFFBE0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</w:tr>
      <w:tr w:rsidR="00DE6F40" w:rsidRPr="00DE6F40" w14:paraId="38449A84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07A76A" w14:textId="77777777" w:rsidR="007142AE" w:rsidRPr="00DE6F40" w:rsidRDefault="007142A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Aus4Reform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38AE74FC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17CABB78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5786AED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64EECD3D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</w:tr>
      <w:tr w:rsidR="00DE6F40" w:rsidRPr="00DE6F40" w14:paraId="029E7076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3AE88F5F" w14:textId="2916FE24" w:rsidR="007142AE" w:rsidRPr="00DE6F40" w:rsidRDefault="007142AE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Investment duration: 2017-</w:t>
            </w:r>
            <w:r w:rsidR="00FA1B3E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25; Budget: $19.4m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06D10C0D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1CC80EB7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41E93A9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2B7A01A9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</w:tr>
      <w:tr w:rsidR="00DE6F40" w:rsidRPr="00DE6F40" w14:paraId="6F6D4138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134D1DF6" w14:textId="77777777" w:rsidR="007142AE" w:rsidRPr="00DE6F40" w:rsidRDefault="007142AE">
            <w:pPr>
              <w:suppressAutoHyphens w:val="0"/>
              <w:spacing w:before="0" w:after="0" w:line="240" w:lineRule="auto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Aus4Innovation 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1083179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102D2007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2E325F0C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5D75132B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4</w:t>
            </w:r>
          </w:p>
        </w:tc>
      </w:tr>
      <w:tr w:rsidR="00DE6F40" w:rsidRPr="00DE6F40" w14:paraId="43666B70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4D6BF110" w14:textId="72206DD6" w:rsidR="007142AE" w:rsidRPr="00DE6F40" w:rsidRDefault="007142AE" w:rsidP="00DE5E59">
            <w:pPr>
              <w:suppressAutoHyphens w:val="0"/>
              <w:spacing w:before="0" w:after="0" w:line="240" w:lineRule="auto"/>
              <w:ind w:left="171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eastAsia="en-AU"/>
              </w:rPr>
              <w:t>Investment duration: 2018-</w:t>
            </w:r>
            <w:r w:rsidR="00FA1B3E">
              <w:rPr>
                <w:rFonts w:eastAsia="Times New Roman" w:cstheme="minorHAnsi"/>
                <w:sz w:val="20"/>
                <w:szCs w:val="20"/>
                <w:lang w:eastAsia="en-AU"/>
              </w:rPr>
              <w:t>20</w:t>
            </w:r>
            <w:r w:rsidRPr="00DE6F40">
              <w:rPr>
                <w:rFonts w:eastAsia="Times New Roman" w:cstheme="minorHAnsi"/>
                <w:sz w:val="20"/>
                <w:szCs w:val="20"/>
                <w:lang w:eastAsia="en-AU"/>
              </w:rPr>
              <w:t>22; Budget: $13.45m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410BC60F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7BB9FFB8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2994209E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E0F3EF" w:themeFill="accent1" w:themeFillTint="33"/>
            <w:noWrap/>
            <w:hideMark/>
          </w:tcPr>
          <w:p w14:paraId="32B42118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eastAsia="Times New Roman" w:cstheme="minorHAnsi"/>
                <w:sz w:val="20"/>
                <w:szCs w:val="20"/>
                <w:lang w:val="en-AU" w:eastAsia="en-AU"/>
              </w:rPr>
              <w:t>4</w:t>
            </w:r>
          </w:p>
        </w:tc>
      </w:tr>
    </w:tbl>
    <w:p w14:paraId="34C0C8B7" w14:textId="77777777" w:rsidR="007142AE" w:rsidRPr="00DE6F40" w:rsidRDefault="007142AE" w:rsidP="007142AE"/>
    <w:p w14:paraId="3800A196" w14:textId="52AEE48B" w:rsidR="00E221FA" w:rsidRPr="00DE6F40" w:rsidRDefault="00E221FA" w:rsidP="00DE6F40">
      <w:pPr>
        <w:pStyle w:val="Heading2"/>
      </w:pPr>
      <w:r w:rsidRPr="00DE6F40">
        <w:t>Final Investment Performance ratings</w:t>
      </w:r>
    </w:p>
    <w:tbl>
      <w:tblPr>
        <w:tblStyle w:val="DFATTable1"/>
        <w:tblW w:w="10620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</w:tblPr>
      <w:tblGrid>
        <w:gridCol w:w="5804"/>
        <w:gridCol w:w="1133"/>
        <w:gridCol w:w="1275"/>
        <w:gridCol w:w="1133"/>
        <w:gridCol w:w="1275"/>
      </w:tblGrid>
      <w:tr w:rsidR="00DE6F40" w:rsidRPr="00DE6F40" w14:paraId="3590583D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4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76F0BD4B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3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0C9AEB2C" w14:textId="61C9211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5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2E3CB374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3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69BD3305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5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A2DCD1" w:themeFill="accent1" w:themeFillTint="99"/>
            <w:noWrap/>
            <w:hideMark/>
          </w:tcPr>
          <w:p w14:paraId="1A5B2468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DE6F40" w:rsidRPr="00DE6F40" w14:paraId="6A02EEE9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4" w:type="dxa"/>
            <w:tcBorders>
              <w:left w:val="single" w:sz="4" w:space="0" w:color="65C5B4" w:themeColor="accent1"/>
              <w:bottom w:val="nil"/>
              <w:right w:val="single" w:sz="4" w:space="0" w:color="65C5B4" w:themeColor="accent1"/>
            </w:tcBorders>
            <w:shd w:val="clear" w:color="auto" w:fill="F2F2F2" w:themeFill="background1" w:themeFillShade="F2"/>
            <w:vAlign w:val="bottom"/>
            <w:hideMark/>
          </w:tcPr>
          <w:p w14:paraId="7D95E74F" w14:textId="75BCAACB" w:rsidR="007142AE" w:rsidRPr="00DE6F40" w:rsidRDefault="007142A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Climate Innovation Centre</w:t>
            </w:r>
          </w:p>
        </w:tc>
        <w:tc>
          <w:tcPr>
            <w:tcW w:w="1133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7AD7C904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2021 FIMR</w:t>
            </w:r>
          </w:p>
        </w:tc>
        <w:tc>
          <w:tcPr>
            <w:tcW w:w="1275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4347A074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3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2DE361AD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5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</w:tcPr>
          <w:p w14:paraId="0726F408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</w:t>
            </w:r>
          </w:p>
          <w:p w14:paraId="7C6C83A3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</w:p>
        </w:tc>
      </w:tr>
      <w:tr w:rsidR="00DE6F40" w:rsidRPr="00DE6F40" w14:paraId="0D08FA5E" w14:textId="77777777" w:rsidTr="00DE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4" w:type="dxa"/>
            <w:tcBorders>
              <w:top w:val="nil"/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0D9453AA" w14:textId="6122A4E0" w:rsidR="007142AE" w:rsidRPr="00DE6F40" w:rsidRDefault="007142AE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Investment duration: 2013-</w:t>
            </w:r>
            <w:r w:rsidR="00FA1B3E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</w:t>
            </w: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20; Budget: $4.65m</w:t>
            </w:r>
          </w:p>
        </w:tc>
        <w:tc>
          <w:tcPr>
            <w:tcW w:w="1133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0E5A4D45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2020 IMR</w:t>
            </w:r>
          </w:p>
        </w:tc>
        <w:tc>
          <w:tcPr>
            <w:tcW w:w="1275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3952FF7F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3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40208427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5" w:type="dxa"/>
            <w:tcBorders>
              <w:left w:val="single" w:sz="4" w:space="0" w:color="65C5B4" w:themeColor="accent1"/>
              <w:right w:val="single" w:sz="4" w:space="0" w:color="65C5B4" w:themeColor="accent1"/>
            </w:tcBorders>
            <w:shd w:val="clear" w:color="auto" w:fill="F2F2F2" w:themeFill="background1" w:themeFillShade="F2"/>
            <w:noWrap/>
            <w:hideMark/>
          </w:tcPr>
          <w:p w14:paraId="3A7A9DEA" w14:textId="77777777" w:rsidR="007142AE" w:rsidRPr="00DE6F40" w:rsidRDefault="007142AE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E6F4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4</w:t>
            </w:r>
          </w:p>
        </w:tc>
      </w:tr>
    </w:tbl>
    <w:p w14:paraId="17600418" w14:textId="41A50F69" w:rsidR="00681633" w:rsidRPr="00DE6F40" w:rsidRDefault="00681633" w:rsidP="007A4493">
      <w:pPr>
        <w:spacing w:before="240" w:after="0" w:line="240" w:lineRule="auto"/>
        <w:jc w:val="both"/>
        <w:rPr>
          <w:rFonts w:eastAsia="Times New Roman"/>
          <w:sz w:val="17"/>
          <w:szCs w:val="17"/>
        </w:rPr>
      </w:pPr>
      <w:r w:rsidRPr="00DE6F40">
        <w:rPr>
          <w:rFonts w:eastAsia="Times New Roman"/>
          <w:b/>
          <w:sz w:val="17"/>
          <w:szCs w:val="17"/>
        </w:rPr>
        <w:t>Definitions of rating scale</w:t>
      </w:r>
      <w:r w:rsidRPr="00DE6F40">
        <w:rPr>
          <w:rFonts w:eastAsia="Times New Roman"/>
          <w:sz w:val="17"/>
          <w:szCs w:val="17"/>
        </w:rPr>
        <w:t>:</w:t>
      </w:r>
      <w:r w:rsidRPr="00DE6F40">
        <w:rPr>
          <w:rFonts w:eastAsia="Times New Roman"/>
          <w:sz w:val="17"/>
          <w:szCs w:val="17"/>
        </w:rPr>
        <w:tab/>
      </w:r>
    </w:p>
    <w:p w14:paraId="5989C7B0" w14:textId="77777777" w:rsidR="00681633" w:rsidRPr="00DE6F40" w:rsidRDefault="00681633" w:rsidP="00681633">
      <w:pPr>
        <w:spacing w:before="20" w:after="20" w:line="180" w:lineRule="atLeast"/>
        <w:jc w:val="both"/>
        <w:rPr>
          <w:rFonts w:eastAsia="Times New Roman"/>
          <w:sz w:val="17"/>
          <w:szCs w:val="17"/>
        </w:rPr>
      </w:pPr>
      <w:r w:rsidRPr="00DE6F40">
        <w:rPr>
          <w:rFonts w:eastAsia="Times New Roman"/>
          <w:sz w:val="17"/>
          <w:szCs w:val="17"/>
          <w:u w:val="single"/>
        </w:rPr>
        <w:t>Satisfactory (4, 5 and 6)</w:t>
      </w:r>
    </w:p>
    <w:p w14:paraId="15BE82E8" w14:textId="77777777" w:rsidR="00681633" w:rsidRPr="00DE6F40" w:rsidRDefault="00681633" w:rsidP="00681633">
      <w:pPr>
        <w:spacing w:line="240" w:lineRule="auto"/>
        <w:rPr>
          <w:sz w:val="16"/>
          <w:szCs w:val="16"/>
        </w:rPr>
      </w:pPr>
      <w:r w:rsidRPr="00DE6F40">
        <w:rPr>
          <w:sz w:val="16"/>
          <w:szCs w:val="16"/>
        </w:rPr>
        <w:t xml:space="preserve">6 = Very good; satisfies criteria in all areas. </w:t>
      </w:r>
      <w:r w:rsidRPr="00DE6F40">
        <w:rPr>
          <w:sz w:val="16"/>
          <w:szCs w:val="16"/>
        </w:rPr>
        <w:br/>
        <w:t>5 = Good; satisfies criteria in almost all areas.</w:t>
      </w:r>
      <w:r w:rsidRPr="00DE6F40">
        <w:rPr>
          <w:sz w:val="16"/>
          <w:szCs w:val="16"/>
        </w:rPr>
        <w:br/>
        <w:t>4 = Adequate; on balance, satisfies criteria; does not fail in any major area.</w:t>
      </w:r>
    </w:p>
    <w:p w14:paraId="48B0BB33" w14:textId="77777777" w:rsidR="00681633" w:rsidRPr="00DE6F40" w:rsidRDefault="00681633" w:rsidP="00681633">
      <w:pPr>
        <w:spacing w:line="240" w:lineRule="auto"/>
        <w:rPr>
          <w:sz w:val="16"/>
          <w:szCs w:val="16"/>
          <w:u w:val="single"/>
        </w:rPr>
      </w:pPr>
      <w:r w:rsidRPr="00DE6F40">
        <w:rPr>
          <w:sz w:val="16"/>
          <w:szCs w:val="16"/>
          <w:u w:val="single"/>
        </w:rPr>
        <w:t>Less than satisfactory (1, 2 and 3)</w:t>
      </w:r>
    </w:p>
    <w:p w14:paraId="4DC45723" w14:textId="62D36230" w:rsidR="00681633" w:rsidRPr="00DE6F40" w:rsidRDefault="00681633" w:rsidP="008A6BB7">
      <w:pPr>
        <w:spacing w:before="0" w:after="0" w:line="240" w:lineRule="auto"/>
      </w:pPr>
      <w:r w:rsidRPr="00DE6F40">
        <w:rPr>
          <w:sz w:val="16"/>
          <w:szCs w:val="16"/>
        </w:rPr>
        <w:t>3 = Less than adequate; on balance does not satisfy criteria and/or fails in at least one major area.</w:t>
      </w:r>
      <w:r w:rsidRPr="00DE6F40">
        <w:rPr>
          <w:sz w:val="16"/>
          <w:szCs w:val="16"/>
        </w:rPr>
        <w:br/>
        <w:t>2 = Poor; does not satisfy criteria in major areas.</w:t>
      </w:r>
      <w:r w:rsidRPr="00DE6F40">
        <w:rPr>
          <w:sz w:val="16"/>
          <w:szCs w:val="16"/>
        </w:rPr>
        <w:br/>
        <w:t xml:space="preserve">1 = Very poor; does not satisfy criteria in many major </w:t>
      </w:r>
      <w:proofErr w:type="gramStart"/>
      <w:r w:rsidRPr="00DE6F40">
        <w:rPr>
          <w:sz w:val="16"/>
          <w:szCs w:val="16"/>
        </w:rPr>
        <w:t>area</w:t>
      </w:r>
      <w:proofErr w:type="gramEnd"/>
      <w:r w:rsidRPr="00DE6F40">
        <w:t>.</w:t>
      </w:r>
      <w:r w:rsidRPr="00DE6F40">
        <w:br/>
      </w:r>
    </w:p>
    <w:sectPr w:rsidR="00681633" w:rsidRPr="00DE6F40" w:rsidSect="00363A9F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51781" w14:textId="77777777" w:rsidR="004006B7" w:rsidRDefault="004006B7" w:rsidP="00D37B04">
      <w:r>
        <w:separator/>
      </w:r>
    </w:p>
  </w:endnote>
  <w:endnote w:type="continuationSeparator" w:id="0">
    <w:p w14:paraId="0D0AE0D2" w14:textId="77777777" w:rsidR="004006B7" w:rsidRDefault="004006B7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660320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0B330BF9" w14:textId="1E6C1402" w:rsidR="00291006" w:rsidRDefault="00291006" w:rsidP="00DE6F40">
        <w:pPr>
          <w:pStyle w:val="Footer"/>
          <w:jc w:val="center"/>
          <w:rPr>
            <w:color w:val="auto"/>
          </w:rPr>
        </w:pPr>
        <w:r w:rsidRPr="00C92805">
          <w:rPr>
            <w:b/>
            <w:noProof/>
            <w:color w:val="495965" w:themeColor="text2"/>
            <w:lang w:val="en-AU" w:eastAsia="en-AU"/>
          </w:rPr>
          <w:drawing>
            <wp:anchor distT="0" distB="0" distL="114300" distR="114300" simplePos="0" relativeHeight="251662336" behindDoc="1" locked="0" layoutInCell="1" allowOverlap="1" wp14:anchorId="5C2FAE1B" wp14:editId="34F8486F">
              <wp:simplePos x="0" y="0"/>
              <wp:positionH relativeFrom="margin">
                <wp:posOffset>-120650</wp:posOffset>
              </wp:positionH>
              <wp:positionV relativeFrom="page">
                <wp:posOffset>9728200</wp:posOffset>
              </wp:positionV>
              <wp:extent cx="6931025" cy="603239"/>
              <wp:effectExtent l="0" t="0" r="0" b="6985"/>
              <wp:wrapNone/>
              <wp:docPr id="11" name="Pictur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FS-Aqua-Footer-P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6589" cy="608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sdt>
        <w:sdtPr>
          <w:rPr>
            <w:color w:val="auto"/>
          </w:rPr>
          <w:id w:val="161368827"/>
          <w:docPartObj>
            <w:docPartGallery w:val="Page Numbers (Bottom of Page)"/>
            <w:docPartUnique/>
          </w:docPartObj>
        </w:sdtPr>
        <w:sdtEndPr/>
        <w:sdtContent>
          <w:p w14:paraId="5C2FC928" w14:textId="4315CD3C" w:rsidR="00291006" w:rsidRPr="00854F69" w:rsidRDefault="00291006" w:rsidP="004878B9">
            <w:pPr>
              <w:pStyle w:val="Footer"/>
              <w:ind w:right="198"/>
              <w:rPr>
                <w:b/>
                <w:noProof/>
                <w:color w:val="495965" w:themeColor="text2"/>
                <w:lang w:val="en-AU" w:eastAsia="en-AU"/>
              </w:rPr>
            </w:pPr>
            <w:r>
              <w:rPr>
                <w:b/>
                <w:noProof/>
                <w:color w:val="495965" w:themeColor="text2"/>
                <w:lang w:val="en-AU" w:eastAsia="en-AU"/>
              </w:rPr>
              <w:tab/>
            </w:r>
            <w:r w:rsidRPr="004878B9">
              <w:rPr>
                <w:bCs/>
                <w:noProof/>
                <w:color w:val="auto"/>
                <w:lang w:val="en-AU" w:eastAsia="en-AU"/>
              </w:rPr>
              <w:fldChar w:fldCharType="begin"/>
            </w:r>
            <w:r w:rsidRPr="004878B9">
              <w:rPr>
                <w:bCs/>
                <w:noProof/>
                <w:color w:val="auto"/>
                <w:lang w:val="en-AU" w:eastAsia="en-AU"/>
              </w:rPr>
              <w:instrText xml:space="preserve"> PAGE   \* MERGEFORMAT </w:instrText>
            </w:r>
            <w:r w:rsidRPr="004878B9">
              <w:rPr>
                <w:bCs/>
                <w:noProof/>
                <w:color w:val="auto"/>
                <w:lang w:val="en-AU" w:eastAsia="en-AU"/>
              </w:rPr>
              <w:fldChar w:fldCharType="separate"/>
            </w:r>
            <w:r w:rsidRPr="004878B9">
              <w:rPr>
                <w:bCs/>
                <w:noProof/>
                <w:color w:val="auto"/>
                <w:lang w:val="en-AU" w:eastAsia="en-AU"/>
              </w:rPr>
              <w:t>1</w:t>
            </w:r>
            <w:r w:rsidRPr="004878B9">
              <w:rPr>
                <w:bCs/>
                <w:noProof/>
                <w:color w:val="auto"/>
                <w:lang w:val="en-AU" w:eastAsia="en-AU"/>
              </w:rPr>
              <w:fldChar w:fldCharType="end"/>
            </w:r>
          </w:p>
          <w:p w14:paraId="181F9B43" w14:textId="3044D86E" w:rsidR="00291006" w:rsidRDefault="00291006" w:rsidP="00DE6F40">
            <w:pPr>
              <w:pStyle w:val="Footer"/>
              <w:jc w:val="left"/>
              <w:rPr>
                <w:color w:val="auto"/>
              </w:rPr>
            </w:pPr>
          </w:p>
          <w:p w14:paraId="5A1E87FB" w14:textId="3B5FC85F" w:rsidR="00291006" w:rsidRPr="00DE6F40" w:rsidRDefault="0056440F" w:rsidP="00DE6F40">
            <w:pPr>
              <w:pStyle w:val="Footer"/>
              <w:jc w:val="center"/>
              <w:rPr>
                <w:noProof/>
                <w:color w:val="auto"/>
                <w:sz w:val="20"/>
                <w:szCs w:val="20"/>
              </w:rPr>
            </w:pPr>
          </w:p>
        </w:sdtContent>
      </w:sdt>
    </w:sdtContent>
  </w:sdt>
  <w:p w14:paraId="3A729F02" w14:textId="519EAB54" w:rsidR="00291006" w:rsidRDefault="00291006" w:rsidP="009131E9">
    <w:pPr>
      <w:pStyle w:val="Footer"/>
      <w:spacing w:line="240" w:lineRule="auto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C768F" w14:textId="6F080710" w:rsidR="00291006" w:rsidRPr="00854F69" w:rsidRDefault="00291006" w:rsidP="00C405A6">
    <w:pPr>
      <w:pStyle w:val="Footer"/>
      <w:ind w:right="198"/>
      <w:rPr>
        <w:b/>
        <w:noProof/>
        <w:color w:val="495965" w:themeColor="text2"/>
        <w:lang w:val="en-AU" w:eastAsia="en-AU"/>
      </w:rPr>
    </w:pPr>
    <w:bookmarkStart w:id="16" w:name="_Hlk83804239"/>
    <w:r w:rsidRPr="00C92805">
      <w:rPr>
        <w:b/>
        <w:noProof/>
        <w:color w:val="495965" w:themeColor="text2"/>
        <w:lang w:val="en-AU" w:eastAsia="en-AU"/>
      </w:rPr>
      <w:drawing>
        <wp:anchor distT="0" distB="0" distL="114300" distR="114300" simplePos="0" relativeHeight="251664384" behindDoc="1" locked="0" layoutInCell="1" allowOverlap="1" wp14:anchorId="4FED30F4" wp14:editId="597BD4C9">
          <wp:simplePos x="0" y="0"/>
          <wp:positionH relativeFrom="margin">
            <wp:posOffset>-123190</wp:posOffset>
          </wp:positionH>
          <wp:positionV relativeFrom="page">
            <wp:posOffset>9843770</wp:posOffset>
          </wp:positionV>
          <wp:extent cx="6934835" cy="742071"/>
          <wp:effectExtent l="0" t="0" r="0" b="127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835" cy="74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B70">
      <w:rPr>
        <w:b/>
        <w:noProof/>
        <w:color w:val="495965" w:themeColor="text2"/>
        <w:lang w:val="en-AU" w:eastAsia="en-AU"/>
      </w:rPr>
      <w:t>Novem</w:t>
    </w:r>
    <w:r>
      <w:rPr>
        <w:b/>
        <w:noProof/>
        <w:color w:val="495965" w:themeColor="text2"/>
        <w:lang w:val="en-AU" w:eastAsia="en-AU"/>
      </w:rPr>
      <w:t>ber</w:t>
    </w:r>
    <w:r w:rsidRPr="00C92805">
      <w:rPr>
        <w:b/>
        <w:noProof/>
        <w:color w:val="495965" w:themeColor="text2"/>
        <w:lang w:val="en-AU" w:eastAsia="en-AU"/>
      </w:rPr>
      <w:t xml:space="preserve"> </w:t>
    </w:r>
    <w:r>
      <w:rPr>
        <w:b/>
        <w:noProof/>
        <w:color w:val="495965" w:themeColor="text2"/>
        <w:lang w:val="en-AU" w:eastAsia="en-AU"/>
      </w:rPr>
      <w:t>20</w:t>
    </w:r>
    <w:r w:rsidRPr="00C92805">
      <w:rPr>
        <w:b/>
        <w:noProof/>
        <w:color w:val="495965" w:themeColor="text2"/>
        <w:lang w:val="en-AU" w:eastAsia="en-AU"/>
      </w:rPr>
      <w:t>2</w:t>
    </w:r>
    <w:r>
      <w:rPr>
        <w:b/>
        <w:noProof/>
        <w:color w:val="495965" w:themeColor="text2"/>
        <w:lang w:val="en-AU" w:eastAsia="en-AU"/>
      </w:rPr>
      <w:t>1</w:t>
    </w:r>
    <w:r w:rsidR="004E2B70">
      <w:rPr>
        <w:b/>
        <w:noProof/>
        <w:color w:val="495965" w:themeColor="text2"/>
        <w:lang w:val="en-AU" w:eastAsia="en-AU"/>
      </w:rPr>
      <w:t xml:space="preserve"> </w:t>
    </w:r>
    <w:r>
      <w:rPr>
        <w:b/>
        <w:noProof/>
        <w:color w:val="495965" w:themeColor="text2"/>
        <w:lang w:val="en-AU" w:eastAsia="en-AU"/>
      </w:rPr>
      <w:tab/>
    </w:r>
    <w:r w:rsidRPr="007002E3">
      <w:rPr>
        <w:bCs/>
        <w:noProof/>
        <w:color w:val="auto"/>
        <w:lang w:val="en-AU" w:eastAsia="en-AU"/>
      </w:rPr>
      <w:fldChar w:fldCharType="begin"/>
    </w:r>
    <w:r w:rsidRPr="007002E3">
      <w:rPr>
        <w:bCs/>
        <w:noProof/>
        <w:color w:val="auto"/>
        <w:lang w:val="en-AU" w:eastAsia="en-AU"/>
      </w:rPr>
      <w:instrText xml:space="preserve"> PAGE   \* MERGEFORMAT </w:instrText>
    </w:r>
    <w:r w:rsidRPr="007002E3">
      <w:rPr>
        <w:bCs/>
        <w:noProof/>
        <w:color w:val="auto"/>
        <w:lang w:val="en-AU" w:eastAsia="en-AU"/>
      </w:rPr>
      <w:fldChar w:fldCharType="separate"/>
    </w:r>
    <w:r>
      <w:rPr>
        <w:bCs/>
        <w:noProof/>
        <w:color w:val="auto"/>
        <w:lang w:val="en-AU" w:eastAsia="en-AU"/>
      </w:rPr>
      <w:t>1</w:t>
    </w:r>
    <w:r w:rsidRPr="007002E3">
      <w:rPr>
        <w:bCs/>
        <w:noProof/>
        <w:color w:val="auto"/>
        <w:lang w:val="en-AU" w:eastAsia="en-AU"/>
      </w:rPr>
      <w:fldChar w:fldCharType="end"/>
    </w:r>
  </w:p>
  <w:bookmarkEnd w:id="16"/>
  <w:p w14:paraId="13C2184D" w14:textId="29A8A4F1" w:rsidR="00291006" w:rsidRPr="00C405A6" w:rsidRDefault="00291006" w:rsidP="00C4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85EFB" w14:textId="77777777" w:rsidR="004006B7" w:rsidRPr="008C5A0E" w:rsidRDefault="004006B7" w:rsidP="00D37B04">
      <w:pPr>
        <w:pStyle w:val="Footer"/>
      </w:pPr>
    </w:p>
  </w:footnote>
  <w:footnote w:type="continuationSeparator" w:id="0">
    <w:p w14:paraId="59634590" w14:textId="77777777" w:rsidR="004006B7" w:rsidRDefault="004006B7" w:rsidP="00D37B04">
      <w:r>
        <w:continuationSeparator/>
      </w:r>
    </w:p>
  </w:footnote>
  <w:footnote w:id="1">
    <w:p w14:paraId="2D3BC3EA" w14:textId="44264315" w:rsidR="00291006" w:rsidRPr="00D742B7" w:rsidRDefault="00291006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/>
        </w:rPr>
        <w:t>Couple Years of Protection</w:t>
      </w:r>
      <w:r w:rsidRPr="007B44DD">
        <w:t xml:space="preserve"> </w:t>
      </w:r>
      <w:r w:rsidRPr="00D742B7">
        <w:rPr>
          <w:rFonts w:ascii="Arial Narrow" w:hAnsi="Arial Narrow"/>
        </w:rPr>
        <w:t>is the estimated protection provided by contraceptive methods during a one-year period, based upon the volume of all contraceptives sold or distributed free of charge to clients during that period</w:t>
      </w:r>
      <w:r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D31F5" w14:textId="77777777" w:rsidR="00291006" w:rsidRDefault="00291006" w:rsidP="00C927CC">
    <w:pPr>
      <w:pStyle w:val="Header"/>
      <w:ind w:left="0"/>
    </w:pPr>
    <w:bookmarkStart w:id="1" w:name="_Hlk83758746"/>
    <w:bookmarkStart w:id="2" w:name="_Hlk83759779"/>
    <w:bookmarkStart w:id="3" w:name="_Hlk83758290"/>
    <w:bookmarkStart w:id="4" w:name="_Hlk83759306"/>
    <w:bookmarkStart w:id="5" w:name="_Hlk83759307"/>
    <w:bookmarkStart w:id="6" w:name="_Hlk83759328"/>
    <w:bookmarkStart w:id="7" w:name="_Hlk83759329"/>
    <w:bookmarkStart w:id="8" w:name="_Hlk83759798"/>
    <w:bookmarkStart w:id="9" w:name="_Hlk83759799"/>
    <w:bookmarkStart w:id="10" w:name="_Hlk83759991"/>
    <w:bookmarkStart w:id="11" w:name="_Hlk83759992"/>
    <w:bookmarkStart w:id="12" w:name="_Hlk83760071"/>
    <w:bookmarkStart w:id="13" w:name="_Hlk83760072"/>
    <w:bookmarkStart w:id="14" w:name="_Hlk83760285"/>
    <w:bookmarkStart w:id="15" w:name="_Hlk83760286"/>
    <w:r w:rsidRPr="00A12B40">
      <w:rPr>
        <w:i/>
        <w:caps w:val="0"/>
      </w:rPr>
      <w:t>Partnerships for Recove</w:t>
    </w:r>
    <w:bookmarkEnd w:id="1"/>
    <w:r w:rsidRPr="00A12B40">
      <w:rPr>
        <w:i/>
        <w:caps w:val="0"/>
      </w:rPr>
      <w:t>ry</w:t>
    </w:r>
    <w:bookmarkEnd w:id="2"/>
    <w:r w:rsidRPr="00A12B40">
      <w:rPr>
        <w:i/>
        <w:noProof/>
        <w:lang w:val="en-AU" w:eastAsia="en-AU"/>
      </w:rPr>
      <w:drawing>
        <wp:inline distT="0" distB="0" distL="0" distR="0" wp14:anchorId="0B625887" wp14:editId="56EAE252">
          <wp:extent cx="6718853" cy="707390"/>
          <wp:effectExtent l="0" t="0" r="635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5C217E92" w14:textId="45E6EB88" w:rsidR="00291006" w:rsidRDefault="00291006" w:rsidP="007A4493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2A5E" w14:textId="483FCFE4" w:rsidR="00291006" w:rsidRDefault="00291006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12" name="Picture 12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FE559EC"/>
    <w:multiLevelType w:val="multilevel"/>
    <w:tmpl w:val="C920726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hAnsiTheme="minorHAnsi" w:cs="Times New Roman" w:hint="default"/>
        <w:color w:val="65C5B4" w:themeColor="accent1"/>
      </w:rPr>
    </w:lvl>
    <w:lvl w:ilvl="2">
      <w:start w:val="1"/>
      <w:numFmt w:val="lowerLetter"/>
      <w:lvlText w:val="%3."/>
      <w:lvlJc w:val="left"/>
      <w:pPr>
        <w:ind w:left="864" w:hanging="432"/>
      </w:pPr>
      <w:rPr>
        <w:rFonts w:asciiTheme="minorHAnsi" w:hAnsiTheme="minorHAnsi" w:cs="Times New Roman" w:hint="default"/>
        <w:color w:val="D3875F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B6137B"/>
    <w:multiLevelType w:val="hybridMultilevel"/>
    <w:tmpl w:val="D1F07D0C"/>
    <w:lvl w:ilvl="0" w:tplc="A2C26F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8926757"/>
    <w:multiLevelType w:val="hybridMultilevel"/>
    <w:tmpl w:val="105AC0C4"/>
    <w:lvl w:ilvl="0" w:tplc="EBA6EC68">
      <w:start w:val="78"/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38F132CE"/>
    <w:multiLevelType w:val="multilevel"/>
    <w:tmpl w:val="3B7A10DE"/>
    <w:numStyleLink w:val="BulletsList"/>
  </w:abstractNum>
  <w:abstractNum w:abstractNumId="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DA8"/>
    <w:rsid w:val="000020C1"/>
    <w:rsid w:val="000074CD"/>
    <w:rsid w:val="00010006"/>
    <w:rsid w:val="00010215"/>
    <w:rsid w:val="00011235"/>
    <w:rsid w:val="00015AB7"/>
    <w:rsid w:val="0002080A"/>
    <w:rsid w:val="0002782F"/>
    <w:rsid w:val="000308BE"/>
    <w:rsid w:val="00031486"/>
    <w:rsid w:val="000314BA"/>
    <w:rsid w:val="000340B2"/>
    <w:rsid w:val="00035BBF"/>
    <w:rsid w:val="00035CBC"/>
    <w:rsid w:val="000377FF"/>
    <w:rsid w:val="000417C3"/>
    <w:rsid w:val="00043EC4"/>
    <w:rsid w:val="000444F3"/>
    <w:rsid w:val="00045791"/>
    <w:rsid w:val="00050806"/>
    <w:rsid w:val="000546D9"/>
    <w:rsid w:val="00054E4D"/>
    <w:rsid w:val="0005518F"/>
    <w:rsid w:val="0005564F"/>
    <w:rsid w:val="00055880"/>
    <w:rsid w:val="00056F24"/>
    <w:rsid w:val="00060073"/>
    <w:rsid w:val="000616C6"/>
    <w:rsid w:val="000765BA"/>
    <w:rsid w:val="000822AD"/>
    <w:rsid w:val="000854FD"/>
    <w:rsid w:val="00085AE8"/>
    <w:rsid w:val="000907EB"/>
    <w:rsid w:val="000935CA"/>
    <w:rsid w:val="000A407E"/>
    <w:rsid w:val="000B37F5"/>
    <w:rsid w:val="000B5DA7"/>
    <w:rsid w:val="000B78E6"/>
    <w:rsid w:val="000C3A4C"/>
    <w:rsid w:val="000C4411"/>
    <w:rsid w:val="000D2896"/>
    <w:rsid w:val="000D66D6"/>
    <w:rsid w:val="000E563F"/>
    <w:rsid w:val="000E58BF"/>
    <w:rsid w:val="000E6C44"/>
    <w:rsid w:val="000F2600"/>
    <w:rsid w:val="000F313F"/>
    <w:rsid w:val="000F78C9"/>
    <w:rsid w:val="00113288"/>
    <w:rsid w:val="001214BE"/>
    <w:rsid w:val="0012165D"/>
    <w:rsid w:val="00121DDD"/>
    <w:rsid w:val="001227F1"/>
    <w:rsid w:val="001248B8"/>
    <w:rsid w:val="0013101C"/>
    <w:rsid w:val="0013385F"/>
    <w:rsid w:val="001366CE"/>
    <w:rsid w:val="00137F4E"/>
    <w:rsid w:val="00143F47"/>
    <w:rsid w:val="001461D6"/>
    <w:rsid w:val="00146E07"/>
    <w:rsid w:val="001541EA"/>
    <w:rsid w:val="0016223D"/>
    <w:rsid w:val="00162D3B"/>
    <w:rsid w:val="00166032"/>
    <w:rsid w:val="001662F8"/>
    <w:rsid w:val="001703FF"/>
    <w:rsid w:val="001841C8"/>
    <w:rsid w:val="00186B4B"/>
    <w:rsid w:val="0019037F"/>
    <w:rsid w:val="00193C49"/>
    <w:rsid w:val="001A51EE"/>
    <w:rsid w:val="001A68BB"/>
    <w:rsid w:val="001A7815"/>
    <w:rsid w:val="001A7FE3"/>
    <w:rsid w:val="001B78DA"/>
    <w:rsid w:val="001C14F4"/>
    <w:rsid w:val="001C1F11"/>
    <w:rsid w:val="001C483F"/>
    <w:rsid w:val="001D1A8F"/>
    <w:rsid w:val="001D3C98"/>
    <w:rsid w:val="001D3DDD"/>
    <w:rsid w:val="001D4091"/>
    <w:rsid w:val="001D663E"/>
    <w:rsid w:val="001E03BE"/>
    <w:rsid w:val="001E1DC0"/>
    <w:rsid w:val="001E438B"/>
    <w:rsid w:val="001E563B"/>
    <w:rsid w:val="001E6D20"/>
    <w:rsid w:val="001F16E7"/>
    <w:rsid w:val="001F7A8B"/>
    <w:rsid w:val="001F7F4D"/>
    <w:rsid w:val="00216C55"/>
    <w:rsid w:val="002231BD"/>
    <w:rsid w:val="0022520C"/>
    <w:rsid w:val="002270F7"/>
    <w:rsid w:val="002404E8"/>
    <w:rsid w:val="00241587"/>
    <w:rsid w:val="00244229"/>
    <w:rsid w:val="00245ED2"/>
    <w:rsid w:val="00247365"/>
    <w:rsid w:val="002510D4"/>
    <w:rsid w:val="002546CE"/>
    <w:rsid w:val="00255F45"/>
    <w:rsid w:val="00261565"/>
    <w:rsid w:val="00261F34"/>
    <w:rsid w:val="00264AFC"/>
    <w:rsid w:val="00270C70"/>
    <w:rsid w:val="002721B5"/>
    <w:rsid w:val="0028602A"/>
    <w:rsid w:val="00291006"/>
    <w:rsid w:val="002945C4"/>
    <w:rsid w:val="002949A2"/>
    <w:rsid w:val="00295F47"/>
    <w:rsid w:val="0029663F"/>
    <w:rsid w:val="00297258"/>
    <w:rsid w:val="00297FD1"/>
    <w:rsid w:val="002A1082"/>
    <w:rsid w:val="002A65C4"/>
    <w:rsid w:val="002B0F81"/>
    <w:rsid w:val="002B3381"/>
    <w:rsid w:val="002B5E10"/>
    <w:rsid w:val="002B68DA"/>
    <w:rsid w:val="002C5A7C"/>
    <w:rsid w:val="002C793D"/>
    <w:rsid w:val="002D25D9"/>
    <w:rsid w:val="002D35C9"/>
    <w:rsid w:val="002D4108"/>
    <w:rsid w:val="002D430F"/>
    <w:rsid w:val="002D5B25"/>
    <w:rsid w:val="002E2AF4"/>
    <w:rsid w:val="002E38B2"/>
    <w:rsid w:val="002E500A"/>
    <w:rsid w:val="002F03FB"/>
    <w:rsid w:val="002F4F2B"/>
    <w:rsid w:val="003002C0"/>
    <w:rsid w:val="00301144"/>
    <w:rsid w:val="003031C6"/>
    <w:rsid w:val="00304984"/>
    <w:rsid w:val="00311946"/>
    <w:rsid w:val="00312BF8"/>
    <w:rsid w:val="003148B7"/>
    <w:rsid w:val="003149D4"/>
    <w:rsid w:val="003158C3"/>
    <w:rsid w:val="00324668"/>
    <w:rsid w:val="003274CD"/>
    <w:rsid w:val="00333501"/>
    <w:rsid w:val="003406AF"/>
    <w:rsid w:val="00343A1F"/>
    <w:rsid w:val="003457C4"/>
    <w:rsid w:val="0035119D"/>
    <w:rsid w:val="003535F8"/>
    <w:rsid w:val="00354641"/>
    <w:rsid w:val="00356BF2"/>
    <w:rsid w:val="00357227"/>
    <w:rsid w:val="003622C1"/>
    <w:rsid w:val="00363A9F"/>
    <w:rsid w:val="003664FE"/>
    <w:rsid w:val="00367954"/>
    <w:rsid w:val="00370A2E"/>
    <w:rsid w:val="00375D23"/>
    <w:rsid w:val="003779A2"/>
    <w:rsid w:val="003806FE"/>
    <w:rsid w:val="00382CE7"/>
    <w:rsid w:val="00382DB5"/>
    <w:rsid w:val="00384D2A"/>
    <w:rsid w:val="00387EC8"/>
    <w:rsid w:val="0039215F"/>
    <w:rsid w:val="0039344A"/>
    <w:rsid w:val="003A0631"/>
    <w:rsid w:val="003B3091"/>
    <w:rsid w:val="003B4F12"/>
    <w:rsid w:val="003B7449"/>
    <w:rsid w:val="003B7517"/>
    <w:rsid w:val="003C6C4F"/>
    <w:rsid w:val="003C7D0E"/>
    <w:rsid w:val="003D1253"/>
    <w:rsid w:val="003D7532"/>
    <w:rsid w:val="003E24BA"/>
    <w:rsid w:val="003F2041"/>
    <w:rsid w:val="003F7D26"/>
    <w:rsid w:val="004006B7"/>
    <w:rsid w:val="004007ED"/>
    <w:rsid w:val="00400D50"/>
    <w:rsid w:val="00402ACC"/>
    <w:rsid w:val="00403FD8"/>
    <w:rsid w:val="00404443"/>
    <w:rsid w:val="00404602"/>
    <w:rsid w:val="004120EC"/>
    <w:rsid w:val="0041267F"/>
    <w:rsid w:val="00423DE0"/>
    <w:rsid w:val="00423F31"/>
    <w:rsid w:val="0042526D"/>
    <w:rsid w:val="00426340"/>
    <w:rsid w:val="0043031B"/>
    <w:rsid w:val="004303AA"/>
    <w:rsid w:val="00431899"/>
    <w:rsid w:val="00440E21"/>
    <w:rsid w:val="00450381"/>
    <w:rsid w:val="004529F1"/>
    <w:rsid w:val="00453B1A"/>
    <w:rsid w:val="00462A57"/>
    <w:rsid w:val="00465901"/>
    <w:rsid w:val="004728DD"/>
    <w:rsid w:val="004738DC"/>
    <w:rsid w:val="00473F2D"/>
    <w:rsid w:val="00473F39"/>
    <w:rsid w:val="00474037"/>
    <w:rsid w:val="00475107"/>
    <w:rsid w:val="00475782"/>
    <w:rsid w:val="00482AE8"/>
    <w:rsid w:val="004841C8"/>
    <w:rsid w:val="00486804"/>
    <w:rsid w:val="00487549"/>
    <w:rsid w:val="004878B9"/>
    <w:rsid w:val="00494242"/>
    <w:rsid w:val="004A04B6"/>
    <w:rsid w:val="004A2845"/>
    <w:rsid w:val="004A41B8"/>
    <w:rsid w:val="004B2322"/>
    <w:rsid w:val="004B3775"/>
    <w:rsid w:val="004B7A2F"/>
    <w:rsid w:val="004C7099"/>
    <w:rsid w:val="004D0BA0"/>
    <w:rsid w:val="004D4E1D"/>
    <w:rsid w:val="004D7F36"/>
    <w:rsid w:val="004E058F"/>
    <w:rsid w:val="004E2B70"/>
    <w:rsid w:val="004E3B87"/>
    <w:rsid w:val="004E549D"/>
    <w:rsid w:val="004E6112"/>
    <w:rsid w:val="004E6BE5"/>
    <w:rsid w:val="004F2D9E"/>
    <w:rsid w:val="004F5615"/>
    <w:rsid w:val="004F57FD"/>
    <w:rsid w:val="00502041"/>
    <w:rsid w:val="00503EB4"/>
    <w:rsid w:val="0050592F"/>
    <w:rsid w:val="00510921"/>
    <w:rsid w:val="00510AD3"/>
    <w:rsid w:val="00512052"/>
    <w:rsid w:val="00513348"/>
    <w:rsid w:val="00513AD8"/>
    <w:rsid w:val="00517D54"/>
    <w:rsid w:val="00517DD0"/>
    <w:rsid w:val="005204D2"/>
    <w:rsid w:val="00522396"/>
    <w:rsid w:val="00527AD8"/>
    <w:rsid w:val="0053159D"/>
    <w:rsid w:val="00531B69"/>
    <w:rsid w:val="00533B5D"/>
    <w:rsid w:val="00534D96"/>
    <w:rsid w:val="00536343"/>
    <w:rsid w:val="00536BAB"/>
    <w:rsid w:val="00540A22"/>
    <w:rsid w:val="005474FC"/>
    <w:rsid w:val="00553079"/>
    <w:rsid w:val="00560E83"/>
    <w:rsid w:val="005638A8"/>
    <w:rsid w:val="0056440F"/>
    <w:rsid w:val="005736BB"/>
    <w:rsid w:val="00576F2C"/>
    <w:rsid w:val="00577815"/>
    <w:rsid w:val="005822D6"/>
    <w:rsid w:val="00590132"/>
    <w:rsid w:val="005A20F6"/>
    <w:rsid w:val="005A490B"/>
    <w:rsid w:val="005C2EC9"/>
    <w:rsid w:val="005C532B"/>
    <w:rsid w:val="005D3655"/>
    <w:rsid w:val="005D5489"/>
    <w:rsid w:val="005E0058"/>
    <w:rsid w:val="005E318F"/>
    <w:rsid w:val="005E4830"/>
    <w:rsid w:val="005E5524"/>
    <w:rsid w:val="005E73CC"/>
    <w:rsid w:val="005F2F66"/>
    <w:rsid w:val="005F3D9A"/>
    <w:rsid w:val="005F5D90"/>
    <w:rsid w:val="00600A73"/>
    <w:rsid w:val="006031AC"/>
    <w:rsid w:val="00603321"/>
    <w:rsid w:val="00603A69"/>
    <w:rsid w:val="00614F98"/>
    <w:rsid w:val="00616A58"/>
    <w:rsid w:val="00620A3D"/>
    <w:rsid w:val="006225F4"/>
    <w:rsid w:val="00622B86"/>
    <w:rsid w:val="00623BA1"/>
    <w:rsid w:val="00630092"/>
    <w:rsid w:val="006346BC"/>
    <w:rsid w:val="006362FF"/>
    <w:rsid w:val="00636B09"/>
    <w:rsid w:val="006378FE"/>
    <w:rsid w:val="006408FF"/>
    <w:rsid w:val="00641A60"/>
    <w:rsid w:val="00644218"/>
    <w:rsid w:val="0065649B"/>
    <w:rsid w:val="0066203A"/>
    <w:rsid w:val="0066652A"/>
    <w:rsid w:val="006719C3"/>
    <w:rsid w:val="006745FC"/>
    <w:rsid w:val="006750D9"/>
    <w:rsid w:val="00680115"/>
    <w:rsid w:val="00680522"/>
    <w:rsid w:val="00681633"/>
    <w:rsid w:val="00682167"/>
    <w:rsid w:val="00690AE1"/>
    <w:rsid w:val="006955FA"/>
    <w:rsid w:val="006A6F52"/>
    <w:rsid w:val="006A791A"/>
    <w:rsid w:val="006B0064"/>
    <w:rsid w:val="006B0AAE"/>
    <w:rsid w:val="006B3E95"/>
    <w:rsid w:val="006B51B2"/>
    <w:rsid w:val="006B6F6D"/>
    <w:rsid w:val="006B75BC"/>
    <w:rsid w:val="006C0B06"/>
    <w:rsid w:val="006C1942"/>
    <w:rsid w:val="006C3BBD"/>
    <w:rsid w:val="006C421E"/>
    <w:rsid w:val="006C42AF"/>
    <w:rsid w:val="006C565B"/>
    <w:rsid w:val="006C6498"/>
    <w:rsid w:val="006D15F1"/>
    <w:rsid w:val="006D523C"/>
    <w:rsid w:val="006D5A56"/>
    <w:rsid w:val="006E4323"/>
    <w:rsid w:val="006E468A"/>
    <w:rsid w:val="006E6F49"/>
    <w:rsid w:val="006F00BC"/>
    <w:rsid w:val="006F6BA7"/>
    <w:rsid w:val="00706F02"/>
    <w:rsid w:val="007075DF"/>
    <w:rsid w:val="00711D8E"/>
    <w:rsid w:val="00712672"/>
    <w:rsid w:val="007142AE"/>
    <w:rsid w:val="007178C4"/>
    <w:rsid w:val="00724B5D"/>
    <w:rsid w:val="00734E3F"/>
    <w:rsid w:val="00736985"/>
    <w:rsid w:val="00744B0C"/>
    <w:rsid w:val="00745DF5"/>
    <w:rsid w:val="00751718"/>
    <w:rsid w:val="00755220"/>
    <w:rsid w:val="0075706C"/>
    <w:rsid w:val="0076250F"/>
    <w:rsid w:val="0077324F"/>
    <w:rsid w:val="007733DC"/>
    <w:rsid w:val="00776726"/>
    <w:rsid w:val="00780FA5"/>
    <w:rsid w:val="007835F3"/>
    <w:rsid w:val="00794D99"/>
    <w:rsid w:val="00796F1C"/>
    <w:rsid w:val="007A4493"/>
    <w:rsid w:val="007B44DD"/>
    <w:rsid w:val="007B53F9"/>
    <w:rsid w:val="007B6200"/>
    <w:rsid w:val="007C19B3"/>
    <w:rsid w:val="007C2D06"/>
    <w:rsid w:val="007C688E"/>
    <w:rsid w:val="007C735B"/>
    <w:rsid w:val="007C7407"/>
    <w:rsid w:val="007E5361"/>
    <w:rsid w:val="007E556D"/>
    <w:rsid w:val="007E7BC7"/>
    <w:rsid w:val="007F2757"/>
    <w:rsid w:val="007F3395"/>
    <w:rsid w:val="007F5C0B"/>
    <w:rsid w:val="007F646C"/>
    <w:rsid w:val="00801B9F"/>
    <w:rsid w:val="0080204D"/>
    <w:rsid w:val="00817DCF"/>
    <w:rsid w:val="0082053C"/>
    <w:rsid w:val="00822F43"/>
    <w:rsid w:val="00834E04"/>
    <w:rsid w:val="00841087"/>
    <w:rsid w:val="0084191E"/>
    <w:rsid w:val="00843B76"/>
    <w:rsid w:val="00844737"/>
    <w:rsid w:val="008475F0"/>
    <w:rsid w:val="00847CD6"/>
    <w:rsid w:val="008515AF"/>
    <w:rsid w:val="00852C32"/>
    <w:rsid w:val="008532F1"/>
    <w:rsid w:val="00854F69"/>
    <w:rsid w:val="008557A7"/>
    <w:rsid w:val="00856BFE"/>
    <w:rsid w:val="00857312"/>
    <w:rsid w:val="00870928"/>
    <w:rsid w:val="00877620"/>
    <w:rsid w:val="00881605"/>
    <w:rsid w:val="00887404"/>
    <w:rsid w:val="0089405C"/>
    <w:rsid w:val="00897FA2"/>
    <w:rsid w:val="008A1503"/>
    <w:rsid w:val="008A2A2B"/>
    <w:rsid w:val="008A5AFE"/>
    <w:rsid w:val="008A6BB7"/>
    <w:rsid w:val="008A7B6F"/>
    <w:rsid w:val="008B66EA"/>
    <w:rsid w:val="008B7F8E"/>
    <w:rsid w:val="008C1D2D"/>
    <w:rsid w:val="008C1F60"/>
    <w:rsid w:val="008C478C"/>
    <w:rsid w:val="008C5A0E"/>
    <w:rsid w:val="008C6149"/>
    <w:rsid w:val="008C708C"/>
    <w:rsid w:val="008E4B49"/>
    <w:rsid w:val="008F6625"/>
    <w:rsid w:val="009131E9"/>
    <w:rsid w:val="00916582"/>
    <w:rsid w:val="00916709"/>
    <w:rsid w:val="00917A7A"/>
    <w:rsid w:val="00920854"/>
    <w:rsid w:val="009226D6"/>
    <w:rsid w:val="00924179"/>
    <w:rsid w:val="0093173D"/>
    <w:rsid w:val="00937866"/>
    <w:rsid w:val="00943730"/>
    <w:rsid w:val="009464FA"/>
    <w:rsid w:val="00950D65"/>
    <w:rsid w:val="00952815"/>
    <w:rsid w:val="00960F2E"/>
    <w:rsid w:val="00975CA5"/>
    <w:rsid w:val="009774B4"/>
    <w:rsid w:val="00985DDC"/>
    <w:rsid w:val="00986590"/>
    <w:rsid w:val="00991579"/>
    <w:rsid w:val="00992C76"/>
    <w:rsid w:val="009969D6"/>
    <w:rsid w:val="009A112B"/>
    <w:rsid w:val="009A2312"/>
    <w:rsid w:val="009A2619"/>
    <w:rsid w:val="009A58FC"/>
    <w:rsid w:val="009A5DBB"/>
    <w:rsid w:val="009B20B2"/>
    <w:rsid w:val="009B394F"/>
    <w:rsid w:val="009B4D3B"/>
    <w:rsid w:val="009C18DB"/>
    <w:rsid w:val="009C1D56"/>
    <w:rsid w:val="009D0C80"/>
    <w:rsid w:val="009D3438"/>
    <w:rsid w:val="009D5FFB"/>
    <w:rsid w:val="009D7407"/>
    <w:rsid w:val="009E04D6"/>
    <w:rsid w:val="009E0866"/>
    <w:rsid w:val="009E10C0"/>
    <w:rsid w:val="009E273C"/>
    <w:rsid w:val="009F1350"/>
    <w:rsid w:val="009F6423"/>
    <w:rsid w:val="00A04CF6"/>
    <w:rsid w:val="00A07A86"/>
    <w:rsid w:val="00A107B9"/>
    <w:rsid w:val="00A12B40"/>
    <w:rsid w:val="00A17B90"/>
    <w:rsid w:val="00A24A62"/>
    <w:rsid w:val="00A31C66"/>
    <w:rsid w:val="00A31C9F"/>
    <w:rsid w:val="00A4144F"/>
    <w:rsid w:val="00A46B28"/>
    <w:rsid w:val="00A47135"/>
    <w:rsid w:val="00A61B4D"/>
    <w:rsid w:val="00A6578F"/>
    <w:rsid w:val="00A70592"/>
    <w:rsid w:val="00A71167"/>
    <w:rsid w:val="00A72201"/>
    <w:rsid w:val="00A74192"/>
    <w:rsid w:val="00A75B84"/>
    <w:rsid w:val="00A75D03"/>
    <w:rsid w:val="00A80123"/>
    <w:rsid w:val="00A80305"/>
    <w:rsid w:val="00A80F95"/>
    <w:rsid w:val="00A868CB"/>
    <w:rsid w:val="00A96364"/>
    <w:rsid w:val="00A97244"/>
    <w:rsid w:val="00A97BF1"/>
    <w:rsid w:val="00AA298A"/>
    <w:rsid w:val="00AA3AA8"/>
    <w:rsid w:val="00AB1BEB"/>
    <w:rsid w:val="00AB4795"/>
    <w:rsid w:val="00AB6748"/>
    <w:rsid w:val="00AB6BD2"/>
    <w:rsid w:val="00AC107C"/>
    <w:rsid w:val="00AC164A"/>
    <w:rsid w:val="00AC3944"/>
    <w:rsid w:val="00AC4679"/>
    <w:rsid w:val="00AC551D"/>
    <w:rsid w:val="00AD19F7"/>
    <w:rsid w:val="00AD2C2E"/>
    <w:rsid w:val="00AD31D4"/>
    <w:rsid w:val="00AD326F"/>
    <w:rsid w:val="00AE2B7B"/>
    <w:rsid w:val="00AE448A"/>
    <w:rsid w:val="00AE74DA"/>
    <w:rsid w:val="00AF18F4"/>
    <w:rsid w:val="00AF2050"/>
    <w:rsid w:val="00AF7ECC"/>
    <w:rsid w:val="00B00BF4"/>
    <w:rsid w:val="00B02B2A"/>
    <w:rsid w:val="00B03CA8"/>
    <w:rsid w:val="00B05B87"/>
    <w:rsid w:val="00B16EF6"/>
    <w:rsid w:val="00B22F0E"/>
    <w:rsid w:val="00B249EC"/>
    <w:rsid w:val="00B32B8C"/>
    <w:rsid w:val="00B33C0A"/>
    <w:rsid w:val="00B34763"/>
    <w:rsid w:val="00B401AF"/>
    <w:rsid w:val="00B44148"/>
    <w:rsid w:val="00B50ED0"/>
    <w:rsid w:val="00B51C2F"/>
    <w:rsid w:val="00B55E19"/>
    <w:rsid w:val="00B56E71"/>
    <w:rsid w:val="00B579A6"/>
    <w:rsid w:val="00B65940"/>
    <w:rsid w:val="00B71AD8"/>
    <w:rsid w:val="00B76B16"/>
    <w:rsid w:val="00B76DB6"/>
    <w:rsid w:val="00B77D12"/>
    <w:rsid w:val="00B81598"/>
    <w:rsid w:val="00B84B3C"/>
    <w:rsid w:val="00B857E1"/>
    <w:rsid w:val="00B8599B"/>
    <w:rsid w:val="00B86990"/>
    <w:rsid w:val="00B86C99"/>
    <w:rsid w:val="00B91FE7"/>
    <w:rsid w:val="00B929BE"/>
    <w:rsid w:val="00B94758"/>
    <w:rsid w:val="00BA1B89"/>
    <w:rsid w:val="00BA4B6D"/>
    <w:rsid w:val="00BB26C5"/>
    <w:rsid w:val="00BB2F84"/>
    <w:rsid w:val="00BB3FD0"/>
    <w:rsid w:val="00BC1FED"/>
    <w:rsid w:val="00BD6304"/>
    <w:rsid w:val="00BD710C"/>
    <w:rsid w:val="00BE12B6"/>
    <w:rsid w:val="00BE7756"/>
    <w:rsid w:val="00BF1579"/>
    <w:rsid w:val="00BF4DE6"/>
    <w:rsid w:val="00BF6074"/>
    <w:rsid w:val="00BF6703"/>
    <w:rsid w:val="00C000A2"/>
    <w:rsid w:val="00C042DC"/>
    <w:rsid w:val="00C06B13"/>
    <w:rsid w:val="00C16A47"/>
    <w:rsid w:val="00C27D25"/>
    <w:rsid w:val="00C35791"/>
    <w:rsid w:val="00C37697"/>
    <w:rsid w:val="00C405A6"/>
    <w:rsid w:val="00C40B9D"/>
    <w:rsid w:val="00C42541"/>
    <w:rsid w:val="00C42CDE"/>
    <w:rsid w:val="00C42F15"/>
    <w:rsid w:val="00C43038"/>
    <w:rsid w:val="00C45941"/>
    <w:rsid w:val="00C4722C"/>
    <w:rsid w:val="00C50B58"/>
    <w:rsid w:val="00C5182A"/>
    <w:rsid w:val="00C52463"/>
    <w:rsid w:val="00C52B3D"/>
    <w:rsid w:val="00C55983"/>
    <w:rsid w:val="00C61649"/>
    <w:rsid w:val="00C63EE9"/>
    <w:rsid w:val="00C70322"/>
    <w:rsid w:val="00C756C7"/>
    <w:rsid w:val="00C774AF"/>
    <w:rsid w:val="00C80F99"/>
    <w:rsid w:val="00C83F4E"/>
    <w:rsid w:val="00C84C30"/>
    <w:rsid w:val="00C87B9B"/>
    <w:rsid w:val="00C908C7"/>
    <w:rsid w:val="00C927CC"/>
    <w:rsid w:val="00C92805"/>
    <w:rsid w:val="00C932A2"/>
    <w:rsid w:val="00C96557"/>
    <w:rsid w:val="00CA16F3"/>
    <w:rsid w:val="00CA3403"/>
    <w:rsid w:val="00CA37B1"/>
    <w:rsid w:val="00CA3FD8"/>
    <w:rsid w:val="00CA5021"/>
    <w:rsid w:val="00CA6FB7"/>
    <w:rsid w:val="00CB1488"/>
    <w:rsid w:val="00CB1959"/>
    <w:rsid w:val="00CB40BD"/>
    <w:rsid w:val="00CB65CC"/>
    <w:rsid w:val="00CC1D45"/>
    <w:rsid w:val="00CC741B"/>
    <w:rsid w:val="00CD0E4B"/>
    <w:rsid w:val="00CD3F5D"/>
    <w:rsid w:val="00CD4AD4"/>
    <w:rsid w:val="00CE020E"/>
    <w:rsid w:val="00CE4C89"/>
    <w:rsid w:val="00CF07BA"/>
    <w:rsid w:val="00CF21A3"/>
    <w:rsid w:val="00CF359F"/>
    <w:rsid w:val="00D00B39"/>
    <w:rsid w:val="00D0296C"/>
    <w:rsid w:val="00D05E55"/>
    <w:rsid w:val="00D1231A"/>
    <w:rsid w:val="00D20A30"/>
    <w:rsid w:val="00D20BC7"/>
    <w:rsid w:val="00D23D4E"/>
    <w:rsid w:val="00D25E17"/>
    <w:rsid w:val="00D2641E"/>
    <w:rsid w:val="00D3170B"/>
    <w:rsid w:val="00D32D6F"/>
    <w:rsid w:val="00D34D5D"/>
    <w:rsid w:val="00D37B04"/>
    <w:rsid w:val="00D45555"/>
    <w:rsid w:val="00D4628C"/>
    <w:rsid w:val="00D479B5"/>
    <w:rsid w:val="00D53937"/>
    <w:rsid w:val="00D540C6"/>
    <w:rsid w:val="00D64BD1"/>
    <w:rsid w:val="00D71F34"/>
    <w:rsid w:val="00D7310B"/>
    <w:rsid w:val="00D742B7"/>
    <w:rsid w:val="00D7766C"/>
    <w:rsid w:val="00D85F0B"/>
    <w:rsid w:val="00D90B37"/>
    <w:rsid w:val="00D92254"/>
    <w:rsid w:val="00D924D3"/>
    <w:rsid w:val="00DA1B52"/>
    <w:rsid w:val="00DC0996"/>
    <w:rsid w:val="00DC238C"/>
    <w:rsid w:val="00DC2B29"/>
    <w:rsid w:val="00DC4231"/>
    <w:rsid w:val="00DC6D78"/>
    <w:rsid w:val="00DD3E88"/>
    <w:rsid w:val="00DD5FCB"/>
    <w:rsid w:val="00DE084C"/>
    <w:rsid w:val="00DE41FB"/>
    <w:rsid w:val="00DE5E59"/>
    <w:rsid w:val="00DE6F40"/>
    <w:rsid w:val="00DF2254"/>
    <w:rsid w:val="00DF3D19"/>
    <w:rsid w:val="00DF68CF"/>
    <w:rsid w:val="00E0497E"/>
    <w:rsid w:val="00E055AB"/>
    <w:rsid w:val="00E14F51"/>
    <w:rsid w:val="00E15A6C"/>
    <w:rsid w:val="00E1666D"/>
    <w:rsid w:val="00E221FA"/>
    <w:rsid w:val="00E3076E"/>
    <w:rsid w:val="00E357B7"/>
    <w:rsid w:val="00E410F8"/>
    <w:rsid w:val="00E42990"/>
    <w:rsid w:val="00E42E50"/>
    <w:rsid w:val="00E434D0"/>
    <w:rsid w:val="00E4584F"/>
    <w:rsid w:val="00E532A8"/>
    <w:rsid w:val="00E53800"/>
    <w:rsid w:val="00E56E85"/>
    <w:rsid w:val="00E60108"/>
    <w:rsid w:val="00E6081F"/>
    <w:rsid w:val="00E614AA"/>
    <w:rsid w:val="00E619C5"/>
    <w:rsid w:val="00E624EC"/>
    <w:rsid w:val="00E674FD"/>
    <w:rsid w:val="00E70C37"/>
    <w:rsid w:val="00E8296D"/>
    <w:rsid w:val="00E8457B"/>
    <w:rsid w:val="00E9040A"/>
    <w:rsid w:val="00E92E9E"/>
    <w:rsid w:val="00E944AA"/>
    <w:rsid w:val="00E9708F"/>
    <w:rsid w:val="00EA04B2"/>
    <w:rsid w:val="00EA20F3"/>
    <w:rsid w:val="00EA36D9"/>
    <w:rsid w:val="00EA7BD3"/>
    <w:rsid w:val="00EB036B"/>
    <w:rsid w:val="00EC0512"/>
    <w:rsid w:val="00EC608A"/>
    <w:rsid w:val="00EC6D38"/>
    <w:rsid w:val="00ED0239"/>
    <w:rsid w:val="00ED1D24"/>
    <w:rsid w:val="00ED2831"/>
    <w:rsid w:val="00ED3B2D"/>
    <w:rsid w:val="00ED43D1"/>
    <w:rsid w:val="00ED70D6"/>
    <w:rsid w:val="00EE0466"/>
    <w:rsid w:val="00EE1CFF"/>
    <w:rsid w:val="00EE2095"/>
    <w:rsid w:val="00EE3E27"/>
    <w:rsid w:val="00EE4EE1"/>
    <w:rsid w:val="00EF2C69"/>
    <w:rsid w:val="00EF31E5"/>
    <w:rsid w:val="00EF4574"/>
    <w:rsid w:val="00F01921"/>
    <w:rsid w:val="00F10265"/>
    <w:rsid w:val="00F13373"/>
    <w:rsid w:val="00F13946"/>
    <w:rsid w:val="00F14566"/>
    <w:rsid w:val="00F14B5F"/>
    <w:rsid w:val="00F15D59"/>
    <w:rsid w:val="00F258BF"/>
    <w:rsid w:val="00F25A93"/>
    <w:rsid w:val="00F2684E"/>
    <w:rsid w:val="00F27235"/>
    <w:rsid w:val="00F32F70"/>
    <w:rsid w:val="00F35145"/>
    <w:rsid w:val="00F36B7C"/>
    <w:rsid w:val="00F37A59"/>
    <w:rsid w:val="00F45486"/>
    <w:rsid w:val="00F47942"/>
    <w:rsid w:val="00F53309"/>
    <w:rsid w:val="00F53E91"/>
    <w:rsid w:val="00F5404C"/>
    <w:rsid w:val="00F55791"/>
    <w:rsid w:val="00F650C7"/>
    <w:rsid w:val="00F67C6A"/>
    <w:rsid w:val="00F70504"/>
    <w:rsid w:val="00F707E0"/>
    <w:rsid w:val="00F729EF"/>
    <w:rsid w:val="00F746B7"/>
    <w:rsid w:val="00F75FF3"/>
    <w:rsid w:val="00F760AE"/>
    <w:rsid w:val="00F77CAE"/>
    <w:rsid w:val="00F82271"/>
    <w:rsid w:val="00F83428"/>
    <w:rsid w:val="00F875A8"/>
    <w:rsid w:val="00F90B17"/>
    <w:rsid w:val="00F96BB9"/>
    <w:rsid w:val="00F97784"/>
    <w:rsid w:val="00FA1B3E"/>
    <w:rsid w:val="00FA4D1A"/>
    <w:rsid w:val="00FA5EFD"/>
    <w:rsid w:val="00FA7682"/>
    <w:rsid w:val="00FC1216"/>
    <w:rsid w:val="00FC5365"/>
    <w:rsid w:val="00FC6AB7"/>
    <w:rsid w:val="00FD1850"/>
    <w:rsid w:val="00FD1869"/>
    <w:rsid w:val="00FD710F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D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248B8"/>
    <w:pPr>
      <w:spacing w:before="240" w:after="0" w:line="240" w:lineRule="auto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248B8"/>
    <w:pPr>
      <w:outlineLvl w:val="2"/>
    </w:pPr>
    <w:rPr>
      <w:rFonts w:asciiTheme="minorHAnsi" w:hAnsiTheme="minorHAnsi" w:cstheme="minorHAnsi"/>
      <w:bCs/>
      <w:i/>
      <w:cap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D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248B8"/>
    <w:rPr>
      <w:rFonts w:asciiTheme="majorHAnsi" w:eastAsiaTheme="majorEastAsia" w:hAnsiTheme="majorHAnsi" w:cstheme="majorBidi"/>
      <w:b/>
      <w:caps/>
      <w:color w:val="495965" w:themeColor="tex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248B8"/>
    <w:rPr>
      <w:rFonts w:eastAsiaTheme="majorEastAsia" w:cstheme="minorHAnsi"/>
      <w:b/>
      <w:bCs/>
      <w:i/>
      <w:color w:val="495965" w:themeColor="text2"/>
      <w:sz w:val="24"/>
      <w:szCs w:val="24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0AAE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color w:val="auto"/>
      <w:lang w:val="en-AU" w:eastAsia="en-AU"/>
    </w:rPr>
  </w:style>
  <w:style w:type="character" w:customStyle="1" w:styleId="normaltextrun">
    <w:name w:val="normaltextrun"/>
    <w:basedOn w:val="DefaultParagraphFont"/>
    <w:rsid w:val="00B32B8C"/>
  </w:style>
  <w:style w:type="paragraph" w:styleId="Revision">
    <w:name w:val="Revision"/>
    <w:hidden/>
    <w:uiPriority w:val="99"/>
    <w:semiHidden/>
    <w:rsid w:val="00143F47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3008</Words>
  <Characters>18068</Characters>
  <Application>Microsoft Office Word</Application>
  <DocSecurity>0</DocSecurity>
  <Lines>367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Vietnam Development Program Progress Report</dc:title>
  <dc:subject/>
  <dc:creator/>
  <cp:keywords/>
  <cp:lastModifiedBy/>
  <cp:revision>1</cp:revision>
  <dcterms:created xsi:type="dcterms:W3CDTF">2021-11-24T05:35:00Z</dcterms:created>
  <dcterms:modified xsi:type="dcterms:W3CDTF">2021-11-24T05:35:00Z</dcterms:modified>
  <cp:category/>
</cp:coreProperties>
</file>