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B4AE2" w14:textId="0E647DA8" w:rsidR="009A744E" w:rsidRDefault="6C2E2E69" w:rsidP="00F71D33">
      <w:pPr>
        <w:pStyle w:val="Heading1"/>
        <w:spacing w:after="0" w:line="240" w:lineRule="auto"/>
        <w:contextualSpacing w:val="0"/>
      </w:pPr>
      <w:r w:rsidRPr="002E500A">
        <w:t>202</w:t>
      </w:r>
      <w:r w:rsidR="35FBD3EB">
        <w:t>1</w:t>
      </w:r>
      <w:r w:rsidRPr="002E500A">
        <w:t>-2</w:t>
      </w:r>
      <w:r w:rsidR="35FBD3EB">
        <w:t>2</w:t>
      </w:r>
      <w:r w:rsidRPr="002E500A">
        <w:t xml:space="preserve"> </w:t>
      </w:r>
      <w:r w:rsidR="0A2C95DD">
        <w:t>FIJI</w:t>
      </w:r>
      <w:r w:rsidR="3002850C" w:rsidRPr="002E500A">
        <w:t xml:space="preserve"> D</w:t>
      </w:r>
      <w:r w:rsidR="58163815">
        <w:t>evelopment</w:t>
      </w:r>
      <w:r w:rsidR="3002850C" w:rsidRPr="002E500A">
        <w:t xml:space="preserve"> </w:t>
      </w:r>
      <w:r w:rsidRPr="002E500A">
        <w:t>P</w:t>
      </w:r>
      <w:r w:rsidR="58163815">
        <w:t xml:space="preserve">rogram </w:t>
      </w:r>
      <w:r w:rsidRPr="002E500A">
        <w:t>P</w:t>
      </w:r>
      <w:r w:rsidR="58163815">
        <w:t>rogress</w:t>
      </w:r>
      <w:r w:rsidRPr="002E500A">
        <w:t xml:space="preserve"> R</w:t>
      </w:r>
      <w:r w:rsidR="58163815">
        <w:t>eport</w:t>
      </w:r>
    </w:p>
    <w:p w14:paraId="25246DBE" w14:textId="77777777" w:rsidR="006635CA" w:rsidRPr="001329D1" w:rsidRDefault="006635CA" w:rsidP="002E3E6A">
      <w:pPr>
        <w:pBdr>
          <w:top w:val="single" w:sz="4" w:space="1" w:color="65C5B4" w:themeColor="accent1"/>
          <w:left w:val="single" w:sz="4" w:space="4" w:color="65C5B4" w:themeColor="accent1"/>
          <w:bottom w:val="single" w:sz="4" w:space="1" w:color="65C5B4" w:themeColor="accent1"/>
          <w:right w:val="single" w:sz="4" w:space="4" w:color="65C5B4" w:themeColor="accent1"/>
        </w:pBdr>
        <w:spacing w:before="0" w:after="0" w:line="240" w:lineRule="auto"/>
      </w:pPr>
      <w:r w:rsidRPr="00015DC0">
        <w:t xml:space="preserve">The COVID-19 Development Response Plan for </w:t>
      </w:r>
      <w:r>
        <w:t>Fiji has been extended through 2022-23</w:t>
      </w:r>
      <w:r w:rsidRPr="00015DC0">
        <w:t>.</w:t>
      </w:r>
      <w:r w:rsidRPr="007C4D69">
        <w:t xml:space="preserve"> </w:t>
      </w:r>
      <w:r>
        <w:br/>
      </w:r>
      <w:r w:rsidRPr="001329D1">
        <w:t xml:space="preserve">In 2022-23, the Fiji program will focus on Fiji’s ongoing economic recovery from COVID-19 and </w:t>
      </w:r>
      <w:r>
        <w:t xml:space="preserve">our partnerships </w:t>
      </w:r>
      <w:r w:rsidRPr="001329D1">
        <w:t xml:space="preserve">in the health, education, skills, infrastructure, </w:t>
      </w:r>
      <w:proofErr w:type="gramStart"/>
      <w:r w:rsidRPr="001329D1">
        <w:t>security</w:t>
      </w:r>
      <w:proofErr w:type="gramEnd"/>
      <w:r w:rsidRPr="001329D1">
        <w:t xml:space="preserve"> and justice sectors, with a particular focus on supporting vulnerable </w:t>
      </w:r>
      <w:r>
        <w:t>people including women, girls and people with disability</w:t>
      </w:r>
      <w:r w:rsidRPr="001329D1">
        <w:t>.</w:t>
      </w:r>
    </w:p>
    <w:tbl>
      <w:tblPr>
        <w:tblStyle w:val="GridTable4-Accent1"/>
        <w:tblpPr w:leftFromText="180" w:rightFromText="180" w:vertAnchor="text" w:horzAnchor="margin" w:tblpY="28"/>
        <w:tblW w:w="3975"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ook w:val="04A0" w:firstRow="1" w:lastRow="0" w:firstColumn="1" w:lastColumn="0" w:noHBand="0" w:noVBand="1"/>
        <w:tblCaption w:val="Program Budget"/>
        <w:tblDescription w:val="Amount of Program budget allocation for 2020-21 for Bilateral, Regional, Global and Other Government Department ODA"/>
      </w:tblPr>
      <w:tblGrid>
        <w:gridCol w:w="2413"/>
        <w:gridCol w:w="1562"/>
      </w:tblGrid>
      <w:tr w:rsidR="00F71D33" w14:paraId="02B6E5D0" w14:textId="77777777" w:rsidTr="00C4327C">
        <w:trPr>
          <w:cnfStyle w:val="100000000000" w:firstRow="1" w:lastRow="0" w:firstColumn="0" w:lastColumn="0" w:oddVBand="0" w:evenVBand="0" w:oddHBand="0" w:evenHBand="0" w:firstRowFirstColumn="0" w:firstRowLastColumn="0" w:lastRowFirstColumn="0" w:lastRowLastColumn="0"/>
          <w:trHeight w:val="920"/>
          <w:tblHeader/>
        </w:trPr>
        <w:tc>
          <w:tcPr>
            <w:cnfStyle w:val="001000000000" w:firstRow="0" w:lastRow="0" w:firstColumn="1" w:lastColumn="0" w:oddVBand="0" w:evenVBand="0" w:oddHBand="0" w:evenHBand="0" w:firstRowFirstColumn="0" w:firstRowLastColumn="0" w:lastRowFirstColumn="0" w:lastRowLastColumn="0"/>
            <w:tcW w:w="2413"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7D1450A7" w14:textId="77777777" w:rsidR="00F71D33" w:rsidRPr="005736BB" w:rsidRDefault="00F71D33" w:rsidP="00570BF7">
            <w:pPr>
              <w:widowControl w:val="0"/>
              <w:spacing w:before="60" w:after="120" w:line="260" w:lineRule="exact"/>
              <w:rPr>
                <w:b w:val="0"/>
                <w:bCs w:val="0"/>
                <w:sz w:val="20"/>
                <w:szCs w:val="20"/>
              </w:rPr>
            </w:pPr>
            <w:r w:rsidRPr="005736BB">
              <w:rPr>
                <w:sz w:val="20"/>
                <w:szCs w:val="20"/>
              </w:rPr>
              <w:t>Program Budget</w:t>
            </w:r>
          </w:p>
        </w:tc>
        <w:tc>
          <w:tcPr>
            <w:tcW w:w="1562"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0F672303" w14:textId="77777777" w:rsidR="00F71D33" w:rsidRPr="005736BB" w:rsidRDefault="00F71D33"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36BB">
              <w:rPr>
                <w:sz w:val="20"/>
                <w:szCs w:val="20"/>
              </w:rPr>
              <w:t>202</w:t>
            </w:r>
            <w:r>
              <w:rPr>
                <w:sz w:val="20"/>
                <w:szCs w:val="20"/>
              </w:rPr>
              <w:t>1</w:t>
            </w:r>
            <w:r w:rsidRPr="005736BB">
              <w:rPr>
                <w:sz w:val="20"/>
                <w:szCs w:val="20"/>
              </w:rPr>
              <w:t>-2</w:t>
            </w:r>
            <w:r>
              <w:rPr>
                <w:sz w:val="20"/>
                <w:szCs w:val="20"/>
              </w:rPr>
              <w:t>2</w:t>
            </w:r>
            <w:r w:rsidRPr="005736BB">
              <w:rPr>
                <w:sz w:val="20"/>
                <w:szCs w:val="20"/>
              </w:rPr>
              <w:t xml:space="preserve"> Budget Estimate $m</w:t>
            </w:r>
            <w:r>
              <w:rPr>
                <w:sz w:val="20"/>
                <w:szCs w:val="20"/>
              </w:rPr>
              <w:t>*</w:t>
            </w:r>
          </w:p>
        </w:tc>
      </w:tr>
      <w:tr w:rsidR="00F71D33" w14:paraId="162664BE" w14:textId="77777777" w:rsidTr="00C4327C">
        <w:trPr>
          <w:cnfStyle w:val="100000000000" w:firstRow="1" w:lastRow="0" w:firstColumn="0" w:lastColumn="0" w:oddVBand="0" w:evenVBand="0" w:oddHBand="0" w:evenHBand="0" w:firstRowFirstColumn="0" w:firstRowLastColumn="0" w:lastRowFirstColumn="0" w:lastRowLastColumn="0"/>
          <w:trHeight w:val="578"/>
          <w:tblHeader/>
        </w:trPr>
        <w:tc>
          <w:tcPr>
            <w:cnfStyle w:val="001000000000" w:firstRow="0" w:lastRow="0" w:firstColumn="1" w:lastColumn="0" w:oddVBand="0" w:evenVBand="0" w:oddHBand="0" w:evenHBand="0" w:firstRowFirstColumn="0" w:firstRowLastColumn="0" w:lastRowFirstColumn="0" w:lastRowLastColumn="0"/>
            <w:tcW w:w="241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D9B071F" w14:textId="77777777" w:rsidR="00F71D33" w:rsidRPr="005736BB" w:rsidRDefault="00F71D33" w:rsidP="00570BF7">
            <w:pPr>
              <w:widowControl w:val="0"/>
              <w:spacing w:before="60" w:after="120" w:line="260" w:lineRule="exact"/>
              <w:rPr>
                <w:sz w:val="20"/>
                <w:szCs w:val="20"/>
              </w:rPr>
            </w:pPr>
            <w:r w:rsidRPr="005736BB">
              <w:rPr>
                <w:sz w:val="20"/>
                <w:szCs w:val="20"/>
              </w:rPr>
              <w:t>Bilateral</w:t>
            </w:r>
          </w:p>
        </w:tc>
        <w:tc>
          <w:tcPr>
            <w:tcW w:w="156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F6D10B1" w14:textId="77777777" w:rsidR="00F71D33" w:rsidRDefault="00F71D33"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40.0</w:t>
            </w:r>
          </w:p>
        </w:tc>
      </w:tr>
      <w:tr w:rsidR="00F71D33" w14:paraId="71BEA489" w14:textId="77777777" w:rsidTr="00C4327C">
        <w:trPr>
          <w:cnfStyle w:val="100000000000" w:firstRow="1" w:lastRow="0" w:firstColumn="0" w:lastColumn="0" w:oddVBand="0" w:evenVBand="0" w:oddHBand="0" w:evenHBand="0" w:firstRowFirstColumn="0" w:firstRowLastColumn="0" w:lastRowFirstColumn="0" w:lastRowLastColumn="0"/>
          <w:trHeight w:val="578"/>
          <w:tblHeader/>
        </w:trPr>
        <w:tc>
          <w:tcPr>
            <w:cnfStyle w:val="001000000000" w:firstRow="0" w:lastRow="0" w:firstColumn="1" w:lastColumn="0" w:oddVBand="0" w:evenVBand="0" w:oddHBand="0" w:evenHBand="0" w:firstRowFirstColumn="0" w:firstRowLastColumn="0" w:lastRowFirstColumn="0" w:lastRowLastColumn="0"/>
            <w:tcW w:w="241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9F38C09" w14:textId="77777777" w:rsidR="00F71D33" w:rsidRPr="005736BB" w:rsidRDefault="00F71D33" w:rsidP="00570BF7">
            <w:pPr>
              <w:widowControl w:val="0"/>
              <w:spacing w:before="60" w:after="120" w:line="260" w:lineRule="exact"/>
              <w:rPr>
                <w:sz w:val="20"/>
                <w:szCs w:val="20"/>
              </w:rPr>
            </w:pPr>
            <w:r w:rsidRPr="005736BB">
              <w:rPr>
                <w:sz w:val="20"/>
                <w:szCs w:val="20"/>
              </w:rPr>
              <w:t>Regional</w:t>
            </w:r>
          </w:p>
        </w:tc>
        <w:tc>
          <w:tcPr>
            <w:tcW w:w="156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6F502C41" w14:textId="77777777" w:rsidR="00F71D33" w:rsidRDefault="00F71D33"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rsidRPr="008F08B0">
              <w:t>31.3</w:t>
            </w:r>
          </w:p>
        </w:tc>
      </w:tr>
      <w:tr w:rsidR="00F71D33" w14:paraId="48F574DC" w14:textId="77777777" w:rsidTr="00C4327C">
        <w:trPr>
          <w:cnfStyle w:val="100000000000" w:firstRow="1" w:lastRow="0" w:firstColumn="0" w:lastColumn="0" w:oddVBand="0" w:evenVBand="0" w:oddHBand="0" w:evenHBand="0" w:firstRowFirstColumn="0" w:firstRowLastColumn="0" w:lastRowFirstColumn="0" w:lastRowLastColumn="0"/>
          <w:trHeight w:val="578"/>
          <w:tblHeader/>
        </w:trPr>
        <w:tc>
          <w:tcPr>
            <w:cnfStyle w:val="001000000000" w:firstRow="0" w:lastRow="0" w:firstColumn="1" w:lastColumn="0" w:oddVBand="0" w:evenVBand="0" w:oddHBand="0" w:evenHBand="0" w:firstRowFirstColumn="0" w:firstRowLastColumn="0" w:lastRowFirstColumn="0" w:lastRowLastColumn="0"/>
            <w:tcW w:w="241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9BAFD67" w14:textId="77777777" w:rsidR="00F71D33" w:rsidRPr="005736BB" w:rsidRDefault="00F71D33" w:rsidP="00570BF7">
            <w:pPr>
              <w:widowControl w:val="0"/>
              <w:spacing w:before="60" w:after="120" w:line="260" w:lineRule="exact"/>
              <w:rPr>
                <w:sz w:val="20"/>
                <w:szCs w:val="20"/>
              </w:rPr>
            </w:pPr>
            <w:r w:rsidRPr="005736BB">
              <w:rPr>
                <w:sz w:val="20"/>
                <w:szCs w:val="20"/>
              </w:rPr>
              <w:t>Global</w:t>
            </w:r>
          </w:p>
        </w:tc>
        <w:tc>
          <w:tcPr>
            <w:tcW w:w="156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59825F8" w14:textId="77777777" w:rsidR="00F71D33" w:rsidRDefault="00F71D33"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rsidRPr="008F08B0">
              <w:t>4.7</w:t>
            </w:r>
          </w:p>
        </w:tc>
      </w:tr>
      <w:tr w:rsidR="00F71D33" w14:paraId="1803EC11" w14:textId="77777777" w:rsidTr="00C4327C">
        <w:trPr>
          <w:cnfStyle w:val="100000000000" w:firstRow="1" w:lastRow="0" w:firstColumn="0" w:lastColumn="0" w:oddVBand="0" w:evenVBand="0" w:oddHBand="0" w:evenHBand="0" w:firstRowFirstColumn="0" w:firstRowLastColumn="0" w:lastRowFirstColumn="0" w:lastRowLastColumn="0"/>
          <w:trHeight w:val="578"/>
          <w:tblHeader/>
        </w:trPr>
        <w:tc>
          <w:tcPr>
            <w:cnfStyle w:val="001000000000" w:firstRow="0" w:lastRow="0" w:firstColumn="1" w:lastColumn="0" w:oddVBand="0" w:evenVBand="0" w:oddHBand="0" w:evenHBand="0" w:firstRowFirstColumn="0" w:firstRowLastColumn="0" w:lastRowFirstColumn="0" w:lastRowLastColumn="0"/>
            <w:tcW w:w="241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0B90E6A1" w14:textId="77777777" w:rsidR="00F71D33" w:rsidRPr="005736BB" w:rsidRDefault="00F71D33" w:rsidP="00570BF7">
            <w:pPr>
              <w:widowControl w:val="0"/>
              <w:spacing w:before="60" w:after="120" w:line="260" w:lineRule="exact"/>
              <w:rPr>
                <w:sz w:val="20"/>
                <w:szCs w:val="20"/>
              </w:rPr>
            </w:pPr>
            <w:r w:rsidRPr="005736BB">
              <w:rPr>
                <w:sz w:val="20"/>
                <w:szCs w:val="20"/>
              </w:rPr>
              <w:t>Other Govt. Departments</w:t>
            </w:r>
          </w:p>
        </w:tc>
        <w:tc>
          <w:tcPr>
            <w:tcW w:w="156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0EC65A3" w14:textId="77777777" w:rsidR="00F71D33" w:rsidRDefault="00F71D33"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5.3</w:t>
            </w:r>
          </w:p>
        </w:tc>
      </w:tr>
      <w:tr w:rsidR="00F71D33" w14:paraId="73E3E36E" w14:textId="77777777" w:rsidTr="00C4327C">
        <w:trPr>
          <w:cnfStyle w:val="100000000000" w:firstRow="1" w:lastRow="0" w:firstColumn="0" w:lastColumn="0" w:oddVBand="0" w:evenVBand="0" w:oddHBand="0" w:evenHBand="0" w:firstRowFirstColumn="0" w:firstRowLastColumn="0" w:lastRowFirstColumn="0" w:lastRowLastColumn="0"/>
          <w:trHeight w:val="578"/>
          <w:tblHeader/>
        </w:trPr>
        <w:tc>
          <w:tcPr>
            <w:cnfStyle w:val="001000000000" w:firstRow="0" w:lastRow="0" w:firstColumn="1" w:lastColumn="0" w:oddVBand="0" w:evenVBand="0" w:oddHBand="0" w:evenHBand="0" w:firstRowFirstColumn="0" w:firstRowLastColumn="0" w:lastRowFirstColumn="0" w:lastRowLastColumn="0"/>
            <w:tcW w:w="241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9841773" w14:textId="77777777" w:rsidR="00F71D33" w:rsidRPr="005736BB" w:rsidRDefault="00F71D33" w:rsidP="00570BF7">
            <w:pPr>
              <w:widowControl w:val="0"/>
              <w:spacing w:before="60" w:after="120" w:line="260" w:lineRule="exact"/>
              <w:rPr>
                <w:sz w:val="20"/>
                <w:szCs w:val="20"/>
              </w:rPr>
            </w:pPr>
            <w:r w:rsidRPr="005736BB">
              <w:rPr>
                <w:sz w:val="20"/>
                <w:szCs w:val="20"/>
              </w:rPr>
              <w:t>Total ODA</w:t>
            </w:r>
          </w:p>
        </w:tc>
        <w:tc>
          <w:tcPr>
            <w:tcW w:w="156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B84775D" w14:textId="77777777" w:rsidR="00F71D33" w:rsidRDefault="00F71D33" w:rsidP="00570BF7">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81.2</w:t>
            </w:r>
          </w:p>
        </w:tc>
      </w:tr>
    </w:tbl>
    <w:p w14:paraId="73F64C5B" w14:textId="4A002C1E" w:rsidR="00AD5292" w:rsidRDefault="009B6293" w:rsidP="00AD5292">
      <w:pPr>
        <w:widowControl w:val="0"/>
        <w:spacing w:before="0" w:after="0" w:line="240" w:lineRule="auto"/>
        <w:rPr>
          <w:i/>
          <w:iCs/>
          <w:sz w:val="18"/>
          <w:szCs w:val="18"/>
        </w:rPr>
      </w:pPr>
      <w:r>
        <w:rPr>
          <w:noProof/>
        </w:rPr>
        <w:drawing>
          <wp:inline distT="0" distB="0" distL="0" distR="0" wp14:anchorId="4C5F4A35" wp14:editId="4E7C064A">
            <wp:extent cx="4038600" cy="2419350"/>
            <wp:effectExtent l="0" t="0" r="0" b="0"/>
            <wp:docPr id="10" name="Picture 10" descr="The Fiji Development Program by Sector Group 2021-22 Budget Estimate&#10;Economic Infrastructure and Services 20%&#10;Agriculture, Trade and other Production Sectors 13%&#10;Governance 14%&#10;Education 30%&#10;Health 10%&#10;Humanitarian 3%&#10;Multisector and General Development Support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Fiji Development Program by Sector Group 2021-22 Budget Estimate&#10;Economic Infrastructure and Services 20%&#10;Agriculture, Trade and other Production Sectors 13%&#10;Governance 14%&#10;Education 30%&#10;Health 10%&#10;Humanitarian 3%&#10;Multisector and General Development Support 1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00" cy="2419350"/>
                    </a:xfrm>
                    <a:prstGeom prst="rect">
                      <a:avLst/>
                    </a:prstGeom>
                    <a:noFill/>
                    <a:ln>
                      <a:noFill/>
                    </a:ln>
                  </pic:spPr>
                </pic:pic>
              </a:graphicData>
            </a:graphic>
          </wp:inline>
        </w:drawing>
      </w:r>
    </w:p>
    <w:p w14:paraId="7A0FD193" w14:textId="77777777" w:rsidR="00AD5292" w:rsidRDefault="00AD5292" w:rsidP="00AD5292">
      <w:pPr>
        <w:widowControl w:val="0"/>
        <w:spacing w:before="0" w:after="0" w:line="240" w:lineRule="auto"/>
        <w:rPr>
          <w:i/>
          <w:iCs/>
          <w:sz w:val="18"/>
          <w:szCs w:val="18"/>
        </w:rPr>
      </w:pPr>
    </w:p>
    <w:p w14:paraId="3EDC8A44" w14:textId="4ADC21F7" w:rsidR="007B53F9" w:rsidRPr="00424F3B" w:rsidRDefault="00CA5021" w:rsidP="00AD5292">
      <w:pPr>
        <w:widowControl w:val="0"/>
        <w:spacing w:before="0" w:after="0" w:line="240" w:lineRule="auto"/>
        <w:rPr>
          <w:i/>
          <w:iCs/>
          <w:sz w:val="18"/>
          <w:szCs w:val="18"/>
        </w:rPr>
      </w:pPr>
      <w:r w:rsidRPr="005D69AA">
        <w:rPr>
          <w:i/>
          <w:iCs/>
          <w:sz w:val="18"/>
          <w:szCs w:val="18"/>
        </w:rPr>
        <w:t xml:space="preserve">*Actual expenditure is expected to be available in </w:t>
      </w:r>
      <w:r w:rsidR="00A17461" w:rsidRPr="005D69AA">
        <w:rPr>
          <w:i/>
          <w:iCs/>
          <w:sz w:val="18"/>
          <w:szCs w:val="18"/>
        </w:rPr>
        <w:t>early 2023</w:t>
      </w:r>
      <w:r w:rsidR="000B40E9" w:rsidRPr="005D69AA">
        <w:rPr>
          <w:i/>
          <w:iCs/>
          <w:sz w:val="18"/>
          <w:szCs w:val="18"/>
        </w:rPr>
        <w:t>.</w:t>
      </w:r>
      <w:r w:rsidR="00F6360E">
        <w:rPr>
          <w:i/>
          <w:iCs/>
          <w:sz w:val="18"/>
          <w:szCs w:val="18"/>
        </w:rPr>
        <w:t xml:space="preserve"> </w:t>
      </w:r>
      <w:r w:rsidR="00F6360E" w:rsidRPr="005D314B">
        <w:rPr>
          <w:i/>
          <w:iCs/>
          <w:sz w:val="18"/>
          <w:szCs w:val="18"/>
        </w:rPr>
        <w:t>Due to rounding, totals may not match the sum of components.</w:t>
      </w:r>
    </w:p>
    <w:p w14:paraId="4ED1874B" w14:textId="1723D8A8" w:rsidR="00095211" w:rsidRPr="00CB5512" w:rsidRDefault="00095211" w:rsidP="00C4327C">
      <w:pPr>
        <w:spacing w:before="0" w:after="0" w:line="240" w:lineRule="auto"/>
        <w:rPr>
          <w:b/>
          <w:bCs/>
          <w:i/>
          <w:iCs/>
          <w:sz w:val="20"/>
          <w:szCs w:val="20"/>
        </w:rPr>
      </w:pPr>
      <w:r w:rsidRPr="00CB5512">
        <w:rPr>
          <w:b/>
          <w:bCs/>
          <w:i/>
          <w:iCs/>
          <w:sz w:val="20"/>
          <w:szCs w:val="20"/>
        </w:rPr>
        <w:t xml:space="preserve">Our development program to </w:t>
      </w:r>
      <w:r w:rsidR="00971943">
        <w:rPr>
          <w:b/>
          <w:bCs/>
          <w:i/>
          <w:iCs/>
          <w:sz w:val="20"/>
          <w:szCs w:val="20"/>
        </w:rPr>
        <w:t>Fiji</w:t>
      </w:r>
      <w:r w:rsidRPr="00CB5512">
        <w:rPr>
          <w:b/>
          <w:bCs/>
          <w:i/>
          <w:iCs/>
          <w:sz w:val="20"/>
          <w:szCs w:val="20"/>
        </w:rPr>
        <w:t xml:space="preserve"> contributes towards achieving the following Sustainable Development Goals:</w:t>
      </w:r>
    </w:p>
    <w:p w14:paraId="168BCA7B" w14:textId="6020D0E7" w:rsidR="00544715" w:rsidRDefault="00544715" w:rsidP="008F08B0">
      <w:pPr>
        <w:spacing w:line="259" w:lineRule="auto"/>
      </w:pPr>
      <w:r w:rsidRPr="00544715">
        <w:rPr>
          <w:noProof/>
        </w:rPr>
        <w:drawing>
          <wp:inline distT="0" distB="0" distL="0" distR="0" wp14:anchorId="220CAFDB" wp14:editId="05F9B1AC">
            <wp:extent cx="6696075" cy="571500"/>
            <wp:effectExtent l="0" t="0" r="0" b="0"/>
            <wp:docPr id="6" name="Picture 6" descr="Sustainable Development Goal 1- No Poverty&#10;Sustainable Development Goal 3-Good Health and Well-being&#10;Sustainable Development Goal 4-Quality Education&#10;Sustainable Development Goal 5-Gender Equality&#10;Sustainable Development Goal 8- Decent Work and Economic Growth&#10;Sustainable Development Goal 9- Industry, Innovation and Infrastructure&#10;Sustainable Development Goal 13- Climate Action&#10;Sustainable Development Goal 16- Peace and Justice Strong Institutions&#10;Sustainable Development Goal 17- Partnerships to achieve the Go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ustainable Development Goal 1- No Poverty&#10;Sustainable Development Goal 3-Good Health and Well-being&#10;Sustainable Development Goal 4-Quality Education&#10;Sustainable Development Goal 5-Gender Equality&#10;Sustainable Development Goal 8- Decent Work and Economic Growth&#10;Sustainable Development Goal 9- Industry, Innovation and Infrastructure&#10;Sustainable Development Goal 13- Climate Action&#10;Sustainable Development Goal 16- Peace and Justice Strong Institutions&#10;Sustainable Development Goal 17- Partnerships to achieve the Goal&#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6075" cy="571500"/>
                    </a:xfrm>
                    <a:prstGeom prst="rect">
                      <a:avLst/>
                    </a:prstGeom>
                    <a:noFill/>
                    <a:ln>
                      <a:noFill/>
                    </a:ln>
                  </pic:spPr>
                </pic:pic>
              </a:graphicData>
            </a:graphic>
          </wp:inline>
        </w:drawing>
      </w:r>
    </w:p>
    <w:p w14:paraId="6BE09466" w14:textId="0BE3898F" w:rsidR="003806FE" w:rsidRPr="007E06AF" w:rsidRDefault="003806FE" w:rsidP="004122B9">
      <w:pPr>
        <w:spacing w:line="260" w:lineRule="auto"/>
      </w:pPr>
      <w:r w:rsidRPr="007E06AF">
        <w:t xml:space="preserve">The </w:t>
      </w:r>
      <w:r w:rsidRPr="007E06AF">
        <w:rPr>
          <w:iCs/>
        </w:rPr>
        <w:t>202</w:t>
      </w:r>
      <w:r w:rsidR="00ED6E38" w:rsidRPr="007E06AF">
        <w:rPr>
          <w:iCs/>
        </w:rPr>
        <w:t>1</w:t>
      </w:r>
      <w:r w:rsidRPr="007E06AF">
        <w:rPr>
          <w:iCs/>
        </w:rPr>
        <w:t>-2</w:t>
      </w:r>
      <w:r w:rsidR="00ED6E38" w:rsidRPr="007E06AF">
        <w:rPr>
          <w:iCs/>
        </w:rPr>
        <w:t>2</w:t>
      </w:r>
      <w:r w:rsidRPr="007E06AF">
        <w:rPr>
          <w:iCs/>
        </w:rPr>
        <w:t xml:space="preserve"> </w:t>
      </w:r>
      <w:r w:rsidR="00B32F6B" w:rsidRPr="007E06AF">
        <w:rPr>
          <w:iCs/>
        </w:rPr>
        <w:t>Fiji</w:t>
      </w:r>
      <w:r w:rsidRPr="007E06AF">
        <w:rPr>
          <w:iCs/>
        </w:rPr>
        <w:t xml:space="preserve"> Development Program Progress Report summarises </w:t>
      </w:r>
      <w:r w:rsidR="00404443" w:rsidRPr="007E06AF">
        <w:rPr>
          <w:iCs/>
        </w:rPr>
        <w:t xml:space="preserve">implementation </w:t>
      </w:r>
      <w:r w:rsidR="00734172" w:rsidRPr="007E06AF">
        <w:rPr>
          <w:iCs/>
        </w:rPr>
        <w:t xml:space="preserve">progress </w:t>
      </w:r>
      <w:r w:rsidR="00404443" w:rsidRPr="007E06AF">
        <w:rPr>
          <w:iCs/>
        </w:rPr>
        <w:t>of the Australia</w:t>
      </w:r>
      <w:r w:rsidR="00404443" w:rsidRPr="007E06AF">
        <w:t xml:space="preserve"> – </w:t>
      </w:r>
      <w:r w:rsidR="00B32F6B" w:rsidRPr="007E06AF">
        <w:t>Fiji</w:t>
      </w:r>
      <w:r w:rsidR="00404443" w:rsidRPr="007E06AF">
        <w:t xml:space="preserve"> COVID-19 </w:t>
      </w:r>
      <w:r w:rsidR="00B66D3E" w:rsidRPr="007E06AF">
        <w:t xml:space="preserve">Development </w:t>
      </w:r>
      <w:r w:rsidR="00404443" w:rsidRPr="007E06AF">
        <w:t xml:space="preserve">Response Plan and </w:t>
      </w:r>
      <w:r w:rsidR="00CE767A" w:rsidRPr="007E06AF">
        <w:t xml:space="preserve">highlights </w:t>
      </w:r>
      <w:r w:rsidR="00F968E9" w:rsidRPr="007E06AF">
        <w:t>program</w:t>
      </w:r>
      <w:r w:rsidR="00095211" w:rsidRPr="007E06AF">
        <w:t xml:space="preserve"> </w:t>
      </w:r>
      <w:r w:rsidR="007D4025" w:rsidRPr="007E06AF">
        <w:t>results.</w:t>
      </w:r>
      <w:r w:rsidR="000D003A" w:rsidRPr="007E06AF">
        <w:t xml:space="preserve"> </w:t>
      </w:r>
    </w:p>
    <w:p w14:paraId="4AF3EB74" w14:textId="710781F0" w:rsidR="00E0125A" w:rsidRPr="007E06AF" w:rsidRDefault="00C84C30" w:rsidP="004122B9">
      <w:pPr>
        <w:pStyle w:val="Heading2"/>
        <w:spacing w:before="120" w:after="60" w:line="260" w:lineRule="auto"/>
        <w:contextualSpacing w:val="0"/>
      </w:pPr>
      <w:r w:rsidRPr="007E06AF">
        <w:t xml:space="preserve">CONTEXT </w:t>
      </w:r>
    </w:p>
    <w:p w14:paraId="270E2A24" w14:textId="5C5D541F" w:rsidR="001B203D" w:rsidRPr="007E06AF" w:rsidRDefault="0A2C95DD" w:rsidP="004122B9">
      <w:pPr>
        <w:pStyle w:val="Bullet1"/>
        <w:numPr>
          <w:ilvl w:val="0"/>
          <w:numId w:val="0"/>
        </w:numPr>
        <w:spacing w:before="120" w:line="260" w:lineRule="auto"/>
        <w:rPr>
          <w:b/>
          <w:bCs/>
        </w:rPr>
      </w:pPr>
      <w:r w:rsidRPr="007E06AF">
        <w:t xml:space="preserve">Australia and Fiji share a strong and enduring bilateral relationship underpinned by the </w:t>
      </w:r>
      <w:r w:rsidRPr="007E06AF">
        <w:rPr>
          <w:i/>
          <w:iCs/>
        </w:rPr>
        <w:t xml:space="preserve">Fiji-Australia </w:t>
      </w:r>
      <w:proofErr w:type="spellStart"/>
      <w:r w:rsidRPr="007E06AF">
        <w:rPr>
          <w:i/>
          <w:iCs/>
        </w:rPr>
        <w:t>Vuvale</w:t>
      </w:r>
      <w:proofErr w:type="spellEnd"/>
      <w:r w:rsidRPr="007E06AF">
        <w:rPr>
          <w:i/>
          <w:iCs/>
        </w:rPr>
        <w:t xml:space="preserve"> Partnership</w:t>
      </w:r>
      <w:r w:rsidRPr="007E06AF">
        <w:t>.</w:t>
      </w:r>
      <w:bookmarkStart w:id="0" w:name="_Hlk79502786"/>
      <w:r w:rsidRPr="007E06AF">
        <w:t xml:space="preserve"> </w:t>
      </w:r>
      <w:r w:rsidR="1340E6C9" w:rsidRPr="007E06AF">
        <w:rPr>
          <w:lang w:val="en-AU"/>
        </w:rPr>
        <w:t xml:space="preserve">Australia is Fiji’s largest bilateral development assistance donor. Australian </w:t>
      </w:r>
      <w:r w:rsidR="0AD5AF45" w:rsidRPr="007E06AF">
        <w:rPr>
          <w:lang w:val="en-AU"/>
        </w:rPr>
        <w:t xml:space="preserve">base </w:t>
      </w:r>
      <w:r w:rsidR="004D49F7" w:rsidRPr="007E06AF">
        <w:rPr>
          <w:lang w:val="en-AU"/>
        </w:rPr>
        <w:t>O</w:t>
      </w:r>
      <w:r w:rsidR="003B348D" w:rsidRPr="007E06AF">
        <w:rPr>
          <w:lang w:val="en-AU"/>
        </w:rPr>
        <w:t>fficial</w:t>
      </w:r>
      <w:r w:rsidR="004D49F7" w:rsidRPr="007E06AF">
        <w:rPr>
          <w:lang w:val="en-AU"/>
        </w:rPr>
        <w:t xml:space="preserve"> Development Assistance (</w:t>
      </w:r>
      <w:r w:rsidR="1340E6C9" w:rsidRPr="007E06AF">
        <w:rPr>
          <w:lang w:val="en-AU"/>
        </w:rPr>
        <w:t>ODA</w:t>
      </w:r>
      <w:r w:rsidR="003B348D" w:rsidRPr="007E06AF">
        <w:rPr>
          <w:lang w:val="en-AU"/>
        </w:rPr>
        <w:t>)</w:t>
      </w:r>
      <w:r w:rsidR="1340E6C9" w:rsidRPr="007E06AF">
        <w:rPr>
          <w:lang w:val="en-AU"/>
        </w:rPr>
        <w:t xml:space="preserve"> allocations to Fiji have remained stable over the past two years, with supplementary ODA provided for COVID-19 </w:t>
      </w:r>
      <w:r w:rsidR="00734172" w:rsidRPr="007E06AF">
        <w:rPr>
          <w:lang w:val="en-AU"/>
        </w:rPr>
        <w:t xml:space="preserve">fiscal support </w:t>
      </w:r>
      <w:r w:rsidR="1340E6C9" w:rsidRPr="007E06AF">
        <w:rPr>
          <w:lang w:val="en-AU"/>
        </w:rPr>
        <w:t xml:space="preserve">and cyclone response. </w:t>
      </w:r>
      <w:r w:rsidRPr="007E06AF">
        <w:t xml:space="preserve">Australia’s development program supports our shared ambition to build a Pacific region that is </w:t>
      </w:r>
      <w:r w:rsidR="6C221E8C" w:rsidRPr="007E06AF">
        <w:t xml:space="preserve">strategically </w:t>
      </w:r>
      <w:r w:rsidRPr="007E06AF">
        <w:t xml:space="preserve">secure, </w:t>
      </w:r>
      <w:proofErr w:type="gramStart"/>
      <w:r w:rsidR="6181B294" w:rsidRPr="007E06AF">
        <w:t>socially</w:t>
      </w:r>
      <w:proofErr w:type="gramEnd"/>
      <w:r w:rsidR="6181B294" w:rsidRPr="007E06AF">
        <w:t xml:space="preserve"> and economically </w:t>
      </w:r>
      <w:r w:rsidRPr="007E06AF">
        <w:t>stable</w:t>
      </w:r>
      <w:r w:rsidR="799C051E" w:rsidRPr="007E06AF">
        <w:t>,</w:t>
      </w:r>
      <w:r w:rsidRPr="007E06AF">
        <w:t xml:space="preserve"> and </w:t>
      </w:r>
      <w:r w:rsidR="790FDBAE" w:rsidRPr="007E06AF">
        <w:t xml:space="preserve">politically </w:t>
      </w:r>
      <w:r w:rsidRPr="007E06AF">
        <w:t>sovereign.</w:t>
      </w:r>
      <w:r w:rsidRPr="007E06AF">
        <w:rPr>
          <w:b/>
          <w:bCs/>
        </w:rPr>
        <w:t xml:space="preserve"> </w:t>
      </w:r>
      <w:bookmarkEnd w:id="0"/>
    </w:p>
    <w:p w14:paraId="7D6D8B22" w14:textId="10E5E00E" w:rsidR="00B32F6B" w:rsidRPr="007E06AF" w:rsidRDefault="00B32F6B" w:rsidP="004122B9">
      <w:pPr>
        <w:pStyle w:val="Bullet1"/>
        <w:numPr>
          <w:ilvl w:val="0"/>
          <w:numId w:val="0"/>
        </w:numPr>
        <w:spacing w:before="120" w:line="260" w:lineRule="auto"/>
      </w:pPr>
      <w:r w:rsidRPr="007E06AF">
        <w:rPr>
          <w:b/>
          <w:bCs/>
        </w:rPr>
        <w:t>Fiji continues to battle waves of COVID-19 infections</w:t>
      </w:r>
      <w:r w:rsidR="003A5D69" w:rsidRPr="007E06AF">
        <w:rPr>
          <w:b/>
          <w:bCs/>
        </w:rPr>
        <w:t>,</w:t>
      </w:r>
      <w:r w:rsidRPr="007E06AF">
        <w:rPr>
          <w:b/>
          <w:bCs/>
        </w:rPr>
        <w:t xml:space="preserve"> </w:t>
      </w:r>
      <w:r w:rsidR="005F579A" w:rsidRPr="007E06AF">
        <w:rPr>
          <w:b/>
          <w:bCs/>
        </w:rPr>
        <w:t xml:space="preserve">without the severity of the </w:t>
      </w:r>
      <w:r w:rsidRPr="007E06AF">
        <w:rPr>
          <w:b/>
          <w:bCs/>
        </w:rPr>
        <w:t>April-</w:t>
      </w:r>
      <w:r w:rsidR="003E110A" w:rsidRPr="007E06AF">
        <w:rPr>
          <w:b/>
          <w:bCs/>
        </w:rPr>
        <w:t xml:space="preserve">August </w:t>
      </w:r>
      <w:r w:rsidRPr="007E06AF">
        <w:rPr>
          <w:b/>
          <w:bCs/>
        </w:rPr>
        <w:t>202</w:t>
      </w:r>
      <w:r w:rsidR="003E110A" w:rsidRPr="007E06AF">
        <w:rPr>
          <w:b/>
          <w:bCs/>
        </w:rPr>
        <w:t>1</w:t>
      </w:r>
      <w:r w:rsidR="005F579A" w:rsidRPr="007E06AF">
        <w:rPr>
          <w:b/>
          <w:bCs/>
        </w:rPr>
        <w:t xml:space="preserve"> Delta outbreak</w:t>
      </w:r>
      <w:r w:rsidR="00D83973" w:rsidRPr="007E06AF">
        <w:rPr>
          <w:b/>
          <w:bCs/>
        </w:rPr>
        <w:t>.</w:t>
      </w:r>
      <w:r w:rsidRPr="007E06AF">
        <w:t xml:space="preserve"> </w:t>
      </w:r>
      <w:r w:rsidR="00A80547" w:rsidRPr="007E06AF">
        <w:t xml:space="preserve">At the end of the </w:t>
      </w:r>
      <w:r w:rsidR="00760E60" w:rsidRPr="007E06AF">
        <w:t xml:space="preserve">reporting period, </w:t>
      </w:r>
      <w:r w:rsidRPr="007E06AF">
        <w:t xml:space="preserve">Fiji had </w:t>
      </w:r>
      <w:r w:rsidR="00760E60" w:rsidRPr="007E06AF">
        <w:t xml:space="preserve">recorded </w:t>
      </w:r>
      <w:r w:rsidRPr="007E06AF">
        <w:t xml:space="preserve">a cumulative total of </w:t>
      </w:r>
      <w:r w:rsidR="7A2F84B5" w:rsidRPr="007E06AF">
        <w:t>6</w:t>
      </w:r>
      <w:r w:rsidR="00760E60" w:rsidRPr="007E06AF">
        <w:t>5</w:t>
      </w:r>
      <w:r w:rsidR="7A2F84B5" w:rsidRPr="007E06AF">
        <w:t>,</w:t>
      </w:r>
      <w:r w:rsidR="00760E60" w:rsidRPr="007E06AF">
        <w:t>713</w:t>
      </w:r>
      <w:r w:rsidR="005175B6" w:rsidRPr="007E06AF">
        <w:t xml:space="preserve"> </w:t>
      </w:r>
      <w:r w:rsidRPr="007E06AF">
        <w:t>COVID</w:t>
      </w:r>
      <w:r w:rsidR="00734172" w:rsidRPr="007E06AF">
        <w:t>-</w:t>
      </w:r>
      <w:r w:rsidRPr="007E06AF">
        <w:t>19 cases</w:t>
      </w:r>
      <w:r w:rsidR="00760E60" w:rsidRPr="007E06AF">
        <w:t xml:space="preserve"> and 878 deaths</w:t>
      </w:r>
      <w:r w:rsidRPr="007E06AF">
        <w:t xml:space="preserve"> since </w:t>
      </w:r>
      <w:r w:rsidR="005175B6" w:rsidRPr="007E06AF">
        <w:t xml:space="preserve">the first case in </w:t>
      </w:r>
      <w:r w:rsidRPr="007E06AF">
        <w:t>March 2020</w:t>
      </w:r>
      <w:r w:rsidR="00760E60" w:rsidRPr="007E06AF">
        <w:t xml:space="preserve"> (</w:t>
      </w:r>
      <w:r w:rsidR="00E0796C" w:rsidRPr="007E06AF">
        <w:t>Hopkins/OWID data)</w:t>
      </w:r>
      <w:r w:rsidRPr="007E06AF">
        <w:t>.</w:t>
      </w:r>
      <w:r w:rsidR="00D83973" w:rsidRPr="007E06AF">
        <w:t xml:space="preserve"> </w:t>
      </w:r>
      <w:r w:rsidR="00287007" w:rsidRPr="007E06AF">
        <w:t xml:space="preserve">Rolling out the COVID-19 vaccine has been a </w:t>
      </w:r>
      <w:r w:rsidR="00E0796C" w:rsidRPr="007E06AF">
        <w:t>Government of Fiji (</w:t>
      </w:r>
      <w:proofErr w:type="spellStart"/>
      <w:r w:rsidR="00287007" w:rsidRPr="007E06AF">
        <w:t>GoF</w:t>
      </w:r>
      <w:proofErr w:type="spellEnd"/>
      <w:r w:rsidR="00E0796C" w:rsidRPr="007E06AF">
        <w:t>)</w:t>
      </w:r>
      <w:r w:rsidR="00287007" w:rsidRPr="007E06AF">
        <w:t xml:space="preserve"> priority</w:t>
      </w:r>
      <w:r w:rsidR="00EC169C" w:rsidRPr="007E06AF">
        <w:t xml:space="preserve">. </w:t>
      </w:r>
      <w:r w:rsidR="00287007" w:rsidRPr="007E06AF">
        <w:t>Fiji’s</w:t>
      </w:r>
      <w:r w:rsidR="00E0796C" w:rsidRPr="007E06AF">
        <w:t xml:space="preserve"> </w:t>
      </w:r>
      <w:r w:rsidR="00287007" w:rsidRPr="007E06AF">
        <w:t>national vaccination program commenced on 10 March 2021 and has been enabled in large part by Australia’s</w:t>
      </w:r>
      <w:r w:rsidR="003D2F1F" w:rsidRPr="007E06AF">
        <w:t xml:space="preserve"> ongoing</w:t>
      </w:r>
      <w:r w:rsidR="00287007" w:rsidRPr="007E06AF">
        <w:t xml:space="preserve"> delivery of vaccines.</w:t>
      </w:r>
      <w:r w:rsidR="00EC169C" w:rsidRPr="007E06AF">
        <w:t xml:space="preserve"> </w:t>
      </w:r>
      <w:r w:rsidR="00EC169C" w:rsidRPr="007E06AF">
        <w:rPr>
          <w:b/>
          <w:bCs/>
        </w:rPr>
        <w:t>A</w:t>
      </w:r>
      <w:r w:rsidR="00287007" w:rsidRPr="007E06AF">
        <w:rPr>
          <w:b/>
          <w:bCs/>
        </w:rPr>
        <w:t>s of</w:t>
      </w:r>
      <w:r w:rsidR="00EC169C" w:rsidRPr="007E06AF">
        <w:rPr>
          <w:b/>
          <w:bCs/>
        </w:rPr>
        <w:t xml:space="preserve"> 1 September 2022</w:t>
      </w:r>
      <w:r w:rsidR="00283BDB" w:rsidRPr="007E06AF">
        <w:rPr>
          <w:b/>
          <w:bCs/>
        </w:rPr>
        <w:t xml:space="preserve">, </w:t>
      </w:r>
      <w:proofErr w:type="spellStart"/>
      <w:r w:rsidR="00A80AA5" w:rsidRPr="007E06AF">
        <w:rPr>
          <w:b/>
          <w:bCs/>
        </w:rPr>
        <w:t>GoF</w:t>
      </w:r>
      <w:proofErr w:type="spellEnd"/>
      <w:r w:rsidR="00A80AA5" w:rsidRPr="007E06AF">
        <w:rPr>
          <w:b/>
          <w:bCs/>
        </w:rPr>
        <w:t xml:space="preserve"> reported that </w:t>
      </w:r>
      <w:r w:rsidR="74ADE647" w:rsidRPr="007E06AF">
        <w:rPr>
          <w:b/>
          <w:bCs/>
        </w:rPr>
        <w:t>100</w:t>
      </w:r>
      <w:r w:rsidR="00283BDB" w:rsidRPr="007E06AF">
        <w:rPr>
          <w:b/>
          <w:bCs/>
        </w:rPr>
        <w:t xml:space="preserve"> </w:t>
      </w:r>
      <w:r w:rsidR="00287007" w:rsidRPr="007E06AF">
        <w:rPr>
          <w:b/>
          <w:bCs/>
        </w:rPr>
        <w:t xml:space="preserve">per cent of Fiji’s eligible </w:t>
      </w:r>
      <w:r w:rsidR="00734172" w:rsidRPr="007E06AF">
        <w:rPr>
          <w:b/>
          <w:bCs/>
        </w:rPr>
        <w:t xml:space="preserve">adult </w:t>
      </w:r>
      <w:r w:rsidR="00287007" w:rsidRPr="007E06AF">
        <w:rPr>
          <w:b/>
          <w:bCs/>
        </w:rPr>
        <w:t xml:space="preserve">population had been vaccinated with one dose </w:t>
      </w:r>
      <w:r w:rsidR="00734172" w:rsidRPr="007E06AF">
        <w:rPr>
          <w:b/>
          <w:bCs/>
        </w:rPr>
        <w:t xml:space="preserve">and </w:t>
      </w:r>
      <w:r w:rsidR="3386574C" w:rsidRPr="007E06AF">
        <w:rPr>
          <w:b/>
          <w:bCs/>
        </w:rPr>
        <w:t>95.2</w:t>
      </w:r>
      <w:r w:rsidR="00283BDB" w:rsidRPr="007E06AF">
        <w:rPr>
          <w:b/>
          <w:bCs/>
        </w:rPr>
        <w:t xml:space="preserve"> </w:t>
      </w:r>
      <w:r w:rsidR="00287007" w:rsidRPr="007E06AF">
        <w:rPr>
          <w:b/>
          <w:bCs/>
        </w:rPr>
        <w:t xml:space="preserve">per cent had </w:t>
      </w:r>
      <w:r w:rsidR="00734172" w:rsidRPr="007E06AF">
        <w:rPr>
          <w:b/>
          <w:bCs/>
        </w:rPr>
        <w:t>received two doses</w:t>
      </w:r>
      <w:r w:rsidR="00287007" w:rsidRPr="007E06AF">
        <w:rPr>
          <w:b/>
          <w:bCs/>
        </w:rPr>
        <w:t>.</w:t>
      </w:r>
      <w:r w:rsidR="00287007" w:rsidRPr="007E06AF">
        <w:t xml:space="preserve"> </w:t>
      </w:r>
      <w:r w:rsidR="00CF35F1" w:rsidRPr="007E06AF">
        <w:t>As of 1 September</w:t>
      </w:r>
      <w:r w:rsidR="00E837AE" w:rsidRPr="007E06AF">
        <w:t>,</w:t>
      </w:r>
      <w:r w:rsidR="00CF35F1" w:rsidRPr="007E06AF">
        <w:t xml:space="preserve"> </w:t>
      </w:r>
      <w:proofErr w:type="spellStart"/>
      <w:r w:rsidR="00CF35F1" w:rsidRPr="007E06AF">
        <w:t>GoF</w:t>
      </w:r>
      <w:proofErr w:type="spellEnd"/>
      <w:r w:rsidR="00CF35F1" w:rsidRPr="007E06AF">
        <w:t xml:space="preserve"> reported that </w:t>
      </w:r>
      <w:r w:rsidR="008038A0" w:rsidRPr="007E06AF">
        <w:t>48,842 children aged 12-17 years had received two doses.</w:t>
      </w:r>
    </w:p>
    <w:p w14:paraId="504151AA" w14:textId="1EF4D969" w:rsidR="00372FD3" w:rsidRPr="007E06AF" w:rsidRDefault="44804F68" w:rsidP="004122B9">
      <w:pPr>
        <w:pStyle w:val="Bullet1"/>
        <w:numPr>
          <w:ilvl w:val="0"/>
          <w:numId w:val="0"/>
        </w:numPr>
        <w:spacing w:before="120" w:line="260" w:lineRule="auto"/>
      </w:pPr>
      <w:r w:rsidRPr="007E06AF">
        <w:rPr>
          <w:b/>
          <w:bCs/>
        </w:rPr>
        <w:t>Fiji’s economy was severely impacted by COVID-</w:t>
      </w:r>
      <w:r w:rsidR="7023C0D9" w:rsidRPr="007E06AF">
        <w:rPr>
          <w:b/>
          <w:bCs/>
        </w:rPr>
        <w:t>19</w:t>
      </w:r>
      <w:r w:rsidR="1D85404F" w:rsidRPr="007E06AF">
        <w:rPr>
          <w:b/>
          <w:bCs/>
        </w:rPr>
        <w:t>.</w:t>
      </w:r>
      <w:r w:rsidR="1D85404F" w:rsidRPr="007E06AF">
        <w:t xml:space="preserve"> With its reliance on tourism (an estimated 40 per cent of GDP), Fiji’s real GDP contracted by around 21.3 per cent between 2019 and 2021. </w:t>
      </w:r>
      <w:r w:rsidR="4EBB25BD" w:rsidRPr="007E06AF">
        <w:t xml:space="preserve">Fiji’s net </w:t>
      </w:r>
      <w:r w:rsidR="00457DC9" w:rsidRPr="007E06AF">
        <w:t xml:space="preserve">budget </w:t>
      </w:r>
      <w:r w:rsidR="4EBB25BD" w:rsidRPr="007E06AF">
        <w:t>deficit grew to 11.1 per cent of GDP in 20</w:t>
      </w:r>
      <w:r w:rsidR="00091DC7" w:rsidRPr="007E06AF">
        <w:t>20</w:t>
      </w:r>
      <w:r w:rsidR="4EBB25BD" w:rsidRPr="007E06AF">
        <w:t xml:space="preserve">-21 and is projected to be 13.8 per cent in </w:t>
      </w:r>
      <w:r w:rsidR="00091DC7" w:rsidRPr="007E06AF">
        <w:t>20</w:t>
      </w:r>
      <w:r w:rsidR="4EBB25BD" w:rsidRPr="007E06AF">
        <w:t>21-22</w:t>
      </w:r>
      <w:r w:rsidR="009D68EF" w:rsidRPr="007E06AF">
        <w:t>.</w:t>
      </w:r>
      <w:r w:rsidR="03AD11F6" w:rsidRPr="007E06AF">
        <w:t xml:space="preserve"> Fiji’s</w:t>
      </w:r>
      <w:r w:rsidR="4EBB25BD" w:rsidRPr="007E06AF">
        <w:t xml:space="preserve"> </w:t>
      </w:r>
      <w:r w:rsidR="1D85404F" w:rsidRPr="007E06AF">
        <w:t>d</w:t>
      </w:r>
      <w:r w:rsidRPr="007E06AF">
        <w:t>ebt increased from 38 per cent of GDP pre-pandemic to an estimated 89.4 per cent of GDP at the end of July 2022.</w:t>
      </w:r>
      <w:r w:rsidR="007D4025" w:rsidRPr="007E06AF">
        <w:t xml:space="preserve"> </w:t>
      </w:r>
    </w:p>
    <w:p w14:paraId="7B460F2B" w14:textId="43D38373" w:rsidR="7F1B698A" w:rsidRPr="007E06AF" w:rsidRDefault="00A80AA5" w:rsidP="004122B9">
      <w:pPr>
        <w:pStyle w:val="Bullet1"/>
        <w:numPr>
          <w:ilvl w:val="0"/>
          <w:numId w:val="0"/>
        </w:numPr>
        <w:spacing w:before="120" w:line="260" w:lineRule="auto"/>
        <w:rPr>
          <w:b/>
          <w:bCs/>
        </w:rPr>
      </w:pPr>
      <w:r w:rsidRPr="007E06AF">
        <w:lastRenderedPageBreak/>
        <w:t xml:space="preserve">In October 2022, the Reserve Bank of Fiji forecast economic growth of 15.6 </w:t>
      </w:r>
      <w:r w:rsidR="44804F68" w:rsidRPr="007E06AF">
        <w:t xml:space="preserve">per cent in 2022. Since borders reopened in December 2021, Australians have </w:t>
      </w:r>
      <w:r w:rsidR="00CC2EFB" w:rsidRPr="007E06AF">
        <w:t xml:space="preserve">made up </w:t>
      </w:r>
      <w:r w:rsidR="44804F68" w:rsidRPr="007E06AF">
        <w:t xml:space="preserve">over 60 per cent of Fiji’s total visitor arrivals. </w:t>
      </w:r>
      <w:r w:rsidR="44804F68" w:rsidRPr="007E06AF">
        <w:rPr>
          <w:b/>
          <w:bCs/>
        </w:rPr>
        <w:t>Fiji is aiming for 85 per cent of pre-pandemic visitor arrivals by 2023.</w:t>
      </w:r>
    </w:p>
    <w:p w14:paraId="1D6756F8" w14:textId="59D2715A" w:rsidR="001B203D" w:rsidRPr="007E06AF" w:rsidRDefault="00FC1216" w:rsidP="004122B9">
      <w:pPr>
        <w:pStyle w:val="Heading2"/>
        <w:spacing w:before="120" w:after="60" w:line="260" w:lineRule="auto"/>
      </w:pPr>
      <w:r w:rsidRPr="007E06AF">
        <w:t>AUSTRALIA’S RESPONS</w:t>
      </w:r>
      <w:r w:rsidR="00193C49" w:rsidRPr="007E06AF">
        <w:t xml:space="preserve">E </w:t>
      </w:r>
      <w:r w:rsidR="00903687" w:rsidRPr="007E06AF">
        <w:t xml:space="preserve">AND </w:t>
      </w:r>
      <w:r w:rsidR="00193C49" w:rsidRPr="007E06AF">
        <w:t>PROGRAM HIGHLIGHTS</w:t>
      </w:r>
    </w:p>
    <w:p w14:paraId="2F234838" w14:textId="051B2EDE" w:rsidR="005E2CAC" w:rsidRPr="007E06AF" w:rsidRDefault="00297FD1" w:rsidP="004122B9">
      <w:pPr>
        <w:pStyle w:val="Heading3"/>
        <w:spacing w:before="120" w:after="60" w:line="260" w:lineRule="auto"/>
      </w:pPr>
      <w:r w:rsidRPr="007E06AF">
        <w:t>Health Security</w:t>
      </w:r>
    </w:p>
    <w:p w14:paraId="3DA89902" w14:textId="79536687" w:rsidR="00252CF6" w:rsidRPr="007E06AF" w:rsidRDefault="364974A8" w:rsidP="004122B9">
      <w:pPr>
        <w:spacing w:line="260" w:lineRule="auto"/>
      </w:pPr>
      <w:r w:rsidRPr="007E06AF">
        <w:t>Australia is Fiji’s largest public health partner and responded to Fiji’s most acute health priorities during the COVID-19 pandemic</w:t>
      </w:r>
      <w:r w:rsidR="61F241C8" w:rsidRPr="007E06AF">
        <w:t xml:space="preserve"> through </w:t>
      </w:r>
      <w:r w:rsidR="3D955774" w:rsidRPr="007E06AF">
        <w:rPr>
          <w:lang w:val="en-AU"/>
        </w:rPr>
        <w:t xml:space="preserve">substantial health support, including </w:t>
      </w:r>
      <w:r w:rsidR="3D955774" w:rsidRPr="007E06AF">
        <w:rPr>
          <w:b/>
          <w:bCs/>
          <w:lang w:val="en-AU"/>
        </w:rPr>
        <w:t>over 1.</w:t>
      </w:r>
      <w:r w:rsidR="041311F3" w:rsidRPr="007E06AF">
        <w:rPr>
          <w:b/>
          <w:bCs/>
          <w:lang w:val="en-AU"/>
        </w:rPr>
        <w:t>5</w:t>
      </w:r>
      <w:r w:rsidR="3D955774" w:rsidRPr="007E06AF">
        <w:rPr>
          <w:b/>
          <w:bCs/>
          <w:lang w:val="en-AU"/>
        </w:rPr>
        <w:t xml:space="preserve"> million </w:t>
      </w:r>
      <w:r w:rsidR="0037126F" w:rsidRPr="007E06AF">
        <w:rPr>
          <w:b/>
          <w:bCs/>
          <w:lang w:val="en-AU"/>
        </w:rPr>
        <w:t>vaccine doses</w:t>
      </w:r>
      <w:r w:rsidR="3D955774" w:rsidRPr="007E06AF">
        <w:rPr>
          <w:b/>
          <w:bCs/>
          <w:lang w:val="en-AU"/>
        </w:rPr>
        <w:t xml:space="preserve">, as well as </w:t>
      </w:r>
      <w:r w:rsidR="00734172" w:rsidRPr="007E06AF">
        <w:rPr>
          <w:b/>
          <w:bCs/>
          <w:lang w:val="en-AU"/>
        </w:rPr>
        <w:t xml:space="preserve">medical </w:t>
      </w:r>
      <w:r w:rsidR="00C9478B" w:rsidRPr="007E06AF">
        <w:rPr>
          <w:b/>
          <w:bCs/>
          <w:lang w:val="en-AU"/>
        </w:rPr>
        <w:t>equipment</w:t>
      </w:r>
      <w:r w:rsidR="00734172" w:rsidRPr="007E06AF">
        <w:rPr>
          <w:b/>
          <w:bCs/>
          <w:lang w:val="en-AU"/>
        </w:rPr>
        <w:t xml:space="preserve">, </w:t>
      </w:r>
      <w:proofErr w:type="gramStart"/>
      <w:r w:rsidR="00734172" w:rsidRPr="007E06AF">
        <w:rPr>
          <w:b/>
          <w:bCs/>
          <w:lang w:val="en-AU"/>
        </w:rPr>
        <w:t>consumables</w:t>
      </w:r>
      <w:proofErr w:type="gramEnd"/>
      <w:r w:rsidR="00734172" w:rsidRPr="007E06AF">
        <w:rPr>
          <w:b/>
          <w:bCs/>
          <w:lang w:val="en-AU"/>
        </w:rPr>
        <w:t xml:space="preserve"> and technical assistance.</w:t>
      </w:r>
      <w:r w:rsidR="3D955774" w:rsidRPr="007E06AF">
        <w:rPr>
          <w:b/>
          <w:bCs/>
          <w:lang w:val="en-AU"/>
        </w:rPr>
        <w:t xml:space="preserve"> </w:t>
      </w:r>
      <w:r w:rsidR="00252CF6" w:rsidRPr="007E06AF">
        <w:t>Australia has committed $16.9 million (2020-23) for COVID-19 vaccine access in Fiji, including delivery support and vaccine procurement, drawing on Australia’s Regional COVID-19 Vaccine Access and Health Security Initiative (VAHSI).</w:t>
      </w:r>
    </w:p>
    <w:p w14:paraId="65DF0E91" w14:textId="2466B9CE" w:rsidR="00014CDD" w:rsidRPr="007E06AF" w:rsidRDefault="00457DC9" w:rsidP="004122B9">
      <w:pPr>
        <w:spacing w:line="260" w:lineRule="auto"/>
      </w:pPr>
      <w:r w:rsidRPr="007E06AF">
        <w:rPr>
          <w:rFonts w:ascii="Calibri Light" w:eastAsia="Calibri Light" w:hAnsi="Calibri Light" w:cs="Calibri Light"/>
          <w:lang w:val="en-AU"/>
        </w:rPr>
        <w:t>In addition to deploying an Australian Medical Assistance Team (</w:t>
      </w:r>
      <w:proofErr w:type="spellStart"/>
      <w:r w:rsidRPr="007E06AF">
        <w:rPr>
          <w:rFonts w:ascii="Calibri Light" w:eastAsia="Calibri Light" w:hAnsi="Calibri Light" w:cs="Calibri Light"/>
          <w:lang w:val="en-AU"/>
        </w:rPr>
        <w:t>AusMAT</w:t>
      </w:r>
      <w:proofErr w:type="spellEnd"/>
      <w:r w:rsidRPr="007E06AF">
        <w:rPr>
          <w:rFonts w:ascii="Calibri Light" w:eastAsia="Calibri Light" w:hAnsi="Calibri Light" w:cs="Calibri Light"/>
          <w:lang w:val="en-AU"/>
        </w:rPr>
        <w:t xml:space="preserve">) in June 2021, </w:t>
      </w:r>
      <w:r w:rsidR="00AA04C3" w:rsidRPr="007E06AF">
        <w:rPr>
          <w:rFonts w:ascii="Calibri Light" w:eastAsia="Calibri Light" w:hAnsi="Calibri Light" w:cs="Calibri Light"/>
          <w:lang w:val="en-AU"/>
        </w:rPr>
        <w:t xml:space="preserve">Australia deployed </w:t>
      </w:r>
      <w:r w:rsidR="004914E4" w:rsidRPr="007E06AF">
        <w:rPr>
          <w:rFonts w:ascii="Calibri Light" w:eastAsia="Calibri Light" w:hAnsi="Calibri Light" w:cs="Calibri Light"/>
          <w:lang w:val="en-AU"/>
        </w:rPr>
        <w:t>two</w:t>
      </w:r>
      <w:r w:rsidR="00A03F75" w:rsidRPr="007E06AF">
        <w:rPr>
          <w:rFonts w:ascii="Calibri Light" w:eastAsia="Calibri Light" w:hAnsi="Calibri Light" w:cs="Calibri Light"/>
          <w:lang w:val="en-AU"/>
        </w:rPr>
        <w:t xml:space="preserve"> further</w:t>
      </w:r>
      <w:r w:rsidR="004914E4" w:rsidRPr="007E06AF">
        <w:rPr>
          <w:rFonts w:ascii="Calibri Light" w:eastAsia="Calibri Light" w:hAnsi="Calibri Light" w:cs="Calibri Light"/>
          <w:lang w:val="en-AU"/>
        </w:rPr>
        <w:t xml:space="preserve"> </w:t>
      </w:r>
      <w:proofErr w:type="spellStart"/>
      <w:r w:rsidR="00AA04C3" w:rsidRPr="007E06AF">
        <w:rPr>
          <w:rFonts w:ascii="Calibri Light" w:eastAsia="Calibri Light" w:hAnsi="Calibri Light" w:cs="Calibri Light"/>
          <w:lang w:val="en-AU"/>
        </w:rPr>
        <w:t>AusMAT</w:t>
      </w:r>
      <w:proofErr w:type="spellEnd"/>
      <w:r w:rsidRPr="007E06AF">
        <w:rPr>
          <w:rFonts w:ascii="Calibri Light" w:eastAsia="Calibri Light" w:hAnsi="Calibri Light" w:cs="Calibri Light"/>
          <w:lang w:val="en-AU"/>
        </w:rPr>
        <w:t xml:space="preserve"> teams</w:t>
      </w:r>
      <w:r w:rsidR="00AA04C3" w:rsidRPr="007E06AF">
        <w:rPr>
          <w:rFonts w:ascii="Calibri Light" w:eastAsia="Calibri Light" w:hAnsi="Calibri Light" w:cs="Calibri Light"/>
          <w:lang w:val="en-AU"/>
        </w:rPr>
        <w:t xml:space="preserve"> </w:t>
      </w:r>
      <w:r w:rsidR="00734172" w:rsidRPr="007E06AF">
        <w:rPr>
          <w:rFonts w:ascii="Calibri Light" w:eastAsia="Calibri Light" w:hAnsi="Calibri Light" w:cs="Calibri Light"/>
          <w:lang w:val="en-AU"/>
        </w:rPr>
        <w:t xml:space="preserve">with embedded New Zealand health specialists </w:t>
      </w:r>
      <w:r w:rsidR="24470A00" w:rsidRPr="007E06AF">
        <w:rPr>
          <w:rFonts w:ascii="Calibri Light" w:eastAsia="Calibri Light" w:hAnsi="Calibri Light" w:cs="Calibri Light"/>
          <w:lang w:val="en-AU"/>
        </w:rPr>
        <w:t xml:space="preserve">between </w:t>
      </w:r>
      <w:r w:rsidR="00AB2121" w:rsidRPr="007E06AF">
        <w:rPr>
          <w:rFonts w:ascii="Calibri Light" w:eastAsia="Calibri Light" w:hAnsi="Calibri Light" w:cs="Calibri Light"/>
          <w:lang w:val="en-AU"/>
        </w:rPr>
        <w:t>Ju</w:t>
      </w:r>
      <w:r w:rsidR="004914E4" w:rsidRPr="007E06AF">
        <w:rPr>
          <w:rFonts w:ascii="Calibri Light" w:eastAsia="Calibri Light" w:hAnsi="Calibri Light" w:cs="Calibri Light"/>
          <w:lang w:val="en-AU"/>
        </w:rPr>
        <w:t>ly</w:t>
      </w:r>
      <w:r w:rsidR="00AB2121" w:rsidRPr="007E06AF">
        <w:rPr>
          <w:rFonts w:ascii="Calibri Light" w:eastAsia="Calibri Light" w:hAnsi="Calibri Light" w:cs="Calibri Light"/>
          <w:lang w:val="en-AU"/>
        </w:rPr>
        <w:t xml:space="preserve"> </w:t>
      </w:r>
      <w:r w:rsidR="24470A00" w:rsidRPr="007E06AF">
        <w:rPr>
          <w:rFonts w:ascii="Calibri Light" w:eastAsia="Calibri Light" w:hAnsi="Calibri Light" w:cs="Calibri Light"/>
          <w:lang w:val="en-AU"/>
        </w:rPr>
        <w:t>and September 2021</w:t>
      </w:r>
      <w:r w:rsidRPr="007E06AF">
        <w:rPr>
          <w:rFonts w:ascii="Calibri Light" w:eastAsia="Calibri Light" w:hAnsi="Calibri Light" w:cs="Calibri Light"/>
          <w:lang w:val="en-AU"/>
        </w:rPr>
        <w:t xml:space="preserve">. </w:t>
      </w:r>
      <w:r w:rsidR="24470A00" w:rsidRPr="007E06AF">
        <w:rPr>
          <w:rFonts w:ascii="Calibri Light" w:eastAsia="Calibri Light" w:hAnsi="Calibri Light" w:cs="Calibri Light"/>
          <w:lang w:val="en-AU"/>
        </w:rPr>
        <w:t>A</w:t>
      </w:r>
      <w:r w:rsidRPr="007E06AF">
        <w:rPr>
          <w:rFonts w:ascii="Calibri Light" w:eastAsia="Calibri Light" w:hAnsi="Calibri Light" w:cs="Calibri Light"/>
          <w:lang w:val="en-AU"/>
        </w:rPr>
        <w:t xml:space="preserve"> </w:t>
      </w:r>
      <w:r w:rsidR="00062FE4" w:rsidRPr="007E06AF">
        <w:rPr>
          <w:rFonts w:ascii="Calibri Light" w:eastAsia="Calibri Light" w:hAnsi="Calibri Light" w:cs="Calibri Light"/>
          <w:lang w:val="en-AU"/>
        </w:rPr>
        <w:t>four</w:t>
      </w:r>
      <w:r w:rsidR="007D4025" w:rsidRPr="007E06AF">
        <w:rPr>
          <w:rFonts w:ascii="Calibri Light" w:eastAsia="Calibri Light" w:hAnsi="Calibri Light" w:cs="Calibri Light"/>
          <w:lang w:val="en-AU"/>
        </w:rPr>
        <w:t>-</w:t>
      </w:r>
      <w:r w:rsidR="00062FE4" w:rsidRPr="007E06AF">
        <w:rPr>
          <w:rFonts w:ascii="Calibri Light" w:eastAsia="Calibri Light" w:hAnsi="Calibri Light" w:cs="Calibri Light"/>
          <w:lang w:val="en-AU"/>
        </w:rPr>
        <w:t xml:space="preserve">person </w:t>
      </w:r>
      <w:r w:rsidR="24470A00" w:rsidRPr="007E06AF">
        <w:rPr>
          <w:rFonts w:ascii="Calibri Light" w:eastAsia="Calibri Light" w:hAnsi="Calibri Light" w:cs="Calibri Light"/>
          <w:lang w:val="en-AU"/>
        </w:rPr>
        <w:t xml:space="preserve">deployment by the Royal Australian College of Surgeons and a two-nurse National Critical Care and Trauma Response Centre (NCCTRC) team built on the work of </w:t>
      </w:r>
      <w:r w:rsidR="00734172" w:rsidRPr="007E06AF">
        <w:rPr>
          <w:rFonts w:ascii="Calibri Light" w:eastAsia="Calibri Light" w:hAnsi="Calibri Light" w:cs="Calibri Light"/>
          <w:lang w:val="en-AU"/>
        </w:rPr>
        <w:t xml:space="preserve">the </w:t>
      </w:r>
      <w:proofErr w:type="spellStart"/>
      <w:r w:rsidR="24470A00" w:rsidRPr="007E06AF">
        <w:rPr>
          <w:rFonts w:ascii="Calibri Light" w:eastAsia="Calibri Light" w:hAnsi="Calibri Light" w:cs="Calibri Light"/>
          <w:lang w:val="en-AU"/>
        </w:rPr>
        <w:t>AusMAT</w:t>
      </w:r>
      <w:proofErr w:type="spellEnd"/>
      <w:r w:rsidR="24470A00" w:rsidRPr="007E06AF">
        <w:rPr>
          <w:rFonts w:ascii="Calibri Light" w:eastAsia="Calibri Light" w:hAnsi="Calibri Light" w:cs="Calibri Light"/>
          <w:lang w:val="en-AU"/>
        </w:rPr>
        <w:t xml:space="preserve"> deployments </w:t>
      </w:r>
      <w:r w:rsidR="00050F16" w:rsidRPr="007E06AF">
        <w:rPr>
          <w:rFonts w:ascii="Calibri Light" w:eastAsia="Calibri Light" w:hAnsi="Calibri Light" w:cs="Calibri Light"/>
          <w:lang w:val="en-AU"/>
        </w:rPr>
        <w:t>and</w:t>
      </w:r>
      <w:r w:rsidR="00AA04C3" w:rsidRPr="007E06AF">
        <w:rPr>
          <w:rFonts w:ascii="Calibri Light" w:eastAsia="Calibri Light" w:hAnsi="Calibri Light" w:cs="Calibri Light"/>
          <w:lang w:val="en-AU"/>
        </w:rPr>
        <w:t xml:space="preserve"> worked</w:t>
      </w:r>
      <w:r w:rsidR="24470A00" w:rsidRPr="007E06AF">
        <w:rPr>
          <w:rFonts w:ascii="Calibri Light" w:eastAsia="Calibri Light" w:hAnsi="Calibri Light" w:cs="Calibri Light"/>
          <w:lang w:val="en-AU"/>
        </w:rPr>
        <w:t xml:space="preserve"> alongside</w:t>
      </w:r>
      <w:r w:rsidR="24470A00" w:rsidRPr="007E06AF">
        <w:rPr>
          <w:rFonts w:ascii="Calibri Light" w:eastAsia="Calibri Light" w:hAnsi="Calibri Light" w:cs="Calibri Light"/>
        </w:rPr>
        <w:t xml:space="preserve"> Fiji’s Ministry of Health and Medical Services staff and frontline health workers, with a </w:t>
      </w:r>
      <w:r w:rsidR="24470A00" w:rsidRPr="007E06AF">
        <w:rPr>
          <w:rFonts w:ascii="Calibri Light" w:eastAsia="Calibri Light" w:hAnsi="Calibri Light" w:cs="Calibri Light"/>
          <w:b/>
          <w:bCs/>
        </w:rPr>
        <w:t xml:space="preserve">focus on infection prevention and control, </w:t>
      </w:r>
      <w:proofErr w:type="gramStart"/>
      <w:r w:rsidR="24470A00" w:rsidRPr="007E06AF">
        <w:rPr>
          <w:rFonts w:ascii="Calibri Light" w:eastAsia="Calibri Light" w:hAnsi="Calibri Light" w:cs="Calibri Light"/>
          <w:b/>
          <w:bCs/>
        </w:rPr>
        <w:t>training</w:t>
      </w:r>
      <w:proofErr w:type="gramEnd"/>
      <w:r w:rsidR="24470A00" w:rsidRPr="007E06AF">
        <w:rPr>
          <w:rFonts w:ascii="Calibri Light" w:eastAsia="Calibri Light" w:hAnsi="Calibri Light" w:cs="Calibri Light"/>
          <w:b/>
          <w:bCs/>
        </w:rPr>
        <w:t xml:space="preserve"> and public health support.</w:t>
      </w:r>
      <w:r w:rsidR="24470A00" w:rsidRPr="007E06AF">
        <w:rPr>
          <w:rFonts w:ascii="Calibri Light" w:eastAsia="Calibri Light" w:hAnsi="Calibri Light" w:cs="Calibri Light"/>
        </w:rPr>
        <w:t xml:space="preserve"> </w:t>
      </w:r>
      <w:r w:rsidR="24470A00" w:rsidRPr="007E06AF">
        <w:rPr>
          <w:rFonts w:ascii="Calibri Light" w:eastAsia="Calibri Light" w:hAnsi="Calibri Light" w:cs="Calibri Light"/>
          <w:lang w:val="en-AU"/>
        </w:rPr>
        <w:t xml:space="preserve">The NCCTRC </w:t>
      </w:r>
      <w:r w:rsidR="00713ABC" w:rsidRPr="007E06AF">
        <w:rPr>
          <w:rFonts w:ascii="Calibri Light" w:eastAsia="Calibri Light" w:hAnsi="Calibri Light" w:cs="Calibri Light"/>
          <w:lang w:val="en-AU"/>
        </w:rPr>
        <w:t xml:space="preserve">also </w:t>
      </w:r>
      <w:r w:rsidR="24470A00" w:rsidRPr="007E06AF">
        <w:rPr>
          <w:rFonts w:ascii="Calibri Light" w:eastAsia="Calibri Light" w:hAnsi="Calibri Light" w:cs="Calibri Light"/>
          <w:lang w:val="en-AU"/>
        </w:rPr>
        <w:t xml:space="preserve">provided </w:t>
      </w:r>
      <w:r w:rsidR="24470A00" w:rsidRPr="007E06AF">
        <w:rPr>
          <w:rFonts w:ascii="Calibri Light" w:eastAsia="Calibri Light" w:hAnsi="Calibri Light" w:cs="Calibri Light"/>
          <w:b/>
          <w:bCs/>
          <w:lang w:val="en-AU"/>
        </w:rPr>
        <w:t xml:space="preserve">epidemiological support through remote technical assistance to inform </w:t>
      </w:r>
      <w:proofErr w:type="spellStart"/>
      <w:r w:rsidR="00713ABC" w:rsidRPr="007E06AF">
        <w:rPr>
          <w:rFonts w:ascii="Calibri Light" w:eastAsia="Calibri Light" w:hAnsi="Calibri Light" w:cs="Calibri Light"/>
          <w:b/>
          <w:bCs/>
          <w:lang w:val="en-AU"/>
        </w:rPr>
        <w:t>GoF</w:t>
      </w:r>
      <w:proofErr w:type="spellEnd"/>
      <w:r w:rsidR="00713ABC" w:rsidRPr="007E06AF">
        <w:rPr>
          <w:rFonts w:ascii="Calibri Light" w:eastAsia="Calibri Light" w:hAnsi="Calibri Light" w:cs="Calibri Light"/>
          <w:b/>
          <w:bCs/>
          <w:lang w:val="en-AU"/>
        </w:rPr>
        <w:t xml:space="preserve"> </w:t>
      </w:r>
      <w:r w:rsidR="24470A00" w:rsidRPr="007E06AF">
        <w:rPr>
          <w:rFonts w:ascii="Calibri Light" w:eastAsia="Calibri Light" w:hAnsi="Calibri Light" w:cs="Calibri Light"/>
          <w:b/>
          <w:bCs/>
          <w:lang w:val="en-AU"/>
        </w:rPr>
        <w:t xml:space="preserve">planning and </w:t>
      </w:r>
      <w:r w:rsidR="00930549" w:rsidRPr="007E06AF">
        <w:rPr>
          <w:rFonts w:ascii="Calibri Light" w:eastAsia="Calibri Light" w:hAnsi="Calibri Light" w:cs="Calibri Light"/>
          <w:b/>
          <w:bCs/>
          <w:lang w:val="en-AU"/>
        </w:rPr>
        <w:t xml:space="preserve">its </w:t>
      </w:r>
      <w:r w:rsidR="24470A00" w:rsidRPr="007E06AF">
        <w:rPr>
          <w:rFonts w:ascii="Calibri Light" w:eastAsia="Calibri Light" w:hAnsi="Calibri Light" w:cs="Calibri Light"/>
          <w:b/>
          <w:bCs/>
          <w:lang w:val="en-AU"/>
        </w:rPr>
        <w:t>approach to outbreak response</w:t>
      </w:r>
      <w:r w:rsidR="24470A00" w:rsidRPr="007E06AF">
        <w:rPr>
          <w:rFonts w:ascii="Calibri Light" w:eastAsia="Calibri Light" w:hAnsi="Calibri Light" w:cs="Calibri Light"/>
          <w:lang w:val="en-AU"/>
        </w:rPr>
        <w:t>.</w:t>
      </w:r>
      <w:r w:rsidR="24470A00" w:rsidRPr="007E06AF">
        <w:rPr>
          <w:rFonts w:ascii="Calibri Light" w:eastAsia="Calibri Light" w:hAnsi="Calibri Light" w:cs="Calibri Light"/>
        </w:rPr>
        <w:t xml:space="preserve"> Australia support</w:t>
      </w:r>
      <w:r w:rsidR="00930549" w:rsidRPr="007E06AF">
        <w:rPr>
          <w:rFonts w:ascii="Calibri Light" w:eastAsia="Calibri Light" w:hAnsi="Calibri Light" w:cs="Calibri Light"/>
        </w:rPr>
        <w:t>ed</w:t>
      </w:r>
      <w:r w:rsidR="24470A00" w:rsidRPr="007E06AF">
        <w:rPr>
          <w:rFonts w:ascii="Calibri Light" w:eastAsia="Calibri Light" w:hAnsi="Calibri Light" w:cs="Calibri Light"/>
        </w:rPr>
        <w:t xml:space="preserve"> Fiji’s Centre for Disease Control to enhance and strengthen testing and tracing capabilities, including through the recruitment of laboratory staff, and procurement of personal protective equipment</w:t>
      </w:r>
      <w:r w:rsidR="009D68EF" w:rsidRPr="007E06AF">
        <w:rPr>
          <w:rFonts w:ascii="Calibri Light" w:eastAsia="Calibri Light" w:hAnsi="Calibri Light" w:cs="Calibri Light"/>
        </w:rPr>
        <w:t xml:space="preserve"> (PPE)</w:t>
      </w:r>
      <w:r w:rsidR="00AA04C3" w:rsidRPr="007E06AF">
        <w:rPr>
          <w:rFonts w:ascii="Calibri Light" w:eastAsia="Calibri Light" w:hAnsi="Calibri Light" w:cs="Calibri Light"/>
        </w:rPr>
        <w:t xml:space="preserve">, testing </w:t>
      </w:r>
      <w:r w:rsidR="24470A00" w:rsidRPr="007E06AF">
        <w:rPr>
          <w:rFonts w:ascii="Calibri Light" w:eastAsia="Calibri Light" w:hAnsi="Calibri Light" w:cs="Calibri Light"/>
        </w:rPr>
        <w:t>and medical supplies.</w:t>
      </w:r>
      <w:r w:rsidR="001329D1" w:rsidRPr="007E06AF">
        <w:rPr>
          <w:rFonts w:ascii="Calibri Light" w:eastAsia="Calibri Light" w:hAnsi="Calibri Light" w:cs="Calibri Light"/>
        </w:rPr>
        <w:t xml:space="preserve"> </w:t>
      </w:r>
      <w:r w:rsidR="00A67A16" w:rsidRPr="007E06AF">
        <w:t xml:space="preserve">During the reporting period, </w:t>
      </w:r>
      <w:r w:rsidR="00616E69" w:rsidRPr="007E06AF">
        <w:t xml:space="preserve">Australia provided </w:t>
      </w:r>
      <w:r w:rsidR="003E495D" w:rsidRPr="007E06AF">
        <w:rPr>
          <w:b/>
          <w:bCs/>
        </w:rPr>
        <w:t xml:space="preserve">more than </w:t>
      </w:r>
      <w:r w:rsidR="00014CDD" w:rsidRPr="007E06AF">
        <w:rPr>
          <w:b/>
          <w:bCs/>
        </w:rPr>
        <w:t>69,</w:t>
      </w:r>
      <w:r w:rsidR="003E495D" w:rsidRPr="007E06AF">
        <w:rPr>
          <w:b/>
          <w:bCs/>
        </w:rPr>
        <w:t xml:space="preserve">000 </w:t>
      </w:r>
      <w:r w:rsidR="00014CDD" w:rsidRPr="007E06AF">
        <w:rPr>
          <w:b/>
          <w:bCs/>
        </w:rPr>
        <w:t xml:space="preserve">pieces of equipment, medical </w:t>
      </w:r>
      <w:proofErr w:type="gramStart"/>
      <w:r w:rsidR="00014CDD" w:rsidRPr="007E06AF">
        <w:rPr>
          <w:b/>
          <w:bCs/>
        </w:rPr>
        <w:t>supplies</w:t>
      </w:r>
      <w:proofErr w:type="gramEnd"/>
      <w:r w:rsidR="00014CDD" w:rsidRPr="007E06AF">
        <w:rPr>
          <w:b/>
          <w:bCs/>
        </w:rPr>
        <w:t xml:space="preserve"> and PPE to support Fiji’s COVID</w:t>
      </w:r>
      <w:r w:rsidR="009D68EF" w:rsidRPr="007E06AF">
        <w:rPr>
          <w:b/>
          <w:bCs/>
        </w:rPr>
        <w:t>-19</w:t>
      </w:r>
      <w:r w:rsidR="00014CDD" w:rsidRPr="007E06AF">
        <w:rPr>
          <w:b/>
          <w:bCs/>
        </w:rPr>
        <w:t xml:space="preserve"> response, </w:t>
      </w:r>
      <w:r w:rsidR="004678B9" w:rsidRPr="007E06AF">
        <w:rPr>
          <w:b/>
          <w:bCs/>
        </w:rPr>
        <w:t xml:space="preserve">and </w:t>
      </w:r>
      <w:r w:rsidR="00014CDD" w:rsidRPr="007E06AF">
        <w:rPr>
          <w:b/>
          <w:bCs/>
        </w:rPr>
        <w:t xml:space="preserve">respond to the </w:t>
      </w:r>
      <w:r w:rsidR="004678B9" w:rsidRPr="007E06AF">
        <w:rPr>
          <w:b/>
          <w:bCs/>
        </w:rPr>
        <w:t>leptospirosis</w:t>
      </w:r>
      <w:r w:rsidR="00014CDD" w:rsidRPr="007E06AF">
        <w:rPr>
          <w:b/>
          <w:bCs/>
        </w:rPr>
        <w:t xml:space="preserve">, </w:t>
      </w:r>
      <w:r w:rsidR="004678B9" w:rsidRPr="007E06AF">
        <w:rPr>
          <w:b/>
          <w:bCs/>
        </w:rPr>
        <w:t>typhoid</w:t>
      </w:r>
      <w:r w:rsidR="00014CDD" w:rsidRPr="007E06AF">
        <w:rPr>
          <w:b/>
          <w:bCs/>
        </w:rPr>
        <w:t xml:space="preserve">, </w:t>
      </w:r>
      <w:r w:rsidR="004678B9" w:rsidRPr="007E06AF">
        <w:rPr>
          <w:b/>
          <w:bCs/>
        </w:rPr>
        <w:t xml:space="preserve">dengue </w:t>
      </w:r>
      <w:r w:rsidR="00014CDD" w:rsidRPr="007E06AF">
        <w:rPr>
          <w:b/>
          <w:bCs/>
        </w:rPr>
        <w:t xml:space="preserve">and </w:t>
      </w:r>
      <w:r w:rsidR="00A67A16" w:rsidRPr="007E06AF">
        <w:rPr>
          <w:b/>
          <w:bCs/>
        </w:rPr>
        <w:t>diarrhoea</w:t>
      </w:r>
      <w:r w:rsidR="00014CDD" w:rsidRPr="007E06AF">
        <w:rPr>
          <w:b/>
          <w:bCs/>
        </w:rPr>
        <w:t xml:space="preserve"> outbreak following </w:t>
      </w:r>
      <w:r w:rsidR="001523B6" w:rsidRPr="007E06AF">
        <w:rPr>
          <w:b/>
          <w:bCs/>
        </w:rPr>
        <w:t xml:space="preserve">category one </w:t>
      </w:r>
      <w:r w:rsidR="004678B9" w:rsidRPr="007E06AF">
        <w:rPr>
          <w:b/>
          <w:bCs/>
        </w:rPr>
        <w:t xml:space="preserve">Tropical Cyclone </w:t>
      </w:r>
      <w:r w:rsidR="00014CDD" w:rsidRPr="007E06AF">
        <w:rPr>
          <w:b/>
          <w:bCs/>
        </w:rPr>
        <w:t>Cody</w:t>
      </w:r>
      <w:r w:rsidR="001523B6" w:rsidRPr="007E06AF">
        <w:t xml:space="preserve"> (</w:t>
      </w:r>
      <w:r w:rsidR="00CF1307" w:rsidRPr="007E06AF">
        <w:t>January 2022</w:t>
      </w:r>
      <w:r w:rsidR="001523B6" w:rsidRPr="007E06AF">
        <w:t>)</w:t>
      </w:r>
      <w:r w:rsidR="00EF3028" w:rsidRPr="007E06AF">
        <w:t>.</w:t>
      </w:r>
    </w:p>
    <w:p w14:paraId="4B3F0D45" w14:textId="529D3AE2" w:rsidR="00E32324" w:rsidRPr="007E06AF" w:rsidRDefault="53835287" w:rsidP="004122B9">
      <w:pPr>
        <w:pStyle w:val="Heading3"/>
        <w:spacing w:before="120" w:after="60" w:line="260" w:lineRule="auto"/>
      </w:pPr>
      <w:r w:rsidRPr="007E06AF">
        <w:t>Stability</w:t>
      </w:r>
    </w:p>
    <w:p w14:paraId="1D48D073" w14:textId="0ADF3BBD" w:rsidR="00297FD1" w:rsidRPr="007E06AF" w:rsidRDefault="67D7EF62" w:rsidP="004122B9">
      <w:pPr>
        <w:spacing w:line="260" w:lineRule="auto"/>
      </w:pPr>
      <w:r w:rsidRPr="007E06AF">
        <w:t xml:space="preserve">Guided by </w:t>
      </w:r>
      <w:proofErr w:type="spellStart"/>
      <w:r w:rsidR="00802A65" w:rsidRPr="007E06AF">
        <w:t>GoF’s</w:t>
      </w:r>
      <w:proofErr w:type="spellEnd"/>
      <w:r w:rsidRPr="007E06AF">
        <w:t xml:space="preserve"> long-term reform and COVID-19 </w:t>
      </w:r>
      <w:r w:rsidR="6C9D1802" w:rsidRPr="007E06AF">
        <w:t xml:space="preserve">response </w:t>
      </w:r>
      <w:r w:rsidRPr="007E06AF">
        <w:t xml:space="preserve">priorities, </w:t>
      </w:r>
      <w:r w:rsidR="224DA73E" w:rsidRPr="007E06AF">
        <w:t xml:space="preserve">Australia provided support </w:t>
      </w:r>
      <w:r w:rsidRPr="007E06AF">
        <w:t>to strengthen national policies and institutions</w:t>
      </w:r>
      <w:r w:rsidR="19907CE3" w:rsidRPr="007E06AF">
        <w:t>, including the national social protection system, gender equality and education.</w:t>
      </w:r>
    </w:p>
    <w:p w14:paraId="2EA659DC" w14:textId="22D9E5BE" w:rsidR="0DA63169" w:rsidRPr="007E06AF" w:rsidRDefault="0DA63169" w:rsidP="004122B9">
      <w:pPr>
        <w:spacing w:line="260" w:lineRule="auto"/>
        <w:rPr>
          <w:rFonts w:eastAsiaTheme="majorEastAsia"/>
        </w:rPr>
      </w:pPr>
      <w:r w:rsidRPr="007E06AF">
        <w:t>Following the a</w:t>
      </w:r>
      <w:r w:rsidR="177BC245" w:rsidRPr="007E06AF">
        <w:t xml:space="preserve">doption </w:t>
      </w:r>
      <w:r w:rsidRPr="007E06AF">
        <w:t>of Fiji’s F</w:t>
      </w:r>
      <w:r w:rsidR="0EFB8311" w:rsidRPr="007E06AF">
        <w:t>i</w:t>
      </w:r>
      <w:r w:rsidRPr="007E06AF">
        <w:t>nancial Management</w:t>
      </w:r>
      <w:r w:rsidR="21F2A84D" w:rsidRPr="007E06AF">
        <w:t xml:space="preserve"> Amendment</w:t>
      </w:r>
      <w:r w:rsidRPr="007E06AF">
        <w:t xml:space="preserve"> Act in </w:t>
      </w:r>
      <w:r w:rsidR="65742D0B" w:rsidRPr="007E06AF">
        <w:t>July 2021,</w:t>
      </w:r>
      <w:r w:rsidR="76CE34DD" w:rsidRPr="007E06AF">
        <w:t xml:space="preserve"> which introduced key reforms, </w:t>
      </w:r>
      <w:r w:rsidR="65742D0B" w:rsidRPr="007E06AF">
        <w:t>t</w:t>
      </w:r>
      <w:r w:rsidR="5F623FF0" w:rsidRPr="007E06AF">
        <w:t xml:space="preserve">hrough a partnership with the Asian Development Bank, Australia funded </w:t>
      </w:r>
      <w:r w:rsidR="42400E29" w:rsidRPr="007E06AF">
        <w:rPr>
          <w:b/>
          <w:bCs/>
        </w:rPr>
        <w:t xml:space="preserve">technical </w:t>
      </w:r>
      <w:r w:rsidR="5F623FF0" w:rsidRPr="007E06AF">
        <w:rPr>
          <w:b/>
          <w:bCs/>
        </w:rPr>
        <w:t>advis</w:t>
      </w:r>
      <w:r w:rsidR="00ED101D" w:rsidRPr="007E06AF">
        <w:rPr>
          <w:b/>
          <w:bCs/>
        </w:rPr>
        <w:t>e</w:t>
      </w:r>
      <w:r w:rsidR="5F623FF0" w:rsidRPr="007E06AF">
        <w:rPr>
          <w:b/>
          <w:bCs/>
        </w:rPr>
        <w:t>rs to work with the Ministry of Economy on implementation of Fiji’s public financial management reforms</w:t>
      </w:r>
      <w:r w:rsidR="5F623FF0" w:rsidRPr="007E06AF">
        <w:t xml:space="preserve">, including </w:t>
      </w:r>
      <w:r w:rsidR="00062FE4" w:rsidRPr="007E06AF">
        <w:t>on</w:t>
      </w:r>
      <w:r w:rsidR="4B23A49C" w:rsidRPr="007E06AF">
        <w:t xml:space="preserve"> </w:t>
      </w:r>
      <w:r w:rsidR="5F623FF0" w:rsidRPr="007E06AF">
        <w:t>project appr</w:t>
      </w:r>
      <w:r w:rsidR="3CD5ED4F" w:rsidRPr="007E06AF">
        <w:t>aisal, procurement</w:t>
      </w:r>
      <w:r w:rsidR="76A23BCC" w:rsidRPr="007E06AF">
        <w:t>,</w:t>
      </w:r>
      <w:r w:rsidR="5F623FF0" w:rsidRPr="007E06AF">
        <w:rPr>
          <w:rFonts w:eastAsiaTheme="majorEastAsia"/>
        </w:rPr>
        <w:t xml:space="preserve"> fiscal transparency, financial </w:t>
      </w:r>
      <w:proofErr w:type="gramStart"/>
      <w:r w:rsidR="5F623FF0" w:rsidRPr="007E06AF">
        <w:rPr>
          <w:rFonts w:eastAsiaTheme="majorEastAsia"/>
        </w:rPr>
        <w:t>instructions</w:t>
      </w:r>
      <w:proofErr w:type="gramEnd"/>
      <w:r w:rsidR="5F623FF0" w:rsidRPr="007E06AF">
        <w:rPr>
          <w:rFonts w:eastAsiaTheme="majorEastAsia"/>
        </w:rPr>
        <w:t xml:space="preserve"> and </w:t>
      </w:r>
      <w:r w:rsidR="517E6408" w:rsidRPr="007E06AF">
        <w:rPr>
          <w:rFonts w:eastAsiaTheme="majorEastAsia"/>
        </w:rPr>
        <w:t>gender responsive budgeting</w:t>
      </w:r>
      <w:r w:rsidR="5F623FF0" w:rsidRPr="007E06AF">
        <w:rPr>
          <w:rFonts w:eastAsiaTheme="majorEastAsia"/>
        </w:rPr>
        <w:t>.</w:t>
      </w:r>
    </w:p>
    <w:p w14:paraId="3F042D35" w14:textId="3C73437C" w:rsidR="00067186" w:rsidRPr="007E06AF" w:rsidRDefault="460B7A48" w:rsidP="004122B9">
      <w:pPr>
        <w:spacing w:line="260" w:lineRule="auto"/>
        <w:rPr>
          <w:rFonts w:ascii="Calibri Light" w:eastAsia="Calibri Light" w:hAnsi="Calibri Light" w:cs="Calibri Light"/>
        </w:rPr>
      </w:pPr>
      <w:r w:rsidRPr="007E06AF">
        <w:t>In the reporting period, Australia’s Pacific Women</w:t>
      </w:r>
      <w:r w:rsidR="00B430B5" w:rsidRPr="007E06AF">
        <w:t xml:space="preserve"> Shaping Pacific Development</w:t>
      </w:r>
      <w:r w:rsidRPr="007E06AF">
        <w:t xml:space="preserve"> program supported the Fiji Women’s Crisis Centre ($1.5 million) to </w:t>
      </w:r>
      <w:r w:rsidRPr="007E06AF">
        <w:rPr>
          <w:b/>
          <w:bCs/>
        </w:rPr>
        <w:t>boost counselling services available to women facing domestic violence</w:t>
      </w:r>
      <w:r w:rsidRPr="007E06AF">
        <w:t xml:space="preserve">. The Centre saw both an increase in new clients and those seeking repeat counselling sessions. Additionally, </w:t>
      </w:r>
      <w:r w:rsidR="00323DF7" w:rsidRPr="007E06AF">
        <w:t>Australia</w:t>
      </w:r>
      <w:r w:rsidRPr="007E06AF">
        <w:t xml:space="preserve"> supported the</w:t>
      </w:r>
      <w:r w:rsidR="69C32C0C" w:rsidRPr="007E06AF">
        <w:t xml:space="preserve"> Women’s Fund Fiji</w:t>
      </w:r>
      <w:r w:rsidR="4132D184" w:rsidRPr="007E06AF">
        <w:t xml:space="preserve"> </w:t>
      </w:r>
      <w:r w:rsidR="00B7758B" w:rsidRPr="007E06AF">
        <w:t xml:space="preserve">(WFF) </w:t>
      </w:r>
      <w:r w:rsidR="69C32C0C" w:rsidRPr="007E06AF">
        <w:t>(formerly</w:t>
      </w:r>
      <w:r w:rsidRPr="007E06AF">
        <w:t xml:space="preserve"> Fiji Women’s Fund</w:t>
      </w:r>
      <w:r w:rsidR="63E0C7CA" w:rsidRPr="007E06AF">
        <w:t>)</w:t>
      </w:r>
      <w:r w:rsidRPr="007E06AF">
        <w:t xml:space="preserve"> ($</w:t>
      </w:r>
      <w:r w:rsidR="1B4371F9" w:rsidRPr="007E06AF">
        <w:t>1.68</w:t>
      </w:r>
      <w:r w:rsidR="00ED101D" w:rsidRPr="007E06AF">
        <w:t xml:space="preserve"> </w:t>
      </w:r>
      <w:r w:rsidR="1B4371F9" w:rsidRPr="007E06AF">
        <w:t>m</w:t>
      </w:r>
      <w:r w:rsidR="00ED101D" w:rsidRPr="007E06AF">
        <w:t>illion</w:t>
      </w:r>
      <w:r w:rsidRPr="007E06AF">
        <w:t xml:space="preserve">) to </w:t>
      </w:r>
      <w:r w:rsidR="00940F64" w:rsidRPr="007E06AF">
        <w:t>fund</w:t>
      </w:r>
      <w:r w:rsidRPr="007E06AF">
        <w:t xml:space="preserve"> </w:t>
      </w:r>
      <w:r w:rsidRPr="007E06AF">
        <w:rPr>
          <w:b/>
          <w:bCs/>
        </w:rPr>
        <w:t>women’s groups,</w:t>
      </w:r>
      <w:r w:rsidR="6500E0A5" w:rsidRPr="007E06AF">
        <w:rPr>
          <w:b/>
          <w:bCs/>
        </w:rPr>
        <w:t xml:space="preserve"> gender non-conforming </w:t>
      </w:r>
      <w:r w:rsidR="00CC64C8" w:rsidRPr="007E06AF">
        <w:rPr>
          <w:b/>
          <w:bCs/>
        </w:rPr>
        <w:t>communities</w:t>
      </w:r>
      <w:r w:rsidR="6500E0A5" w:rsidRPr="007E06AF">
        <w:rPr>
          <w:b/>
          <w:bCs/>
        </w:rPr>
        <w:t>, including those with disabilities,</w:t>
      </w:r>
      <w:r w:rsidRPr="007E06AF">
        <w:rPr>
          <w:b/>
          <w:bCs/>
        </w:rPr>
        <w:t xml:space="preserve"> </w:t>
      </w:r>
      <w:proofErr w:type="gramStart"/>
      <w:r w:rsidRPr="007E06AF">
        <w:rPr>
          <w:b/>
          <w:bCs/>
        </w:rPr>
        <w:t>networks</w:t>
      </w:r>
      <w:proofErr w:type="gramEnd"/>
      <w:r w:rsidRPr="007E06AF">
        <w:rPr>
          <w:b/>
          <w:bCs/>
        </w:rPr>
        <w:t xml:space="preserve"> and organisations</w:t>
      </w:r>
      <w:r w:rsidRPr="007E06AF">
        <w:t xml:space="preserve"> in Fiji to </w:t>
      </w:r>
      <w:r w:rsidR="1050B2F5" w:rsidRPr="007E06AF">
        <w:t xml:space="preserve">respond to the </w:t>
      </w:r>
      <w:r w:rsidR="00724770" w:rsidRPr="007E06AF">
        <w:t xml:space="preserve">2021 </w:t>
      </w:r>
      <w:r w:rsidR="1050B2F5" w:rsidRPr="007E06AF">
        <w:t>second wave of COVID-19</w:t>
      </w:r>
      <w:r w:rsidR="004122B9">
        <w:t>,</w:t>
      </w:r>
      <w:r w:rsidR="49A7FCB9" w:rsidRPr="007E06AF">
        <w:rPr>
          <w:rFonts w:ascii="Calibri Light" w:eastAsia="Calibri Light" w:hAnsi="Calibri Light" w:cs="Calibri Light"/>
        </w:rPr>
        <w:t xml:space="preserve"> which devastated many Fijian lives</w:t>
      </w:r>
      <w:r w:rsidR="1050B2F5" w:rsidRPr="007E06AF">
        <w:t>.</w:t>
      </w:r>
      <w:r w:rsidR="33F35D27" w:rsidRPr="007E06AF">
        <w:t xml:space="preserve"> </w:t>
      </w:r>
      <w:r w:rsidR="137A90EE" w:rsidRPr="007E06AF">
        <w:rPr>
          <w:rFonts w:ascii="Calibri Light" w:eastAsia="Calibri Light" w:hAnsi="Calibri Light" w:cs="Calibri Light"/>
        </w:rPr>
        <w:t xml:space="preserve">The COVID-19 surge </w:t>
      </w:r>
      <w:r w:rsidR="00CC64C8" w:rsidRPr="007E06AF">
        <w:rPr>
          <w:rFonts w:ascii="Calibri Light" w:eastAsia="Calibri Light" w:hAnsi="Calibri Light" w:cs="Calibri Light"/>
        </w:rPr>
        <w:t xml:space="preserve">resulted in </w:t>
      </w:r>
      <w:r w:rsidR="137A90EE" w:rsidRPr="007E06AF">
        <w:rPr>
          <w:rFonts w:ascii="Calibri Light" w:eastAsia="Calibri Light" w:hAnsi="Calibri Light" w:cs="Calibri Light"/>
        </w:rPr>
        <w:t xml:space="preserve">reduced services for women, </w:t>
      </w:r>
      <w:proofErr w:type="gramStart"/>
      <w:r w:rsidR="137A90EE" w:rsidRPr="007E06AF">
        <w:rPr>
          <w:rFonts w:ascii="Calibri Light" w:eastAsia="Calibri Light" w:hAnsi="Calibri Light" w:cs="Calibri Light"/>
        </w:rPr>
        <w:t>girls</w:t>
      </w:r>
      <w:proofErr w:type="gramEnd"/>
      <w:r w:rsidR="137A90EE" w:rsidRPr="007E06AF">
        <w:rPr>
          <w:rFonts w:ascii="Calibri Light" w:eastAsia="Calibri Light" w:hAnsi="Calibri Light" w:cs="Calibri Light"/>
        </w:rPr>
        <w:t xml:space="preserve"> and gender nonconforming communities as well as increased risks of domestic violence. Sexual reproductive health and rights providers had limited access to communities in the Northern Division, for example, due to community</w:t>
      </w:r>
      <w:r w:rsidR="28DB7B54" w:rsidRPr="007E06AF">
        <w:rPr>
          <w:rFonts w:ascii="Calibri Light" w:eastAsia="Calibri Light" w:hAnsi="Calibri Light" w:cs="Calibri Light"/>
        </w:rPr>
        <w:t>-imposed</w:t>
      </w:r>
      <w:r w:rsidR="137A90EE" w:rsidRPr="007E06AF">
        <w:rPr>
          <w:rFonts w:ascii="Calibri Light" w:eastAsia="Calibri Light" w:hAnsi="Calibri Light" w:cs="Calibri Light"/>
        </w:rPr>
        <w:t xml:space="preserve"> lockdowns. Partners working in peacebuilding reported increased economic, </w:t>
      </w:r>
      <w:proofErr w:type="gramStart"/>
      <w:r w:rsidR="137A90EE" w:rsidRPr="007E06AF">
        <w:rPr>
          <w:rFonts w:ascii="Calibri Light" w:eastAsia="Calibri Light" w:hAnsi="Calibri Light" w:cs="Calibri Light"/>
        </w:rPr>
        <w:t>social</w:t>
      </w:r>
      <w:proofErr w:type="gramEnd"/>
      <w:r w:rsidR="137A90EE" w:rsidRPr="007E06AF">
        <w:rPr>
          <w:rFonts w:ascii="Calibri Light" w:eastAsia="Calibri Light" w:hAnsi="Calibri Light" w:cs="Calibri Light"/>
        </w:rPr>
        <w:t xml:space="preserve"> and political uncertainty driven by mass unemployment</w:t>
      </w:r>
      <w:r w:rsidR="008C2657" w:rsidRPr="007E06AF">
        <w:rPr>
          <w:rFonts w:ascii="Calibri Light" w:eastAsia="Calibri Light" w:hAnsi="Calibri Light" w:cs="Calibri Light"/>
        </w:rPr>
        <w:t>. M</w:t>
      </w:r>
      <w:r w:rsidR="137A90EE" w:rsidRPr="007E06AF">
        <w:rPr>
          <w:rFonts w:ascii="Calibri Light" w:eastAsia="Calibri Light" w:hAnsi="Calibri Light" w:cs="Calibri Light"/>
        </w:rPr>
        <w:t xml:space="preserve">en, </w:t>
      </w:r>
      <w:proofErr w:type="gramStart"/>
      <w:r w:rsidR="137A90EE" w:rsidRPr="007E06AF">
        <w:rPr>
          <w:rFonts w:ascii="Calibri Light" w:eastAsia="Calibri Light" w:hAnsi="Calibri Light" w:cs="Calibri Light"/>
        </w:rPr>
        <w:t>women</w:t>
      </w:r>
      <w:proofErr w:type="gramEnd"/>
      <w:r w:rsidR="137A90EE" w:rsidRPr="007E06AF">
        <w:rPr>
          <w:rFonts w:ascii="Calibri Light" w:eastAsia="Calibri Light" w:hAnsi="Calibri Light" w:cs="Calibri Light"/>
        </w:rPr>
        <w:t xml:space="preserve"> and children </w:t>
      </w:r>
      <w:r w:rsidR="00C10428" w:rsidRPr="007E06AF">
        <w:rPr>
          <w:rFonts w:ascii="Calibri Light" w:eastAsia="Calibri Light" w:hAnsi="Calibri Light" w:cs="Calibri Light"/>
        </w:rPr>
        <w:t>in</w:t>
      </w:r>
      <w:r w:rsidR="137A90EE" w:rsidRPr="007E06AF">
        <w:rPr>
          <w:rFonts w:ascii="Calibri Light" w:eastAsia="Calibri Light" w:hAnsi="Calibri Light" w:cs="Calibri Light"/>
        </w:rPr>
        <w:t xml:space="preserve"> overcrowded households</w:t>
      </w:r>
      <w:r w:rsidR="00C10428" w:rsidRPr="007E06AF">
        <w:rPr>
          <w:rFonts w:ascii="Calibri Light" w:eastAsia="Calibri Light" w:hAnsi="Calibri Light" w:cs="Calibri Light"/>
        </w:rPr>
        <w:t xml:space="preserve"> suffered</w:t>
      </w:r>
      <w:r w:rsidR="137A90EE" w:rsidRPr="007E06AF">
        <w:rPr>
          <w:rFonts w:ascii="Calibri Light" w:eastAsia="Calibri Light" w:hAnsi="Calibri Light" w:cs="Calibri Light"/>
        </w:rPr>
        <w:t xml:space="preserve"> significant food shortages and insecurity</w:t>
      </w:r>
      <w:r w:rsidR="2EE82B3A" w:rsidRPr="007E06AF">
        <w:rPr>
          <w:rFonts w:ascii="Calibri Light" w:eastAsia="Calibri Light" w:hAnsi="Calibri Light" w:cs="Calibri Light"/>
        </w:rPr>
        <w:t xml:space="preserve">. With support from WFF, </w:t>
      </w:r>
      <w:r w:rsidR="410F62DA" w:rsidRPr="007E06AF">
        <w:rPr>
          <w:rFonts w:ascii="Calibri Light" w:eastAsia="Calibri Light" w:hAnsi="Calibri Light" w:cs="Calibri Light"/>
        </w:rPr>
        <w:t xml:space="preserve">grantee partners adapted, </w:t>
      </w:r>
      <w:proofErr w:type="gramStart"/>
      <w:r w:rsidR="410F62DA" w:rsidRPr="007E06AF">
        <w:rPr>
          <w:rFonts w:ascii="Calibri Light" w:eastAsia="Calibri Light" w:hAnsi="Calibri Light" w:cs="Calibri Light"/>
        </w:rPr>
        <w:t>repositioned</w:t>
      </w:r>
      <w:proofErr w:type="gramEnd"/>
      <w:r w:rsidR="410F62DA" w:rsidRPr="007E06AF">
        <w:rPr>
          <w:rFonts w:ascii="Calibri Light" w:eastAsia="Calibri Light" w:hAnsi="Calibri Light" w:cs="Calibri Light"/>
        </w:rPr>
        <w:t xml:space="preserve"> and continued to </w:t>
      </w:r>
      <w:r w:rsidR="00C94880" w:rsidRPr="007E06AF">
        <w:rPr>
          <w:rFonts w:ascii="Calibri Light" w:eastAsia="Calibri Light" w:hAnsi="Calibri Light" w:cs="Calibri Light"/>
        </w:rPr>
        <w:t>support</w:t>
      </w:r>
      <w:r w:rsidR="410F62DA" w:rsidRPr="007E06AF">
        <w:rPr>
          <w:rFonts w:ascii="Calibri Light" w:eastAsia="Calibri Light" w:hAnsi="Calibri Light" w:cs="Calibri Light"/>
        </w:rPr>
        <w:t xml:space="preserve"> their communities, a</w:t>
      </w:r>
      <w:r w:rsidR="769BE160" w:rsidRPr="007E06AF">
        <w:rPr>
          <w:rFonts w:ascii="Calibri Light" w:eastAsia="Calibri Light" w:hAnsi="Calibri Light" w:cs="Calibri Light"/>
        </w:rPr>
        <w:t>nd</w:t>
      </w:r>
      <w:r w:rsidR="410F62DA" w:rsidRPr="007E06AF">
        <w:rPr>
          <w:rFonts w:ascii="Calibri Light" w:eastAsia="Calibri Light" w:hAnsi="Calibri Light" w:cs="Calibri Light"/>
        </w:rPr>
        <w:t xml:space="preserve"> the Fund continues to learn and adapt</w:t>
      </w:r>
      <w:r w:rsidR="0D4E3830" w:rsidRPr="007E06AF">
        <w:rPr>
          <w:rFonts w:ascii="Calibri Light" w:eastAsia="Calibri Light" w:hAnsi="Calibri Light" w:cs="Calibri Light"/>
        </w:rPr>
        <w:t>.</w:t>
      </w:r>
    </w:p>
    <w:p w14:paraId="5C651710" w14:textId="6DA85787" w:rsidR="00067186" w:rsidRPr="007E06AF" w:rsidRDefault="34731160" w:rsidP="004122B9">
      <w:pPr>
        <w:spacing w:line="260" w:lineRule="auto"/>
        <w:rPr>
          <w:rFonts w:ascii="Calibri Light" w:eastAsia="Calibri Light" w:hAnsi="Calibri Light" w:cs="Calibri Light"/>
        </w:rPr>
      </w:pPr>
      <w:r w:rsidRPr="007E06AF">
        <w:rPr>
          <w:rFonts w:ascii="Calibri Light" w:eastAsia="Calibri Light" w:hAnsi="Calibri Light" w:cs="Calibri Light"/>
        </w:rPr>
        <w:lastRenderedPageBreak/>
        <w:t xml:space="preserve">Through Australia’s $35.8 million Fiji Education Program (2017-24), Australia is supporting Fiji’s Ministry of Education, Heritage and Arts’ strategic priorities including </w:t>
      </w:r>
      <w:r w:rsidRPr="007E06AF">
        <w:rPr>
          <w:rFonts w:ascii="Calibri Light" w:eastAsia="Calibri Light" w:hAnsi="Calibri Light" w:cs="Calibri Light"/>
          <w:b/>
          <w:bCs/>
        </w:rPr>
        <w:t xml:space="preserve">revision and rollout </w:t>
      </w:r>
      <w:r w:rsidR="00BB59E5" w:rsidRPr="007E06AF">
        <w:rPr>
          <w:rFonts w:ascii="Calibri Light" w:eastAsia="Calibri Light" w:hAnsi="Calibri Light" w:cs="Calibri Light"/>
          <w:b/>
          <w:bCs/>
        </w:rPr>
        <w:t xml:space="preserve">of </w:t>
      </w:r>
      <w:r w:rsidR="00AC4FCB" w:rsidRPr="007E06AF">
        <w:rPr>
          <w:rFonts w:ascii="Calibri Light" w:eastAsia="Calibri Light" w:hAnsi="Calibri Light" w:cs="Calibri Light"/>
          <w:b/>
          <w:bCs/>
        </w:rPr>
        <w:t>l</w:t>
      </w:r>
      <w:r w:rsidRPr="007E06AF">
        <w:rPr>
          <w:rFonts w:ascii="Calibri Light" w:eastAsia="Calibri Light" w:hAnsi="Calibri Light" w:cs="Calibri Light"/>
          <w:b/>
          <w:bCs/>
        </w:rPr>
        <w:t xml:space="preserve">iteracy and </w:t>
      </w:r>
      <w:r w:rsidR="00AC4FCB" w:rsidRPr="007E06AF">
        <w:rPr>
          <w:rFonts w:ascii="Calibri Light" w:eastAsia="Calibri Light" w:hAnsi="Calibri Light" w:cs="Calibri Light"/>
          <w:b/>
          <w:bCs/>
        </w:rPr>
        <w:t>n</w:t>
      </w:r>
      <w:r w:rsidRPr="007E06AF">
        <w:rPr>
          <w:rFonts w:ascii="Calibri Light" w:eastAsia="Calibri Light" w:hAnsi="Calibri Light" w:cs="Calibri Light"/>
          <w:b/>
          <w:bCs/>
        </w:rPr>
        <w:t>umeracy curricul</w:t>
      </w:r>
      <w:r w:rsidR="00AC4FCB" w:rsidRPr="007E06AF">
        <w:rPr>
          <w:rFonts w:ascii="Calibri Light" w:eastAsia="Calibri Light" w:hAnsi="Calibri Light" w:cs="Calibri Light"/>
          <w:b/>
          <w:bCs/>
        </w:rPr>
        <w:t>a</w:t>
      </w:r>
      <w:r w:rsidRPr="007E06AF">
        <w:rPr>
          <w:rFonts w:ascii="Calibri Light" w:eastAsia="Calibri Light" w:hAnsi="Calibri Light" w:cs="Calibri Light"/>
          <w:b/>
          <w:bCs/>
        </w:rPr>
        <w:t xml:space="preserve"> for both primary and secondary schools; inclusive education</w:t>
      </w:r>
      <w:r w:rsidRPr="007E06AF">
        <w:rPr>
          <w:rFonts w:ascii="Calibri Light" w:eastAsia="Calibri Light" w:hAnsi="Calibri Light" w:cs="Calibri Light"/>
        </w:rPr>
        <w:t xml:space="preserve"> including review of Fiji’s Special and Inclusive Education Policy; teacher training and civil service and systems reforms in the education sector. In the reporting period, the Fiji Education Management Information System continued to be an effective and efficient tool, </w:t>
      </w:r>
      <w:r w:rsidR="00BB59E5" w:rsidRPr="007E06AF">
        <w:rPr>
          <w:rFonts w:ascii="Calibri Light" w:eastAsia="Calibri Light" w:hAnsi="Calibri Light" w:cs="Calibri Light"/>
        </w:rPr>
        <w:t>including for</w:t>
      </w:r>
      <w:r w:rsidRPr="007E06AF">
        <w:rPr>
          <w:rFonts w:ascii="Calibri Light" w:eastAsia="Calibri Light" w:hAnsi="Calibri Light" w:cs="Calibri Light"/>
        </w:rPr>
        <w:t xml:space="preserve"> managing Fiji’s system of school grants, attendance, and reporting on </w:t>
      </w:r>
      <w:r w:rsidR="00BD70D4" w:rsidRPr="007E06AF">
        <w:rPr>
          <w:rFonts w:ascii="Calibri Light" w:eastAsia="Calibri Light" w:hAnsi="Calibri Light" w:cs="Calibri Light"/>
        </w:rPr>
        <w:t xml:space="preserve">gender and social inclusion. </w:t>
      </w:r>
      <w:r w:rsidRPr="007E06AF">
        <w:rPr>
          <w:rFonts w:ascii="Calibri Light" w:eastAsia="Calibri Light" w:hAnsi="Calibri Light" w:cs="Calibri Light"/>
        </w:rPr>
        <w:t xml:space="preserve">It </w:t>
      </w:r>
      <w:r w:rsidR="00BB59E5" w:rsidRPr="007E06AF">
        <w:rPr>
          <w:rFonts w:ascii="Calibri Light" w:eastAsia="Calibri Light" w:hAnsi="Calibri Light" w:cs="Calibri Light"/>
        </w:rPr>
        <w:t xml:space="preserve">reported </w:t>
      </w:r>
      <w:r w:rsidRPr="007E06AF">
        <w:rPr>
          <w:rFonts w:ascii="Calibri Light" w:eastAsia="Calibri Light" w:hAnsi="Calibri Light" w:cs="Calibri Light"/>
        </w:rPr>
        <w:t xml:space="preserve">a </w:t>
      </w:r>
      <w:r w:rsidRPr="007E06AF">
        <w:rPr>
          <w:rFonts w:ascii="Calibri Light" w:eastAsia="Calibri Light" w:hAnsi="Calibri Light" w:cs="Calibri Light"/>
          <w:b/>
          <w:bCs/>
        </w:rPr>
        <w:t>230</w:t>
      </w:r>
      <w:r w:rsidR="00AC4FCB" w:rsidRPr="007E06AF">
        <w:rPr>
          <w:rFonts w:ascii="Calibri Light" w:eastAsia="Calibri Light" w:hAnsi="Calibri Light" w:cs="Calibri Light"/>
          <w:b/>
          <w:bCs/>
        </w:rPr>
        <w:t xml:space="preserve"> per cent</w:t>
      </w:r>
      <w:r w:rsidRPr="007E06AF">
        <w:rPr>
          <w:rFonts w:ascii="Calibri Light" w:eastAsia="Calibri Light" w:hAnsi="Calibri Light" w:cs="Calibri Light"/>
          <w:b/>
          <w:bCs/>
        </w:rPr>
        <w:t xml:space="preserve"> increase in the number of verified students with disabilities </w:t>
      </w:r>
      <w:r w:rsidR="00DA2AE3" w:rsidRPr="007E06AF">
        <w:rPr>
          <w:rFonts w:ascii="Calibri Light" w:eastAsia="Calibri Light" w:hAnsi="Calibri Light" w:cs="Calibri Light"/>
          <w:b/>
          <w:bCs/>
        </w:rPr>
        <w:t xml:space="preserve">attending school </w:t>
      </w:r>
      <w:r w:rsidRPr="007E06AF">
        <w:rPr>
          <w:rFonts w:ascii="Calibri Light" w:eastAsia="Calibri Light" w:hAnsi="Calibri Light" w:cs="Calibri Light"/>
          <w:b/>
          <w:bCs/>
        </w:rPr>
        <w:t xml:space="preserve">during the period. </w:t>
      </w:r>
      <w:r w:rsidR="00DA2AE3" w:rsidRPr="007E06AF">
        <w:rPr>
          <w:rFonts w:ascii="Calibri Light" w:eastAsia="Calibri Light" w:hAnsi="Calibri Light" w:cs="Calibri Light"/>
        </w:rPr>
        <w:t xml:space="preserve">Following </w:t>
      </w:r>
      <w:r w:rsidR="00916CAF" w:rsidRPr="007E06AF">
        <w:rPr>
          <w:rFonts w:ascii="Calibri Light" w:eastAsia="Calibri Light" w:hAnsi="Calibri Light" w:cs="Calibri Light"/>
        </w:rPr>
        <w:t>interruptions</w:t>
      </w:r>
      <w:r w:rsidR="00DA2AE3" w:rsidRPr="007E06AF">
        <w:rPr>
          <w:rFonts w:ascii="Calibri Light" w:eastAsia="Calibri Light" w:hAnsi="Calibri Light" w:cs="Calibri Light"/>
        </w:rPr>
        <w:t xml:space="preserve"> to face-to-face learning </w:t>
      </w:r>
      <w:r w:rsidR="00916CAF" w:rsidRPr="007E06AF">
        <w:rPr>
          <w:rFonts w:ascii="Calibri Light" w:eastAsia="Calibri Light" w:hAnsi="Calibri Light" w:cs="Calibri Light"/>
        </w:rPr>
        <w:t>due to the pandemic, s</w:t>
      </w:r>
      <w:r w:rsidR="1449B61B" w:rsidRPr="007E06AF">
        <w:rPr>
          <w:rFonts w:ascii="Calibri Light" w:eastAsia="Calibri Light" w:hAnsi="Calibri Light" w:cs="Calibri Light"/>
        </w:rPr>
        <w:t xml:space="preserve">tudents </w:t>
      </w:r>
      <w:r w:rsidRPr="007E06AF">
        <w:rPr>
          <w:rFonts w:ascii="Calibri Light" w:eastAsia="Calibri Light" w:hAnsi="Calibri Light" w:cs="Calibri Light"/>
        </w:rPr>
        <w:t xml:space="preserve">were </w:t>
      </w:r>
      <w:r w:rsidR="00DE3B2A" w:rsidRPr="007E06AF">
        <w:rPr>
          <w:rFonts w:ascii="Calibri Light" w:eastAsia="Calibri Light" w:hAnsi="Calibri Light" w:cs="Calibri Light"/>
        </w:rPr>
        <w:t>s</w:t>
      </w:r>
      <w:r w:rsidRPr="007E06AF">
        <w:rPr>
          <w:rFonts w:ascii="Calibri Light" w:eastAsia="Calibri Light" w:hAnsi="Calibri Light" w:cs="Calibri Light"/>
        </w:rPr>
        <w:t xml:space="preserve">upported </w:t>
      </w:r>
      <w:r w:rsidR="00DE3B2A" w:rsidRPr="007E06AF">
        <w:rPr>
          <w:rFonts w:ascii="Calibri Light" w:eastAsia="Calibri Light" w:hAnsi="Calibri Light" w:cs="Calibri Light"/>
        </w:rPr>
        <w:t xml:space="preserve">on their return to school with the </w:t>
      </w:r>
      <w:r w:rsidRPr="007E06AF">
        <w:rPr>
          <w:rFonts w:ascii="Calibri Light" w:eastAsia="Calibri Light" w:hAnsi="Calibri Light" w:cs="Calibri Light"/>
        </w:rPr>
        <w:t>provision of sc</w:t>
      </w:r>
      <w:r w:rsidR="00916CAF" w:rsidRPr="007E06AF">
        <w:rPr>
          <w:rFonts w:ascii="Calibri Light" w:eastAsia="Calibri Light" w:hAnsi="Calibri Light" w:cs="Calibri Light"/>
        </w:rPr>
        <w:t>h</w:t>
      </w:r>
      <w:r w:rsidRPr="007E06AF">
        <w:rPr>
          <w:rFonts w:ascii="Calibri Light" w:eastAsia="Calibri Light" w:hAnsi="Calibri Light" w:cs="Calibri Light"/>
        </w:rPr>
        <w:t>ool lunches.</w:t>
      </w:r>
    </w:p>
    <w:p w14:paraId="45FF0DAA" w14:textId="40824A60" w:rsidR="00037AD2" w:rsidRPr="007E06AF" w:rsidRDefault="448C5637" w:rsidP="004122B9">
      <w:pPr>
        <w:spacing w:line="260" w:lineRule="auto"/>
      </w:pPr>
      <w:r w:rsidRPr="007E06AF">
        <w:rPr>
          <w:rFonts w:ascii="Calibri Light" w:eastAsia="Calibri Light" w:hAnsi="Calibri Light" w:cs="Calibri Light"/>
        </w:rPr>
        <w:t xml:space="preserve">Under the </w:t>
      </w:r>
      <w:r w:rsidR="00AC4FCB" w:rsidRPr="007E06AF">
        <w:rPr>
          <w:rFonts w:ascii="Calibri Light" w:eastAsia="Calibri Light" w:hAnsi="Calibri Light" w:cs="Calibri Light"/>
        </w:rPr>
        <w:t>b</w:t>
      </w:r>
      <w:r w:rsidRPr="007E06AF">
        <w:rPr>
          <w:rFonts w:ascii="Calibri Light" w:eastAsia="Calibri Light" w:hAnsi="Calibri Light" w:cs="Calibri Light"/>
        </w:rPr>
        <w:t xml:space="preserve">ilateral </w:t>
      </w:r>
      <w:r w:rsidR="00AC4FCB" w:rsidRPr="007E06AF">
        <w:rPr>
          <w:rFonts w:ascii="Calibri Light" w:eastAsia="Calibri Light" w:hAnsi="Calibri Light" w:cs="Calibri Light"/>
        </w:rPr>
        <w:t>h</w:t>
      </w:r>
      <w:r w:rsidRPr="007E06AF">
        <w:rPr>
          <w:rFonts w:ascii="Calibri Light" w:eastAsia="Calibri Light" w:hAnsi="Calibri Light" w:cs="Calibri Light"/>
        </w:rPr>
        <w:t xml:space="preserve">ealth </w:t>
      </w:r>
      <w:r w:rsidR="00AC4FCB" w:rsidRPr="007E06AF">
        <w:rPr>
          <w:rFonts w:ascii="Calibri Light" w:eastAsia="Calibri Light" w:hAnsi="Calibri Light" w:cs="Calibri Light"/>
        </w:rPr>
        <w:t>p</w:t>
      </w:r>
      <w:r w:rsidRPr="007E06AF">
        <w:rPr>
          <w:rFonts w:ascii="Calibri Light" w:eastAsia="Calibri Light" w:hAnsi="Calibri Light" w:cs="Calibri Light"/>
        </w:rPr>
        <w:t xml:space="preserve">rogram, Australia </w:t>
      </w:r>
      <w:r w:rsidR="00C76D88" w:rsidRPr="007E06AF">
        <w:rPr>
          <w:rFonts w:ascii="Calibri Light" w:eastAsia="Calibri Light" w:hAnsi="Calibri Light" w:cs="Calibri Light"/>
        </w:rPr>
        <w:t>funded</w:t>
      </w:r>
      <w:r w:rsidR="036B0A7E" w:rsidRPr="007E06AF">
        <w:rPr>
          <w:rFonts w:ascii="Calibri Light" w:eastAsia="Calibri Light" w:hAnsi="Calibri Light" w:cs="Calibri Light"/>
        </w:rPr>
        <w:t xml:space="preserve"> </w:t>
      </w:r>
      <w:r w:rsidR="0D18C11E" w:rsidRPr="007E06AF">
        <w:rPr>
          <w:rFonts w:ascii="Calibri Light" w:eastAsia="Calibri Light" w:hAnsi="Calibri Light" w:cs="Calibri Light"/>
        </w:rPr>
        <w:t xml:space="preserve">the </w:t>
      </w:r>
      <w:r w:rsidR="036B0A7E" w:rsidRPr="007E06AF">
        <w:rPr>
          <w:rFonts w:ascii="Calibri Light" w:eastAsia="Calibri Light" w:hAnsi="Calibri Light" w:cs="Calibri Light"/>
          <w:b/>
          <w:bCs/>
        </w:rPr>
        <w:t xml:space="preserve">recruitment of 20 health inspectors at the </w:t>
      </w:r>
      <w:proofErr w:type="spellStart"/>
      <w:r w:rsidR="036B0A7E" w:rsidRPr="007E06AF">
        <w:rPr>
          <w:rFonts w:ascii="Calibri Light" w:eastAsia="Calibri Light" w:hAnsi="Calibri Light" w:cs="Calibri Light"/>
          <w:b/>
          <w:bCs/>
        </w:rPr>
        <w:t>Nadi</w:t>
      </w:r>
      <w:proofErr w:type="spellEnd"/>
      <w:r w:rsidR="036B0A7E" w:rsidRPr="007E06AF">
        <w:rPr>
          <w:rFonts w:ascii="Calibri Light" w:eastAsia="Calibri Light" w:hAnsi="Calibri Light" w:cs="Calibri Light"/>
          <w:b/>
          <w:bCs/>
        </w:rPr>
        <w:t xml:space="preserve"> International Airport Border Health Unit</w:t>
      </w:r>
      <w:r w:rsidR="00A82C23" w:rsidRPr="007E06AF">
        <w:rPr>
          <w:rFonts w:ascii="Calibri Light" w:eastAsia="Calibri Light" w:hAnsi="Calibri Light" w:cs="Calibri Light"/>
        </w:rPr>
        <w:t>, assisting Fiji’s focus on reopening borders safely and boosting bio</w:t>
      </w:r>
      <w:r w:rsidR="00C76D88" w:rsidRPr="007E06AF">
        <w:rPr>
          <w:rFonts w:ascii="Calibri Light" w:eastAsia="Calibri Light" w:hAnsi="Calibri Light" w:cs="Calibri Light"/>
        </w:rPr>
        <w:t>security measures</w:t>
      </w:r>
      <w:r w:rsidR="5A22BBC1" w:rsidRPr="007E06AF">
        <w:rPr>
          <w:rFonts w:ascii="Calibri Light" w:eastAsia="Calibri Light" w:hAnsi="Calibri Light" w:cs="Calibri Light"/>
        </w:rPr>
        <w:t>.</w:t>
      </w:r>
      <w:r w:rsidR="58D0FF8E" w:rsidRPr="007E06AF">
        <w:rPr>
          <w:rFonts w:ascii="Calibri Light" w:eastAsia="Calibri Light" w:hAnsi="Calibri Light" w:cs="Calibri Light"/>
        </w:rPr>
        <w:t xml:space="preserve"> </w:t>
      </w:r>
      <w:r w:rsidR="002E162A" w:rsidRPr="007E06AF">
        <w:t>The</w:t>
      </w:r>
      <w:r w:rsidR="5CC0C389" w:rsidRPr="007E06AF">
        <w:t xml:space="preserve"> 2021-22 high risk weather season did not see major cyclones </w:t>
      </w:r>
      <w:r w:rsidR="00916CAF" w:rsidRPr="007E06AF">
        <w:t xml:space="preserve">in </w:t>
      </w:r>
      <w:r w:rsidR="5CC0C389" w:rsidRPr="007E06AF">
        <w:t>Fiji</w:t>
      </w:r>
      <w:r w:rsidR="002E162A" w:rsidRPr="007E06AF">
        <w:t xml:space="preserve">. </w:t>
      </w:r>
      <w:r w:rsidR="6EE93DC8" w:rsidRPr="007E06AF">
        <w:t>Australia</w:t>
      </w:r>
      <w:r w:rsidR="7CAFE2AF" w:rsidRPr="007E06AF">
        <w:t xml:space="preserve"> </w:t>
      </w:r>
      <w:r w:rsidR="6EE93DC8" w:rsidRPr="007E06AF">
        <w:t xml:space="preserve">supported </w:t>
      </w:r>
      <w:r w:rsidR="143FA01F" w:rsidRPr="007E06AF">
        <w:t>Fiji</w:t>
      </w:r>
      <w:r w:rsidR="386151D5" w:rsidRPr="007E06AF">
        <w:t xml:space="preserve"> ($176,000)</w:t>
      </w:r>
      <w:r w:rsidR="143FA01F" w:rsidRPr="007E06AF">
        <w:t xml:space="preserve"> to </w:t>
      </w:r>
      <w:r w:rsidR="6EE93DC8" w:rsidRPr="007E06AF">
        <w:t xml:space="preserve">send humanitarian supplies and officials to carry out air and water quality </w:t>
      </w:r>
      <w:r w:rsidR="05126C7E" w:rsidRPr="007E06AF">
        <w:t xml:space="preserve">assessments in </w:t>
      </w:r>
      <w:r w:rsidR="6EE93DC8" w:rsidRPr="007E06AF">
        <w:t xml:space="preserve">Eastern Division </w:t>
      </w:r>
      <w:r w:rsidR="4E064A56" w:rsidRPr="007E06AF">
        <w:t xml:space="preserve">after </w:t>
      </w:r>
      <w:r w:rsidR="41E08E73" w:rsidRPr="007E06AF">
        <w:t>the</w:t>
      </w:r>
      <w:r w:rsidR="6EE93DC8" w:rsidRPr="007E06AF">
        <w:t xml:space="preserve"> </w:t>
      </w:r>
      <w:proofErr w:type="spellStart"/>
      <w:r w:rsidR="41E08E73" w:rsidRPr="007E06AF">
        <w:t>Hunga</w:t>
      </w:r>
      <w:proofErr w:type="spellEnd"/>
      <w:r w:rsidR="41E08E73" w:rsidRPr="007E06AF">
        <w:t xml:space="preserve"> Tonga–</w:t>
      </w:r>
      <w:proofErr w:type="spellStart"/>
      <w:r w:rsidR="41E08E73" w:rsidRPr="007E06AF">
        <w:t>Hunga</w:t>
      </w:r>
      <w:proofErr w:type="spellEnd"/>
      <w:r w:rsidR="41E08E73" w:rsidRPr="007E06AF">
        <w:t xml:space="preserve"> </w:t>
      </w:r>
      <w:proofErr w:type="spellStart"/>
      <w:r w:rsidR="41E08E73" w:rsidRPr="007E06AF">
        <w:t>Haʻapai</w:t>
      </w:r>
      <w:proofErr w:type="spellEnd"/>
      <w:r w:rsidR="41E08E73" w:rsidRPr="007E06AF">
        <w:t xml:space="preserve"> </w:t>
      </w:r>
      <w:r w:rsidR="003C7086" w:rsidRPr="007E06AF">
        <w:t xml:space="preserve">underwater </w:t>
      </w:r>
      <w:r w:rsidR="41E08E73" w:rsidRPr="007E06AF">
        <w:t>volcano</w:t>
      </w:r>
      <w:r w:rsidR="54870E12" w:rsidRPr="007E06AF">
        <w:t xml:space="preserve"> eruption</w:t>
      </w:r>
      <w:r w:rsidR="003C7086" w:rsidRPr="007E06AF">
        <w:t xml:space="preserve"> impacted </w:t>
      </w:r>
      <w:r w:rsidR="003B197D" w:rsidRPr="007E06AF">
        <w:t xml:space="preserve">islands in </w:t>
      </w:r>
      <w:r w:rsidR="003C7086" w:rsidRPr="007E06AF">
        <w:t xml:space="preserve">Fiji’s Lau </w:t>
      </w:r>
      <w:r w:rsidR="00F70F73" w:rsidRPr="007E06AF">
        <w:t>g</w:t>
      </w:r>
      <w:r w:rsidR="003C7086" w:rsidRPr="007E06AF">
        <w:t>roup</w:t>
      </w:r>
      <w:r w:rsidR="00B55BC5" w:rsidRPr="007E06AF">
        <w:t>.</w:t>
      </w:r>
      <w:r w:rsidR="54870E12" w:rsidRPr="007E06AF">
        <w:t xml:space="preserve"> Australia’s </w:t>
      </w:r>
      <w:r w:rsidR="5F706AA9" w:rsidRPr="007E06AF">
        <w:t>assistance was commensurate with the scale of impacts and</w:t>
      </w:r>
      <w:r w:rsidR="41E08E73" w:rsidRPr="007E06AF">
        <w:t xml:space="preserve"> targeted to local needs</w:t>
      </w:r>
      <w:r w:rsidR="1151645F" w:rsidRPr="007E06AF">
        <w:t xml:space="preserve"> </w:t>
      </w:r>
      <w:r w:rsidR="794E8733" w:rsidRPr="007E06AF">
        <w:t>based on consultation with</w:t>
      </w:r>
      <w:r w:rsidR="73F68843" w:rsidRPr="007E06AF">
        <w:t xml:space="preserve"> </w:t>
      </w:r>
      <w:proofErr w:type="spellStart"/>
      <w:r w:rsidR="00C31EA3" w:rsidRPr="007E06AF">
        <w:t>GoF</w:t>
      </w:r>
      <w:proofErr w:type="spellEnd"/>
      <w:r w:rsidR="66804658" w:rsidRPr="007E06AF">
        <w:t xml:space="preserve">. </w:t>
      </w:r>
      <w:r w:rsidR="41E08E73" w:rsidRPr="007E06AF">
        <w:t xml:space="preserve"> </w:t>
      </w:r>
      <w:r w:rsidR="5CC0C389" w:rsidRPr="007E06AF">
        <w:t xml:space="preserve"> </w:t>
      </w:r>
    </w:p>
    <w:p w14:paraId="0B17EEFD" w14:textId="616C26A8" w:rsidR="008C1F60" w:rsidRPr="007E06AF" w:rsidRDefault="00297FD1" w:rsidP="004122B9">
      <w:pPr>
        <w:pStyle w:val="Heading3"/>
        <w:spacing w:before="120" w:after="60" w:line="260" w:lineRule="auto"/>
      </w:pPr>
      <w:r w:rsidRPr="007E06AF">
        <w:t>Economic recovery</w:t>
      </w:r>
    </w:p>
    <w:p w14:paraId="0B8B2C80" w14:textId="0C333063" w:rsidR="002E77C1" w:rsidRPr="007E06AF" w:rsidRDefault="004B0646" w:rsidP="004122B9">
      <w:pPr>
        <w:spacing w:line="260" w:lineRule="auto"/>
      </w:pPr>
      <w:r w:rsidRPr="007E06AF">
        <w:t xml:space="preserve">Australia </w:t>
      </w:r>
      <w:r w:rsidR="0089682B" w:rsidRPr="007E06AF">
        <w:t xml:space="preserve">continued to </w:t>
      </w:r>
      <w:r w:rsidRPr="007E06AF">
        <w:t>support Fiji through the economic challenges caused by COVID-</w:t>
      </w:r>
      <w:r w:rsidR="00821D4C" w:rsidRPr="007E06AF">
        <w:t>19</w:t>
      </w:r>
      <w:r w:rsidR="0089682B" w:rsidRPr="007E06AF">
        <w:t xml:space="preserve">, </w:t>
      </w:r>
      <w:r w:rsidRPr="007E06AF">
        <w:t>address</w:t>
      </w:r>
      <w:r w:rsidR="00DD3E36" w:rsidRPr="007E06AF">
        <w:t>ing</w:t>
      </w:r>
      <w:r w:rsidRPr="007E06AF">
        <w:t xml:space="preserve"> fiscal needs and </w:t>
      </w:r>
      <w:r w:rsidR="00DD3E36" w:rsidRPr="007E06AF">
        <w:t xml:space="preserve">promoting </w:t>
      </w:r>
      <w:r w:rsidRPr="007E06AF">
        <w:t xml:space="preserve">private sector recovery. </w:t>
      </w:r>
    </w:p>
    <w:p w14:paraId="67F1F55D" w14:textId="0C885497" w:rsidR="00877BEA" w:rsidRPr="007E06AF" w:rsidRDefault="001046D8" w:rsidP="004122B9">
      <w:pPr>
        <w:spacing w:line="260" w:lineRule="auto"/>
        <w:rPr>
          <w:rFonts w:ascii="Calibri Light" w:eastAsia="Calibri Light" w:hAnsi="Calibri Light" w:cs="Calibri Light"/>
          <w:lang w:val="en-AU"/>
        </w:rPr>
      </w:pPr>
      <w:r w:rsidRPr="007E06AF">
        <w:rPr>
          <w:lang w:val="en-AU"/>
        </w:rPr>
        <w:t xml:space="preserve">Under </w:t>
      </w:r>
      <w:r w:rsidRPr="007E06AF">
        <w:rPr>
          <w:rFonts w:ascii="Calibri Light" w:eastAsia="Calibri Light" w:hAnsi="Calibri Light" w:cs="Calibri Light"/>
          <w:lang w:val="en-AU"/>
        </w:rPr>
        <w:t xml:space="preserve">the </w:t>
      </w:r>
      <w:r w:rsidR="00062FE4" w:rsidRPr="007E06AF">
        <w:rPr>
          <w:rFonts w:ascii="Calibri Light" w:eastAsia="Calibri Light" w:hAnsi="Calibri Light" w:cs="Calibri Light"/>
          <w:lang w:val="en-AU"/>
        </w:rPr>
        <w:t xml:space="preserve">regional Pacific </w:t>
      </w:r>
      <w:r w:rsidRPr="007E06AF">
        <w:rPr>
          <w:rFonts w:ascii="Calibri Light" w:eastAsia="Calibri Light" w:hAnsi="Calibri Light" w:cs="Calibri Light"/>
          <w:lang w:val="en-AU"/>
        </w:rPr>
        <w:t>COVID-19 Response Package</w:t>
      </w:r>
      <w:r w:rsidR="00062FE4" w:rsidRPr="007E06AF">
        <w:rPr>
          <w:rFonts w:ascii="Calibri Light" w:eastAsia="Calibri Light" w:hAnsi="Calibri Light" w:cs="Calibri Light"/>
          <w:lang w:val="en-AU"/>
        </w:rPr>
        <w:t>,</w:t>
      </w:r>
      <w:r w:rsidRPr="007E06AF">
        <w:rPr>
          <w:rFonts w:ascii="Calibri Light" w:eastAsia="Calibri Light" w:hAnsi="Calibri Light" w:cs="Calibri Light"/>
          <w:lang w:val="en-AU"/>
        </w:rPr>
        <w:t xml:space="preserve"> </w:t>
      </w:r>
      <w:r w:rsidR="00752C39" w:rsidRPr="007E06AF">
        <w:rPr>
          <w:lang w:val="en-AU"/>
        </w:rPr>
        <w:t xml:space="preserve">Australia provided </w:t>
      </w:r>
      <w:r w:rsidR="00145B03" w:rsidRPr="007E06AF">
        <w:rPr>
          <w:b/>
          <w:bCs/>
          <w:lang w:val="en-AU"/>
        </w:rPr>
        <w:t>$85</w:t>
      </w:r>
      <w:r w:rsidR="00BC7036" w:rsidRPr="007E06AF">
        <w:rPr>
          <w:b/>
          <w:bCs/>
          <w:lang w:val="en-AU"/>
        </w:rPr>
        <w:t xml:space="preserve"> </w:t>
      </w:r>
      <w:r w:rsidR="00BF2216" w:rsidRPr="007E06AF">
        <w:rPr>
          <w:b/>
          <w:bCs/>
          <w:lang w:val="en-AU"/>
        </w:rPr>
        <w:t xml:space="preserve">million in budget support </w:t>
      </w:r>
      <w:r w:rsidRPr="007E06AF">
        <w:rPr>
          <w:b/>
          <w:bCs/>
          <w:lang w:val="en-AU"/>
        </w:rPr>
        <w:t xml:space="preserve">for </w:t>
      </w:r>
      <w:r w:rsidR="2A2E1B3D" w:rsidRPr="007E06AF">
        <w:rPr>
          <w:b/>
          <w:bCs/>
          <w:lang w:val="en-AU"/>
        </w:rPr>
        <w:t>economic, social and climate resilience reforms</w:t>
      </w:r>
      <w:r w:rsidR="00644120" w:rsidRPr="007E06AF">
        <w:rPr>
          <w:rFonts w:ascii="Calibri Light" w:eastAsia="Calibri Light" w:hAnsi="Calibri Light" w:cs="Calibri Light"/>
          <w:b/>
          <w:bCs/>
          <w:lang w:val="en-AU"/>
        </w:rPr>
        <w:t xml:space="preserve"> </w:t>
      </w:r>
      <w:r w:rsidR="00644120" w:rsidRPr="007E06AF">
        <w:rPr>
          <w:rFonts w:ascii="Calibri Light" w:eastAsia="Calibri Light" w:hAnsi="Calibri Light" w:cs="Calibri Light"/>
          <w:lang w:val="en-AU"/>
        </w:rPr>
        <w:t>in 2021-22</w:t>
      </w:r>
      <w:r w:rsidR="2A168AA0" w:rsidRPr="007E06AF">
        <w:rPr>
          <w:rFonts w:ascii="Calibri Light" w:eastAsia="Calibri Light" w:hAnsi="Calibri Light" w:cs="Calibri Light"/>
          <w:lang w:val="en-AU"/>
        </w:rPr>
        <w:t>.</w:t>
      </w:r>
      <w:r w:rsidR="6F53F80B" w:rsidRPr="007E06AF">
        <w:rPr>
          <w:rFonts w:ascii="Calibri Light" w:eastAsia="Calibri Light" w:hAnsi="Calibri Light" w:cs="Calibri Light"/>
          <w:lang w:val="en-AU"/>
        </w:rPr>
        <w:t xml:space="preserve"> </w:t>
      </w:r>
      <w:r w:rsidR="2A168AA0" w:rsidRPr="007E06AF">
        <w:rPr>
          <w:rFonts w:ascii="Calibri Light" w:eastAsia="Calibri Light" w:hAnsi="Calibri Light" w:cs="Calibri Light"/>
        </w:rPr>
        <w:t>This enabled Fiji to maintain expenditure in critical sectors, strengthened Fiji’s fiscal position and debt profile and better positioned Fiji’s economy for recovery.</w:t>
      </w:r>
      <w:r w:rsidR="53346D35" w:rsidRPr="007E06AF">
        <w:rPr>
          <w:lang w:val="en-AU"/>
        </w:rPr>
        <w:t xml:space="preserve"> </w:t>
      </w:r>
      <w:r w:rsidR="54BE43D2" w:rsidRPr="007E06AF">
        <w:rPr>
          <w:lang w:val="en-AU"/>
        </w:rPr>
        <w:t>Australia’s budget support</w:t>
      </w:r>
      <w:r w:rsidR="2A2E1B3D" w:rsidRPr="007E06AF">
        <w:rPr>
          <w:lang w:val="en-AU"/>
        </w:rPr>
        <w:t xml:space="preserve"> </w:t>
      </w:r>
      <w:r w:rsidR="2A2E1B3D" w:rsidRPr="007E06AF">
        <w:rPr>
          <w:b/>
          <w:bCs/>
          <w:lang w:val="en-AU"/>
        </w:rPr>
        <w:t xml:space="preserve">incentivised the implementation of agreed reforms and </w:t>
      </w:r>
      <w:r w:rsidR="23A8CDF6" w:rsidRPr="007E06AF">
        <w:rPr>
          <w:b/>
          <w:bCs/>
          <w:lang w:val="en-AU"/>
        </w:rPr>
        <w:t xml:space="preserve">underpinned </w:t>
      </w:r>
      <w:r w:rsidR="5C684E01" w:rsidRPr="007E06AF">
        <w:rPr>
          <w:b/>
          <w:bCs/>
          <w:lang w:val="en-AU"/>
        </w:rPr>
        <w:t xml:space="preserve">policy dialogue between </w:t>
      </w:r>
      <w:r w:rsidR="53346D35" w:rsidRPr="007E06AF">
        <w:rPr>
          <w:b/>
          <w:bCs/>
          <w:lang w:val="en-AU"/>
        </w:rPr>
        <w:t>Australia</w:t>
      </w:r>
      <w:r w:rsidR="6439DA9E" w:rsidRPr="007E06AF">
        <w:rPr>
          <w:b/>
          <w:bCs/>
          <w:lang w:val="en-AU"/>
        </w:rPr>
        <w:t xml:space="preserve"> and </w:t>
      </w:r>
      <w:r w:rsidR="2A2E1B3D" w:rsidRPr="007E06AF">
        <w:rPr>
          <w:b/>
          <w:bCs/>
          <w:lang w:val="en-AU"/>
        </w:rPr>
        <w:t xml:space="preserve">Fiji </w:t>
      </w:r>
      <w:r w:rsidR="4165F3F8" w:rsidRPr="007E06AF">
        <w:rPr>
          <w:b/>
          <w:bCs/>
          <w:lang w:val="en-AU"/>
        </w:rPr>
        <w:t xml:space="preserve">on areas </w:t>
      </w:r>
      <w:r w:rsidR="5E45A262" w:rsidRPr="007E06AF">
        <w:rPr>
          <w:b/>
          <w:bCs/>
          <w:lang w:val="en-AU"/>
        </w:rPr>
        <w:t xml:space="preserve">including </w:t>
      </w:r>
      <w:r w:rsidR="2A2E1B3D" w:rsidRPr="007E06AF">
        <w:rPr>
          <w:b/>
          <w:bCs/>
          <w:lang w:val="en-AU"/>
        </w:rPr>
        <w:t>public financial management;</w:t>
      </w:r>
      <w:r w:rsidR="00821D4C" w:rsidRPr="007E06AF">
        <w:rPr>
          <w:b/>
          <w:bCs/>
          <w:lang w:val="en-AU"/>
        </w:rPr>
        <w:t xml:space="preserve"> </w:t>
      </w:r>
      <w:r w:rsidR="00276462" w:rsidRPr="007E06AF">
        <w:rPr>
          <w:b/>
          <w:bCs/>
          <w:lang w:val="en-AU"/>
        </w:rPr>
        <w:t>i</w:t>
      </w:r>
      <w:r w:rsidR="2A2E1B3D" w:rsidRPr="007E06AF">
        <w:rPr>
          <w:b/>
          <w:bCs/>
          <w:lang w:val="en-AU"/>
        </w:rPr>
        <w:t>nclusive fiscal and social policies for community resilience</w:t>
      </w:r>
      <w:r w:rsidR="00865E14" w:rsidRPr="007E06AF">
        <w:rPr>
          <w:b/>
          <w:bCs/>
          <w:lang w:val="en-AU"/>
        </w:rPr>
        <w:t>;</w:t>
      </w:r>
      <w:r w:rsidR="2A2E1B3D" w:rsidRPr="007E06AF">
        <w:rPr>
          <w:b/>
          <w:bCs/>
          <w:lang w:val="en-AU"/>
        </w:rPr>
        <w:t xml:space="preserve"> </w:t>
      </w:r>
      <w:r w:rsidR="00276462" w:rsidRPr="007E06AF">
        <w:rPr>
          <w:b/>
          <w:bCs/>
          <w:lang w:val="en-AU"/>
        </w:rPr>
        <w:t>and strengthening</w:t>
      </w:r>
      <w:r w:rsidR="2A2E1B3D" w:rsidRPr="007E06AF">
        <w:rPr>
          <w:b/>
          <w:bCs/>
          <w:lang w:val="en-AU"/>
        </w:rPr>
        <w:t xml:space="preserve"> the enabling environment </w:t>
      </w:r>
      <w:r w:rsidR="00594A23" w:rsidRPr="007E06AF">
        <w:rPr>
          <w:b/>
          <w:bCs/>
          <w:lang w:val="en-AU"/>
        </w:rPr>
        <w:t>for</w:t>
      </w:r>
      <w:r w:rsidR="2A2E1B3D" w:rsidRPr="007E06AF">
        <w:rPr>
          <w:b/>
          <w:bCs/>
          <w:lang w:val="en-AU"/>
        </w:rPr>
        <w:t xml:space="preserve"> private sector recovery</w:t>
      </w:r>
      <w:r w:rsidR="2A2E1B3D" w:rsidRPr="007E06AF">
        <w:rPr>
          <w:lang w:val="en-AU"/>
        </w:rPr>
        <w:t>. Fiji has consistently met</w:t>
      </w:r>
      <w:r w:rsidR="00594A23" w:rsidRPr="007E06AF">
        <w:rPr>
          <w:lang w:val="en-AU"/>
        </w:rPr>
        <w:t xml:space="preserve"> our</w:t>
      </w:r>
      <w:r w:rsidR="2A2E1B3D" w:rsidRPr="007E06AF">
        <w:rPr>
          <w:lang w:val="en-AU"/>
        </w:rPr>
        <w:t xml:space="preserve"> </w:t>
      </w:r>
      <w:r w:rsidR="00594A23" w:rsidRPr="007E06AF">
        <w:rPr>
          <w:lang w:val="en-AU"/>
        </w:rPr>
        <w:t xml:space="preserve">budget support </w:t>
      </w:r>
      <w:r w:rsidR="2A2E1B3D" w:rsidRPr="007E06AF">
        <w:rPr>
          <w:lang w:val="en-AU"/>
        </w:rPr>
        <w:t>reform indicators</w:t>
      </w:r>
      <w:r w:rsidR="00276462" w:rsidRPr="007E06AF">
        <w:rPr>
          <w:lang w:val="en-AU"/>
        </w:rPr>
        <w:t>,</w:t>
      </w:r>
      <w:r w:rsidR="2A2E1B3D" w:rsidRPr="007E06AF">
        <w:rPr>
          <w:lang w:val="en-AU"/>
        </w:rPr>
        <w:t xml:space="preserve"> reflecting a strong political commitment to the reform agenda.</w:t>
      </w:r>
      <w:r w:rsidR="6822E9BB" w:rsidRPr="007E06AF">
        <w:rPr>
          <w:lang w:val="en-AU"/>
        </w:rPr>
        <w:t xml:space="preserve"> </w:t>
      </w:r>
      <w:r w:rsidR="00E218CD" w:rsidRPr="007E06AF">
        <w:rPr>
          <w:rFonts w:ascii="Calibri Light" w:eastAsia="Calibri Light" w:hAnsi="Calibri Light" w:cs="Calibri Light"/>
          <w:lang w:val="en-AU"/>
        </w:rPr>
        <w:t xml:space="preserve">Australia’s </w:t>
      </w:r>
      <w:r w:rsidR="00062FE4" w:rsidRPr="007E06AF">
        <w:rPr>
          <w:rFonts w:ascii="Calibri Light" w:eastAsia="Calibri Light" w:hAnsi="Calibri Light" w:cs="Calibri Light"/>
          <w:lang w:val="en-AU"/>
        </w:rPr>
        <w:t>assistance</w:t>
      </w:r>
      <w:r w:rsidR="6822E9BB" w:rsidRPr="007E06AF">
        <w:rPr>
          <w:rFonts w:ascii="Calibri Light" w:eastAsia="Calibri Light" w:hAnsi="Calibri Light" w:cs="Calibri Light"/>
          <w:lang w:val="en-AU"/>
        </w:rPr>
        <w:t xml:space="preserve"> </w:t>
      </w:r>
      <w:r w:rsidR="00E218CD" w:rsidRPr="007E06AF">
        <w:rPr>
          <w:rFonts w:ascii="Calibri Light" w:eastAsia="Calibri Light" w:hAnsi="Calibri Light" w:cs="Calibri Light"/>
          <w:lang w:val="en-AU"/>
        </w:rPr>
        <w:t xml:space="preserve">was </w:t>
      </w:r>
      <w:r w:rsidR="6822E9BB" w:rsidRPr="007E06AF">
        <w:rPr>
          <w:rFonts w:ascii="Calibri Light" w:eastAsia="Calibri Light" w:hAnsi="Calibri Light" w:cs="Calibri Light"/>
          <w:lang w:val="en-AU"/>
        </w:rPr>
        <w:t>aligned with the ADB (USD150 million), J</w:t>
      </w:r>
      <w:r w:rsidR="001329D1" w:rsidRPr="007E06AF">
        <w:rPr>
          <w:rFonts w:ascii="Calibri Light" w:eastAsia="Calibri Light" w:hAnsi="Calibri Light" w:cs="Calibri Light"/>
          <w:lang w:val="en-AU"/>
        </w:rPr>
        <w:t>apanese International Cooperation Agency</w:t>
      </w:r>
      <w:r w:rsidR="6822E9BB" w:rsidRPr="007E06AF">
        <w:rPr>
          <w:rFonts w:ascii="Calibri Light" w:eastAsia="Calibri Light" w:hAnsi="Calibri Light" w:cs="Calibri Light"/>
          <w:lang w:val="en-AU"/>
        </w:rPr>
        <w:t xml:space="preserve"> (</w:t>
      </w:r>
      <w:r w:rsidR="00871655" w:rsidRPr="007E06AF">
        <w:rPr>
          <w:rFonts w:ascii="Calibri Light" w:eastAsia="Calibri Light" w:hAnsi="Calibri Light" w:cs="Calibri Light"/>
          <w:lang w:val="en-AU"/>
        </w:rPr>
        <w:t>10 billion </w:t>
      </w:r>
      <w:r w:rsidR="6822E9BB" w:rsidRPr="007E06AF">
        <w:rPr>
          <w:rFonts w:ascii="Calibri Light" w:eastAsia="Calibri Light" w:hAnsi="Calibri Light" w:cs="Calibri Light"/>
          <w:lang w:val="en-AU"/>
        </w:rPr>
        <w:t>Yen) and the Asian Infrastructure Investment Bank’s (USD50 million) lending operations.</w:t>
      </w:r>
    </w:p>
    <w:p w14:paraId="5D2EB834" w14:textId="3D67FAD5" w:rsidR="007E0F7C" w:rsidRDefault="40C6FF57" w:rsidP="004122B9">
      <w:pPr>
        <w:spacing w:line="260" w:lineRule="auto"/>
        <w:rPr>
          <w:rFonts w:asciiTheme="majorHAnsi" w:eastAsiaTheme="majorEastAsia" w:hAnsiTheme="majorHAnsi" w:cstheme="majorBidi"/>
          <w:b/>
          <w:caps/>
          <w:szCs w:val="26"/>
        </w:rPr>
      </w:pPr>
      <w:r w:rsidRPr="007E06AF">
        <w:rPr>
          <w:rFonts w:ascii="Calibri Light" w:eastAsia="Calibri Light" w:hAnsi="Calibri Light" w:cs="Calibri Light"/>
        </w:rPr>
        <w:t xml:space="preserve">Australia’s </w:t>
      </w:r>
      <w:r w:rsidR="00E218CD" w:rsidRPr="007E06AF">
        <w:rPr>
          <w:rFonts w:ascii="Calibri Light" w:eastAsia="Calibri Light" w:hAnsi="Calibri Light" w:cs="Calibri Light"/>
        </w:rPr>
        <w:t>p</w:t>
      </w:r>
      <w:r w:rsidRPr="007E06AF">
        <w:rPr>
          <w:rFonts w:ascii="Calibri Light" w:eastAsia="Calibri Light" w:hAnsi="Calibri Light" w:cs="Calibri Light"/>
        </w:rPr>
        <w:t xml:space="preserve">artnership with the International Finance Corporation (IFC) </w:t>
      </w:r>
      <w:r w:rsidR="00062FE4" w:rsidRPr="007E06AF">
        <w:rPr>
          <w:rFonts w:ascii="Calibri Light" w:eastAsia="Calibri Light" w:hAnsi="Calibri Light" w:cs="Calibri Light"/>
        </w:rPr>
        <w:t xml:space="preserve">worked with </w:t>
      </w:r>
      <w:proofErr w:type="spellStart"/>
      <w:r w:rsidR="00E218CD" w:rsidRPr="007E06AF">
        <w:rPr>
          <w:rFonts w:ascii="Calibri Light" w:eastAsia="Calibri Light" w:hAnsi="Calibri Light" w:cs="Calibri Light"/>
        </w:rPr>
        <w:t>GoF</w:t>
      </w:r>
      <w:proofErr w:type="spellEnd"/>
      <w:r w:rsidRPr="007E06AF">
        <w:rPr>
          <w:rFonts w:ascii="Calibri Light" w:eastAsia="Calibri Light" w:hAnsi="Calibri Light" w:cs="Calibri Light"/>
        </w:rPr>
        <w:t xml:space="preserve"> to </w:t>
      </w:r>
      <w:r w:rsidR="00062FE4" w:rsidRPr="007E06AF">
        <w:rPr>
          <w:rFonts w:ascii="Calibri Light" w:eastAsia="Calibri Light" w:hAnsi="Calibri Light" w:cs="Calibri Light"/>
        </w:rPr>
        <w:t xml:space="preserve">support </w:t>
      </w:r>
      <w:r w:rsidRPr="007E06AF">
        <w:rPr>
          <w:rFonts w:ascii="Calibri Light" w:eastAsia="Calibri Light" w:hAnsi="Calibri Light" w:cs="Calibri Light"/>
        </w:rPr>
        <w:t xml:space="preserve">its economic development priorities of </w:t>
      </w:r>
      <w:r w:rsidRPr="007E06AF">
        <w:rPr>
          <w:rFonts w:ascii="Calibri Light" w:eastAsia="Calibri Light" w:hAnsi="Calibri Light" w:cs="Calibri Light"/>
          <w:b/>
          <w:bCs/>
        </w:rPr>
        <w:t xml:space="preserve">improving small-medium enterprise performance, building Fiji's international trade </w:t>
      </w:r>
      <w:r w:rsidR="001329D1" w:rsidRPr="007E06AF">
        <w:rPr>
          <w:rFonts w:ascii="Calibri Light" w:eastAsia="Calibri Light" w:hAnsi="Calibri Light" w:cs="Calibri Light"/>
          <w:b/>
          <w:bCs/>
        </w:rPr>
        <w:t>competitiveness,</w:t>
      </w:r>
      <w:r w:rsidRPr="007E06AF">
        <w:rPr>
          <w:rFonts w:ascii="Calibri Light" w:eastAsia="Calibri Light" w:hAnsi="Calibri Light" w:cs="Calibri Light"/>
          <w:b/>
          <w:bCs/>
        </w:rPr>
        <w:t xml:space="preserve"> and stimulating inclusive private sector-led growth</w:t>
      </w:r>
      <w:r w:rsidRPr="007E06AF">
        <w:rPr>
          <w:rFonts w:ascii="Calibri Light" w:eastAsia="Calibri Light" w:hAnsi="Calibri Light" w:cs="Calibri Light"/>
        </w:rPr>
        <w:t xml:space="preserve">. The partnership focuses on creating concrete opportunities for inclusive, sustainable private investment in support </w:t>
      </w:r>
      <w:r w:rsidR="00BC7036" w:rsidRPr="007E06AF">
        <w:rPr>
          <w:rFonts w:ascii="Calibri Light" w:eastAsia="Calibri Light" w:hAnsi="Calibri Light" w:cs="Calibri Light"/>
        </w:rPr>
        <w:t xml:space="preserve">of </w:t>
      </w:r>
      <w:r w:rsidRPr="007E06AF">
        <w:rPr>
          <w:rFonts w:ascii="Calibri Light" w:eastAsia="Calibri Light" w:hAnsi="Calibri Light" w:cs="Calibri Light"/>
        </w:rPr>
        <w:t xml:space="preserve">medium-term economic growth through targeted advisory interventions. Key deliverables </w:t>
      </w:r>
      <w:r w:rsidR="00E749FC" w:rsidRPr="007E06AF">
        <w:rPr>
          <w:rFonts w:ascii="Calibri Light" w:eastAsia="Calibri Light" w:hAnsi="Calibri Light" w:cs="Calibri Light"/>
        </w:rPr>
        <w:t xml:space="preserve">in the reporting period </w:t>
      </w:r>
      <w:r w:rsidRPr="007E06AF">
        <w:rPr>
          <w:rFonts w:ascii="Calibri Light" w:eastAsia="Calibri Light" w:hAnsi="Calibri Light" w:cs="Calibri Light"/>
        </w:rPr>
        <w:t xml:space="preserve">included </w:t>
      </w:r>
      <w:r w:rsidRPr="007E06AF">
        <w:rPr>
          <w:rFonts w:ascii="Calibri Light" w:eastAsia="Calibri Light" w:hAnsi="Calibri Light" w:cs="Calibri Light"/>
          <w:b/>
          <w:bCs/>
        </w:rPr>
        <w:t>public-private partnerships in the health and housing sectors</w:t>
      </w:r>
      <w:r w:rsidRPr="007E06AF">
        <w:rPr>
          <w:rFonts w:ascii="Calibri Light" w:eastAsia="Calibri Light" w:hAnsi="Calibri Light" w:cs="Calibri Light"/>
        </w:rPr>
        <w:t xml:space="preserve">. The </w:t>
      </w:r>
      <w:r w:rsidR="00E749FC" w:rsidRPr="007E06AF">
        <w:rPr>
          <w:rFonts w:ascii="Calibri Light" w:eastAsia="Calibri Light" w:hAnsi="Calibri Light" w:cs="Calibri Light"/>
        </w:rPr>
        <w:t>p</w:t>
      </w:r>
      <w:r w:rsidRPr="007E06AF">
        <w:rPr>
          <w:rFonts w:ascii="Calibri Light" w:eastAsia="Calibri Light" w:hAnsi="Calibri Light" w:cs="Calibri Light"/>
        </w:rPr>
        <w:t xml:space="preserve">artnership also </w:t>
      </w:r>
      <w:r w:rsidR="00062FE4" w:rsidRPr="007E06AF">
        <w:rPr>
          <w:rFonts w:ascii="Calibri Light" w:eastAsia="Calibri Light" w:hAnsi="Calibri Light" w:cs="Calibri Light"/>
        </w:rPr>
        <w:t xml:space="preserve">assisted </w:t>
      </w:r>
      <w:proofErr w:type="spellStart"/>
      <w:r w:rsidRPr="007E06AF">
        <w:rPr>
          <w:rFonts w:ascii="Calibri Light" w:eastAsia="Calibri Light" w:hAnsi="Calibri Light" w:cs="Calibri Light"/>
        </w:rPr>
        <w:t>GoF</w:t>
      </w:r>
      <w:proofErr w:type="spellEnd"/>
      <w:r w:rsidRPr="007E06AF">
        <w:rPr>
          <w:rFonts w:ascii="Calibri Light" w:eastAsia="Calibri Light" w:hAnsi="Calibri Light" w:cs="Calibri Light"/>
        </w:rPr>
        <w:t xml:space="preserve"> </w:t>
      </w:r>
      <w:r w:rsidRPr="007E06AF">
        <w:rPr>
          <w:rFonts w:ascii="Calibri Light" w:eastAsia="Calibri Light" w:hAnsi="Calibri Light" w:cs="Calibri Light"/>
          <w:lang w:val="en-AU"/>
        </w:rPr>
        <w:t>to adopt a new Investment Law</w:t>
      </w:r>
      <w:r w:rsidR="00352960" w:rsidRPr="007E06AF">
        <w:rPr>
          <w:rFonts w:ascii="Calibri Light" w:eastAsia="Calibri Light" w:hAnsi="Calibri Light" w:cs="Calibri Light"/>
          <w:lang w:val="en-AU"/>
        </w:rPr>
        <w:t xml:space="preserve"> </w:t>
      </w:r>
      <w:r w:rsidR="005740FB" w:rsidRPr="007E06AF">
        <w:rPr>
          <w:rFonts w:ascii="Calibri Light" w:eastAsia="Calibri Light" w:hAnsi="Calibri Light" w:cs="Calibri Light"/>
          <w:lang w:val="en-AU"/>
        </w:rPr>
        <w:t>by supporting the</w:t>
      </w:r>
      <w:r w:rsidRPr="007E06AF">
        <w:rPr>
          <w:rFonts w:ascii="Calibri Light" w:eastAsia="Calibri Light" w:hAnsi="Calibri Light" w:cs="Calibri Light"/>
          <w:lang w:val="en-AU"/>
        </w:rPr>
        <w:t xml:space="preserve"> </w:t>
      </w:r>
      <w:r w:rsidRPr="007E06AF">
        <w:rPr>
          <w:rFonts w:ascii="Calibri Light" w:eastAsia="Calibri Light" w:hAnsi="Calibri Light" w:cs="Calibri Light"/>
          <w:b/>
          <w:bCs/>
          <w:lang w:val="en-AU"/>
        </w:rPr>
        <w:t>draft</w:t>
      </w:r>
      <w:r w:rsidR="005740FB" w:rsidRPr="007E06AF">
        <w:rPr>
          <w:rFonts w:ascii="Calibri Light" w:eastAsia="Calibri Light" w:hAnsi="Calibri Light" w:cs="Calibri Light"/>
          <w:b/>
          <w:bCs/>
          <w:lang w:val="en-AU"/>
        </w:rPr>
        <w:t>ing of</w:t>
      </w:r>
      <w:r w:rsidRPr="007E06AF">
        <w:rPr>
          <w:rFonts w:ascii="Calibri Light" w:eastAsia="Calibri Light" w:hAnsi="Calibri Light" w:cs="Calibri Light"/>
          <w:b/>
          <w:bCs/>
          <w:lang w:val="en-AU"/>
        </w:rPr>
        <w:t xml:space="preserve"> a new Investment Policy Statement</w:t>
      </w:r>
      <w:r w:rsidR="005740FB" w:rsidRPr="007E06AF">
        <w:rPr>
          <w:rFonts w:ascii="Calibri Light" w:eastAsia="Calibri Light" w:hAnsi="Calibri Light" w:cs="Calibri Light"/>
          <w:b/>
          <w:bCs/>
          <w:lang w:val="en-AU"/>
        </w:rPr>
        <w:t xml:space="preserve"> and </w:t>
      </w:r>
      <w:r w:rsidR="00311361" w:rsidRPr="007E06AF">
        <w:rPr>
          <w:rFonts w:ascii="Calibri Light" w:eastAsia="Calibri Light" w:hAnsi="Calibri Light" w:cs="Calibri Light"/>
          <w:b/>
          <w:bCs/>
          <w:lang w:val="en-AU"/>
        </w:rPr>
        <w:t>the final</w:t>
      </w:r>
      <w:r w:rsidRPr="007E06AF">
        <w:rPr>
          <w:rFonts w:ascii="Calibri Light" w:eastAsia="Calibri Light" w:hAnsi="Calibri Light" w:cs="Calibri Light"/>
          <w:b/>
          <w:bCs/>
          <w:lang w:val="en-AU"/>
        </w:rPr>
        <w:t xml:space="preserve"> legislation, which was adopted by the Fiji Parliament in April 2022.</w:t>
      </w:r>
      <w:r w:rsidR="068C6174" w:rsidRPr="007E06AF">
        <w:rPr>
          <w:rFonts w:ascii="Calibri Light" w:eastAsia="Calibri Light" w:hAnsi="Calibri Light" w:cs="Calibri Light"/>
          <w:lang w:val="en-AU"/>
        </w:rPr>
        <w:t xml:space="preserve"> </w:t>
      </w:r>
      <w:r w:rsidRPr="007E06AF">
        <w:rPr>
          <w:rFonts w:ascii="Calibri Light" w:eastAsia="Calibri Light" w:hAnsi="Calibri Light" w:cs="Calibri Light"/>
          <w:lang w:val="en-AU"/>
        </w:rPr>
        <w:t xml:space="preserve">The new law is intended to reduce direct compliance costs by simplifying foreign investment regulations.  </w:t>
      </w:r>
      <w:r w:rsidR="3F6096F5" w:rsidRPr="007E06AF">
        <w:t xml:space="preserve">The Australian-funded Market Development Facility supported </w:t>
      </w:r>
      <w:r w:rsidR="5E5B9A82" w:rsidRPr="007E06AF">
        <w:t xml:space="preserve">the </w:t>
      </w:r>
      <w:r w:rsidR="5E5B9A82" w:rsidRPr="007E06AF">
        <w:rPr>
          <w:b/>
          <w:bCs/>
        </w:rPr>
        <w:t xml:space="preserve">maintenance of supply </w:t>
      </w:r>
      <w:r w:rsidR="00D42C24" w:rsidRPr="007E06AF">
        <w:rPr>
          <w:b/>
          <w:bCs/>
        </w:rPr>
        <w:t xml:space="preserve">chains </w:t>
      </w:r>
      <w:r w:rsidR="2C98C6B3" w:rsidRPr="007E06AF">
        <w:rPr>
          <w:b/>
          <w:bCs/>
        </w:rPr>
        <w:t>by partnering with seven private sector companies</w:t>
      </w:r>
      <w:r w:rsidR="00493B79" w:rsidRPr="007E06AF">
        <w:rPr>
          <w:b/>
          <w:bCs/>
        </w:rPr>
        <w:t xml:space="preserve"> </w:t>
      </w:r>
      <w:r w:rsidR="00493B79" w:rsidRPr="007E06AF">
        <w:t>on projects ranging from</w:t>
      </w:r>
      <w:r w:rsidR="54A200BC" w:rsidRPr="007E06AF">
        <w:rPr>
          <w:lang w:val="en-AU"/>
        </w:rPr>
        <w:t xml:space="preserve"> strengthening</w:t>
      </w:r>
      <w:r w:rsidR="183F5B05" w:rsidRPr="007E06AF">
        <w:rPr>
          <w:lang w:val="en-AU"/>
        </w:rPr>
        <w:t xml:space="preserve"> agricultura</w:t>
      </w:r>
      <w:r w:rsidR="54A200BC" w:rsidRPr="007E06AF">
        <w:rPr>
          <w:lang w:val="en-AU"/>
        </w:rPr>
        <w:t>l</w:t>
      </w:r>
      <w:r w:rsidR="183F5B05" w:rsidRPr="007E06AF">
        <w:rPr>
          <w:lang w:val="en-AU"/>
        </w:rPr>
        <w:t xml:space="preserve"> </w:t>
      </w:r>
      <w:r w:rsidR="54A200BC" w:rsidRPr="007E06AF">
        <w:rPr>
          <w:lang w:val="en-AU"/>
        </w:rPr>
        <w:t>logistics</w:t>
      </w:r>
      <w:r w:rsidR="183F5B05" w:rsidRPr="007E06AF">
        <w:rPr>
          <w:lang w:val="en-AU"/>
        </w:rPr>
        <w:t xml:space="preserve"> systems and connecting more </w:t>
      </w:r>
      <w:r w:rsidR="54A200BC" w:rsidRPr="007E06AF">
        <w:rPr>
          <w:lang w:val="en-AU"/>
        </w:rPr>
        <w:t>effectively with export markets,</w:t>
      </w:r>
      <w:r w:rsidR="183F5B05" w:rsidRPr="007E06AF">
        <w:rPr>
          <w:lang w:val="en-AU"/>
        </w:rPr>
        <w:t xml:space="preserve"> enabling </w:t>
      </w:r>
      <w:r w:rsidR="6007AF11" w:rsidRPr="007E06AF">
        <w:rPr>
          <w:lang w:val="en-AU"/>
        </w:rPr>
        <w:t xml:space="preserve">innovative </w:t>
      </w:r>
      <w:r w:rsidR="00D42C24" w:rsidRPr="007E06AF">
        <w:rPr>
          <w:lang w:val="en-AU"/>
        </w:rPr>
        <w:t xml:space="preserve">approaches </w:t>
      </w:r>
      <w:r w:rsidR="6007AF11" w:rsidRPr="007E06AF">
        <w:rPr>
          <w:lang w:val="en-AU"/>
        </w:rPr>
        <w:t>to food security through seed production and supply,</w:t>
      </w:r>
      <w:r w:rsidR="1B435814" w:rsidRPr="007E06AF">
        <w:rPr>
          <w:lang w:val="en-AU"/>
        </w:rPr>
        <w:t xml:space="preserve"> and </w:t>
      </w:r>
      <w:r w:rsidR="00A9E532" w:rsidRPr="007E06AF">
        <w:rPr>
          <w:lang w:val="en-AU"/>
        </w:rPr>
        <w:t>commissioning research to</w:t>
      </w:r>
      <w:r w:rsidR="1635A9A2" w:rsidRPr="007E06AF">
        <w:rPr>
          <w:lang w:val="en-AU"/>
        </w:rPr>
        <w:t xml:space="preserve"> help build success in </w:t>
      </w:r>
      <w:r w:rsidR="00802A65" w:rsidRPr="007E06AF">
        <w:rPr>
          <w:lang w:val="en-AU"/>
        </w:rPr>
        <w:t xml:space="preserve">Australia’s </w:t>
      </w:r>
      <w:r w:rsidR="1635A9A2" w:rsidRPr="007E06AF">
        <w:rPr>
          <w:lang w:val="en-AU"/>
        </w:rPr>
        <w:t xml:space="preserve">Kava </w:t>
      </w:r>
      <w:r w:rsidR="7348C141" w:rsidRPr="007E06AF">
        <w:rPr>
          <w:lang w:val="en-AU"/>
        </w:rPr>
        <w:t>P</w:t>
      </w:r>
      <w:r w:rsidR="1635A9A2" w:rsidRPr="007E06AF">
        <w:rPr>
          <w:lang w:val="en-AU"/>
        </w:rPr>
        <w:t>ilot</w:t>
      </w:r>
      <w:r w:rsidR="13B1B227" w:rsidRPr="00903687">
        <w:rPr>
          <w:lang w:val="en-AU"/>
        </w:rPr>
        <w:t xml:space="preserve">. </w:t>
      </w:r>
      <w:r w:rsidR="007E0F7C">
        <w:br w:type="page"/>
      </w:r>
    </w:p>
    <w:p w14:paraId="67575F11" w14:textId="4359FABE" w:rsidR="000E1045" w:rsidRPr="000E1045" w:rsidRDefault="000E1045" w:rsidP="000E1045">
      <w:pPr>
        <w:numPr>
          <w:ilvl w:val="0"/>
          <w:numId w:val="37"/>
        </w:numPr>
        <w:sectPr w:rsidR="000E1045" w:rsidRPr="000E1045" w:rsidSect="008F08B0">
          <w:headerReference w:type="default" r:id="rId10"/>
          <w:footerReference w:type="default" r:id="rId11"/>
          <w:headerReference w:type="first" r:id="rId12"/>
          <w:pgSz w:w="11906" w:h="16838" w:code="9"/>
          <w:pgMar w:top="1559" w:right="680" w:bottom="1843" w:left="680" w:header="567" w:footer="340" w:gutter="0"/>
          <w:cols w:space="397"/>
          <w:docGrid w:linePitch="360"/>
        </w:sectPr>
      </w:pPr>
    </w:p>
    <w:p w14:paraId="12E24BAE" w14:textId="75A251EE" w:rsidR="00BC1FED" w:rsidRDefault="00121DDD" w:rsidP="00A513D8">
      <w:pPr>
        <w:pStyle w:val="Heading2"/>
      </w:pPr>
      <w:r>
        <w:lastRenderedPageBreak/>
        <w:t>Annex 1</w:t>
      </w:r>
      <w:r w:rsidR="001F7F4D" w:rsidRPr="002945C4">
        <w:t xml:space="preserve">: </w:t>
      </w:r>
      <w:r w:rsidR="00540A22">
        <w:t xml:space="preserve">Progress against </w:t>
      </w:r>
      <w:r w:rsidR="008A1503">
        <w:t xml:space="preserve">COVID-19 </w:t>
      </w:r>
      <w:r w:rsidR="008C1A18">
        <w:t xml:space="preserve">development </w:t>
      </w:r>
      <w:r w:rsidR="008A1503">
        <w:t xml:space="preserve">Response plan </w:t>
      </w:r>
      <w:r w:rsidR="00E1666D">
        <w:t>results indicators</w:t>
      </w:r>
    </w:p>
    <w:p w14:paraId="53E0B1CB" w14:textId="4861D448" w:rsidR="00AE2B7B" w:rsidRPr="00603EDE" w:rsidRDefault="00AE2B7B" w:rsidP="004122B9">
      <w:pPr>
        <w:spacing w:before="240" w:after="120"/>
      </w:pPr>
      <w:r w:rsidRPr="00603EDE">
        <w:rPr>
          <w:b/>
          <w:bCs/>
        </w:rPr>
        <w:t>Health Security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90"/>
        <w:gridCol w:w="6146"/>
      </w:tblGrid>
      <w:tr w:rsidR="004F5615" w14:paraId="228F7F02" w14:textId="77777777" w:rsidTr="047C8572">
        <w:trPr>
          <w:tblHeader/>
        </w:trPr>
        <w:tc>
          <w:tcPr>
            <w:tcW w:w="4390" w:type="dxa"/>
            <w:shd w:val="clear" w:color="auto" w:fill="A2DCD1" w:themeFill="accent1" w:themeFillTint="99"/>
          </w:tcPr>
          <w:p w14:paraId="7116F4F5" w14:textId="2BCC79D7" w:rsidR="004F5615" w:rsidRPr="005736BB" w:rsidRDefault="00A96364" w:rsidP="00CA5021">
            <w:pPr>
              <w:spacing w:before="0" w:after="0" w:line="240" w:lineRule="auto"/>
              <w:jc w:val="center"/>
              <w:rPr>
                <w:b/>
                <w:sz w:val="20"/>
                <w:szCs w:val="20"/>
              </w:rPr>
            </w:pPr>
            <w:r w:rsidRPr="005736BB">
              <w:rPr>
                <w:b/>
                <w:sz w:val="20"/>
                <w:szCs w:val="20"/>
              </w:rPr>
              <w:t xml:space="preserve">Key Results </w:t>
            </w:r>
            <w:r w:rsidR="00E1666D" w:rsidRPr="005736BB">
              <w:rPr>
                <w:b/>
                <w:sz w:val="20"/>
                <w:szCs w:val="20"/>
              </w:rPr>
              <w:t>Indicators</w:t>
            </w:r>
          </w:p>
        </w:tc>
        <w:tc>
          <w:tcPr>
            <w:tcW w:w="6146" w:type="dxa"/>
            <w:shd w:val="clear" w:color="auto" w:fill="A2DCD1" w:themeFill="accent1" w:themeFillTint="99"/>
          </w:tcPr>
          <w:p w14:paraId="18C04122" w14:textId="30B10914" w:rsidR="004F5615" w:rsidRPr="005736BB" w:rsidRDefault="00AD19F7" w:rsidP="00CA5021">
            <w:pPr>
              <w:spacing w:before="0" w:after="0"/>
              <w:ind w:left="100"/>
              <w:jc w:val="center"/>
              <w:rPr>
                <w:sz w:val="20"/>
                <w:szCs w:val="20"/>
              </w:rPr>
            </w:pPr>
            <w:r w:rsidRPr="005736BB">
              <w:rPr>
                <w:b/>
                <w:sz w:val="20"/>
                <w:szCs w:val="20"/>
              </w:rPr>
              <w:t>Progress/Result</w:t>
            </w:r>
          </w:p>
        </w:tc>
      </w:tr>
      <w:tr w:rsidR="00CA5021" w14:paraId="5D4066B5" w14:textId="77777777" w:rsidTr="047C8572">
        <w:trPr>
          <w:tblHeader/>
        </w:trPr>
        <w:tc>
          <w:tcPr>
            <w:tcW w:w="4390" w:type="dxa"/>
          </w:tcPr>
          <w:p w14:paraId="354112BD" w14:textId="0C2A92E0" w:rsidR="00877620" w:rsidRPr="008F08B0" w:rsidRDefault="00E0125A" w:rsidP="008F08B0">
            <w:pPr>
              <w:spacing w:before="60"/>
              <w:ind w:left="96"/>
              <w:rPr>
                <w:rFonts w:eastAsiaTheme="minorEastAsia"/>
                <w:sz w:val="20"/>
                <w:szCs w:val="20"/>
              </w:rPr>
            </w:pPr>
            <w:r w:rsidRPr="008F08B0">
              <w:rPr>
                <w:rFonts w:eastAsiaTheme="minorEastAsia"/>
                <w:sz w:val="20"/>
                <w:szCs w:val="20"/>
              </w:rPr>
              <w:t xml:space="preserve">New or improved therapeutics, diagnostics, </w:t>
            </w:r>
            <w:proofErr w:type="gramStart"/>
            <w:r w:rsidRPr="008F08B0">
              <w:rPr>
                <w:rFonts w:eastAsiaTheme="minorEastAsia"/>
                <w:sz w:val="20"/>
                <w:szCs w:val="20"/>
              </w:rPr>
              <w:t>vaccines</w:t>
            </w:r>
            <w:proofErr w:type="gramEnd"/>
            <w:r w:rsidRPr="008F08B0">
              <w:rPr>
                <w:rFonts w:eastAsiaTheme="minorEastAsia"/>
                <w:sz w:val="20"/>
                <w:szCs w:val="20"/>
              </w:rPr>
              <w:t xml:space="preserve"> or additional equipment, to which Australia has contributed, are accessible in Fiji</w:t>
            </w:r>
          </w:p>
        </w:tc>
        <w:tc>
          <w:tcPr>
            <w:tcW w:w="6146" w:type="dxa"/>
          </w:tcPr>
          <w:p w14:paraId="7ADC1D57" w14:textId="4304A188" w:rsidR="008B3945" w:rsidRPr="008F08B0" w:rsidRDefault="00047C5C" w:rsidP="008F08B0">
            <w:pPr>
              <w:spacing w:before="60"/>
              <w:ind w:left="96"/>
              <w:rPr>
                <w:rFonts w:eastAsiaTheme="minorEastAsia"/>
                <w:sz w:val="20"/>
                <w:szCs w:val="20"/>
              </w:rPr>
            </w:pPr>
            <w:r w:rsidRPr="008F08B0">
              <w:rPr>
                <w:rFonts w:eastAsiaTheme="minorEastAsia"/>
                <w:sz w:val="20"/>
                <w:szCs w:val="20"/>
              </w:rPr>
              <w:t>More than</w:t>
            </w:r>
            <w:r w:rsidR="01D0B5D5" w:rsidRPr="008F08B0">
              <w:rPr>
                <w:rFonts w:eastAsiaTheme="minorEastAsia"/>
                <w:sz w:val="20"/>
                <w:szCs w:val="20"/>
              </w:rPr>
              <w:t xml:space="preserve"> 1.</w:t>
            </w:r>
            <w:r w:rsidR="00204B7D" w:rsidRPr="008F08B0">
              <w:rPr>
                <w:rFonts w:eastAsiaTheme="minorEastAsia"/>
                <w:sz w:val="20"/>
                <w:szCs w:val="20"/>
              </w:rPr>
              <w:t>4</w:t>
            </w:r>
            <w:r w:rsidR="01D0B5D5" w:rsidRPr="008F08B0">
              <w:rPr>
                <w:rFonts w:eastAsiaTheme="minorEastAsia"/>
                <w:sz w:val="20"/>
                <w:szCs w:val="20"/>
              </w:rPr>
              <w:t xml:space="preserve"> million COVID-19 vaccine doses</w:t>
            </w:r>
            <w:r w:rsidR="00444531" w:rsidRPr="008F08B0">
              <w:rPr>
                <w:rFonts w:eastAsiaTheme="minorEastAsia"/>
                <w:sz w:val="20"/>
                <w:szCs w:val="20"/>
              </w:rPr>
              <w:t xml:space="preserve"> delivered</w:t>
            </w:r>
            <w:r w:rsidR="01D0B5D5" w:rsidRPr="008F08B0">
              <w:rPr>
                <w:rFonts w:eastAsiaTheme="minorEastAsia"/>
                <w:sz w:val="20"/>
                <w:szCs w:val="20"/>
              </w:rPr>
              <w:t xml:space="preserve"> (as </w:t>
            </w:r>
            <w:proofErr w:type="gramStart"/>
            <w:r w:rsidR="01D0B5D5" w:rsidRPr="008F08B0">
              <w:rPr>
                <w:rFonts w:eastAsiaTheme="minorEastAsia"/>
                <w:sz w:val="20"/>
                <w:szCs w:val="20"/>
              </w:rPr>
              <w:t>at</w:t>
            </w:r>
            <w:proofErr w:type="gramEnd"/>
            <w:r w:rsidR="01D0B5D5" w:rsidRPr="008F08B0">
              <w:rPr>
                <w:rFonts w:eastAsiaTheme="minorEastAsia"/>
                <w:sz w:val="20"/>
                <w:szCs w:val="20"/>
              </w:rPr>
              <w:t xml:space="preserve"> </w:t>
            </w:r>
            <w:r w:rsidRPr="008F08B0">
              <w:rPr>
                <w:rFonts w:eastAsiaTheme="minorEastAsia"/>
                <w:sz w:val="20"/>
                <w:szCs w:val="20"/>
              </w:rPr>
              <w:t xml:space="preserve">September </w:t>
            </w:r>
            <w:r w:rsidR="01D0B5D5" w:rsidRPr="008F08B0">
              <w:rPr>
                <w:rFonts w:eastAsiaTheme="minorEastAsia"/>
                <w:sz w:val="20"/>
                <w:szCs w:val="20"/>
              </w:rPr>
              <w:t xml:space="preserve">2021). </w:t>
            </w:r>
          </w:p>
          <w:p w14:paraId="1C78B18E" w14:textId="2E75F427" w:rsidR="00877620" w:rsidRPr="008F08B0" w:rsidRDefault="730390F1" w:rsidP="008F08B0">
            <w:pPr>
              <w:spacing w:before="60"/>
              <w:ind w:left="96"/>
              <w:rPr>
                <w:rFonts w:eastAsiaTheme="minorEastAsia"/>
                <w:color w:val="0078D4"/>
                <w:sz w:val="20"/>
                <w:szCs w:val="20"/>
              </w:rPr>
            </w:pPr>
            <w:r w:rsidRPr="008F08B0">
              <w:rPr>
                <w:rFonts w:eastAsiaTheme="minorEastAsia"/>
                <w:sz w:val="20"/>
                <w:szCs w:val="20"/>
              </w:rPr>
              <w:t>COVID-19 testing equipment, hospital and medical supplies, therapeutics and PPE valued at over $4.5 million.</w:t>
            </w:r>
          </w:p>
        </w:tc>
      </w:tr>
      <w:tr w:rsidR="00CA5021" w14:paraId="4AD746D8" w14:textId="77777777" w:rsidTr="047C8572">
        <w:trPr>
          <w:tblHeader/>
        </w:trPr>
        <w:tc>
          <w:tcPr>
            <w:tcW w:w="4390" w:type="dxa"/>
          </w:tcPr>
          <w:p w14:paraId="0AB10A98" w14:textId="4C9C88C8" w:rsidR="00CA5021" w:rsidRPr="008F08B0" w:rsidRDefault="00E0125A" w:rsidP="008F08B0">
            <w:pPr>
              <w:spacing w:before="60"/>
              <w:ind w:left="96"/>
              <w:rPr>
                <w:rFonts w:eastAsiaTheme="minorEastAsia"/>
                <w:sz w:val="20"/>
                <w:szCs w:val="20"/>
              </w:rPr>
            </w:pPr>
            <w:r w:rsidRPr="008F08B0">
              <w:rPr>
                <w:rFonts w:eastAsiaTheme="minorEastAsia"/>
                <w:sz w:val="20"/>
                <w:szCs w:val="20"/>
              </w:rPr>
              <w:t>Strengthened Fijian health system including preparedness for health emergencies at</w:t>
            </w:r>
            <w:r w:rsidR="001329D1" w:rsidRPr="008F08B0">
              <w:rPr>
                <w:rFonts w:eastAsiaTheme="minorEastAsia"/>
                <w:sz w:val="20"/>
                <w:szCs w:val="20"/>
              </w:rPr>
              <w:t xml:space="preserve"> Colonial War Memorial Hospital </w:t>
            </w:r>
            <w:r w:rsidR="005E5D20" w:rsidRPr="008F08B0">
              <w:rPr>
                <w:rFonts w:eastAsiaTheme="minorEastAsia"/>
                <w:sz w:val="20"/>
                <w:szCs w:val="20"/>
              </w:rPr>
              <w:t>(</w:t>
            </w:r>
            <w:r w:rsidRPr="008F08B0">
              <w:rPr>
                <w:rFonts w:eastAsiaTheme="minorEastAsia"/>
                <w:sz w:val="20"/>
                <w:szCs w:val="20"/>
              </w:rPr>
              <w:t>CWM</w:t>
            </w:r>
            <w:r w:rsidR="005E5D20" w:rsidRPr="008F08B0">
              <w:rPr>
                <w:rFonts w:eastAsiaTheme="minorEastAsia"/>
                <w:sz w:val="20"/>
                <w:szCs w:val="20"/>
              </w:rPr>
              <w:t>)</w:t>
            </w:r>
          </w:p>
        </w:tc>
        <w:tc>
          <w:tcPr>
            <w:tcW w:w="6146" w:type="dxa"/>
          </w:tcPr>
          <w:p w14:paraId="59D3D0EF" w14:textId="7E2452A2" w:rsidR="00F04494" w:rsidRPr="008F08B0" w:rsidRDefault="00F04494" w:rsidP="008F08B0">
            <w:pPr>
              <w:spacing w:before="60"/>
              <w:ind w:left="96"/>
              <w:rPr>
                <w:rFonts w:eastAsiaTheme="minorEastAsia"/>
                <w:color w:val="495864"/>
                <w:sz w:val="20"/>
                <w:szCs w:val="20"/>
              </w:rPr>
            </w:pPr>
            <w:proofErr w:type="spellStart"/>
            <w:r w:rsidRPr="008F08B0">
              <w:rPr>
                <w:rFonts w:eastAsiaTheme="minorEastAsia"/>
                <w:color w:val="495864"/>
                <w:sz w:val="20"/>
                <w:szCs w:val="20"/>
              </w:rPr>
              <w:t>A</w:t>
            </w:r>
            <w:r w:rsidR="001329D1" w:rsidRPr="008F08B0">
              <w:rPr>
                <w:rFonts w:eastAsiaTheme="minorEastAsia"/>
                <w:color w:val="495864"/>
                <w:sz w:val="20"/>
                <w:szCs w:val="20"/>
              </w:rPr>
              <w:t>us</w:t>
            </w:r>
            <w:r w:rsidRPr="008F08B0">
              <w:rPr>
                <w:rFonts w:eastAsiaTheme="minorEastAsia"/>
                <w:color w:val="495864"/>
                <w:sz w:val="20"/>
                <w:szCs w:val="20"/>
              </w:rPr>
              <w:t>MAT</w:t>
            </w:r>
            <w:proofErr w:type="spellEnd"/>
            <w:r w:rsidR="001329D1" w:rsidRPr="008F08B0">
              <w:rPr>
                <w:rFonts w:eastAsiaTheme="minorEastAsia"/>
                <w:color w:val="495864"/>
                <w:sz w:val="20"/>
                <w:szCs w:val="20"/>
              </w:rPr>
              <w:t xml:space="preserve"> </w:t>
            </w:r>
            <w:r w:rsidRPr="008F08B0">
              <w:rPr>
                <w:rFonts w:eastAsiaTheme="minorEastAsia"/>
                <w:color w:val="495864"/>
                <w:sz w:val="20"/>
                <w:szCs w:val="20"/>
              </w:rPr>
              <w:t xml:space="preserve">assisted 16 </w:t>
            </w:r>
            <w:r w:rsidR="001329D1" w:rsidRPr="008F08B0">
              <w:rPr>
                <w:rFonts w:eastAsiaTheme="minorEastAsia"/>
                <w:color w:val="495864"/>
                <w:sz w:val="20"/>
                <w:szCs w:val="20"/>
              </w:rPr>
              <w:t>hospitals</w:t>
            </w:r>
            <w:r w:rsidR="008B3945" w:rsidRPr="008F08B0">
              <w:rPr>
                <w:rFonts w:eastAsiaTheme="minorEastAsia"/>
                <w:color w:val="495864"/>
                <w:sz w:val="20"/>
                <w:szCs w:val="20"/>
              </w:rPr>
              <w:t xml:space="preserve"> and </w:t>
            </w:r>
            <w:r w:rsidR="001329D1" w:rsidRPr="008F08B0">
              <w:rPr>
                <w:rFonts w:eastAsiaTheme="minorEastAsia"/>
                <w:color w:val="495864"/>
                <w:sz w:val="20"/>
                <w:szCs w:val="20"/>
              </w:rPr>
              <w:t xml:space="preserve">clinics </w:t>
            </w:r>
            <w:r w:rsidRPr="008F08B0">
              <w:rPr>
                <w:rFonts w:eastAsiaTheme="minorEastAsia"/>
                <w:color w:val="495864"/>
                <w:sz w:val="20"/>
                <w:szCs w:val="20"/>
              </w:rPr>
              <w:t>to improve Infection, Prevention and Control (IPC) practices, trained 830 health care workers, conducted 116 IPC education sessions and 75 clinical education sessions</w:t>
            </w:r>
            <w:r w:rsidR="00F97EDE" w:rsidRPr="008F08B0">
              <w:rPr>
                <w:rFonts w:eastAsiaTheme="minorEastAsia"/>
                <w:color w:val="495864"/>
                <w:sz w:val="20"/>
                <w:szCs w:val="20"/>
              </w:rPr>
              <w:t xml:space="preserve"> over July-September 2021.</w:t>
            </w:r>
          </w:p>
          <w:p w14:paraId="44F01EB8" w14:textId="402A8A6A" w:rsidR="00CA5021" w:rsidRPr="008F08B0" w:rsidRDefault="005E5D20" w:rsidP="008F08B0">
            <w:pPr>
              <w:spacing w:before="60"/>
              <w:ind w:left="96"/>
              <w:rPr>
                <w:rFonts w:eastAsiaTheme="minorEastAsia"/>
                <w:color w:val="495864"/>
                <w:sz w:val="20"/>
                <w:szCs w:val="20"/>
              </w:rPr>
            </w:pPr>
            <w:r w:rsidRPr="008F08B0">
              <w:rPr>
                <w:rFonts w:eastAsiaTheme="minorEastAsia"/>
                <w:color w:val="495864"/>
                <w:sz w:val="20"/>
                <w:szCs w:val="20"/>
              </w:rPr>
              <w:t xml:space="preserve">A deployment by the Royal Australian College of Surgeons and two </w:t>
            </w:r>
            <w:r w:rsidR="00F04494" w:rsidRPr="008F08B0">
              <w:rPr>
                <w:rFonts w:eastAsiaTheme="minorEastAsia"/>
                <w:color w:val="495864"/>
                <w:sz w:val="20"/>
                <w:szCs w:val="20"/>
              </w:rPr>
              <w:t>National Critical Care and Trauma Response Centre</w:t>
            </w:r>
            <w:r w:rsidRPr="008F08B0">
              <w:rPr>
                <w:rFonts w:eastAsiaTheme="minorEastAsia"/>
                <w:color w:val="495864"/>
                <w:sz w:val="20"/>
                <w:szCs w:val="20"/>
              </w:rPr>
              <w:t xml:space="preserve"> nurses built on the </w:t>
            </w:r>
            <w:proofErr w:type="spellStart"/>
            <w:r w:rsidRPr="008F08B0">
              <w:rPr>
                <w:rFonts w:eastAsiaTheme="minorEastAsia"/>
                <w:color w:val="495864"/>
                <w:sz w:val="20"/>
                <w:szCs w:val="20"/>
              </w:rPr>
              <w:t>AusMAT</w:t>
            </w:r>
            <w:proofErr w:type="spellEnd"/>
            <w:r w:rsidRPr="008F08B0">
              <w:rPr>
                <w:rFonts w:eastAsiaTheme="minorEastAsia"/>
                <w:color w:val="495864"/>
                <w:sz w:val="20"/>
                <w:szCs w:val="20"/>
              </w:rPr>
              <w:t xml:space="preserve"> work and </w:t>
            </w:r>
            <w:r w:rsidR="00F04494" w:rsidRPr="008F08B0">
              <w:rPr>
                <w:rFonts w:eastAsiaTheme="minorEastAsia"/>
                <w:color w:val="495864"/>
                <w:sz w:val="20"/>
                <w:szCs w:val="20"/>
              </w:rPr>
              <w:t>provided epidemiological analysis</w:t>
            </w:r>
            <w:r w:rsidRPr="008F08B0">
              <w:rPr>
                <w:rFonts w:eastAsiaTheme="minorEastAsia"/>
                <w:color w:val="495864"/>
                <w:sz w:val="20"/>
                <w:szCs w:val="20"/>
              </w:rPr>
              <w:t xml:space="preserve"> to </w:t>
            </w:r>
            <w:proofErr w:type="spellStart"/>
            <w:r w:rsidRPr="008F08B0">
              <w:rPr>
                <w:rFonts w:eastAsiaTheme="minorEastAsia"/>
                <w:color w:val="495864"/>
                <w:sz w:val="20"/>
                <w:szCs w:val="20"/>
              </w:rPr>
              <w:t>GoF</w:t>
            </w:r>
            <w:proofErr w:type="spellEnd"/>
            <w:r w:rsidRPr="008F08B0">
              <w:rPr>
                <w:rFonts w:eastAsiaTheme="minorEastAsia"/>
                <w:color w:val="495864"/>
                <w:sz w:val="20"/>
                <w:szCs w:val="20"/>
              </w:rPr>
              <w:t>.</w:t>
            </w:r>
          </w:p>
        </w:tc>
      </w:tr>
      <w:tr w:rsidR="00CA5021" w14:paraId="561E10FB" w14:textId="77777777" w:rsidTr="047C8572">
        <w:trPr>
          <w:tblHeader/>
        </w:trPr>
        <w:tc>
          <w:tcPr>
            <w:tcW w:w="4390" w:type="dxa"/>
          </w:tcPr>
          <w:p w14:paraId="3FC5A9AE" w14:textId="5B3E61FA" w:rsidR="00CA5021" w:rsidRPr="008F08B0" w:rsidRDefault="00E0125A" w:rsidP="008F08B0">
            <w:pPr>
              <w:spacing w:before="60"/>
              <w:ind w:left="96"/>
              <w:rPr>
                <w:rFonts w:eastAsiaTheme="minorEastAsia"/>
                <w:sz w:val="20"/>
                <w:szCs w:val="20"/>
              </w:rPr>
            </w:pPr>
            <w:r w:rsidRPr="008F08B0">
              <w:rPr>
                <w:rFonts w:eastAsiaTheme="minorEastAsia"/>
                <w:sz w:val="20"/>
                <w:szCs w:val="20"/>
              </w:rPr>
              <w:t>Increased efficiency of procurement processes to ensure consistent supply of medicines and other health commodities</w:t>
            </w:r>
          </w:p>
        </w:tc>
        <w:tc>
          <w:tcPr>
            <w:tcW w:w="6146" w:type="dxa"/>
          </w:tcPr>
          <w:p w14:paraId="08710ABE" w14:textId="77777777" w:rsidR="00762795" w:rsidRPr="008F08B0" w:rsidRDefault="31A5F57A" w:rsidP="008F08B0">
            <w:pPr>
              <w:spacing w:before="60"/>
              <w:ind w:left="96"/>
              <w:rPr>
                <w:rFonts w:eastAsiaTheme="minorEastAsia"/>
                <w:sz w:val="20"/>
                <w:szCs w:val="20"/>
              </w:rPr>
            </w:pPr>
            <w:r w:rsidRPr="008F08B0">
              <w:rPr>
                <w:rFonts w:eastAsiaTheme="minorEastAsia"/>
                <w:sz w:val="20"/>
                <w:szCs w:val="20"/>
              </w:rPr>
              <w:t xml:space="preserve">Supported the procurement of medical supplies and lab consumables for Fiji’s Centre for Disease Control. </w:t>
            </w:r>
          </w:p>
          <w:p w14:paraId="1D0B508E" w14:textId="3AE1EDEA" w:rsidR="00CA5021" w:rsidRDefault="2D226282" w:rsidP="008F08B0">
            <w:pPr>
              <w:spacing w:before="60"/>
              <w:ind w:left="96"/>
              <w:rPr>
                <w:rFonts w:eastAsiaTheme="minorEastAsia"/>
                <w:sz w:val="20"/>
                <w:szCs w:val="20"/>
              </w:rPr>
            </w:pPr>
            <w:r w:rsidRPr="008F08B0">
              <w:rPr>
                <w:rFonts w:eastAsiaTheme="minorEastAsia"/>
                <w:sz w:val="20"/>
                <w:szCs w:val="20"/>
              </w:rPr>
              <w:t xml:space="preserve">Implementation of </w:t>
            </w:r>
            <w:r w:rsidR="001340CC" w:rsidRPr="008F08B0">
              <w:rPr>
                <w:rFonts w:eastAsiaTheme="minorEastAsia"/>
                <w:sz w:val="20"/>
                <w:szCs w:val="20"/>
              </w:rPr>
              <w:t xml:space="preserve">the </w:t>
            </w:r>
            <w:proofErr w:type="spellStart"/>
            <w:r w:rsidRPr="008F08B0">
              <w:rPr>
                <w:rFonts w:eastAsiaTheme="minorEastAsia"/>
                <w:sz w:val="20"/>
                <w:szCs w:val="20"/>
              </w:rPr>
              <w:t>mSupply</w:t>
            </w:r>
            <w:proofErr w:type="spellEnd"/>
            <w:r w:rsidRPr="008F08B0">
              <w:rPr>
                <w:rFonts w:eastAsiaTheme="minorEastAsia"/>
                <w:sz w:val="20"/>
                <w:szCs w:val="20"/>
              </w:rPr>
              <w:t xml:space="preserve"> </w:t>
            </w:r>
            <w:r w:rsidR="001340CC" w:rsidRPr="008F08B0">
              <w:rPr>
                <w:rFonts w:eastAsiaTheme="minorEastAsia"/>
                <w:sz w:val="20"/>
                <w:szCs w:val="20"/>
              </w:rPr>
              <w:t xml:space="preserve">pharmacy logistics management platform </w:t>
            </w:r>
            <w:r w:rsidRPr="008F08B0">
              <w:rPr>
                <w:rFonts w:eastAsiaTheme="minorEastAsia"/>
                <w:sz w:val="20"/>
                <w:szCs w:val="20"/>
              </w:rPr>
              <w:t>and Tupaia for supply chain strengthening through Beyond Essential Systems has enabled CWM and other health facilities to coordinate PPE stocks and delivery.</w:t>
            </w:r>
          </w:p>
        </w:tc>
      </w:tr>
      <w:tr w:rsidR="00CA5021" w14:paraId="6024B2EE" w14:textId="77777777" w:rsidTr="047C8572">
        <w:trPr>
          <w:tblHeader/>
        </w:trPr>
        <w:tc>
          <w:tcPr>
            <w:tcW w:w="4390" w:type="dxa"/>
          </w:tcPr>
          <w:p w14:paraId="5A7E4C44" w14:textId="7F165D4E" w:rsidR="00CA5021" w:rsidRPr="008F08B0" w:rsidRDefault="4DE6A433" w:rsidP="008F08B0">
            <w:pPr>
              <w:spacing w:before="60"/>
              <w:ind w:left="96"/>
              <w:rPr>
                <w:rFonts w:eastAsiaTheme="minorEastAsia"/>
                <w:sz w:val="20"/>
                <w:szCs w:val="20"/>
              </w:rPr>
            </w:pPr>
            <w:r w:rsidRPr="008F08B0">
              <w:rPr>
                <w:rFonts w:eastAsiaTheme="minorEastAsia"/>
                <w:sz w:val="20"/>
                <w:szCs w:val="20"/>
              </w:rPr>
              <w:t>Women and men, girls and boys are provided with emergency assistance in conflict and crisis situations, such as major cyclones</w:t>
            </w:r>
          </w:p>
        </w:tc>
        <w:tc>
          <w:tcPr>
            <w:tcW w:w="6146" w:type="dxa"/>
            <w:shd w:val="clear" w:color="auto" w:fill="auto"/>
          </w:tcPr>
          <w:p w14:paraId="0BCBEBE2" w14:textId="77777777" w:rsidR="003E0153" w:rsidRPr="008F08B0" w:rsidRDefault="005E5D20" w:rsidP="008F08B0">
            <w:pPr>
              <w:spacing w:before="60"/>
              <w:ind w:left="96"/>
              <w:rPr>
                <w:rFonts w:eastAsiaTheme="minorEastAsia"/>
                <w:color w:val="495864"/>
                <w:sz w:val="20"/>
                <w:szCs w:val="20"/>
              </w:rPr>
            </w:pPr>
            <w:r w:rsidRPr="008F08B0">
              <w:rPr>
                <w:rFonts w:eastAsiaTheme="minorEastAsia"/>
                <w:color w:val="495864"/>
                <w:sz w:val="20"/>
                <w:szCs w:val="20"/>
              </w:rPr>
              <w:t xml:space="preserve">The Fiji COVID-19 Humanitarian Response and Post Humanitarian Fund supported 4,772 households (2,692 – 57%) in Western Division with emergency food rations during the height of the COVID-19 outbreak in 2021. </w:t>
            </w:r>
          </w:p>
          <w:p w14:paraId="3A40B9CD" w14:textId="6FD9E29D" w:rsidR="00CA5021" w:rsidRPr="008F08B0" w:rsidRDefault="005E5D20" w:rsidP="008F08B0">
            <w:pPr>
              <w:spacing w:before="60"/>
              <w:ind w:left="96"/>
              <w:rPr>
                <w:rFonts w:eastAsiaTheme="minorEastAsia"/>
                <w:color w:val="495864"/>
                <w:sz w:val="20"/>
                <w:szCs w:val="20"/>
              </w:rPr>
            </w:pPr>
            <w:r w:rsidRPr="008F08B0">
              <w:rPr>
                <w:rFonts w:eastAsiaTheme="minorEastAsia"/>
                <w:color w:val="495864"/>
                <w:sz w:val="20"/>
                <w:szCs w:val="20"/>
              </w:rPr>
              <w:t>4,590 beneficiaries</w:t>
            </w:r>
            <w:r w:rsidR="003E3EB3" w:rsidRPr="008F08B0">
              <w:rPr>
                <w:rFonts w:eastAsiaTheme="minorEastAsia"/>
                <w:color w:val="495864"/>
                <w:sz w:val="20"/>
                <w:szCs w:val="20"/>
              </w:rPr>
              <w:t xml:space="preserve"> (no gender disaggregated data available) </w:t>
            </w:r>
            <w:r w:rsidRPr="008F08B0">
              <w:rPr>
                <w:rFonts w:eastAsiaTheme="minorEastAsia"/>
                <w:color w:val="495864"/>
                <w:sz w:val="20"/>
                <w:szCs w:val="20"/>
              </w:rPr>
              <w:t>were provided with support in emergency shelters following Tropical Cyclone Cody in January 2022.</w:t>
            </w:r>
          </w:p>
        </w:tc>
      </w:tr>
    </w:tbl>
    <w:p w14:paraId="08BBE344" w14:textId="21FF03FB" w:rsidR="00AE2B7B" w:rsidRPr="00AE2B7B" w:rsidRDefault="00AE2B7B" w:rsidP="004122B9">
      <w:pPr>
        <w:pStyle w:val="Heading3"/>
      </w:pPr>
      <w:r w:rsidRPr="00AE2B7B">
        <w:t>Stability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CA5021" w14:paraId="14EF210E" w14:textId="77777777" w:rsidTr="008F08B0">
        <w:tc>
          <w:tcPr>
            <w:tcW w:w="4390" w:type="dxa"/>
            <w:shd w:val="clear" w:color="auto" w:fill="A2DCD1" w:themeFill="accent1" w:themeFillTint="99"/>
            <w:vAlign w:val="bottom"/>
          </w:tcPr>
          <w:p w14:paraId="47014330" w14:textId="7A7E2C4C" w:rsidR="00CA5021" w:rsidRPr="005736BB" w:rsidRDefault="00A96364" w:rsidP="00CA5021">
            <w:pPr>
              <w:widowControl w:val="0"/>
              <w:spacing w:before="0" w:after="0" w:line="240" w:lineRule="auto"/>
              <w:jc w:val="center"/>
              <w:rPr>
                <w:sz w:val="20"/>
                <w:szCs w:val="20"/>
              </w:rPr>
            </w:pPr>
            <w:r w:rsidRPr="005736BB">
              <w:rPr>
                <w:b/>
                <w:sz w:val="20"/>
                <w:szCs w:val="20"/>
              </w:rPr>
              <w:t>Key Results</w:t>
            </w:r>
            <w:r w:rsidR="00CA5021" w:rsidRPr="005736BB">
              <w:rPr>
                <w:b/>
                <w:sz w:val="20"/>
                <w:szCs w:val="20"/>
              </w:rPr>
              <w:t xml:space="preserve"> Indicator</w:t>
            </w:r>
            <w:r w:rsidRPr="005736BB">
              <w:rPr>
                <w:b/>
                <w:sz w:val="20"/>
                <w:szCs w:val="20"/>
              </w:rPr>
              <w:t>s</w:t>
            </w:r>
          </w:p>
        </w:tc>
        <w:tc>
          <w:tcPr>
            <w:tcW w:w="6146" w:type="dxa"/>
            <w:shd w:val="clear" w:color="auto" w:fill="A2DCD1" w:themeFill="accent1" w:themeFillTint="99"/>
            <w:vAlign w:val="bottom"/>
          </w:tcPr>
          <w:p w14:paraId="167B5817" w14:textId="6DB7E03D" w:rsidR="00CA5021" w:rsidRPr="005736BB" w:rsidRDefault="00AD19F7" w:rsidP="00CA5021">
            <w:pPr>
              <w:widowControl w:val="0"/>
              <w:spacing w:before="0" w:after="0" w:line="240" w:lineRule="auto"/>
              <w:jc w:val="center"/>
              <w:rPr>
                <w:sz w:val="20"/>
                <w:szCs w:val="20"/>
              </w:rPr>
            </w:pPr>
            <w:r w:rsidRPr="005736BB">
              <w:rPr>
                <w:b/>
                <w:sz w:val="20"/>
                <w:szCs w:val="20"/>
              </w:rPr>
              <w:t>Progress/Result</w:t>
            </w:r>
          </w:p>
        </w:tc>
      </w:tr>
      <w:tr w:rsidR="00CA5021" w14:paraId="593A8551" w14:textId="77777777" w:rsidTr="047C8572">
        <w:trPr>
          <w:tblHeader/>
        </w:trPr>
        <w:tc>
          <w:tcPr>
            <w:tcW w:w="4390" w:type="dxa"/>
          </w:tcPr>
          <w:p w14:paraId="2AA59D1C" w14:textId="11C287AB" w:rsidR="00CA5021" w:rsidRPr="00AB4795" w:rsidRDefault="4DE6A433" w:rsidP="008F08B0">
            <w:pPr>
              <w:spacing w:before="60"/>
              <w:ind w:left="96"/>
              <w:rPr>
                <w:rFonts w:eastAsiaTheme="minorEastAsia"/>
                <w:sz w:val="20"/>
                <w:szCs w:val="20"/>
              </w:rPr>
            </w:pPr>
            <w:r w:rsidRPr="047C8572">
              <w:rPr>
                <w:rFonts w:eastAsiaTheme="minorEastAsia"/>
                <w:sz w:val="20"/>
                <w:szCs w:val="20"/>
              </w:rPr>
              <w:t>Numbers reached with new or improved social protection programs, including remote communities</w:t>
            </w:r>
          </w:p>
        </w:tc>
        <w:tc>
          <w:tcPr>
            <w:tcW w:w="6146" w:type="dxa"/>
          </w:tcPr>
          <w:p w14:paraId="2E8902BB" w14:textId="1F75BAB8" w:rsidR="00CA5021" w:rsidRDefault="1FD3871C" w:rsidP="008F08B0">
            <w:pPr>
              <w:spacing w:before="60"/>
              <w:ind w:left="96"/>
              <w:rPr>
                <w:rFonts w:eastAsiaTheme="minorEastAsia"/>
                <w:sz w:val="20"/>
                <w:szCs w:val="20"/>
              </w:rPr>
            </w:pPr>
            <w:r w:rsidRPr="047C8572">
              <w:rPr>
                <w:sz w:val="20"/>
                <w:szCs w:val="20"/>
              </w:rPr>
              <w:t xml:space="preserve">Developing and planning </w:t>
            </w:r>
            <w:r w:rsidR="62C83F4B" w:rsidRPr="047C8572">
              <w:rPr>
                <w:sz w:val="20"/>
                <w:szCs w:val="20"/>
              </w:rPr>
              <w:t xml:space="preserve">reform work </w:t>
            </w:r>
            <w:r w:rsidR="6E306707" w:rsidRPr="047C8572">
              <w:rPr>
                <w:sz w:val="20"/>
                <w:szCs w:val="20"/>
              </w:rPr>
              <w:t xml:space="preserve">to </w:t>
            </w:r>
            <w:r w:rsidR="106AE3FA" w:rsidRPr="047C8572">
              <w:rPr>
                <w:sz w:val="20"/>
                <w:szCs w:val="20"/>
              </w:rPr>
              <w:t>improve</w:t>
            </w:r>
            <w:r w:rsidR="6E306707" w:rsidRPr="047C8572">
              <w:rPr>
                <w:sz w:val="20"/>
                <w:szCs w:val="20"/>
              </w:rPr>
              <w:t xml:space="preserve"> Fiji’s social assistance system</w:t>
            </w:r>
            <w:r w:rsidRPr="047C8572">
              <w:rPr>
                <w:sz w:val="20"/>
                <w:szCs w:val="20"/>
              </w:rPr>
              <w:t xml:space="preserve"> to support the most vulnerable populations</w:t>
            </w:r>
            <w:r w:rsidR="6E306707" w:rsidRPr="047C8572">
              <w:rPr>
                <w:sz w:val="20"/>
                <w:szCs w:val="20"/>
              </w:rPr>
              <w:t>.</w:t>
            </w:r>
            <w:r w:rsidR="6E306707" w:rsidRPr="047C8572">
              <w:rPr>
                <w:rFonts w:eastAsiaTheme="minorEastAsia"/>
                <w:sz w:val="20"/>
                <w:szCs w:val="20"/>
              </w:rPr>
              <w:t xml:space="preserve"> </w:t>
            </w:r>
          </w:p>
        </w:tc>
      </w:tr>
      <w:tr w:rsidR="00CA5021" w14:paraId="0556A95D" w14:textId="77777777" w:rsidTr="047C8572">
        <w:trPr>
          <w:tblHeader/>
        </w:trPr>
        <w:tc>
          <w:tcPr>
            <w:tcW w:w="4390" w:type="dxa"/>
          </w:tcPr>
          <w:p w14:paraId="62F5276A" w14:textId="1049E452" w:rsidR="00CA5021" w:rsidRPr="00AB4795" w:rsidRDefault="4DE6A433" w:rsidP="008F08B0">
            <w:pPr>
              <w:spacing w:before="60"/>
              <w:ind w:left="96"/>
              <w:rPr>
                <w:sz w:val="20"/>
                <w:szCs w:val="20"/>
              </w:rPr>
            </w:pPr>
            <w:r w:rsidRPr="047C8572">
              <w:rPr>
                <w:sz w:val="20"/>
                <w:szCs w:val="20"/>
              </w:rPr>
              <w:t>More women and girl survivors of violence in Fiji receive services such as counselling</w:t>
            </w:r>
          </w:p>
        </w:tc>
        <w:tc>
          <w:tcPr>
            <w:tcW w:w="6146" w:type="dxa"/>
          </w:tcPr>
          <w:p w14:paraId="53CA7709" w14:textId="2CF74EAA" w:rsidR="006E260E" w:rsidRDefault="5240F2AF" w:rsidP="008F08B0">
            <w:pPr>
              <w:spacing w:before="60"/>
              <w:ind w:left="96"/>
              <w:rPr>
                <w:sz w:val="20"/>
                <w:szCs w:val="20"/>
              </w:rPr>
            </w:pPr>
            <w:r w:rsidRPr="047C8572">
              <w:rPr>
                <w:sz w:val="20"/>
                <w:szCs w:val="20"/>
              </w:rPr>
              <w:t xml:space="preserve">7238 women and girls received counselling assistance from </w:t>
            </w:r>
            <w:r w:rsidR="09BDB63F" w:rsidRPr="047C8572">
              <w:rPr>
                <w:sz w:val="20"/>
                <w:szCs w:val="20"/>
              </w:rPr>
              <w:t>Fiji Women’s Crisis Centre</w:t>
            </w:r>
            <w:r w:rsidR="60B92031" w:rsidRPr="047C8572">
              <w:rPr>
                <w:sz w:val="20"/>
                <w:szCs w:val="20"/>
              </w:rPr>
              <w:t>.</w:t>
            </w:r>
          </w:p>
          <w:p w14:paraId="71F5FF79" w14:textId="6FD9C73C" w:rsidR="00CA5021" w:rsidRPr="00E57DCD" w:rsidRDefault="09BDB63F" w:rsidP="008F08B0">
            <w:pPr>
              <w:spacing w:before="60"/>
              <w:ind w:left="96"/>
              <w:rPr>
                <w:sz w:val="20"/>
                <w:szCs w:val="20"/>
              </w:rPr>
            </w:pPr>
            <w:r w:rsidRPr="047C8572">
              <w:rPr>
                <w:sz w:val="20"/>
                <w:szCs w:val="20"/>
              </w:rPr>
              <w:t>781 women and girls received counselling services (child counselling and GBV counselling) from</w:t>
            </w:r>
            <w:r w:rsidR="005E5D20" w:rsidRPr="047C8572">
              <w:rPr>
                <w:sz w:val="20"/>
                <w:szCs w:val="20"/>
              </w:rPr>
              <w:t xml:space="preserve"> </w:t>
            </w:r>
            <w:r w:rsidR="14A862DC" w:rsidRPr="047C8572">
              <w:rPr>
                <w:sz w:val="20"/>
                <w:szCs w:val="20"/>
              </w:rPr>
              <w:t>Medical Services Pacific</w:t>
            </w:r>
            <w:r w:rsidRPr="047C8572">
              <w:rPr>
                <w:sz w:val="20"/>
                <w:szCs w:val="20"/>
              </w:rPr>
              <w:t>.</w:t>
            </w:r>
          </w:p>
        </w:tc>
      </w:tr>
      <w:tr w:rsidR="00CA5021" w14:paraId="5DF0BAD4" w14:textId="77777777" w:rsidTr="047C8572">
        <w:trPr>
          <w:tblHeader/>
        </w:trPr>
        <w:tc>
          <w:tcPr>
            <w:tcW w:w="4390" w:type="dxa"/>
          </w:tcPr>
          <w:p w14:paraId="476782F7" w14:textId="51C3DC4A" w:rsidR="00CA5021" w:rsidRPr="00AB4795" w:rsidRDefault="00E0125A" w:rsidP="008F08B0">
            <w:pPr>
              <w:spacing w:before="60"/>
              <w:ind w:left="96"/>
              <w:rPr>
                <w:sz w:val="20"/>
                <w:szCs w:val="20"/>
              </w:rPr>
            </w:pPr>
            <w:r w:rsidRPr="047C8572">
              <w:rPr>
                <w:sz w:val="20"/>
                <w:szCs w:val="20"/>
              </w:rPr>
              <w:t>Number of additional girls and boys enrolled in school</w:t>
            </w:r>
          </w:p>
        </w:tc>
        <w:tc>
          <w:tcPr>
            <w:tcW w:w="6146" w:type="dxa"/>
          </w:tcPr>
          <w:p w14:paraId="69182282" w14:textId="08EF37FB" w:rsidR="00CA5021" w:rsidRDefault="60B92031" w:rsidP="008F08B0">
            <w:pPr>
              <w:spacing w:before="60"/>
              <w:ind w:left="96"/>
              <w:rPr>
                <w:sz w:val="20"/>
                <w:szCs w:val="20"/>
              </w:rPr>
            </w:pPr>
            <w:r w:rsidRPr="047C8572">
              <w:rPr>
                <w:sz w:val="20"/>
                <w:szCs w:val="20"/>
              </w:rPr>
              <w:t>In 2021-22 the</w:t>
            </w:r>
            <w:r w:rsidR="3E6C66CC" w:rsidRPr="047C8572">
              <w:rPr>
                <w:sz w:val="20"/>
                <w:szCs w:val="20"/>
              </w:rPr>
              <w:t xml:space="preserve"> Fiji Education Program</w:t>
            </w:r>
            <w:r w:rsidR="06199EC6" w:rsidRPr="047C8572">
              <w:rPr>
                <w:sz w:val="20"/>
                <w:szCs w:val="20"/>
              </w:rPr>
              <w:t xml:space="preserve"> </w:t>
            </w:r>
            <w:r w:rsidR="01F6D1E3" w:rsidRPr="047C8572">
              <w:rPr>
                <w:sz w:val="20"/>
                <w:szCs w:val="20"/>
              </w:rPr>
              <w:t>focused on education quality (particularly literacy and numeracy curriculum development)</w:t>
            </w:r>
            <w:r w:rsidR="7C570BA3" w:rsidRPr="047C8572">
              <w:rPr>
                <w:sz w:val="20"/>
                <w:szCs w:val="20"/>
              </w:rPr>
              <w:t>.</w:t>
            </w:r>
            <w:r w:rsidR="01F6D1E3" w:rsidRPr="047C8572">
              <w:rPr>
                <w:sz w:val="20"/>
                <w:szCs w:val="20"/>
              </w:rPr>
              <w:t xml:space="preserve"> </w:t>
            </w:r>
          </w:p>
        </w:tc>
      </w:tr>
      <w:tr w:rsidR="00CA5021" w14:paraId="7E704FEB" w14:textId="77777777" w:rsidTr="047C8572">
        <w:trPr>
          <w:tblHeader/>
        </w:trPr>
        <w:tc>
          <w:tcPr>
            <w:tcW w:w="4390" w:type="dxa"/>
          </w:tcPr>
          <w:p w14:paraId="1CC2F0CD" w14:textId="77CBD9FE" w:rsidR="00CA5021" w:rsidRPr="00AB4795" w:rsidRDefault="4DE6A433" w:rsidP="008F08B0">
            <w:pPr>
              <w:spacing w:before="60"/>
              <w:ind w:left="96"/>
              <w:rPr>
                <w:sz w:val="20"/>
                <w:szCs w:val="20"/>
              </w:rPr>
            </w:pPr>
            <w:r w:rsidRPr="047C8572">
              <w:rPr>
                <w:sz w:val="20"/>
                <w:szCs w:val="20"/>
              </w:rPr>
              <w:lastRenderedPageBreak/>
              <w:t>Number of verified students with disabilities in FEMIS – Fiji Education Management Information System</w:t>
            </w:r>
          </w:p>
        </w:tc>
        <w:tc>
          <w:tcPr>
            <w:tcW w:w="6146" w:type="dxa"/>
          </w:tcPr>
          <w:p w14:paraId="7D9CAB9B" w14:textId="1D2ABF2C" w:rsidR="00CA5021" w:rsidRDefault="4B189427" w:rsidP="008F08B0">
            <w:pPr>
              <w:spacing w:before="60"/>
              <w:ind w:left="96"/>
              <w:rPr>
                <w:sz w:val="20"/>
                <w:szCs w:val="20"/>
              </w:rPr>
            </w:pPr>
            <w:r w:rsidRPr="047C8572">
              <w:rPr>
                <w:sz w:val="20"/>
                <w:szCs w:val="20"/>
              </w:rPr>
              <w:t>715 (previous period 215)</w:t>
            </w:r>
            <w:r w:rsidR="6834165E" w:rsidRPr="047C8572">
              <w:rPr>
                <w:sz w:val="20"/>
                <w:szCs w:val="20"/>
              </w:rPr>
              <w:t>.</w:t>
            </w:r>
          </w:p>
        </w:tc>
      </w:tr>
      <w:tr w:rsidR="00E0125A" w14:paraId="1A756890" w14:textId="77777777" w:rsidTr="047C8572">
        <w:trPr>
          <w:tblHeader/>
        </w:trPr>
        <w:tc>
          <w:tcPr>
            <w:tcW w:w="4390" w:type="dxa"/>
          </w:tcPr>
          <w:p w14:paraId="4D7C974F" w14:textId="1F3F139A" w:rsidR="00E0125A" w:rsidRPr="00AB4795" w:rsidRDefault="00E0125A" w:rsidP="008F08B0">
            <w:pPr>
              <w:spacing w:before="60"/>
              <w:ind w:left="96"/>
              <w:rPr>
                <w:sz w:val="20"/>
                <w:szCs w:val="20"/>
              </w:rPr>
            </w:pPr>
            <w:r w:rsidRPr="047C8572">
              <w:rPr>
                <w:sz w:val="20"/>
                <w:szCs w:val="20"/>
              </w:rPr>
              <w:t>Evidence Australian support has improved border control measures</w:t>
            </w:r>
          </w:p>
        </w:tc>
        <w:tc>
          <w:tcPr>
            <w:tcW w:w="6146" w:type="dxa"/>
          </w:tcPr>
          <w:p w14:paraId="3FC5986D" w14:textId="0DEE81D1" w:rsidR="00E0125A" w:rsidRDefault="3C8A570F" w:rsidP="008F08B0">
            <w:pPr>
              <w:spacing w:before="60"/>
              <w:ind w:left="96"/>
              <w:rPr>
                <w:sz w:val="20"/>
                <w:szCs w:val="20"/>
              </w:rPr>
            </w:pPr>
            <w:r w:rsidRPr="047C8572">
              <w:rPr>
                <w:sz w:val="20"/>
                <w:szCs w:val="20"/>
              </w:rPr>
              <w:t xml:space="preserve">20 health inspectors </w:t>
            </w:r>
            <w:r w:rsidR="60ABC6DF" w:rsidRPr="047C8572">
              <w:rPr>
                <w:sz w:val="20"/>
                <w:szCs w:val="20"/>
              </w:rPr>
              <w:t xml:space="preserve">recruited for </w:t>
            </w:r>
            <w:r w:rsidRPr="047C8572">
              <w:rPr>
                <w:sz w:val="20"/>
                <w:szCs w:val="20"/>
              </w:rPr>
              <w:t xml:space="preserve">the </w:t>
            </w:r>
            <w:proofErr w:type="spellStart"/>
            <w:r w:rsidRPr="047C8572">
              <w:rPr>
                <w:sz w:val="20"/>
                <w:szCs w:val="20"/>
              </w:rPr>
              <w:t>Nadi</w:t>
            </w:r>
            <w:proofErr w:type="spellEnd"/>
            <w:r w:rsidRPr="047C8572">
              <w:rPr>
                <w:sz w:val="20"/>
                <w:szCs w:val="20"/>
              </w:rPr>
              <w:t xml:space="preserve"> International Airport Border Health Unit. </w:t>
            </w:r>
          </w:p>
        </w:tc>
      </w:tr>
      <w:tr w:rsidR="00E0125A" w14:paraId="461073D4" w14:textId="77777777" w:rsidTr="047C8572">
        <w:trPr>
          <w:tblHeader/>
        </w:trPr>
        <w:tc>
          <w:tcPr>
            <w:tcW w:w="4390" w:type="dxa"/>
          </w:tcPr>
          <w:p w14:paraId="2539236C" w14:textId="0277BBF4" w:rsidR="00E0125A" w:rsidRPr="00AB4795" w:rsidRDefault="4DE6A433" w:rsidP="008F08B0">
            <w:pPr>
              <w:spacing w:before="60"/>
              <w:ind w:left="96"/>
              <w:rPr>
                <w:sz w:val="20"/>
                <w:szCs w:val="20"/>
              </w:rPr>
            </w:pPr>
            <w:r w:rsidRPr="047C8572">
              <w:rPr>
                <w:sz w:val="20"/>
                <w:szCs w:val="20"/>
              </w:rPr>
              <w:t>Evidence of strengthened and effective coordination during disaster responses (including across CSOs and Government)</w:t>
            </w:r>
          </w:p>
        </w:tc>
        <w:tc>
          <w:tcPr>
            <w:tcW w:w="6146" w:type="dxa"/>
          </w:tcPr>
          <w:p w14:paraId="63895C98" w14:textId="464187A2" w:rsidR="00AE0666" w:rsidRDefault="5E9BA424" w:rsidP="008F08B0">
            <w:pPr>
              <w:spacing w:before="60"/>
              <w:ind w:left="96"/>
              <w:rPr>
                <w:rFonts w:eastAsiaTheme="minorEastAsia"/>
                <w:sz w:val="20"/>
                <w:szCs w:val="20"/>
              </w:rPr>
            </w:pPr>
            <w:r w:rsidRPr="047C8572">
              <w:rPr>
                <w:rFonts w:eastAsiaTheme="minorEastAsia"/>
                <w:sz w:val="20"/>
                <w:szCs w:val="20"/>
              </w:rPr>
              <w:t>In response to TC Cody</w:t>
            </w:r>
            <w:r w:rsidR="4C6628A0" w:rsidRPr="047C8572">
              <w:rPr>
                <w:rFonts w:eastAsiaTheme="minorEastAsia"/>
                <w:sz w:val="20"/>
                <w:szCs w:val="20"/>
              </w:rPr>
              <w:t xml:space="preserve"> (January 2022):</w:t>
            </w:r>
            <w:r w:rsidR="282D2237" w:rsidRPr="047C8572">
              <w:rPr>
                <w:rFonts w:eastAsiaTheme="minorEastAsia"/>
                <w:sz w:val="20"/>
                <w:szCs w:val="20"/>
              </w:rPr>
              <w:t xml:space="preserve"> </w:t>
            </w:r>
          </w:p>
          <w:p w14:paraId="14196558" w14:textId="3FDABBF2" w:rsidR="00AF4DD9" w:rsidRDefault="4C6628A0" w:rsidP="008F08B0">
            <w:pPr>
              <w:spacing w:before="60"/>
              <w:ind w:left="96"/>
              <w:rPr>
                <w:rFonts w:eastAsiaTheme="minorEastAsia"/>
                <w:sz w:val="20"/>
                <w:szCs w:val="20"/>
              </w:rPr>
            </w:pPr>
            <w:r w:rsidRPr="047C8572">
              <w:rPr>
                <w:rFonts w:eastAsiaTheme="minorEastAsia"/>
                <w:sz w:val="20"/>
                <w:szCs w:val="20"/>
              </w:rPr>
              <w:t>S</w:t>
            </w:r>
            <w:r w:rsidR="282D2237" w:rsidRPr="047C8572">
              <w:rPr>
                <w:rFonts w:eastAsiaTheme="minorEastAsia"/>
                <w:sz w:val="20"/>
                <w:szCs w:val="20"/>
              </w:rPr>
              <w:t xml:space="preserve">upported </w:t>
            </w:r>
            <w:r w:rsidR="36748FC6" w:rsidRPr="047C8572">
              <w:rPr>
                <w:rFonts w:eastAsiaTheme="minorEastAsia"/>
                <w:sz w:val="20"/>
                <w:szCs w:val="20"/>
              </w:rPr>
              <w:t xml:space="preserve">Fiji’s </w:t>
            </w:r>
            <w:r w:rsidR="57876EAD" w:rsidRPr="047C8572">
              <w:rPr>
                <w:rFonts w:eastAsiaTheme="minorEastAsia"/>
                <w:sz w:val="20"/>
                <w:szCs w:val="20"/>
              </w:rPr>
              <w:t xml:space="preserve">National </w:t>
            </w:r>
            <w:r w:rsidR="36748FC6" w:rsidRPr="047C8572">
              <w:rPr>
                <w:rFonts w:eastAsiaTheme="minorEastAsia"/>
                <w:sz w:val="20"/>
                <w:szCs w:val="20"/>
              </w:rPr>
              <w:t>Disaster Management Office</w:t>
            </w:r>
            <w:r w:rsidR="6C6967A2" w:rsidRPr="047C8572">
              <w:rPr>
                <w:rFonts w:eastAsiaTheme="minorEastAsia"/>
                <w:sz w:val="20"/>
                <w:szCs w:val="20"/>
              </w:rPr>
              <w:t xml:space="preserve"> </w:t>
            </w:r>
            <w:r w:rsidR="5E9BA424" w:rsidRPr="047C8572">
              <w:rPr>
                <w:rFonts w:eastAsiaTheme="minorEastAsia"/>
                <w:sz w:val="20"/>
                <w:szCs w:val="20"/>
              </w:rPr>
              <w:t xml:space="preserve">deliver food rations </w:t>
            </w:r>
            <w:r w:rsidR="282D2237" w:rsidRPr="047C8572">
              <w:rPr>
                <w:rFonts w:eastAsiaTheme="minorEastAsia"/>
                <w:sz w:val="20"/>
                <w:szCs w:val="20"/>
              </w:rPr>
              <w:t>to 10,120 people (</w:t>
            </w:r>
            <w:r w:rsidR="21D1E647" w:rsidRPr="047C8572">
              <w:rPr>
                <w:rFonts w:eastAsiaTheme="minorEastAsia"/>
                <w:sz w:val="20"/>
                <w:szCs w:val="20"/>
              </w:rPr>
              <w:t>5</w:t>
            </w:r>
            <w:r w:rsidR="40BED22C" w:rsidRPr="047C8572">
              <w:rPr>
                <w:rFonts w:eastAsiaTheme="minorEastAsia"/>
                <w:sz w:val="20"/>
                <w:szCs w:val="20"/>
              </w:rPr>
              <w:t>,</w:t>
            </w:r>
            <w:r w:rsidR="21D1E647" w:rsidRPr="047C8572">
              <w:rPr>
                <w:rFonts w:eastAsiaTheme="minorEastAsia"/>
                <w:sz w:val="20"/>
                <w:szCs w:val="20"/>
              </w:rPr>
              <w:t>019 women)</w:t>
            </w:r>
            <w:r w:rsidR="3AC380EF" w:rsidRPr="047C8572">
              <w:rPr>
                <w:rFonts w:eastAsiaTheme="minorEastAsia"/>
                <w:sz w:val="20"/>
                <w:szCs w:val="20"/>
              </w:rPr>
              <w:t>.</w:t>
            </w:r>
            <w:r w:rsidR="671E6622" w:rsidRPr="047C8572">
              <w:rPr>
                <w:rFonts w:eastAsiaTheme="minorEastAsia"/>
                <w:sz w:val="20"/>
                <w:szCs w:val="20"/>
              </w:rPr>
              <w:t xml:space="preserve"> </w:t>
            </w:r>
          </w:p>
          <w:p w14:paraId="1C10A82C" w14:textId="449E0350" w:rsidR="00E0125A" w:rsidRPr="005705D5" w:rsidRDefault="325B9313" w:rsidP="008F08B0">
            <w:pPr>
              <w:spacing w:before="60"/>
              <w:ind w:left="96"/>
              <w:rPr>
                <w:rFonts w:eastAsiaTheme="minorEastAsia"/>
                <w:sz w:val="20"/>
                <w:szCs w:val="20"/>
              </w:rPr>
            </w:pPr>
            <w:r w:rsidRPr="047C8572">
              <w:rPr>
                <w:rFonts w:eastAsiaTheme="minorEastAsia"/>
                <w:sz w:val="20"/>
                <w:szCs w:val="20"/>
              </w:rPr>
              <w:t>S</w:t>
            </w:r>
            <w:r w:rsidR="005E5D20" w:rsidRPr="047C8572">
              <w:rPr>
                <w:rFonts w:eastAsiaTheme="minorEastAsia"/>
                <w:sz w:val="20"/>
                <w:szCs w:val="20"/>
              </w:rPr>
              <w:t>upplied</w:t>
            </w:r>
            <w:r w:rsidR="61B4FA7C" w:rsidRPr="047C8572">
              <w:rPr>
                <w:rFonts w:eastAsiaTheme="minorEastAsia"/>
                <w:sz w:val="20"/>
                <w:szCs w:val="20"/>
              </w:rPr>
              <w:t xml:space="preserve"> </w:t>
            </w:r>
            <w:r w:rsidR="730A88B9" w:rsidRPr="047C8572">
              <w:rPr>
                <w:rFonts w:eastAsiaTheme="minorEastAsia"/>
                <w:sz w:val="20"/>
                <w:szCs w:val="20"/>
              </w:rPr>
              <w:t>rainwater harvesting systems for 18 health centres</w:t>
            </w:r>
            <w:r w:rsidR="005E5D20" w:rsidRPr="047C8572">
              <w:rPr>
                <w:rFonts w:eastAsiaTheme="minorEastAsia"/>
                <w:sz w:val="20"/>
                <w:szCs w:val="20"/>
              </w:rPr>
              <w:t xml:space="preserve"> </w:t>
            </w:r>
            <w:r w:rsidR="66B5B838" w:rsidRPr="047C8572">
              <w:rPr>
                <w:rFonts w:eastAsiaTheme="minorEastAsia"/>
                <w:sz w:val="20"/>
                <w:szCs w:val="20"/>
              </w:rPr>
              <w:t xml:space="preserve">to prevent </w:t>
            </w:r>
            <w:r w:rsidR="1B569A60" w:rsidRPr="047C8572">
              <w:rPr>
                <w:rFonts w:eastAsiaTheme="minorEastAsia"/>
                <w:sz w:val="20"/>
                <w:szCs w:val="20"/>
              </w:rPr>
              <w:t xml:space="preserve">the spread of </w:t>
            </w:r>
            <w:r w:rsidR="5E9BA424" w:rsidRPr="047C8572">
              <w:rPr>
                <w:rFonts w:eastAsiaTheme="minorEastAsia"/>
                <w:sz w:val="20"/>
                <w:szCs w:val="20"/>
              </w:rPr>
              <w:t>l</w:t>
            </w:r>
            <w:r w:rsidR="66B5B838" w:rsidRPr="047C8572">
              <w:rPr>
                <w:rFonts w:eastAsiaTheme="minorEastAsia"/>
                <w:sz w:val="20"/>
                <w:szCs w:val="20"/>
              </w:rPr>
              <w:t xml:space="preserve">eptospirosis, </w:t>
            </w:r>
            <w:r w:rsidR="5E9BA424" w:rsidRPr="047C8572">
              <w:rPr>
                <w:rFonts w:eastAsiaTheme="minorEastAsia"/>
                <w:sz w:val="20"/>
                <w:szCs w:val="20"/>
              </w:rPr>
              <w:t>t</w:t>
            </w:r>
            <w:r w:rsidR="66B5B838" w:rsidRPr="047C8572">
              <w:rPr>
                <w:rFonts w:eastAsiaTheme="minorEastAsia"/>
                <w:sz w:val="20"/>
                <w:szCs w:val="20"/>
              </w:rPr>
              <w:t xml:space="preserve">yphoid, </w:t>
            </w:r>
            <w:proofErr w:type="gramStart"/>
            <w:r w:rsidR="5E9BA424" w:rsidRPr="047C8572">
              <w:rPr>
                <w:rFonts w:eastAsiaTheme="minorEastAsia"/>
                <w:sz w:val="20"/>
                <w:szCs w:val="20"/>
              </w:rPr>
              <w:t>d</w:t>
            </w:r>
            <w:r w:rsidR="66B5B838" w:rsidRPr="047C8572">
              <w:rPr>
                <w:rFonts w:eastAsiaTheme="minorEastAsia"/>
                <w:sz w:val="20"/>
                <w:szCs w:val="20"/>
              </w:rPr>
              <w:t>engue</w:t>
            </w:r>
            <w:proofErr w:type="gramEnd"/>
            <w:r w:rsidR="66B5B838" w:rsidRPr="047C8572">
              <w:rPr>
                <w:rFonts w:eastAsiaTheme="minorEastAsia"/>
                <w:sz w:val="20"/>
                <w:szCs w:val="20"/>
              </w:rPr>
              <w:t xml:space="preserve"> and </w:t>
            </w:r>
            <w:r w:rsidR="5E9BA424" w:rsidRPr="047C8572">
              <w:rPr>
                <w:rFonts w:eastAsiaTheme="minorEastAsia"/>
                <w:sz w:val="20"/>
                <w:szCs w:val="20"/>
              </w:rPr>
              <w:t>d</w:t>
            </w:r>
            <w:r w:rsidR="66B5B838" w:rsidRPr="047C8572">
              <w:rPr>
                <w:rFonts w:eastAsiaTheme="minorEastAsia"/>
                <w:sz w:val="20"/>
                <w:szCs w:val="20"/>
              </w:rPr>
              <w:t>iarrhoea</w:t>
            </w:r>
            <w:r w:rsidR="07BD368A" w:rsidRPr="047C8572">
              <w:rPr>
                <w:rFonts w:eastAsiaTheme="minorEastAsia"/>
                <w:sz w:val="20"/>
                <w:szCs w:val="20"/>
              </w:rPr>
              <w:t xml:space="preserve">. </w:t>
            </w:r>
          </w:p>
        </w:tc>
      </w:tr>
    </w:tbl>
    <w:p w14:paraId="3F2619AB" w14:textId="64D997BA" w:rsidR="00AE2B7B" w:rsidRPr="00AE2B7B" w:rsidRDefault="00AE2B7B" w:rsidP="004122B9">
      <w:pPr>
        <w:pStyle w:val="Heading3"/>
      </w:pPr>
      <w:r w:rsidRPr="00AE2B7B">
        <w:t>Economic Recovery</w:t>
      </w:r>
    </w:p>
    <w:tbl>
      <w:tblPr>
        <w:tblStyle w:val="TableGrid"/>
        <w:tblW w:w="10536"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80"/>
        <w:gridCol w:w="6156"/>
      </w:tblGrid>
      <w:tr w:rsidR="00CA5021" w14:paraId="6541DEB5" w14:textId="77777777" w:rsidTr="008F08B0">
        <w:tc>
          <w:tcPr>
            <w:tcW w:w="4380" w:type="dxa"/>
            <w:shd w:val="clear" w:color="auto" w:fill="A2DCD1" w:themeFill="accent1" w:themeFillTint="99"/>
            <w:vAlign w:val="bottom"/>
          </w:tcPr>
          <w:p w14:paraId="7B68B645" w14:textId="39A83BEA" w:rsidR="00CA5021" w:rsidRPr="005736BB" w:rsidRDefault="00A96364" w:rsidP="00CA5021">
            <w:pPr>
              <w:widowControl w:val="0"/>
              <w:spacing w:before="0" w:after="0" w:line="240" w:lineRule="auto"/>
              <w:jc w:val="center"/>
              <w:rPr>
                <w:sz w:val="20"/>
                <w:szCs w:val="20"/>
              </w:rPr>
            </w:pPr>
            <w:r w:rsidRPr="005736BB">
              <w:rPr>
                <w:b/>
                <w:sz w:val="20"/>
                <w:szCs w:val="20"/>
              </w:rPr>
              <w:t xml:space="preserve">Key Results </w:t>
            </w:r>
            <w:r w:rsidR="00CA5021" w:rsidRPr="005736BB">
              <w:rPr>
                <w:b/>
                <w:sz w:val="20"/>
                <w:szCs w:val="20"/>
              </w:rPr>
              <w:t>Indicator</w:t>
            </w:r>
            <w:r w:rsidRPr="005736BB">
              <w:rPr>
                <w:b/>
                <w:sz w:val="20"/>
                <w:szCs w:val="20"/>
              </w:rPr>
              <w:t>s</w:t>
            </w:r>
          </w:p>
        </w:tc>
        <w:tc>
          <w:tcPr>
            <w:tcW w:w="6156" w:type="dxa"/>
            <w:shd w:val="clear" w:color="auto" w:fill="A2DCD1" w:themeFill="accent1" w:themeFillTint="99"/>
            <w:vAlign w:val="bottom"/>
          </w:tcPr>
          <w:p w14:paraId="7B256934" w14:textId="69DE6F90" w:rsidR="00CA5021" w:rsidRPr="005736BB" w:rsidRDefault="00AD19F7" w:rsidP="00CA5021">
            <w:pPr>
              <w:widowControl w:val="0"/>
              <w:spacing w:before="0" w:after="0" w:line="240" w:lineRule="auto"/>
              <w:jc w:val="center"/>
              <w:rPr>
                <w:sz w:val="20"/>
                <w:szCs w:val="20"/>
              </w:rPr>
            </w:pPr>
            <w:r w:rsidRPr="005736BB">
              <w:rPr>
                <w:b/>
                <w:sz w:val="20"/>
                <w:szCs w:val="20"/>
              </w:rPr>
              <w:t>Progress/Result</w:t>
            </w:r>
          </w:p>
        </w:tc>
      </w:tr>
      <w:tr w:rsidR="00CA5021" w14:paraId="564E6F58" w14:textId="77777777" w:rsidTr="047C8572">
        <w:trPr>
          <w:tblHeader/>
        </w:trPr>
        <w:tc>
          <w:tcPr>
            <w:tcW w:w="4380" w:type="dxa"/>
          </w:tcPr>
          <w:p w14:paraId="234C1CE4" w14:textId="0A30531B" w:rsidR="00CA5021" w:rsidRDefault="00E0125A" w:rsidP="008F08B0">
            <w:pPr>
              <w:tabs>
                <w:tab w:val="left" w:pos="3000"/>
              </w:tabs>
              <w:spacing w:before="60"/>
              <w:ind w:left="96"/>
              <w:rPr>
                <w:sz w:val="20"/>
                <w:szCs w:val="20"/>
              </w:rPr>
            </w:pPr>
            <w:r w:rsidRPr="047C8572">
              <w:rPr>
                <w:sz w:val="20"/>
                <w:szCs w:val="20"/>
              </w:rPr>
              <w:t xml:space="preserve">Examples of Australian-funded technical advice in stimulus measures and longer-term economic recovery policy and planning, including for infrastructure </w:t>
            </w:r>
          </w:p>
        </w:tc>
        <w:tc>
          <w:tcPr>
            <w:tcW w:w="6156" w:type="dxa"/>
          </w:tcPr>
          <w:p w14:paraId="4806DAFE" w14:textId="58D72A72" w:rsidR="0037590E" w:rsidRDefault="4C6628A0" w:rsidP="008F08B0">
            <w:pPr>
              <w:spacing w:before="60"/>
              <w:ind w:left="96"/>
              <w:rPr>
                <w:sz w:val="20"/>
                <w:szCs w:val="20"/>
              </w:rPr>
            </w:pPr>
            <w:r w:rsidRPr="047C8572">
              <w:rPr>
                <w:sz w:val="20"/>
                <w:szCs w:val="20"/>
              </w:rPr>
              <w:t>P</w:t>
            </w:r>
            <w:r w:rsidR="5E9BA424" w:rsidRPr="047C8572">
              <w:rPr>
                <w:sz w:val="20"/>
                <w:szCs w:val="20"/>
              </w:rPr>
              <w:t>artnership with the International Finance Corporation (IFC) supported Fiji to improv</w:t>
            </w:r>
            <w:r w:rsidRPr="047C8572">
              <w:rPr>
                <w:sz w:val="20"/>
                <w:szCs w:val="20"/>
              </w:rPr>
              <w:t>e</w:t>
            </w:r>
            <w:r w:rsidR="5E9BA424" w:rsidRPr="047C8572">
              <w:rPr>
                <w:sz w:val="20"/>
                <w:szCs w:val="20"/>
              </w:rPr>
              <w:t xml:space="preserve"> small-medium enterprise performance, building Fiji's international trade competitiveness, and stimulating inclusive private sector-led growth. </w:t>
            </w:r>
          </w:p>
          <w:p w14:paraId="5A50515E" w14:textId="48878807" w:rsidR="00CA5021" w:rsidRPr="008F08B0" w:rsidRDefault="5E9BA424" w:rsidP="008F08B0">
            <w:pPr>
              <w:spacing w:before="60"/>
              <w:ind w:left="96"/>
              <w:rPr>
                <w:sz w:val="20"/>
                <w:szCs w:val="20"/>
                <w:lang w:val="en-AU"/>
              </w:rPr>
            </w:pPr>
            <w:r w:rsidRPr="047C8572">
              <w:rPr>
                <w:sz w:val="20"/>
                <w:szCs w:val="20"/>
                <w:lang w:val="en-AU"/>
              </w:rPr>
              <w:t xml:space="preserve">IFC supported </w:t>
            </w:r>
            <w:proofErr w:type="spellStart"/>
            <w:r w:rsidRPr="047C8572">
              <w:rPr>
                <w:sz w:val="20"/>
                <w:szCs w:val="20"/>
                <w:lang w:val="en-AU"/>
              </w:rPr>
              <w:t>GoF</w:t>
            </w:r>
            <w:proofErr w:type="spellEnd"/>
            <w:r w:rsidRPr="047C8572">
              <w:rPr>
                <w:sz w:val="20"/>
                <w:szCs w:val="20"/>
                <w:lang w:val="en-AU"/>
              </w:rPr>
              <w:t xml:space="preserve"> to draft a new Investment Policy Statement and finalise legislation, adopted in April 2022. The new law </w:t>
            </w:r>
            <w:r w:rsidR="011FF9D2" w:rsidRPr="047C8572">
              <w:rPr>
                <w:sz w:val="20"/>
                <w:szCs w:val="20"/>
                <w:lang w:val="en-AU"/>
              </w:rPr>
              <w:t>will</w:t>
            </w:r>
            <w:r w:rsidRPr="047C8572">
              <w:rPr>
                <w:sz w:val="20"/>
                <w:szCs w:val="20"/>
                <w:lang w:val="en-AU"/>
              </w:rPr>
              <w:t xml:space="preserve"> reduce direct compliance costs by simplifying foreign investment regulations.  </w:t>
            </w:r>
          </w:p>
        </w:tc>
      </w:tr>
      <w:tr w:rsidR="00CA5021" w14:paraId="1EAE2D66" w14:textId="77777777" w:rsidTr="047C8572">
        <w:trPr>
          <w:trHeight w:val="215"/>
          <w:tblHeader/>
        </w:trPr>
        <w:tc>
          <w:tcPr>
            <w:tcW w:w="4380" w:type="dxa"/>
          </w:tcPr>
          <w:p w14:paraId="65838CB2" w14:textId="7CED7363" w:rsidR="00CA5021" w:rsidRDefault="00E0125A" w:rsidP="008F08B0">
            <w:pPr>
              <w:spacing w:before="60"/>
              <w:ind w:left="96"/>
              <w:rPr>
                <w:sz w:val="20"/>
                <w:szCs w:val="20"/>
              </w:rPr>
            </w:pPr>
            <w:r w:rsidRPr="047C8572">
              <w:rPr>
                <w:sz w:val="20"/>
                <w:szCs w:val="20"/>
              </w:rPr>
              <w:t>Australian budget support, aligned with other development finance, supports the Government of Fiji to maintain macroeconomic stability and achieve PFM milestones</w:t>
            </w:r>
          </w:p>
        </w:tc>
        <w:tc>
          <w:tcPr>
            <w:tcW w:w="6156" w:type="dxa"/>
          </w:tcPr>
          <w:p w14:paraId="02B96D99" w14:textId="2EA5D0E3" w:rsidR="00CA5021" w:rsidRDefault="0DED0CAB" w:rsidP="008F08B0">
            <w:pPr>
              <w:spacing w:before="60"/>
              <w:ind w:left="96"/>
              <w:rPr>
                <w:sz w:val="20"/>
                <w:szCs w:val="20"/>
              </w:rPr>
            </w:pPr>
            <w:r w:rsidRPr="047C8572">
              <w:rPr>
                <w:sz w:val="20"/>
                <w:szCs w:val="20"/>
              </w:rPr>
              <w:t>$85</w:t>
            </w:r>
            <w:r w:rsidR="6E2C0A34" w:rsidRPr="047C8572">
              <w:rPr>
                <w:sz w:val="20"/>
                <w:szCs w:val="20"/>
              </w:rPr>
              <w:t xml:space="preserve"> </w:t>
            </w:r>
            <w:r w:rsidRPr="047C8572">
              <w:rPr>
                <w:sz w:val="20"/>
                <w:szCs w:val="20"/>
              </w:rPr>
              <w:t xml:space="preserve">million </w:t>
            </w:r>
            <w:r w:rsidR="4DCA153B" w:rsidRPr="047C8572">
              <w:rPr>
                <w:sz w:val="20"/>
                <w:szCs w:val="20"/>
              </w:rPr>
              <w:t xml:space="preserve">budget support </w:t>
            </w:r>
            <w:r w:rsidR="002E77C1">
              <w:rPr>
                <w:sz w:val="20"/>
                <w:szCs w:val="20"/>
              </w:rPr>
              <w:t xml:space="preserve">(almost 7 per cent of total domestic revenue) </w:t>
            </w:r>
            <w:r w:rsidR="4DCA153B" w:rsidRPr="047C8572">
              <w:rPr>
                <w:sz w:val="20"/>
                <w:szCs w:val="20"/>
              </w:rPr>
              <w:t xml:space="preserve">in </w:t>
            </w:r>
            <w:r w:rsidRPr="047C8572">
              <w:rPr>
                <w:sz w:val="20"/>
                <w:szCs w:val="20"/>
              </w:rPr>
              <w:t>20</w:t>
            </w:r>
            <w:r w:rsidR="2FD3FC5F" w:rsidRPr="047C8572">
              <w:rPr>
                <w:sz w:val="20"/>
                <w:szCs w:val="20"/>
              </w:rPr>
              <w:t>21-22</w:t>
            </w:r>
            <w:r w:rsidR="454BEA30" w:rsidRPr="047C8572">
              <w:rPr>
                <w:sz w:val="20"/>
                <w:szCs w:val="20"/>
              </w:rPr>
              <w:t xml:space="preserve"> i</w:t>
            </w:r>
            <w:r w:rsidR="78292E4A" w:rsidRPr="047C8572">
              <w:rPr>
                <w:sz w:val="20"/>
                <w:szCs w:val="20"/>
              </w:rPr>
              <w:t>ncentivised the implementation of agreed reforms, as set out in the Fiji Budget Support Program reform matrix</w:t>
            </w:r>
            <w:r w:rsidR="454BEA30" w:rsidRPr="047C8572">
              <w:rPr>
                <w:sz w:val="20"/>
                <w:szCs w:val="20"/>
              </w:rPr>
              <w:t xml:space="preserve"> a</w:t>
            </w:r>
            <w:r w:rsidR="78292E4A" w:rsidRPr="047C8572">
              <w:rPr>
                <w:sz w:val="20"/>
                <w:szCs w:val="20"/>
              </w:rPr>
              <w:t xml:space="preserve">greed in November 2021: </w:t>
            </w:r>
            <w:r w:rsidR="00C65C2A">
              <w:br/>
            </w:r>
            <w:r w:rsidR="78292E4A" w:rsidRPr="047C8572">
              <w:rPr>
                <w:sz w:val="20"/>
                <w:szCs w:val="20"/>
              </w:rPr>
              <w:t>(</w:t>
            </w:r>
            <w:proofErr w:type="spellStart"/>
            <w:r w:rsidR="78292E4A" w:rsidRPr="047C8572">
              <w:rPr>
                <w:sz w:val="20"/>
                <w:szCs w:val="20"/>
              </w:rPr>
              <w:t>i</w:t>
            </w:r>
            <w:proofErr w:type="spellEnd"/>
            <w:r w:rsidR="78292E4A" w:rsidRPr="047C8572">
              <w:rPr>
                <w:sz w:val="20"/>
                <w:szCs w:val="20"/>
              </w:rPr>
              <w:t xml:space="preserve">) improving public financial management for fiscal resilience; </w:t>
            </w:r>
            <w:r w:rsidR="00C65C2A">
              <w:br/>
            </w:r>
            <w:r w:rsidR="78292E4A" w:rsidRPr="047C8572">
              <w:rPr>
                <w:sz w:val="20"/>
                <w:szCs w:val="20"/>
              </w:rPr>
              <w:t xml:space="preserve">(ii) implementing inclusive fiscal and social policies for community resilience and </w:t>
            </w:r>
            <w:r w:rsidR="00C65C2A">
              <w:br/>
            </w:r>
            <w:r w:rsidR="78292E4A" w:rsidRPr="047C8572">
              <w:rPr>
                <w:sz w:val="20"/>
                <w:szCs w:val="20"/>
              </w:rPr>
              <w:t xml:space="preserve">(iii) strengthening the enabling environment for resilient private sector recovery. </w:t>
            </w:r>
          </w:p>
        </w:tc>
      </w:tr>
      <w:tr w:rsidR="00CA5021" w14:paraId="4DF45926" w14:textId="77777777" w:rsidTr="047C8572">
        <w:trPr>
          <w:trHeight w:val="544"/>
          <w:tblHeader/>
        </w:trPr>
        <w:tc>
          <w:tcPr>
            <w:tcW w:w="4380" w:type="dxa"/>
          </w:tcPr>
          <w:p w14:paraId="0B1E2DC4" w14:textId="48EDF97C" w:rsidR="00CA5021" w:rsidRDefault="00E0125A" w:rsidP="008F08B0">
            <w:pPr>
              <w:spacing w:before="60"/>
              <w:ind w:left="96"/>
              <w:rPr>
                <w:sz w:val="20"/>
                <w:szCs w:val="20"/>
              </w:rPr>
            </w:pPr>
            <w:r w:rsidRPr="047C8572">
              <w:rPr>
                <w:sz w:val="20"/>
                <w:szCs w:val="20"/>
              </w:rPr>
              <w:t>Number of women entrepreneurs provided with financial and/or business development services</w:t>
            </w:r>
          </w:p>
        </w:tc>
        <w:tc>
          <w:tcPr>
            <w:tcW w:w="6156" w:type="dxa"/>
          </w:tcPr>
          <w:p w14:paraId="346A6539" w14:textId="0573A486" w:rsidR="00CA5021" w:rsidRDefault="5E9BA424" w:rsidP="008F08B0">
            <w:pPr>
              <w:spacing w:before="60"/>
              <w:ind w:left="96"/>
              <w:rPr>
                <w:rFonts w:ascii="Calibri Light" w:eastAsia="Calibri Light" w:hAnsi="Calibri Light" w:cs="Calibri Light"/>
                <w:color w:val="495864"/>
                <w:sz w:val="20"/>
                <w:szCs w:val="20"/>
              </w:rPr>
            </w:pPr>
            <w:r w:rsidRPr="047C8572">
              <w:rPr>
                <w:rFonts w:ascii="Calibri Light" w:eastAsia="Calibri Light" w:hAnsi="Calibri Light" w:cs="Calibri Light"/>
                <w:color w:val="495864"/>
                <w:sz w:val="20"/>
                <w:szCs w:val="20"/>
              </w:rPr>
              <w:t>319 w</w:t>
            </w:r>
            <w:r w:rsidR="58320BFB" w:rsidRPr="047C8572">
              <w:rPr>
                <w:rFonts w:ascii="Calibri Light" w:eastAsia="Calibri Light" w:hAnsi="Calibri Light" w:cs="Calibri Light"/>
                <w:color w:val="495864"/>
                <w:sz w:val="20"/>
                <w:szCs w:val="20"/>
              </w:rPr>
              <w:t>omen access</w:t>
            </w:r>
            <w:r w:rsidR="454BEA30" w:rsidRPr="047C8572">
              <w:rPr>
                <w:rFonts w:ascii="Calibri Light" w:eastAsia="Calibri Light" w:hAnsi="Calibri Light" w:cs="Calibri Light"/>
                <w:color w:val="495864"/>
                <w:sz w:val="20"/>
                <w:szCs w:val="20"/>
              </w:rPr>
              <w:t>ed</w:t>
            </w:r>
            <w:r w:rsidR="58320BFB" w:rsidRPr="047C8572">
              <w:rPr>
                <w:rFonts w:ascii="Calibri Light" w:eastAsia="Calibri Light" w:hAnsi="Calibri Light" w:cs="Calibri Light"/>
                <w:color w:val="495864"/>
                <w:sz w:val="20"/>
                <w:szCs w:val="20"/>
              </w:rPr>
              <w:t xml:space="preserve"> financial/business development services. </w:t>
            </w:r>
            <w:r w:rsidR="406AA68B" w:rsidRPr="047C8572">
              <w:rPr>
                <w:rFonts w:ascii="Calibri Light" w:eastAsia="Calibri Light" w:hAnsi="Calibri Light" w:cs="Calibri Light"/>
                <w:color w:val="495864"/>
                <w:sz w:val="20"/>
                <w:szCs w:val="20"/>
              </w:rPr>
              <w:t>Including</w:t>
            </w:r>
            <w:r w:rsidR="58320BFB" w:rsidRPr="047C8572">
              <w:rPr>
                <w:rFonts w:ascii="Calibri Light" w:eastAsia="Calibri Light" w:hAnsi="Calibri Light" w:cs="Calibri Light"/>
                <w:color w:val="495864"/>
                <w:sz w:val="20"/>
                <w:szCs w:val="20"/>
              </w:rPr>
              <w:t>: financial and business development advice to 2</w:t>
            </w:r>
            <w:r w:rsidR="23750BEA" w:rsidRPr="047C8572">
              <w:rPr>
                <w:rFonts w:ascii="Calibri Light" w:eastAsia="Calibri Light" w:hAnsi="Calibri Light" w:cs="Calibri Light"/>
                <w:color w:val="495864"/>
                <w:sz w:val="20"/>
                <w:szCs w:val="20"/>
              </w:rPr>
              <w:t>2</w:t>
            </w:r>
            <w:r w:rsidR="58320BFB" w:rsidRPr="047C8572">
              <w:rPr>
                <w:rFonts w:ascii="Calibri Light" w:eastAsia="Calibri Light" w:hAnsi="Calibri Light" w:cs="Calibri Light"/>
                <w:color w:val="495864"/>
                <w:sz w:val="20"/>
                <w:szCs w:val="20"/>
              </w:rPr>
              <w:t xml:space="preserve">7 women entrepreneurs; social media promotion for </w:t>
            </w:r>
            <w:r w:rsidR="66A8F36E" w:rsidRPr="047C8572">
              <w:rPr>
                <w:rFonts w:ascii="Calibri Light" w:eastAsia="Calibri Light" w:hAnsi="Calibri Light" w:cs="Calibri Light"/>
                <w:color w:val="495864"/>
                <w:sz w:val="20"/>
                <w:szCs w:val="20"/>
              </w:rPr>
              <w:t>35</w:t>
            </w:r>
            <w:r w:rsidR="58320BFB" w:rsidRPr="047C8572">
              <w:rPr>
                <w:rFonts w:ascii="Calibri Light" w:eastAsia="Calibri Light" w:hAnsi="Calibri Light" w:cs="Calibri Light"/>
                <w:color w:val="495864"/>
                <w:sz w:val="20"/>
                <w:szCs w:val="20"/>
              </w:rPr>
              <w:t xml:space="preserve"> women-run Micro</w:t>
            </w:r>
            <w:r w:rsidR="406AA68B" w:rsidRPr="047C8572">
              <w:rPr>
                <w:rFonts w:ascii="Calibri Light" w:eastAsia="Calibri Light" w:hAnsi="Calibri Light" w:cs="Calibri Light"/>
                <w:color w:val="495864"/>
                <w:sz w:val="20"/>
                <w:szCs w:val="20"/>
              </w:rPr>
              <w:t>,</w:t>
            </w:r>
            <w:r w:rsidR="58320BFB" w:rsidRPr="047C8572">
              <w:rPr>
                <w:rFonts w:ascii="Calibri Light" w:eastAsia="Calibri Light" w:hAnsi="Calibri Light" w:cs="Calibri Light"/>
                <w:color w:val="495864"/>
                <w:sz w:val="20"/>
                <w:szCs w:val="20"/>
              </w:rPr>
              <w:t xml:space="preserve"> Small and Medium Enterprises (MSMEs); and support for access to new sales channels for 1</w:t>
            </w:r>
            <w:r w:rsidR="3DA837B3" w:rsidRPr="047C8572">
              <w:rPr>
                <w:rFonts w:ascii="Calibri Light" w:eastAsia="Calibri Light" w:hAnsi="Calibri Light" w:cs="Calibri Light"/>
                <w:color w:val="495864"/>
                <w:sz w:val="20"/>
                <w:szCs w:val="20"/>
              </w:rPr>
              <w:t>7</w:t>
            </w:r>
            <w:r w:rsidR="58320BFB" w:rsidRPr="047C8572">
              <w:rPr>
                <w:rFonts w:ascii="Calibri Light" w:eastAsia="Calibri Light" w:hAnsi="Calibri Light" w:cs="Calibri Light"/>
                <w:color w:val="495864"/>
                <w:sz w:val="20"/>
                <w:szCs w:val="20"/>
              </w:rPr>
              <w:t xml:space="preserve"> women-led MSMEs. </w:t>
            </w:r>
          </w:p>
          <w:p w14:paraId="1FCE71E6" w14:textId="40AF992A" w:rsidR="00CA5021" w:rsidRDefault="73AFE289" w:rsidP="008F08B0">
            <w:pPr>
              <w:spacing w:before="60"/>
              <w:ind w:left="96"/>
              <w:rPr>
                <w:rFonts w:ascii="Calibri" w:eastAsia="Calibri" w:hAnsi="Calibri" w:cs="Calibri"/>
                <w:sz w:val="20"/>
                <w:szCs w:val="20"/>
              </w:rPr>
            </w:pPr>
            <w:r w:rsidRPr="047C8572">
              <w:rPr>
                <w:rFonts w:ascii="Calibri Light" w:eastAsia="Calibri Light" w:hAnsi="Calibri Light" w:cs="Calibri Light"/>
                <w:color w:val="495864"/>
                <w:sz w:val="20"/>
                <w:szCs w:val="20"/>
              </w:rPr>
              <w:t>594 women entrepreneurs supported with financial and/or business development services t</w:t>
            </w:r>
            <w:r w:rsidR="288B7B84" w:rsidRPr="047C8572">
              <w:rPr>
                <w:rFonts w:ascii="Calibri Light" w:eastAsia="Calibri Light" w:hAnsi="Calibri Light" w:cs="Calibri Light"/>
                <w:color w:val="495864"/>
                <w:sz w:val="20"/>
                <w:szCs w:val="20"/>
              </w:rPr>
              <w:t>hrough the bilateral gender programs,</w:t>
            </w:r>
            <w:r w:rsidR="767C0190" w:rsidRPr="047C8572">
              <w:rPr>
                <w:rFonts w:ascii="Calibri Light" w:eastAsia="Calibri Light" w:hAnsi="Calibri Light" w:cs="Calibri Light"/>
                <w:color w:val="495864"/>
                <w:sz w:val="20"/>
                <w:szCs w:val="20"/>
              </w:rPr>
              <w:t xml:space="preserve"> and</w:t>
            </w:r>
            <w:r w:rsidR="288B7B84" w:rsidRPr="047C8572">
              <w:rPr>
                <w:rFonts w:ascii="Calibri Light" w:eastAsia="Calibri Light" w:hAnsi="Calibri Light" w:cs="Calibri Light"/>
                <w:color w:val="495864"/>
                <w:sz w:val="20"/>
                <w:szCs w:val="20"/>
              </w:rPr>
              <w:t xml:space="preserve"> Women’s Fund Fiji</w:t>
            </w:r>
            <w:r w:rsidR="767C0190" w:rsidRPr="047C8572">
              <w:rPr>
                <w:rFonts w:ascii="Calibri Light" w:eastAsia="Calibri Light" w:hAnsi="Calibri Light" w:cs="Calibri Light"/>
                <w:color w:val="495864"/>
                <w:sz w:val="20"/>
                <w:szCs w:val="20"/>
              </w:rPr>
              <w:t>-</w:t>
            </w:r>
            <w:r w:rsidR="4FAB2A64" w:rsidRPr="047C8572">
              <w:rPr>
                <w:rFonts w:ascii="Calibri Light" w:eastAsia="Calibri Light" w:hAnsi="Calibri Light" w:cs="Calibri Light"/>
                <w:color w:val="495864"/>
                <w:sz w:val="20"/>
                <w:szCs w:val="20"/>
              </w:rPr>
              <w:t>supported Rise Beyond the Reef and Women Entrepren</w:t>
            </w:r>
            <w:r w:rsidR="00871655" w:rsidRPr="047C8572">
              <w:rPr>
                <w:rFonts w:ascii="Calibri Light" w:eastAsia="Calibri Light" w:hAnsi="Calibri Light" w:cs="Calibri Light"/>
                <w:color w:val="495864"/>
                <w:sz w:val="20"/>
                <w:szCs w:val="20"/>
              </w:rPr>
              <w:t>e</w:t>
            </w:r>
            <w:r w:rsidR="4FAB2A64" w:rsidRPr="047C8572">
              <w:rPr>
                <w:rFonts w:ascii="Calibri Light" w:eastAsia="Calibri Light" w:hAnsi="Calibri Light" w:cs="Calibri Light"/>
                <w:color w:val="495864"/>
                <w:sz w:val="20"/>
                <w:szCs w:val="20"/>
              </w:rPr>
              <w:t>urs Business Council</w:t>
            </w:r>
            <w:r w:rsidR="1DDC2138" w:rsidRPr="047C8572">
              <w:rPr>
                <w:rFonts w:ascii="Calibri Light" w:eastAsia="Calibri Light" w:hAnsi="Calibri Light" w:cs="Calibri Light"/>
                <w:color w:val="495864"/>
                <w:sz w:val="20"/>
                <w:szCs w:val="20"/>
              </w:rPr>
              <w:t>.</w:t>
            </w:r>
            <w:r w:rsidR="1DDC2138" w:rsidRPr="047C8572">
              <w:rPr>
                <w:rFonts w:ascii="Calibri" w:eastAsia="Calibri" w:hAnsi="Calibri" w:cs="Calibri"/>
                <w:sz w:val="20"/>
                <w:szCs w:val="20"/>
              </w:rPr>
              <w:t xml:space="preserve"> </w:t>
            </w:r>
          </w:p>
        </w:tc>
      </w:tr>
      <w:tr w:rsidR="00CA5021" w14:paraId="51A15CF9" w14:textId="77777777" w:rsidTr="047C8572">
        <w:trPr>
          <w:tblHeader/>
        </w:trPr>
        <w:tc>
          <w:tcPr>
            <w:tcW w:w="4380" w:type="dxa"/>
          </w:tcPr>
          <w:p w14:paraId="3C75C9F9" w14:textId="691E2B43" w:rsidR="00CA5021" w:rsidRDefault="00E0125A" w:rsidP="008F08B0">
            <w:pPr>
              <w:spacing w:before="60"/>
              <w:ind w:left="96"/>
              <w:rPr>
                <w:sz w:val="20"/>
                <w:szCs w:val="20"/>
              </w:rPr>
            </w:pPr>
            <w:r w:rsidRPr="047C8572">
              <w:rPr>
                <w:sz w:val="20"/>
                <w:szCs w:val="20"/>
              </w:rPr>
              <w:t>Examples of partnering, with private sector and others, to ensure supply lines are open</w:t>
            </w:r>
          </w:p>
        </w:tc>
        <w:tc>
          <w:tcPr>
            <w:tcW w:w="6156" w:type="dxa"/>
          </w:tcPr>
          <w:p w14:paraId="0DD22350" w14:textId="417905F5" w:rsidR="00CA5021" w:rsidRPr="00E57DCD" w:rsidRDefault="421D0952" w:rsidP="008F08B0">
            <w:pPr>
              <w:spacing w:before="60"/>
              <w:ind w:left="96"/>
              <w:rPr>
                <w:rFonts w:eastAsiaTheme="minorEastAsia"/>
                <w:sz w:val="20"/>
                <w:szCs w:val="20"/>
              </w:rPr>
            </w:pPr>
            <w:r w:rsidRPr="047C8572">
              <w:rPr>
                <w:rFonts w:ascii="Calibri Light" w:eastAsia="Calibri Light" w:hAnsi="Calibri Light" w:cs="Calibri Light"/>
                <w:sz w:val="20"/>
                <w:szCs w:val="20"/>
              </w:rPr>
              <w:t xml:space="preserve">Connected </w:t>
            </w:r>
            <w:r w:rsidR="675FEEDD" w:rsidRPr="047C8572">
              <w:rPr>
                <w:rFonts w:ascii="Calibri Light" w:eastAsia="Calibri Light" w:hAnsi="Calibri Light" w:cs="Calibri Light"/>
                <w:sz w:val="20"/>
                <w:szCs w:val="20"/>
              </w:rPr>
              <w:t>kava exporters with export market opportunities</w:t>
            </w:r>
            <w:r w:rsidR="094B92BF" w:rsidRPr="047C8572">
              <w:rPr>
                <w:rFonts w:ascii="Calibri Light" w:eastAsia="Calibri Light" w:hAnsi="Calibri Light" w:cs="Calibri Light"/>
                <w:sz w:val="20"/>
                <w:szCs w:val="20"/>
              </w:rPr>
              <w:t xml:space="preserve"> through the development of an agriculture logistics system with Courier Documents Parcels Services. </w:t>
            </w:r>
            <w:r w:rsidR="0DC3136D" w:rsidRPr="047C8572">
              <w:rPr>
                <w:rFonts w:ascii="Calibri Light" w:eastAsia="Calibri Light" w:hAnsi="Calibri Light" w:cs="Calibri Light"/>
                <w:sz w:val="20"/>
                <w:szCs w:val="20"/>
              </w:rPr>
              <w:t>A</w:t>
            </w:r>
            <w:r w:rsidR="675FEEDD" w:rsidRPr="047C8572">
              <w:rPr>
                <w:rFonts w:ascii="Calibri Light" w:eastAsia="Calibri Light" w:hAnsi="Calibri Light" w:cs="Calibri Light"/>
                <w:sz w:val="20"/>
                <w:szCs w:val="20"/>
              </w:rPr>
              <w:t>ssessments confirmed the service has helped reduc</w:t>
            </w:r>
            <w:r w:rsidR="4C20BA9C" w:rsidRPr="047C8572">
              <w:rPr>
                <w:rFonts w:ascii="Calibri Light" w:eastAsia="Calibri Light" w:hAnsi="Calibri Light" w:cs="Calibri Light"/>
                <w:sz w:val="20"/>
                <w:szCs w:val="20"/>
              </w:rPr>
              <w:t>e</w:t>
            </w:r>
            <w:r w:rsidR="675FEEDD" w:rsidRPr="047C8572">
              <w:rPr>
                <w:rFonts w:ascii="Calibri Light" w:eastAsia="Calibri Light" w:hAnsi="Calibri Light" w:cs="Calibri Light"/>
                <w:sz w:val="20"/>
                <w:szCs w:val="20"/>
              </w:rPr>
              <w:t xml:space="preserve"> the processors’ procurement lead time from </w:t>
            </w:r>
            <w:r w:rsidR="4C20BA9C" w:rsidRPr="047C8572">
              <w:rPr>
                <w:rFonts w:ascii="Calibri Light" w:eastAsia="Calibri Light" w:hAnsi="Calibri Light" w:cs="Calibri Light"/>
                <w:sz w:val="20"/>
                <w:szCs w:val="20"/>
              </w:rPr>
              <w:t>up to</w:t>
            </w:r>
            <w:r w:rsidR="2CF516C4" w:rsidRPr="047C8572">
              <w:rPr>
                <w:rFonts w:ascii="Calibri Light" w:eastAsia="Calibri Light" w:hAnsi="Calibri Light" w:cs="Calibri Light"/>
                <w:sz w:val="20"/>
                <w:szCs w:val="20"/>
              </w:rPr>
              <w:t xml:space="preserve"> </w:t>
            </w:r>
            <w:r w:rsidR="675FEEDD" w:rsidRPr="047C8572">
              <w:rPr>
                <w:rFonts w:ascii="Calibri Light" w:eastAsia="Calibri Light" w:hAnsi="Calibri Light" w:cs="Calibri Light"/>
                <w:sz w:val="20"/>
                <w:szCs w:val="20"/>
              </w:rPr>
              <w:t>three days, to as little as one day or less.</w:t>
            </w:r>
          </w:p>
        </w:tc>
      </w:tr>
      <w:tr w:rsidR="00E0125A" w14:paraId="50CC088B" w14:textId="77777777" w:rsidTr="047C8572">
        <w:trPr>
          <w:tblHeader/>
        </w:trPr>
        <w:tc>
          <w:tcPr>
            <w:tcW w:w="4380" w:type="dxa"/>
          </w:tcPr>
          <w:p w14:paraId="7B83C5BC" w14:textId="0A1C806E" w:rsidR="00E0125A" w:rsidRPr="00E0125A" w:rsidRDefault="4DE6A433" w:rsidP="008F08B0">
            <w:pPr>
              <w:spacing w:before="60"/>
              <w:ind w:left="96"/>
              <w:rPr>
                <w:sz w:val="20"/>
                <w:szCs w:val="20"/>
              </w:rPr>
            </w:pPr>
            <w:r w:rsidRPr="047C8572">
              <w:rPr>
                <w:sz w:val="20"/>
                <w:szCs w:val="20"/>
              </w:rPr>
              <w:lastRenderedPageBreak/>
              <w:t xml:space="preserve">Number of Awards in each intake focused on skills supporting health systems and services, economic </w:t>
            </w:r>
            <w:proofErr w:type="gramStart"/>
            <w:r w:rsidRPr="047C8572">
              <w:rPr>
                <w:sz w:val="20"/>
                <w:szCs w:val="20"/>
              </w:rPr>
              <w:t>management</w:t>
            </w:r>
            <w:proofErr w:type="gramEnd"/>
            <w:r w:rsidRPr="047C8572">
              <w:rPr>
                <w:sz w:val="20"/>
                <w:szCs w:val="20"/>
              </w:rPr>
              <w:t xml:space="preserve"> and public sector reform</w:t>
            </w:r>
          </w:p>
        </w:tc>
        <w:tc>
          <w:tcPr>
            <w:tcW w:w="6156" w:type="dxa"/>
          </w:tcPr>
          <w:p w14:paraId="0945AB5F" w14:textId="1E7DD50C" w:rsidR="00E0125A" w:rsidRDefault="336A1F79" w:rsidP="008F08B0">
            <w:pPr>
              <w:spacing w:before="60"/>
              <w:ind w:left="96"/>
              <w:rPr>
                <w:sz w:val="20"/>
                <w:szCs w:val="20"/>
              </w:rPr>
            </w:pPr>
            <w:r w:rsidRPr="047C8572">
              <w:rPr>
                <w:sz w:val="20"/>
                <w:szCs w:val="20"/>
              </w:rPr>
              <w:t>Twenty-three Australia Awards (14 women) offered for Intake 2022 in the priority areas of: health systems and services (19), economi</w:t>
            </w:r>
            <w:r w:rsidR="40F65904" w:rsidRPr="047C8572">
              <w:rPr>
                <w:sz w:val="20"/>
                <w:szCs w:val="20"/>
              </w:rPr>
              <w:t>c management (1) and public sector reform (3).</w:t>
            </w:r>
          </w:p>
        </w:tc>
      </w:tr>
    </w:tbl>
    <w:p w14:paraId="2F13E6BA" w14:textId="77777777" w:rsidR="008A6BB7" w:rsidRDefault="008A6BB7" w:rsidP="00A513D8">
      <w:pPr>
        <w:pStyle w:val="Heading2"/>
        <w:sectPr w:rsidR="008A6BB7" w:rsidSect="0032162A">
          <w:pgSz w:w="11906" w:h="16838" w:code="9"/>
          <w:pgMar w:top="1559" w:right="680" w:bottom="1418" w:left="680" w:header="567" w:footer="340" w:gutter="0"/>
          <w:cols w:space="397"/>
          <w:docGrid w:linePitch="360"/>
        </w:sectPr>
      </w:pPr>
    </w:p>
    <w:p w14:paraId="06ABEE3D" w14:textId="62B75A66" w:rsidR="00D1231A" w:rsidRDefault="00121DDD" w:rsidP="00A513D8">
      <w:pPr>
        <w:pStyle w:val="Heading2"/>
      </w:pPr>
      <w:r>
        <w:lastRenderedPageBreak/>
        <w:t>Annex 2</w:t>
      </w:r>
      <w:r w:rsidR="00D1231A">
        <w:t>: Investment Performance</w:t>
      </w:r>
      <w:r w:rsidR="000F78C9">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992"/>
        <w:gridCol w:w="1418"/>
      </w:tblGrid>
      <w:tr w:rsidR="004C3781" w:rsidRPr="00AF18F4" w14:paraId="69FD1E5F" w14:textId="77777777" w:rsidTr="00661A4E">
        <w:trPr>
          <w:cnfStyle w:val="100000000000" w:firstRow="1" w:lastRow="0" w:firstColumn="0" w:lastColumn="0" w:oddVBand="0" w:evenVBand="0" w:oddHBand="0" w:evenHBand="0" w:firstRowFirstColumn="0" w:firstRowLastColumn="0" w:lastRowFirstColumn="0" w:lastRowLastColumn="0"/>
          <w:trHeight w:hRule="exact" w:val="550"/>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vAlign w:val="center"/>
            <w:hideMark/>
          </w:tcPr>
          <w:p w14:paraId="287BF78E" w14:textId="77777777" w:rsidR="00AC551D" w:rsidRPr="005736BB" w:rsidRDefault="00AC551D" w:rsidP="00AF18F4">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134" w:type="dxa"/>
            <w:shd w:val="clear" w:color="auto" w:fill="A2DCD1" w:themeFill="accent1" w:themeFillTint="99"/>
            <w:noWrap/>
            <w:vAlign w:val="center"/>
            <w:hideMark/>
          </w:tcPr>
          <w:p w14:paraId="36D4C187" w14:textId="77777777" w:rsidR="00AC551D" w:rsidRPr="005736BB"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276" w:type="dxa"/>
            <w:shd w:val="clear" w:color="auto" w:fill="A2DCD1" w:themeFill="accent1" w:themeFillTint="99"/>
            <w:noWrap/>
            <w:vAlign w:val="center"/>
            <w:hideMark/>
          </w:tcPr>
          <w:p w14:paraId="1B1121B3" w14:textId="77777777"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992" w:type="dxa"/>
            <w:shd w:val="clear" w:color="auto" w:fill="A2DCD1" w:themeFill="accent1" w:themeFillTint="99"/>
            <w:noWrap/>
            <w:vAlign w:val="center"/>
            <w:hideMark/>
          </w:tcPr>
          <w:p w14:paraId="7B4698B4" w14:textId="77777777"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1418" w:type="dxa"/>
            <w:shd w:val="clear" w:color="auto" w:fill="A2DCD1" w:themeFill="accent1" w:themeFillTint="99"/>
            <w:noWrap/>
            <w:vAlign w:val="center"/>
            <w:hideMark/>
          </w:tcPr>
          <w:p w14:paraId="5E5D38EF" w14:textId="4CC6B5C6"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4C3781" w:rsidRPr="00AF18F4" w14:paraId="1867487D" w14:textId="77777777" w:rsidTr="00661A4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right w:val="single" w:sz="4" w:space="0" w:color="65C5B4" w:themeColor="accent1"/>
            </w:tcBorders>
            <w:shd w:val="clear" w:color="auto" w:fill="F2F2F2" w:themeFill="background1" w:themeFillShade="F2"/>
            <w:vAlign w:val="center"/>
            <w:hideMark/>
          </w:tcPr>
          <w:p w14:paraId="2E831155" w14:textId="6B89B4FF" w:rsidR="00AC551D" w:rsidRPr="002B714F" w:rsidRDefault="138F0E44" w:rsidP="002B714F">
            <w:pPr>
              <w:spacing w:before="0" w:after="0" w:line="240" w:lineRule="auto"/>
              <w:rPr>
                <w:rFonts w:asciiTheme="minorHAnsi" w:eastAsia="Times New Roman" w:hAnsiTheme="minorHAnsi" w:cstheme="minorHAnsi"/>
                <w:b/>
                <w:bCs/>
                <w:sz w:val="20"/>
                <w:szCs w:val="20"/>
                <w:lang w:eastAsia="en-AU"/>
              </w:rPr>
            </w:pPr>
            <w:r w:rsidRPr="002B714F">
              <w:rPr>
                <w:rFonts w:asciiTheme="minorHAnsi" w:eastAsia="Times New Roman" w:hAnsiTheme="minorHAnsi" w:cstheme="minorHAnsi"/>
                <w:b/>
                <w:bCs/>
                <w:color w:val="404040" w:themeColor="text1" w:themeTint="BF"/>
                <w:sz w:val="20"/>
                <w:szCs w:val="20"/>
                <w:lang w:eastAsia="en-AU"/>
              </w:rPr>
              <w:t>Fiji Program Support Facility</w:t>
            </w:r>
          </w:p>
        </w:tc>
        <w:tc>
          <w:tcPr>
            <w:tcW w:w="1134" w:type="dxa"/>
            <w:tcBorders>
              <w:left w:val="single" w:sz="4" w:space="0" w:color="65C5B4" w:themeColor="accent1"/>
              <w:bottom w:val="nil"/>
              <w:right w:val="single" w:sz="4" w:space="0" w:color="65C5B4" w:themeColor="accent1"/>
            </w:tcBorders>
            <w:shd w:val="clear" w:color="auto" w:fill="F2F2F2" w:themeFill="background1" w:themeFillShade="F2"/>
            <w:vAlign w:val="center"/>
            <w:hideMark/>
          </w:tcPr>
          <w:p w14:paraId="753CB627" w14:textId="0949A421" w:rsidR="00AC551D" w:rsidRPr="00CA5021" w:rsidRDefault="00AC551D" w:rsidP="002B714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2</w:t>
            </w:r>
          </w:p>
        </w:tc>
        <w:tc>
          <w:tcPr>
            <w:tcW w:w="1276" w:type="dxa"/>
            <w:tcBorders>
              <w:left w:val="single" w:sz="4" w:space="0" w:color="65C5B4" w:themeColor="accent1"/>
              <w:bottom w:val="nil"/>
              <w:right w:val="single" w:sz="4" w:space="0" w:color="65C5B4" w:themeColor="accent1"/>
            </w:tcBorders>
            <w:shd w:val="clear" w:color="auto" w:fill="F2F2F2" w:themeFill="background1" w:themeFillShade="F2"/>
            <w:noWrap/>
            <w:vAlign w:val="center"/>
            <w:hideMark/>
          </w:tcPr>
          <w:p w14:paraId="3524F2ED" w14:textId="77777777" w:rsidR="00AC551D" w:rsidRPr="00CA5021" w:rsidRDefault="00AC551D" w:rsidP="002B714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4</w:t>
            </w:r>
          </w:p>
        </w:tc>
        <w:tc>
          <w:tcPr>
            <w:tcW w:w="992" w:type="dxa"/>
            <w:tcBorders>
              <w:left w:val="single" w:sz="4" w:space="0" w:color="65C5B4" w:themeColor="accent1"/>
              <w:bottom w:val="nil"/>
              <w:right w:val="single" w:sz="4" w:space="0" w:color="65C5B4" w:themeColor="accent1"/>
            </w:tcBorders>
            <w:shd w:val="clear" w:color="auto" w:fill="F2F2F2" w:themeFill="background1" w:themeFillShade="F2"/>
            <w:noWrap/>
            <w:vAlign w:val="center"/>
            <w:hideMark/>
          </w:tcPr>
          <w:p w14:paraId="65883235" w14:textId="351B3C52" w:rsidR="00AC551D" w:rsidRPr="00CA5021" w:rsidRDefault="5699E5C6" w:rsidP="002B714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en-AU"/>
              </w:rPr>
            </w:pPr>
            <w:r w:rsidRPr="57FCC3D3">
              <w:rPr>
                <w:rFonts w:asciiTheme="minorHAnsi" w:eastAsia="Times New Roman" w:hAnsiTheme="minorHAnsi"/>
                <w:color w:val="000000" w:themeColor="text1"/>
                <w:sz w:val="20"/>
                <w:szCs w:val="20"/>
                <w:lang w:eastAsia="en-AU"/>
              </w:rPr>
              <w:t>4</w:t>
            </w:r>
          </w:p>
        </w:tc>
        <w:tc>
          <w:tcPr>
            <w:tcW w:w="1418" w:type="dxa"/>
            <w:tcBorders>
              <w:left w:val="single" w:sz="4" w:space="0" w:color="65C5B4" w:themeColor="accent1"/>
              <w:bottom w:val="nil"/>
            </w:tcBorders>
            <w:shd w:val="clear" w:color="auto" w:fill="F2F2F2" w:themeFill="background1" w:themeFillShade="F2"/>
            <w:noWrap/>
            <w:vAlign w:val="center"/>
            <w:hideMark/>
          </w:tcPr>
          <w:p w14:paraId="34FAF95D" w14:textId="22FC9769" w:rsidR="00AC551D" w:rsidRPr="00CA5021" w:rsidRDefault="5699E5C6"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color w:val="000000" w:themeColor="text1"/>
                <w:sz w:val="20"/>
                <w:szCs w:val="20"/>
                <w:lang w:eastAsia="en-AU"/>
              </w:rPr>
              <w:t>4</w:t>
            </w:r>
          </w:p>
        </w:tc>
      </w:tr>
      <w:tr w:rsidR="004C3781" w:rsidRPr="00AF18F4" w14:paraId="3F9940CA" w14:textId="77777777" w:rsidTr="00661A4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right w:val="single" w:sz="4" w:space="0" w:color="65C5B4" w:themeColor="accent1"/>
            </w:tcBorders>
            <w:shd w:val="clear" w:color="auto" w:fill="F2F2F2" w:themeFill="background1" w:themeFillShade="F2"/>
            <w:vAlign w:val="center"/>
            <w:hideMark/>
          </w:tcPr>
          <w:p w14:paraId="4D54A0A0" w14:textId="5AE65D7F" w:rsidR="00AC551D" w:rsidRPr="002B714F" w:rsidRDefault="66FED252" w:rsidP="008A3BB9">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sidRPr="002B714F">
              <w:rPr>
                <w:rFonts w:asciiTheme="minorHAnsi" w:eastAsia="Times New Roman" w:hAnsiTheme="minorHAnsi" w:cstheme="minorHAnsi"/>
                <w:color w:val="404040" w:themeColor="text1" w:themeTint="BF"/>
                <w:sz w:val="20"/>
                <w:szCs w:val="20"/>
                <w:lang w:val="en-AU" w:eastAsia="en-AU"/>
              </w:rPr>
              <w:t>Investment d</w:t>
            </w:r>
            <w:r w:rsidR="752A1AF8" w:rsidRPr="002B714F">
              <w:rPr>
                <w:rFonts w:asciiTheme="minorHAnsi" w:eastAsia="Times New Roman" w:hAnsiTheme="minorHAnsi" w:cstheme="minorHAnsi"/>
                <w:color w:val="404040" w:themeColor="text1" w:themeTint="BF"/>
                <w:sz w:val="20"/>
                <w:szCs w:val="20"/>
                <w:lang w:val="en-AU" w:eastAsia="en-AU"/>
              </w:rPr>
              <w:t>uration: 20</w:t>
            </w:r>
            <w:r w:rsidR="3F018A40" w:rsidRPr="002B714F">
              <w:rPr>
                <w:rFonts w:asciiTheme="minorHAnsi" w:eastAsia="Times New Roman" w:hAnsiTheme="minorHAnsi" w:cstheme="minorHAnsi"/>
                <w:color w:val="404040" w:themeColor="text1" w:themeTint="BF"/>
                <w:sz w:val="20"/>
                <w:szCs w:val="20"/>
                <w:lang w:val="en-AU" w:eastAsia="en-AU"/>
              </w:rPr>
              <w:t>16</w:t>
            </w:r>
            <w:r w:rsidR="752A1AF8" w:rsidRPr="002B714F">
              <w:rPr>
                <w:rFonts w:asciiTheme="minorHAnsi" w:eastAsia="Times New Roman" w:hAnsiTheme="minorHAnsi" w:cstheme="minorHAnsi"/>
                <w:color w:val="404040" w:themeColor="text1" w:themeTint="BF"/>
                <w:sz w:val="20"/>
                <w:szCs w:val="20"/>
                <w:lang w:val="en-AU" w:eastAsia="en-AU"/>
              </w:rPr>
              <w:t>-2</w:t>
            </w:r>
            <w:r w:rsidR="1BF4EFA8" w:rsidRPr="002B714F">
              <w:rPr>
                <w:rFonts w:asciiTheme="minorHAnsi" w:eastAsia="Times New Roman" w:hAnsiTheme="minorHAnsi" w:cstheme="minorHAnsi"/>
                <w:color w:val="404040" w:themeColor="text1" w:themeTint="BF"/>
                <w:sz w:val="20"/>
                <w:szCs w:val="20"/>
                <w:lang w:val="en-AU" w:eastAsia="en-AU"/>
              </w:rPr>
              <w:t>5</w:t>
            </w:r>
            <w:r w:rsidR="752A1AF8" w:rsidRPr="002B714F">
              <w:rPr>
                <w:rFonts w:asciiTheme="minorHAnsi" w:eastAsia="Times New Roman" w:hAnsiTheme="minorHAnsi" w:cstheme="minorHAnsi"/>
                <w:color w:val="404040" w:themeColor="text1" w:themeTint="BF"/>
                <w:sz w:val="20"/>
                <w:szCs w:val="20"/>
                <w:lang w:val="en-AU" w:eastAsia="en-AU"/>
              </w:rPr>
              <w:t>; Budget: $</w:t>
            </w:r>
            <w:r w:rsidR="00314F35" w:rsidRPr="002B714F">
              <w:rPr>
                <w:rFonts w:asciiTheme="minorHAnsi" w:eastAsia="Times New Roman" w:hAnsiTheme="minorHAnsi" w:cstheme="minorHAnsi"/>
                <w:color w:val="404040" w:themeColor="text1" w:themeTint="BF"/>
                <w:sz w:val="20"/>
                <w:szCs w:val="20"/>
                <w:lang w:val="en-AU" w:eastAsia="en-AU"/>
              </w:rPr>
              <w:t>1</w:t>
            </w:r>
            <w:r w:rsidR="752A1AF8" w:rsidRPr="002B714F">
              <w:rPr>
                <w:rFonts w:asciiTheme="minorHAnsi" w:eastAsia="Times New Roman" w:hAnsiTheme="minorHAnsi" w:cstheme="minorHAnsi"/>
                <w:color w:val="404040" w:themeColor="text1" w:themeTint="BF"/>
                <w:sz w:val="20"/>
                <w:szCs w:val="20"/>
                <w:lang w:val="en-AU" w:eastAsia="en-AU"/>
              </w:rPr>
              <w:t>5</w:t>
            </w:r>
            <w:r w:rsidR="75ACE899" w:rsidRPr="002B714F">
              <w:rPr>
                <w:rFonts w:asciiTheme="minorHAnsi" w:eastAsia="Times New Roman" w:hAnsiTheme="minorHAnsi" w:cstheme="minorHAnsi"/>
                <w:color w:val="404040" w:themeColor="text1" w:themeTint="BF"/>
                <w:sz w:val="20"/>
                <w:szCs w:val="20"/>
                <w:lang w:val="en-AU" w:eastAsia="en-AU"/>
              </w:rPr>
              <w:t>4</w:t>
            </w:r>
            <w:r w:rsidR="752A1AF8" w:rsidRPr="002B714F">
              <w:rPr>
                <w:rFonts w:asciiTheme="minorHAnsi" w:eastAsia="Times New Roman" w:hAnsiTheme="minorHAnsi" w:cstheme="minorHAnsi"/>
                <w:color w:val="404040" w:themeColor="text1" w:themeTint="BF"/>
                <w:sz w:val="20"/>
                <w:szCs w:val="20"/>
                <w:lang w:val="en-AU" w:eastAsia="en-AU"/>
              </w:rPr>
              <w:t>.</w:t>
            </w:r>
            <w:r w:rsidR="3B926F22" w:rsidRPr="002B714F">
              <w:rPr>
                <w:rFonts w:asciiTheme="minorHAnsi" w:eastAsia="Times New Roman" w:hAnsiTheme="minorHAnsi" w:cstheme="minorHAnsi"/>
                <w:color w:val="404040" w:themeColor="text1" w:themeTint="BF"/>
                <w:sz w:val="20"/>
                <w:szCs w:val="20"/>
                <w:lang w:val="en-AU" w:eastAsia="en-AU"/>
              </w:rPr>
              <w:t>4</w:t>
            </w:r>
            <w:r w:rsidR="752A1AF8" w:rsidRPr="002B714F">
              <w:rPr>
                <w:rFonts w:asciiTheme="minorHAnsi" w:eastAsia="Times New Roman" w:hAnsiTheme="minorHAnsi" w:cstheme="minorHAnsi"/>
                <w:color w:val="404040" w:themeColor="text1" w:themeTint="BF"/>
                <w:sz w:val="20"/>
                <w:szCs w:val="20"/>
                <w:lang w:val="en-AU" w:eastAsia="en-AU"/>
              </w:rPr>
              <w:t xml:space="preserve">m </w:t>
            </w:r>
          </w:p>
        </w:tc>
        <w:tc>
          <w:tcPr>
            <w:tcW w:w="1134" w:type="dxa"/>
            <w:tcBorders>
              <w:top w:val="nil"/>
              <w:left w:val="single" w:sz="4" w:space="0" w:color="65C5B4" w:themeColor="accent1"/>
              <w:right w:val="single" w:sz="4" w:space="0" w:color="65C5B4" w:themeColor="accent1"/>
            </w:tcBorders>
            <w:shd w:val="clear" w:color="auto" w:fill="F2F2F2" w:themeFill="background1" w:themeFillShade="F2"/>
            <w:vAlign w:val="center"/>
            <w:hideMark/>
          </w:tcPr>
          <w:p w14:paraId="42A30353" w14:textId="692A36B1" w:rsidR="00AC551D" w:rsidRPr="00CA5021" w:rsidRDefault="00AC551D" w:rsidP="002B714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1</w:t>
            </w:r>
          </w:p>
        </w:tc>
        <w:tc>
          <w:tcPr>
            <w:tcW w:w="1276" w:type="dxa"/>
            <w:tcBorders>
              <w:top w:val="nil"/>
              <w:left w:val="single" w:sz="4" w:space="0" w:color="65C5B4" w:themeColor="accent1"/>
              <w:right w:val="single" w:sz="4" w:space="0" w:color="65C5B4" w:themeColor="accent1"/>
            </w:tcBorders>
            <w:shd w:val="clear" w:color="auto" w:fill="F2F2F2" w:themeFill="background1" w:themeFillShade="F2"/>
            <w:noWrap/>
            <w:vAlign w:val="center"/>
            <w:hideMark/>
          </w:tcPr>
          <w:p w14:paraId="02C361E5" w14:textId="77777777" w:rsidR="00AC551D" w:rsidRPr="00CA5021" w:rsidRDefault="00AC551D" w:rsidP="002B714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4</w:t>
            </w:r>
          </w:p>
        </w:tc>
        <w:tc>
          <w:tcPr>
            <w:tcW w:w="992" w:type="dxa"/>
            <w:tcBorders>
              <w:top w:val="nil"/>
              <w:left w:val="single" w:sz="4" w:space="0" w:color="65C5B4" w:themeColor="accent1"/>
              <w:right w:val="single" w:sz="4" w:space="0" w:color="65C5B4" w:themeColor="accent1"/>
            </w:tcBorders>
            <w:shd w:val="clear" w:color="auto" w:fill="F2F2F2" w:themeFill="background1" w:themeFillShade="F2"/>
            <w:noWrap/>
            <w:vAlign w:val="center"/>
            <w:hideMark/>
          </w:tcPr>
          <w:p w14:paraId="1C8F4065" w14:textId="77777777" w:rsidR="00AC551D" w:rsidRPr="00CA5021" w:rsidRDefault="00AC551D" w:rsidP="002B714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4</w:t>
            </w:r>
          </w:p>
        </w:tc>
        <w:tc>
          <w:tcPr>
            <w:tcW w:w="1418" w:type="dxa"/>
            <w:tcBorders>
              <w:top w:val="nil"/>
              <w:left w:val="single" w:sz="4" w:space="0" w:color="65C5B4" w:themeColor="accent1"/>
            </w:tcBorders>
            <w:shd w:val="clear" w:color="auto" w:fill="F2F2F2" w:themeFill="background1" w:themeFillShade="F2"/>
            <w:noWrap/>
            <w:vAlign w:val="center"/>
            <w:hideMark/>
          </w:tcPr>
          <w:p w14:paraId="3EA630FF" w14:textId="749B8225" w:rsidR="00AC551D" w:rsidRPr="00CA5021" w:rsidRDefault="2BCCE8F1" w:rsidP="002B714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en-AU"/>
              </w:rPr>
            </w:pPr>
            <w:r w:rsidRPr="57FCC3D3">
              <w:rPr>
                <w:rFonts w:asciiTheme="minorHAnsi" w:eastAsia="Times New Roman" w:hAnsiTheme="minorHAnsi"/>
                <w:color w:val="000000" w:themeColor="text1"/>
                <w:sz w:val="20"/>
                <w:szCs w:val="20"/>
                <w:lang w:eastAsia="en-AU"/>
              </w:rPr>
              <w:t>3</w:t>
            </w:r>
          </w:p>
        </w:tc>
      </w:tr>
      <w:tr w:rsidR="004C3781" w14:paraId="3BAF7FAC" w14:textId="77777777" w:rsidTr="00661A4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right w:val="single" w:sz="4" w:space="0" w:color="65C5B4" w:themeColor="accent1"/>
            </w:tcBorders>
            <w:shd w:val="clear" w:color="auto" w:fill="C1E7E0" w:themeFill="accent1" w:themeFillTint="66"/>
            <w:vAlign w:val="center"/>
            <w:hideMark/>
          </w:tcPr>
          <w:p w14:paraId="788F1C7D" w14:textId="7F0F4435" w:rsidR="02AE4729" w:rsidRPr="002B714F" w:rsidRDefault="02AE4729" w:rsidP="002B714F">
            <w:pPr>
              <w:spacing w:before="0" w:after="0" w:line="240" w:lineRule="auto"/>
              <w:rPr>
                <w:rFonts w:asciiTheme="minorHAnsi" w:eastAsia="Times New Roman" w:hAnsiTheme="minorHAnsi" w:cstheme="minorHAnsi"/>
                <w:b/>
                <w:bCs/>
                <w:sz w:val="20"/>
                <w:szCs w:val="20"/>
                <w:lang w:eastAsia="en-AU"/>
              </w:rPr>
            </w:pPr>
            <w:r w:rsidRPr="002B714F">
              <w:rPr>
                <w:rFonts w:asciiTheme="minorHAnsi" w:eastAsia="Times New Roman" w:hAnsiTheme="minorHAnsi" w:cstheme="minorHAnsi"/>
                <w:b/>
                <w:bCs/>
                <w:color w:val="404040" w:themeColor="text1" w:themeTint="BF"/>
                <w:sz w:val="20"/>
                <w:szCs w:val="20"/>
                <w:lang w:eastAsia="en-AU"/>
              </w:rPr>
              <w:t>Fiji Program Support Facility: Fiji Health Program</w:t>
            </w:r>
          </w:p>
        </w:tc>
        <w:tc>
          <w:tcPr>
            <w:tcW w:w="1134" w:type="dxa"/>
            <w:tcBorders>
              <w:left w:val="single" w:sz="4" w:space="0" w:color="65C5B4" w:themeColor="accent1"/>
              <w:bottom w:val="nil"/>
              <w:right w:val="single" w:sz="4" w:space="0" w:color="65C5B4" w:themeColor="accent1"/>
            </w:tcBorders>
            <w:shd w:val="clear" w:color="auto" w:fill="C1E7E0" w:themeFill="accent1" w:themeFillTint="66"/>
            <w:vAlign w:val="center"/>
            <w:hideMark/>
          </w:tcPr>
          <w:p w14:paraId="65C069AD" w14:textId="050D13C1" w:rsidR="02AE4729" w:rsidRDefault="02AE4729"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sz w:val="20"/>
                <w:szCs w:val="20"/>
                <w:lang w:eastAsia="en-AU"/>
              </w:rPr>
              <w:t>2022</w:t>
            </w:r>
          </w:p>
        </w:tc>
        <w:tc>
          <w:tcPr>
            <w:tcW w:w="1276" w:type="dxa"/>
            <w:tcBorders>
              <w:left w:val="single" w:sz="4" w:space="0" w:color="65C5B4" w:themeColor="accent1"/>
              <w:bottom w:val="nil"/>
              <w:right w:val="single" w:sz="4" w:space="0" w:color="65C5B4" w:themeColor="accent1"/>
            </w:tcBorders>
            <w:shd w:val="clear" w:color="auto" w:fill="C1E7E0" w:themeFill="accent1" w:themeFillTint="66"/>
            <w:noWrap/>
            <w:vAlign w:val="center"/>
            <w:hideMark/>
          </w:tcPr>
          <w:p w14:paraId="2C296913" w14:textId="4BAA0300" w:rsidR="178E2013" w:rsidRDefault="178E2013"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sz w:val="20"/>
                <w:szCs w:val="20"/>
                <w:lang w:eastAsia="en-AU"/>
              </w:rPr>
              <w:t>4</w:t>
            </w:r>
          </w:p>
        </w:tc>
        <w:tc>
          <w:tcPr>
            <w:tcW w:w="992" w:type="dxa"/>
            <w:tcBorders>
              <w:left w:val="single" w:sz="4" w:space="0" w:color="65C5B4" w:themeColor="accent1"/>
              <w:bottom w:val="nil"/>
              <w:right w:val="single" w:sz="4" w:space="0" w:color="65C5B4" w:themeColor="accent1"/>
            </w:tcBorders>
            <w:shd w:val="clear" w:color="auto" w:fill="C1E7E0" w:themeFill="accent1" w:themeFillTint="66"/>
            <w:noWrap/>
            <w:vAlign w:val="center"/>
            <w:hideMark/>
          </w:tcPr>
          <w:p w14:paraId="00DA5DDF" w14:textId="74D0E71B" w:rsidR="178E2013" w:rsidRDefault="178E2013"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sz w:val="20"/>
                <w:szCs w:val="20"/>
                <w:lang w:eastAsia="en-AU"/>
              </w:rPr>
              <w:t>4</w:t>
            </w:r>
          </w:p>
        </w:tc>
        <w:tc>
          <w:tcPr>
            <w:tcW w:w="1418" w:type="dxa"/>
            <w:tcBorders>
              <w:left w:val="single" w:sz="4" w:space="0" w:color="65C5B4" w:themeColor="accent1"/>
              <w:bottom w:val="nil"/>
            </w:tcBorders>
            <w:shd w:val="clear" w:color="auto" w:fill="C1E7E0" w:themeFill="accent1" w:themeFillTint="66"/>
            <w:noWrap/>
            <w:vAlign w:val="center"/>
            <w:hideMark/>
          </w:tcPr>
          <w:p w14:paraId="100E1E77" w14:textId="5BA68EA1" w:rsidR="178E2013" w:rsidRDefault="178E2013"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sz w:val="20"/>
                <w:szCs w:val="20"/>
                <w:lang w:eastAsia="en-AU"/>
              </w:rPr>
              <w:t>4</w:t>
            </w:r>
          </w:p>
        </w:tc>
      </w:tr>
      <w:tr w:rsidR="00D43444" w14:paraId="640AA1AD" w14:textId="77777777" w:rsidTr="00661A4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right w:val="single" w:sz="4" w:space="0" w:color="65C5B4" w:themeColor="accent1"/>
            </w:tcBorders>
            <w:shd w:val="clear" w:color="auto" w:fill="C1E7E0" w:themeFill="accent1" w:themeFillTint="66"/>
            <w:vAlign w:val="center"/>
            <w:hideMark/>
          </w:tcPr>
          <w:p w14:paraId="56E5F0A9" w14:textId="53EF7D41" w:rsidR="58E93AE1" w:rsidRPr="002B714F" w:rsidRDefault="58E93AE1" w:rsidP="008A3BB9">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2B714F">
              <w:rPr>
                <w:rFonts w:asciiTheme="minorHAnsi" w:eastAsia="Times New Roman" w:hAnsiTheme="minorHAnsi" w:cstheme="minorHAnsi"/>
                <w:sz w:val="20"/>
                <w:szCs w:val="20"/>
                <w:lang w:val="en-AU" w:eastAsia="en-AU"/>
              </w:rPr>
              <w:t>Investment duration: 2017-24; Budget: $</w:t>
            </w:r>
            <w:r w:rsidR="765C6089" w:rsidRPr="002B714F">
              <w:rPr>
                <w:rFonts w:asciiTheme="minorHAnsi" w:eastAsia="Times New Roman" w:hAnsiTheme="minorHAnsi" w:cstheme="minorHAnsi"/>
                <w:sz w:val="20"/>
                <w:szCs w:val="20"/>
                <w:lang w:val="en-AU" w:eastAsia="en-AU"/>
              </w:rPr>
              <w:t>35.0m</w:t>
            </w:r>
          </w:p>
        </w:tc>
        <w:tc>
          <w:tcPr>
            <w:tcW w:w="1134" w:type="dxa"/>
            <w:tcBorders>
              <w:top w:val="nil"/>
              <w:left w:val="single" w:sz="4" w:space="0" w:color="65C5B4" w:themeColor="accent1"/>
              <w:right w:val="single" w:sz="4" w:space="0" w:color="65C5B4" w:themeColor="accent1"/>
            </w:tcBorders>
            <w:shd w:val="clear" w:color="auto" w:fill="C1E7E0" w:themeFill="accent1" w:themeFillTint="66"/>
            <w:vAlign w:val="center"/>
            <w:hideMark/>
          </w:tcPr>
          <w:p w14:paraId="31C8931B" w14:textId="352545E3" w:rsidR="02AE4729" w:rsidRDefault="02AE4729"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sz w:val="20"/>
                <w:szCs w:val="20"/>
                <w:lang w:eastAsia="en-AU"/>
              </w:rPr>
              <w:t>2021</w:t>
            </w:r>
          </w:p>
        </w:tc>
        <w:tc>
          <w:tcPr>
            <w:tcW w:w="1276" w:type="dxa"/>
            <w:tcBorders>
              <w:top w:val="nil"/>
              <w:left w:val="single" w:sz="4" w:space="0" w:color="65C5B4" w:themeColor="accent1"/>
              <w:right w:val="single" w:sz="4" w:space="0" w:color="65C5B4" w:themeColor="accent1"/>
            </w:tcBorders>
            <w:shd w:val="clear" w:color="auto" w:fill="C1E7E0" w:themeFill="accent1" w:themeFillTint="66"/>
            <w:noWrap/>
            <w:vAlign w:val="center"/>
            <w:hideMark/>
          </w:tcPr>
          <w:p w14:paraId="7B169F93" w14:textId="72992595" w:rsidR="0D85338D" w:rsidRDefault="0D85338D"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sz w:val="20"/>
                <w:szCs w:val="20"/>
                <w:lang w:eastAsia="en-AU"/>
              </w:rPr>
              <w:t>4</w:t>
            </w:r>
          </w:p>
        </w:tc>
        <w:tc>
          <w:tcPr>
            <w:tcW w:w="992" w:type="dxa"/>
            <w:tcBorders>
              <w:top w:val="nil"/>
              <w:left w:val="single" w:sz="4" w:space="0" w:color="65C5B4" w:themeColor="accent1"/>
              <w:right w:val="single" w:sz="4" w:space="0" w:color="65C5B4" w:themeColor="accent1"/>
            </w:tcBorders>
            <w:shd w:val="clear" w:color="auto" w:fill="C1E7E0" w:themeFill="accent1" w:themeFillTint="66"/>
            <w:noWrap/>
            <w:vAlign w:val="center"/>
            <w:hideMark/>
          </w:tcPr>
          <w:p w14:paraId="5765F230" w14:textId="041EBEBE" w:rsidR="0D85338D" w:rsidRDefault="0D85338D"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sz w:val="20"/>
                <w:szCs w:val="20"/>
                <w:lang w:eastAsia="en-AU"/>
              </w:rPr>
              <w:t>4</w:t>
            </w:r>
          </w:p>
        </w:tc>
        <w:tc>
          <w:tcPr>
            <w:tcW w:w="1418" w:type="dxa"/>
            <w:tcBorders>
              <w:top w:val="nil"/>
              <w:left w:val="single" w:sz="4" w:space="0" w:color="65C5B4" w:themeColor="accent1"/>
            </w:tcBorders>
            <w:shd w:val="clear" w:color="auto" w:fill="C1E7E0" w:themeFill="accent1" w:themeFillTint="66"/>
            <w:noWrap/>
            <w:vAlign w:val="center"/>
            <w:hideMark/>
          </w:tcPr>
          <w:p w14:paraId="3EC49623" w14:textId="47C810E0" w:rsidR="0D85338D" w:rsidRDefault="0D85338D"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sz w:val="20"/>
                <w:szCs w:val="20"/>
                <w:lang w:eastAsia="en-AU"/>
              </w:rPr>
              <w:t>3</w:t>
            </w:r>
          </w:p>
        </w:tc>
      </w:tr>
      <w:tr w:rsidR="004C3781" w14:paraId="277AE956" w14:textId="77777777" w:rsidTr="00661A4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right w:val="single" w:sz="4" w:space="0" w:color="65C5B4" w:themeColor="accent1"/>
            </w:tcBorders>
            <w:shd w:val="clear" w:color="auto" w:fill="F2F2F2" w:themeFill="background1" w:themeFillShade="F2"/>
            <w:vAlign w:val="center"/>
            <w:hideMark/>
          </w:tcPr>
          <w:p w14:paraId="26C68E3F" w14:textId="7A7DCF0F" w:rsidR="02AE4729" w:rsidRPr="002B714F" w:rsidRDefault="02AE4729" w:rsidP="002B714F">
            <w:pPr>
              <w:spacing w:before="0" w:after="0" w:line="240" w:lineRule="auto"/>
              <w:rPr>
                <w:rFonts w:asciiTheme="minorHAnsi" w:eastAsia="Times New Roman" w:hAnsiTheme="minorHAnsi" w:cstheme="minorHAnsi"/>
                <w:b/>
                <w:bCs/>
                <w:sz w:val="20"/>
                <w:szCs w:val="20"/>
                <w:lang w:eastAsia="en-AU"/>
              </w:rPr>
            </w:pPr>
            <w:r w:rsidRPr="002B714F">
              <w:rPr>
                <w:rFonts w:asciiTheme="minorHAnsi" w:eastAsia="Times New Roman" w:hAnsiTheme="minorHAnsi" w:cstheme="minorHAnsi"/>
                <w:b/>
                <w:bCs/>
                <w:color w:val="404040" w:themeColor="text1" w:themeTint="BF"/>
                <w:sz w:val="20"/>
                <w:szCs w:val="20"/>
                <w:lang w:eastAsia="en-AU"/>
              </w:rPr>
              <w:t>Fiji Program Support Facility: Fiji Education Program</w:t>
            </w:r>
          </w:p>
        </w:tc>
        <w:tc>
          <w:tcPr>
            <w:tcW w:w="1134" w:type="dxa"/>
            <w:tcBorders>
              <w:left w:val="single" w:sz="4" w:space="0" w:color="65C5B4" w:themeColor="accent1"/>
              <w:bottom w:val="nil"/>
              <w:right w:val="single" w:sz="4" w:space="0" w:color="65C5B4" w:themeColor="accent1"/>
            </w:tcBorders>
            <w:shd w:val="clear" w:color="auto" w:fill="F2F2F2" w:themeFill="background1" w:themeFillShade="F2"/>
            <w:vAlign w:val="center"/>
            <w:hideMark/>
          </w:tcPr>
          <w:p w14:paraId="7F1967D4" w14:textId="390517AB" w:rsidR="02AE4729" w:rsidRDefault="02AE4729"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sz w:val="20"/>
                <w:szCs w:val="20"/>
                <w:lang w:eastAsia="en-AU"/>
              </w:rPr>
              <w:t>2022</w:t>
            </w:r>
          </w:p>
        </w:tc>
        <w:tc>
          <w:tcPr>
            <w:tcW w:w="1276" w:type="dxa"/>
            <w:tcBorders>
              <w:left w:val="single" w:sz="4" w:space="0" w:color="65C5B4" w:themeColor="accent1"/>
              <w:bottom w:val="nil"/>
              <w:right w:val="single" w:sz="4" w:space="0" w:color="65C5B4" w:themeColor="accent1"/>
            </w:tcBorders>
            <w:shd w:val="clear" w:color="auto" w:fill="F2F2F2" w:themeFill="background1" w:themeFillShade="F2"/>
            <w:noWrap/>
            <w:vAlign w:val="center"/>
            <w:hideMark/>
          </w:tcPr>
          <w:p w14:paraId="5A824A05" w14:textId="49E7EC8F" w:rsidR="293C7D37" w:rsidRDefault="293C7D37"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sz w:val="20"/>
                <w:szCs w:val="20"/>
                <w:lang w:eastAsia="en-AU"/>
              </w:rPr>
              <w:t>4</w:t>
            </w:r>
          </w:p>
        </w:tc>
        <w:tc>
          <w:tcPr>
            <w:tcW w:w="992" w:type="dxa"/>
            <w:tcBorders>
              <w:left w:val="single" w:sz="4" w:space="0" w:color="65C5B4" w:themeColor="accent1"/>
              <w:bottom w:val="nil"/>
              <w:right w:val="single" w:sz="4" w:space="0" w:color="65C5B4" w:themeColor="accent1"/>
            </w:tcBorders>
            <w:shd w:val="clear" w:color="auto" w:fill="F2F2F2" w:themeFill="background1" w:themeFillShade="F2"/>
            <w:noWrap/>
            <w:vAlign w:val="center"/>
            <w:hideMark/>
          </w:tcPr>
          <w:p w14:paraId="5CEDBC7D" w14:textId="014F5EEA" w:rsidR="293C7D37" w:rsidRDefault="293C7D37"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sz w:val="20"/>
                <w:szCs w:val="20"/>
                <w:lang w:eastAsia="en-AU"/>
              </w:rPr>
              <w:t>3</w:t>
            </w:r>
          </w:p>
        </w:tc>
        <w:tc>
          <w:tcPr>
            <w:tcW w:w="1418" w:type="dxa"/>
            <w:tcBorders>
              <w:left w:val="single" w:sz="4" w:space="0" w:color="65C5B4" w:themeColor="accent1"/>
              <w:bottom w:val="nil"/>
            </w:tcBorders>
            <w:shd w:val="clear" w:color="auto" w:fill="F2F2F2" w:themeFill="background1" w:themeFillShade="F2"/>
            <w:noWrap/>
            <w:vAlign w:val="center"/>
            <w:hideMark/>
          </w:tcPr>
          <w:p w14:paraId="320B2CC4" w14:textId="4D1CE889" w:rsidR="293C7D37" w:rsidRDefault="293C7D37"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sz w:val="20"/>
                <w:szCs w:val="20"/>
                <w:lang w:eastAsia="en-AU"/>
              </w:rPr>
              <w:t>3</w:t>
            </w:r>
          </w:p>
        </w:tc>
      </w:tr>
      <w:tr w:rsidR="004C3781" w14:paraId="09DDF394" w14:textId="77777777" w:rsidTr="00661A4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right w:val="single" w:sz="4" w:space="0" w:color="65C5B4" w:themeColor="accent1"/>
            </w:tcBorders>
            <w:shd w:val="clear" w:color="auto" w:fill="F2F2F2" w:themeFill="background1" w:themeFillShade="F2"/>
            <w:vAlign w:val="center"/>
            <w:hideMark/>
          </w:tcPr>
          <w:p w14:paraId="23166E6D" w14:textId="25A50660" w:rsidR="293C7D37" w:rsidRPr="002B714F" w:rsidRDefault="293C7D37" w:rsidP="008A3BB9">
            <w:pPr>
              <w:suppressAutoHyphens w:val="0"/>
              <w:spacing w:before="0" w:after="0" w:line="240" w:lineRule="auto"/>
              <w:ind w:firstLineChars="100" w:firstLine="200"/>
              <w:rPr>
                <w:rFonts w:asciiTheme="minorHAnsi" w:eastAsia="Times New Roman" w:hAnsiTheme="minorHAnsi" w:cstheme="minorHAnsi"/>
                <w:sz w:val="20"/>
                <w:szCs w:val="20"/>
                <w:lang w:val="en-AU" w:eastAsia="en-AU"/>
              </w:rPr>
            </w:pPr>
            <w:r w:rsidRPr="002B714F">
              <w:rPr>
                <w:rFonts w:asciiTheme="minorHAnsi" w:eastAsia="Times New Roman" w:hAnsiTheme="minorHAnsi" w:cstheme="minorHAnsi"/>
                <w:sz w:val="20"/>
                <w:szCs w:val="20"/>
                <w:lang w:val="en-AU" w:eastAsia="en-AU"/>
              </w:rPr>
              <w:t>Investment duration: 2017-24; Budget: $40.0m</w:t>
            </w:r>
          </w:p>
        </w:tc>
        <w:tc>
          <w:tcPr>
            <w:tcW w:w="1134" w:type="dxa"/>
            <w:tcBorders>
              <w:top w:val="nil"/>
              <w:left w:val="single" w:sz="4" w:space="0" w:color="65C5B4" w:themeColor="accent1"/>
              <w:right w:val="single" w:sz="4" w:space="0" w:color="65C5B4" w:themeColor="accent1"/>
            </w:tcBorders>
            <w:shd w:val="clear" w:color="auto" w:fill="F2F2F2" w:themeFill="background1" w:themeFillShade="F2"/>
            <w:vAlign w:val="center"/>
            <w:hideMark/>
          </w:tcPr>
          <w:p w14:paraId="33ED8625" w14:textId="4C07EC38" w:rsidR="02AE4729" w:rsidRDefault="02AE4729"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sz w:val="20"/>
                <w:szCs w:val="20"/>
                <w:lang w:eastAsia="en-AU"/>
              </w:rPr>
              <w:t>2021</w:t>
            </w:r>
          </w:p>
        </w:tc>
        <w:tc>
          <w:tcPr>
            <w:tcW w:w="1276" w:type="dxa"/>
            <w:tcBorders>
              <w:top w:val="nil"/>
              <w:left w:val="single" w:sz="4" w:space="0" w:color="65C5B4" w:themeColor="accent1"/>
              <w:right w:val="single" w:sz="4" w:space="0" w:color="65C5B4" w:themeColor="accent1"/>
            </w:tcBorders>
            <w:shd w:val="clear" w:color="auto" w:fill="F2F2F2" w:themeFill="background1" w:themeFillShade="F2"/>
            <w:noWrap/>
            <w:vAlign w:val="center"/>
            <w:hideMark/>
          </w:tcPr>
          <w:p w14:paraId="467786E8" w14:textId="40862FC2" w:rsidR="134BB74F" w:rsidRDefault="134BB74F"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sz w:val="20"/>
                <w:szCs w:val="20"/>
                <w:lang w:eastAsia="en-AU"/>
              </w:rPr>
              <w:t>4</w:t>
            </w:r>
          </w:p>
        </w:tc>
        <w:tc>
          <w:tcPr>
            <w:tcW w:w="992" w:type="dxa"/>
            <w:tcBorders>
              <w:top w:val="nil"/>
              <w:left w:val="single" w:sz="4" w:space="0" w:color="65C5B4" w:themeColor="accent1"/>
              <w:right w:val="single" w:sz="4" w:space="0" w:color="65C5B4" w:themeColor="accent1"/>
            </w:tcBorders>
            <w:shd w:val="clear" w:color="auto" w:fill="F2F2F2" w:themeFill="background1" w:themeFillShade="F2"/>
            <w:noWrap/>
            <w:vAlign w:val="center"/>
            <w:hideMark/>
          </w:tcPr>
          <w:p w14:paraId="2C01BC16" w14:textId="7DC6A6B9" w:rsidR="134BB74F" w:rsidRDefault="134BB74F"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sz w:val="20"/>
                <w:szCs w:val="20"/>
                <w:lang w:eastAsia="en-AU"/>
              </w:rPr>
              <w:t>4</w:t>
            </w:r>
          </w:p>
        </w:tc>
        <w:tc>
          <w:tcPr>
            <w:tcW w:w="1418" w:type="dxa"/>
            <w:tcBorders>
              <w:top w:val="nil"/>
              <w:left w:val="single" w:sz="4" w:space="0" w:color="65C5B4" w:themeColor="accent1"/>
            </w:tcBorders>
            <w:shd w:val="clear" w:color="auto" w:fill="F2F2F2" w:themeFill="background1" w:themeFillShade="F2"/>
            <w:noWrap/>
            <w:vAlign w:val="center"/>
            <w:hideMark/>
          </w:tcPr>
          <w:p w14:paraId="1A07FF93" w14:textId="406D21B3" w:rsidR="134BB74F" w:rsidRDefault="134BB74F"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sz w:val="20"/>
                <w:szCs w:val="20"/>
                <w:lang w:eastAsia="en-AU"/>
              </w:rPr>
              <w:t>3</w:t>
            </w:r>
          </w:p>
        </w:tc>
      </w:tr>
      <w:tr w:rsidR="004C3781" w:rsidRPr="00AF18F4" w14:paraId="664415AC" w14:textId="77777777" w:rsidTr="00661A4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right w:val="single" w:sz="4" w:space="0" w:color="65C5B4" w:themeColor="accent1"/>
            </w:tcBorders>
            <w:shd w:val="clear" w:color="auto" w:fill="C1E7E0" w:themeFill="accent1" w:themeFillTint="66"/>
            <w:noWrap/>
            <w:vAlign w:val="center"/>
            <w:hideMark/>
          </w:tcPr>
          <w:p w14:paraId="75576776" w14:textId="7A0915F4" w:rsidR="00AC551D" w:rsidRPr="002B714F" w:rsidRDefault="00587588" w:rsidP="002B714F">
            <w:pPr>
              <w:spacing w:before="0" w:after="0" w:line="240" w:lineRule="auto"/>
              <w:rPr>
                <w:rFonts w:asciiTheme="minorHAnsi" w:eastAsia="Times New Roman" w:hAnsiTheme="minorHAnsi" w:cstheme="minorHAnsi"/>
                <w:b/>
                <w:bCs/>
                <w:sz w:val="20"/>
                <w:szCs w:val="20"/>
                <w:lang w:eastAsia="en-AU"/>
              </w:rPr>
            </w:pPr>
            <w:r w:rsidRPr="002B714F">
              <w:rPr>
                <w:rFonts w:asciiTheme="minorHAnsi" w:eastAsia="Times New Roman" w:hAnsiTheme="minorHAnsi" w:cstheme="minorHAnsi"/>
                <w:b/>
                <w:bCs/>
                <w:color w:val="404040" w:themeColor="text1" w:themeTint="BF"/>
                <w:sz w:val="20"/>
                <w:szCs w:val="20"/>
                <w:lang w:eastAsia="en-AU"/>
              </w:rPr>
              <w:t>Pacific Women Fiji Country Plan</w:t>
            </w:r>
          </w:p>
        </w:tc>
        <w:tc>
          <w:tcPr>
            <w:tcW w:w="1134" w:type="dxa"/>
            <w:tcBorders>
              <w:left w:val="single" w:sz="4" w:space="0" w:color="65C5B4" w:themeColor="accent1"/>
              <w:bottom w:val="nil"/>
              <w:right w:val="single" w:sz="4" w:space="0" w:color="65C5B4" w:themeColor="accent1"/>
            </w:tcBorders>
            <w:shd w:val="clear" w:color="auto" w:fill="C1E7E0" w:themeFill="accent1" w:themeFillTint="66"/>
            <w:vAlign w:val="center"/>
            <w:hideMark/>
          </w:tcPr>
          <w:p w14:paraId="35291127" w14:textId="138100B1" w:rsidR="00AC551D" w:rsidRPr="00CA5021" w:rsidRDefault="00AC551D" w:rsidP="002B714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2</w:t>
            </w:r>
          </w:p>
        </w:tc>
        <w:tc>
          <w:tcPr>
            <w:tcW w:w="1276" w:type="dxa"/>
            <w:tcBorders>
              <w:left w:val="single" w:sz="4" w:space="0" w:color="65C5B4" w:themeColor="accent1"/>
              <w:bottom w:val="nil"/>
              <w:right w:val="single" w:sz="4" w:space="0" w:color="65C5B4" w:themeColor="accent1"/>
            </w:tcBorders>
            <w:shd w:val="clear" w:color="auto" w:fill="C1E7E0" w:themeFill="accent1" w:themeFillTint="66"/>
            <w:noWrap/>
            <w:vAlign w:val="center"/>
            <w:hideMark/>
          </w:tcPr>
          <w:p w14:paraId="0383E59B" w14:textId="74812FB8" w:rsidR="00AC551D" w:rsidRPr="00CA5021" w:rsidRDefault="461417EC"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color w:val="000000" w:themeColor="text1"/>
                <w:sz w:val="20"/>
                <w:szCs w:val="20"/>
                <w:lang w:eastAsia="en-AU"/>
              </w:rPr>
              <w:t>5</w:t>
            </w:r>
          </w:p>
        </w:tc>
        <w:tc>
          <w:tcPr>
            <w:tcW w:w="992" w:type="dxa"/>
            <w:tcBorders>
              <w:left w:val="single" w:sz="4" w:space="0" w:color="65C5B4" w:themeColor="accent1"/>
              <w:bottom w:val="nil"/>
              <w:right w:val="single" w:sz="4" w:space="0" w:color="65C5B4" w:themeColor="accent1"/>
            </w:tcBorders>
            <w:shd w:val="clear" w:color="auto" w:fill="C1E7E0" w:themeFill="accent1" w:themeFillTint="66"/>
            <w:noWrap/>
            <w:vAlign w:val="center"/>
            <w:hideMark/>
          </w:tcPr>
          <w:p w14:paraId="760C1604" w14:textId="77777777" w:rsidR="00AC551D" w:rsidRPr="00CA5021" w:rsidRDefault="00AC551D" w:rsidP="002B714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4</w:t>
            </w:r>
          </w:p>
        </w:tc>
        <w:tc>
          <w:tcPr>
            <w:tcW w:w="1418" w:type="dxa"/>
            <w:tcBorders>
              <w:left w:val="single" w:sz="4" w:space="0" w:color="65C5B4" w:themeColor="accent1"/>
              <w:bottom w:val="nil"/>
            </w:tcBorders>
            <w:shd w:val="clear" w:color="auto" w:fill="C1E7E0" w:themeFill="accent1" w:themeFillTint="66"/>
            <w:noWrap/>
            <w:vAlign w:val="center"/>
            <w:hideMark/>
          </w:tcPr>
          <w:p w14:paraId="48B585D3" w14:textId="6849F2AA" w:rsidR="00AC551D" w:rsidRPr="00CA5021" w:rsidRDefault="1288DF6C"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color w:val="000000" w:themeColor="text1"/>
                <w:sz w:val="20"/>
                <w:szCs w:val="20"/>
                <w:lang w:eastAsia="en-AU"/>
              </w:rPr>
              <w:t>4</w:t>
            </w:r>
          </w:p>
        </w:tc>
      </w:tr>
      <w:tr w:rsidR="004C3781" w:rsidRPr="00AF18F4" w14:paraId="5EA4A873" w14:textId="77777777" w:rsidTr="00661A4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right w:val="single" w:sz="4" w:space="0" w:color="65C5B4" w:themeColor="accent1"/>
            </w:tcBorders>
            <w:shd w:val="clear" w:color="auto" w:fill="C1E7E0" w:themeFill="accent1" w:themeFillTint="66"/>
            <w:vAlign w:val="center"/>
            <w:hideMark/>
          </w:tcPr>
          <w:p w14:paraId="5D004B83" w14:textId="46F24998" w:rsidR="00AC551D" w:rsidRPr="002B714F" w:rsidRDefault="77AE8276" w:rsidP="002B714F">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sidRPr="002B714F">
              <w:rPr>
                <w:rFonts w:asciiTheme="minorHAnsi" w:eastAsia="Times New Roman" w:hAnsiTheme="minorHAnsi" w:cstheme="minorHAnsi"/>
                <w:color w:val="404040" w:themeColor="text1" w:themeTint="BF"/>
                <w:sz w:val="20"/>
                <w:szCs w:val="20"/>
                <w:lang w:val="en-AU" w:eastAsia="en-AU"/>
              </w:rPr>
              <w:t>Investment d</w:t>
            </w:r>
            <w:r w:rsidR="752A1AF8" w:rsidRPr="002B714F">
              <w:rPr>
                <w:rFonts w:asciiTheme="minorHAnsi" w:eastAsia="Times New Roman" w:hAnsiTheme="minorHAnsi" w:cstheme="minorHAnsi"/>
                <w:color w:val="404040" w:themeColor="text1" w:themeTint="BF"/>
                <w:sz w:val="20"/>
                <w:szCs w:val="20"/>
                <w:lang w:val="en-AU" w:eastAsia="en-AU"/>
              </w:rPr>
              <w:t>uration: 201</w:t>
            </w:r>
            <w:r w:rsidR="04973037" w:rsidRPr="002B714F">
              <w:rPr>
                <w:rFonts w:asciiTheme="minorHAnsi" w:eastAsia="Times New Roman" w:hAnsiTheme="minorHAnsi" w:cstheme="minorHAnsi"/>
                <w:color w:val="404040" w:themeColor="text1" w:themeTint="BF"/>
                <w:sz w:val="20"/>
                <w:szCs w:val="20"/>
                <w:lang w:val="en-AU" w:eastAsia="en-AU"/>
              </w:rPr>
              <w:t>4</w:t>
            </w:r>
            <w:r w:rsidR="752A1AF8" w:rsidRPr="002B714F">
              <w:rPr>
                <w:rFonts w:asciiTheme="minorHAnsi" w:eastAsia="Times New Roman" w:hAnsiTheme="minorHAnsi" w:cstheme="minorHAnsi"/>
                <w:color w:val="404040" w:themeColor="text1" w:themeTint="BF"/>
                <w:sz w:val="20"/>
                <w:szCs w:val="20"/>
                <w:lang w:val="en-AU" w:eastAsia="en-AU"/>
              </w:rPr>
              <w:t>-2</w:t>
            </w:r>
            <w:r w:rsidR="4735B61E" w:rsidRPr="002B714F">
              <w:rPr>
                <w:rFonts w:asciiTheme="minorHAnsi" w:eastAsia="Times New Roman" w:hAnsiTheme="minorHAnsi" w:cstheme="minorHAnsi"/>
                <w:color w:val="404040" w:themeColor="text1" w:themeTint="BF"/>
                <w:sz w:val="20"/>
                <w:szCs w:val="20"/>
                <w:lang w:val="en-AU" w:eastAsia="en-AU"/>
              </w:rPr>
              <w:t>5</w:t>
            </w:r>
            <w:r w:rsidR="752A1AF8" w:rsidRPr="002B714F">
              <w:rPr>
                <w:rFonts w:asciiTheme="minorHAnsi" w:eastAsia="Times New Roman" w:hAnsiTheme="minorHAnsi" w:cstheme="minorHAnsi"/>
                <w:color w:val="404040" w:themeColor="text1" w:themeTint="BF"/>
                <w:sz w:val="20"/>
                <w:szCs w:val="20"/>
                <w:lang w:val="en-AU" w:eastAsia="en-AU"/>
              </w:rPr>
              <w:t>; Budget: $</w:t>
            </w:r>
            <w:r w:rsidR="027FF77E" w:rsidRPr="002B714F">
              <w:rPr>
                <w:rFonts w:asciiTheme="minorHAnsi" w:eastAsia="Times New Roman" w:hAnsiTheme="minorHAnsi" w:cstheme="minorHAnsi"/>
                <w:color w:val="404040" w:themeColor="text1" w:themeTint="BF"/>
                <w:sz w:val="20"/>
                <w:szCs w:val="20"/>
                <w:lang w:val="en-AU" w:eastAsia="en-AU"/>
              </w:rPr>
              <w:t>33.1</w:t>
            </w:r>
            <w:r w:rsidR="752A1AF8" w:rsidRPr="002B714F">
              <w:rPr>
                <w:rFonts w:asciiTheme="minorHAnsi" w:eastAsia="Times New Roman" w:hAnsiTheme="minorHAnsi" w:cstheme="minorHAnsi"/>
                <w:color w:val="404040" w:themeColor="text1" w:themeTint="BF"/>
                <w:sz w:val="20"/>
                <w:szCs w:val="20"/>
                <w:lang w:val="en-AU" w:eastAsia="en-AU"/>
              </w:rPr>
              <w:t xml:space="preserve">m </w:t>
            </w:r>
          </w:p>
        </w:tc>
        <w:tc>
          <w:tcPr>
            <w:tcW w:w="1134" w:type="dxa"/>
            <w:tcBorders>
              <w:top w:val="nil"/>
              <w:left w:val="single" w:sz="4" w:space="0" w:color="65C5B4" w:themeColor="accent1"/>
              <w:right w:val="single" w:sz="4" w:space="0" w:color="65C5B4" w:themeColor="accent1"/>
            </w:tcBorders>
            <w:shd w:val="clear" w:color="auto" w:fill="C1E7E0" w:themeFill="accent1" w:themeFillTint="66"/>
            <w:vAlign w:val="center"/>
            <w:hideMark/>
          </w:tcPr>
          <w:p w14:paraId="6F5DCD3C" w14:textId="5704385A" w:rsidR="00AC551D" w:rsidRPr="00CA5021" w:rsidRDefault="00AC551D" w:rsidP="002B714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1</w:t>
            </w:r>
          </w:p>
        </w:tc>
        <w:tc>
          <w:tcPr>
            <w:tcW w:w="1276" w:type="dxa"/>
            <w:tcBorders>
              <w:top w:val="nil"/>
              <w:left w:val="single" w:sz="4" w:space="0" w:color="65C5B4" w:themeColor="accent1"/>
              <w:right w:val="single" w:sz="4" w:space="0" w:color="65C5B4" w:themeColor="accent1"/>
            </w:tcBorders>
            <w:shd w:val="clear" w:color="auto" w:fill="C1E7E0" w:themeFill="accent1" w:themeFillTint="66"/>
            <w:noWrap/>
            <w:vAlign w:val="center"/>
            <w:hideMark/>
          </w:tcPr>
          <w:p w14:paraId="7C975F2B" w14:textId="664C1EE6" w:rsidR="00AC551D" w:rsidRPr="00CA5021" w:rsidRDefault="743EA3A7"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color w:val="000000" w:themeColor="text1"/>
                <w:sz w:val="20"/>
                <w:szCs w:val="20"/>
                <w:lang w:eastAsia="en-AU"/>
              </w:rPr>
              <w:t>5</w:t>
            </w:r>
          </w:p>
        </w:tc>
        <w:tc>
          <w:tcPr>
            <w:tcW w:w="992" w:type="dxa"/>
            <w:tcBorders>
              <w:top w:val="nil"/>
              <w:left w:val="single" w:sz="4" w:space="0" w:color="65C5B4" w:themeColor="accent1"/>
              <w:right w:val="single" w:sz="4" w:space="0" w:color="65C5B4" w:themeColor="accent1"/>
            </w:tcBorders>
            <w:shd w:val="clear" w:color="auto" w:fill="C1E7E0" w:themeFill="accent1" w:themeFillTint="66"/>
            <w:noWrap/>
            <w:vAlign w:val="center"/>
            <w:hideMark/>
          </w:tcPr>
          <w:p w14:paraId="562AF5DF" w14:textId="5B5BFA13" w:rsidR="00AC551D" w:rsidRPr="00CA5021" w:rsidRDefault="743EA3A7"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color w:val="000000" w:themeColor="text1"/>
                <w:sz w:val="20"/>
                <w:szCs w:val="20"/>
                <w:lang w:eastAsia="en-AU"/>
              </w:rPr>
              <w:t>4</w:t>
            </w:r>
          </w:p>
        </w:tc>
        <w:tc>
          <w:tcPr>
            <w:tcW w:w="1418" w:type="dxa"/>
            <w:tcBorders>
              <w:top w:val="nil"/>
              <w:left w:val="single" w:sz="4" w:space="0" w:color="65C5B4" w:themeColor="accent1"/>
            </w:tcBorders>
            <w:shd w:val="clear" w:color="auto" w:fill="C1E7E0" w:themeFill="accent1" w:themeFillTint="66"/>
            <w:noWrap/>
            <w:vAlign w:val="center"/>
            <w:hideMark/>
          </w:tcPr>
          <w:p w14:paraId="49275297" w14:textId="644F5F4C" w:rsidR="00AC551D" w:rsidRPr="00CA5021" w:rsidRDefault="743EA3A7"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color w:val="000000" w:themeColor="text1"/>
                <w:sz w:val="20"/>
                <w:szCs w:val="20"/>
                <w:lang w:eastAsia="en-AU"/>
              </w:rPr>
              <w:t>5</w:t>
            </w:r>
          </w:p>
        </w:tc>
      </w:tr>
      <w:tr w:rsidR="004C3781" w:rsidRPr="00AF18F4" w14:paraId="7C3C602D" w14:textId="77777777" w:rsidTr="00661A4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right w:val="single" w:sz="4" w:space="0" w:color="65C5B4" w:themeColor="accent1"/>
            </w:tcBorders>
            <w:shd w:val="clear" w:color="auto" w:fill="F2F2F2" w:themeFill="background1" w:themeFillShade="F2"/>
            <w:noWrap/>
            <w:vAlign w:val="center"/>
            <w:hideMark/>
          </w:tcPr>
          <w:p w14:paraId="6DDF2B53" w14:textId="710CE361" w:rsidR="00AC551D" w:rsidRPr="002B714F" w:rsidRDefault="743EA3A7" w:rsidP="002B714F">
            <w:pPr>
              <w:spacing w:before="0" w:after="0" w:line="240" w:lineRule="auto"/>
              <w:rPr>
                <w:rFonts w:asciiTheme="minorHAnsi" w:eastAsia="Times New Roman" w:hAnsiTheme="minorHAnsi" w:cstheme="minorHAnsi"/>
                <w:b/>
                <w:bCs/>
                <w:sz w:val="20"/>
                <w:szCs w:val="20"/>
                <w:lang w:eastAsia="en-AU"/>
              </w:rPr>
            </w:pPr>
            <w:r w:rsidRPr="002B714F">
              <w:rPr>
                <w:rFonts w:asciiTheme="minorHAnsi" w:eastAsia="Times New Roman" w:hAnsiTheme="minorHAnsi" w:cstheme="minorHAnsi"/>
                <w:b/>
                <w:bCs/>
                <w:color w:val="404040" w:themeColor="text1" w:themeTint="BF"/>
                <w:sz w:val="20"/>
                <w:szCs w:val="20"/>
                <w:lang w:eastAsia="en-AU"/>
              </w:rPr>
              <w:t>Inclusive Economic Growth (Market Development Facility)</w:t>
            </w:r>
          </w:p>
        </w:tc>
        <w:tc>
          <w:tcPr>
            <w:tcW w:w="1134" w:type="dxa"/>
            <w:tcBorders>
              <w:left w:val="single" w:sz="4" w:space="0" w:color="65C5B4" w:themeColor="accent1"/>
              <w:bottom w:val="nil"/>
              <w:right w:val="single" w:sz="4" w:space="0" w:color="65C5B4" w:themeColor="accent1"/>
            </w:tcBorders>
            <w:shd w:val="clear" w:color="auto" w:fill="F2F2F2" w:themeFill="background1" w:themeFillShade="F2"/>
            <w:vAlign w:val="center"/>
            <w:hideMark/>
          </w:tcPr>
          <w:p w14:paraId="258E1068" w14:textId="57F2BB6C" w:rsidR="00AC551D" w:rsidRPr="00CA5021" w:rsidRDefault="00AC551D" w:rsidP="002B714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sidR="00A22CD1">
              <w:rPr>
                <w:rFonts w:asciiTheme="minorHAnsi" w:eastAsia="Times New Roman" w:hAnsiTheme="minorHAnsi" w:cstheme="minorHAnsi"/>
                <w:color w:val="000000"/>
                <w:sz w:val="20"/>
                <w:szCs w:val="20"/>
                <w:lang w:val="en-AU" w:eastAsia="en-AU"/>
              </w:rPr>
              <w:t>2</w:t>
            </w:r>
          </w:p>
        </w:tc>
        <w:tc>
          <w:tcPr>
            <w:tcW w:w="1276" w:type="dxa"/>
            <w:tcBorders>
              <w:left w:val="single" w:sz="4" w:space="0" w:color="65C5B4" w:themeColor="accent1"/>
              <w:bottom w:val="nil"/>
              <w:right w:val="single" w:sz="4" w:space="0" w:color="65C5B4" w:themeColor="accent1"/>
            </w:tcBorders>
            <w:shd w:val="clear" w:color="auto" w:fill="F2F2F2" w:themeFill="background1" w:themeFillShade="F2"/>
            <w:noWrap/>
            <w:vAlign w:val="center"/>
            <w:hideMark/>
          </w:tcPr>
          <w:p w14:paraId="561825FE" w14:textId="77777777" w:rsidR="00AC551D" w:rsidRPr="00CA5021" w:rsidRDefault="00AC551D" w:rsidP="002B714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4</w:t>
            </w:r>
          </w:p>
        </w:tc>
        <w:tc>
          <w:tcPr>
            <w:tcW w:w="992" w:type="dxa"/>
            <w:tcBorders>
              <w:left w:val="single" w:sz="4" w:space="0" w:color="65C5B4" w:themeColor="accent1"/>
              <w:bottom w:val="nil"/>
              <w:right w:val="single" w:sz="4" w:space="0" w:color="65C5B4" w:themeColor="accent1"/>
            </w:tcBorders>
            <w:shd w:val="clear" w:color="auto" w:fill="F2F2F2" w:themeFill="background1" w:themeFillShade="F2"/>
            <w:noWrap/>
            <w:vAlign w:val="center"/>
            <w:hideMark/>
          </w:tcPr>
          <w:p w14:paraId="777674A9" w14:textId="1874BB4C" w:rsidR="00AC551D" w:rsidRPr="00CA5021" w:rsidRDefault="7B157382"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color w:val="000000" w:themeColor="text1"/>
                <w:sz w:val="20"/>
                <w:szCs w:val="20"/>
                <w:lang w:eastAsia="en-AU"/>
              </w:rPr>
              <w:t>5</w:t>
            </w:r>
          </w:p>
        </w:tc>
        <w:tc>
          <w:tcPr>
            <w:tcW w:w="1418" w:type="dxa"/>
            <w:tcBorders>
              <w:left w:val="single" w:sz="4" w:space="0" w:color="65C5B4" w:themeColor="accent1"/>
              <w:bottom w:val="nil"/>
            </w:tcBorders>
            <w:shd w:val="clear" w:color="auto" w:fill="F2F2F2" w:themeFill="background1" w:themeFillShade="F2"/>
            <w:noWrap/>
            <w:vAlign w:val="center"/>
            <w:hideMark/>
          </w:tcPr>
          <w:p w14:paraId="16666D1C" w14:textId="09690050" w:rsidR="00AC551D" w:rsidRPr="00CA5021" w:rsidRDefault="7B157382"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color w:val="000000" w:themeColor="text1"/>
                <w:sz w:val="20"/>
                <w:szCs w:val="20"/>
                <w:lang w:eastAsia="en-AU"/>
              </w:rPr>
              <w:t>4</w:t>
            </w:r>
          </w:p>
        </w:tc>
      </w:tr>
      <w:tr w:rsidR="004C3781" w:rsidRPr="00AF18F4" w14:paraId="173568D7" w14:textId="77777777" w:rsidTr="00661A4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right w:val="single" w:sz="4" w:space="0" w:color="65C5B4" w:themeColor="accent1"/>
            </w:tcBorders>
            <w:shd w:val="clear" w:color="auto" w:fill="F2F2F2" w:themeFill="background1" w:themeFillShade="F2"/>
            <w:vAlign w:val="center"/>
            <w:hideMark/>
          </w:tcPr>
          <w:p w14:paraId="3342A73E" w14:textId="3CBDCA08" w:rsidR="00AC551D" w:rsidRPr="002B714F" w:rsidRDefault="77AE8276" w:rsidP="008A3BB9">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sidRPr="002B714F">
              <w:rPr>
                <w:rFonts w:asciiTheme="minorHAnsi" w:eastAsia="Times New Roman" w:hAnsiTheme="minorHAnsi" w:cstheme="minorHAnsi"/>
                <w:color w:val="404040" w:themeColor="text1" w:themeTint="BF"/>
                <w:sz w:val="20"/>
                <w:szCs w:val="20"/>
                <w:lang w:val="en-AU" w:eastAsia="en-AU"/>
              </w:rPr>
              <w:t>Investment d</w:t>
            </w:r>
            <w:r w:rsidR="752A1AF8" w:rsidRPr="002B714F">
              <w:rPr>
                <w:rFonts w:asciiTheme="minorHAnsi" w:eastAsia="Times New Roman" w:hAnsiTheme="minorHAnsi" w:cstheme="minorHAnsi"/>
                <w:color w:val="404040" w:themeColor="text1" w:themeTint="BF"/>
                <w:sz w:val="20"/>
                <w:szCs w:val="20"/>
                <w:lang w:val="en-AU" w:eastAsia="en-AU"/>
              </w:rPr>
              <w:t>uration: 2017-2</w:t>
            </w:r>
            <w:r w:rsidR="388787DC" w:rsidRPr="002B714F">
              <w:rPr>
                <w:rFonts w:asciiTheme="minorHAnsi" w:eastAsia="Times New Roman" w:hAnsiTheme="minorHAnsi" w:cstheme="minorHAnsi"/>
                <w:color w:val="404040" w:themeColor="text1" w:themeTint="BF"/>
                <w:sz w:val="20"/>
                <w:szCs w:val="20"/>
                <w:lang w:val="en-AU" w:eastAsia="en-AU"/>
              </w:rPr>
              <w:t>7</w:t>
            </w:r>
            <w:r w:rsidR="00266912" w:rsidRPr="002B714F">
              <w:rPr>
                <w:rFonts w:asciiTheme="minorHAnsi" w:eastAsia="Times New Roman" w:hAnsiTheme="minorHAnsi" w:cstheme="minorHAnsi"/>
                <w:color w:val="404040" w:themeColor="text1" w:themeTint="BF"/>
                <w:sz w:val="20"/>
                <w:szCs w:val="20"/>
                <w:lang w:val="en-AU" w:eastAsia="en-AU"/>
              </w:rPr>
              <w:t>;</w:t>
            </w:r>
            <w:r w:rsidR="752A1AF8" w:rsidRPr="002B714F">
              <w:rPr>
                <w:rFonts w:asciiTheme="minorHAnsi" w:eastAsia="Times New Roman" w:hAnsiTheme="minorHAnsi" w:cstheme="minorHAnsi"/>
                <w:color w:val="404040" w:themeColor="text1" w:themeTint="BF"/>
                <w:sz w:val="20"/>
                <w:szCs w:val="20"/>
                <w:lang w:val="en-AU" w:eastAsia="en-AU"/>
              </w:rPr>
              <w:t xml:space="preserve"> Budget: $2</w:t>
            </w:r>
            <w:r w:rsidR="5FF3E4E4" w:rsidRPr="002B714F">
              <w:rPr>
                <w:rFonts w:asciiTheme="minorHAnsi" w:eastAsia="Times New Roman" w:hAnsiTheme="minorHAnsi" w:cstheme="minorHAnsi"/>
                <w:color w:val="404040" w:themeColor="text1" w:themeTint="BF"/>
                <w:sz w:val="20"/>
                <w:szCs w:val="20"/>
                <w:lang w:val="en-AU" w:eastAsia="en-AU"/>
              </w:rPr>
              <w:t>7</w:t>
            </w:r>
            <w:r w:rsidR="752A1AF8" w:rsidRPr="002B714F">
              <w:rPr>
                <w:rFonts w:asciiTheme="minorHAnsi" w:eastAsia="Times New Roman" w:hAnsiTheme="minorHAnsi" w:cstheme="minorHAnsi"/>
                <w:color w:val="404040" w:themeColor="text1" w:themeTint="BF"/>
                <w:sz w:val="20"/>
                <w:szCs w:val="20"/>
                <w:lang w:val="en-AU" w:eastAsia="en-AU"/>
              </w:rPr>
              <w:t>.</w:t>
            </w:r>
            <w:r w:rsidR="07405856" w:rsidRPr="002B714F">
              <w:rPr>
                <w:rFonts w:asciiTheme="minorHAnsi" w:eastAsia="Times New Roman" w:hAnsiTheme="minorHAnsi" w:cstheme="minorHAnsi"/>
                <w:color w:val="404040" w:themeColor="text1" w:themeTint="BF"/>
                <w:sz w:val="20"/>
                <w:szCs w:val="20"/>
                <w:lang w:val="en-AU" w:eastAsia="en-AU"/>
              </w:rPr>
              <w:t>7</w:t>
            </w:r>
            <w:r w:rsidR="752A1AF8" w:rsidRPr="002B714F">
              <w:rPr>
                <w:rFonts w:asciiTheme="minorHAnsi" w:eastAsia="Times New Roman" w:hAnsiTheme="minorHAnsi" w:cstheme="minorHAnsi"/>
                <w:color w:val="404040" w:themeColor="text1" w:themeTint="BF"/>
                <w:sz w:val="20"/>
                <w:szCs w:val="20"/>
                <w:lang w:val="en-AU" w:eastAsia="en-AU"/>
              </w:rPr>
              <w:t xml:space="preserve">m </w:t>
            </w:r>
          </w:p>
        </w:tc>
        <w:tc>
          <w:tcPr>
            <w:tcW w:w="1134" w:type="dxa"/>
            <w:tcBorders>
              <w:top w:val="nil"/>
              <w:left w:val="single" w:sz="4" w:space="0" w:color="65C5B4" w:themeColor="accent1"/>
              <w:right w:val="single" w:sz="4" w:space="0" w:color="65C5B4" w:themeColor="accent1"/>
            </w:tcBorders>
            <w:shd w:val="clear" w:color="auto" w:fill="F2F2F2" w:themeFill="background1" w:themeFillShade="F2"/>
            <w:vAlign w:val="center"/>
            <w:hideMark/>
          </w:tcPr>
          <w:p w14:paraId="1F16C9F8" w14:textId="160CF933" w:rsidR="00AC551D" w:rsidRPr="00CA5021" w:rsidRDefault="00AC551D" w:rsidP="002B714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sidR="00A22CD1">
              <w:rPr>
                <w:rFonts w:asciiTheme="minorHAnsi" w:eastAsia="Times New Roman" w:hAnsiTheme="minorHAnsi" w:cstheme="minorHAnsi"/>
                <w:color w:val="000000"/>
                <w:sz w:val="20"/>
                <w:szCs w:val="20"/>
                <w:lang w:val="en-AU" w:eastAsia="en-AU"/>
              </w:rPr>
              <w:t>1</w:t>
            </w:r>
          </w:p>
        </w:tc>
        <w:tc>
          <w:tcPr>
            <w:tcW w:w="1276" w:type="dxa"/>
            <w:tcBorders>
              <w:top w:val="nil"/>
              <w:left w:val="single" w:sz="4" w:space="0" w:color="65C5B4" w:themeColor="accent1"/>
              <w:right w:val="single" w:sz="4" w:space="0" w:color="65C5B4" w:themeColor="accent1"/>
            </w:tcBorders>
            <w:shd w:val="clear" w:color="auto" w:fill="F2F2F2" w:themeFill="background1" w:themeFillShade="F2"/>
            <w:noWrap/>
            <w:vAlign w:val="center"/>
            <w:hideMark/>
          </w:tcPr>
          <w:p w14:paraId="484EFDC5" w14:textId="61D2E70A" w:rsidR="00AC551D" w:rsidRPr="00CA5021" w:rsidRDefault="7408D56F"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color w:val="000000" w:themeColor="text1"/>
                <w:sz w:val="20"/>
                <w:szCs w:val="20"/>
                <w:lang w:eastAsia="en-AU"/>
              </w:rPr>
              <w:t>4</w:t>
            </w:r>
          </w:p>
        </w:tc>
        <w:tc>
          <w:tcPr>
            <w:tcW w:w="992" w:type="dxa"/>
            <w:tcBorders>
              <w:top w:val="nil"/>
              <w:left w:val="single" w:sz="4" w:space="0" w:color="65C5B4" w:themeColor="accent1"/>
              <w:right w:val="single" w:sz="4" w:space="0" w:color="65C5B4" w:themeColor="accent1"/>
            </w:tcBorders>
            <w:shd w:val="clear" w:color="auto" w:fill="F2F2F2" w:themeFill="background1" w:themeFillShade="F2"/>
            <w:noWrap/>
            <w:vAlign w:val="center"/>
            <w:hideMark/>
          </w:tcPr>
          <w:p w14:paraId="196A3DC5" w14:textId="0C548F4C" w:rsidR="00AC551D" w:rsidRPr="00CA5021" w:rsidRDefault="7408D56F"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color w:val="000000" w:themeColor="text1"/>
                <w:sz w:val="20"/>
                <w:szCs w:val="20"/>
                <w:lang w:eastAsia="en-AU"/>
              </w:rPr>
              <w:t>5</w:t>
            </w:r>
          </w:p>
        </w:tc>
        <w:tc>
          <w:tcPr>
            <w:tcW w:w="1418" w:type="dxa"/>
            <w:tcBorders>
              <w:top w:val="nil"/>
              <w:left w:val="single" w:sz="4" w:space="0" w:color="65C5B4" w:themeColor="accent1"/>
            </w:tcBorders>
            <w:shd w:val="clear" w:color="auto" w:fill="F2F2F2" w:themeFill="background1" w:themeFillShade="F2"/>
            <w:noWrap/>
            <w:vAlign w:val="center"/>
            <w:hideMark/>
          </w:tcPr>
          <w:p w14:paraId="1BD061D2" w14:textId="6F0E392C" w:rsidR="00AC551D" w:rsidRPr="00CA5021" w:rsidRDefault="7408D56F"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color w:val="000000" w:themeColor="text1"/>
                <w:sz w:val="20"/>
                <w:szCs w:val="20"/>
                <w:lang w:eastAsia="en-AU"/>
              </w:rPr>
              <w:t>5</w:t>
            </w:r>
          </w:p>
        </w:tc>
      </w:tr>
      <w:tr w:rsidR="003E5706" w:rsidRPr="00AF18F4" w14:paraId="367A51C9" w14:textId="77777777" w:rsidTr="00661A4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right w:val="single" w:sz="4" w:space="0" w:color="65C5B4" w:themeColor="accent1"/>
            </w:tcBorders>
            <w:shd w:val="clear" w:color="auto" w:fill="A2DCD1" w:themeFill="accent1" w:themeFillTint="99"/>
            <w:vAlign w:val="center"/>
          </w:tcPr>
          <w:p w14:paraId="2690FEE8" w14:textId="2ADA25C1" w:rsidR="003E5706" w:rsidRPr="002B714F" w:rsidRDefault="00A4748D" w:rsidP="002B714F">
            <w:pPr>
              <w:suppressAutoHyphens w:val="0"/>
              <w:spacing w:before="0" w:after="0" w:line="240" w:lineRule="auto"/>
              <w:rPr>
                <w:rFonts w:asciiTheme="minorHAnsi" w:eastAsia="Times New Roman" w:hAnsiTheme="minorHAnsi" w:cstheme="minorHAnsi"/>
                <w:b/>
                <w:bCs/>
                <w:color w:val="404040" w:themeColor="text1" w:themeTint="BF"/>
                <w:sz w:val="20"/>
                <w:szCs w:val="20"/>
                <w:lang w:val="en-AU" w:eastAsia="en-AU"/>
              </w:rPr>
            </w:pPr>
            <w:r w:rsidRPr="002B714F">
              <w:rPr>
                <w:rFonts w:asciiTheme="minorHAnsi" w:eastAsia="Times New Roman" w:hAnsiTheme="minorHAnsi" w:cstheme="minorHAnsi"/>
                <w:b/>
                <w:bCs/>
                <w:color w:val="404040" w:themeColor="text1" w:themeTint="BF"/>
                <w:sz w:val="20"/>
                <w:szCs w:val="20"/>
                <w:lang w:val="en-AU" w:eastAsia="en-AU"/>
              </w:rPr>
              <w:t>Fiji-Australia Institutional Partnerships Program</w:t>
            </w:r>
          </w:p>
        </w:tc>
        <w:tc>
          <w:tcPr>
            <w:tcW w:w="1134" w:type="dxa"/>
            <w:tcBorders>
              <w:left w:val="single" w:sz="4" w:space="0" w:color="65C5B4" w:themeColor="accent1"/>
              <w:bottom w:val="nil"/>
              <w:right w:val="single" w:sz="4" w:space="0" w:color="65C5B4" w:themeColor="accent1"/>
            </w:tcBorders>
            <w:shd w:val="clear" w:color="auto" w:fill="A2DCD1" w:themeFill="accent1" w:themeFillTint="99"/>
            <w:vAlign w:val="center"/>
          </w:tcPr>
          <w:p w14:paraId="238FDBF5" w14:textId="7ABC9081" w:rsidR="003E5706" w:rsidRPr="00CA5021" w:rsidRDefault="00CD10BE" w:rsidP="002B714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2022</w:t>
            </w:r>
          </w:p>
        </w:tc>
        <w:tc>
          <w:tcPr>
            <w:tcW w:w="1276" w:type="dxa"/>
            <w:tcBorders>
              <w:left w:val="single" w:sz="4" w:space="0" w:color="65C5B4" w:themeColor="accent1"/>
              <w:bottom w:val="nil"/>
              <w:right w:val="single" w:sz="4" w:space="0" w:color="65C5B4" w:themeColor="accent1"/>
            </w:tcBorders>
            <w:shd w:val="clear" w:color="auto" w:fill="A2DCD1" w:themeFill="accent1" w:themeFillTint="99"/>
            <w:noWrap/>
            <w:vAlign w:val="center"/>
          </w:tcPr>
          <w:p w14:paraId="60F5F907" w14:textId="2F008C31" w:rsidR="003E5706" w:rsidRPr="57FCC3D3" w:rsidRDefault="00CD10BE"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0"/>
                <w:szCs w:val="20"/>
                <w:lang w:eastAsia="en-AU"/>
              </w:rPr>
            </w:pPr>
            <w:r>
              <w:rPr>
                <w:rFonts w:eastAsia="Times New Roman"/>
                <w:color w:val="000000" w:themeColor="text1"/>
                <w:sz w:val="20"/>
                <w:szCs w:val="20"/>
                <w:lang w:eastAsia="en-AU"/>
              </w:rPr>
              <w:t>5</w:t>
            </w:r>
          </w:p>
        </w:tc>
        <w:tc>
          <w:tcPr>
            <w:tcW w:w="992" w:type="dxa"/>
            <w:tcBorders>
              <w:left w:val="single" w:sz="4" w:space="0" w:color="65C5B4" w:themeColor="accent1"/>
              <w:bottom w:val="nil"/>
              <w:right w:val="single" w:sz="4" w:space="0" w:color="65C5B4" w:themeColor="accent1"/>
            </w:tcBorders>
            <w:shd w:val="clear" w:color="auto" w:fill="A2DCD1" w:themeFill="accent1" w:themeFillTint="99"/>
            <w:noWrap/>
            <w:vAlign w:val="center"/>
          </w:tcPr>
          <w:p w14:paraId="575F7621" w14:textId="430EF9DC" w:rsidR="003E5706" w:rsidRPr="57FCC3D3" w:rsidRDefault="00CD10BE"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0"/>
                <w:szCs w:val="20"/>
                <w:lang w:eastAsia="en-AU"/>
              </w:rPr>
            </w:pPr>
            <w:r>
              <w:rPr>
                <w:rFonts w:eastAsia="Times New Roman"/>
                <w:color w:val="000000" w:themeColor="text1"/>
                <w:sz w:val="20"/>
                <w:szCs w:val="20"/>
                <w:lang w:eastAsia="en-AU"/>
              </w:rPr>
              <w:t>5</w:t>
            </w:r>
          </w:p>
        </w:tc>
        <w:tc>
          <w:tcPr>
            <w:tcW w:w="1418" w:type="dxa"/>
            <w:tcBorders>
              <w:left w:val="single" w:sz="4" w:space="0" w:color="65C5B4" w:themeColor="accent1"/>
              <w:bottom w:val="nil"/>
            </w:tcBorders>
            <w:shd w:val="clear" w:color="auto" w:fill="A2DCD1" w:themeFill="accent1" w:themeFillTint="99"/>
            <w:noWrap/>
            <w:vAlign w:val="center"/>
          </w:tcPr>
          <w:p w14:paraId="0443C21C" w14:textId="30944065" w:rsidR="003E5706" w:rsidRPr="57FCC3D3" w:rsidRDefault="00CD10BE"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0"/>
                <w:szCs w:val="20"/>
                <w:lang w:eastAsia="en-AU"/>
              </w:rPr>
            </w:pPr>
            <w:r>
              <w:rPr>
                <w:rFonts w:eastAsia="Times New Roman"/>
                <w:color w:val="000000" w:themeColor="text1"/>
                <w:sz w:val="20"/>
                <w:szCs w:val="20"/>
                <w:lang w:eastAsia="en-AU"/>
              </w:rPr>
              <w:t>4</w:t>
            </w:r>
          </w:p>
        </w:tc>
      </w:tr>
      <w:tr w:rsidR="003E5706" w:rsidRPr="00AF18F4" w14:paraId="30682645" w14:textId="77777777" w:rsidTr="00661A4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right w:val="single" w:sz="4" w:space="0" w:color="65C5B4" w:themeColor="accent1"/>
            </w:tcBorders>
            <w:shd w:val="clear" w:color="auto" w:fill="A2DCD1" w:themeFill="accent1" w:themeFillTint="99"/>
            <w:vAlign w:val="center"/>
          </w:tcPr>
          <w:p w14:paraId="72C076A9" w14:textId="729D1212" w:rsidR="003E5706" w:rsidRPr="002B714F" w:rsidRDefault="00CD10BE" w:rsidP="008A3BB9">
            <w:pPr>
              <w:suppressAutoHyphens w:val="0"/>
              <w:spacing w:before="0" w:after="0" w:line="240" w:lineRule="auto"/>
              <w:ind w:firstLineChars="100" w:firstLine="200"/>
              <w:rPr>
                <w:rFonts w:asciiTheme="minorHAnsi" w:eastAsia="Times New Roman" w:hAnsiTheme="minorHAnsi" w:cstheme="minorHAnsi"/>
                <w:color w:val="404040" w:themeColor="text1" w:themeTint="BF"/>
                <w:sz w:val="20"/>
                <w:szCs w:val="20"/>
                <w:lang w:val="en-AU" w:eastAsia="en-AU"/>
              </w:rPr>
            </w:pPr>
            <w:r w:rsidRPr="002B714F">
              <w:rPr>
                <w:rFonts w:asciiTheme="minorHAnsi" w:eastAsia="Times New Roman" w:hAnsiTheme="minorHAnsi" w:cstheme="minorHAnsi"/>
                <w:color w:val="404040" w:themeColor="text1" w:themeTint="BF"/>
                <w:sz w:val="20"/>
                <w:szCs w:val="20"/>
                <w:lang w:val="en-AU" w:eastAsia="en-AU"/>
              </w:rPr>
              <w:t>Investment duration: 2019-25; Budget: $14.5m</w:t>
            </w:r>
          </w:p>
        </w:tc>
        <w:tc>
          <w:tcPr>
            <w:tcW w:w="1134" w:type="dxa"/>
            <w:tcBorders>
              <w:top w:val="nil"/>
              <w:left w:val="single" w:sz="4" w:space="0" w:color="65C5B4" w:themeColor="accent1"/>
              <w:right w:val="single" w:sz="4" w:space="0" w:color="65C5B4" w:themeColor="accent1"/>
            </w:tcBorders>
            <w:shd w:val="clear" w:color="auto" w:fill="A2DCD1" w:themeFill="accent1" w:themeFillTint="99"/>
            <w:vAlign w:val="center"/>
          </w:tcPr>
          <w:p w14:paraId="5C9527C8" w14:textId="4053069C" w:rsidR="003E5706" w:rsidRPr="00CA5021" w:rsidRDefault="00CD10BE" w:rsidP="002B714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Pr>
                <w:rFonts w:eastAsia="Times New Roman" w:cstheme="minorHAnsi"/>
                <w:color w:val="000000"/>
                <w:sz w:val="20"/>
                <w:szCs w:val="20"/>
                <w:lang w:val="en-AU" w:eastAsia="en-AU"/>
              </w:rPr>
              <w:t>2021</w:t>
            </w:r>
          </w:p>
        </w:tc>
        <w:tc>
          <w:tcPr>
            <w:tcW w:w="1276" w:type="dxa"/>
            <w:tcBorders>
              <w:top w:val="nil"/>
              <w:left w:val="single" w:sz="4" w:space="0" w:color="65C5B4" w:themeColor="accent1"/>
              <w:right w:val="single" w:sz="4" w:space="0" w:color="65C5B4" w:themeColor="accent1"/>
            </w:tcBorders>
            <w:shd w:val="clear" w:color="auto" w:fill="A2DCD1" w:themeFill="accent1" w:themeFillTint="99"/>
            <w:noWrap/>
            <w:vAlign w:val="center"/>
          </w:tcPr>
          <w:p w14:paraId="6123FD32" w14:textId="39CE7808" w:rsidR="003E5706" w:rsidRPr="57FCC3D3" w:rsidRDefault="00CD10BE"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0"/>
                <w:szCs w:val="20"/>
                <w:lang w:eastAsia="en-AU"/>
              </w:rPr>
            </w:pPr>
            <w:r>
              <w:rPr>
                <w:rFonts w:eastAsia="Times New Roman"/>
                <w:color w:val="000000" w:themeColor="text1"/>
                <w:sz w:val="20"/>
                <w:szCs w:val="20"/>
                <w:lang w:eastAsia="en-AU"/>
              </w:rPr>
              <w:t>n/a</w:t>
            </w:r>
          </w:p>
        </w:tc>
        <w:tc>
          <w:tcPr>
            <w:tcW w:w="992" w:type="dxa"/>
            <w:tcBorders>
              <w:top w:val="nil"/>
              <w:left w:val="single" w:sz="4" w:space="0" w:color="65C5B4" w:themeColor="accent1"/>
              <w:right w:val="single" w:sz="4" w:space="0" w:color="65C5B4" w:themeColor="accent1"/>
            </w:tcBorders>
            <w:shd w:val="clear" w:color="auto" w:fill="A2DCD1" w:themeFill="accent1" w:themeFillTint="99"/>
            <w:noWrap/>
            <w:vAlign w:val="center"/>
          </w:tcPr>
          <w:p w14:paraId="3CB54354" w14:textId="30D5DF5B" w:rsidR="003E5706" w:rsidRPr="57FCC3D3" w:rsidRDefault="00CD10BE"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0"/>
                <w:szCs w:val="20"/>
                <w:lang w:eastAsia="en-AU"/>
              </w:rPr>
            </w:pPr>
            <w:r>
              <w:rPr>
                <w:rFonts w:eastAsia="Times New Roman"/>
                <w:color w:val="000000" w:themeColor="text1"/>
                <w:sz w:val="20"/>
                <w:szCs w:val="20"/>
                <w:lang w:eastAsia="en-AU"/>
              </w:rPr>
              <w:t>n/a</w:t>
            </w:r>
          </w:p>
        </w:tc>
        <w:tc>
          <w:tcPr>
            <w:tcW w:w="1418" w:type="dxa"/>
            <w:tcBorders>
              <w:top w:val="nil"/>
              <w:left w:val="single" w:sz="4" w:space="0" w:color="65C5B4" w:themeColor="accent1"/>
            </w:tcBorders>
            <w:shd w:val="clear" w:color="auto" w:fill="A2DCD1" w:themeFill="accent1" w:themeFillTint="99"/>
            <w:noWrap/>
            <w:vAlign w:val="center"/>
          </w:tcPr>
          <w:p w14:paraId="10E4B107" w14:textId="3A9674FE" w:rsidR="003E5706" w:rsidRPr="57FCC3D3" w:rsidRDefault="00CD10BE" w:rsidP="002B714F">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0"/>
                <w:szCs w:val="20"/>
                <w:lang w:eastAsia="en-AU"/>
              </w:rPr>
            </w:pPr>
            <w:r>
              <w:rPr>
                <w:rFonts w:eastAsia="Times New Roman"/>
                <w:color w:val="000000" w:themeColor="text1"/>
                <w:sz w:val="20"/>
                <w:szCs w:val="20"/>
                <w:lang w:eastAsia="en-AU"/>
              </w:rPr>
              <w:t>n/a</w:t>
            </w:r>
          </w:p>
        </w:tc>
      </w:tr>
    </w:tbl>
    <w:p w14:paraId="3800A196" w14:textId="692A1364" w:rsidR="00E221FA" w:rsidRDefault="00E221FA" w:rsidP="00A513D8">
      <w:pPr>
        <w:pStyle w:val="Heading2"/>
      </w:pPr>
      <w:r>
        <w:t>Final I</w:t>
      </w:r>
      <w:r w:rsidRPr="00D1231A">
        <w:t>nvestment Performance</w:t>
      </w:r>
      <w:r>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D7310B" w:rsidRPr="00AF18F4" w14:paraId="1C7DF276" w14:textId="77777777" w:rsidTr="00661A4E">
        <w:trPr>
          <w:cnfStyle w:val="100000000000" w:firstRow="1" w:lastRow="0" w:firstColumn="0" w:lastColumn="0" w:oddVBand="0" w:evenVBand="0" w:oddHBand="0" w:evenHBand="0" w:firstRowFirstColumn="0" w:firstRowLastColumn="0" w:lastRowFirstColumn="0" w:lastRowLastColumn="0"/>
          <w:trHeight w:hRule="exact" w:val="531"/>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vAlign w:val="center"/>
            <w:hideMark/>
          </w:tcPr>
          <w:p w14:paraId="5CB2E247" w14:textId="77777777" w:rsidR="00D7310B" w:rsidRPr="005736BB" w:rsidRDefault="00D7310B" w:rsidP="00315676">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134" w:type="dxa"/>
            <w:shd w:val="clear" w:color="auto" w:fill="A2DCD1" w:themeFill="accent1" w:themeFillTint="99"/>
            <w:noWrap/>
            <w:vAlign w:val="center"/>
            <w:hideMark/>
          </w:tcPr>
          <w:p w14:paraId="559F947C" w14:textId="77777777" w:rsidR="00D7310B" w:rsidRPr="005736BB" w:rsidRDefault="00D7310B" w:rsidP="0031567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276" w:type="dxa"/>
            <w:shd w:val="clear" w:color="auto" w:fill="A2DCD1" w:themeFill="accent1" w:themeFillTint="99"/>
            <w:noWrap/>
            <w:vAlign w:val="center"/>
            <w:hideMark/>
          </w:tcPr>
          <w:p w14:paraId="661038F4" w14:textId="77777777" w:rsidR="00D7310B" w:rsidRPr="005736BB" w:rsidRDefault="00D7310B" w:rsidP="0031567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1134" w:type="dxa"/>
            <w:shd w:val="clear" w:color="auto" w:fill="A2DCD1" w:themeFill="accent1" w:themeFillTint="99"/>
            <w:noWrap/>
            <w:vAlign w:val="center"/>
            <w:hideMark/>
          </w:tcPr>
          <w:p w14:paraId="1765D5AA" w14:textId="77777777" w:rsidR="00D7310B" w:rsidRPr="005736BB" w:rsidRDefault="00D7310B" w:rsidP="0031567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1276" w:type="dxa"/>
            <w:shd w:val="clear" w:color="auto" w:fill="A2DCD1" w:themeFill="accent1" w:themeFillTint="99"/>
            <w:noWrap/>
            <w:vAlign w:val="center"/>
            <w:hideMark/>
          </w:tcPr>
          <w:p w14:paraId="38C29940" w14:textId="77777777" w:rsidR="00D7310B" w:rsidRPr="005736BB" w:rsidRDefault="00D7310B" w:rsidP="0031567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D7310B" w:rsidRPr="00AF18F4" w14:paraId="5FCAA806" w14:textId="77777777" w:rsidTr="00661A4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right w:val="single" w:sz="4" w:space="0" w:color="65C5B4" w:themeColor="accent1"/>
            </w:tcBorders>
            <w:shd w:val="clear" w:color="auto" w:fill="F2F2F2" w:themeFill="background1" w:themeFillShade="F2"/>
            <w:vAlign w:val="bottom"/>
            <w:hideMark/>
          </w:tcPr>
          <w:p w14:paraId="26CB53EA" w14:textId="54EA1C27" w:rsidR="00D7310B" w:rsidRPr="00CA5021" w:rsidRDefault="29E4DFC4" w:rsidP="57FCC3D3">
            <w:pPr>
              <w:suppressAutoHyphens w:val="0"/>
              <w:spacing w:before="0" w:after="0" w:line="240" w:lineRule="auto"/>
              <w:rPr>
                <w:rFonts w:asciiTheme="minorHAnsi" w:eastAsia="Times New Roman" w:hAnsiTheme="minorHAnsi"/>
                <w:b/>
                <w:bCs/>
                <w:color w:val="404040"/>
                <w:sz w:val="20"/>
                <w:szCs w:val="20"/>
                <w:lang w:eastAsia="en-AU"/>
              </w:rPr>
            </w:pPr>
            <w:r w:rsidRPr="57FCC3D3">
              <w:rPr>
                <w:rFonts w:asciiTheme="minorHAnsi" w:eastAsia="Times New Roman" w:hAnsiTheme="minorHAnsi"/>
                <w:b/>
                <w:bCs/>
                <w:color w:val="404040" w:themeColor="text1" w:themeTint="BF"/>
                <w:sz w:val="20"/>
                <w:szCs w:val="20"/>
                <w:lang w:eastAsia="en-AU"/>
              </w:rPr>
              <w:t>Supporting Private Sector Development in Fiji</w:t>
            </w:r>
          </w:p>
        </w:tc>
        <w:tc>
          <w:tcPr>
            <w:tcW w:w="1134" w:type="dxa"/>
            <w:tcBorders>
              <w:left w:val="single" w:sz="4" w:space="0" w:color="65C5B4" w:themeColor="accent1"/>
              <w:bottom w:val="nil"/>
              <w:right w:val="single" w:sz="4" w:space="0" w:color="65C5B4" w:themeColor="accent1"/>
            </w:tcBorders>
            <w:shd w:val="clear" w:color="auto" w:fill="F2F2F2" w:themeFill="background1" w:themeFillShade="F2"/>
            <w:hideMark/>
          </w:tcPr>
          <w:p w14:paraId="615EF094" w14:textId="68CD8B0A" w:rsidR="00D7310B" w:rsidRPr="00CA5021" w:rsidRDefault="00D7310B" w:rsidP="0031567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w:t>
            </w:r>
            <w:r w:rsidR="00EE0466">
              <w:rPr>
                <w:rFonts w:asciiTheme="minorHAnsi" w:eastAsia="Times New Roman" w:hAnsiTheme="minorHAnsi" w:cstheme="minorHAnsi"/>
                <w:color w:val="000000"/>
                <w:sz w:val="20"/>
                <w:szCs w:val="20"/>
                <w:lang w:eastAsia="en-AU"/>
              </w:rPr>
              <w:t>2</w:t>
            </w:r>
            <w:r w:rsidR="002443C7">
              <w:rPr>
                <w:rFonts w:asciiTheme="minorHAnsi" w:eastAsia="Times New Roman" w:hAnsiTheme="minorHAnsi" w:cstheme="minorHAnsi"/>
                <w:color w:val="000000"/>
                <w:sz w:val="20"/>
                <w:szCs w:val="20"/>
                <w:lang w:eastAsia="en-AU"/>
              </w:rPr>
              <w:t>2</w:t>
            </w:r>
            <w:r w:rsidR="00193C49">
              <w:rPr>
                <w:rFonts w:asciiTheme="minorHAnsi" w:eastAsia="Times New Roman" w:hAnsiTheme="minorHAnsi" w:cstheme="minorHAnsi"/>
                <w:color w:val="000000"/>
                <w:sz w:val="20"/>
                <w:szCs w:val="20"/>
                <w:lang w:eastAsia="en-AU"/>
              </w:rPr>
              <w:t xml:space="preserve"> </w:t>
            </w:r>
            <w:r w:rsidR="00A96364">
              <w:rPr>
                <w:rFonts w:asciiTheme="minorHAnsi" w:eastAsia="Times New Roman" w:hAnsiTheme="minorHAnsi" w:cstheme="minorHAnsi"/>
                <w:color w:val="000000"/>
                <w:sz w:val="20"/>
                <w:szCs w:val="20"/>
                <w:lang w:eastAsia="en-AU"/>
              </w:rPr>
              <w:t>FIMR</w:t>
            </w:r>
          </w:p>
        </w:tc>
        <w:tc>
          <w:tcPr>
            <w:tcW w:w="1276" w:type="dxa"/>
            <w:tcBorders>
              <w:left w:val="single" w:sz="4" w:space="0" w:color="65C5B4" w:themeColor="accent1"/>
              <w:bottom w:val="nil"/>
              <w:right w:val="single" w:sz="4" w:space="0" w:color="65C5B4" w:themeColor="accent1"/>
            </w:tcBorders>
            <w:shd w:val="clear" w:color="auto" w:fill="F2F2F2" w:themeFill="background1" w:themeFillShade="F2"/>
            <w:noWrap/>
            <w:hideMark/>
          </w:tcPr>
          <w:p w14:paraId="12403CED" w14:textId="30E4E88D" w:rsidR="00D7310B" w:rsidRPr="00CA5021" w:rsidRDefault="00EE0466" w:rsidP="0031567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c>
          <w:tcPr>
            <w:tcW w:w="1134" w:type="dxa"/>
            <w:tcBorders>
              <w:left w:val="single" w:sz="4" w:space="0" w:color="65C5B4" w:themeColor="accent1"/>
              <w:bottom w:val="nil"/>
              <w:right w:val="single" w:sz="4" w:space="0" w:color="65C5B4" w:themeColor="accent1"/>
            </w:tcBorders>
            <w:shd w:val="clear" w:color="auto" w:fill="F2F2F2" w:themeFill="background1" w:themeFillShade="F2"/>
            <w:noWrap/>
            <w:hideMark/>
          </w:tcPr>
          <w:p w14:paraId="456E1DCC" w14:textId="1AD50E47" w:rsidR="00D7310B" w:rsidRPr="00CA5021" w:rsidRDefault="779E91C4" w:rsidP="57FCC3D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color w:val="000000" w:themeColor="text1"/>
                <w:sz w:val="20"/>
                <w:szCs w:val="20"/>
                <w:lang w:eastAsia="en-AU"/>
              </w:rPr>
              <w:t>3</w:t>
            </w:r>
          </w:p>
        </w:tc>
        <w:tc>
          <w:tcPr>
            <w:tcW w:w="1276" w:type="dxa"/>
            <w:tcBorders>
              <w:left w:val="single" w:sz="4" w:space="0" w:color="65C5B4" w:themeColor="accent1"/>
              <w:bottom w:val="nil"/>
            </w:tcBorders>
            <w:shd w:val="clear" w:color="auto" w:fill="F2F2F2" w:themeFill="background1" w:themeFillShade="F2"/>
            <w:noWrap/>
            <w:hideMark/>
          </w:tcPr>
          <w:p w14:paraId="2C7A02D0" w14:textId="0E1747C6" w:rsidR="00D7310B" w:rsidRPr="00CA5021" w:rsidRDefault="009A2619" w:rsidP="0031567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3</w:t>
            </w:r>
          </w:p>
        </w:tc>
      </w:tr>
      <w:tr w:rsidR="00D7310B" w:rsidRPr="00AF18F4" w14:paraId="48A88951" w14:textId="77777777" w:rsidTr="00661A4E">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right w:val="single" w:sz="4" w:space="0" w:color="65C5B4" w:themeColor="accent1"/>
            </w:tcBorders>
            <w:shd w:val="clear" w:color="auto" w:fill="F2F2F2" w:themeFill="background1" w:themeFillShade="F2"/>
            <w:hideMark/>
          </w:tcPr>
          <w:p w14:paraId="7C9CCC70" w14:textId="2771803C" w:rsidR="00D7310B" w:rsidRPr="00CA5021" w:rsidRDefault="77AE8276" w:rsidP="008A3BB9">
            <w:pPr>
              <w:suppressAutoHyphens w:val="0"/>
              <w:spacing w:before="0" w:after="0" w:line="240" w:lineRule="auto"/>
              <w:ind w:firstLineChars="100" w:firstLine="200"/>
              <w:rPr>
                <w:rFonts w:asciiTheme="minorHAnsi" w:eastAsia="Times New Roman" w:hAnsiTheme="minorHAnsi"/>
                <w:color w:val="404040"/>
                <w:sz w:val="20"/>
                <w:szCs w:val="20"/>
                <w:lang w:val="en-AU" w:eastAsia="en-AU"/>
              </w:rPr>
            </w:pPr>
            <w:r w:rsidRPr="008A3BB9">
              <w:rPr>
                <w:rFonts w:asciiTheme="minorHAnsi" w:eastAsia="Times New Roman" w:hAnsiTheme="minorHAnsi" w:cstheme="minorHAnsi"/>
                <w:color w:val="404040" w:themeColor="text1" w:themeTint="BF"/>
                <w:sz w:val="20"/>
                <w:szCs w:val="20"/>
                <w:lang w:val="en-AU" w:eastAsia="en-AU"/>
              </w:rPr>
              <w:t>Investment</w:t>
            </w:r>
            <w:r w:rsidRPr="57FCC3D3">
              <w:rPr>
                <w:rFonts w:asciiTheme="minorHAnsi" w:eastAsia="Times New Roman" w:hAnsiTheme="minorHAnsi"/>
                <w:color w:val="404040" w:themeColor="text1" w:themeTint="BF"/>
                <w:sz w:val="20"/>
                <w:szCs w:val="20"/>
                <w:lang w:val="en-AU" w:eastAsia="en-AU"/>
              </w:rPr>
              <w:t xml:space="preserve"> d</w:t>
            </w:r>
            <w:r w:rsidR="3AF51230" w:rsidRPr="57FCC3D3">
              <w:rPr>
                <w:rFonts w:asciiTheme="minorHAnsi" w:eastAsia="Times New Roman" w:hAnsiTheme="minorHAnsi"/>
                <w:color w:val="404040" w:themeColor="text1" w:themeTint="BF"/>
                <w:sz w:val="20"/>
                <w:szCs w:val="20"/>
                <w:lang w:val="en-AU" w:eastAsia="en-AU"/>
              </w:rPr>
              <w:t>uration: 201</w:t>
            </w:r>
            <w:r w:rsidR="4A0EDB8E" w:rsidRPr="57FCC3D3">
              <w:rPr>
                <w:rFonts w:asciiTheme="minorHAnsi" w:eastAsia="Times New Roman" w:hAnsiTheme="minorHAnsi"/>
                <w:color w:val="404040" w:themeColor="text1" w:themeTint="BF"/>
                <w:sz w:val="20"/>
                <w:szCs w:val="20"/>
                <w:lang w:val="en-AU" w:eastAsia="en-AU"/>
              </w:rPr>
              <w:t>6</w:t>
            </w:r>
            <w:r w:rsidR="3AF51230" w:rsidRPr="57FCC3D3">
              <w:rPr>
                <w:rFonts w:asciiTheme="minorHAnsi" w:eastAsia="Times New Roman" w:hAnsiTheme="minorHAnsi"/>
                <w:color w:val="404040" w:themeColor="text1" w:themeTint="BF"/>
                <w:sz w:val="20"/>
                <w:szCs w:val="20"/>
                <w:lang w:val="en-AU" w:eastAsia="en-AU"/>
              </w:rPr>
              <w:t>-</w:t>
            </w:r>
            <w:r w:rsidR="7363DC37" w:rsidRPr="57FCC3D3">
              <w:rPr>
                <w:rFonts w:asciiTheme="minorHAnsi" w:eastAsia="Times New Roman" w:hAnsiTheme="minorHAnsi"/>
                <w:color w:val="404040" w:themeColor="text1" w:themeTint="BF"/>
                <w:sz w:val="20"/>
                <w:szCs w:val="20"/>
                <w:lang w:val="en-AU" w:eastAsia="en-AU"/>
              </w:rPr>
              <w:t>21</w:t>
            </w:r>
            <w:r w:rsidR="3AF51230" w:rsidRPr="57FCC3D3">
              <w:rPr>
                <w:rFonts w:asciiTheme="minorHAnsi" w:eastAsia="Times New Roman" w:hAnsiTheme="minorHAnsi"/>
                <w:color w:val="404040" w:themeColor="text1" w:themeTint="BF"/>
                <w:sz w:val="20"/>
                <w:szCs w:val="20"/>
                <w:lang w:val="en-AU" w:eastAsia="en-AU"/>
              </w:rPr>
              <w:t>; Budget</w:t>
            </w:r>
            <w:r w:rsidR="00205710">
              <w:rPr>
                <w:rFonts w:asciiTheme="minorHAnsi" w:eastAsia="Times New Roman" w:hAnsiTheme="minorHAnsi"/>
                <w:color w:val="404040" w:themeColor="text1" w:themeTint="BF"/>
                <w:sz w:val="20"/>
                <w:szCs w:val="20"/>
                <w:lang w:val="en-AU" w:eastAsia="en-AU"/>
              </w:rPr>
              <w:t>;</w:t>
            </w:r>
            <w:r w:rsidR="3AF51230" w:rsidRPr="57FCC3D3">
              <w:rPr>
                <w:rFonts w:asciiTheme="minorHAnsi" w:eastAsia="Times New Roman" w:hAnsiTheme="minorHAnsi"/>
                <w:color w:val="404040" w:themeColor="text1" w:themeTint="BF"/>
                <w:sz w:val="20"/>
                <w:szCs w:val="20"/>
                <w:lang w:val="en-AU" w:eastAsia="en-AU"/>
              </w:rPr>
              <w:t xml:space="preserve"> $</w:t>
            </w:r>
            <w:r w:rsidR="6EAA12D9" w:rsidRPr="57FCC3D3">
              <w:rPr>
                <w:rFonts w:asciiTheme="minorHAnsi" w:eastAsia="Times New Roman" w:hAnsiTheme="minorHAnsi"/>
                <w:color w:val="404040" w:themeColor="text1" w:themeTint="BF"/>
                <w:sz w:val="20"/>
                <w:szCs w:val="20"/>
                <w:lang w:val="en-AU" w:eastAsia="en-AU"/>
              </w:rPr>
              <w:t>1</w:t>
            </w:r>
            <w:r w:rsidR="3AF51230" w:rsidRPr="57FCC3D3">
              <w:rPr>
                <w:rFonts w:asciiTheme="minorHAnsi" w:eastAsia="Times New Roman" w:hAnsiTheme="minorHAnsi"/>
                <w:color w:val="404040" w:themeColor="text1" w:themeTint="BF"/>
                <w:sz w:val="20"/>
                <w:szCs w:val="20"/>
                <w:lang w:val="en-AU" w:eastAsia="en-AU"/>
              </w:rPr>
              <w:t>5.</w:t>
            </w:r>
            <w:r w:rsidR="3E889A30" w:rsidRPr="57FCC3D3">
              <w:rPr>
                <w:rFonts w:asciiTheme="minorHAnsi" w:eastAsia="Times New Roman" w:hAnsiTheme="minorHAnsi"/>
                <w:color w:val="404040" w:themeColor="text1" w:themeTint="BF"/>
                <w:sz w:val="20"/>
                <w:szCs w:val="20"/>
                <w:lang w:val="en-AU" w:eastAsia="en-AU"/>
              </w:rPr>
              <w:t>1</w:t>
            </w:r>
            <w:r w:rsidR="3AF51230" w:rsidRPr="57FCC3D3">
              <w:rPr>
                <w:rFonts w:asciiTheme="minorHAnsi" w:eastAsia="Times New Roman" w:hAnsiTheme="minorHAnsi"/>
                <w:color w:val="404040" w:themeColor="text1" w:themeTint="BF"/>
                <w:sz w:val="20"/>
                <w:szCs w:val="20"/>
                <w:lang w:val="en-AU" w:eastAsia="en-AU"/>
              </w:rPr>
              <w:t xml:space="preserve">m </w:t>
            </w:r>
          </w:p>
        </w:tc>
        <w:tc>
          <w:tcPr>
            <w:tcW w:w="1134" w:type="dxa"/>
            <w:tcBorders>
              <w:top w:val="nil"/>
              <w:left w:val="single" w:sz="4" w:space="0" w:color="65C5B4" w:themeColor="accent1"/>
              <w:right w:val="single" w:sz="4" w:space="0" w:color="65C5B4" w:themeColor="accent1"/>
            </w:tcBorders>
            <w:shd w:val="clear" w:color="auto" w:fill="F2F2F2" w:themeFill="background1" w:themeFillShade="F2"/>
            <w:hideMark/>
          </w:tcPr>
          <w:p w14:paraId="265BD1DC" w14:textId="7B737E56" w:rsidR="00193C49" w:rsidRPr="00CA5021" w:rsidRDefault="00D7310B" w:rsidP="00FC536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w:t>
            </w:r>
            <w:r w:rsidR="00A96364">
              <w:rPr>
                <w:rFonts w:asciiTheme="minorHAnsi" w:eastAsia="Times New Roman" w:hAnsiTheme="minorHAnsi" w:cstheme="minorHAnsi"/>
                <w:color w:val="000000"/>
                <w:sz w:val="20"/>
                <w:szCs w:val="20"/>
                <w:lang w:eastAsia="en-AU"/>
              </w:rPr>
              <w:t>2</w:t>
            </w:r>
            <w:r w:rsidR="00ED179A">
              <w:rPr>
                <w:rFonts w:asciiTheme="minorHAnsi" w:eastAsia="Times New Roman" w:hAnsiTheme="minorHAnsi" w:cstheme="minorHAnsi"/>
                <w:color w:val="000000"/>
                <w:sz w:val="20"/>
                <w:szCs w:val="20"/>
                <w:lang w:eastAsia="en-AU"/>
              </w:rPr>
              <w:t>1</w:t>
            </w:r>
            <w:r w:rsidR="00FC5365">
              <w:rPr>
                <w:rFonts w:asciiTheme="minorHAnsi" w:eastAsia="Times New Roman" w:hAnsiTheme="minorHAnsi" w:cstheme="minorHAnsi"/>
                <w:color w:val="000000"/>
                <w:sz w:val="20"/>
                <w:szCs w:val="20"/>
                <w:lang w:eastAsia="en-AU"/>
              </w:rPr>
              <w:t xml:space="preserve"> </w:t>
            </w:r>
            <w:r w:rsidR="00A96364">
              <w:rPr>
                <w:rFonts w:asciiTheme="minorHAnsi" w:eastAsia="Times New Roman" w:hAnsiTheme="minorHAnsi" w:cstheme="minorHAnsi"/>
                <w:color w:val="000000"/>
                <w:sz w:val="20"/>
                <w:szCs w:val="20"/>
                <w:lang w:eastAsia="en-AU"/>
              </w:rPr>
              <w:t>IMR</w:t>
            </w:r>
          </w:p>
        </w:tc>
        <w:tc>
          <w:tcPr>
            <w:tcW w:w="1276" w:type="dxa"/>
            <w:tcBorders>
              <w:top w:val="nil"/>
              <w:left w:val="single" w:sz="4" w:space="0" w:color="65C5B4" w:themeColor="accent1"/>
              <w:right w:val="single" w:sz="4" w:space="0" w:color="65C5B4" w:themeColor="accent1"/>
            </w:tcBorders>
            <w:shd w:val="clear" w:color="auto" w:fill="F2F2F2" w:themeFill="background1" w:themeFillShade="F2"/>
            <w:noWrap/>
            <w:hideMark/>
          </w:tcPr>
          <w:p w14:paraId="2B8EB16D" w14:textId="774CC69D" w:rsidR="00D7310B" w:rsidRPr="00CA5021" w:rsidRDefault="68661AD2" w:rsidP="57FCC3D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val="en-AU" w:eastAsia="en-AU"/>
              </w:rPr>
            </w:pPr>
            <w:r w:rsidRPr="57FCC3D3">
              <w:rPr>
                <w:rFonts w:asciiTheme="minorHAnsi" w:eastAsia="Times New Roman" w:hAnsiTheme="minorHAnsi"/>
                <w:color w:val="000000" w:themeColor="text1"/>
                <w:sz w:val="20"/>
                <w:szCs w:val="20"/>
                <w:lang w:val="en-AU" w:eastAsia="en-AU"/>
              </w:rPr>
              <w:t>4</w:t>
            </w:r>
          </w:p>
        </w:tc>
        <w:tc>
          <w:tcPr>
            <w:tcW w:w="1134" w:type="dxa"/>
            <w:tcBorders>
              <w:top w:val="nil"/>
              <w:left w:val="single" w:sz="4" w:space="0" w:color="65C5B4" w:themeColor="accent1"/>
              <w:right w:val="single" w:sz="4" w:space="0" w:color="65C5B4" w:themeColor="accent1"/>
            </w:tcBorders>
            <w:shd w:val="clear" w:color="auto" w:fill="F2F2F2" w:themeFill="background1" w:themeFillShade="F2"/>
            <w:noWrap/>
            <w:hideMark/>
          </w:tcPr>
          <w:p w14:paraId="1C396789" w14:textId="005D814B" w:rsidR="00D7310B" w:rsidRPr="00CA5021" w:rsidRDefault="68661AD2" w:rsidP="57FCC3D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val="en-AU" w:eastAsia="en-AU"/>
              </w:rPr>
            </w:pPr>
            <w:r w:rsidRPr="57FCC3D3">
              <w:rPr>
                <w:rFonts w:asciiTheme="minorHAnsi" w:eastAsia="Times New Roman" w:hAnsiTheme="minorHAnsi"/>
                <w:color w:val="000000" w:themeColor="text1"/>
                <w:sz w:val="20"/>
                <w:szCs w:val="20"/>
                <w:lang w:val="en-AU" w:eastAsia="en-AU"/>
              </w:rPr>
              <w:t>4</w:t>
            </w:r>
          </w:p>
        </w:tc>
        <w:tc>
          <w:tcPr>
            <w:tcW w:w="1276" w:type="dxa"/>
            <w:tcBorders>
              <w:top w:val="nil"/>
              <w:left w:val="single" w:sz="4" w:space="0" w:color="65C5B4" w:themeColor="accent1"/>
            </w:tcBorders>
            <w:shd w:val="clear" w:color="auto" w:fill="F2F2F2" w:themeFill="background1" w:themeFillShade="F2"/>
            <w:noWrap/>
            <w:hideMark/>
          </w:tcPr>
          <w:p w14:paraId="6145AA71" w14:textId="12B50951" w:rsidR="00D7310B" w:rsidRPr="00CA5021" w:rsidRDefault="00EE0466" w:rsidP="0031567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bl>
    <w:p w14:paraId="2DE554C1" w14:textId="55AD7A0A" w:rsidR="00FD710F" w:rsidRDefault="691F8CBF" w:rsidP="00A513D8">
      <w:pPr>
        <w:pStyle w:val="Heading2"/>
      </w:pPr>
      <w:r>
        <w:t xml:space="preserve">HUMANITARIAN Investment Performance ratings   </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FD710F" w:rsidRPr="00AF18F4" w14:paraId="06C6B937" w14:textId="77777777" w:rsidTr="00A658EF">
        <w:trPr>
          <w:cnfStyle w:val="100000000000" w:firstRow="1" w:lastRow="0" w:firstColumn="0" w:lastColumn="0" w:oddVBand="0" w:evenVBand="0" w:oddHBand="0" w:evenHBand="0" w:firstRowFirstColumn="0" w:firstRowLastColumn="0" w:lastRowFirstColumn="0" w:lastRowLastColumn="0"/>
          <w:trHeight w:hRule="exact" w:val="614"/>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tcBorders>
            <w:shd w:val="clear" w:color="auto" w:fill="A2DCD1" w:themeFill="accent1" w:themeFillTint="99"/>
            <w:noWrap/>
            <w:vAlign w:val="center"/>
            <w:hideMark/>
          </w:tcPr>
          <w:p w14:paraId="51F13FFC" w14:textId="77777777" w:rsidR="00FD710F" w:rsidRPr="005736BB" w:rsidRDefault="00FD710F" w:rsidP="00315676">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134" w:type="dxa"/>
            <w:tcBorders>
              <w:top w:val="none" w:sz="0" w:space="0" w:color="auto"/>
            </w:tcBorders>
            <w:shd w:val="clear" w:color="auto" w:fill="A2DCD1" w:themeFill="accent1" w:themeFillTint="99"/>
            <w:noWrap/>
            <w:vAlign w:val="center"/>
            <w:hideMark/>
          </w:tcPr>
          <w:p w14:paraId="2F309884" w14:textId="77777777" w:rsidR="00FD710F" w:rsidRPr="005736BB" w:rsidRDefault="00FD710F" w:rsidP="0031567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276" w:type="dxa"/>
            <w:tcBorders>
              <w:top w:val="none" w:sz="0" w:space="0" w:color="auto"/>
            </w:tcBorders>
            <w:shd w:val="clear" w:color="auto" w:fill="A2DCD1" w:themeFill="accent1" w:themeFillTint="99"/>
            <w:noWrap/>
            <w:vAlign w:val="center"/>
            <w:hideMark/>
          </w:tcPr>
          <w:p w14:paraId="7657BDFE" w14:textId="77777777" w:rsidR="00FD710F" w:rsidRPr="005736BB" w:rsidRDefault="00FD710F" w:rsidP="0031567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1134" w:type="dxa"/>
            <w:tcBorders>
              <w:top w:val="none" w:sz="0" w:space="0" w:color="auto"/>
            </w:tcBorders>
            <w:shd w:val="clear" w:color="auto" w:fill="A2DCD1" w:themeFill="accent1" w:themeFillTint="99"/>
            <w:noWrap/>
            <w:vAlign w:val="center"/>
            <w:hideMark/>
          </w:tcPr>
          <w:p w14:paraId="1F20A266" w14:textId="77777777" w:rsidR="00FD710F" w:rsidRPr="005736BB" w:rsidRDefault="00FD710F" w:rsidP="0031567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1276" w:type="dxa"/>
            <w:tcBorders>
              <w:top w:val="none" w:sz="0" w:space="0" w:color="auto"/>
            </w:tcBorders>
            <w:shd w:val="clear" w:color="auto" w:fill="A2DCD1" w:themeFill="accent1" w:themeFillTint="99"/>
            <w:noWrap/>
            <w:vAlign w:val="center"/>
            <w:hideMark/>
          </w:tcPr>
          <w:p w14:paraId="4202F6E6" w14:textId="77777777" w:rsidR="00FD710F" w:rsidRPr="005736BB" w:rsidRDefault="00FD710F" w:rsidP="0031567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FD710F" w:rsidRPr="00AF18F4" w14:paraId="5AD38D57" w14:textId="77777777" w:rsidTr="00A658EF">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il"/>
            </w:tcBorders>
            <w:shd w:val="clear" w:color="auto" w:fill="F2F2F2" w:themeFill="background1" w:themeFillShade="F2"/>
            <w:vAlign w:val="bottom"/>
            <w:hideMark/>
          </w:tcPr>
          <w:p w14:paraId="10BC166D" w14:textId="75A3CD32" w:rsidR="00FD710F" w:rsidRPr="00CA5021" w:rsidRDefault="50882877" w:rsidP="57FCC3D3">
            <w:pPr>
              <w:spacing w:before="0" w:after="0" w:line="240" w:lineRule="auto"/>
              <w:rPr>
                <w:rFonts w:asciiTheme="minorHAnsi" w:eastAsia="Times New Roman" w:hAnsiTheme="minorHAnsi"/>
                <w:b/>
                <w:bCs/>
                <w:sz w:val="20"/>
                <w:szCs w:val="20"/>
                <w:lang w:eastAsia="en-AU"/>
              </w:rPr>
            </w:pPr>
            <w:r w:rsidRPr="57FCC3D3">
              <w:rPr>
                <w:rFonts w:asciiTheme="minorHAnsi" w:eastAsia="Times New Roman" w:hAnsiTheme="minorHAnsi"/>
                <w:b/>
                <w:bCs/>
                <w:color w:val="404040" w:themeColor="text1" w:themeTint="BF"/>
                <w:sz w:val="20"/>
                <w:szCs w:val="20"/>
                <w:lang w:eastAsia="en-AU"/>
              </w:rPr>
              <w:t xml:space="preserve">Fiji COVID-19 Humanitarian Response </w:t>
            </w:r>
          </w:p>
        </w:tc>
        <w:tc>
          <w:tcPr>
            <w:tcW w:w="1134" w:type="dxa"/>
            <w:tcBorders>
              <w:top w:val="none" w:sz="0" w:space="0" w:color="auto"/>
              <w:bottom w:val="nil"/>
            </w:tcBorders>
            <w:shd w:val="clear" w:color="auto" w:fill="F2F2F2" w:themeFill="background1" w:themeFillShade="F2"/>
            <w:hideMark/>
          </w:tcPr>
          <w:p w14:paraId="1AB503DB" w14:textId="18C2B429" w:rsidR="00FD710F" w:rsidRPr="00CA5021" w:rsidRDefault="00FD710F" w:rsidP="0031567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w:t>
            </w:r>
            <w:r>
              <w:rPr>
                <w:rFonts w:asciiTheme="minorHAnsi" w:eastAsia="Times New Roman" w:hAnsiTheme="minorHAnsi" w:cstheme="minorHAnsi"/>
                <w:color w:val="000000"/>
                <w:sz w:val="20"/>
                <w:szCs w:val="20"/>
                <w:lang w:eastAsia="en-AU"/>
              </w:rPr>
              <w:t>2</w:t>
            </w:r>
            <w:r w:rsidR="00ED179A">
              <w:rPr>
                <w:rFonts w:asciiTheme="minorHAnsi" w:eastAsia="Times New Roman" w:hAnsiTheme="minorHAnsi" w:cstheme="minorHAnsi"/>
                <w:color w:val="000000"/>
                <w:sz w:val="20"/>
                <w:szCs w:val="20"/>
                <w:lang w:eastAsia="en-AU"/>
              </w:rPr>
              <w:t>2</w:t>
            </w:r>
            <w:r>
              <w:rPr>
                <w:rFonts w:asciiTheme="minorHAnsi" w:eastAsia="Times New Roman" w:hAnsiTheme="minorHAnsi" w:cstheme="minorHAnsi"/>
                <w:color w:val="000000"/>
                <w:sz w:val="20"/>
                <w:szCs w:val="20"/>
                <w:lang w:eastAsia="en-AU"/>
              </w:rPr>
              <w:t xml:space="preserve"> </w:t>
            </w:r>
            <w:r w:rsidR="00F32F70">
              <w:rPr>
                <w:rFonts w:asciiTheme="minorHAnsi" w:eastAsia="Times New Roman" w:hAnsiTheme="minorHAnsi" w:cstheme="minorHAnsi"/>
                <w:color w:val="000000"/>
                <w:sz w:val="20"/>
                <w:szCs w:val="20"/>
                <w:lang w:eastAsia="en-AU"/>
              </w:rPr>
              <w:t>HIMR</w:t>
            </w:r>
          </w:p>
        </w:tc>
        <w:tc>
          <w:tcPr>
            <w:tcW w:w="1276" w:type="dxa"/>
            <w:tcBorders>
              <w:top w:val="none" w:sz="0" w:space="0" w:color="auto"/>
              <w:bottom w:val="nil"/>
            </w:tcBorders>
            <w:shd w:val="clear" w:color="auto" w:fill="F2F2F2" w:themeFill="background1" w:themeFillShade="F2"/>
            <w:noWrap/>
            <w:hideMark/>
          </w:tcPr>
          <w:p w14:paraId="2D619B23" w14:textId="0EFD8094" w:rsidR="00FD710F" w:rsidRPr="00CA5021" w:rsidRDefault="737F4FC4" w:rsidP="57FCC3D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val="en-AU" w:eastAsia="en-AU"/>
              </w:rPr>
            </w:pPr>
            <w:r w:rsidRPr="57FCC3D3">
              <w:rPr>
                <w:rFonts w:asciiTheme="minorHAnsi" w:eastAsia="Times New Roman" w:hAnsiTheme="minorHAnsi"/>
                <w:color w:val="000000" w:themeColor="text1"/>
                <w:sz w:val="20"/>
                <w:szCs w:val="20"/>
                <w:lang w:val="en-AU" w:eastAsia="en-AU"/>
              </w:rPr>
              <w:t>5</w:t>
            </w:r>
          </w:p>
        </w:tc>
        <w:tc>
          <w:tcPr>
            <w:tcW w:w="1134" w:type="dxa"/>
            <w:tcBorders>
              <w:top w:val="none" w:sz="0" w:space="0" w:color="auto"/>
              <w:bottom w:val="nil"/>
            </w:tcBorders>
            <w:shd w:val="clear" w:color="auto" w:fill="F2F2F2" w:themeFill="background1" w:themeFillShade="F2"/>
            <w:noWrap/>
            <w:hideMark/>
          </w:tcPr>
          <w:p w14:paraId="1489587F" w14:textId="59DAE737" w:rsidR="00FD710F" w:rsidRPr="00CA5021" w:rsidRDefault="737F4FC4" w:rsidP="57FCC3D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color w:val="000000" w:themeColor="text1"/>
                <w:sz w:val="20"/>
                <w:szCs w:val="20"/>
                <w:lang w:eastAsia="en-AU"/>
              </w:rPr>
              <w:t>5</w:t>
            </w:r>
          </w:p>
        </w:tc>
        <w:tc>
          <w:tcPr>
            <w:tcW w:w="1276" w:type="dxa"/>
            <w:tcBorders>
              <w:top w:val="none" w:sz="0" w:space="0" w:color="auto"/>
              <w:bottom w:val="nil"/>
            </w:tcBorders>
            <w:shd w:val="clear" w:color="auto" w:fill="F2F2F2" w:themeFill="background1" w:themeFillShade="F2"/>
            <w:noWrap/>
            <w:hideMark/>
          </w:tcPr>
          <w:p w14:paraId="7414BE40" w14:textId="127A7673" w:rsidR="00FD710F" w:rsidRPr="00CA5021" w:rsidRDefault="737F4FC4" w:rsidP="57FCC3D3">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sz w:val="20"/>
                <w:szCs w:val="20"/>
                <w:lang w:eastAsia="en-AU"/>
              </w:rPr>
            </w:pPr>
            <w:r w:rsidRPr="57FCC3D3">
              <w:rPr>
                <w:rFonts w:asciiTheme="minorHAnsi" w:eastAsia="Times New Roman" w:hAnsiTheme="minorHAnsi"/>
                <w:color w:val="000000" w:themeColor="text1"/>
                <w:sz w:val="20"/>
                <w:szCs w:val="20"/>
                <w:lang w:eastAsia="en-AU"/>
              </w:rPr>
              <w:t>4</w:t>
            </w:r>
          </w:p>
        </w:tc>
      </w:tr>
      <w:tr w:rsidR="00FD710F" w:rsidRPr="00AF18F4" w14:paraId="7509BD38" w14:textId="77777777" w:rsidTr="00A658EF">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bottom w:val="none" w:sz="0" w:space="0" w:color="auto"/>
            </w:tcBorders>
            <w:shd w:val="clear" w:color="auto" w:fill="F2F2F2" w:themeFill="background1" w:themeFillShade="F2"/>
            <w:hideMark/>
          </w:tcPr>
          <w:p w14:paraId="00E2389F" w14:textId="4D0E1F32" w:rsidR="00FD710F" w:rsidRPr="00CA5021" w:rsidRDefault="691F8CBF" w:rsidP="008A3BB9">
            <w:pPr>
              <w:suppressAutoHyphens w:val="0"/>
              <w:spacing w:before="0" w:after="0" w:line="240" w:lineRule="auto"/>
              <w:ind w:firstLineChars="100" w:firstLine="200"/>
              <w:rPr>
                <w:rFonts w:asciiTheme="minorHAnsi" w:eastAsia="Times New Roman" w:hAnsiTheme="minorHAnsi"/>
                <w:color w:val="404040"/>
                <w:sz w:val="20"/>
                <w:szCs w:val="20"/>
                <w:lang w:val="en-AU" w:eastAsia="en-AU"/>
              </w:rPr>
            </w:pPr>
            <w:r w:rsidRPr="008A3BB9">
              <w:rPr>
                <w:rFonts w:asciiTheme="minorHAnsi" w:eastAsia="Times New Roman" w:hAnsiTheme="minorHAnsi" w:cstheme="minorHAnsi"/>
                <w:color w:val="404040" w:themeColor="text1" w:themeTint="BF"/>
                <w:sz w:val="20"/>
                <w:szCs w:val="20"/>
                <w:lang w:val="en-AU" w:eastAsia="en-AU"/>
              </w:rPr>
              <w:t>Investment</w:t>
            </w:r>
            <w:r w:rsidRPr="57FCC3D3">
              <w:rPr>
                <w:rFonts w:asciiTheme="minorHAnsi" w:eastAsia="Times New Roman" w:hAnsiTheme="minorHAnsi"/>
                <w:color w:val="404040" w:themeColor="text1" w:themeTint="BF"/>
                <w:sz w:val="20"/>
                <w:szCs w:val="20"/>
                <w:lang w:val="en-AU" w:eastAsia="en-AU"/>
              </w:rPr>
              <w:t xml:space="preserve"> duration: 20</w:t>
            </w:r>
            <w:r w:rsidR="4AB6941E" w:rsidRPr="57FCC3D3">
              <w:rPr>
                <w:rFonts w:asciiTheme="minorHAnsi" w:eastAsia="Times New Roman" w:hAnsiTheme="minorHAnsi"/>
                <w:color w:val="404040" w:themeColor="text1" w:themeTint="BF"/>
                <w:sz w:val="20"/>
                <w:szCs w:val="20"/>
                <w:lang w:val="en-AU" w:eastAsia="en-AU"/>
              </w:rPr>
              <w:t>2</w:t>
            </w:r>
            <w:r w:rsidRPr="57FCC3D3">
              <w:rPr>
                <w:rFonts w:asciiTheme="minorHAnsi" w:eastAsia="Times New Roman" w:hAnsiTheme="minorHAnsi"/>
                <w:color w:val="404040" w:themeColor="text1" w:themeTint="BF"/>
                <w:sz w:val="20"/>
                <w:szCs w:val="20"/>
                <w:lang w:val="en-AU" w:eastAsia="en-AU"/>
              </w:rPr>
              <w:t>1-</w:t>
            </w:r>
            <w:r w:rsidR="13B827CB" w:rsidRPr="57FCC3D3">
              <w:rPr>
                <w:rFonts w:asciiTheme="minorHAnsi" w:eastAsia="Times New Roman" w:hAnsiTheme="minorHAnsi"/>
                <w:color w:val="404040" w:themeColor="text1" w:themeTint="BF"/>
                <w:sz w:val="20"/>
                <w:szCs w:val="20"/>
                <w:lang w:val="en-AU" w:eastAsia="en-AU"/>
              </w:rPr>
              <w:t>22</w:t>
            </w:r>
            <w:r w:rsidRPr="57FCC3D3">
              <w:rPr>
                <w:rFonts w:asciiTheme="minorHAnsi" w:eastAsia="Times New Roman" w:hAnsiTheme="minorHAnsi"/>
                <w:color w:val="404040" w:themeColor="text1" w:themeTint="BF"/>
                <w:sz w:val="20"/>
                <w:szCs w:val="20"/>
                <w:lang w:val="en-AU" w:eastAsia="en-AU"/>
              </w:rPr>
              <w:t>; Budget: $5.</w:t>
            </w:r>
            <w:r w:rsidR="01241769" w:rsidRPr="57FCC3D3">
              <w:rPr>
                <w:rFonts w:asciiTheme="minorHAnsi" w:eastAsia="Times New Roman" w:hAnsiTheme="minorHAnsi"/>
                <w:color w:val="404040" w:themeColor="text1" w:themeTint="BF"/>
                <w:sz w:val="20"/>
                <w:szCs w:val="20"/>
                <w:lang w:val="en-AU" w:eastAsia="en-AU"/>
              </w:rPr>
              <w:t>2</w:t>
            </w:r>
            <w:r w:rsidRPr="57FCC3D3">
              <w:rPr>
                <w:rFonts w:asciiTheme="minorHAnsi" w:eastAsia="Times New Roman" w:hAnsiTheme="minorHAnsi"/>
                <w:color w:val="404040" w:themeColor="text1" w:themeTint="BF"/>
                <w:sz w:val="20"/>
                <w:szCs w:val="20"/>
                <w:lang w:val="en-AU" w:eastAsia="en-AU"/>
              </w:rPr>
              <w:t xml:space="preserve">m </w:t>
            </w:r>
          </w:p>
        </w:tc>
        <w:tc>
          <w:tcPr>
            <w:tcW w:w="1134" w:type="dxa"/>
            <w:tcBorders>
              <w:top w:val="nil"/>
              <w:bottom w:val="none" w:sz="0" w:space="0" w:color="auto"/>
            </w:tcBorders>
            <w:shd w:val="clear" w:color="auto" w:fill="F2F2F2" w:themeFill="background1" w:themeFillShade="F2"/>
            <w:hideMark/>
          </w:tcPr>
          <w:p w14:paraId="01A2E277" w14:textId="38E8CEE0" w:rsidR="00FD710F" w:rsidRPr="00CA5021" w:rsidRDefault="007B7CFB" w:rsidP="57FCC3D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eastAsia="en-AU"/>
              </w:rPr>
            </w:pPr>
            <w:r>
              <w:rPr>
                <w:rFonts w:asciiTheme="minorHAnsi" w:eastAsia="Times New Roman" w:hAnsiTheme="minorHAnsi"/>
                <w:color w:val="000000"/>
                <w:sz w:val="20"/>
                <w:szCs w:val="20"/>
                <w:lang w:eastAsia="en-AU"/>
              </w:rPr>
              <w:t>2021</w:t>
            </w:r>
          </w:p>
        </w:tc>
        <w:tc>
          <w:tcPr>
            <w:tcW w:w="1276" w:type="dxa"/>
            <w:tcBorders>
              <w:top w:val="nil"/>
              <w:bottom w:val="none" w:sz="0" w:space="0" w:color="auto"/>
            </w:tcBorders>
            <w:shd w:val="clear" w:color="auto" w:fill="F2F2F2" w:themeFill="background1" w:themeFillShade="F2"/>
            <w:noWrap/>
            <w:hideMark/>
          </w:tcPr>
          <w:p w14:paraId="60D69345" w14:textId="664E8397" w:rsidR="00FD710F" w:rsidRPr="00CA5021" w:rsidRDefault="007B7CFB" w:rsidP="57FCC3D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val="en-AU" w:eastAsia="en-AU"/>
              </w:rPr>
            </w:pPr>
            <w:r>
              <w:rPr>
                <w:rFonts w:asciiTheme="minorHAnsi" w:eastAsia="Times New Roman" w:hAnsiTheme="minorHAnsi"/>
                <w:color w:val="000000"/>
                <w:sz w:val="20"/>
                <w:szCs w:val="20"/>
                <w:lang w:val="en-AU" w:eastAsia="en-AU"/>
              </w:rPr>
              <w:t>n/a</w:t>
            </w:r>
          </w:p>
        </w:tc>
        <w:tc>
          <w:tcPr>
            <w:tcW w:w="1134" w:type="dxa"/>
            <w:tcBorders>
              <w:top w:val="nil"/>
              <w:bottom w:val="none" w:sz="0" w:space="0" w:color="auto"/>
            </w:tcBorders>
            <w:shd w:val="clear" w:color="auto" w:fill="F2F2F2" w:themeFill="background1" w:themeFillShade="F2"/>
            <w:noWrap/>
            <w:hideMark/>
          </w:tcPr>
          <w:p w14:paraId="22DCB191" w14:textId="6E198454" w:rsidR="00FD710F" w:rsidRPr="00CA5021" w:rsidRDefault="007B7CFB" w:rsidP="57FCC3D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val="en-AU" w:eastAsia="en-AU"/>
              </w:rPr>
            </w:pPr>
            <w:r>
              <w:rPr>
                <w:rFonts w:asciiTheme="minorHAnsi" w:eastAsia="Times New Roman" w:hAnsiTheme="minorHAnsi"/>
                <w:color w:val="000000"/>
                <w:sz w:val="20"/>
                <w:szCs w:val="20"/>
                <w:lang w:val="en-AU" w:eastAsia="en-AU"/>
              </w:rPr>
              <w:t>n/a</w:t>
            </w:r>
          </w:p>
        </w:tc>
        <w:tc>
          <w:tcPr>
            <w:tcW w:w="1276" w:type="dxa"/>
            <w:tcBorders>
              <w:top w:val="nil"/>
              <w:bottom w:val="none" w:sz="0" w:space="0" w:color="auto"/>
            </w:tcBorders>
            <w:shd w:val="clear" w:color="auto" w:fill="F2F2F2" w:themeFill="background1" w:themeFillShade="F2"/>
            <w:noWrap/>
            <w:hideMark/>
          </w:tcPr>
          <w:p w14:paraId="0794DDB2" w14:textId="5A78D52B" w:rsidR="00FD710F" w:rsidRPr="00CA5021" w:rsidRDefault="007B7CFB" w:rsidP="57FCC3D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000000"/>
                <w:sz w:val="20"/>
                <w:szCs w:val="20"/>
                <w:lang w:val="en-AU" w:eastAsia="en-AU"/>
              </w:rPr>
            </w:pPr>
            <w:r>
              <w:rPr>
                <w:rFonts w:asciiTheme="minorHAnsi" w:eastAsia="Times New Roman" w:hAnsiTheme="minorHAnsi"/>
                <w:color w:val="000000"/>
                <w:sz w:val="20"/>
                <w:szCs w:val="20"/>
                <w:lang w:val="en-AU" w:eastAsia="en-AU"/>
              </w:rPr>
              <w:t>n/a</w:t>
            </w:r>
          </w:p>
        </w:tc>
      </w:tr>
    </w:tbl>
    <w:p w14:paraId="17600418" w14:textId="5EA41F23" w:rsidR="00681633" w:rsidRDefault="00681633" w:rsidP="007A4493">
      <w:pPr>
        <w:spacing w:before="240" w:after="0" w:line="240" w:lineRule="auto"/>
        <w:jc w:val="both"/>
        <w:rPr>
          <w:rFonts w:eastAsia="Times New Roman"/>
          <w:sz w:val="17"/>
          <w:szCs w:val="17"/>
        </w:rPr>
      </w:pPr>
      <w:r w:rsidRPr="00A05FF5">
        <w:rPr>
          <w:rFonts w:eastAsia="Times New Roman"/>
          <w:b/>
          <w:sz w:val="17"/>
          <w:szCs w:val="17"/>
        </w:rPr>
        <w:t>Definitions of rating scale</w:t>
      </w:r>
      <w:r w:rsidRPr="00A05FF5">
        <w:rPr>
          <w:rFonts w:eastAsia="Times New Roman"/>
          <w:sz w:val="17"/>
          <w:szCs w:val="17"/>
        </w:rPr>
        <w:t>:</w:t>
      </w:r>
      <w:r w:rsidRPr="00A05FF5">
        <w:rPr>
          <w:rFonts w:eastAsia="Times New Roman"/>
          <w:sz w:val="17"/>
          <w:szCs w:val="17"/>
        </w:rPr>
        <w:tab/>
      </w:r>
    </w:p>
    <w:p w14:paraId="5989C7B0" w14:textId="77777777" w:rsidR="00681633" w:rsidRPr="00787267" w:rsidRDefault="00681633" w:rsidP="00681633">
      <w:pPr>
        <w:spacing w:before="20" w:after="20" w:line="180" w:lineRule="atLeast"/>
        <w:jc w:val="both"/>
        <w:rPr>
          <w:rFonts w:eastAsia="Times New Roman"/>
          <w:sz w:val="17"/>
          <w:szCs w:val="17"/>
        </w:rPr>
      </w:pPr>
      <w:r w:rsidRPr="00787267">
        <w:rPr>
          <w:rFonts w:eastAsia="Times New Roman"/>
          <w:sz w:val="17"/>
          <w:szCs w:val="17"/>
          <w:u w:val="single"/>
        </w:rPr>
        <w:t>Satisfactory (4, 5 and 6)</w:t>
      </w:r>
    </w:p>
    <w:p w14:paraId="15BE82E8" w14:textId="77777777" w:rsidR="00681633" w:rsidRPr="00787267" w:rsidRDefault="00681633" w:rsidP="00681633">
      <w:pPr>
        <w:spacing w:line="240" w:lineRule="auto"/>
        <w:rPr>
          <w:sz w:val="16"/>
          <w:szCs w:val="16"/>
        </w:rPr>
      </w:pPr>
      <w:r w:rsidRPr="00787267">
        <w:rPr>
          <w:sz w:val="16"/>
          <w:szCs w:val="16"/>
        </w:rPr>
        <w:t xml:space="preserve">6 = Very good; satisfies criteria in all areas. </w:t>
      </w:r>
      <w:r>
        <w:rPr>
          <w:sz w:val="16"/>
          <w:szCs w:val="16"/>
        </w:rPr>
        <w:br/>
      </w:r>
      <w:r w:rsidRPr="00787267">
        <w:rPr>
          <w:sz w:val="16"/>
          <w:szCs w:val="16"/>
        </w:rPr>
        <w:t>5 = Good; satisfies criteria in almost all areas.</w:t>
      </w:r>
      <w:r>
        <w:rPr>
          <w:sz w:val="16"/>
          <w:szCs w:val="16"/>
        </w:rPr>
        <w:br/>
      </w:r>
      <w:r w:rsidRPr="00787267">
        <w:rPr>
          <w:sz w:val="16"/>
          <w:szCs w:val="16"/>
        </w:rPr>
        <w:t>4 = Adequate; on balance, satisfies criteria; does not fail in any major area.</w:t>
      </w:r>
    </w:p>
    <w:p w14:paraId="48B0BB33" w14:textId="77777777" w:rsidR="00681633" w:rsidRPr="00787267" w:rsidRDefault="00681633" w:rsidP="00681633">
      <w:pPr>
        <w:spacing w:line="240" w:lineRule="auto"/>
        <w:rPr>
          <w:sz w:val="16"/>
          <w:szCs w:val="16"/>
          <w:u w:val="single"/>
        </w:rPr>
      </w:pPr>
      <w:r w:rsidRPr="00787267">
        <w:rPr>
          <w:sz w:val="16"/>
          <w:szCs w:val="16"/>
          <w:u w:val="single"/>
        </w:rPr>
        <w:t>Less than satisfactory (1, 2 and 3)</w:t>
      </w:r>
    </w:p>
    <w:p w14:paraId="4DC45723" w14:textId="62D36230" w:rsidR="00681633" w:rsidRDefault="00681633" w:rsidP="008A6BB7">
      <w:pPr>
        <w:spacing w:before="0" w:after="0" w:line="240" w:lineRule="auto"/>
      </w:pPr>
      <w:r w:rsidRPr="00787267">
        <w:rPr>
          <w:sz w:val="16"/>
          <w:szCs w:val="16"/>
        </w:rPr>
        <w:t>3 = Less than adequate; on balance does not satisfy criteria and/or fails in at least one major area.</w:t>
      </w:r>
      <w:r>
        <w:rPr>
          <w:sz w:val="16"/>
          <w:szCs w:val="16"/>
        </w:rPr>
        <w:br/>
      </w:r>
      <w:r w:rsidRPr="00787267">
        <w:rPr>
          <w:sz w:val="16"/>
          <w:szCs w:val="16"/>
        </w:rPr>
        <w:t>2 = Poor; does not sa</w:t>
      </w:r>
      <w:r>
        <w:rPr>
          <w:sz w:val="16"/>
          <w:szCs w:val="16"/>
        </w:rPr>
        <w:t>tisfy criteria in major areas.</w:t>
      </w:r>
      <w:r>
        <w:rPr>
          <w:sz w:val="16"/>
          <w:szCs w:val="16"/>
        </w:rPr>
        <w:br/>
      </w:r>
      <w:r w:rsidRPr="00787267">
        <w:rPr>
          <w:sz w:val="16"/>
          <w:szCs w:val="16"/>
        </w:rPr>
        <w:t xml:space="preserve">1 = Very poor; does not satisfy criteria in many major </w:t>
      </w:r>
      <w:proofErr w:type="gramStart"/>
      <w:r w:rsidRPr="00787267">
        <w:rPr>
          <w:sz w:val="16"/>
          <w:szCs w:val="16"/>
        </w:rPr>
        <w:t>area</w:t>
      </w:r>
      <w:proofErr w:type="gramEnd"/>
      <w:r w:rsidRPr="00A05FF5">
        <w:t>.</w:t>
      </w:r>
      <w:r>
        <w:br/>
      </w:r>
    </w:p>
    <w:sectPr w:rsidR="00681633" w:rsidSect="00603EDE">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1A213" w14:textId="77777777" w:rsidR="00462836" w:rsidRDefault="00462836" w:rsidP="00D37B04">
      <w:r>
        <w:separator/>
      </w:r>
    </w:p>
  </w:endnote>
  <w:endnote w:type="continuationSeparator" w:id="0">
    <w:p w14:paraId="55DB717D" w14:textId="77777777" w:rsidR="00462836" w:rsidRDefault="00462836" w:rsidP="00D37B04">
      <w:r>
        <w:continuationSeparator/>
      </w:r>
    </w:p>
  </w:endnote>
  <w:endnote w:type="continuationNotice" w:id="1">
    <w:p w14:paraId="5FE4E8BD" w14:textId="77777777" w:rsidR="00462836" w:rsidRDefault="004628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0BB5A1F" w14:textId="1530B8D6" w:rsidR="0005564F" w:rsidRDefault="0005564F">
        <w:pPr>
          <w:pStyle w:val="Footer"/>
          <w:jc w:val="center"/>
          <w:rPr>
            <w:color w:val="auto"/>
          </w:rPr>
        </w:pPr>
        <w:r>
          <w:rPr>
            <w:noProof/>
            <w:color w:val="auto"/>
            <w:shd w:val="clear" w:color="auto" w:fill="E6E6E6"/>
          </w:rPr>
          <w:drawing>
            <wp:anchor distT="0" distB="0" distL="114300" distR="114300" simplePos="0" relativeHeight="251658240" behindDoc="1" locked="0" layoutInCell="1" allowOverlap="1" wp14:anchorId="0A9940EE" wp14:editId="4060A275">
              <wp:simplePos x="0" y="0"/>
              <wp:positionH relativeFrom="margin">
                <wp:align>left</wp:align>
              </wp:positionH>
              <wp:positionV relativeFrom="paragraph">
                <wp:posOffset>5163</wp:posOffset>
              </wp:positionV>
              <wp:extent cx="6629948" cy="357173"/>
              <wp:effectExtent l="0" t="0" r="0" b="508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1D3DDD" w:rsidRPr="0042526D" w:rsidRDefault="001D3DDD">
        <w:pPr>
          <w:pStyle w:val="Footer"/>
          <w:jc w:val="center"/>
          <w:rPr>
            <w:noProof/>
            <w:color w:val="auto"/>
            <w:sz w:val="20"/>
            <w:szCs w:val="20"/>
          </w:rPr>
        </w:pPr>
        <w:r w:rsidRPr="00E014B0">
          <w:rPr>
            <w:noProof/>
            <w:color w:val="auto"/>
            <w:sz w:val="20"/>
            <w:szCs w:val="20"/>
          </w:rPr>
          <w:fldChar w:fldCharType="begin"/>
        </w:r>
        <w:r w:rsidRPr="00AA3632">
          <w:rPr>
            <w:noProof/>
            <w:color w:val="auto"/>
            <w:sz w:val="20"/>
            <w:szCs w:val="20"/>
          </w:rPr>
          <w:instrText xml:space="preserve"> PAGE   \* MERGEFORMAT </w:instrText>
        </w:r>
        <w:r w:rsidRPr="00E014B0">
          <w:rPr>
            <w:noProof/>
            <w:color w:val="auto"/>
            <w:sz w:val="20"/>
            <w:szCs w:val="20"/>
          </w:rPr>
          <w:fldChar w:fldCharType="separate"/>
        </w:r>
        <w:r w:rsidRPr="00AA3632">
          <w:rPr>
            <w:noProof/>
            <w:color w:val="auto"/>
            <w:sz w:val="20"/>
            <w:szCs w:val="20"/>
          </w:rPr>
          <w:t>2</w:t>
        </w:r>
        <w:r w:rsidRPr="00E014B0">
          <w:rPr>
            <w:noProof/>
            <w:color w:val="auto"/>
            <w:sz w:val="20"/>
            <w:szCs w:val="20"/>
          </w:rPr>
          <w:fldChar w:fldCharType="end"/>
        </w:r>
      </w:p>
      <w:p w14:paraId="1E51B8D5" w14:textId="59F3CE97" w:rsidR="001D3DDD" w:rsidRPr="001D3DDD" w:rsidRDefault="006F2427"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A49F7" w14:textId="77777777" w:rsidR="00462836" w:rsidRPr="008C5A0E" w:rsidRDefault="00462836" w:rsidP="00D37B04">
      <w:pPr>
        <w:pStyle w:val="Footer"/>
      </w:pPr>
    </w:p>
  </w:footnote>
  <w:footnote w:type="continuationSeparator" w:id="0">
    <w:p w14:paraId="406C31E3" w14:textId="77777777" w:rsidR="00462836" w:rsidRDefault="00462836" w:rsidP="00D37B04">
      <w:r>
        <w:continuationSeparator/>
      </w:r>
    </w:p>
  </w:footnote>
  <w:footnote w:type="continuationNotice" w:id="1">
    <w:p w14:paraId="7332CC84" w14:textId="77777777" w:rsidR="00462836" w:rsidRDefault="0046283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7E92" w14:textId="32544B51" w:rsidR="009131E9" w:rsidRDefault="009131E9" w:rsidP="007A4493">
    <w:pPr>
      <w:pStyle w:val="Header"/>
      <w:ind w:left="0"/>
    </w:pPr>
    <w:r w:rsidRPr="00A12B40">
      <w:rPr>
        <w:i/>
        <w:noProof/>
        <w:color w:val="2B579A"/>
        <w:shd w:val="clear" w:color="auto" w:fill="E6E6E6"/>
        <w:lang w:val="en-AU" w:eastAsia="en-AU"/>
      </w:rPr>
      <w:drawing>
        <wp:inline distT="0" distB="0" distL="0" distR="0" wp14:anchorId="7248A92F" wp14:editId="7CBD7E78">
          <wp:extent cx="6718853" cy="707390"/>
          <wp:effectExtent l="0" t="0" r="635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920854" w:rsidRDefault="009131E9" w:rsidP="001F7F4D">
    <w:pPr>
      <w:pStyle w:val="Header"/>
      <w:spacing w:after="240"/>
      <w:ind w:left="0"/>
    </w:pPr>
    <w:r>
      <w:rPr>
        <w:noProof/>
        <w:color w:val="2B579A"/>
        <w:shd w:val="clear" w:color="auto" w:fill="E6E6E6"/>
      </w:rPr>
      <w:drawing>
        <wp:inline distT="0" distB="0" distL="0" distR="0" wp14:anchorId="53173A37" wp14:editId="3D212865">
          <wp:extent cx="6696075" cy="1247775"/>
          <wp:effectExtent l="0" t="0" r="9525" b="9525"/>
          <wp:docPr id="21" name="Picture 21"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FEEE2"/>
    <w:multiLevelType w:val="hybridMultilevel"/>
    <w:tmpl w:val="C0BEBF18"/>
    <w:lvl w:ilvl="0" w:tplc="9DB4AD50">
      <w:start w:val="1"/>
      <w:numFmt w:val="bullet"/>
      <w:lvlText w:val="·"/>
      <w:lvlJc w:val="left"/>
      <w:pPr>
        <w:ind w:left="720" w:hanging="360"/>
      </w:pPr>
      <w:rPr>
        <w:rFonts w:ascii="Symbol" w:hAnsi="Symbol" w:hint="default"/>
      </w:rPr>
    </w:lvl>
    <w:lvl w:ilvl="1" w:tplc="7C983B3C">
      <w:start w:val="1"/>
      <w:numFmt w:val="bullet"/>
      <w:lvlText w:val="o"/>
      <w:lvlJc w:val="left"/>
      <w:pPr>
        <w:ind w:left="1440" w:hanging="360"/>
      </w:pPr>
      <w:rPr>
        <w:rFonts w:ascii="Courier New" w:hAnsi="Courier New" w:hint="default"/>
      </w:rPr>
    </w:lvl>
    <w:lvl w:ilvl="2" w:tplc="FE4AF68A">
      <w:start w:val="1"/>
      <w:numFmt w:val="bullet"/>
      <w:lvlText w:val=""/>
      <w:lvlJc w:val="left"/>
      <w:pPr>
        <w:ind w:left="2160" w:hanging="360"/>
      </w:pPr>
      <w:rPr>
        <w:rFonts w:ascii="Wingdings" w:hAnsi="Wingdings" w:hint="default"/>
      </w:rPr>
    </w:lvl>
    <w:lvl w:ilvl="3" w:tplc="D64A94FC">
      <w:start w:val="1"/>
      <w:numFmt w:val="bullet"/>
      <w:lvlText w:val=""/>
      <w:lvlJc w:val="left"/>
      <w:pPr>
        <w:ind w:left="2880" w:hanging="360"/>
      </w:pPr>
      <w:rPr>
        <w:rFonts w:ascii="Symbol" w:hAnsi="Symbol" w:hint="default"/>
      </w:rPr>
    </w:lvl>
    <w:lvl w:ilvl="4" w:tplc="1786AE38">
      <w:start w:val="1"/>
      <w:numFmt w:val="bullet"/>
      <w:lvlText w:val="o"/>
      <w:lvlJc w:val="left"/>
      <w:pPr>
        <w:ind w:left="3600" w:hanging="360"/>
      </w:pPr>
      <w:rPr>
        <w:rFonts w:ascii="Courier New" w:hAnsi="Courier New" w:hint="default"/>
      </w:rPr>
    </w:lvl>
    <w:lvl w:ilvl="5" w:tplc="491C0FAE">
      <w:start w:val="1"/>
      <w:numFmt w:val="bullet"/>
      <w:lvlText w:val=""/>
      <w:lvlJc w:val="left"/>
      <w:pPr>
        <w:ind w:left="4320" w:hanging="360"/>
      </w:pPr>
      <w:rPr>
        <w:rFonts w:ascii="Wingdings" w:hAnsi="Wingdings" w:hint="default"/>
      </w:rPr>
    </w:lvl>
    <w:lvl w:ilvl="6" w:tplc="E9A88958">
      <w:start w:val="1"/>
      <w:numFmt w:val="bullet"/>
      <w:lvlText w:val=""/>
      <w:lvlJc w:val="left"/>
      <w:pPr>
        <w:ind w:left="5040" w:hanging="360"/>
      </w:pPr>
      <w:rPr>
        <w:rFonts w:ascii="Symbol" w:hAnsi="Symbol" w:hint="default"/>
      </w:rPr>
    </w:lvl>
    <w:lvl w:ilvl="7" w:tplc="A064949C">
      <w:start w:val="1"/>
      <w:numFmt w:val="bullet"/>
      <w:lvlText w:val="o"/>
      <w:lvlJc w:val="left"/>
      <w:pPr>
        <w:ind w:left="5760" w:hanging="360"/>
      </w:pPr>
      <w:rPr>
        <w:rFonts w:ascii="Courier New" w:hAnsi="Courier New" w:hint="default"/>
      </w:rPr>
    </w:lvl>
    <w:lvl w:ilvl="8" w:tplc="9C2A6F5E">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A9770C7"/>
    <w:multiLevelType w:val="hybridMultilevel"/>
    <w:tmpl w:val="829C20A8"/>
    <w:lvl w:ilvl="0" w:tplc="3724C754">
      <w:start w:val="1"/>
      <w:numFmt w:val="decimal"/>
      <w:lvlText w:val="%1."/>
      <w:lvlJc w:val="left"/>
      <w:pPr>
        <w:ind w:left="720" w:hanging="360"/>
      </w:pPr>
    </w:lvl>
    <w:lvl w:ilvl="1" w:tplc="989AB9A4">
      <w:start w:val="1"/>
      <w:numFmt w:val="lowerLetter"/>
      <w:lvlText w:val="%2."/>
      <w:lvlJc w:val="left"/>
      <w:pPr>
        <w:ind w:left="1440" w:hanging="360"/>
      </w:pPr>
    </w:lvl>
    <w:lvl w:ilvl="2" w:tplc="4F9445B0">
      <w:start w:val="1"/>
      <w:numFmt w:val="lowerRoman"/>
      <w:lvlText w:val="%3."/>
      <w:lvlJc w:val="right"/>
      <w:pPr>
        <w:ind w:left="2160" w:hanging="180"/>
      </w:pPr>
    </w:lvl>
    <w:lvl w:ilvl="3" w:tplc="CDA02458">
      <w:start w:val="1"/>
      <w:numFmt w:val="decimal"/>
      <w:lvlText w:val="%4."/>
      <w:lvlJc w:val="left"/>
      <w:pPr>
        <w:ind w:left="2880" w:hanging="360"/>
      </w:pPr>
    </w:lvl>
    <w:lvl w:ilvl="4" w:tplc="A286841A">
      <w:start w:val="1"/>
      <w:numFmt w:val="lowerLetter"/>
      <w:lvlText w:val="%5."/>
      <w:lvlJc w:val="left"/>
      <w:pPr>
        <w:ind w:left="3600" w:hanging="360"/>
      </w:pPr>
    </w:lvl>
    <w:lvl w:ilvl="5" w:tplc="7A2A010C">
      <w:start w:val="1"/>
      <w:numFmt w:val="lowerRoman"/>
      <w:lvlText w:val="%6."/>
      <w:lvlJc w:val="right"/>
      <w:pPr>
        <w:ind w:left="4320" w:hanging="180"/>
      </w:pPr>
    </w:lvl>
    <w:lvl w:ilvl="6" w:tplc="9CFAD44E">
      <w:start w:val="1"/>
      <w:numFmt w:val="decimal"/>
      <w:lvlText w:val="%7."/>
      <w:lvlJc w:val="left"/>
      <w:pPr>
        <w:ind w:left="5040" w:hanging="360"/>
      </w:pPr>
    </w:lvl>
    <w:lvl w:ilvl="7" w:tplc="353E148A">
      <w:start w:val="1"/>
      <w:numFmt w:val="lowerLetter"/>
      <w:lvlText w:val="%8."/>
      <w:lvlJc w:val="left"/>
      <w:pPr>
        <w:ind w:left="5760" w:hanging="360"/>
      </w:pPr>
    </w:lvl>
    <w:lvl w:ilvl="8" w:tplc="55B09BA2">
      <w:start w:val="1"/>
      <w:numFmt w:val="lowerRoman"/>
      <w:lvlText w:val="%9."/>
      <w:lvlJc w:val="right"/>
      <w:pPr>
        <w:ind w:left="6480" w:hanging="180"/>
      </w:pPr>
    </w:lvl>
  </w:abstractNum>
  <w:abstractNum w:abstractNumId="6"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FEE7263"/>
    <w:multiLevelType w:val="hybridMultilevel"/>
    <w:tmpl w:val="FDB4687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38F132CE"/>
    <w:multiLevelType w:val="multilevel"/>
    <w:tmpl w:val="3B7A10DE"/>
    <w:numStyleLink w:val="BulletsList"/>
  </w:abstractNum>
  <w:abstractNum w:abstractNumId="10"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4" w15:restartNumberingAfterBreak="0">
    <w:nsid w:val="480404BE"/>
    <w:multiLevelType w:val="hybridMultilevel"/>
    <w:tmpl w:val="14C89B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8287627"/>
    <w:multiLevelType w:val="hybridMultilevel"/>
    <w:tmpl w:val="0156AD62"/>
    <w:lvl w:ilvl="0" w:tplc="8EA27FA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7"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9AC9F3"/>
    <w:multiLevelType w:val="hybridMultilevel"/>
    <w:tmpl w:val="02C24118"/>
    <w:lvl w:ilvl="0" w:tplc="A1D619DC">
      <w:start w:val="1"/>
      <w:numFmt w:val="bullet"/>
      <w:lvlText w:val="·"/>
      <w:lvlJc w:val="left"/>
      <w:pPr>
        <w:ind w:left="720" w:hanging="360"/>
      </w:pPr>
      <w:rPr>
        <w:rFonts w:ascii="Symbol" w:hAnsi="Symbol" w:hint="default"/>
      </w:rPr>
    </w:lvl>
    <w:lvl w:ilvl="1" w:tplc="6698427A">
      <w:start w:val="1"/>
      <w:numFmt w:val="bullet"/>
      <w:lvlText w:val="o"/>
      <w:lvlJc w:val="left"/>
      <w:pPr>
        <w:ind w:left="1440" w:hanging="360"/>
      </w:pPr>
      <w:rPr>
        <w:rFonts w:ascii="Courier New" w:hAnsi="Courier New" w:hint="default"/>
      </w:rPr>
    </w:lvl>
    <w:lvl w:ilvl="2" w:tplc="A1E089C6">
      <w:start w:val="1"/>
      <w:numFmt w:val="bullet"/>
      <w:lvlText w:val=""/>
      <w:lvlJc w:val="left"/>
      <w:pPr>
        <w:ind w:left="2160" w:hanging="360"/>
      </w:pPr>
      <w:rPr>
        <w:rFonts w:ascii="Wingdings" w:hAnsi="Wingdings" w:hint="default"/>
      </w:rPr>
    </w:lvl>
    <w:lvl w:ilvl="3" w:tplc="0A98B5EC">
      <w:start w:val="1"/>
      <w:numFmt w:val="bullet"/>
      <w:lvlText w:val=""/>
      <w:lvlJc w:val="left"/>
      <w:pPr>
        <w:ind w:left="2880" w:hanging="360"/>
      </w:pPr>
      <w:rPr>
        <w:rFonts w:ascii="Symbol" w:hAnsi="Symbol" w:hint="default"/>
      </w:rPr>
    </w:lvl>
    <w:lvl w:ilvl="4" w:tplc="ACACF1FA">
      <w:start w:val="1"/>
      <w:numFmt w:val="bullet"/>
      <w:lvlText w:val="o"/>
      <w:lvlJc w:val="left"/>
      <w:pPr>
        <w:ind w:left="3600" w:hanging="360"/>
      </w:pPr>
      <w:rPr>
        <w:rFonts w:ascii="Courier New" w:hAnsi="Courier New" w:hint="default"/>
      </w:rPr>
    </w:lvl>
    <w:lvl w:ilvl="5" w:tplc="A4B05F6C">
      <w:start w:val="1"/>
      <w:numFmt w:val="bullet"/>
      <w:lvlText w:val=""/>
      <w:lvlJc w:val="left"/>
      <w:pPr>
        <w:ind w:left="4320" w:hanging="360"/>
      </w:pPr>
      <w:rPr>
        <w:rFonts w:ascii="Wingdings" w:hAnsi="Wingdings" w:hint="default"/>
      </w:rPr>
    </w:lvl>
    <w:lvl w:ilvl="6" w:tplc="1542D7F0">
      <w:start w:val="1"/>
      <w:numFmt w:val="bullet"/>
      <w:lvlText w:val=""/>
      <w:lvlJc w:val="left"/>
      <w:pPr>
        <w:ind w:left="5040" w:hanging="360"/>
      </w:pPr>
      <w:rPr>
        <w:rFonts w:ascii="Symbol" w:hAnsi="Symbol" w:hint="default"/>
      </w:rPr>
    </w:lvl>
    <w:lvl w:ilvl="7" w:tplc="C4382E34">
      <w:start w:val="1"/>
      <w:numFmt w:val="bullet"/>
      <w:lvlText w:val="o"/>
      <w:lvlJc w:val="left"/>
      <w:pPr>
        <w:ind w:left="5760" w:hanging="360"/>
      </w:pPr>
      <w:rPr>
        <w:rFonts w:ascii="Courier New" w:hAnsi="Courier New" w:hint="default"/>
      </w:rPr>
    </w:lvl>
    <w:lvl w:ilvl="8" w:tplc="F9BA046C">
      <w:start w:val="1"/>
      <w:numFmt w:val="bullet"/>
      <w:lvlText w:val=""/>
      <w:lvlJc w:val="left"/>
      <w:pPr>
        <w:ind w:left="6480"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AA177F5"/>
    <w:multiLevelType w:val="hybridMultilevel"/>
    <w:tmpl w:val="14BE42C8"/>
    <w:lvl w:ilvl="0" w:tplc="4D02C2B8">
      <w:start w:val="1"/>
      <w:numFmt w:val="bullet"/>
      <w:lvlText w:val="·"/>
      <w:lvlJc w:val="left"/>
      <w:pPr>
        <w:ind w:left="720" w:hanging="360"/>
      </w:pPr>
      <w:rPr>
        <w:rFonts w:ascii="Symbol" w:hAnsi="Symbol" w:hint="default"/>
      </w:rPr>
    </w:lvl>
    <w:lvl w:ilvl="1" w:tplc="87F8DE8A">
      <w:start w:val="1"/>
      <w:numFmt w:val="bullet"/>
      <w:lvlText w:val="o"/>
      <w:lvlJc w:val="left"/>
      <w:pPr>
        <w:ind w:left="1440" w:hanging="360"/>
      </w:pPr>
      <w:rPr>
        <w:rFonts w:ascii="Courier New" w:hAnsi="Courier New" w:hint="default"/>
      </w:rPr>
    </w:lvl>
    <w:lvl w:ilvl="2" w:tplc="DE94563E">
      <w:start w:val="1"/>
      <w:numFmt w:val="bullet"/>
      <w:lvlText w:val=""/>
      <w:lvlJc w:val="left"/>
      <w:pPr>
        <w:ind w:left="2160" w:hanging="360"/>
      </w:pPr>
      <w:rPr>
        <w:rFonts w:ascii="Wingdings" w:hAnsi="Wingdings" w:hint="default"/>
      </w:rPr>
    </w:lvl>
    <w:lvl w:ilvl="3" w:tplc="0F2458B8">
      <w:start w:val="1"/>
      <w:numFmt w:val="bullet"/>
      <w:lvlText w:val=""/>
      <w:lvlJc w:val="left"/>
      <w:pPr>
        <w:ind w:left="2880" w:hanging="360"/>
      </w:pPr>
      <w:rPr>
        <w:rFonts w:ascii="Symbol" w:hAnsi="Symbol" w:hint="default"/>
      </w:rPr>
    </w:lvl>
    <w:lvl w:ilvl="4" w:tplc="007E1E8C">
      <w:start w:val="1"/>
      <w:numFmt w:val="bullet"/>
      <w:lvlText w:val="o"/>
      <w:lvlJc w:val="left"/>
      <w:pPr>
        <w:ind w:left="3600" w:hanging="360"/>
      </w:pPr>
      <w:rPr>
        <w:rFonts w:ascii="Courier New" w:hAnsi="Courier New" w:hint="default"/>
      </w:rPr>
    </w:lvl>
    <w:lvl w:ilvl="5" w:tplc="6120A3F2">
      <w:start w:val="1"/>
      <w:numFmt w:val="bullet"/>
      <w:lvlText w:val=""/>
      <w:lvlJc w:val="left"/>
      <w:pPr>
        <w:ind w:left="4320" w:hanging="360"/>
      </w:pPr>
      <w:rPr>
        <w:rFonts w:ascii="Wingdings" w:hAnsi="Wingdings" w:hint="default"/>
      </w:rPr>
    </w:lvl>
    <w:lvl w:ilvl="6" w:tplc="FF249F52">
      <w:start w:val="1"/>
      <w:numFmt w:val="bullet"/>
      <w:lvlText w:val=""/>
      <w:lvlJc w:val="left"/>
      <w:pPr>
        <w:ind w:left="5040" w:hanging="360"/>
      </w:pPr>
      <w:rPr>
        <w:rFonts w:ascii="Symbol" w:hAnsi="Symbol" w:hint="default"/>
      </w:rPr>
    </w:lvl>
    <w:lvl w:ilvl="7" w:tplc="BD96AC3C">
      <w:start w:val="1"/>
      <w:numFmt w:val="bullet"/>
      <w:lvlText w:val="o"/>
      <w:lvlJc w:val="left"/>
      <w:pPr>
        <w:ind w:left="5760" w:hanging="360"/>
      </w:pPr>
      <w:rPr>
        <w:rFonts w:ascii="Courier New" w:hAnsi="Courier New" w:hint="default"/>
      </w:rPr>
    </w:lvl>
    <w:lvl w:ilvl="8" w:tplc="E93AE210">
      <w:start w:val="1"/>
      <w:numFmt w:val="bullet"/>
      <w:lvlText w:val=""/>
      <w:lvlJc w:val="left"/>
      <w:pPr>
        <w:ind w:left="6480" w:hanging="360"/>
      </w:pPr>
      <w:rPr>
        <w:rFonts w:ascii="Wingdings" w:hAnsi="Wingdings" w:hint="default"/>
      </w:rPr>
    </w:lvl>
  </w:abstractNum>
  <w:abstractNum w:abstractNumId="21"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1E5F57"/>
    <w:multiLevelType w:val="hybridMultilevel"/>
    <w:tmpl w:val="9C922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596A52"/>
    <w:multiLevelType w:val="hybridMultilevel"/>
    <w:tmpl w:val="25E8C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20"/>
  </w:num>
  <w:num w:numId="3">
    <w:abstractNumId w:val="1"/>
  </w:num>
  <w:num w:numId="4">
    <w:abstractNumId w:val="18"/>
  </w:num>
  <w:num w:numId="5">
    <w:abstractNumId w:val="30"/>
  </w:num>
  <w:num w:numId="6">
    <w:abstractNumId w:val="2"/>
  </w:num>
  <w:num w:numId="7">
    <w:abstractNumId w:val="7"/>
  </w:num>
  <w:num w:numId="8">
    <w:abstractNumId w:val="19"/>
  </w:num>
  <w:num w:numId="9">
    <w:abstractNumId w:val="23"/>
  </w:num>
  <w:num w:numId="10">
    <w:abstractNumId w:val="7"/>
  </w:num>
  <w:num w:numId="11">
    <w:abstractNumId w:val="2"/>
  </w:num>
  <w:num w:numId="12">
    <w:abstractNumId w:val="4"/>
  </w:num>
  <w:num w:numId="13">
    <w:abstractNumId w:val="33"/>
  </w:num>
  <w:num w:numId="14">
    <w:abstractNumId w:val="9"/>
  </w:num>
  <w:num w:numId="15">
    <w:abstractNumId w:val="16"/>
  </w:num>
  <w:num w:numId="16">
    <w:abstractNumId w:val="17"/>
  </w:num>
  <w:num w:numId="17">
    <w:abstractNumId w:val="0"/>
  </w:num>
  <w:num w:numId="18">
    <w:abstractNumId w:val="13"/>
  </w:num>
  <w:num w:numId="19">
    <w:abstractNumId w:val="21"/>
  </w:num>
  <w:num w:numId="20">
    <w:abstractNumId w:val="25"/>
  </w:num>
  <w:num w:numId="21">
    <w:abstractNumId w:val="6"/>
  </w:num>
  <w:num w:numId="22">
    <w:abstractNumId w:val="22"/>
  </w:num>
  <w:num w:numId="23">
    <w:abstractNumId w:val="32"/>
  </w:num>
  <w:num w:numId="24">
    <w:abstractNumId w:val="11"/>
  </w:num>
  <w:num w:numId="25">
    <w:abstractNumId w:val="31"/>
  </w:num>
  <w:num w:numId="26">
    <w:abstractNumId w:val="10"/>
  </w:num>
  <w:num w:numId="27">
    <w:abstractNumId w:val="3"/>
  </w:num>
  <w:num w:numId="28">
    <w:abstractNumId w:val="28"/>
  </w:num>
  <w:num w:numId="29">
    <w:abstractNumId w:val="34"/>
  </w:num>
  <w:num w:numId="30">
    <w:abstractNumId w:val="12"/>
  </w:num>
  <w:num w:numId="31">
    <w:abstractNumId w:val="24"/>
  </w:num>
  <w:num w:numId="32">
    <w:abstractNumId w:val="27"/>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8"/>
  </w:num>
  <w:num w:numId="36">
    <w:abstractNumId w:val="26"/>
  </w:num>
  <w:num w:numId="37">
    <w:abstractNumId w:val="14"/>
  </w:num>
  <w:num w:numId="3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07841"/>
    <w:rsid w:val="00010006"/>
    <w:rsid w:val="00011235"/>
    <w:rsid w:val="000115F2"/>
    <w:rsid w:val="000129D3"/>
    <w:rsid w:val="00014CDD"/>
    <w:rsid w:val="00015AB7"/>
    <w:rsid w:val="00015DC0"/>
    <w:rsid w:val="0002080A"/>
    <w:rsid w:val="00023BC3"/>
    <w:rsid w:val="000240DD"/>
    <w:rsid w:val="0002782F"/>
    <w:rsid w:val="000309A1"/>
    <w:rsid w:val="00031486"/>
    <w:rsid w:val="000314BA"/>
    <w:rsid w:val="00035BBF"/>
    <w:rsid w:val="00035CBC"/>
    <w:rsid w:val="00036FD1"/>
    <w:rsid w:val="00037AD2"/>
    <w:rsid w:val="00040828"/>
    <w:rsid w:val="00040EF0"/>
    <w:rsid w:val="000417C3"/>
    <w:rsid w:val="00041CA8"/>
    <w:rsid w:val="00043E11"/>
    <w:rsid w:val="000444F3"/>
    <w:rsid w:val="00047C5C"/>
    <w:rsid w:val="00050806"/>
    <w:rsid w:val="00050DBA"/>
    <w:rsid w:val="00050F16"/>
    <w:rsid w:val="00051F3B"/>
    <w:rsid w:val="0005417C"/>
    <w:rsid w:val="000546D9"/>
    <w:rsid w:val="00054E4D"/>
    <w:rsid w:val="0005564F"/>
    <w:rsid w:val="00055880"/>
    <w:rsid w:val="00056B31"/>
    <w:rsid w:val="00056F24"/>
    <w:rsid w:val="00057C27"/>
    <w:rsid w:val="00060073"/>
    <w:rsid w:val="000616C6"/>
    <w:rsid w:val="00062FE4"/>
    <w:rsid w:val="00063B65"/>
    <w:rsid w:val="00067186"/>
    <w:rsid w:val="000700E9"/>
    <w:rsid w:val="00081A4E"/>
    <w:rsid w:val="000822AD"/>
    <w:rsid w:val="000854FD"/>
    <w:rsid w:val="0008632D"/>
    <w:rsid w:val="00091DC7"/>
    <w:rsid w:val="00095211"/>
    <w:rsid w:val="00096453"/>
    <w:rsid w:val="0009676B"/>
    <w:rsid w:val="000A39DD"/>
    <w:rsid w:val="000A407E"/>
    <w:rsid w:val="000A45FD"/>
    <w:rsid w:val="000A4699"/>
    <w:rsid w:val="000B0E88"/>
    <w:rsid w:val="000B37F5"/>
    <w:rsid w:val="000B40E9"/>
    <w:rsid w:val="000B5DA7"/>
    <w:rsid w:val="000B78E6"/>
    <w:rsid w:val="000C3A4C"/>
    <w:rsid w:val="000C4359"/>
    <w:rsid w:val="000C4411"/>
    <w:rsid w:val="000D003A"/>
    <w:rsid w:val="000D258A"/>
    <w:rsid w:val="000D2896"/>
    <w:rsid w:val="000D6312"/>
    <w:rsid w:val="000D66D6"/>
    <w:rsid w:val="000D722F"/>
    <w:rsid w:val="000E1045"/>
    <w:rsid w:val="000E58BF"/>
    <w:rsid w:val="000E6C44"/>
    <w:rsid w:val="000F1286"/>
    <w:rsid w:val="000F2600"/>
    <w:rsid w:val="000F42C2"/>
    <w:rsid w:val="000F71F5"/>
    <w:rsid w:val="000F78C9"/>
    <w:rsid w:val="001046D8"/>
    <w:rsid w:val="00113288"/>
    <w:rsid w:val="0011475A"/>
    <w:rsid w:val="00116E9F"/>
    <w:rsid w:val="00117C75"/>
    <w:rsid w:val="001203A0"/>
    <w:rsid w:val="001214BE"/>
    <w:rsid w:val="0012165D"/>
    <w:rsid w:val="00121DDD"/>
    <w:rsid w:val="001227F1"/>
    <w:rsid w:val="0013101C"/>
    <w:rsid w:val="001329D1"/>
    <w:rsid w:val="001337D9"/>
    <w:rsid w:val="0013385F"/>
    <w:rsid w:val="001340CC"/>
    <w:rsid w:val="00134AEA"/>
    <w:rsid w:val="0013641D"/>
    <w:rsid w:val="00136D93"/>
    <w:rsid w:val="00137F4E"/>
    <w:rsid w:val="0014419D"/>
    <w:rsid w:val="00145B03"/>
    <w:rsid w:val="001461D6"/>
    <w:rsid w:val="00146E07"/>
    <w:rsid w:val="001523B6"/>
    <w:rsid w:val="001536FD"/>
    <w:rsid w:val="001541EA"/>
    <w:rsid w:val="00154E11"/>
    <w:rsid w:val="001552A4"/>
    <w:rsid w:val="00160400"/>
    <w:rsid w:val="0016223D"/>
    <w:rsid w:val="00163DB1"/>
    <w:rsid w:val="00166032"/>
    <w:rsid w:val="001662F8"/>
    <w:rsid w:val="0016659B"/>
    <w:rsid w:val="00172E4F"/>
    <w:rsid w:val="0018218E"/>
    <w:rsid w:val="00182922"/>
    <w:rsid w:val="001841C8"/>
    <w:rsid w:val="00186B4B"/>
    <w:rsid w:val="00193C49"/>
    <w:rsid w:val="001A51EE"/>
    <w:rsid w:val="001A5213"/>
    <w:rsid w:val="001A7815"/>
    <w:rsid w:val="001A7EE1"/>
    <w:rsid w:val="001B149D"/>
    <w:rsid w:val="001B203D"/>
    <w:rsid w:val="001B3947"/>
    <w:rsid w:val="001B78DA"/>
    <w:rsid w:val="001C14F4"/>
    <w:rsid w:val="001C1F11"/>
    <w:rsid w:val="001C483F"/>
    <w:rsid w:val="001C5B90"/>
    <w:rsid w:val="001C72C5"/>
    <w:rsid w:val="001D1A8F"/>
    <w:rsid w:val="001D1EB1"/>
    <w:rsid w:val="001D3C98"/>
    <w:rsid w:val="001D3DDD"/>
    <w:rsid w:val="001D4091"/>
    <w:rsid w:val="001D5C12"/>
    <w:rsid w:val="001D60A8"/>
    <w:rsid w:val="001D663E"/>
    <w:rsid w:val="001D6EBF"/>
    <w:rsid w:val="001E03BE"/>
    <w:rsid w:val="001E1DC0"/>
    <w:rsid w:val="001E2602"/>
    <w:rsid w:val="001E2DCD"/>
    <w:rsid w:val="001E40E2"/>
    <w:rsid w:val="001E458A"/>
    <w:rsid w:val="001E563B"/>
    <w:rsid w:val="001E6D20"/>
    <w:rsid w:val="001F16E7"/>
    <w:rsid w:val="001F63EC"/>
    <w:rsid w:val="001F7A8B"/>
    <w:rsid w:val="001F7F4D"/>
    <w:rsid w:val="0020341A"/>
    <w:rsid w:val="00203C3A"/>
    <w:rsid w:val="00204B7D"/>
    <w:rsid w:val="00205710"/>
    <w:rsid w:val="00205DE7"/>
    <w:rsid w:val="00216C55"/>
    <w:rsid w:val="002172C2"/>
    <w:rsid w:val="0022037E"/>
    <w:rsid w:val="002231BD"/>
    <w:rsid w:val="00223917"/>
    <w:rsid w:val="002270F7"/>
    <w:rsid w:val="0022790D"/>
    <w:rsid w:val="002404E8"/>
    <w:rsid w:val="00244229"/>
    <w:rsid w:val="002443C7"/>
    <w:rsid w:val="00247365"/>
    <w:rsid w:val="00252CF6"/>
    <w:rsid w:val="00255F45"/>
    <w:rsid w:val="00261565"/>
    <w:rsid w:val="00266912"/>
    <w:rsid w:val="00270C70"/>
    <w:rsid w:val="002721B5"/>
    <w:rsid w:val="00272B0E"/>
    <w:rsid w:val="00276462"/>
    <w:rsid w:val="00283BDB"/>
    <w:rsid w:val="0028602A"/>
    <w:rsid w:val="00287007"/>
    <w:rsid w:val="00290AF6"/>
    <w:rsid w:val="00294138"/>
    <w:rsid w:val="002945C4"/>
    <w:rsid w:val="0029663F"/>
    <w:rsid w:val="00297258"/>
    <w:rsid w:val="00297FD1"/>
    <w:rsid w:val="002B3381"/>
    <w:rsid w:val="002B4669"/>
    <w:rsid w:val="002B5E10"/>
    <w:rsid w:val="002B6865"/>
    <w:rsid w:val="002B714F"/>
    <w:rsid w:val="002C131A"/>
    <w:rsid w:val="002C6AAF"/>
    <w:rsid w:val="002C793D"/>
    <w:rsid w:val="002D25D9"/>
    <w:rsid w:val="002D35C9"/>
    <w:rsid w:val="002D4108"/>
    <w:rsid w:val="002D430F"/>
    <w:rsid w:val="002D5B25"/>
    <w:rsid w:val="002D626F"/>
    <w:rsid w:val="002E162A"/>
    <w:rsid w:val="002E2AF4"/>
    <w:rsid w:val="002E38B2"/>
    <w:rsid w:val="002E3E6A"/>
    <w:rsid w:val="002E500A"/>
    <w:rsid w:val="002E77C1"/>
    <w:rsid w:val="002F03FB"/>
    <w:rsid w:val="002F0903"/>
    <w:rsid w:val="002F25D2"/>
    <w:rsid w:val="002F33A1"/>
    <w:rsid w:val="002F4F2B"/>
    <w:rsid w:val="002F6581"/>
    <w:rsid w:val="002F67AE"/>
    <w:rsid w:val="003002C0"/>
    <w:rsid w:val="00300582"/>
    <w:rsid w:val="00301144"/>
    <w:rsid w:val="003031C6"/>
    <w:rsid w:val="00304984"/>
    <w:rsid w:val="00311361"/>
    <w:rsid w:val="003113D6"/>
    <w:rsid w:val="00311946"/>
    <w:rsid w:val="00312BF8"/>
    <w:rsid w:val="003148B7"/>
    <w:rsid w:val="00314F35"/>
    <w:rsid w:val="00315676"/>
    <w:rsid w:val="0031574F"/>
    <w:rsid w:val="003158C3"/>
    <w:rsid w:val="00320DC8"/>
    <w:rsid w:val="0032162A"/>
    <w:rsid w:val="0032226C"/>
    <w:rsid w:val="00322D9F"/>
    <w:rsid w:val="00323DF7"/>
    <w:rsid w:val="00327217"/>
    <w:rsid w:val="003274CD"/>
    <w:rsid w:val="00333501"/>
    <w:rsid w:val="003406AF"/>
    <w:rsid w:val="003457C4"/>
    <w:rsid w:val="0034657A"/>
    <w:rsid w:val="0035005E"/>
    <w:rsid w:val="0035119D"/>
    <w:rsid w:val="00352960"/>
    <w:rsid w:val="003535F8"/>
    <w:rsid w:val="00353DAD"/>
    <w:rsid w:val="00354641"/>
    <w:rsid w:val="0035532B"/>
    <w:rsid w:val="00357960"/>
    <w:rsid w:val="003622C1"/>
    <w:rsid w:val="00363A9F"/>
    <w:rsid w:val="003664FE"/>
    <w:rsid w:val="0037126F"/>
    <w:rsid w:val="00372FD3"/>
    <w:rsid w:val="0037590E"/>
    <w:rsid w:val="00375D23"/>
    <w:rsid w:val="003806FE"/>
    <w:rsid w:val="003824B4"/>
    <w:rsid w:val="00382CE7"/>
    <w:rsid w:val="00384D2A"/>
    <w:rsid w:val="003853BD"/>
    <w:rsid w:val="00387EC8"/>
    <w:rsid w:val="00391DB9"/>
    <w:rsid w:val="0039215F"/>
    <w:rsid w:val="00393071"/>
    <w:rsid w:val="0039344A"/>
    <w:rsid w:val="003A1D94"/>
    <w:rsid w:val="003A5D69"/>
    <w:rsid w:val="003B197D"/>
    <w:rsid w:val="003B3091"/>
    <w:rsid w:val="003B348D"/>
    <w:rsid w:val="003B4F12"/>
    <w:rsid w:val="003B5132"/>
    <w:rsid w:val="003B5332"/>
    <w:rsid w:val="003C4A2B"/>
    <w:rsid w:val="003C6C4F"/>
    <w:rsid w:val="003C7086"/>
    <w:rsid w:val="003C7D0E"/>
    <w:rsid w:val="003D1253"/>
    <w:rsid w:val="003D2712"/>
    <w:rsid w:val="003D2F1F"/>
    <w:rsid w:val="003E0153"/>
    <w:rsid w:val="003E03B8"/>
    <w:rsid w:val="003E0545"/>
    <w:rsid w:val="003E110A"/>
    <w:rsid w:val="003E24BA"/>
    <w:rsid w:val="003E3EB3"/>
    <w:rsid w:val="003E495D"/>
    <w:rsid w:val="003E5706"/>
    <w:rsid w:val="003F2041"/>
    <w:rsid w:val="003F4679"/>
    <w:rsid w:val="003F7D26"/>
    <w:rsid w:val="004007ED"/>
    <w:rsid w:val="00400D50"/>
    <w:rsid w:val="00402ACC"/>
    <w:rsid w:val="004033DD"/>
    <w:rsid w:val="00403FD8"/>
    <w:rsid w:val="00404443"/>
    <w:rsid w:val="00404602"/>
    <w:rsid w:val="00411AF8"/>
    <w:rsid w:val="004120EC"/>
    <w:rsid w:val="004122B9"/>
    <w:rsid w:val="0041267F"/>
    <w:rsid w:val="00414AD9"/>
    <w:rsid w:val="00416A1C"/>
    <w:rsid w:val="00423DB9"/>
    <w:rsid w:val="00423DE0"/>
    <w:rsid w:val="00423F31"/>
    <w:rsid w:val="00424F3B"/>
    <w:rsid w:val="0042526D"/>
    <w:rsid w:val="00426340"/>
    <w:rsid w:val="00426C26"/>
    <w:rsid w:val="004303AA"/>
    <w:rsid w:val="00431899"/>
    <w:rsid w:val="004326B5"/>
    <w:rsid w:val="004364C7"/>
    <w:rsid w:val="004378AF"/>
    <w:rsid w:val="004430A6"/>
    <w:rsid w:val="00444531"/>
    <w:rsid w:val="00445619"/>
    <w:rsid w:val="00446F46"/>
    <w:rsid w:val="00450381"/>
    <w:rsid w:val="004529F1"/>
    <w:rsid w:val="00453B1A"/>
    <w:rsid w:val="00457AD9"/>
    <w:rsid w:val="00457DC9"/>
    <w:rsid w:val="00462836"/>
    <w:rsid w:val="00462A57"/>
    <w:rsid w:val="004678B9"/>
    <w:rsid w:val="004708FA"/>
    <w:rsid w:val="0047276C"/>
    <w:rsid w:val="004728DD"/>
    <w:rsid w:val="00473F2D"/>
    <w:rsid w:val="00473F39"/>
    <w:rsid w:val="00474037"/>
    <w:rsid w:val="00475782"/>
    <w:rsid w:val="00480B71"/>
    <w:rsid w:val="00482AE8"/>
    <w:rsid w:val="00486804"/>
    <w:rsid w:val="00487549"/>
    <w:rsid w:val="004914E4"/>
    <w:rsid w:val="00493B79"/>
    <w:rsid w:val="00493F17"/>
    <w:rsid w:val="00494242"/>
    <w:rsid w:val="00496330"/>
    <w:rsid w:val="00496766"/>
    <w:rsid w:val="004967D2"/>
    <w:rsid w:val="004A109E"/>
    <w:rsid w:val="004A41B8"/>
    <w:rsid w:val="004B0646"/>
    <w:rsid w:val="004B3775"/>
    <w:rsid w:val="004B72F2"/>
    <w:rsid w:val="004C2740"/>
    <w:rsid w:val="004C3781"/>
    <w:rsid w:val="004D0BA0"/>
    <w:rsid w:val="004D4846"/>
    <w:rsid w:val="004D49F7"/>
    <w:rsid w:val="004D7F36"/>
    <w:rsid w:val="004E058F"/>
    <w:rsid w:val="004E3B87"/>
    <w:rsid w:val="004E549D"/>
    <w:rsid w:val="004F03CD"/>
    <w:rsid w:val="004F0444"/>
    <w:rsid w:val="004F5615"/>
    <w:rsid w:val="00502041"/>
    <w:rsid w:val="00503EB4"/>
    <w:rsid w:val="00504A44"/>
    <w:rsid w:val="0050592F"/>
    <w:rsid w:val="00510921"/>
    <w:rsid w:val="00510AD3"/>
    <w:rsid w:val="00513348"/>
    <w:rsid w:val="00513460"/>
    <w:rsid w:val="00513AD8"/>
    <w:rsid w:val="005175B6"/>
    <w:rsid w:val="00517DD0"/>
    <w:rsid w:val="005204D2"/>
    <w:rsid w:val="00522396"/>
    <w:rsid w:val="0052433A"/>
    <w:rsid w:val="00527AD8"/>
    <w:rsid w:val="005303B9"/>
    <w:rsid w:val="0053159D"/>
    <w:rsid w:val="00531B69"/>
    <w:rsid w:val="005320CB"/>
    <w:rsid w:val="00533B5D"/>
    <w:rsid w:val="00534D96"/>
    <w:rsid w:val="00536343"/>
    <w:rsid w:val="00536BAB"/>
    <w:rsid w:val="00540A22"/>
    <w:rsid w:val="00544715"/>
    <w:rsid w:val="00546877"/>
    <w:rsid w:val="005474FC"/>
    <w:rsid w:val="00553079"/>
    <w:rsid w:val="005579C6"/>
    <w:rsid w:val="00560E83"/>
    <w:rsid w:val="005705D5"/>
    <w:rsid w:val="005736BB"/>
    <w:rsid w:val="005740FB"/>
    <w:rsid w:val="0057740C"/>
    <w:rsid w:val="00577815"/>
    <w:rsid w:val="0057E26E"/>
    <w:rsid w:val="005822D6"/>
    <w:rsid w:val="005838FD"/>
    <w:rsid w:val="005839E5"/>
    <w:rsid w:val="00586F64"/>
    <w:rsid w:val="00587588"/>
    <w:rsid w:val="00594A23"/>
    <w:rsid w:val="005971C7"/>
    <w:rsid w:val="005A1CB1"/>
    <w:rsid w:val="005A20F6"/>
    <w:rsid w:val="005A257E"/>
    <w:rsid w:val="005B7577"/>
    <w:rsid w:val="005C299C"/>
    <w:rsid w:val="005C2EC9"/>
    <w:rsid w:val="005C532B"/>
    <w:rsid w:val="005D3655"/>
    <w:rsid w:val="005D51DE"/>
    <w:rsid w:val="005D5489"/>
    <w:rsid w:val="005D69AA"/>
    <w:rsid w:val="005D7F03"/>
    <w:rsid w:val="005E0058"/>
    <w:rsid w:val="005E2CAC"/>
    <w:rsid w:val="005E43F2"/>
    <w:rsid w:val="005E4830"/>
    <w:rsid w:val="005E5524"/>
    <w:rsid w:val="005E5D20"/>
    <w:rsid w:val="005E73CC"/>
    <w:rsid w:val="005F2F66"/>
    <w:rsid w:val="005F579A"/>
    <w:rsid w:val="005F5AF9"/>
    <w:rsid w:val="006031AC"/>
    <w:rsid w:val="00603321"/>
    <w:rsid w:val="00603EDE"/>
    <w:rsid w:val="00605838"/>
    <w:rsid w:val="00615E40"/>
    <w:rsid w:val="00616A58"/>
    <w:rsid w:val="00616E69"/>
    <w:rsid w:val="00620A3D"/>
    <w:rsid w:val="00622B86"/>
    <w:rsid w:val="00623BA1"/>
    <w:rsid w:val="0062478F"/>
    <w:rsid w:val="00624BE2"/>
    <w:rsid w:val="0062690A"/>
    <w:rsid w:val="00627F90"/>
    <w:rsid w:val="0063001A"/>
    <w:rsid w:val="00630092"/>
    <w:rsid w:val="006346BC"/>
    <w:rsid w:val="00634E4D"/>
    <w:rsid w:val="006362FF"/>
    <w:rsid w:val="006378FE"/>
    <w:rsid w:val="006408FF"/>
    <w:rsid w:val="006410C5"/>
    <w:rsid w:val="00644120"/>
    <w:rsid w:val="0065649B"/>
    <w:rsid w:val="00661A4E"/>
    <w:rsid w:val="0066203A"/>
    <w:rsid w:val="006635CA"/>
    <w:rsid w:val="0066652A"/>
    <w:rsid w:val="006719C3"/>
    <w:rsid w:val="006745FC"/>
    <w:rsid w:val="006748F2"/>
    <w:rsid w:val="006750D9"/>
    <w:rsid w:val="00677DD7"/>
    <w:rsid w:val="00680115"/>
    <w:rsid w:val="00680522"/>
    <w:rsid w:val="00681044"/>
    <w:rsid w:val="00681633"/>
    <w:rsid w:val="00682167"/>
    <w:rsid w:val="00682A9C"/>
    <w:rsid w:val="00690AE1"/>
    <w:rsid w:val="006911F9"/>
    <w:rsid w:val="00692FE2"/>
    <w:rsid w:val="006A0B2C"/>
    <w:rsid w:val="006A1659"/>
    <w:rsid w:val="006A6F52"/>
    <w:rsid w:val="006A791A"/>
    <w:rsid w:val="006B0064"/>
    <w:rsid w:val="006B3E95"/>
    <w:rsid w:val="006B51B2"/>
    <w:rsid w:val="006B6F6D"/>
    <w:rsid w:val="006C0B06"/>
    <w:rsid w:val="006C3BBD"/>
    <w:rsid w:val="006C42AF"/>
    <w:rsid w:val="006C565B"/>
    <w:rsid w:val="006C6498"/>
    <w:rsid w:val="006D15F1"/>
    <w:rsid w:val="006D5A56"/>
    <w:rsid w:val="006E093E"/>
    <w:rsid w:val="006E260E"/>
    <w:rsid w:val="006E4323"/>
    <w:rsid w:val="006F2427"/>
    <w:rsid w:val="006F41E2"/>
    <w:rsid w:val="006F59F1"/>
    <w:rsid w:val="006F6BA7"/>
    <w:rsid w:val="00705D90"/>
    <w:rsid w:val="00706136"/>
    <w:rsid w:val="007075DF"/>
    <w:rsid w:val="00711D8E"/>
    <w:rsid w:val="00712672"/>
    <w:rsid w:val="00713ABC"/>
    <w:rsid w:val="007140C4"/>
    <w:rsid w:val="007178C4"/>
    <w:rsid w:val="00724770"/>
    <w:rsid w:val="007252EA"/>
    <w:rsid w:val="00727E09"/>
    <w:rsid w:val="00732502"/>
    <w:rsid w:val="00734172"/>
    <w:rsid w:val="00734940"/>
    <w:rsid w:val="00734E3F"/>
    <w:rsid w:val="0073514C"/>
    <w:rsid w:val="00736985"/>
    <w:rsid w:val="007431C2"/>
    <w:rsid w:val="00745DF5"/>
    <w:rsid w:val="00751718"/>
    <w:rsid w:val="00752C39"/>
    <w:rsid w:val="00760E60"/>
    <w:rsid w:val="0076250F"/>
    <w:rsid w:val="00762795"/>
    <w:rsid w:val="0077134D"/>
    <w:rsid w:val="00772AB1"/>
    <w:rsid w:val="0077324F"/>
    <w:rsid w:val="007733DC"/>
    <w:rsid w:val="007801F2"/>
    <w:rsid w:val="00780FA5"/>
    <w:rsid w:val="007864CF"/>
    <w:rsid w:val="00790753"/>
    <w:rsid w:val="00794D99"/>
    <w:rsid w:val="00796F1C"/>
    <w:rsid w:val="007A4493"/>
    <w:rsid w:val="007A4DF5"/>
    <w:rsid w:val="007B53DB"/>
    <w:rsid w:val="007B53F9"/>
    <w:rsid w:val="007B6200"/>
    <w:rsid w:val="007B7CFB"/>
    <w:rsid w:val="007C15AD"/>
    <w:rsid w:val="007C19B3"/>
    <w:rsid w:val="007C1D6C"/>
    <w:rsid w:val="007C35DE"/>
    <w:rsid w:val="007C4A02"/>
    <w:rsid w:val="007C4D69"/>
    <w:rsid w:val="007C735B"/>
    <w:rsid w:val="007D22D9"/>
    <w:rsid w:val="007D4025"/>
    <w:rsid w:val="007D6ADA"/>
    <w:rsid w:val="007E06AF"/>
    <w:rsid w:val="007E0F7C"/>
    <w:rsid w:val="007E1306"/>
    <w:rsid w:val="007E5361"/>
    <w:rsid w:val="007E556D"/>
    <w:rsid w:val="007E7BC7"/>
    <w:rsid w:val="007F3395"/>
    <w:rsid w:val="007F5C0B"/>
    <w:rsid w:val="007F646C"/>
    <w:rsid w:val="00801B9F"/>
    <w:rsid w:val="0080204D"/>
    <w:rsid w:val="00802A65"/>
    <w:rsid w:val="008038A0"/>
    <w:rsid w:val="00812354"/>
    <w:rsid w:val="00813EA6"/>
    <w:rsid w:val="00817899"/>
    <w:rsid w:val="0082053C"/>
    <w:rsid w:val="00821D4C"/>
    <w:rsid w:val="00822F43"/>
    <w:rsid w:val="00830866"/>
    <w:rsid w:val="00836B54"/>
    <w:rsid w:val="0084191E"/>
    <w:rsid w:val="00843B76"/>
    <w:rsid w:val="00844737"/>
    <w:rsid w:val="008454D6"/>
    <w:rsid w:val="008475F0"/>
    <w:rsid w:val="00847EE1"/>
    <w:rsid w:val="008515AF"/>
    <w:rsid w:val="00852C32"/>
    <w:rsid w:val="00854F69"/>
    <w:rsid w:val="008557A7"/>
    <w:rsid w:val="00856BFE"/>
    <w:rsid w:val="00857312"/>
    <w:rsid w:val="00860698"/>
    <w:rsid w:val="00860F58"/>
    <w:rsid w:val="00861406"/>
    <w:rsid w:val="00862BCF"/>
    <w:rsid w:val="00865DE2"/>
    <w:rsid w:val="00865E14"/>
    <w:rsid w:val="00870928"/>
    <w:rsid w:val="00871655"/>
    <w:rsid w:val="008722F4"/>
    <w:rsid w:val="008731D0"/>
    <w:rsid w:val="008740B3"/>
    <w:rsid w:val="008756BC"/>
    <w:rsid w:val="00876B47"/>
    <w:rsid w:val="00877620"/>
    <w:rsid w:val="00877BEA"/>
    <w:rsid w:val="00881479"/>
    <w:rsid w:val="00881605"/>
    <w:rsid w:val="008842DB"/>
    <w:rsid w:val="00884A7F"/>
    <w:rsid w:val="00885259"/>
    <w:rsid w:val="00887404"/>
    <w:rsid w:val="00892A5B"/>
    <w:rsid w:val="0089405C"/>
    <w:rsid w:val="00894FEB"/>
    <w:rsid w:val="0089682B"/>
    <w:rsid w:val="0089748F"/>
    <w:rsid w:val="00897FA2"/>
    <w:rsid w:val="008A1503"/>
    <w:rsid w:val="008A1DD5"/>
    <w:rsid w:val="008A3BB9"/>
    <w:rsid w:val="008A5AFE"/>
    <w:rsid w:val="008A6BB7"/>
    <w:rsid w:val="008A745C"/>
    <w:rsid w:val="008A7B6F"/>
    <w:rsid w:val="008B0A1C"/>
    <w:rsid w:val="008B3945"/>
    <w:rsid w:val="008B5E23"/>
    <w:rsid w:val="008C1A18"/>
    <w:rsid w:val="008C1F60"/>
    <w:rsid w:val="008C2657"/>
    <w:rsid w:val="008C4547"/>
    <w:rsid w:val="008C478C"/>
    <w:rsid w:val="008C5A0E"/>
    <w:rsid w:val="008C6149"/>
    <w:rsid w:val="008C708C"/>
    <w:rsid w:val="008D0A23"/>
    <w:rsid w:val="008D7AFA"/>
    <w:rsid w:val="008E0F1A"/>
    <w:rsid w:val="008E3C76"/>
    <w:rsid w:val="008E4B49"/>
    <w:rsid w:val="008E4BCA"/>
    <w:rsid w:val="008E7A6E"/>
    <w:rsid w:val="008F08B0"/>
    <w:rsid w:val="008F20BE"/>
    <w:rsid w:val="008F6625"/>
    <w:rsid w:val="0090173B"/>
    <w:rsid w:val="00903687"/>
    <w:rsid w:val="0090394C"/>
    <w:rsid w:val="009131E9"/>
    <w:rsid w:val="00913875"/>
    <w:rsid w:val="00916582"/>
    <w:rsid w:val="00916CAF"/>
    <w:rsid w:val="00917A7A"/>
    <w:rsid w:val="00920854"/>
    <w:rsid w:val="00930549"/>
    <w:rsid w:val="0093173D"/>
    <w:rsid w:val="0093369F"/>
    <w:rsid w:val="00936B13"/>
    <w:rsid w:val="00937866"/>
    <w:rsid w:val="00940F64"/>
    <w:rsid w:val="00943730"/>
    <w:rsid w:val="009505AE"/>
    <w:rsid w:val="00950D65"/>
    <w:rsid w:val="00952815"/>
    <w:rsid w:val="009543B9"/>
    <w:rsid w:val="00954EEF"/>
    <w:rsid w:val="0097005A"/>
    <w:rsid w:val="00971943"/>
    <w:rsid w:val="00975CA5"/>
    <w:rsid w:val="009774B4"/>
    <w:rsid w:val="00981136"/>
    <w:rsid w:val="00986590"/>
    <w:rsid w:val="00987FBC"/>
    <w:rsid w:val="00991579"/>
    <w:rsid w:val="00992BDE"/>
    <w:rsid w:val="00992C76"/>
    <w:rsid w:val="00993007"/>
    <w:rsid w:val="009969D6"/>
    <w:rsid w:val="009A112B"/>
    <w:rsid w:val="009A1BC1"/>
    <w:rsid w:val="009A2619"/>
    <w:rsid w:val="009A2A81"/>
    <w:rsid w:val="009A58FC"/>
    <w:rsid w:val="009A744E"/>
    <w:rsid w:val="009B394F"/>
    <w:rsid w:val="009B4D3B"/>
    <w:rsid w:val="009B6293"/>
    <w:rsid w:val="009C0D8D"/>
    <w:rsid w:val="009C18DB"/>
    <w:rsid w:val="009C5ABD"/>
    <w:rsid w:val="009D052E"/>
    <w:rsid w:val="009D1F71"/>
    <w:rsid w:val="009D3438"/>
    <w:rsid w:val="009D68EF"/>
    <w:rsid w:val="009D7407"/>
    <w:rsid w:val="009E0866"/>
    <w:rsid w:val="009E273C"/>
    <w:rsid w:val="009F1350"/>
    <w:rsid w:val="009F58C2"/>
    <w:rsid w:val="009F6423"/>
    <w:rsid w:val="00A00C26"/>
    <w:rsid w:val="00A03F75"/>
    <w:rsid w:val="00A07A86"/>
    <w:rsid w:val="00A107B9"/>
    <w:rsid w:val="00A12B40"/>
    <w:rsid w:val="00A14C24"/>
    <w:rsid w:val="00A17461"/>
    <w:rsid w:val="00A226D1"/>
    <w:rsid w:val="00A22CD1"/>
    <w:rsid w:val="00A237B8"/>
    <w:rsid w:val="00A24A62"/>
    <w:rsid w:val="00A31C9F"/>
    <w:rsid w:val="00A4144F"/>
    <w:rsid w:val="00A41A76"/>
    <w:rsid w:val="00A45359"/>
    <w:rsid w:val="00A46B28"/>
    <w:rsid w:val="00A47135"/>
    <w:rsid w:val="00A4748D"/>
    <w:rsid w:val="00A513D8"/>
    <w:rsid w:val="00A56C98"/>
    <w:rsid w:val="00A61B4D"/>
    <w:rsid w:val="00A627D7"/>
    <w:rsid w:val="00A634D5"/>
    <w:rsid w:val="00A64804"/>
    <w:rsid w:val="00A658EF"/>
    <w:rsid w:val="00A66BBD"/>
    <w:rsid w:val="00A67A16"/>
    <w:rsid w:val="00A71167"/>
    <w:rsid w:val="00A72201"/>
    <w:rsid w:val="00A74192"/>
    <w:rsid w:val="00A75B84"/>
    <w:rsid w:val="00A80123"/>
    <w:rsid w:val="00A80305"/>
    <w:rsid w:val="00A80547"/>
    <w:rsid w:val="00A80AA5"/>
    <w:rsid w:val="00A80F95"/>
    <w:rsid w:val="00A82A1D"/>
    <w:rsid w:val="00A82C23"/>
    <w:rsid w:val="00A854F9"/>
    <w:rsid w:val="00A868CB"/>
    <w:rsid w:val="00A96364"/>
    <w:rsid w:val="00A97244"/>
    <w:rsid w:val="00A97BF1"/>
    <w:rsid w:val="00A9E532"/>
    <w:rsid w:val="00AA04C3"/>
    <w:rsid w:val="00AA298A"/>
    <w:rsid w:val="00AA3632"/>
    <w:rsid w:val="00AA3AA8"/>
    <w:rsid w:val="00AB033B"/>
    <w:rsid w:val="00AB10A5"/>
    <w:rsid w:val="00AB2121"/>
    <w:rsid w:val="00AB4795"/>
    <w:rsid w:val="00AB5D49"/>
    <w:rsid w:val="00AB6748"/>
    <w:rsid w:val="00AB6BD2"/>
    <w:rsid w:val="00AC107C"/>
    <w:rsid w:val="00AC164A"/>
    <w:rsid w:val="00AC3944"/>
    <w:rsid w:val="00AC4FCB"/>
    <w:rsid w:val="00AC551D"/>
    <w:rsid w:val="00AC6CFD"/>
    <w:rsid w:val="00AD19F7"/>
    <w:rsid w:val="00AD2C2E"/>
    <w:rsid w:val="00AD5292"/>
    <w:rsid w:val="00AE0666"/>
    <w:rsid w:val="00AE2B7B"/>
    <w:rsid w:val="00AE448A"/>
    <w:rsid w:val="00AE74DA"/>
    <w:rsid w:val="00AE7AB3"/>
    <w:rsid w:val="00AF18F4"/>
    <w:rsid w:val="00AF2050"/>
    <w:rsid w:val="00AF4A1C"/>
    <w:rsid w:val="00AF4DD9"/>
    <w:rsid w:val="00AF677D"/>
    <w:rsid w:val="00AF7ECC"/>
    <w:rsid w:val="00B00839"/>
    <w:rsid w:val="00B00BF4"/>
    <w:rsid w:val="00B02B2A"/>
    <w:rsid w:val="00B03CA8"/>
    <w:rsid w:val="00B05B87"/>
    <w:rsid w:val="00B113A2"/>
    <w:rsid w:val="00B12991"/>
    <w:rsid w:val="00B13A19"/>
    <w:rsid w:val="00B16EF6"/>
    <w:rsid w:val="00B227DF"/>
    <w:rsid w:val="00B22F0E"/>
    <w:rsid w:val="00B22F61"/>
    <w:rsid w:val="00B240C6"/>
    <w:rsid w:val="00B249EC"/>
    <w:rsid w:val="00B32F6B"/>
    <w:rsid w:val="00B33C0A"/>
    <w:rsid w:val="00B34763"/>
    <w:rsid w:val="00B35903"/>
    <w:rsid w:val="00B401AF"/>
    <w:rsid w:val="00B430B5"/>
    <w:rsid w:val="00B468CA"/>
    <w:rsid w:val="00B50ED0"/>
    <w:rsid w:val="00B51C2F"/>
    <w:rsid w:val="00B53C8F"/>
    <w:rsid w:val="00B54A6C"/>
    <w:rsid w:val="00B55BC5"/>
    <w:rsid w:val="00B55E19"/>
    <w:rsid w:val="00B56E71"/>
    <w:rsid w:val="00B579A6"/>
    <w:rsid w:val="00B6487C"/>
    <w:rsid w:val="00B664A8"/>
    <w:rsid w:val="00B66D3E"/>
    <w:rsid w:val="00B71AD8"/>
    <w:rsid w:val="00B72812"/>
    <w:rsid w:val="00B75673"/>
    <w:rsid w:val="00B757CC"/>
    <w:rsid w:val="00B7620D"/>
    <w:rsid w:val="00B7758B"/>
    <w:rsid w:val="00B84B3C"/>
    <w:rsid w:val="00B857E1"/>
    <w:rsid w:val="00B8599B"/>
    <w:rsid w:val="00B86990"/>
    <w:rsid w:val="00B90E0B"/>
    <w:rsid w:val="00B91DE4"/>
    <w:rsid w:val="00B91FE7"/>
    <w:rsid w:val="00B929BE"/>
    <w:rsid w:val="00B93D4A"/>
    <w:rsid w:val="00B9416F"/>
    <w:rsid w:val="00B94758"/>
    <w:rsid w:val="00BA1B89"/>
    <w:rsid w:val="00BA3286"/>
    <w:rsid w:val="00BA4B6D"/>
    <w:rsid w:val="00BB26C5"/>
    <w:rsid w:val="00BB2F84"/>
    <w:rsid w:val="00BB3FD0"/>
    <w:rsid w:val="00BB4764"/>
    <w:rsid w:val="00BB59E5"/>
    <w:rsid w:val="00BC1FED"/>
    <w:rsid w:val="00BC56A2"/>
    <w:rsid w:val="00BC63A8"/>
    <w:rsid w:val="00BC7036"/>
    <w:rsid w:val="00BD0F5C"/>
    <w:rsid w:val="00BD32F6"/>
    <w:rsid w:val="00BD4EB1"/>
    <w:rsid w:val="00BD6304"/>
    <w:rsid w:val="00BD6AA7"/>
    <w:rsid w:val="00BD70D4"/>
    <w:rsid w:val="00BD710C"/>
    <w:rsid w:val="00BE12B6"/>
    <w:rsid w:val="00BF1579"/>
    <w:rsid w:val="00BF2216"/>
    <w:rsid w:val="00BF4DE6"/>
    <w:rsid w:val="00BF6703"/>
    <w:rsid w:val="00C00F50"/>
    <w:rsid w:val="00C04D72"/>
    <w:rsid w:val="00C06B13"/>
    <w:rsid w:val="00C10114"/>
    <w:rsid w:val="00C10428"/>
    <w:rsid w:val="00C1408A"/>
    <w:rsid w:val="00C16A47"/>
    <w:rsid w:val="00C27D25"/>
    <w:rsid w:val="00C31EA3"/>
    <w:rsid w:val="00C35791"/>
    <w:rsid w:val="00C37697"/>
    <w:rsid w:val="00C42541"/>
    <w:rsid w:val="00C42CDE"/>
    <w:rsid w:val="00C4327C"/>
    <w:rsid w:val="00C457BA"/>
    <w:rsid w:val="00C45941"/>
    <w:rsid w:val="00C50B58"/>
    <w:rsid w:val="00C5182A"/>
    <w:rsid w:val="00C52463"/>
    <w:rsid w:val="00C52B3D"/>
    <w:rsid w:val="00C55983"/>
    <w:rsid w:val="00C61649"/>
    <w:rsid w:val="00C61935"/>
    <w:rsid w:val="00C62A1C"/>
    <w:rsid w:val="00C63EE9"/>
    <w:rsid w:val="00C65C2A"/>
    <w:rsid w:val="00C72A3D"/>
    <w:rsid w:val="00C76D88"/>
    <w:rsid w:val="00C80F99"/>
    <w:rsid w:val="00C83F4E"/>
    <w:rsid w:val="00C84C30"/>
    <w:rsid w:val="00C87B9B"/>
    <w:rsid w:val="00C908C7"/>
    <w:rsid w:val="00C92805"/>
    <w:rsid w:val="00C9478B"/>
    <w:rsid w:val="00C94880"/>
    <w:rsid w:val="00CA02AA"/>
    <w:rsid w:val="00CA16F3"/>
    <w:rsid w:val="00CA3403"/>
    <w:rsid w:val="00CA37B1"/>
    <w:rsid w:val="00CA3FD8"/>
    <w:rsid w:val="00CA5021"/>
    <w:rsid w:val="00CA575B"/>
    <w:rsid w:val="00CB1488"/>
    <w:rsid w:val="00CB1959"/>
    <w:rsid w:val="00CB2846"/>
    <w:rsid w:val="00CB3BA4"/>
    <w:rsid w:val="00CB40BD"/>
    <w:rsid w:val="00CC0FD1"/>
    <w:rsid w:val="00CC1D45"/>
    <w:rsid w:val="00CC2EFB"/>
    <w:rsid w:val="00CC64C8"/>
    <w:rsid w:val="00CC741B"/>
    <w:rsid w:val="00CC7AC1"/>
    <w:rsid w:val="00CD0E4B"/>
    <w:rsid w:val="00CD10BE"/>
    <w:rsid w:val="00CD3F5D"/>
    <w:rsid w:val="00CD4242"/>
    <w:rsid w:val="00CD4AD4"/>
    <w:rsid w:val="00CE2CF5"/>
    <w:rsid w:val="00CE3AAD"/>
    <w:rsid w:val="00CE40AA"/>
    <w:rsid w:val="00CE4C89"/>
    <w:rsid w:val="00CE767A"/>
    <w:rsid w:val="00CF07BA"/>
    <w:rsid w:val="00CF1307"/>
    <w:rsid w:val="00CF21A3"/>
    <w:rsid w:val="00CF35F1"/>
    <w:rsid w:val="00D01731"/>
    <w:rsid w:val="00D0296C"/>
    <w:rsid w:val="00D05E55"/>
    <w:rsid w:val="00D063CD"/>
    <w:rsid w:val="00D1231A"/>
    <w:rsid w:val="00D20A30"/>
    <w:rsid w:val="00D20BC7"/>
    <w:rsid w:val="00D2641E"/>
    <w:rsid w:val="00D3068D"/>
    <w:rsid w:val="00D3138D"/>
    <w:rsid w:val="00D3170B"/>
    <w:rsid w:val="00D32D6F"/>
    <w:rsid w:val="00D3476B"/>
    <w:rsid w:val="00D34D5D"/>
    <w:rsid w:val="00D37B04"/>
    <w:rsid w:val="00D42C24"/>
    <w:rsid w:val="00D43444"/>
    <w:rsid w:val="00D438AC"/>
    <w:rsid w:val="00D45555"/>
    <w:rsid w:val="00D4628C"/>
    <w:rsid w:val="00D479B5"/>
    <w:rsid w:val="00D50AD7"/>
    <w:rsid w:val="00D52300"/>
    <w:rsid w:val="00D540C6"/>
    <w:rsid w:val="00D64184"/>
    <w:rsid w:val="00D64BD1"/>
    <w:rsid w:val="00D71F34"/>
    <w:rsid w:val="00D72FD2"/>
    <w:rsid w:val="00D7310B"/>
    <w:rsid w:val="00D74146"/>
    <w:rsid w:val="00D8201C"/>
    <w:rsid w:val="00D83973"/>
    <w:rsid w:val="00D85F0B"/>
    <w:rsid w:val="00D8701C"/>
    <w:rsid w:val="00D90B37"/>
    <w:rsid w:val="00D92254"/>
    <w:rsid w:val="00D924D3"/>
    <w:rsid w:val="00DA1B52"/>
    <w:rsid w:val="00DA2AE3"/>
    <w:rsid w:val="00DA4B3C"/>
    <w:rsid w:val="00DC0996"/>
    <w:rsid w:val="00DC0B32"/>
    <w:rsid w:val="00DC238C"/>
    <w:rsid w:val="00DC5A4E"/>
    <w:rsid w:val="00DC6D78"/>
    <w:rsid w:val="00DD3E36"/>
    <w:rsid w:val="00DD3E88"/>
    <w:rsid w:val="00DD73A4"/>
    <w:rsid w:val="00DE084C"/>
    <w:rsid w:val="00DE3B2A"/>
    <w:rsid w:val="00DF2254"/>
    <w:rsid w:val="00DF68CF"/>
    <w:rsid w:val="00E0125A"/>
    <w:rsid w:val="00E0138E"/>
    <w:rsid w:val="00E014B0"/>
    <w:rsid w:val="00E0497E"/>
    <w:rsid w:val="00E055AB"/>
    <w:rsid w:val="00E0796C"/>
    <w:rsid w:val="00E14E3E"/>
    <w:rsid w:val="00E14E55"/>
    <w:rsid w:val="00E14F51"/>
    <w:rsid w:val="00E15A6C"/>
    <w:rsid w:val="00E1666D"/>
    <w:rsid w:val="00E16D5F"/>
    <w:rsid w:val="00E20945"/>
    <w:rsid w:val="00E20FF9"/>
    <w:rsid w:val="00E218CD"/>
    <w:rsid w:val="00E221FA"/>
    <w:rsid w:val="00E3076E"/>
    <w:rsid w:val="00E32094"/>
    <w:rsid w:val="00E32324"/>
    <w:rsid w:val="00E32370"/>
    <w:rsid w:val="00E34DE3"/>
    <w:rsid w:val="00E357B7"/>
    <w:rsid w:val="00E36676"/>
    <w:rsid w:val="00E40E8B"/>
    <w:rsid w:val="00E410F8"/>
    <w:rsid w:val="00E42990"/>
    <w:rsid w:val="00E42E50"/>
    <w:rsid w:val="00E4584F"/>
    <w:rsid w:val="00E532A8"/>
    <w:rsid w:val="00E53800"/>
    <w:rsid w:val="00E54E8C"/>
    <w:rsid w:val="00E57DCD"/>
    <w:rsid w:val="00E6081F"/>
    <w:rsid w:val="00E614AA"/>
    <w:rsid w:val="00E624EC"/>
    <w:rsid w:val="00E66F2A"/>
    <w:rsid w:val="00E70C37"/>
    <w:rsid w:val="00E72E72"/>
    <w:rsid w:val="00E730B0"/>
    <w:rsid w:val="00E749FC"/>
    <w:rsid w:val="00E76F3A"/>
    <w:rsid w:val="00E81E9D"/>
    <w:rsid w:val="00E8296D"/>
    <w:rsid w:val="00E837AE"/>
    <w:rsid w:val="00E8457B"/>
    <w:rsid w:val="00E90BF5"/>
    <w:rsid w:val="00E9161B"/>
    <w:rsid w:val="00E944AA"/>
    <w:rsid w:val="00EA04B2"/>
    <w:rsid w:val="00EA20F3"/>
    <w:rsid w:val="00EA217A"/>
    <w:rsid w:val="00EA36D9"/>
    <w:rsid w:val="00EA3979"/>
    <w:rsid w:val="00EA4D36"/>
    <w:rsid w:val="00EA53DA"/>
    <w:rsid w:val="00EA59E1"/>
    <w:rsid w:val="00EB1A80"/>
    <w:rsid w:val="00EC169C"/>
    <w:rsid w:val="00EC2B54"/>
    <w:rsid w:val="00EC608A"/>
    <w:rsid w:val="00EC6D38"/>
    <w:rsid w:val="00ED101D"/>
    <w:rsid w:val="00ED179A"/>
    <w:rsid w:val="00ED18EE"/>
    <w:rsid w:val="00ED2831"/>
    <w:rsid w:val="00ED3B2D"/>
    <w:rsid w:val="00ED43D1"/>
    <w:rsid w:val="00ED4DDC"/>
    <w:rsid w:val="00ED6E38"/>
    <w:rsid w:val="00EE0466"/>
    <w:rsid w:val="00EE1CFF"/>
    <w:rsid w:val="00EE4DAB"/>
    <w:rsid w:val="00EE4EE1"/>
    <w:rsid w:val="00EF3028"/>
    <w:rsid w:val="00EF4574"/>
    <w:rsid w:val="00EF6219"/>
    <w:rsid w:val="00F003E0"/>
    <w:rsid w:val="00F01921"/>
    <w:rsid w:val="00F03B86"/>
    <w:rsid w:val="00F04494"/>
    <w:rsid w:val="00F044E5"/>
    <w:rsid w:val="00F06982"/>
    <w:rsid w:val="00F10449"/>
    <w:rsid w:val="00F13373"/>
    <w:rsid w:val="00F13D03"/>
    <w:rsid w:val="00F16C68"/>
    <w:rsid w:val="00F20898"/>
    <w:rsid w:val="00F258BF"/>
    <w:rsid w:val="00F25A93"/>
    <w:rsid w:val="00F2684E"/>
    <w:rsid w:val="00F27235"/>
    <w:rsid w:val="00F32F70"/>
    <w:rsid w:val="00F33465"/>
    <w:rsid w:val="00F39F5B"/>
    <w:rsid w:val="00F40601"/>
    <w:rsid w:val="00F41CF9"/>
    <w:rsid w:val="00F45486"/>
    <w:rsid w:val="00F47942"/>
    <w:rsid w:val="00F53309"/>
    <w:rsid w:val="00F53E91"/>
    <w:rsid w:val="00F53FE7"/>
    <w:rsid w:val="00F5404C"/>
    <w:rsid w:val="00F55791"/>
    <w:rsid w:val="00F6360E"/>
    <w:rsid w:val="00F64397"/>
    <w:rsid w:val="00F64D8A"/>
    <w:rsid w:val="00F650C7"/>
    <w:rsid w:val="00F67C6A"/>
    <w:rsid w:val="00F70504"/>
    <w:rsid w:val="00F707E0"/>
    <w:rsid w:val="00F70F73"/>
    <w:rsid w:val="00F71CB4"/>
    <w:rsid w:val="00F71D33"/>
    <w:rsid w:val="00F729EF"/>
    <w:rsid w:val="00F746B7"/>
    <w:rsid w:val="00F74A4C"/>
    <w:rsid w:val="00F760AE"/>
    <w:rsid w:val="00F77CAE"/>
    <w:rsid w:val="00F77D21"/>
    <w:rsid w:val="00F82271"/>
    <w:rsid w:val="00F83211"/>
    <w:rsid w:val="00F83428"/>
    <w:rsid w:val="00F875A8"/>
    <w:rsid w:val="00F906FB"/>
    <w:rsid w:val="00F90B05"/>
    <w:rsid w:val="00F90B17"/>
    <w:rsid w:val="00F91951"/>
    <w:rsid w:val="00F94A99"/>
    <w:rsid w:val="00F968E9"/>
    <w:rsid w:val="00F96BB9"/>
    <w:rsid w:val="00F975C0"/>
    <w:rsid w:val="00F97EDE"/>
    <w:rsid w:val="00FA00DF"/>
    <w:rsid w:val="00FA1ED1"/>
    <w:rsid w:val="00FA4D1A"/>
    <w:rsid w:val="00FA5EFD"/>
    <w:rsid w:val="00FC0D71"/>
    <w:rsid w:val="00FC1216"/>
    <w:rsid w:val="00FC4016"/>
    <w:rsid w:val="00FC5258"/>
    <w:rsid w:val="00FC5365"/>
    <w:rsid w:val="00FD1850"/>
    <w:rsid w:val="00FD710F"/>
    <w:rsid w:val="00FE6D51"/>
    <w:rsid w:val="00FE6F2A"/>
    <w:rsid w:val="00FF0590"/>
    <w:rsid w:val="00FF551B"/>
    <w:rsid w:val="011E5070"/>
    <w:rsid w:val="011FF9D2"/>
    <w:rsid w:val="01241769"/>
    <w:rsid w:val="016CB4EB"/>
    <w:rsid w:val="01AB41C8"/>
    <w:rsid w:val="01D0B5D5"/>
    <w:rsid w:val="01E55792"/>
    <w:rsid w:val="01F6D1E3"/>
    <w:rsid w:val="02014CB2"/>
    <w:rsid w:val="020BF309"/>
    <w:rsid w:val="021D678D"/>
    <w:rsid w:val="027EA800"/>
    <w:rsid w:val="027FF77E"/>
    <w:rsid w:val="02AE4729"/>
    <w:rsid w:val="02BEA1D5"/>
    <w:rsid w:val="02F652B9"/>
    <w:rsid w:val="032AB199"/>
    <w:rsid w:val="035A2916"/>
    <w:rsid w:val="036B0A7E"/>
    <w:rsid w:val="036BCF25"/>
    <w:rsid w:val="03933421"/>
    <w:rsid w:val="03AD11F6"/>
    <w:rsid w:val="03BAA51A"/>
    <w:rsid w:val="041311F3"/>
    <w:rsid w:val="04687404"/>
    <w:rsid w:val="047C8572"/>
    <w:rsid w:val="04973037"/>
    <w:rsid w:val="04D0B1A8"/>
    <w:rsid w:val="05126C7E"/>
    <w:rsid w:val="05306F23"/>
    <w:rsid w:val="05F574A7"/>
    <w:rsid w:val="060DE539"/>
    <w:rsid w:val="06199EC6"/>
    <w:rsid w:val="068C6174"/>
    <w:rsid w:val="069C895C"/>
    <w:rsid w:val="06CD45CB"/>
    <w:rsid w:val="07051B08"/>
    <w:rsid w:val="07405856"/>
    <w:rsid w:val="07A35CA3"/>
    <w:rsid w:val="07BD368A"/>
    <w:rsid w:val="07D5A346"/>
    <w:rsid w:val="08047AE4"/>
    <w:rsid w:val="0834B874"/>
    <w:rsid w:val="08786928"/>
    <w:rsid w:val="08A66CC7"/>
    <w:rsid w:val="08FDB303"/>
    <w:rsid w:val="094B92BF"/>
    <w:rsid w:val="09BDB63F"/>
    <w:rsid w:val="0A2C95DD"/>
    <w:rsid w:val="0A349886"/>
    <w:rsid w:val="0A3CBBCA"/>
    <w:rsid w:val="0AD5AF45"/>
    <w:rsid w:val="0AF63ABA"/>
    <w:rsid w:val="0BC39225"/>
    <w:rsid w:val="0BCFDA6F"/>
    <w:rsid w:val="0C03F65A"/>
    <w:rsid w:val="0C142790"/>
    <w:rsid w:val="0C3ADB1B"/>
    <w:rsid w:val="0C64B62B"/>
    <w:rsid w:val="0CCFEBA1"/>
    <w:rsid w:val="0CF068AD"/>
    <w:rsid w:val="0CF9B649"/>
    <w:rsid w:val="0D10A31D"/>
    <w:rsid w:val="0D18C11E"/>
    <w:rsid w:val="0D3C874F"/>
    <w:rsid w:val="0D4A2052"/>
    <w:rsid w:val="0D4E3830"/>
    <w:rsid w:val="0D76F683"/>
    <w:rsid w:val="0D85338D"/>
    <w:rsid w:val="0DA63169"/>
    <w:rsid w:val="0DC19A15"/>
    <w:rsid w:val="0DC3136D"/>
    <w:rsid w:val="0DED0CAB"/>
    <w:rsid w:val="0E00868C"/>
    <w:rsid w:val="0E5ACD6A"/>
    <w:rsid w:val="0EA7344C"/>
    <w:rsid w:val="0EAC47F1"/>
    <w:rsid w:val="0EBF513E"/>
    <w:rsid w:val="0ED88381"/>
    <w:rsid w:val="0EFB8311"/>
    <w:rsid w:val="0F583976"/>
    <w:rsid w:val="0FB1E167"/>
    <w:rsid w:val="0FD614DB"/>
    <w:rsid w:val="1050B2F5"/>
    <w:rsid w:val="1069A183"/>
    <w:rsid w:val="106AE3FA"/>
    <w:rsid w:val="10920102"/>
    <w:rsid w:val="109926DF"/>
    <w:rsid w:val="11050144"/>
    <w:rsid w:val="112CED90"/>
    <w:rsid w:val="11429FCE"/>
    <w:rsid w:val="1151645F"/>
    <w:rsid w:val="1199F332"/>
    <w:rsid w:val="1288DF6C"/>
    <w:rsid w:val="12990A4F"/>
    <w:rsid w:val="1340E6C9"/>
    <w:rsid w:val="134BB74F"/>
    <w:rsid w:val="137A90EE"/>
    <w:rsid w:val="138F0E44"/>
    <w:rsid w:val="13B1B227"/>
    <w:rsid w:val="13B471DF"/>
    <w:rsid w:val="13B827CB"/>
    <w:rsid w:val="141A6E3D"/>
    <w:rsid w:val="141F169C"/>
    <w:rsid w:val="143FA01F"/>
    <w:rsid w:val="1449B61B"/>
    <w:rsid w:val="14A862DC"/>
    <w:rsid w:val="14BF638D"/>
    <w:rsid w:val="14C4E8F4"/>
    <w:rsid w:val="155110C3"/>
    <w:rsid w:val="15C40B0B"/>
    <w:rsid w:val="15D706BF"/>
    <w:rsid w:val="15E235A5"/>
    <w:rsid w:val="1635A9A2"/>
    <w:rsid w:val="16406323"/>
    <w:rsid w:val="1640B069"/>
    <w:rsid w:val="1662CC08"/>
    <w:rsid w:val="16746544"/>
    <w:rsid w:val="167C5777"/>
    <w:rsid w:val="168E5036"/>
    <w:rsid w:val="16A8161B"/>
    <w:rsid w:val="17118EAA"/>
    <w:rsid w:val="1775E4C0"/>
    <w:rsid w:val="177BC245"/>
    <w:rsid w:val="178E2013"/>
    <w:rsid w:val="179BE3A6"/>
    <w:rsid w:val="17EBF96A"/>
    <w:rsid w:val="181666B2"/>
    <w:rsid w:val="183F5B05"/>
    <w:rsid w:val="1842D783"/>
    <w:rsid w:val="184A3E04"/>
    <w:rsid w:val="189AA319"/>
    <w:rsid w:val="18FFA0B3"/>
    <w:rsid w:val="191C128F"/>
    <w:rsid w:val="1964AF12"/>
    <w:rsid w:val="19907CE3"/>
    <w:rsid w:val="1997881D"/>
    <w:rsid w:val="1A092A31"/>
    <w:rsid w:val="1A1C60F5"/>
    <w:rsid w:val="1A4AD890"/>
    <w:rsid w:val="1AD98E14"/>
    <w:rsid w:val="1B2415E5"/>
    <w:rsid w:val="1B435814"/>
    <w:rsid w:val="1B4371F9"/>
    <w:rsid w:val="1B569A60"/>
    <w:rsid w:val="1BA007AC"/>
    <w:rsid w:val="1BF4EFA8"/>
    <w:rsid w:val="1C7ECF00"/>
    <w:rsid w:val="1D373A3E"/>
    <w:rsid w:val="1D85404F"/>
    <w:rsid w:val="1DDC2138"/>
    <w:rsid w:val="1DF29EDA"/>
    <w:rsid w:val="1E1F1F61"/>
    <w:rsid w:val="1E49CDBD"/>
    <w:rsid w:val="1E5020E6"/>
    <w:rsid w:val="1E5245C0"/>
    <w:rsid w:val="1E8C7D67"/>
    <w:rsid w:val="1E90FB5B"/>
    <w:rsid w:val="1EF3D2C0"/>
    <w:rsid w:val="1F01A56D"/>
    <w:rsid w:val="1F02CEFC"/>
    <w:rsid w:val="1F0BC006"/>
    <w:rsid w:val="1F408646"/>
    <w:rsid w:val="1F4665D0"/>
    <w:rsid w:val="1FD3871C"/>
    <w:rsid w:val="1FE30FD6"/>
    <w:rsid w:val="206347EB"/>
    <w:rsid w:val="20862C52"/>
    <w:rsid w:val="208D154D"/>
    <w:rsid w:val="20A19C23"/>
    <w:rsid w:val="20C2BAAB"/>
    <w:rsid w:val="21A29A02"/>
    <w:rsid w:val="21B1CC06"/>
    <w:rsid w:val="21D1E647"/>
    <w:rsid w:val="21DDC89C"/>
    <w:rsid w:val="21F2A84D"/>
    <w:rsid w:val="2237BC9C"/>
    <w:rsid w:val="224DA73E"/>
    <w:rsid w:val="224E889B"/>
    <w:rsid w:val="225FB2A7"/>
    <w:rsid w:val="2278050C"/>
    <w:rsid w:val="22821F47"/>
    <w:rsid w:val="22956C5E"/>
    <w:rsid w:val="23750BEA"/>
    <w:rsid w:val="23A8CDF6"/>
    <w:rsid w:val="24470A00"/>
    <w:rsid w:val="24767814"/>
    <w:rsid w:val="249AB51F"/>
    <w:rsid w:val="24C6AF03"/>
    <w:rsid w:val="2522AC43"/>
    <w:rsid w:val="25F779F7"/>
    <w:rsid w:val="264A3304"/>
    <w:rsid w:val="26726278"/>
    <w:rsid w:val="267CE46A"/>
    <w:rsid w:val="2680DD61"/>
    <w:rsid w:val="26E8019B"/>
    <w:rsid w:val="2706CF51"/>
    <w:rsid w:val="278413D6"/>
    <w:rsid w:val="282660D6"/>
    <w:rsid w:val="282D2237"/>
    <w:rsid w:val="288B7B84"/>
    <w:rsid w:val="28955DC0"/>
    <w:rsid w:val="289E1504"/>
    <w:rsid w:val="28DB7B54"/>
    <w:rsid w:val="28F54BBA"/>
    <w:rsid w:val="293C7D37"/>
    <w:rsid w:val="29460221"/>
    <w:rsid w:val="296EF88A"/>
    <w:rsid w:val="29832C66"/>
    <w:rsid w:val="29E4DFC4"/>
    <w:rsid w:val="2A168AA0"/>
    <w:rsid w:val="2A2CE6D1"/>
    <w:rsid w:val="2A2E1B3D"/>
    <w:rsid w:val="2A4DF28B"/>
    <w:rsid w:val="2A6CDC09"/>
    <w:rsid w:val="2A7ED4FC"/>
    <w:rsid w:val="2A9B9086"/>
    <w:rsid w:val="2AB0E61E"/>
    <w:rsid w:val="2AB89B44"/>
    <w:rsid w:val="2AD05803"/>
    <w:rsid w:val="2AE3F287"/>
    <w:rsid w:val="2B2850C5"/>
    <w:rsid w:val="2BCCE8F1"/>
    <w:rsid w:val="2C0A2077"/>
    <w:rsid w:val="2C0FD014"/>
    <w:rsid w:val="2C4512B4"/>
    <w:rsid w:val="2C521FBA"/>
    <w:rsid w:val="2C85B0BA"/>
    <w:rsid w:val="2C98C6B3"/>
    <w:rsid w:val="2CC7C0AF"/>
    <w:rsid w:val="2CF516C4"/>
    <w:rsid w:val="2D226282"/>
    <w:rsid w:val="2D24B10B"/>
    <w:rsid w:val="2D702936"/>
    <w:rsid w:val="2DD508C3"/>
    <w:rsid w:val="2E0FDB0C"/>
    <w:rsid w:val="2E69D3C8"/>
    <w:rsid w:val="2E832C3C"/>
    <w:rsid w:val="2EE82B3A"/>
    <w:rsid w:val="2F0F563C"/>
    <w:rsid w:val="2F589FDA"/>
    <w:rsid w:val="2F5AB89A"/>
    <w:rsid w:val="2FA8B3CD"/>
    <w:rsid w:val="2FD3FC5F"/>
    <w:rsid w:val="2FFF6171"/>
    <w:rsid w:val="3002850C"/>
    <w:rsid w:val="30DF319E"/>
    <w:rsid w:val="30F688FB"/>
    <w:rsid w:val="3182F7C1"/>
    <w:rsid w:val="31A5F57A"/>
    <w:rsid w:val="320333FC"/>
    <w:rsid w:val="321892D5"/>
    <w:rsid w:val="322BC434"/>
    <w:rsid w:val="325B9313"/>
    <w:rsid w:val="3278B92D"/>
    <w:rsid w:val="32C811E2"/>
    <w:rsid w:val="336A1F79"/>
    <w:rsid w:val="3386574C"/>
    <w:rsid w:val="33A680C9"/>
    <w:rsid w:val="33F35D27"/>
    <w:rsid w:val="33FEF1EE"/>
    <w:rsid w:val="342FFABD"/>
    <w:rsid w:val="34731160"/>
    <w:rsid w:val="34954D4D"/>
    <w:rsid w:val="359B1707"/>
    <w:rsid w:val="35FBD3EB"/>
    <w:rsid w:val="36136AA3"/>
    <w:rsid w:val="361C6DCB"/>
    <w:rsid w:val="364974A8"/>
    <w:rsid w:val="36748FC6"/>
    <w:rsid w:val="36AE1ECF"/>
    <w:rsid w:val="37013FC4"/>
    <w:rsid w:val="371A6821"/>
    <w:rsid w:val="3766DC62"/>
    <w:rsid w:val="37C9FC39"/>
    <w:rsid w:val="37EDAB70"/>
    <w:rsid w:val="37FD13D0"/>
    <w:rsid w:val="381529FE"/>
    <w:rsid w:val="3832516C"/>
    <w:rsid w:val="386151D5"/>
    <w:rsid w:val="38718C3D"/>
    <w:rsid w:val="388787DC"/>
    <w:rsid w:val="388ACDB0"/>
    <w:rsid w:val="38E4C4B5"/>
    <w:rsid w:val="3923D325"/>
    <w:rsid w:val="394B0B65"/>
    <w:rsid w:val="397E0209"/>
    <w:rsid w:val="3995973C"/>
    <w:rsid w:val="3997BC80"/>
    <w:rsid w:val="39AE290E"/>
    <w:rsid w:val="3A144E1D"/>
    <w:rsid w:val="3A643C29"/>
    <w:rsid w:val="3AC380EF"/>
    <w:rsid w:val="3AF51230"/>
    <w:rsid w:val="3AFCB65F"/>
    <w:rsid w:val="3B42B323"/>
    <w:rsid w:val="3B4886E7"/>
    <w:rsid w:val="3B926F22"/>
    <w:rsid w:val="3BAFFF17"/>
    <w:rsid w:val="3BD4B71C"/>
    <w:rsid w:val="3BFED20D"/>
    <w:rsid w:val="3C000C8A"/>
    <w:rsid w:val="3C11CEFF"/>
    <w:rsid w:val="3C597773"/>
    <w:rsid w:val="3C893095"/>
    <w:rsid w:val="3C8A570F"/>
    <w:rsid w:val="3C906B32"/>
    <w:rsid w:val="3CD5ED4F"/>
    <w:rsid w:val="3D2E6606"/>
    <w:rsid w:val="3D4BCF78"/>
    <w:rsid w:val="3D6BAEB2"/>
    <w:rsid w:val="3D955774"/>
    <w:rsid w:val="3DA837B3"/>
    <w:rsid w:val="3DAC607B"/>
    <w:rsid w:val="3DBDB4A6"/>
    <w:rsid w:val="3DBFC2A2"/>
    <w:rsid w:val="3DC70B88"/>
    <w:rsid w:val="3E6C66CC"/>
    <w:rsid w:val="3E7B506C"/>
    <w:rsid w:val="3E8027A9"/>
    <w:rsid w:val="3E889A30"/>
    <w:rsid w:val="3F018A40"/>
    <w:rsid w:val="3F257A06"/>
    <w:rsid w:val="3F6096F5"/>
    <w:rsid w:val="3FEB9AD7"/>
    <w:rsid w:val="3FF35CFD"/>
    <w:rsid w:val="3FFD4B2A"/>
    <w:rsid w:val="4026B349"/>
    <w:rsid w:val="406AA68B"/>
    <w:rsid w:val="40BED22C"/>
    <w:rsid w:val="40C6FF57"/>
    <w:rsid w:val="40F65904"/>
    <w:rsid w:val="40FCBAC7"/>
    <w:rsid w:val="410F62DA"/>
    <w:rsid w:val="4132D184"/>
    <w:rsid w:val="4165F3F8"/>
    <w:rsid w:val="418C649E"/>
    <w:rsid w:val="41A006B5"/>
    <w:rsid w:val="41A885D2"/>
    <w:rsid w:val="41E08E73"/>
    <w:rsid w:val="41E3D855"/>
    <w:rsid w:val="41E9185B"/>
    <w:rsid w:val="4212F9BA"/>
    <w:rsid w:val="421D0952"/>
    <w:rsid w:val="42400E29"/>
    <w:rsid w:val="42592785"/>
    <w:rsid w:val="4287BA6A"/>
    <w:rsid w:val="42CDD9CE"/>
    <w:rsid w:val="4320A6FD"/>
    <w:rsid w:val="439D3F1F"/>
    <w:rsid w:val="43A36542"/>
    <w:rsid w:val="43E9FAD2"/>
    <w:rsid w:val="43F1449F"/>
    <w:rsid w:val="43FDA7DD"/>
    <w:rsid w:val="442B948C"/>
    <w:rsid w:val="4434E3B0"/>
    <w:rsid w:val="44804F68"/>
    <w:rsid w:val="448C5637"/>
    <w:rsid w:val="450F7E46"/>
    <w:rsid w:val="454BEA30"/>
    <w:rsid w:val="45652C1E"/>
    <w:rsid w:val="45A6C90E"/>
    <w:rsid w:val="460B7A48"/>
    <w:rsid w:val="461417EC"/>
    <w:rsid w:val="4649E023"/>
    <w:rsid w:val="46A04D10"/>
    <w:rsid w:val="46ED887E"/>
    <w:rsid w:val="4735B61E"/>
    <w:rsid w:val="4861930F"/>
    <w:rsid w:val="4918EEA6"/>
    <w:rsid w:val="495DAFD9"/>
    <w:rsid w:val="497892B9"/>
    <w:rsid w:val="498B0513"/>
    <w:rsid w:val="49A7FCB9"/>
    <w:rsid w:val="49C54562"/>
    <w:rsid w:val="49E5F710"/>
    <w:rsid w:val="4A0EDB8E"/>
    <w:rsid w:val="4A56F1D6"/>
    <w:rsid w:val="4A8CB0BD"/>
    <w:rsid w:val="4AB6941E"/>
    <w:rsid w:val="4B189427"/>
    <w:rsid w:val="4B23A49C"/>
    <w:rsid w:val="4B259CCE"/>
    <w:rsid w:val="4B455370"/>
    <w:rsid w:val="4BEF0583"/>
    <w:rsid w:val="4BF96BCC"/>
    <w:rsid w:val="4C05AC5C"/>
    <w:rsid w:val="4C20BA9C"/>
    <w:rsid w:val="4C409281"/>
    <w:rsid w:val="4C6514BC"/>
    <w:rsid w:val="4C6628A0"/>
    <w:rsid w:val="4CAF0C18"/>
    <w:rsid w:val="4CBE171F"/>
    <w:rsid w:val="4CE1AC84"/>
    <w:rsid w:val="4D124588"/>
    <w:rsid w:val="4D5316E5"/>
    <w:rsid w:val="4D77F535"/>
    <w:rsid w:val="4DA3C27A"/>
    <w:rsid w:val="4DB1DAF3"/>
    <w:rsid w:val="4DB83A5A"/>
    <w:rsid w:val="4DC9C486"/>
    <w:rsid w:val="4DCA153B"/>
    <w:rsid w:val="4DE6A433"/>
    <w:rsid w:val="4E064A56"/>
    <w:rsid w:val="4E5E7636"/>
    <w:rsid w:val="4EBB25BD"/>
    <w:rsid w:val="4F0F6D73"/>
    <w:rsid w:val="4F5BEC03"/>
    <w:rsid w:val="4F75B6E7"/>
    <w:rsid w:val="4FA31789"/>
    <w:rsid w:val="4FAB2A64"/>
    <w:rsid w:val="50882877"/>
    <w:rsid w:val="511294BE"/>
    <w:rsid w:val="517E6408"/>
    <w:rsid w:val="5240F2AF"/>
    <w:rsid w:val="526203BB"/>
    <w:rsid w:val="52F61BAE"/>
    <w:rsid w:val="52FBA084"/>
    <w:rsid w:val="53346D35"/>
    <w:rsid w:val="53835287"/>
    <w:rsid w:val="53B4B1FA"/>
    <w:rsid w:val="53EED364"/>
    <w:rsid w:val="540CA3DA"/>
    <w:rsid w:val="5449367A"/>
    <w:rsid w:val="54870E12"/>
    <w:rsid w:val="54A200BC"/>
    <w:rsid w:val="54BE43D2"/>
    <w:rsid w:val="54F8EDB4"/>
    <w:rsid w:val="54FE37E4"/>
    <w:rsid w:val="55270B6C"/>
    <w:rsid w:val="552BCE9D"/>
    <w:rsid w:val="55F424D9"/>
    <w:rsid w:val="561D4B97"/>
    <w:rsid w:val="56491979"/>
    <w:rsid w:val="56741A14"/>
    <w:rsid w:val="5699E5C6"/>
    <w:rsid w:val="56B18DC8"/>
    <w:rsid w:val="5705AE5A"/>
    <w:rsid w:val="571DFF89"/>
    <w:rsid w:val="573384AD"/>
    <w:rsid w:val="5740BEFC"/>
    <w:rsid w:val="57876EAD"/>
    <w:rsid w:val="578EA1C1"/>
    <w:rsid w:val="57FCC3D3"/>
    <w:rsid w:val="58129A6E"/>
    <w:rsid w:val="58163815"/>
    <w:rsid w:val="58302139"/>
    <w:rsid w:val="58320BFB"/>
    <w:rsid w:val="58D0FF8E"/>
    <w:rsid w:val="58E93AE1"/>
    <w:rsid w:val="5902CE49"/>
    <w:rsid w:val="596ED78C"/>
    <w:rsid w:val="597BCB96"/>
    <w:rsid w:val="59AED94C"/>
    <w:rsid w:val="59F232A4"/>
    <w:rsid w:val="59FE2603"/>
    <w:rsid w:val="5A22BBC1"/>
    <w:rsid w:val="5A7BC373"/>
    <w:rsid w:val="5A89AE2C"/>
    <w:rsid w:val="5A8D4D68"/>
    <w:rsid w:val="5B1C25F5"/>
    <w:rsid w:val="5B8553FB"/>
    <w:rsid w:val="5BB2F88C"/>
    <w:rsid w:val="5BF9A368"/>
    <w:rsid w:val="5C554765"/>
    <w:rsid w:val="5C684E01"/>
    <w:rsid w:val="5CA01E88"/>
    <w:rsid w:val="5CB2A530"/>
    <w:rsid w:val="5CC0C389"/>
    <w:rsid w:val="5D21EC8C"/>
    <w:rsid w:val="5D5154C4"/>
    <w:rsid w:val="5DB5F139"/>
    <w:rsid w:val="5DCA33F7"/>
    <w:rsid w:val="5DCFEC43"/>
    <w:rsid w:val="5E45A262"/>
    <w:rsid w:val="5E5B9A82"/>
    <w:rsid w:val="5E620415"/>
    <w:rsid w:val="5E9BA424"/>
    <w:rsid w:val="5F1351B4"/>
    <w:rsid w:val="5F623FF0"/>
    <w:rsid w:val="5F706AA9"/>
    <w:rsid w:val="5FF11542"/>
    <w:rsid w:val="5FF167F7"/>
    <w:rsid w:val="5FF3E4E4"/>
    <w:rsid w:val="600714A7"/>
    <w:rsid w:val="6007AF11"/>
    <w:rsid w:val="604DA9C5"/>
    <w:rsid w:val="607FAC14"/>
    <w:rsid w:val="60ABC6DF"/>
    <w:rsid w:val="60B92031"/>
    <w:rsid w:val="60FE3907"/>
    <w:rsid w:val="61646A47"/>
    <w:rsid w:val="6181B294"/>
    <w:rsid w:val="61AF0434"/>
    <w:rsid w:val="61B4FA7C"/>
    <w:rsid w:val="61DD9067"/>
    <w:rsid w:val="61F241C8"/>
    <w:rsid w:val="629165BC"/>
    <w:rsid w:val="6295BD75"/>
    <w:rsid w:val="62B4FA5C"/>
    <w:rsid w:val="62C83F4B"/>
    <w:rsid w:val="6305232B"/>
    <w:rsid w:val="630BE81E"/>
    <w:rsid w:val="63821055"/>
    <w:rsid w:val="639D7382"/>
    <w:rsid w:val="639FF579"/>
    <w:rsid w:val="63E0C7CA"/>
    <w:rsid w:val="6439DA9E"/>
    <w:rsid w:val="645AF726"/>
    <w:rsid w:val="64A7B87F"/>
    <w:rsid w:val="64D3E90D"/>
    <w:rsid w:val="6500E0A5"/>
    <w:rsid w:val="6503C25E"/>
    <w:rsid w:val="65742D0B"/>
    <w:rsid w:val="659BF2D8"/>
    <w:rsid w:val="6676BD1A"/>
    <w:rsid w:val="66804658"/>
    <w:rsid w:val="66A1D3DD"/>
    <w:rsid w:val="66A8F36E"/>
    <w:rsid w:val="66B5B838"/>
    <w:rsid w:val="66C65B64"/>
    <w:rsid w:val="66FED252"/>
    <w:rsid w:val="671E6622"/>
    <w:rsid w:val="672FA5F7"/>
    <w:rsid w:val="672FF5F7"/>
    <w:rsid w:val="67544B8A"/>
    <w:rsid w:val="675FEEDD"/>
    <w:rsid w:val="67B35288"/>
    <w:rsid w:val="67D7EF62"/>
    <w:rsid w:val="6822CEB1"/>
    <w:rsid w:val="6822E9BB"/>
    <w:rsid w:val="6834165E"/>
    <w:rsid w:val="684189CC"/>
    <w:rsid w:val="68572A2E"/>
    <w:rsid w:val="68661AD2"/>
    <w:rsid w:val="686A85A9"/>
    <w:rsid w:val="691F8CBF"/>
    <w:rsid w:val="69C32C0C"/>
    <w:rsid w:val="6A520D91"/>
    <w:rsid w:val="6A7CB057"/>
    <w:rsid w:val="6A8C61EA"/>
    <w:rsid w:val="6A8D5521"/>
    <w:rsid w:val="6ABBAF3A"/>
    <w:rsid w:val="6AE9D193"/>
    <w:rsid w:val="6B0712A5"/>
    <w:rsid w:val="6B69D53C"/>
    <w:rsid w:val="6BAF579D"/>
    <w:rsid w:val="6BB25B76"/>
    <w:rsid w:val="6C221E8C"/>
    <w:rsid w:val="6C2E2E69"/>
    <w:rsid w:val="6C35A524"/>
    <w:rsid w:val="6C6967A2"/>
    <w:rsid w:val="6C85A1F4"/>
    <w:rsid w:val="6C9D1802"/>
    <w:rsid w:val="6DCD4B94"/>
    <w:rsid w:val="6E0532F3"/>
    <w:rsid w:val="6E10AFAF"/>
    <w:rsid w:val="6E2C0A34"/>
    <w:rsid w:val="6E306707"/>
    <w:rsid w:val="6E3A9AB2"/>
    <w:rsid w:val="6E89BC85"/>
    <w:rsid w:val="6EAA12D9"/>
    <w:rsid w:val="6EE93DC8"/>
    <w:rsid w:val="6F07463C"/>
    <w:rsid w:val="6F1A3B4E"/>
    <w:rsid w:val="6F53F80B"/>
    <w:rsid w:val="7009E356"/>
    <w:rsid w:val="7023C0D9"/>
    <w:rsid w:val="70DEC2B8"/>
    <w:rsid w:val="70E05578"/>
    <w:rsid w:val="711E5177"/>
    <w:rsid w:val="71CE7F3C"/>
    <w:rsid w:val="71DF48CA"/>
    <w:rsid w:val="721B8E94"/>
    <w:rsid w:val="723090AA"/>
    <w:rsid w:val="7232EE8A"/>
    <w:rsid w:val="72333F60"/>
    <w:rsid w:val="727C25D9"/>
    <w:rsid w:val="730390F1"/>
    <w:rsid w:val="730A88B9"/>
    <w:rsid w:val="73459F03"/>
    <w:rsid w:val="7348C141"/>
    <w:rsid w:val="734FE17B"/>
    <w:rsid w:val="7363DC37"/>
    <w:rsid w:val="73735E65"/>
    <w:rsid w:val="737B4191"/>
    <w:rsid w:val="737F4FC4"/>
    <w:rsid w:val="73977218"/>
    <w:rsid w:val="73AFE289"/>
    <w:rsid w:val="73CC610B"/>
    <w:rsid w:val="73D941D9"/>
    <w:rsid w:val="73F68843"/>
    <w:rsid w:val="7408D56F"/>
    <w:rsid w:val="7411C593"/>
    <w:rsid w:val="74326932"/>
    <w:rsid w:val="743EA3A7"/>
    <w:rsid w:val="7489D34A"/>
    <w:rsid w:val="74ADE647"/>
    <w:rsid w:val="74C39B10"/>
    <w:rsid w:val="752A1AF8"/>
    <w:rsid w:val="753FFA8D"/>
    <w:rsid w:val="7545851E"/>
    <w:rsid w:val="754CB40D"/>
    <w:rsid w:val="7568316C"/>
    <w:rsid w:val="75ACE899"/>
    <w:rsid w:val="75B93EE0"/>
    <w:rsid w:val="75DCE329"/>
    <w:rsid w:val="76388810"/>
    <w:rsid w:val="76470674"/>
    <w:rsid w:val="765C6089"/>
    <w:rsid w:val="76756CEB"/>
    <w:rsid w:val="767C0190"/>
    <w:rsid w:val="769146F2"/>
    <w:rsid w:val="7694CE6A"/>
    <w:rsid w:val="769AC430"/>
    <w:rsid w:val="769BE160"/>
    <w:rsid w:val="76A23BCC"/>
    <w:rsid w:val="76CE34DD"/>
    <w:rsid w:val="76EBE32E"/>
    <w:rsid w:val="7710E29B"/>
    <w:rsid w:val="77431895"/>
    <w:rsid w:val="7748C6CC"/>
    <w:rsid w:val="7766A778"/>
    <w:rsid w:val="779E91C4"/>
    <w:rsid w:val="77AE8276"/>
    <w:rsid w:val="78292E4A"/>
    <w:rsid w:val="782D1753"/>
    <w:rsid w:val="783AB340"/>
    <w:rsid w:val="786F900F"/>
    <w:rsid w:val="7871B3C3"/>
    <w:rsid w:val="78BADF3F"/>
    <w:rsid w:val="790FDBAE"/>
    <w:rsid w:val="794E8733"/>
    <w:rsid w:val="797F600C"/>
    <w:rsid w:val="799C051E"/>
    <w:rsid w:val="79C3F26A"/>
    <w:rsid w:val="79F1E187"/>
    <w:rsid w:val="79FB6B7D"/>
    <w:rsid w:val="7A2F84B5"/>
    <w:rsid w:val="7A35E4A7"/>
    <w:rsid w:val="7A5F7EE0"/>
    <w:rsid w:val="7A855809"/>
    <w:rsid w:val="7B157382"/>
    <w:rsid w:val="7B4F1730"/>
    <w:rsid w:val="7B62213C"/>
    <w:rsid w:val="7BEBE422"/>
    <w:rsid w:val="7C1FF54F"/>
    <w:rsid w:val="7C570BA3"/>
    <w:rsid w:val="7C9C7C0F"/>
    <w:rsid w:val="7CAC3D8A"/>
    <w:rsid w:val="7CAFE2AF"/>
    <w:rsid w:val="7D01184E"/>
    <w:rsid w:val="7D7FF178"/>
    <w:rsid w:val="7DAA19CB"/>
    <w:rsid w:val="7DCE70F2"/>
    <w:rsid w:val="7DE7994F"/>
    <w:rsid w:val="7E1AB82A"/>
    <w:rsid w:val="7E4037D7"/>
    <w:rsid w:val="7E86B7F2"/>
    <w:rsid w:val="7E96CFAC"/>
    <w:rsid w:val="7EA64EE2"/>
    <w:rsid w:val="7EDD87C1"/>
    <w:rsid w:val="7EE50F1C"/>
    <w:rsid w:val="7EEFF347"/>
    <w:rsid w:val="7F14DE20"/>
    <w:rsid w:val="7F1B698A"/>
    <w:rsid w:val="7F6FF919"/>
    <w:rsid w:val="7F7526CD"/>
    <w:rsid w:val="7F9ED0E5"/>
    <w:rsid w:val="7FBB50C7"/>
    <w:rsid w:val="7FCA9160"/>
    <w:rsid w:val="7FDC9F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A513D8"/>
    <w:pPr>
      <w:spacing w:before="240" w:after="120" w:line="240" w:lineRule="auto"/>
      <w:outlineLvl w:val="1"/>
    </w:pPr>
    <w:rPr>
      <w:bCs w:val="0"/>
      <w:sz w:val="22"/>
      <w:szCs w:val="26"/>
    </w:rPr>
  </w:style>
  <w:style w:type="paragraph" w:styleId="Heading3">
    <w:name w:val="heading 3"/>
    <w:basedOn w:val="Heading2"/>
    <w:next w:val="Normal"/>
    <w:link w:val="Heading3Char"/>
    <w:autoRedefine/>
    <w:uiPriority w:val="9"/>
    <w:unhideWhenUsed/>
    <w:qFormat/>
    <w:rsid w:val="004122B9"/>
    <w:pPr>
      <w:outlineLvl w:val="2"/>
    </w:pPr>
    <w:rPr>
      <w:rFonts w:asciiTheme="minorHAnsi" w:hAnsiTheme="minorHAnsi" w:cstheme="minorHAnsi"/>
      <w:bCs/>
      <w:iCs/>
      <w:caps w:val="0"/>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A513D8"/>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4122B9"/>
    <w:rPr>
      <w:rFonts w:eastAsiaTheme="majorEastAsia" w:cstheme="minorHAnsi"/>
      <w:b/>
      <w:bCs/>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4"/>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11"/>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10"/>
      </w:numPr>
    </w:pPr>
  </w:style>
  <w:style w:type="paragraph" w:customStyle="1" w:styleId="Heading2Numbered">
    <w:name w:val="Heading 2 Numbered"/>
    <w:basedOn w:val="Heading2"/>
    <w:next w:val="Normal"/>
    <w:qFormat/>
    <w:rsid w:val="00ED2831"/>
    <w:pPr>
      <w:numPr>
        <w:ilvl w:val="1"/>
        <w:numId w:val="10"/>
      </w:numPr>
      <w:spacing w:after="60"/>
    </w:pPr>
    <w:rPr>
      <w:bCs/>
    </w:rPr>
  </w:style>
  <w:style w:type="paragraph" w:customStyle="1" w:styleId="Heading3Numbered">
    <w:name w:val="Heading 3 Numbered"/>
    <w:basedOn w:val="Heading3"/>
    <w:next w:val="Normal"/>
    <w:qFormat/>
    <w:rsid w:val="00ED2831"/>
    <w:pPr>
      <w:numPr>
        <w:ilvl w:val="2"/>
        <w:numId w:val="10"/>
      </w:numPr>
      <w:spacing w:before="300" w:after="60"/>
    </w:pPr>
  </w:style>
  <w:style w:type="numbering" w:customStyle="1" w:styleId="BulletsList">
    <w:name w:val="Bullets List"/>
    <w:uiPriority w:val="99"/>
    <w:rsid w:val="00B71AD8"/>
    <w:pPr>
      <w:numPr>
        <w:numId w:val="5"/>
      </w:numPr>
    </w:pPr>
  </w:style>
  <w:style w:type="numbering" w:customStyle="1" w:styleId="Numberedlist">
    <w:name w:val="Numbered list"/>
    <w:uiPriority w:val="99"/>
    <w:rsid w:val="00F2684E"/>
    <w:pPr>
      <w:numPr>
        <w:numId w:val="6"/>
      </w:numPr>
    </w:pPr>
  </w:style>
  <w:style w:type="numbering" w:customStyle="1" w:styleId="HeadingsList">
    <w:name w:val="Headings List"/>
    <w:uiPriority w:val="99"/>
    <w:rsid w:val="001E1DC0"/>
    <w:pPr>
      <w:numPr>
        <w:numId w:val="7"/>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8"/>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9"/>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2"/>
      </w:numPr>
      <w:ind w:left="454" w:hanging="170"/>
    </w:pPr>
  </w:style>
  <w:style w:type="paragraph" w:customStyle="1" w:styleId="Box2Bullet">
    <w:name w:val="Box 2 Bullet"/>
    <w:basedOn w:val="Box2Text"/>
    <w:qFormat/>
    <w:rsid w:val="00C42541"/>
    <w:pPr>
      <w:numPr>
        <w:numId w:val="13"/>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Corbel" w:hAnsi="Corbel"/>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D7AFA"/>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426464853">
      <w:bodyDiv w:val="1"/>
      <w:marLeft w:val="0"/>
      <w:marRight w:val="0"/>
      <w:marTop w:val="0"/>
      <w:marBottom w:val="0"/>
      <w:divBdr>
        <w:top w:val="none" w:sz="0" w:space="0" w:color="auto"/>
        <w:left w:val="none" w:sz="0" w:space="0" w:color="auto"/>
        <w:bottom w:val="none" w:sz="0" w:space="0" w:color="auto"/>
        <w:right w:val="none" w:sz="0" w:space="0" w:color="auto"/>
      </w:divBdr>
    </w:div>
    <w:div w:id="759718169">
      <w:bodyDiv w:val="1"/>
      <w:marLeft w:val="0"/>
      <w:marRight w:val="0"/>
      <w:marTop w:val="0"/>
      <w:marBottom w:val="0"/>
      <w:divBdr>
        <w:top w:val="none" w:sz="0" w:space="0" w:color="auto"/>
        <w:left w:val="none" w:sz="0" w:space="0" w:color="auto"/>
        <w:bottom w:val="none" w:sz="0" w:space="0" w:color="auto"/>
        <w:right w:val="none" w:sz="0" w:space="0" w:color="auto"/>
      </w:divBdr>
    </w:div>
    <w:div w:id="785466270">
      <w:bodyDiv w:val="1"/>
      <w:marLeft w:val="0"/>
      <w:marRight w:val="0"/>
      <w:marTop w:val="0"/>
      <w:marBottom w:val="0"/>
      <w:divBdr>
        <w:top w:val="none" w:sz="0" w:space="0" w:color="auto"/>
        <w:left w:val="none" w:sz="0" w:space="0" w:color="auto"/>
        <w:bottom w:val="none" w:sz="0" w:space="0" w:color="auto"/>
        <w:right w:val="none" w:sz="0" w:space="0" w:color="auto"/>
      </w:divBdr>
    </w:div>
    <w:div w:id="1128738880">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468859618">
      <w:bodyDiv w:val="1"/>
      <w:marLeft w:val="0"/>
      <w:marRight w:val="0"/>
      <w:marTop w:val="0"/>
      <w:marBottom w:val="0"/>
      <w:divBdr>
        <w:top w:val="none" w:sz="0" w:space="0" w:color="auto"/>
        <w:left w:val="none" w:sz="0" w:space="0" w:color="auto"/>
        <w:bottom w:val="none" w:sz="0" w:space="0" w:color="auto"/>
        <w:right w:val="none" w:sz="0" w:space="0" w:color="auto"/>
      </w:divBdr>
    </w:div>
    <w:div w:id="1685667317">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19757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2632</Words>
  <Characters>15989</Characters>
  <Application>Microsoft Office Word</Application>
  <DocSecurity>0</DocSecurity>
  <Lines>358</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2022-12-20T07:31:00Z</dcterms:created>
  <dcterms:modified xsi:type="dcterms:W3CDTF">2022-12-20T07:32:00Z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63FA5E0138FE4A06847B5F31F02136CD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2022-12-20T07:32:01Z</vt:lpwstr>
  </property>
  <property fmtid="{D5CDD505-2E9C-101B-9397-08002B2CF9AE}" pid="13" name="PM_ProtectiveMarkingImage_Header">
    <vt:lpwstr>C:\Program Files (x86)\Common Files\janusNET Shared\janusSEAL\Images\DocumentSlashBlue.png</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6576E7894C65DF3C37F793FB6454D688</vt:lpwstr>
  </property>
  <property fmtid="{D5CDD505-2E9C-101B-9397-08002B2CF9AE}" pid="21" name="PM_Hash_Salt">
    <vt:lpwstr>C9A9CAA4A99D509D8056619B43F52D34</vt:lpwstr>
  </property>
  <property fmtid="{D5CDD505-2E9C-101B-9397-08002B2CF9AE}" pid="22" name="PM_Hash_SHA1">
    <vt:lpwstr>1A51D4223936C6C6A060D337FDA6799EE77C6A48</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290C9CFCFE70E139C4500567FB5830ACF9049F26A1998DDACA65669D45D5D2AD</vt:lpwstr>
  </property>
  <property fmtid="{D5CDD505-2E9C-101B-9397-08002B2CF9AE}" pid="27" name="PM_OriginatorDomainName_SHA256">
    <vt:lpwstr>6F3591835F3B2A8A025B00B5BA6418010DA3A17C9C26EA9C049FFD28039489A2</vt:lpwstr>
  </property>
  <property fmtid="{D5CDD505-2E9C-101B-9397-08002B2CF9AE}" pid="28" name="PMUuid">
    <vt:lpwstr>ABBFF5E2-9674-55C9-B08D-C9980002FD58</vt:lpwstr>
  </property>
  <property fmtid="{D5CDD505-2E9C-101B-9397-08002B2CF9AE}" pid="29" name="PMUuidVer">
    <vt:lpwstr>2022.1</vt:lpwstr>
  </property>
</Properties>
</file>