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70729A54" w:rsidR="00FA5EFD" w:rsidRDefault="002E500A" w:rsidP="00B30969">
      <w:pPr>
        <w:pStyle w:val="Heading1"/>
        <w:spacing w:after="0" w:line="240" w:lineRule="auto"/>
        <w:contextualSpacing w:val="0"/>
      </w:pPr>
      <w:r w:rsidRPr="002E500A">
        <w:t>202</w:t>
      </w:r>
      <w:r w:rsidR="009543B9">
        <w:t>1</w:t>
      </w:r>
      <w:r w:rsidRPr="002E500A">
        <w:t>-2</w:t>
      </w:r>
      <w:r w:rsidR="009543B9">
        <w:t>2</w:t>
      </w:r>
      <w:r w:rsidRPr="002E500A">
        <w:t xml:space="preserve"> </w:t>
      </w:r>
      <w:r w:rsidR="00D402BF">
        <w:t>KIRIBATI</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1C6FD930" w14:textId="046B6C26" w:rsidR="0087795D" w:rsidRPr="0087795D" w:rsidRDefault="007225F5" w:rsidP="00B816A2">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Kiribati</w:t>
      </w:r>
      <w:r w:rsidRPr="00015DC0">
        <w:t xml:space="preserve"> </w:t>
      </w:r>
      <w:r>
        <w:t>has been extended through 2022-23</w:t>
      </w:r>
      <w:r w:rsidRPr="00015DC0">
        <w:t>.</w:t>
      </w:r>
      <w:r w:rsidRPr="007C4D69">
        <w:t xml:space="preserve"> </w:t>
      </w:r>
      <w:r>
        <w:br/>
        <w:t>In 2022-23, the Kiribati program will have a stronger focus on inclusive economic growth and climate change resilience in support of the Government of Kiribati’s prioritisation of mitigating the economic impacts of the COVID-19 pandemic and the ongoing threat to the country posed by climate change.</w:t>
      </w:r>
    </w:p>
    <w:tbl>
      <w:tblPr>
        <w:tblStyle w:val="GridTable4-Accent1"/>
        <w:tblpPr w:leftFromText="180" w:rightFromText="180" w:vertAnchor="text" w:horzAnchor="margin" w:tblpY="28"/>
        <w:tblW w:w="468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526"/>
        <w:gridCol w:w="2161"/>
      </w:tblGrid>
      <w:tr w:rsidR="0087795D" w14:paraId="3BD3F9E6" w14:textId="77777777" w:rsidTr="00003868">
        <w:trPr>
          <w:cnfStyle w:val="100000000000" w:firstRow="1" w:lastRow="0" w:firstColumn="0" w:lastColumn="0" w:oddVBand="0" w:evenVBand="0" w:oddHBand="0" w:evenHBand="0" w:firstRowFirstColumn="0" w:firstRowLastColumn="0" w:lastRowFirstColumn="0" w:lastRowLastColumn="0"/>
          <w:trHeight w:val="914"/>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180FFE8F" w14:textId="77777777" w:rsidR="0087795D" w:rsidRPr="005736BB" w:rsidRDefault="0087795D" w:rsidP="0087795D">
            <w:pPr>
              <w:widowControl w:val="0"/>
              <w:spacing w:after="120" w:line="260" w:lineRule="exact"/>
              <w:rPr>
                <w:b w:val="0"/>
                <w:bCs w:val="0"/>
                <w:sz w:val="20"/>
                <w:szCs w:val="20"/>
              </w:rPr>
            </w:pPr>
            <w:r w:rsidRPr="005736BB">
              <w:rPr>
                <w:sz w:val="20"/>
                <w:szCs w:val="20"/>
              </w:rPr>
              <w:t>Program Budget</w:t>
            </w:r>
          </w:p>
        </w:tc>
        <w:tc>
          <w:tcPr>
            <w:tcW w:w="2161"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38A56301" w14:textId="77777777" w:rsidR="0087795D" w:rsidRPr="005736BB" w:rsidRDefault="0087795D"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87795D" w14:paraId="4108F6EA" w14:textId="77777777" w:rsidTr="00003868">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FFFFFF" w:themeFill="background1"/>
          </w:tcPr>
          <w:p w14:paraId="4E26D2E8" w14:textId="77777777" w:rsidR="0087795D" w:rsidRPr="005736BB" w:rsidRDefault="0087795D" w:rsidP="0087795D">
            <w:pPr>
              <w:widowControl w:val="0"/>
              <w:spacing w:after="120" w:line="260" w:lineRule="exact"/>
              <w:rPr>
                <w:sz w:val="20"/>
                <w:szCs w:val="20"/>
              </w:rPr>
            </w:pPr>
            <w:r w:rsidRPr="005736BB">
              <w:rPr>
                <w:sz w:val="20"/>
                <w:szCs w:val="20"/>
              </w:rPr>
              <w:t>Bilateral</w:t>
            </w:r>
          </w:p>
        </w:tc>
        <w:tc>
          <w:tcPr>
            <w:tcW w:w="2161" w:type="dxa"/>
            <w:tcBorders>
              <w:top w:val="none" w:sz="0" w:space="0" w:color="auto"/>
              <w:left w:val="none" w:sz="0" w:space="0" w:color="auto"/>
              <w:bottom w:val="none" w:sz="0" w:space="0" w:color="auto"/>
              <w:right w:val="none" w:sz="0" w:space="0" w:color="auto"/>
            </w:tcBorders>
            <w:shd w:val="clear" w:color="auto" w:fill="FFFFFF" w:themeFill="background1"/>
          </w:tcPr>
          <w:p w14:paraId="4275ECC4" w14:textId="77777777" w:rsidR="0087795D" w:rsidRDefault="0087795D"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pPr>
            <w:r>
              <w:t>24.2</w:t>
            </w:r>
          </w:p>
        </w:tc>
      </w:tr>
      <w:tr w:rsidR="0087795D" w14:paraId="694F71E2" w14:textId="77777777" w:rsidTr="00003868">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FF55570" w14:textId="77777777" w:rsidR="0087795D" w:rsidRPr="005736BB" w:rsidRDefault="0087795D" w:rsidP="0087795D">
            <w:pPr>
              <w:widowControl w:val="0"/>
              <w:spacing w:after="120" w:line="260" w:lineRule="exact"/>
              <w:rPr>
                <w:sz w:val="20"/>
                <w:szCs w:val="20"/>
              </w:rPr>
            </w:pPr>
            <w:r w:rsidRPr="005736BB">
              <w:rPr>
                <w:sz w:val="20"/>
                <w:szCs w:val="20"/>
              </w:rPr>
              <w:t>Regional</w:t>
            </w:r>
          </w:p>
        </w:tc>
        <w:tc>
          <w:tcPr>
            <w:tcW w:w="216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1DB68C7" w14:textId="7A21D627" w:rsidR="0087795D" w:rsidRDefault="00A556BF"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w:t>
            </w:r>
            <w:r w:rsidR="0087795D">
              <w:t>6.4</w:t>
            </w:r>
          </w:p>
        </w:tc>
      </w:tr>
      <w:tr w:rsidR="0087795D" w14:paraId="6489AA2E" w14:textId="77777777" w:rsidTr="00003868">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FFFFFF" w:themeFill="background1"/>
          </w:tcPr>
          <w:p w14:paraId="27D0D1E8" w14:textId="77777777" w:rsidR="0087795D" w:rsidRPr="005736BB" w:rsidRDefault="0087795D" w:rsidP="0087795D">
            <w:pPr>
              <w:widowControl w:val="0"/>
              <w:spacing w:after="120" w:line="260" w:lineRule="exact"/>
              <w:rPr>
                <w:sz w:val="20"/>
                <w:szCs w:val="20"/>
              </w:rPr>
            </w:pPr>
            <w:r w:rsidRPr="005736BB">
              <w:rPr>
                <w:sz w:val="20"/>
                <w:szCs w:val="20"/>
              </w:rPr>
              <w:t>Global</w:t>
            </w:r>
          </w:p>
        </w:tc>
        <w:tc>
          <w:tcPr>
            <w:tcW w:w="2161" w:type="dxa"/>
            <w:tcBorders>
              <w:top w:val="none" w:sz="0" w:space="0" w:color="auto"/>
              <w:left w:val="none" w:sz="0" w:space="0" w:color="auto"/>
              <w:bottom w:val="none" w:sz="0" w:space="0" w:color="auto"/>
              <w:right w:val="none" w:sz="0" w:space="0" w:color="auto"/>
            </w:tcBorders>
            <w:shd w:val="clear" w:color="auto" w:fill="FFFFFF" w:themeFill="background1"/>
          </w:tcPr>
          <w:p w14:paraId="11116CDA" w14:textId="7F2186A2" w:rsidR="0087795D" w:rsidRDefault="00A556BF"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w:t>
            </w:r>
            <w:r w:rsidR="0087795D">
              <w:t>1.0</w:t>
            </w:r>
          </w:p>
        </w:tc>
      </w:tr>
      <w:tr w:rsidR="0087795D" w14:paraId="042C7AF0" w14:textId="77777777" w:rsidTr="00003868">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0528F64" w14:textId="77777777" w:rsidR="0087795D" w:rsidRPr="005736BB" w:rsidRDefault="0087795D" w:rsidP="0087795D">
            <w:pPr>
              <w:widowControl w:val="0"/>
              <w:spacing w:after="120" w:line="260" w:lineRule="exact"/>
              <w:rPr>
                <w:sz w:val="20"/>
                <w:szCs w:val="20"/>
              </w:rPr>
            </w:pPr>
            <w:r w:rsidRPr="005736BB">
              <w:rPr>
                <w:sz w:val="20"/>
                <w:szCs w:val="20"/>
              </w:rPr>
              <w:t>Other Govt. Departments</w:t>
            </w:r>
          </w:p>
        </w:tc>
        <w:tc>
          <w:tcPr>
            <w:tcW w:w="216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A53994A" w14:textId="4436E76B" w:rsidR="0087795D" w:rsidRDefault="00A556BF"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w:t>
            </w:r>
            <w:r w:rsidR="0087795D">
              <w:t>0.4</w:t>
            </w:r>
          </w:p>
        </w:tc>
      </w:tr>
      <w:tr w:rsidR="0087795D" w14:paraId="3C124304" w14:textId="77777777" w:rsidTr="00003868">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2526" w:type="dxa"/>
            <w:tcBorders>
              <w:top w:val="none" w:sz="0" w:space="0" w:color="auto"/>
              <w:left w:val="none" w:sz="0" w:space="0" w:color="auto"/>
              <w:bottom w:val="none" w:sz="0" w:space="0" w:color="auto"/>
              <w:right w:val="none" w:sz="0" w:space="0" w:color="auto"/>
            </w:tcBorders>
            <w:shd w:val="clear" w:color="auto" w:fill="FFFFFF" w:themeFill="background1"/>
          </w:tcPr>
          <w:p w14:paraId="3974EE81" w14:textId="77777777" w:rsidR="0087795D" w:rsidRPr="005736BB" w:rsidRDefault="0087795D" w:rsidP="0087795D">
            <w:pPr>
              <w:widowControl w:val="0"/>
              <w:spacing w:after="120" w:line="260" w:lineRule="exact"/>
              <w:rPr>
                <w:sz w:val="20"/>
                <w:szCs w:val="20"/>
              </w:rPr>
            </w:pPr>
            <w:r w:rsidRPr="005736BB">
              <w:rPr>
                <w:sz w:val="20"/>
                <w:szCs w:val="20"/>
              </w:rPr>
              <w:t>Total ODA</w:t>
            </w:r>
          </w:p>
        </w:tc>
        <w:tc>
          <w:tcPr>
            <w:tcW w:w="2161" w:type="dxa"/>
            <w:tcBorders>
              <w:top w:val="none" w:sz="0" w:space="0" w:color="auto"/>
              <w:left w:val="none" w:sz="0" w:space="0" w:color="auto"/>
              <w:bottom w:val="none" w:sz="0" w:space="0" w:color="auto"/>
              <w:right w:val="none" w:sz="0" w:space="0" w:color="auto"/>
            </w:tcBorders>
            <w:shd w:val="clear" w:color="auto" w:fill="FFFFFF" w:themeFill="background1"/>
          </w:tcPr>
          <w:p w14:paraId="55EE8FDF" w14:textId="77777777" w:rsidR="0087795D" w:rsidRDefault="0087795D" w:rsidP="0087795D">
            <w:pPr>
              <w:widowControl w:val="0"/>
              <w:spacing w:after="120" w:line="260" w:lineRule="exact"/>
              <w:jc w:val="center"/>
              <w:cnfStyle w:val="100000000000" w:firstRow="1" w:lastRow="0" w:firstColumn="0" w:lastColumn="0" w:oddVBand="0" w:evenVBand="0" w:oddHBand="0" w:evenHBand="0" w:firstRowFirstColumn="0" w:firstRowLastColumn="0" w:lastRowFirstColumn="0" w:lastRowLastColumn="0"/>
            </w:pPr>
            <w:r>
              <w:t>32.0</w:t>
            </w:r>
          </w:p>
        </w:tc>
      </w:tr>
    </w:tbl>
    <w:p w14:paraId="1720FA79" w14:textId="231F6B3E" w:rsidR="00BB51C8" w:rsidRDefault="003E1A7C" w:rsidP="00CB2663">
      <w:pPr>
        <w:widowControl w:val="0"/>
        <w:spacing w:before="0" w:after="0" w:line="240" w:lineRule="auto"/>
        <w:rPr>
          <w:i/>
          <w:iCs/>
          <w:sz w:val="18"/>
          <w:szCs w:val="18"/>
        </w:rPr>
      </w:pPr>
      <w:r>
        <w:rPr>
          <w:noProof/>
        </w:rPr>
        <w:drawing>
          <wp:inline distT="0" distB="0" distL="0" distR="0" wp14:anchorId="2D6D74D9" wp14:editId="71D8EB1F">
            <wp:extent cx="3457575" cy="2476500"/>
            <wp:effectExtent l="0" t="0" r="9525" b="0"/>
            <wp:docPr id="3" name="Picture 3" descr="The Kiribati Development Program by Sector Group 2021-22 Budget Estimate&#10;Economic Infrastructure and Services 1%&#10;Agriculture, Trade and other Production Sectors 3%&#10;Governance 24%&#10;Education 59%&#10;Health 3%&#10;Multisector and General Development Suppor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Kiribati Development Program by Sector Group 2021-22 Budget Estimate&#10;Economic Infrastructure and Services 1%&#10;Agriculture, Trade and other Production Sectors 3%&#10;Governance 24%&#10;Education 59%&#10;Health 3%&#10;Multisector and General Development Support 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2476500"/>
                    </a:xfrm>
                    <a:prstGeom prst="rect">
                      <a:avLst/>
                    </a:prstGeom>
                    <a:noFill/>
                    <a:ln>
                      <a:noFill/>
                    </a:ln>
                  </pic:spPr>
                </pic:pic>
              </a:graphicData>
            </a:graphic>
          </wp:inline>
        </w:drawing>
      </w:r>
    </w:p>
    <w:p w14:paraId="3EDC8A44" w14:textId="56B5CA5B" w:rsidR="007B53F9" w:rsidRDefault="00CA5021" w:rsidP="00CB2663">
      <w:pPr>
        <w:widowControl w:val="0"/>
        <w:spacing w:before="0" w:after="0" w:line="240" w:lineRule="auto"/>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9E622A" w:rsidRPr="009E622A">
        <w:rPr>
          <w:i/>
          <w:iCs/>
          <w:sz w:val="18"/>
          <w:szCs w:val="18"/>
        </w:rPr>
        <w:t xml:space="preserve"> </w:t>
      </w:r>
      <w:r w:rsidR="009E622A">
        <w:rPr>
          <w:i/>
          <w:iCs/>
          <w:sz w:val="18"/>
          <w:szCs w:val="18"/>
        </w:rPr>
        <w:t>Due to rounding, totals may not match the sum of components.</w:t>
      </w:r>
    </w:p>
    <w:p w14:paraId="45AC77FD" w14:textId="1BC439E7" w:rsidR="00CB2663" w:rsidRPr="00CB5512" w:rsidRDefault="00CB2663" w:rsidP="00CB2663">
      <w:pPr>
        <w:spacing w:before="0" w:after="0" w:line="240" w:lineRule="auto"/>
        <w:rPr>
          <w:b/>
          <w:bCs/>
          <w:i/>
          <w:iCs/>
          <w:sz w:val="20"/>
          <w:szCs w:val="20"/>
        </w:rPr>
      </w:pPr>
      <w:r w:rsidRPr="00CB5512">
        <w:rPr>
          <w:b/>
          <w:bCs/>
          <w:i/>
          <w:iCs/>
          <w:sz w:val="20"/>
          <w:szCs w:val="20"/>
        </w:rPr>
        <w:t xml:space="preserve">Our development program to </w:t>
      </w:r>
      <w:r>
        <w:rPr>
          <w:b/>
          <w:bCs/>
          <w:i/>
          <w:iCs/>
          <w:sz w:val="20"/>
          <w:szCs w:val="20"/>
        </w:rPr>
        <w:t>Kiribati</w:t>
      </w:r>
      <w:r w:rsidRPr="00CB5512">
        <w:rPr>
          <w:b/>
          <w:bCs/>
          <w:i/>
          <w:iCs/>
          <w:sz w:val="20"/>
          <w:szCs w:val="20"/>
        </w:rPr>
        <w:t xml:space="preserve"> contributes towards achieving the following Sustainable Development Goals:</w:t>
      </w:r>
    </w:p>
    <w:p w14:paraId="6BE09466" w14:textId="3571DCCC" w:rsidR="003806FE" w:rsidRDefault="0082189F" w:rsidP="00A556BF">
      <w:pPr>
        <w:spacing w:line="260" w:lineRule="auto"/>
      </w:pPr>
      <w:r w:rsidRPr="0082189F">
        <w:rPr>
          <w:noProof/>
        </w:rPr>
        <w:drawing>
          <wp:inline distT="0" distB="0" distL="0" distR="0" wp14:anchorId="72DAAC61" wp14:editId="76D4CDD2">
            <wp:extent cx="6696075" cy="571500"/>
            <wp:effectExtent l="0" t="0" r="0" b="0"/>
            <wp:docPr id="4" name="Picture 4" descr="Sustainable Development Goal 1- No Poverty&#10;Sustainable Development Goal 2-Zero Hunger&#10;Sustainable Development Goal 4-Quality Education&#10;Sustainable Development Goal 5-Gender Equality&#10;Sustainable Development Goal 6-Clean water and Sanitation&#10;Sustainable Development Goal 8- Decent Work and Economic Growth&#10;Sustainable Development Goal 13- Climate Action&#10;Sustainable Development Goal 16- Peace and Justice Strong Institutions&#10;Sustainable Development Goal 17- Partnerships to achieve the Go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stainable Development Goal 1- No Poverty&#10;Sustainable Development Goal 2-Zero Hunger&#10;Sustainable Development Goal 4-Quality Education&#10;Sustainable Development Goal 5-Gender Equality&#10;Sustainable Development Goal 6-Clean water and Sanitation&#10;Sustainable Development Goal 8- Decent Work and Economic Growth&#10;Sustainable Development Goal 13- Climate Action&#10;Sustainable Development Goal 16- Peace and Justice Strong Institutions&#10;Sustainable Development Goal 17- Partnerships to achieve the Goal&#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r w:rsidR="003806FE">
        <w:t xml:space="preserve">The </w:t>
      </w:r>
      <w:r w:rsidR="003806FE" w:rsidRPr="00015DC0">
        <w:rPr>
          <w:iCs/>
        </w:rPr>
        <w:t>202</w:t>
      </w:r>
      <w:r w:rsidR="00ED6E38" w:rsidRPr="00015DC0">
        <w:rPr>
          <w:iCs/>
        </w:rPr>
        <w:t>1</w:t>
      </w:r>
      <w:r w:rsidR="003806FE" w:rsidRPr="00015DC0">
        <w:rPr>
          <w:iCs/>
        </w:rPr>
        <w:t>-2</w:t>
      </w:r>
      <w:r w:rsidR="00ED6E38" w:rsidRPr="00015DC0">
        <w:rPr>
          <w:iCs/>
        </w:rPr>
        <w:t>2</w:t>
      </w:r>
      <w:r w:rsidR="003806FE" w:rsidRPr="00015DC0">
        <w:rPr>
          <w:iCs/>
        </w:rPr>
        <w:t xml:space="preserve"> </w:t>
      </w:r>
      <w:r w:rsidR="00D402BF">
        <w:rPr>
          <w:iCs/>
        </w:rPr>
        <w:t>Kiribati</w:t>
      </w:r>
      <w:r w:rsidR="003806FE" w:rsidRPr="00015DC0">
        <w:rPr>
          <w:iCs/>
        </w:rPr>
        <w:t xml:space="preserve"> Development Program Progress Report summarises </w:t>
      </w:r>
      <w:r w:rsidR="00404443" w:rsidRPr="00015DC0">
        <w:rPr>
          <w:iCs/>
        </w:rPr>
        <w:t>progress with implementation of the Australia</w:t>
      </w:r>
      <w:r w:rsidR="00404443">
        <w:t xml:space="preserve"> – </w:t>
      </w:r>
      <w:r w:rsidR="00D402BF">
        <w:t xml:space="preserve">Kiribati </w:t>
      </w:r>
      <w:r w:rsidR="00404443">
        <w:t xml:space="preserve">COVID-19 </w:t>
      </w:r>
      <w:r w:rsidR="00B66D3E">
        <w:t xml:space="preserve">Development </w:t>
      </w:r>
      <w:r w:rsidR="00404443">
        <w:t xml:space="preserve">Response Plan and </w:t>
      </w:r>
      <w:r w:rsidR="003806FE">
        <w:t>highlights</w:t>
      </w:r>
      <w:r w:rsidR="00F55620">
        <w:t xml:space="preserve"> program results</w:t>
      </w:r>
      <w:r w:rsidR="00404443">
        <w:t>.</w:t>
      </w:r>
      <w:r w:rsidR="000D003A">
        <w:t xml:space="preserve"> </w:t>
      </w:r>
    </w:p>
    <w:p w14:paraId="12F182A4" w14:textId="2F00DDCD" w:rsidR="00C84C30" w:rsidRPr="00297FD1" w:rsidRDefault="00C84C30" w:rsidP="00A556BF">
      <w:pPr>
        <w:pStyle w:val="Heading2"/>
        <w:spacing w:before="120" w:after="60" w:line="260" w:lineRule="auto"/>
        <w:contextualSpacing w:val="0"/>
      </w:pPr>
      <w:r w:rsidRPr="00297FD1">
        <w:t xml:space="preserve">CONTEXT </w:t>
      </w:r>
    </w:p>
    <w:p w14:paraId="62C0B4EC" w14:textId="26F58A07" w:rsidR="00D402BF" w:rsidRPr="00DF5D81" w:rsidRDefault="00D402BF" w:rsidP="00A556BF">
      <w:pPr>
        <w:pStyle w:val="Bullet1"/>
        <w:numPr>
          <w:ilvl w:val="0"/>
          <w:numId w:val="0"/>
        </w:numPr>
        <w:spacing w:before="120" w:line="260" w:lineRule="auto"/>
      </w:pPr>
      <w:r w:rsidRPr="00DF5D81" w:rsidDel="005F7352">
        <w:t>Australia and Kiribati are</w:t>
      </w:r>
      <w:r w:rsidRPr="00DF5D81">
        <w:t xml:space="preserve"> neighbours and long-term</w:t>
      </w:r>
      <w:r w:rsidRPr="00DF5D81" w:rsidDel="005F7352">
        <w:t xml:space="preserve"> development</w:t>
      </w:r>
      <w:r w:rsidR="00EB45E5">
        <w:t>, economic</w:t>
      </w:r>
      <w:r w:rsidRPr="00DF5D81" w:rsidDel="005F7352">
        <w:t xml:space="preserve"> and security partners</w:t>
      </w:r>
      <w:r w:rsidRPr="00DF5D81">
        <w:t xml:space="preserve">. Australia </w:t>
      </w:r>
      <w:r w:rsidR="00D069F7">
        <w:t xml:space="preserve">is invested </w:t>
      </w:r>
      <w:r w:rsidRPr="00DF5D81">
        <w:t>in Kiribati’s stability and prosperity.</w:t>
      </w:r>
    </w:p>
    <w:p w14:paraId="28409CB1" w14:textId="226BF0EB" w:rsidR="00F55620" w:rsidRDefault="00D069F7" w:rsidP="00A556BF">
      <w:pPr>
        <w:pStyle w:val="Bullet1"/>
        <w:numPr>
          <w:ilvl w:val="0"/>
          <w:numId w:val="0"/>
        </w:numPr>
        <w:spacing w:before="120" w:line="260" w:lineRule="auto"/>
      </w:pPr>
      <w:r>
        <w:t>World Bank estimat</w:t>
      </w:r>
      <w:r w:rsidR="00812DC1">
        <w:t>es</w:t>
      </w:r>
      <w:r>
        <w:t xml:space="preserve"> </w:t>
      </w:r>
      <w:r w:rsidR="00D402BF" w:rsidRPr="00DF5D81">
        <w:t xml:space="preserve">about </w:t>
      </w:r>
      <w:r w:rsidR="00C25916">
        <w:t>22</w:t>
      </w:r>
      <w:r w:rsidR="00D402BF" w:rsidRPr="00DF5D81">
        <w:t xml:space="preserve"> per cent of the population </w:t>
      </w:r>
      <w:r w:rsidR="00812DC1">
        <w:t xml:space="preserve">of Kiribati is living </w:t>
      </w:r>
      <w:r w:rsidR="00D402BF" w:rsidRPr="00DF5D81">
        <w:t>in poverty (living on less than $3.20</w:t>
      </w:r>
      <w:r w:rsidR="00E04E01">
        <w:t xml:space="preserve"> </w:t>
      </w:r>
      <w:r w:rsidR="00D402BF" w:rsidRPr="00DF5D81">
        <w:t>per</w:t>
      </w:r>
      <w:r w:rsidR="00E04E01">
        <w:t xml:space="preserve"> </w:t>
      </w:r>
      <w:r w:rsidR="00D402BF" w:rsidRPr="00DF5D81">
        <w:t>day)</w:t>
      </w:r>
      <w:r w:rsidR="00812DC1">
        <w:t>, making it one of the poorest countries in the region</w:t>
      </w:r>
      <w:r w:rsidR="00D402BF" w:rsidRPr="00DF5D81">
        <w:t xml:space="preserve">. </w:t>
      </w:r>
      <w:r w:rsidR="00D402BF" w:rsidRPr="00991859">
        <w:rPr>
          <w:b/>
          <w:bCs/>
        </w:rPr>
        <w:t xml:space="preserve">Development challenges include its small and dispersed population, limited private sector, and </w:t>
      </w:r>
      <w:r w:rsidR="005831C5">
        <w:rPr>
          <w:b/>
          <w:bCs/>
        </w:rPr>
        <w:t>vulnerability to</w:t>
      </w:r>
      <w:r w:rsidR="00D402BF" w:rsidRPr="00991859">
        <w:rPr>
          <w:b/>
          <w:bCs/>
        </w:rPr>
        <w:t xml:space="preserve"> climate change</w:t>
      </w:r>
      <w:r w:rsidR="00D402BF" w:rsidRPr="00DF5D81">
        <w:t xml:space="preserve">. These </w:t>
      </w:r>
      <w:r w:rsidR="00F55620">
        <w:t xml:space="preserve">conditions </w:t>
      </w:r>
      <w:r w:rsidR="00D402BF" w:rsidRPr="00DF5D81">
        <w:t>contribute to Kiribati’s vulnerability to the impacts of COVID-19.</w:t>
      </w:r>
      <w:r w:rsidR="00F55620">
        <w:t xml:space="preserve"> </w:t>
      </w:r>
      <w:bookmarkStart w:id="0" w:name="_Hlk82425904"/>
      <w:r w:rsidR="00D402BF" w:rsidRPr="002F2A5B">
        <w:t xml:space="preserve">Kiribati </w:t>
      </w:r>
      <w:r w:rsidR="00922BB3" w:rsidRPr="002F2A5B">
        <w:t xml:space="preserve">experienced </w:t>
      </w:r>
      <w:r w:rsidR="00FB4891" w:rsidRPr="002F2A5B">
        <w:t>its first outbreak o</w:t>
      </w:r>
      <w:r w:rsidR="00D747FC" w:rsidRPr="002F2A5B">
        <w:t>f</w:t>
      </w:r>
      <w:r w:rsidR="00FB4891" w:rsidRPr="002F2A5B">
        <w:t xml:space="preserve"> COVID-19 in </w:t>
      </w:r>
      <w:r>
        <w:t xml:space="preserve">January </w:t>
      </w:r>
      <w:r w:rsidR="00FB4891" w:rsidRPr="002F2A5B">
        <w:t>202</w:t>
      </w:r>
      <w:r w:rsidR="00AE30A0" w:rsidRPr="002F2A5B">
        <w:t>2</w:t>
      </w:r>
      <w:r w:rsidR="00D618C3" w:rsidRPr="008C2765">
        <w:t>,</w:t>
      </w:r>
      <w:r w:rsidR="00D618C3">
        <w:t xml:space="preserve"> with 3,</w:t>
      </w:r>
      <w:r w:rsidR="00545B2C">
        <w:t xml:space="preserve">236 cases recorded up to June 2022, and </w:t>
      </w:r>
      <w:r w:rsidR="0051634A">
        <w:t>13</w:t>
      </w:r>
      <w:r w:rsidR="002F2A9D">
        <w:t> </w:t>
      </w:r>
      <w:r w:rsidR="00545B2C">
        <w:t xml:space="preserve">deaths. </w:t>
      </w:r>
      <w:r w:rsidR="00015B96">
        <w:t xml:space="preserve">Its borders remained closed </w:t>
      </w:r>
      <w:r w:rsidR="005831C5">
        <w:t>until</w:t>
      </w:r>
      <w:r w:rsidR="00015B96">
        <w:t xml:space="preserve"> the end of June 2022, with </w:t>
      </w:r>
      <w:r w:rsidR="008C29F1">
        <w:t xml:space="preserve">fortnightly </w:t>
      </w:r>
      <w:r w:rsidR="00D402BF" w:rsidRPr="00DF5D81">
        <w:t xml:space="preserve">repatriation flights permitted. </w:t>
      </w:r>
      <w:bookmarkEnd w:id="0"/>
    </w:p>
    <w:p w14:paraId="61F3F4E2" w14:textId="6A309C32" w:rsidR="00A76BD0" w:rsidRDefault="00812DC1" w:rsidP="00A556BF">
      <w:pPr>
        <w:pStyle w:val="Bullet1"/>
        <w:numPr>
          <w:ilvl w:val="0"/>
          <w:numId w:val="0"/>
        </w:numPr>
        <w:spacing w:before="120" w:line="260" w:lineRule="auto"/>
      </w:pPr>
      <w:r w:rsidRPr="00991859">
        <w:rPr>
          <w:b/>
          <w:bCs/>
        </w:rPr>
        <w:t>Kiribati has a narrow economic base with a high dependence on access to markets and foreign exchange inflows,</w:t>
      </w:r>
      <w:r w:rsidRPr="00482955">
        <w:rPr>
          <w:b/>
          <w:bCs/>
        </w:rPr>
        <w:t xml:space="preserve"> </w:t>
      </w:r>
      <w:r w:rsidRPr="00991859">
        <w:rPr>
          <w:b/>
          <w:bCs/>
        </w:rPr>
        <w:t>particularly from fishing license fees and remittances</w:t>
      </w:r>
      <w:r w:rsidRPr="00DF5D81">
        <w:t xml:space="preserve">. Fishing revenue constituted about 75 per cent of </w:t>
      </w:r>
      <w:r w:rsidR="00F55620">
        <w:t>Gross Domestic Product (</w:t>
      </w:r>
      <w:r w:rsidRPr="00DF5D81">
        <w:t>GDP</w:t>
      </w:r>
      <w:r w:rsidR="00F55620">
        <w:t>)</w:t>
      </w:r>
      <w:r w:rsidRPr="00DF5D81">
        <w:t xml:space="preserve"> in the years before the pandemic (2015-19)</w:t>
      </w:r>
      <w:r w:rsidR="00EB45E5">
        <w:t>, which</w:t>
      </w:r>
      <w:r w:rsidR="003152E8" w:rsidRPr="00671B94">
        <w:t xml:space="preserve"> cushioned</w:t>
      </w:r>
      <w:r w:rsidR="00EB45E5">
        <w:t xml:space="preserve"> Kiribati from</w:t>
      </w:r>
      <w:r w:rsidR="003152E8" w:rsidRPr="00671B94">
        <w:t xml:space="preserve"> the impact </w:t>
      </w:r>
      <w:r w:rsidR="00EB45E5">
        <w:t>of</w:t>
      </w:r>
      <w:r w:rsidR="003152E8" w:rsidRPr="00671B94">
        <w:t xml:space="preserve"> COVID-19 (compared to other </w:t>
      </w:r>
      <w:r w:rsidR="00EB45E5">
        <w:t xml:space="preserve">more trade and tourism dependent </w:t>
      </w:r>
      <w:r w:rsidR="003152E8" w:rsidRPr="00671B94">
        <w:t>P</w:t>
      </w:r>
      <w:r w:rsidR="00646ED1" w:rsidRPr="00671B94">
        <w:t xml:space="preserve">acific </w:t>
      </w:r>
      <w:r w:rsidR="003152E8" w:rsidRPr="00671B94">
        <w:t>I</w:t>
      </w:r>
      <w:r w:rsidR="00646ED1" w:rsidRPr="00671B94">
        <w:t xml:space="preserve">sland </w:t>
      </w:r>
      <w:r w:rsidR="003152E8" w:rsidRPr="00671B94">
        <w:t>C</w:t>
      </w:r>
      <w:r w:rsidR="00646ED1" w:rsidRPr="00671B94">
        <w:t>ountrie</w:t>
      </w:r>
      <w:r w:rsidR="003152E8" w:rsidRPr="00671B94">
        <w:t>s)</w:t>
      </w:r>
      <w:r w:rsidR="007520F1">
        <w:t xml:space="preserve">. </w:t>
      </w:r>
      <w:r w:rsidR="00D216D3" w:rsidRPr="00D216D3">
        <w:t>The volume of exports increased to 24.6 per cent year on year.</w:t>
      </w:r>
      <w:r w:rsidR="00D216D3">
        <w:t xml:space="preserve"> </w:t>
      </w:r>
      <w:r w:rsidR="007520F1">
        <w:t>H</w:t>
      </w:r>
      <w:r>
        <w:t>owever</w:t>
      </w:r>
      <w:r w:rsidR="006D0257">
        <w:t>,</w:t>
      </w:r>
      <w:r>
        <w:t xml:space="preserve"> </w:t>
      </w:r>
      <w:r w:rsidR="003152E8" w:rsidRPr="00671B94">
        <w:t>border closures and disruption to global supply chain</w:t>
      </w:r>
      <w:r w:rsidR="008C2765">
        <w:t>s</w:t>
      </w:r>
      <w:r>
        <w:t xml:space="preserve"> and</w:t>
      </w:r>
      <w:r w:rsidR="003152E8" w:rsidRPr="00671B94">
        <w:t xml:space="preserve"> sea faring </w:t>
      </w:r>
      <w:r>
        <w:t>resulted in</w:t>
      </w:r>
      <w:r w:rsidR="003152E8" w:rsidRPr="00671B94">
        <w:t xml:space="preserve"> a </w:t>
      </w:r>
      <w:r w:rsidR="005831C5">
        <w:t>contraction of</w:t>
      </w:r>
      <w:r w:rsidR="005831C5" w:rsidRPr="00671B94">
        <w:t xml:space="preserve"> </w:t>
      </w:r>
      <w:r w:rsidR="003152E8" w:rsidRPr="00671B94">
        <w:t xml:space="preserve">0.5 per cent </w:t>
      </w:r>
      <w:r w:rsidR="005831C5">
        <w:t xml:space="preserve">of GDP </w:t>
      </w:r>
      <w:r w:rsidR="003152E8" w:rsidRPr="00671B94">
        <w:t>in both 2020 and 2021.</w:t>
      </w:r>
      <w:r w:rsidR="00D21890" w:rsidRPr="00723E32">
        <w:t xml:space="preserve"> Kiribati has commenced drawing down its Revenue Equalisation Reserve Fund</w:t>
      </w:r>
      <w:r w:rsidR="00EB45E5">
        <w:t xml:space="preserve"> (a sovereign wealth fund)</w:t>
      </w:r>
      <w:r w:rsidR="00482955">
        <w:t>,</w:t>
      </w:r>
      <w:r w:rsidR="00D21890" w:rsidRPr="00723E32">
        <w:t xml:space="preserve"> </w:t>
      </w:r>
      <w:r w:rsidR="00AB5572" w:rsidRPr="00723E32">
        <w:t xml:space="preserve">which </w:t>
      </w:r>
      <w:r w:rsidR="00D21890" w:rsidRPr="00723E32">
        <w:t xml:space="preserve">is valued at around </w:t>
      </w:r>
      <w:r w:rsidR="005B34EA">
        <w:t>$</w:t>
      </w:r>
      <w:r w:rsidR="00D21890" w:rsidRPr="00723E32">
        <w:t xml:space="preserve">1.3 billion (over </w:t>
      </w:r>
      <w:r w:rsidR="00EB45E5">
        <w:t>four</w:t>
      </w:r>
      <w:r w:rsidR="00D21890" w:rsidRPr="00723E32">
        <w:t xml:space="preserve"> times Kiribati’s annual GDP)</w:t>
      </w:r>
      <w:r w:rsidR="002C335F">
        <w:t xml:space="preserve">, including to </w:t>
      </w:r>
      <w:r w:rsidR="002C335F" w:rsidRPr="00991859">
        <w:rPr>
          <w:b/>
          <w:bCs/>
        </w:rPr>
        <w:t xml:space="preserve">fund the introduction of </w:t>
      </w:r>
      <w:r w:rsidR="00214455" w:rsidRPr="00991859">
        <w:rPr>
          <w:b/>
          <w:bCs/>
        </w:rPr>
        <w:t>a</w:t>
      </w:r>
      <w:r w:rsidR="002C335F" w:rsidRPr="00991859">
        <w:rPr>
          <w:b/>
          <w:bCs/>
        </w:rPr>
        <w:t xml:space="preserve"> </w:t>
      </w:r>
      <w:r w:rsidR="00AB4644" w:rsidRPr="00991859">
        <w:rPr>
          <w:b/>
          <w:bCs/>
        </w:rPr>
        <w:t xml:space="preserve">new </w:t>
      </w:r>
      <w:r w:rsidR="002C335F" w:rsidRPr="00991859">
        <w:rPr>
          <w:b/>
          <w:bCs/>
        </w:rPr>
        <w:t>social protection program</w:t>
      </w:r>
      <w:r w:rsidR="00D21890" w:rsidRPr="00723E32">
        <w:t>.</w:t>
      </w:r>
      <w:r w:rsidR="00EF74B4" w:rsidRPr="00723E32">
        <w:t xml:space="preserve"> </w:t>
      </w:r>
      <w:r w:rsidR="00767038">
        <w:t xml:space="preserve">The </w:t>
      </w:r>
      <w:r w:rsidR="00365D7A">
        <w:t xml:space="preserve">International Monetary Fund </w:t>
      </w:r>
      <w:r w:rsidR="005831C5">
        <w:t xml:space="preserve">estimates </w:t>
      </w:r>
      <w:r w:rsidR="008C3DEF">
        <w:t>r</w:t>
      </w:r>
      <w:r w:rsidR="005476CD">
        <w:t xml:space="preserve">eal GDP growth </w:t>
      </w:r>
      <w:r w:rsidR="003C0CFB">
        <w:t>was 1.5</w:t>
      </w:r>
      <w:r w:rsidR="00A165DB">
        <w:t xml:space="preserve"> per cent</w:t>
      </w:r>
      <w:r w:rsidR="005831C5">
        <w:t xml:space="preserve"> in 2021</w:t>
      </w:r>
      <w:r w:rsidR="00723E32">
        <w:t>, with the</w:t>
      </w:r>
      <w:r>
        <w:t xml:space="preserve"> </w:t>
      </w:r>
      <w:r w:rsidR="00723E32">
        <w:t xml:space="preserve">social protection scheme </w:t>
      </w:r>
      <w:r>
        <w:t xml:space="preserve">and copra subsidy collectively </w:t>
      </w:r>
      <w:r>
        <w:lastRenderedPageBreak/>
        <w:t xml:space="preserve">reaching around </w:t>
      </w:r>
      <w:r w:rsidR="00EB45E5">
        <w:t>one-</w:t>
      </w:r>
      <w:r>
        <w:t>third</w:t>
      </w:r>
      <w:r w:rsidR="00723E32">
        <w:t xml:space="preserve"> of GDP. </w:t>
      </w:r>
      <w:r w:rsidR="002B420F">
        <w:t>G</w:t>
      </w:r>
      <w:r w:rsidR="00817D41">
        <w:t>ross government debt was 17.6</w:t>
      </w:r>
      <w:r w:rsidR="00A165DB">
        <w:t xml:space="preserve"> per cent</w:t>
      </w:r>
      <w:r w:rsidR="008C3DEF">
        <w:t xml:space="preserve"> of GDP</w:t>
      </w:r>
      <w:r w:rsidR="002B420F">
        <w:t xml:space="preserve">, </w:t>
      </w:r>
      <w:r w:rsidR="005831C5">
        <w:t xml:space="preserve">and Kiribati is assessed </w:t>
      </w:r>
      <w:r w:rsidR="00120122">
        <w:t xml:space="preserve">to be at </w:t>
      </w:r>
      <w:r w:rsidR="002B420F" w:rsidRPr="00991859">
        <w:rPr>
          <w:b/>
          <w:bCs/>
        </w:rPr>
        <w:t>high risk of debt distress</w:t>
      </w:r>
      <w:r w:rsidR="00FE677F" w:rsidRPr="00991859">
        <w:rPr>
          <w:b/>
          <w:bCs/>
        </w:rPr>
        <w:t>.</w:t>
      </w:r>
      <w:r w:rsidR="002C335F">
        <w:t xml:space="preserve"> </w:t>
      </w:r>
    </w:p>
    <w:p w14:paraId="31818838" w14:textId="2BD0F047" w:rsidR="00DE04C9" w:rsidRDefault="00DE04C9" w:rsidP="00A556BF">
      <w:pPr>
        <w:spacing w:line="260" w:lineRule="auto"/>
        <w:rPr>
          <w:rStyle w:val="normaltextrun"/>
          <w:color w:val="000000"/>
          <w:sz w:val="24"/>
          <w:szCs w:val="24"/>
          <w:shd w:val="clear" w:color="auto" w:fill="FFFFFF"/>
        </w:rPr>
      </w:pPr>
      <w:r>
        <w:t>In June 2022 the Government of Kiribati declared a state of disaster in response to the severe drought, caused by La Ni</w:t>
      </w:r>
      <w:r w:rsidRPr="00DE04C9">
        <w:t>ñ</w:t>
      </w:r>
      <w:r>
        <w:t xml:space="preserve">a-induced below normal rainfall. </w:t>
      </w:r>
      <w:r w:rsidRPr="00DE04C9">
        <w:t xml:space="preserve">Prolonged drought conditions </w:t>
      </w:r>
      <w:r>
        <w:t xml:space="preserve">are </w:t>
      </w:r>
      <w:r w:rsidRPr="00DE04C9">
        <w:t>resulting in greater salinity in the fragile water lenses underneath the atolls of Kiribati. The continued drought is significantly impacting access to freshwater, increasing exposure to contaminated water wells and water-borne disease</w:t>
      </w:r>
      <w:r w:rsidR="00767038">
        <w:t>s</w:t>
      </w:r>
      <w:r w:rsidRPr="00DE04C9">
        <w:t>.</w:t>
      </w:r>
      <w:r>
        <w:rPr>
          <w:rStyle w:val="normaltextrun"/>
          <w:color w:val="000000"/>
          <w:sz w:val="24"/>
          <w:szCs w:val="24"/>
          <w:shd w:val="clear" w:color="auto" w:fill="FFFFFF"/>
        </w:rPr>
        <w:t xml:space="preserve"> </w:t>
      </w:r>
    </w:p>
    <w:p w14:paraId="22900C6A" w14:textId="11C06362" w:rsidR="00EC608A" w:rsidRDefault="00FC1216" w:rsidP="00A556BF">
      <w:pPr>
        <w:pStyle w:val="Heading2"/>
        <w:spacing w:before="120" w:after="60" w:line="260" w:lineRule="auto"/>
        <w:contextualSpacing w:val="0"/>
      </w:pPr>
      <w:r w:rsidRPr="00FC1216">
        <w:t>AUSTRALIA’S RESPONS</w:t>
      </w:r>
      <w:r w:rsidR="00193C49">
        <w:t xml:space="preserve">E </w:t>
      </w:r>
      <w:r w:rsidR="00A46B28">
        <w:t>and</w:t>
      </w:r>
      <w:r w:rsidR="00193C49">
        <w:t xml:space="preserve"> PROGRAM HIGHLIGHTS</w:t>
      </w:r>
    </w:p>
    <w:p w14:paraId="1E3BF2B9" w14:textId="3230E835" w:rsidR="00A85E9F" w:rsidRPr="00DF5D81" w:rsidRDefault="00A85E9F" w:rsidP="00A556BF">
      <w:pPr>
        <w:pStyle w:val="Bullet1"/>
        <w:numPr>
          <w:ilvl w:val="0"/>
          <w:numId w:val="0"/>
        </w:numPr>
        <w:spacing w:before="120" w:line="260" w:lineRule="auto"/>
      </w:pPr>
      <w:r w:rsidRPr="00DF5D81">
        <w:t>Australia's development partnership with Kiribati align</w:t>
      </w:r>
      <w:r w:rsidR="00D34A98">
        <w:t>s</w:t>
      </w:r>
      <w:r w:rsidRPr="00DF5D81">
        <w:t xml:space="preserve"> with</w:t>
      </w:r>
      <w:r w:rsidR="00B41DBC">
        <w:t xml:space="preserve"> Government of Kiribati</w:t>
      </w:r>
      <w:r w:rsidRPr="00DF5D81">
        <w:t xml:space="preserve"> priorities</w:t>
      </w:r>
      <w:r w:rsidR="00F55329">
        <w:t>,</w:t>
      </w:r>
      <w:r w:rsidRPr="00DF5D81">
        <w:t xml:space="preserve"> and the pillars of the </w:t>
      </w:r>
      <w:r w:rsidRPr="00DF5D81">
        <w:rPr>
          <w:i/>
          <w:iCs/>
        </w:rPr>
        <w:t>Partnerships for Recovery</w:t>
      </w:r>
      <w:r w:rsidRPr="00DF5D81">
        <w:t xml:space="preserve"> framework. Australia remained an effective and valued partner in helping Kiribati address impacts of COVID-19 and other ongoing development challenges. </w:t>
      </w:r>
    </w:p>
    <w:p w14:paraId="79BE876C" w14:textId="551435F5" w:rsidR="00297FD1" w:rsidRPr="002849E3" w:rsidRDefault="00297FD1" w:rsidP="00A556BF">
      <w:pPr>
        <w:pStyle w:val="Heading3"/>
        <w:spacing w:before="120" w:after="60" w:line="260" w:lineRule="auto"/>
        <w:contextualSpacing w:val="0"/>
      </w:pPr>
      <w:r w:rsidRPr="002849E3">
        <w:t>Health Security</w:t>
      </w:r>
    </w:p>
    <w:p w14:paraId="4E52D291" w14:textId="230EBDBB" w:rsidR="0075604B" w:rsidRPr="00915DA1" w:rsidRDefault="00E83519" w:rsidP="00A556BF">
      <w:pPr>
        <w:pStyle w:val="Bullet1"/>
        <w:numPr>
          <w:ilvl w:val="0"/>
          <w:numId w:val="0"/>
        </w:numPr>
        <w:spacing w:before="120" w:line="260" w:lineRule="auto"/>
        <w:rPr>
          <w:lang w:val="en-AU"/>
        </w:rPr>
      </w:pPr>
      <w:bookmarkStart w:id="1" w:name="_Hlk84276739"/>
      <w:r>
        <w:t>I</w:t>
      </w:r>
      <w:r w:rsidR="004565AD">
        <w:t>n 2021-22</w:t>
      </w:r>
      <w:r w:rsidR="0075604B" w:rsidRPr="00DF5D81">
        <w:t>, Australia</w:t>
      </w:r>
      <w:r w:rsidR="00717A85">
        <w:t xml:space="preserve"> supported </w:t>
      </w:r>
      <w:r w:rsidR="0075604B" w:rsidRPr="00DF5D81">
        <w:t xml:space="preserve">Kiribati </w:t>
      </w:r>
      <w:r w:rsidR="00717A85">
        <w:t>to manage</w:t>
      </w:r>
      <w:r w:rsidR="00CA4B03" w:rsidRPr="005B6DD3">
        <w:t xml:space="preserve"> the first outbreak of COVID-19</w:t>
      </w:r>
      <w:r w:rsidR="003407CF">
        <w:t xml:space="preserve">. </w:t>
      </w:r>
      <w:r w:rsidR="00492F58" w:rsidRPr="00E217C8">
        <w:rPr>
          <w:szCs w:val="24"/>
        </w:rPr>
        <w:t>Australia provide</w:t>
      </w:r>
      <w:r w:rsidR="00492F58">
        <w:rPr>
          <w:szCs w:val="24"/>
        </w:rPr>
        <w:t>d</w:t>
      </w:r>
      <w:r w:rsidR="00492F58" w:rsidRPr="00E217C8">
        <w:rPr>
          <w:szCs w:val="24"/>
        </w:rPr>
        <w:t xml:space="preserve"> </w:t>
      </w:r>
      <w:r w:rsidR="00492F58" w:rsidRPr="005B6DD3">
        <w:rPr>
          <w:b/>
          <w:bCs/>
          <w:szCs w:val="24"/>
        </w:rPr>
        <w:t>more than $2.4</w:t>
      </w:r>
      <w:r w:rsidR="00343D22">
        <w:rPr>
          <w:b/>
          <w:bCs/>
          <w:szCs w:val="24"/>
        </w:rPr>
        <w:t> </w:t>
      </w:r>
      <w:r w:rsidR="00492F58" w:rsidRPr="005B6DD3">
        <w:rPr>
          <w:b/>
          <w:bCs/>
          <w:szCs w:val="24"/>
        </w:rPr>
        <w:t xml:space="preserve">million to </w:t>
      </w:r>
      <w:r w:rsidR="00492F58" w:rsidRPr="005B6DD3">
        <w:rPr>
          <w:b/>
          <w:bCs/>
        </w:rPr>
        <w:t xml:space="preserve">Kiribati’s COVID-19 preparedness and response, </w:t>
      </w:r>
      <w:r w:rsidR="00492F58" w:rsidRPr="00AF5C28">
        <w:t>delivered</w:t>
      </w:r>
      <w:r w:rsidR="00492F58">
        <w:t xml:space="preserve"> through direct financial support, procurement of priority medical supplies and equipment</w:t>
      </w:r>
      <w:r w:rsidR="00AF5C28">
        <w:t xml:space="preserve">, </w:t>
      </w:r>
      <w:r w:rsidR="00492F58">
        <w:t xml:space="preserve">the deployment of </w:t>
      </w:r>
      <w:r w:rsidR="00793A19">
        <w:t xml:space="preserve">an </w:t>
      </w:r>
      <w:r w:rsidR="00492F58">
        <w:t>Australian Medical Assistance Team</w:t>
      </w:r>
      <w:r w:rsidR="00F55329">
        <w:t>,</w:t>
      </w:r>
      <w:r w:rsidR="00492F58">
        <w:t xml:space="preserve"> </w:t>
      </w:r>
      <w:r w:rsidR="00EB45E5">
        <w:t xml:space="preserve">16 </w:t>
      </w:r>
      <w:r w:rsidR="00492F58">
        <w:t xml:space="preserve">medical </w:t>
      </w:r>
      <w:r w:rsidR="00F55329">
        <w:t>and</w:t>
      </w:r>
      <w:r w:rsidR="00E47867">
        <w:t xml:space="preserve"> lab</w:t>
      </w:r>
      <w:r w:rsidR="00D203E9">
        <w:t>oratory</w:t>
      </w:r>
      <w:r w:rsidR="00E47867">
        <w:t xml:space="preserve"> specialists</w:t>
      </w:r>
      <w:r w:rsidR="00492F58">
        <w:t xml:space="preserve"> and logisticians</w:t>
      </w:r>
      <w:r w:rsidR="00A6772C">
        <w:t xml:space="preserve">, </w:t>
      </w:r>
      <w:r w:rsidR="00F55329">
        <w:t>and</w:t>
      </w:r>
      <w:r w:rsidR="006051AA">
        <w:t xml:space="preserve"> ongoing </w:t>
      </w:r>
      <w:r w:rsidR="00916902">
        <w:t>vaccine procurement</w:t>
      </w:r>
      <w:r w:rsidR="00F55329" w:rsidRPr="00F55329">
        <w:t xml:space="preserve"> </w:t>
      </w:r>
      <w:r w:rsidR="00F55329">
        <w:t>and delivery support</w:t>
      </w:r>
      <w:r w:rsidR="00492F58">
        <w:t xml:space="preserve">. </w:t>
      </w:r>
      <w:r w:rsidR="00394A48" w:rsidRPr="00DF5D81">
        <w:t xml:space="preserve">As </w:t>
      </w:r>
      <w:r w:rsidR="00EE5EC2">
        <w:t>of</w:t>
      </w:r>
      <w:r w:rsidR="00EE5EC2" w:rsidRPr="00DF5D81">
        <w:t xml:space="preserve"> </w:t>
      </w:r>
      <w:r w:rsidR="00394A48" w:rsidRPr="00DF5D81">
        <w:t>30 June 202</w:t>
      </w:r>
      <w:r w:rsidR="00BB6B8F">
        <w:t>2</w:t>
      </w:r>
      <w:r w:rsidR="00394A48" w:rsidRPr="00DF5D81">
        <w:t xml:space="preserve">, </w:t>
      </w:r>
      <w:r w:rsidR="00123C23" w:rsidRPr="00537CA8">
        <w:rPr>
          <w:b/>
          <w:bCs/>
        </w:rPr>
        <w:t>50,000 do</w:t>
      </w:r>
      <w:r w:rsidR="00DF5294">
        <w:rPr>
          <w:b/>
          <w:bCs/>
        </w:rPr>
        <w:t>s</w:t>
      </w:r>
      <w:r w:rsidR="00123C23" w:rsidRPr="00537CA8">
        <w:rPr>
          <w:b/>
          <w:bCs/>
        </w:rPr>
        <w:t>es of Australian-manufactured AstraZeneca vaccines</w:t>
      </w:r>
      <w:r w:rsidR="00123C23">
        <w:t xml:space="preserve"> </w:t>
      </w:r>
      <w:r w:rsidR="001A2D78">
        <w:t xml:space="preserve">were </w:t>
      </w:r>
      <w:r w:rsidR="006D0257">
        <w:t xml:space="preserve">delivered </w:t>
      </w:r>
      <w:r w:rsidR="00123C23">
        <w:t xml:space="preserve">through domestic dose sharing </w:t>
      </w:r>
      <w:r w:rsidR="005831C5">
        <w:t xml:space="preserve">with </w:t>
      </w:r>
      <w:r w:rsidR="00123C23">
        <w:t xml:space="preserve">Kiribati. </w:t>
      </w:r>
      <w:r w:rsidR="00AA43EA">
        <w:t xml:space="preserve">The vaccine stock management and distribution system </w:t>
      </w:r>
      <w:r w:rsidR="00F55329">
        <w:t>were</w:t>
      </w:r>
      <w:r w:rsidR="00AA43EA">
        <w:t xml:space="preserve"> also strengthened through the </w:t>
      </w:r>
      <w:r w:rsidR="00F55329">
        <w:t xml:space="preserve">introduction of the </w:t>
      </w:r>
      <w:proofErr w:type="spellStart"/>
      <w:r w:rsidR="00AA43EA" w:rsidRPr="00EB45E5">
        <w:rPr>
          <w:i/>
          <w:iCs/>
        </w:rPr>
        <w:t>mSupply</w:t>
      </w:r>
      <w:proofErr w:type="spellEnd"/>
      <w:r w:rsidR="00AA43EA" w:rsidRPr="00EB45E5">
        <w:rPr>
          <w:i/>
          <w:iCs/>
        </w:rPr>
        <w:t xml:space="preserve"> </w:t>
      </w:r>
      <w:r w:rsidR="00AA43EA">
        <w:t xml:space="preserve">system. </w:t>
      </w:r>
      <w:r w:rsidR="00DF45DD">
        <w:t xml:space="preserve">The Australian Centre for Health Security provided support to Kiribati to </w:t>
      </w:r>
      <w:r w:rsidR="00DF45DD" w:rsidRPr="00537CA8">
        <w:rPr>
          <w:b/>
          <w:bCs/>
        </w:rPr>
        <w:t>strength</w:t>
      </w:r>
      <w:r w:rsidR="003D4264">
        <w:rPr>
          <w:b/>
          <w:bCs/>
        </w:rPr>
        <w:t>en</w:t>
      </w:r>
      <w:r w:rsidR="00DF45DD" w:rsidRPr="00537CA8">
        <w:rPr>
          <w:b/>
          <w:bCs/>
        </w:rPr>
        <w:t xml:space="preserve"> laboratory diagnosis for COVID-19</w:t>
      </w:r>
      <w:r w:rsidR="00DF45DD">
        <w:t>. Through the Doherty Institute and the Pacific Community</w:t>
      </w:r>
      <w:r w:rsidR="00F83689">
        <w:t xml:space="preserve"> (SPC)</w:t>
      </w:r>
      <w:r w:rsidR="00DF45DD">
        <w:t>, a new container laboratory for COVI</w:t>
      </w:r>
      <w:r w:rsidR="00D37A6D">
        <w:t>D</w:t>
      </w:r>
      <w:r w:rsidR="00DF45DD">
        <w:t xml:space="preserve">-19 molecular testing was designed and installed, which allowed trained </w:t>
      </w:r>
      <w:r w:rsidR="00CE61AC">
        <w:t>staff</w:t>
      </w:r>
      <w:r w:rsidR="00DF45DD">
        <w:t xml:space="preserve"> to conduct testing. </w:t>
      </w:r>
    </w:p>
    <w:bookmarkEnd w:id="1"/>
    <w:p w14:paraId="33ACE850" w14:textId="079185DB" w:rsidR="00EB2D7C" w:rsidRDefault="0075604B" w:rsidP="00A556BF">
      <w:pPr>
        <w:pStyle w:val="Bullet1"/>
        <w:numPr>
          <w:ilvl w:val="0"/>
          <w:numId w:val="0"/>
        </w:numPr>
        <w:spacing w:before="120" w:line="260" w:lineRule="auto"/>
        <w:rPr>
          <w:lang w:val="en-AU"/>
        </w:rPr>
      </w:pPr>
      <w:r w:rsidRPr="00DF5D81">
        <w:rPr>
          <w:lang w:val="en-AU"/>
        </w:rPr>
        <w:t xml:space="preserve">Despite the challenges caused by COVID-19, </w:t>
      </w:r>
      <w:r w:rsidRPr="00DF5D81">
        <w:rPr>
          <w:b/>
          <w:bCs/>
          <w:lang w:val="en-AU"/>
        </w:rPr>
        <w:t xml:space="preserve">the Kiribati-Australia Health Sector Program </w:t>
      </w:r>
      <w:r w:rsidRPr="00DF5D81">
        <w:rPr>
          <w:lang w:val="en-AU"/>
        </w:rPr>
        <w:t>continued to</w:t>
      </w:r>
      <w:r w:rsidR="00316B70">
        <w:rPr>
          <w:lang w:val="en-AU"/>
        </w:rPr>
        <w:t xml:space="preserve"> support the health system and </w:t>
      </w:r>
      <w:r w:rsidRPr="00DF5D81">
        <w:rPr>
          <w:lang w:val="en-AU"/>
        </w:rPr>
        <w:t xml:space="preserve">service delivery. The program </w:t>
      </w:r>
      <w:r w:rsidR="00316B70">
        <w:rPr>
          <w:lang w:val="en-AU"/>
        </w:rPr>
        <w:t xml:space="preserve">delivered a </w:t>
      </w:r>
      <w:r w:rsidR="0019454E" w:rsidRPr="005C7A9F">
        <w:rPr>
          <w:b/>
          <w:bCs/>
          <w:lang w:val="en-AU"/>
        </w:rPr>
        <w:t>multi-year Training Plan</w:t>
      </w:r>
      <w:r w:rsidR="0019454E">
        <w:rPr>
          <w:lang w:val="en-AU"/>
        </w:rPr>
        <w:t xml:space="preserve"> </w:t>
      </w:r>
      <w:r w:rsidR="00104D21">
        <w:rPr>
          <w:lang w:val="en-AU"/>
        </w:rPr>
        <w:t xml:space="preserve">to </w:t>
      </w:r>
      <w:r w:rsidR="000E050E">
        <w:rPr>
          <w:lang w:val="en-AU"/>
        </w:rPr>
        <w:t>support the</w:t>
      </w:r>
      <w:r w:rsidR="00104D21">
        <w:rPr>
          <w:lang w:val="en-AU"/>
        </w:rPr>
        <w:t xml:space="preserve"> implementation of key health services under the Ministry of Health and Medical Services’</w:t>
      </w:r>
      <w:r w:rsidR="001477F7">
        <w:rPr>
          <w:lang w:val="en-AU"/>
        </w:rPr>
        <w:t xml:space="preserve"> </w:t>
      </w:r>
      <w:r w:rsidR="000E050E" w:rsidRPr="00EB45E5">
        <w:rPr>
          <w:i/>
          <w:iCs/>
          <w:lang w:val="en-AU"/>
        </w:rPr>
        <w:t>Role Delineation Policy</w:t>
      </w:r>
      <w:r w:rsidR="000E050E">
        <w:rPr>
          <w:lang w:val="en-AU"/>
        </w:rPr>
        <w:t xml:space="preserve">. </w:t>
      </w:r>
      <w:r w:rsidR="006665ED">
        <w:rPr>
          <w:lang w:val="en-AU"/>
        </w:rPr>
        <w:t xml:space="preserve">Targeted health worker training was completed. This included the </w:t>
      </w:r>
      <w:r w:rsidR="00E716A9" w:rsidRPr="00E716A9">
        <w:rPr>
          <w:lang w:val="en-AU"/>
        </w:rPr>
        <w:t xml:space="preserve">2021 </w:t>
      </w:r>
      <w:r w:rsidR="00E716A9" w:rsidRPr="00A72EA6">
        <w:rPr>
          <w:b/>
          <w:bCs/>
          <w:lang w:val="en-AU"/>
        </w:rPr>
        <w:t>OPHELIA training program for Child and Adolescent Mental Health Services</w:t>
      </w:r>
      <w:r w:rsidR="008A68EF">
        <w:rPr>
          <w:lang w:val="en-AU"/>
        </w:rPr>
        <w:t>, which was attended</w:t>
      </w:r>
      <w:r w:rsidR="00E716A9" w:rsidRPr="00E716A9">
        <w:rPr>
          <w:lang w:val="en-AU"/>
        </w:rPr>
        <w:t xml:space="preserve"> by </w:t>
      </w:r>
      <w:r w:rsidR="008A68EF">
        <w:rPr>
          <w:lang w:val="en-AU"/>
        </w:rPr>
        <w:t>the</w:t>
      </w:r>
      <w:r w:rsidR="00E716A9" w:rsidRPr="00E716A9">
        <w:rPr>
          <w:lang w:val="en-AU"/>
        </w:rPr>
        <w:t xml:space="preserve"> </w:t>
      </w:r>
      <w:proofErr w:type="spellStart"/>
      <w:r w:rsidR="00E716A9" w:rsidRPr="00E7126C">
        <w:rPr>
          <w:i/>
          <w:iCs/>
          <w:lang w:val="en-AU"/>
        </w:rPr>
        <w:t>Te</w:t>
      </w:r>
      <w:proofErr w:type="spellEnd"/>
      <w:r w:rsidR="00E716A9" w:rsidRPr="00E7126C">
        <w:rPr>
          <w:i/>
          <w:iCs/>
          <w:lang w:val="en-AU"/>
        </w:rPr>
        <w:t xml:space="preserve"> </w:t>
      </w:r>
      <w:proofErr w:type="spellStart"/>
      <w:r w:rsidR="00E716A9" w:rsidRPr="00E7126C">
        <w:rPr>
          <w:i/>
          <w:iCs/>
          <w:lang w:val="en-AU"/>
        </w:rPr>
        <w:t>Meeria</w:t>
      </w:r>
      <w:proofErr w:type="spellEnd"/>
      <w:r w:rsidR="00E716A9" w:rsidRPr="00E716A9">
        <w:rPr>
          <w:lang w:val="en-AU"/>
        </w:rPr>
        <w:t xml:space="preserve"> medical and nursing staff.</w:t>
      </w:r>
      <w:r w:rsidR="00BE75EB">
        <w:rPr>
          <w:lang w:val="en-AU"/>
        </w:rPr>
        <w:t xml:space="preserve"> </w:t>
      </w:r>
      <w:r w:rsidR="00C71B7C">
        <w:rPr>
          <w:lang w:val="en-AU"/>
        </w:rPr>
        <w:t>The o</w:t>
      </w:r>
      <w:r w:rsidR="00C71B7C" w:rsidRPr="00E716A9">
        <w:rPr>
          <w:lang w:val="en-AU"/>
        </w:rPr>
        <w:t xml:space="preserve">ngoing operation of </w:t>
      </w:r>
      <w:proofErr w:type="spellStart"/>
      <w:r w:rsidR="00C71B7C" w:rsidRPr="00E7126C">
        <w:rPr>
          <w:i/>
          <w:iCs/>
          <w:lang w:val="en-AU"/>
        </w:rPr>
        <w:t>Kainikatikun</w:t>
      </w:r>
      <w:proofErr w:type="spellEnd"/>
      <w:r w:rsidR="00C71B7C" w:rsidRPr="00E7126C">
        <w:rPr>
          <w:i/>
          <w:iCs/>
          <w:lang w:val="en-AU"/>
        </w:rPr>
        <w:t xml:space="preserve"> </w:t>
      </w:r>
      <w:proofErr w:type="spellStart"/>
      <w:r w:rsidR="00C71B7C" w:rsidRPr="00E7126C">
        <w:rPr>
          <w:i/>
          <w:iCs/>
          <w:lang w:val="en-AU"/>
        </w:rPr>
        <w:t>te</w:t>
      </w:r>
      <w:proofErr w:type="spellEnd"/>
      <w:r w:rsidR="00C71B7C" w:rsidRPr="00E7126C">
        <w:rPr>
          <w:i/>
          <w:iCs/>
          <w:lang w:val="en-AU"/>
        </w:rPr>
        <w:t xml:space="preserve"> </w:t>
      </w:r>
      <w:proofErr w:type="spellStart"/>
      <w:r w:rsidR="00C71B7C" w:rsidRPr="00E7126C">
        <w:rPr>
          <w:i/>
          <w:iCs/>
          <w:lang w:val="en-AU"/>
        </w:rPr>
        <w:t>Marurung</w:t>
      </w:r>
      <w:proofErr w:type="spellEnd"/>
      <w:r w:rsidR="00F051C7">
        <w:rPr>
          <w:lang w:val="en-AU"/>
        </w:rPr>
        <w:t xml:space="preserve"> (</w:t>
      </w:r>
      <w:r w:rsidR="00C71B7C" w:rsidRPr="00E716A9">
        <w:rPr>
          <w:lang w:val="en-AU"/>
        </w:rPr>
        <w:t>ambulatory mental health wellness centre)</w:t>
      </w:r>
      <w:r w:rsidR="00F051C7">
        <w:rPr>
          <w:lang w:val="en-AU"/>
        </w:rPr>
        <w:t xml:space="preserve"> continued,</w:t>
      </w:r>
      <w:r w:rsidR="00C71B7C" w:rsidRPr="00E716A9">
        <w:rPr>
          <w:lang w:val="en-AU"/>
        </w:rPr>
        <w:t xml:space="preserve"> with </w:t>
      </w:r>
      <w:r w:rsidR="00C71B7C" w:rsidRPr="00A72EA6">
        <w:rPr>
          <w:b/>
          <w:bCs/>
          <w:lang w:val="en-AU"/>
        </w:rPr>
        <w:t xml:space="preserve">upgraded facilities for teaching, </w:t>
      </w:r>
      <w:proofErr w:type="gramStart"/>
      <w:r w:rsidR="00C71B7C" w:rsidRPr="00A72EA6">
        <w:rPr>
          <w:b/>
          <w:bCs/>
          <w:lang w:val="en-AU"/>
        </w:rPr>
        <w:t>training</w:t>
      </w:r>
      <w:proofErr w:type="gramEnd"/>
      <w:r w:rsidR="00C71B7C" w:rsidRPr="00A72EA6">
        <w:rPr>
          <w:b/>
          <w:bCs/>
          <w:lang w:val="en-AU"/>
        </w:rPr>
        <w:t xml:space="preserve"> and tele-psychiatry</w:t>
      </w:r>
      <w:r w:rsidR="00F051C7">
        <w:rPr>
          <w:lang w:val="en-AU"/>
        </w:rPr>
        <w:t xml:space="preserve">. </w:t>
      </w:r>
      <w:r w:rsidR="002D3C20">
        <w:rPr>
          <w:lang w:val="en-AU"/>
        </w:rPr>
        <w:t xml:space="preserve">Australia also supported strong performance of the </w:t>
      </w:r>
      <w:r w:rsidR="002A1B0B" w:rsidRPr="00E716A9">
        <w:rPr>
          <w:lang w:val="en-AU"/>
        </w:rPr>
        <w:t xml:space="preserve">Diabetic Foot Clinic and Prosthetics and Orthotics services at </w:t>
      </w:r>
      <w:proofErr w:type="spellStart"/>
      <w:r w:rsidR="002A1B0B" w:rsidRPr="00E716A9">
        <w:rPr>
          <w:lang w:val="en-AU"/>
        </w:rPr>
        <w:t>Tungaru</w:t>
      </w:r>
      <w:proofErr w:type="spellEnd"/>
      <w:r w:rsidR="002A1B0B" w:rsidRPr="00E716A9">
        <w:rPr>
          <w:lang w:val="en-AU"/>
        </w:rPr>
        <w:t xml:space="preserve"> Central Hospital, with </w:t>
      </w:r>
      <w:r w:rsidR="00EC74A8">
        <w:rPr>
          <w:lang w:val="en-AU"/>
        </w:rPr>
        <w:t xml:space="preserve">the </w:t>
      </w:r>
      <w:r w:rsidR="00F766E9">
        <w:rPr>
          <w:lang w:val="en-AU"/>
        </w:rPr>
        <w:t xml:space="preserve">program achieving </w:t>
      </w:r>
      <w:r w:rsidR="002A1B0B" w:rsidRPr="00E716A9">
        <w:rPr>
          <w:lang w:val="en-AU"/>
        </w:rPr>
        <w:t xml:space="preserve">a </w:t>
      </w:r>
      <w:r w:rsidR="00EC74A8" w:rsidRPr="002F2A5B">
        <w:rPr>
          <w:b/>
          <w:bCs/>
          <w:lang w:val="en-AU"/>
        </w:rPr>
        <w:t>significant</w:t>
      </w:r>
      <w:r w:rsidR="00EC74A8">
        <w:rPr>
          <w:lang w:val="en-AU"/>
        </w:rPr>
        <w:t xml:space="preserve"> </w:t>
      </w:r>
      <w:r w:rsidR="002A1B0B" w:rsidRPr="00A72EA6">
        <w:rPr>
          <w:b/>
          <w:bCs/>
          <w:lang w:val="en-AU"/>
        </w:rPr>
        <w:t>reduction in diabetes-related amputations</w:t>
      </w:r>
      <w:r w:rsidR="00EC74A8">
        <w:rPr>
          <w:b/>
          <w:bCs/>
          <w:lang w:val="en-AU"/>
        </w:rPr>
        <w:t xml:space="preserve"> </w:t>
      </w:r>
      <w:r w:rsidR="00EC74A8" w:rsidRPr="002F2A5B">
        <w:rPr>
          <w:lang w:val="en-AU"/>
        </w:rPr>
        <w:t xml:space="preserve">from 8.89 per 1,000 population </w:t>
      </w:r>
      <w:r w:rsidR="00EC74A8">
        <w:rPr>
          <w:lang w:val="en-AU"/>
        </w:rPr>
        <w:t>(</w:t>
      </w:r>
      <w:r w:rsidR="00EC74A8" w:rsidRPr="002F2A5B">
        <w:rPr>
          <w:lang w:val="en-AU"/>
        </w:rPr>
        <w:t>2018</w:t>
      </w:r>
      <w:r w:rsidR="00EC74A8">
        <w:rPr>
          <w:lang w:val="en-AU"/>
        </w:rPr>
        <w:t xml:space="preserve"> data)</w:t>
      </w:r>
      <w:r w:rsidR="00EC74A8" w:rsidRPr="002F2A5B">
        <w:rPr>
          <w:lang w:val="en-AU"/>
        </w:rPr>
        <w:t xml:space="preserve"> down to 7.74 per 1,000 population in 2020</w:t>
      </w:r>
      <w:r w:rsidR="00EC74A8">
        <w:rPr>
          <w:lang w:val="en-AU"/>
        </w:rPr>
        <w:t xml:space="preserve"> (latest available</w:t>
      </w:r>
      <w:r w:rsidR="00120122">
        <w:rPr>
          <w:lang w:val="en-AU"/>
        </w:rPr>
        <w:t xml:space="preserve"> data</w:t>
      </w:r>
      <w:r w:rsidR="00EC74A8">
        <w:rPr>
          <w:lang w:val="en-AU"/>
        </w:rPr>
        <w:t>)</w:t>
      </w:r>
      <w:r w:rsidR="00B036A0" w:rsidRPr="00E716A9">
        <w:rPr>
          <w:lang w:val="en-AU"/>
        </w:rPr>
        <w:t>.</w:t>
      </w:r>
      <w:r w:rsidR="008A2774" w:rsidRPr="00E716A9">
        <w:rPr>
          <w:lang w:val="en-AU"/>
        </w:rPr>
        <w:t xml:space="preserve"> </w:t>
      </w:r>
      <w:r w:rsidR="00C71B7C">
        <w:rPr>
          <w:lang w:val="en-AU"/>
        </w:rPr>
        <w:t>A</w:t>
      </w:r>
      <w:r w:rsidR="00C71B7C" w:rsidRPr="00E716A9">
        <w:rPr>
          <w:lang w:val="en-AU"/>
        </w:rPr>
        <w:t xml:space="preserve">ll outstanding </w:t>
      </w:r>
      <w:r w:rsidR="00C71B7C" w:rsidRPr="005C24DB">
        <w:rPr>
          <w:b/>
          <w:bCs/>
          <w:lang w:val="en-AU"/>
        </w:rPr>
        <w:t>emergency procurement of pharmaceutical</w:t>
      </w:r>
      <w:r w:rsidR="00B112E7">
        <w:rPr>
          <w:b/>
          <w:bCs/>
          <w:lang w:val="en-AU"/>
        </w:rPr>
        <w:t xml:space="preserve">s </w:t>
      </w:r>
      <w:r w:rsidR="00B112E7">
        <w:rPr>
          <w:lang w:val="en-AU"/>
        </w:rPr>
        <w:t xml:space="preserve">to </w:t>
      </w:r>
      <w:r w:rsidR="00C71B7C" w:rsidRPr="00E716A9">
        <w:rPr>
          <w:lang w:val="en-AU"/>
        </w:rPr>
        <w:t>address</w:t>
      </w:r>
      <w:r w:rsidR="00B947A0">
        <w:rPr>
          <w:lang w:val="en-AU"/>
        </w:rPr>
        <w:t xml:space="preserve"> pandemic-induced </w:t>
      </w:r>
      <w:r w:rsidR="00C71B7C" w:rsidRPr="00E716A9">
        <w:rPr>
          <w:lang w:val="en-AU"/>
        </w:rPr>
        <w:t>shortages</w:t>
      </w:r>
      <w:r w:rsidR="00B947A0">
        <w:rPr>
          <w:lang w:val="en-AU"/>
        </w:rPr>
        <w:t xml:space="preserve"> were</w:t>
      </w:r>
      <w:r w:rsidR="00C71B7C" w:rsidRPr="00E716A9">
        <w:rPr>
          <w:lang w:val="en-AU"/>
        </w:rPr>
        <w:t xml:space="preserve"> </w:t>
      </w:r>
      <w:r w:rsidR="00C71B7C">
        <w:rPr>
          <w:lang w:val="en-AU"/>
        </w:rPr>
        <w:t>completed during this reporting period.</w:t>
      </w:r>
    </w:p>
    <w:p w14:paraId="3DF2F5A7" w14:textId="77777777" w:rsidR="00D303FF" w:rsidRDefault="00297FD1" w:rsidP="00A556BF">
      <w:pPr>
        <w:pStyle w:val="Heading3"/>
        <w:spacing w:before="120" w:after="60" w:line="260" w:lineRule="auto"/>
      </w:pPr>
      <w:r w:rsidRPr="00D303FF">
        <w:t>Stability</w:t>
      </w:r>
    </w:p>
    <w:p w14:paraId="0B02A24E" w14:textId="74C8CAA4" w:rsidR="00A26299" w:rsidRPr="00991859" w:rsidRDefault="00E8783F" w:rsidP="00A556BF">
      <w:pPr>
        <w:autoSpaceDE w:val="0"/>
        <w:autoSpaceDN w:val="0"/>
        <w:spacing w:line="260" w:lineRule="auto"/>
      </w:pPr>
      <w:r>
        <w:t>Australia continued to support improved education outcomes. Our partnership with Kiribati’s Ministry of Education (</w:t>
      </w:r>
      <w:proofErr w:type="spellStart"/>
      <w:r>
        <w:t>MoE</w:t>
      </w:r>
      <w:proofErr w:type="spellEnd"/>
      <w:r>
        <w:t xml:space="preserve">) through the </w:t>
      </w:r>
      <w:r w:rsidR="00A64C8D" w:rsidRPr="00991859">
        <w:t>Kiribati Education Improvement Program</w:t>
      </w:r>
      <w:r w:rsidR="00A64C8D" w:rsidRPr="00DF5D81">
        <w:rPr>
          <w:b/>
          <w:bCs/>
          <w:i/>
          <w:iCs/>
        </w:rPr>
        <w:t xml:space="preserve"> </w:t>
      </w:r>
      <w:r w:rsidR="00A64C8D" w:rsidRPr="00DF5D81">
        <w:t>(KEIP,</w:t>
      </w:r>
      <w:r w:rsidR="00F55329">
        <w:t xml:space="preserve"> </w:t>
      </w:r>
      <w:r w:rsidR="00370898">
        <w:t>$8</w:t>
      </w:r>
      <w:r w:rsidR="00EB45E5">
        <w:t>.</w:t>
      </w:r>
      <w:r w:rsidR="00370898">
        <w:t>9 million, 2021-22</w:t>
      </w:r>
      <w:r w:rsidR="00A64C8D" w:rsidRPr="00DF5D81">
        <w:t>)</w:t>
      </w:r>
      <w:r w:rsidR="005B2086">
        <w:t xml:space="preserve"> focussed on </w:t>
      </w:r>
      <w:r w:rsidR="005B2086" w:rsidRPr="00991859">
        <w:rPr>
          <w:b/>
          <w:bCs/>
        </w:rPr>
        <w:t xml:space="preserve">implementation of the national Educational Sector Strategic Plan </w:t>
      </w:r>
      <w:r w:rsidR="00A64C8D" w:rsidRPr="00991859">
        <w:rPr>
          <w:b/>
          <w:bCs/>
        </w:rPr>
        <w:t>2020-2023</w:t>
      </w:r>
      <w:r w:rsidR="00A64C8D" w:rsidRPr="00DF5D81">
        <w:t xml:space="preserve">. </w:t>
      </w:r>
      <w:r w:rsidR="002F5754">
        <w:t>COVID</w:t>
      </w:r>
      <w:r w:rsidR="00F55620">
        <w:t>-1</w:t>
      </w:r>
      <w:r w:rsidR="00B72EB6">
        <w:t xml:space="preserve">9 travel restrictions and lockdowns causing school closures posed a significant challenge, including delays to in-country adviser support. </w:t>
      </w:r>
      <w:r w:rsidR="00827AE9">
        <w:t xml:space="preserve">Despite these challenges, COVID-19 presented opportunities to improve processes and refocus on finding new ways to work collaboratively and effectively with KEIP and other </w:t>
      </w:r>
      <w:r w:rsidR="00602675">
        <w:t>p</w:t>
      </w:r>
      <w:r w:rsidR="00827AE9">
        <w:t xml:space="preserve">artners. </w:t>
      </w:r>
      <w:r w:rsidR="003F0008" w:rsidRPr="003904C5">
        <w:t>A key milestone for Kiribati</w:t>
      </w:r>
      <w:r w:rsidR="00B74DE0">
        <w:t xml:space="preserve"> during this reporting period</w:t>
      </w:r>
      <w:r w:rsidR="003F0008" w:rsidRPr="003904C5">
        <w:t xml:space="preserve"> was the </w:t>
      </w:r>
      <w:r w:rsidR="003F0008" w:rsidRPr="00B74DE0">
        <w:rPr>
          <w:b/>
          <w:bCs/>
        </w:rPr>
        <w:t>launch of the Teacher English Language Proficiency Assessment</w:t>
      </w:r>
      <w:r w:rsidR="003D4264">
        <w:rPr>
          <w:b/>
          <w:bCs/>
        </w:rPr>
        <w:t>,</w:t>
      </w:r>
      <w:r w:rsidR="003F0008" w:rsidRPr="00B74DE0">
        <w:rPr>
          <w:b/>
          <w:bCs/>
        </w:rPr>
        <w:t xml:space="preserve"> </w:t>
      </w:r>
      <w:r w:rsidR="003F0008" w:rsidRPr="003904C5">
        <w:t xml:space="preserve">which is now managed by </w:t>
      </w:r>
      <w:r w:rsidR="003F0008">
        <w:t xml:space="preserve">the </w:t>
      </w:r>
      <w:proofErr w:type="spellStart"/>
      <w:r w:rsidR="001B74E7">
        <w:t>MoE</w:t>
      </w:r>
      <w:proofErr w:type="spellEnd"/>
      <w:r w:rsidR="003F0008">
        <w:t>,</w:t>
      </w:r>
      <w:r w:rsidR="003F0008" w:rsidRPr="003904C5">
        <w:t xml:space="preserve"> including the first ever </w:t>
      </w:r>
      <w:r w:rsidR="00F55329">
        <w:t>appointment of</w:t>
      </w:r>
      <w:r w:rsidR="003F0008" w:rsidRPr="003904C5">
        <w:t xml:space="preserve"> local assessors to support teachers</w:t>
      </w:r>
      <w:r w:rsidR="009C3090">
        <w:t>’</w:t>
      </w:r>
      <w:r w:rsidR="003F0008" w:rsidRPr="003904C5">
        <w:t xml:space="preserve"> English language proficiency skills.</w:t>
      </w:r>
      <w:r w:rsidR="00A64C8D" w:rsidRPr="00DF5D81">
        <w:t xml:space="preserve"> </w:t>
      </w:r>
      <w:r w:rsidR="003904C5" w:rsidRPr="003904C5">
        <w:t>During COVID-19 lockdown, KEIP provided support</w:t>
      </w:r>
      <w:r w:rsidR="00DA3B03">
        <w:t xml:space="preserve"> for</w:t>
      </w:r>
      <w:r w:rsidR="003904C5" w:rsidRPr="003904C5">
        <w:t xml:space="preserve"> </w:t>
      </w:r>
      <w:r w:rsidR="003904C5" w:rsidRPr="00B74DE0">
        <w:rPr>
          <w:b/>
          <w:bCs/>
        </w:rPr>
        <w:t>continuity of teaching and learning</w:t>
      </w:r>
      <w:r w:rsidR="00B5630F">
        <w:rPr>
          <w:b/>
          <w:bCs/>
        </w:rPr>
        <w:t xml:space="preserve"> </w:t>
      </w:r>
      <w:r w:rsidR="00DA3B03" w:rsidRPr="00DA3B03">
        <w:t xml:space="preserve">by supporting </w:t>
      </w:r>
      <w:proofErr w:type="spellStart"/>
      <w:r w:rsidR="001B74E7">
        <w:t>MoE</w:t>
      </w:r>
      <w:proofErr w:type="spellEnd"/>
      <w:r w:rsidR="00DA3B03" w:rsidRPr="00DA3B03">
        <w:t xml:space="preserve"> staff</w:t>
      </w:r>
      <w:r w:rsidR="00DA3B03">
        <w:rPr>
          <w:b/>
          <w:bCs/>
        </w:rPr>
        <w:t xml:space="preserve"> </w:t>
      </w:r>
      <w:r w:rsidR="00827AE9" w:rsidRPr="00EB168F">
        <w:t>and teachers</w:t>
      </w:r>
      <w:r w:rsidR="00827AE9">
        <w:rPr>
          <w:b/>
          <w:bCs/>
        </w:rPr>
        <w:t xml:space="preserve"> </w:t>
      </w:r>
      <w:r w:rsidR="001C3FCD" w:rsidRPr="00991859">
        <w:t xml:space="preserve">to use ICT devices with preloaded resources to meet learning and teaching needs across Kiribati. A data portal was also developed to centralise information from various </w:t>
      </w:r>
      <w:proofErr w:type="spellStart"/>
      <w:r w:rsidR="001C3FCD" w:rsidRPr="00991859">
        <w:t>MoE</w:t>
      </w:r>
      <w:proofErr w:type="spellEnd"/>
      <w:r w:rsidR="001C3FCD" w:rsidRPr="00991859">
        <w:t xml:space="preserve"> enrolment and results databases</w:t>
      </w:r>
      <w:r w:rsidR="00A26299" w:rsidRPr="00991859">
        <w:t>.</w:t>
      </w:r>
    </w:p>
    <w:p w14:paraId="6A71E6F3" w14:textId="657192B2" w:rsidR="00827AE9" w:rsidRDefault="00827AE9" w:rsidP="00A556BF">
      <w:pPr>
        <w:autoSpaceDE w:val="0"/>
        <w:autoSpaceDN w:val="0"/>
        <w:spacing w:line="260" w:lineRule="auto"/>
        <w:rPr>
          <w:rFonts w:asciiTheme="majorHAnsi" w:hAnsiTheme="majorHAnsi" w:cstheme="majorHAnsi"/>
        </w:rPr>
      </w:pPr>
      <w:r>
        <w:lastRenderedPageBreak/>
        <w:t xml:space="preserve">Australia’s education sector support also focused on improving </w:t>
      </w:r>
      <w:r w:rsidR="00F55329">
        <w:t>access to</w:t>
      </w:r>
      <w:r w:rsidR="00EB45E5">
        <w:t xml:space="preserve"> literacy</w:t>
      </w:r>
      <w:r w:rsidR="00F55329">
        <w:t xml:space="preserve"> </w:t>
      </w:r>
      <w:r>
        <w:t>resources</w:t>
      </w:r>
      <w:r w:rsidR="00EB45E5">
        <w:t>,</w:t>
      </w:r>
      <w:r>
        <w:t xml:space="preserve"> including reading books</w:t>
      </w:r>
      <w:r w:rsidR="00EB45E5">
        <w:t>,</w:t>
      </w:r>
      <w:r>
        <w:t xml:space="preserve"> in collaboration with</w:t>
      </w:r>
      <w:r w:rsidR="004F6698">
        <w:t xml:space="preserve"> the non-profit organisation</w:t>
      </w:r>
      <w:r>
        <w:t xml:space="preserve"> </w:t>
      </w:r>
      <w:r w:rsidRPr="007455D7">
        <w:rPr>
          <w:i/>
          <w:iCs/>
        </w:rPr>
        <w:t>Library for All</w:t>
      </w:r>
      <w:r w:rsidR="00F55329">
        <w:t>,</w:t>
      </w:r>
      <w:r>
        <w:t xml:space="preserve"> and local writers. The </w:t>
      </w:r>
      <w:r>
        <w:rPr>
          <w:b/>
          <w:bCs/>
        </w:rPr>
        <w:t>rehabilitation of three schools on outer islands and</w:t>
      </w:r>
      <w:r w:rsidR="00EB45E5">
        <w:rPr>
          <w:b/>
          <w:bCs/>
        </w:rPr>
        <w:t xml:space="preserve"> construction of</w:t>
      </w:r>
      <w:r>
        <w:rPr>
          <w:b/>
          <w:bCs/>
        </w:rPr>
        <w:t xml:space="preserve"> a new National Examination building progressed, with the climate-smart design meeting the national infrastructure standards for education facilities, </w:t>
      </w:r>
      <w:r>
        <w:t>a</w:t>
      </w:r>
      <w:r w:rsidR="00EB45E5">
        <w:t>s well as</w:t>
      </w:r>
      <w:r>
        <w:t xml:space="preserve"> </w:t>
      </w:r>
      <w:proofErr w:type="spellStart"/>
      <w:r>
        <w:t>MoE’s</w:t>
      </w:r>
      <w:proofErr w:type="spellEnd"/>
      <w:r>
        <w:t xml:space="preserve"> COVID-19 response plans. </w:t>
      </w:r>
      <w:r w:rsidR="007452D0">
        <w:t>After the Government of Kiribati (</w:t>
      </w:r>
      <w:proofErr w:type="spellStart"/>
      <w:r w:rsidR="007452D0">
        <w:t>GoK</w:t>
      </w:r>
      <w:proofErr w:type="spellEnd"/>
      <w:r w:rsidR="007452D0">
        <w:t xml:space="preserve">) declared a state of drought disaster, a </w:t>
      </w:r>
      <w:r>
        <w:t xml:space="preserve">drought-ready water, </w:t>
      </w:r>
      <w:proofErr w:type="gramStart"/>
      <w:r>
        <w:t>sanitation</w:t>
      </w:r>
      <w:proofErr w:type="gramEnd"/>
      <w:r>
        <w:t xml:space="preserve"> and hygiene (WASH) </w:t>
      </w:r>
      <w:r w:rsidR="001A21F7">
        <w:t>upgrade</w:t>
      </w:r>
      <w:r>
        <w:t xml:space="preserve"> was undertaken at all primary schools on South Tarawa</w:t>
      </w:r>
      <w:r w:rsidR="005831C5">
        <w:t xml:space="preserve"> with Australian support</w:t>
      </w:r>
      <w:r>
        <w:t>.</w:t>
      </w:r>
      <w:r>
        <w:rPr>
          <w:rFonts w:asciiTheme="majorHAnsi" w:hAnsiTheme="majorHAnsi" w:cstheme="majorHAnsi"/>
        </w:rPr>
        <w:t xml:space="preserve"> </w:t>
      </w:r>
    </w:p>
    <w:p w14:paraId="584D2838" w14:textId="3ADBA0FF" w:rsidR="00A64C8D" w:rsidRPr="00DF5D81" w:rsidRDefault="009F2161" w:rsidP="00A556BF">
      <w:pPr>
        <w:spacing w:line="260" w:lineRule="auto"/>
        <w:rPr>
          <w:b/>
          <w:bCs/>
        </w:rPr>
      </w:pPr>
      <w:r>
        <w:t xml:space="preserve">In </w:t>
      </w:r>
      <w:r w:rsidR="007109F4">
        <w:t>2021-22</w:t>
      </w:r>
      <w:r w:rsidR="00A64C8D" w:rsidRPr="00DF5D81">
        <w:t xml:space="preserve"> </w:t>
      </w:r>
      <w:r w:rsidR="00F55329">
        <w:t>Australia</w:t>
      </w:r>
      <w:r w:rsidR="00F221D8">
        <w:t xml:space="preserve"> also</w:t>
      </w:r>
      <w:r w:rsidR="00A64C8D" w:rsidRPr="00DF5D81">
        <w:t xml:space="preserve"> </w:t>
      </w:r>
      <w:r w:rsidR="00A64C8D" w:rsidRPr="00DF5D81">
        <w:rPr>
          <w:b/>
          <w:bCs/>
        </w:rPr>
        <w:t>provided $</w:t>
      </w:r>
      <w:r w:rsidR="009252CB">
        <w:rPr>
          <w:b/>
          <w:bCs/>
        </w:rPr>
        <w:t>2</w:t>
      </w:r>
      <w:r w:rsidR="0009041B">
        <w:rPr>
          <w:b/>
          <w:bCs/>
        </w:rPr>
        <w:t>.69</w:t>
      </w:r>
      <w:r w:rsidR="00A64C8D" w:rsidRPr="00DF5D81">
        <w:rPr>
          <w:b/>
          <w:bCs/>
        </w:rPr>
        <w:t xml:space="preserve"> million in budget support</w:t>
      </w:r>
      <w:r w:rsidR="007C63CE">
        <w:rPr>
          <w:b/>
          <w:bCs/>
        </w:rPr>
        <w:t xml:space="preserve"> for health, </w:t>
      </w:r>
      <w:proofErr w:type="gramStart"/>
      <w:r w:rsidR="007C63CE">
        <w:rPr>
          <w:b/>
          <w:bCs/>
        </w:rPr>
        <w:t>gender</w:t>
      </w:r>
      <w:proofErr w:type="gramEnd"/>
      <w:r w:rsidR="007C63CE">
        <w:rPr>
          <w:b/>
          <w:bCs/>
        </w:rPr>
        <w:t xml:space="preserve"> and disability</w:t>
      </w:r>
      <w:r w:rsidR="00A64C8D" w:rsidRPr="00DF5D81">
        <w:rPr>
          <w:b/>
          <w:bCs/>
        </w:rPr>
        <w:t xml:space="preserve"> </w:t>
      </w:r>
      <w:r>
        <w:rPr>
          <w:b/>
          <w:bCs/>
        </w:rPr>
        <w:t>in addition to $</w:t>
      </w:r>
      <w:r w:rsidR="007C63CE">
        <w:rPr>
          <w:b/>
          <w:bCs/>
        </w:rPr>
        <w:t>3</w:t>
      </w:r>
      <w:r w:rsidR="007243DD">
        <w:rPr>
          <w:b/>
          <w:bCs/>
        </w:rPr>
        <w:t> </w:t>
      </w:r>
      <w:r w:rsidR="007C63CE">
        <w:rPr>
          <w:b/>
          <w:bCs/>
        </w:rPr>
        <w:t xml:space="preserve">million in budget support </w:t>
      </w:r>
      <w:r w:rsidR="00A64C8D" w:rsidRPr="00DF5D81">
        <w:rPr>
          <w:b/>
          <w:bCs/>
        </w:rPr>
        <w:t>through t</w:t>
      </w:r>
      <w:r w:rsidR="00A64C8D" w:rsidRPr="005672CB">
        <w:rPr>
          <w:b/>
          <w:bCs/>
        </w:rPr>
        <w:t>he</w:t>
      </w:r>
      <w:r w:rsidR="00861991" w:rsidRPr="00991859">
        <w:rPr>
          <w:b/>
          <w:bCs/>
        </w:rPr>
        <w:t xml:space="preserve"> Pacific </w:t>
      </w:r>
      <w:r w:rsidR="00A64C8D" w:rsidRPr="005672CB">
        <w:rPr>
          <w:b/>
          <w:bCs/>
        </w:rPr>
        <w:t>C</w:t>
      </w:r>
      <w:r w:rsidR="00A64C8D" w:rsidRPr="00DF5D81">
        <w:rPr>
          <w:b/>
          <w:bCs/>
        </w:rPr>
        <w:t>OVID-19 Response Package</w:t>
      </w:r>
      <w:r w:rsidR="00A64C8D" w:rsidRPr="00DF5D81">
        <w:t xml:space="preserve">. Our </w:t>
      </w:r>
      <w:r w:rsidR="00861991">
        <w:t xml:space="preserve">budget support contributed to </w:t>
      </w:r>
      <w:r w:rsidR="00A64C8D" w:rsidRPr="00DF5D81">
        <w:rPr>
          <w:b/>
          <w:bCs/>
        </w:rPr>
        <w:t>Kiribati’s Unemployment Social Benefit Scheme</w:t>
      </w:r>
      <w:r w:rsidR="00A64C8D" w:rsidRPr="00DF5D81">
        <w:t>, which</w:t>
      </w:r>
      <w:r w:rsidR="00A64C8D" w:rsidRPr="00DF5D81" w:rsidDel="00FF05EF">
        <w:t xml:space="preserve"> </w:t>
      </w:r>
      <w:r w:rsidR="00A64C8D" w:rsidRPr="00DF5D81">
        <w:t xml:space="preserve">helps protect women, </w:t>
      </w:r>
      <w:proofErr w:type="gramStart"/>
      <w:r w:rsidR="00A64C8D" w:rsidRPr="00DF5D81">
        <w:t>girls</w:t>
      </w:r>
      <w:proofErr w:type="gramEnd"/>
      <w:r w:rsidR="00A64C8D" w:rsidRPr="00DF5D81">
        <w:t xml:space="preserve"> and vulnerable groups from the economic effects of COVID-19. </w:t>
      </w:r>
      <w:r w:rsidR="00F221D8">
        <w:t>The Unemployment Social Benefit Scheme</w:t>
      </w:r>
      <w:r w:rsidR="00A64C8D" w:rsidRPr="00DF5D81">
        <w:t xml:space="preserve"> ha</w:t>
      </w:r>
      <w:r w:rsidR="00967158">
        <w:t>s</w:t>
      </w:r>
      <w:r w:rsidR="00A64C8D" w:rsidRPr="00DF5D81">
        <w:t xml:space="preserve"> 5</w:t>
      </w:r>
      <w:r w:rsidR="00DB590B">
        <w:t>2</w:t>
      </w:r>
      <w:r w:rsidR="00A64C8D" w:rsidRPr="00DF5D81">
        <w:t>,000 beneficiaries</w:t>
      </w:r>
      <w:r w:rsidR="00967158">
        <w:t xml:space="preserve"> (as of </w:t>
      </w:r>
      <w:r w:rsidR="00EF6B97">
        <w:br/>
      </w:r>
      <w:r w:rsidR="00967158">
        <w:t>June 2022</w:t>
      </w:r>
      <w:r w:rsidR="00DB590B">
        <w:t>)</w:t>
      </w:r>
      <w:r w:rsidR="001C117F">
        <w:t>, close to half of the total population of Kiribati</w:t>
      </w:r>
      <w:r w:rsidR="00A64C8D" w:rsidRPr="00DF5D81">
        <w:t>.</w:t>
      </w:r>
    </w:p>
    <w:p w14:paraId="10AA5349" w14:textId="5413071F" w:rsidR="00236222" w:rsidRPr="00DF5D81" w:rsidRDefault="00A64C8D" w:rsidP="00A556BF">
      <w:pPr>
        <w:spacing w:line="260" w:lineRule="auto"/>
      </w:pPr>
      <w:r w:rsidRPr="00DF5D81">
        <w:t xml:space="preserve">Australia </w:t>
      </w:r>
      <w:r w:rsidR="009F1CEB">
        <w:t>is also helping address the high incidence of domestic violence</w:t>
      </w:r>
      <w:r w:rsidR="00861991">
        <w:t xml:space="preserve"> in Kiribati</w:t>
      </w:r>
      <w:r w:rsidR="00120122">
        <w:t>.</w:t>
      </w:r>
      <w:r w:rsidR="0076702C">
        <w:rPr>
          <w:rStyle w:val="FootnoteReference"/>
        </w:rPr>
        <w:footnoteReference w:id="1"/>
      </w:r>
      <w:r w:rsidR="00FE6C2E">
        <w:t xml:space="preserve"> </w:t>
      </w:r>
      <w:r w:rsidR="005D607C">
        <w:t xml:space="preserve">Core support to the </w:t>
      </w:r>
      <w:r w:rsidR="00FE6C2E" w:rsidRPr="00EB168F">
        <w:rPr>
          <w:b/>
          <w:bCs/>
        </w:rPr>
        <w:t>Kiribati Women and Children Support Centre (KWCSC</w:t>
      </w:r>
      <w:r w:rsidR="00FE6C2E">
        <w:t xml:space="preserve">) </w:t>
      </w:r>
      <w:r w:rsidR="005D607C">
        <w:t xml:space="preserve">enabled them to </w:t>
      </w:r>
      <w:r w:rsidR="00FE6C2E">
        <w:t xml:space="preserve">sign the first Memorandum of Understanding </w:t>
      </w:r>
      <w:r w:rsidR="00172C91">
        <w:t xml:space="preserve">with </w:t>
      </w:r>
      <w:r w:rsidR="00FE6C2E">
        <w:t xml:space="preserve">the Kiribati Police Service to improve service provision for </w:t>
      </w:r>
      <w:r w:rsidR="00F221D8">
        <w:t>domestic violence</w:t>
      </w:r>
      <w:r w:rsidR="00FE6C2E">
        <w:t xml:space="preserve"> survivors and opened a new KWCSC branch in Kiritimati Island (Line and Phoenix Group). </w:t>
      </w:r>
      <w:r w:rsidR="00C473BA">
        <w:t xml:space="preserve">KWCSC has </w:t>
      </w:r>
      <w:r w:rsidR="00C473BA" w:rsidRPr="00C473BA">
        <w:rPr>
          <w:b/>
          <w:bCs/>
        </w:rPr>
        <w:t>expanded the number of services offered</w:t>
      </w:r>
      <w:r w:rsidR="00BC01CD">
        <w:t xml:space="preserve"> to include</w:t>
      </w:r>
      <w:r w:rsidR="00C473BA">
        <w:t xml:space="preserve"> counselling, legal advice and support, case management, 24/7 telephone helpline, survivors</w:t>
      </w:r>
      <w:r w:rsidR="00EB45E5">
        <w:t>’</w:t>
      </w:r>
      <w:r w:rsidR="00C473BA">
        <w:t xml:space="preserve"> support fund</w:t>
      </w:r>
      <w:r w:rsidR="00EB45E5">
        <w:t>s and</w:t>
      </w:r>
      <w:r w:rsidR="00C473BA">
        <w:t xml:space="preserve"> shelter</w:t>
      </w:r>
      <w:r w:rsidR="00EB45E5">
        <w:t>.</w:t>
      </w:r>
    </w:p>
    <w:p w14:paraId="40269C30" w14:textId="0F55EB04" w:rsidR="00A64C8D" w:rsidRDefault="00A64C8D" w:rsidP="00A556BF">
      <w:pPr>
        <w:spacing w:line="260" w:lineRule="auto"/>
        <w:rPr>
          <w:lang w:val="en-AU"/>
        </w:rPr>
      </w:pPr>
      <w:r w:rsidRPr="00DF5D81">
        <w:t>Australia’s development cooperation also</w:t>
      </w:r>
      <w:r w:rsidRPr="00DF5D81">
        <w:rPr>
          <w:lang w:val="en-AU"/>
        </w:rPr>
        <w:t xml:space="preserve"> improved food security. L</w:t>
      </w:r>
      <w:r w:rsidR="009065EA">
        <w:rPr>
          <w:lang w:val="en-AU"/>
        </w:rPr>
        <w:t xml:space="preserve">ocal NGO </w:t>
      </w:r>
      <w:r w:rsidR="009065EA" w:rsidRPr="00991859">
        <w:rPr>
          <w:lang w:val="en-AU"/>
        </w:rPr>
        <w:t>L</w:t>
      </w:r>
      <w:r w:rsidRPr="00991859">
        <w:rPr>
          <w:lang w:val="en-AU"/>
        </w:rPr>
        <w:t>ive and Learn</w:t>
      </w:r>
      <w:r w:rsidRPr="00DF5D81">
        <w:rPr>
          <w:lang w:val="en-AU"/>
        </w:rPr>
        <w:t xml:space="preserve">, in partnership with </w:t>
      </w:r>
      <w:r w:rsidR="009065EA">
        <w:rPr>
          <w:lang w:val="en-AU"/>
        </w:rPr>
        <w:t xml:space="preserve">SPC and </w:t>
      </w:r>
      <w:r w:rsidRPr="00DF5D81">
        <w:rPr>
          <w:lang w:val="en-AU"/>
        </w:rPr>
        <w:t>the Australian Centre for International Agricultural Research, implemented the</w:t>
      </w:r>
      <w:r w:rsidRPr="00DF5D81">
        <w:rPr>
          <w:b/>
          <w:bCs/>
          <w:lang w:val="en-AU"/>
        </w:rPr>
        <w:t xml:space="preserve"> Kiribati Food Futures Initiative to address the food security challenges</w:t>
      </w:r>
      <w:r w:rsidRPr="00DF5D81">
        <w:rPr>
          <w:lang w:val="en-AU"/>
        </w:rPr>
        <w:t xml:space="preserve"> brought about by </w:t>
      </w:r>
      <w:r w:rsidRPr="00DF5D81">
        <w:t>climate change, poor soil quality</w:t>
      </w:r>
      <w:r w:rsidR="00314F9D">
        <w:t>, drought</w:t>
      </w:r>
      <w:r w:rsidRPr="00DF5D81">
        <w:t xml:space="preserve"> and lack of arable land. </w:t>
      </w:r>
      <w:r w:rsidR="00EA4197">
        <w:t>In addition to establishing nurseries and compost houses, t</w:t>
      </w:r>
      <w:r w:rsidRPr="00DF5D81">
        <w:t xml:space="preserve">he program </w:t>
      </w:r>
      <w:r w:rsidR="009F26DD">
        <w:t>has delivered</w:t>
      </w:r>
      <w:r w:rsidRPr="00DF5D81">
        <w:t xml:space="preserve"> </w:t>
      </w:r>
      <w:r w:rsidR="00EB45E5">
        <w:t xml:space="preserve">90 </w:t>
      </w:r>
      <w:r w:rsidR="00EA4197">
        <w:t xml:space="preserve">Australian </w:t>
      </w:r>
      <w:proofErr w:type="spellStart"/>
      <w:r w:rsidRPr="00DF5D81">
        <w:t>Foodcube</w:t>
      </w:r>
      <w:proofErr w:type="spellEnd"/>
      <w:r w:rsidRPr="00DF5D81">
        <w:t xml:space="preserve"> planter beds to boost plant growth at</w:t>
      </w:r>
      <w:r w:rsidR="00F221D8">
        <w:t xml:space="preserve"> </w:t>
      </w:r>
      <w:r w:rsidR="00EB45E5">
        <w:t>11</w:t>
      </w:r>
      <w:r w:rsidRPr="00DF5D81">
        <w:t xml:space="preserve"> community garden sites in South</w:t>
      </w:r>
      <w:r w:rsidR="009F26DD">
        <w:t xml:space="preserve"> Tarawa,</w:t>
      </w:r>
      <w:r w:rsidRPr="00DF5D81">
        <w:t xml:space="preserve"> North Tarawa and</w:t>
      </w:r>
      <w:r w:rsidR="00F221D8">
        <w:t xml:space="preserve"> on</w:t>
      </w:r>
      <w:r w:rsidRPr="00DF5D81">
        <w:t xml:space="preserve"> </w:t>
      </w:r>
      <w:proofErr w:type="spellStart"/>
      <w:r w:rsidRPr="00DF5D81">
        <w:t>Abaiang</w:t>
      </w:r>
      <w:proofErr w:type="spellEnd"/>
      <w:r w:rsidRPr="00DF5D81">
        <w:t xml:space="preserve"> island.</w:t>
      </w:r>
      <w:r w:rsidR="00992E68" w:rsidRPr="00DF5D81" w:rsidDel="00992E68">
        <w:rPr>
          <w:lang w:val="en-AU"/>
        </w:rPr>
        <w:t xml:space="preserve"> </w:t>
      </w:r>
    </w:p>
    <w:p w14:paraId="4264D225" w14:textId="272C2ED3" w:rsidR="00423B1B" w:rsidRPr="002F2A5B" w:rsidRDefault="00423B1B" w:rsidP="00A556BF">
      <w:pPr>
        <w:spacing w:line="260" w:lineRule="auto"/>
      </w:pPr>
      <w:r>
        <w:rPr>
          <w:lang w:val="en-AU"/>
        </w:rPr>
        <w:t>Australia has committed $2.65 million to support Kiribati to respond to the impacts of severe and prolonged drought. Our drought response package will be implemented through 2022-23</w:t>
      </w:r>
      <w:r w:rsidR="00980B57">
        <w:rPr>
          <w:lang w:val="en-AU"/>
        </w:rPr>
        <w:t xml:space="preserve"> and includes the </w:t>
      </w:r>
      <w:r w:rsidR="00980B57" w:rsidRPr="00991859">
        <w:rPr>
          <w:b/>
          <w:bCs/>
          <w:lang w:val="en-AU"/>
        </w:rPr>
        <w:t>installation of a new desalination plant in South Tarawa and low-tech solar distillation units on outer islands</w:t>
      </w:r>
      <w:r w:rsidR="00980B57">
        <w:rPr>
          <w:lang w:val="en-AU"/>
        </w:rPr>
        <w:t>. We will also provide technical assistance in water and engineering and assist the Government of Kiribati to strengthen its disaster management systems.</w:t>
      </w:r>
    </w:p>
    <w:p w14:paraId="0B17EEFD" w14:textId="1AF71E00" w:rsidR="008C1F60" w:rsidRPr="00216C55" w:rsidRDefault="00297FD1" w:rsidP="00A556BF">
      <w:pPr>
        <w:pStyle w:val="Heading3"/>
        <w:spacing w:before="120" w:after="60" w:line="260" w:lineRule="auto"/>
        <w:contextualSpacing w:val="0"/>
      </w:pPr>
      <w:r w:rsidRPr="00216C55">
        <w:t>Economic recovery</w:t>
      </w:r>
    </w:p>
    <w:p w14:paraId="71325A94" w14:textId="5E47C152" w:rsidR="001B5A4A" w:rsidRPr="00991859" w:rsidRDefault="00980B57" w:rsidP="00A556BF">
      <w:pPr>
        <w:spacing w:line="260" w:lineRule="auto"/>
        <w:rPr>
          <w:b/>
          <w:bCs/>
        </w:rPr>
      </w:pPr>
      <w:r>
        <w:t>Through direct financial support and the provision of technical assistance</w:t>
      </w:r>
      <w:r w:rsidR="00861991">
        <w:t>,</w:t>
      </w:r>
      <w:r>
        <w:t xml:space="preserve"> Australia continue</w:t>
      </w:r>
      <w:r w:rsidR="00F55620">
        <w:t>s</w:t>
      </w:r>
      <w:r>
        <w:t xml:space="preserve"> to support </w:t>
      </w:r>
      <w:r w:rsidR="00B807AD">
        <w:t xml:space="preserve">Kiribati to </w:t>
      </w:r>
      <w:r w:rsidR="00B807AD" w:rsidRPr="00991859">
        <w:rPr>
          <w:b/>
          <w:bCs/>
        </w:rPr>
        <w:t>promote economic recovery, deliver inclusive growth and improve livelihoods</w:t>
      </w:r>
      <w:r w:rsidR="00B807AD">
        <w:t xml:space="preserve">. </w:t>
      </w:r>
      <w:r w:rsidR="00717BC2">
        <w:t xml:space="preserve">COVID-19 pandemic response was a key focus </w:t>
      </w:r>
      <w:r w:rsidR="00AC2A4A">
        <w:t xml:space="preserve">for </w:t>
      </w:r>
      <w:r w:rsidR="00F221D8">
        <w:t>the Government of Kiribati</w:t>
      </w:r>
      <w:r w:rsidR="00717BC2">
        <w:t xml:space="preserve"> over this reporting period, which resulted in some activities under the economic reform agenda being delayed. Despite these challenges some strong achievements were realised. The </w:t>
      </w:r>
      <w:r w:rsidR="00D216D3">
        <w:t xml:space="preserve">Australian-funded </w:t>
      </w:r>
      <w:r w:rsidR="00717BC2">
        <w:t xml:space="preserve">Director for National Economic Planning Office deployed in-country to lead </w:t>
      </w:r>
      <w:r w:rsidR="00717BC2" w:rsidRPr="00991859">
        <w:rPr>
          <w:b/>
          <w:bCs/>
        </w:rPr>
        <w:t>formulation of</w:t>
      </w:r>
      <w:r w:rsidR="006B2156" w:rsidRPr="00991859">
        <w:rPr>
          <w:b/>
          <w:bCs/>
        </w:rPr>
        <w:t xml:space="preserve"> the</w:t>
      </w:r>
      <w:r w:rsidR="00717BC2" w:rsidRPr="00991859">
        <w:rPr>
          <w:b/>
          <w:bCs/>
        </w:rPr>
        <w:t xml:space="preserve"> 2022 Recurrent/Development Budget</w:t>
      </w:r>
      <w:r w:rsidR="00B76224" w:rsidRPr="00991859">
        <w:rPr>
          <w:b/>
          <w:bCs/>
        </w:rPr>
        <w:t xml:space="preserve">, </w:t>
      </w:r>
      <w:r w:rsidR="00717BC2" w:rsidRPr="00991859">
        <w:rPr>
          <w:b/>
          <w:bCs/>
        </w:rPr>
        <w:t>development of</w:t>
      </w:r>
      <w:r w:rsidR="007B5B5C" w:rsidRPr="00991859">
        <w:rPr>
          <w:b/>
          <w:bCs/>
        </w:rPr>
        <w:t xml:space="preserve"> the</w:t>
      </w:r>
      <w:r w:rsidR="00717BC2" w:rsidRPr="00991859">
        <w:rPr>
          <w:b/>
          <w:bCs/>
        </w:rPr>
        <w:t xml:space="preserve"> 2022 Fiscal Strategy Policy </w:t>
      </w:r>
      <w:r w:rsidR="00891106" w:rsidRPr="00991859">
        <w:rPr>
          <w:b/>
          <w:bCs/>
        </w:rPr>
        <w:t>and</w:t>
      </w:r>
      <w:r w:rsidR="00717BC2" w:rsidRPr="00991859">
        <w:rPr>
          <w:b/>
          <w:bCs/>
        </w:rPr>
        <w:t xml:space="preserve"> adoption of a Revenue Equalization Reserve Fund withdrawal rule</w:t>
      </w:r>
      <w:r w:rsidR="00B972EE" w:rsidRPr="00991859">
        <w:rPr>
          <w:b/>
          <w:bCs/>
        </w:rPr>
        <w:t>-</w:t>
      </w:r>
      <w:r w:rsidR="00717BC2" w:rsidRPr="00991859">
        <w:rPr>
          <w:b/>
          <w:bCs/>
        </w:rPr>
        <w:t>based policy.</w:t>
      </w:r>
    </w:p>
    <w:p w14:paraId="67575F11" w14:textId="405D29AE" w:rsidR="000E1045" w:rsidRPr="000E1045" w:rsidRDefault="00827AE9" w:rsidP="00A556BF">
      <w:pPr>
        <w:spacing w:line="260" w:lineRule="auto"/>
        <w:sectPr w:rsidR="000E1045" w:rsidRPr="000E1045" w:rsidSect="00E7126C">
          <w:headerReference w:type="default" r:id="rId10"/>
          <w:footerReference w:type="default" r:id="rId11"/>
          <w:headerReference w:type="first" r:id="rId12"/>
          <w:footerReference w:type="first" r:id="rId13"/>
          <w:pgSz w:w="11906" w:h="16838" w:code="9"/>
          <w:pgMar w:top="1559" w:right="680" w:bottom="1276" w:left="680" w:header="567" w:footer="340" w:gutter="0"/>
          <w:cols w:space="397"/>
          <w:docGrid w:linePitch="360"/>
        </w:sectPr>
      </w:pPr>
      <w:r w:rsidRPr="00F221D8">
        <w:t>Despite challenging border settings (in both Australia and Kiribati), a total of 225 I-Kiribati</w:t>
      </w:r>
      <w:r w:rsidR="00861991">
        <w:t xml:space="preserve"> accessed</w:t>
      </w:r>
      <w:r w:rsidRPr="00F221D8">
        <w:t xml:space="preserve"> seasonal and long-term labour mobility opportunities in 2021–2022. Australia successfully supported </w:t>
      </w:r>
      <w:r w:rsidRPr="00991859">
        <w:rPr>
          <w:b/>
          <w:bCs/>
        </w:rPr>
        <w:t>Kiribati to be the first partner country to place workers into the Queensland aged care industry</w:t>
      </w:r>
      <w:r w:rsidRPr="00F221D8">
        <w:t xml:space="preserve"> (</w:t>
      </w:r>
      <w:r w:rsidR="00F221D8">
        <w:t>32</w:t>
      </w:r>
      <w:r w:rsidRPr="00F221D8">
        <w:t xml:space="preserve"> in September</w:t>
      </w:r>
      <w:r w:rsidR="006A4146">
        <w:t xml:space="preserve"> 2021</w:t>
      </w:r>
      <w:r w:rsidRPr="00F221D8">
        <w:t xml:space="preserve">). Through </w:t>
      </w:r>
      <w:r w:rsidR="00AD5091" w:rsidRPr="00F221D8">
        <w:t>our programs</w:t>
      </w:r>
      <w:r w:rsidRPr="00F221D8">
        <w:t xml:space="preserve">, 83 </w:t>
      </w:r>
      <w:r w:rsidR="00E04E01">
        <w:br/>
      </w:r>
      <w:r w:rsidRPr="00F221D8">
        <w:t>I-Kiribati were employed in Australia after completion of a new meat processing course. Employment in the horticulture sector accounted for the remainder of placements</w:t>
      </w:r>
    </w:p>
    <w:p w14:paraId="12E24BAE" w14:textId="75A251EE" w:rsidR="00BC1FED" w:rsidRDefault="00121DDD" w:rsidP="008A6BB7">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8A745C" w:rsidRDefault="00AE2B7B" w:rsidP="002849E3">
      <w:pPr>
        <w:pStyle w:val="Heading3"/>
      </w:pPr>
      <w:r w:rsidRPr="008A745C">
        <w:t>Health Security</w:t>
      </w:r>
    </w:p>
    <w:tbl>
      <w:tblPr>
        <w:tblStyle w:val="TableGrid"/>
        <w:tblW w:w="0" w:type="auto"/>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E7126C">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0E7126C">
        <w:trPr>
          <w:tblHeader/>
        </w:trPr>
        <w:tc>
          <w:tcPr>
            <w:tcW w:w="4390" w:type="dxa"/>
          </w:tcPr>
          <w:p w14:paraId="354112BD" w14:textId="520A6CD9" w:rsidR="00877620" w:rsidRPr="002D5EC9" w:rsidRDefault="000A0CE3" w:rsidP="00991859">
            <w:pPr>
              <w:spacing w:before="60" w:line="260" w:lineRule="auto"/>
              <w:ind w:left="96"/>
              <w:rPr>
                <w:sz w:val="20"/>
                <w:szCs w:val="20"/>
              </w:rPr>
            </w:pPr>
            <w:r w:rsidRPr="00DF5D81">
              <w:rPr>
                <w:sz w:val="20"/>
                <w:szCs w:val="20"/>
              </w:rPr>
              <w:t>Evidence that Australia has contributed to a stronger health system in Kiribati, including in relation to workforce development planning and health information improvement</w:t>
            </w:r>
          </w:p>
        </w:tc>
        <w:tc>
          <w:tcPr>
            <w:tcW w:w="6146" w:type="dxa"/>
          </w:tcPr>
          <w:p w14:paraId="1C78B18E" w14:textId="37AFBFF8" w:rsidR="00877620" w:rsidRPr="002D5EC9" w:rsidRDefault="006C7ADE" w:rsidP="00991859">
            <w:pPr>
              <w:suppressAutoHyphens w:val="0"/>
              <w:autoSpaceDE w:val="0"/>
              <w:autoSpaceDN w:val="0"/>
              <w:adjustRightInd w:val="0"/>
              <w:spacing w:before="60" w:line="260" w:lineRule="auto"/>
              <w:ind w:left="96"/>
              <w:rPr>
                <w:sz w:val="20"/>
                <w:szCs w:val="20"/>
              </w:rPr>
            </w:pPr>
            <w:r w:rsidRPr="002D5EC9">
              <w:rPr>
                <w:sz w:val="20"/>
                <w:szCs w:val="20"/>
              </w:rPr>
              <w:t xml:space="preserve">The introduction of the </w:t>
            </w:r>
            <w:proofErr w:type="spellStart"/>
            <w:r w:rsidRPr="002D5EC9">
              <w:rPr>
                <w:sz w:val="20"/>
                <w:szCs w:val="20"/>
              </w:rPr>
              <w:t>mSupply</w:t>
            </w:r>
            <w:proofErr w:type="spellEnd"/>
            <w:r w:rsidRPr="002D5EC9">
              <w:rPr>
                <w:sz w:val="20"/>
                <w:szCs w:val="20"/>
              </w:rPr>
              <w:t xml:space="preserve"> COVID 19 module and the Tamanu COVID</w:t>
            </w:r>
            <w:r w:rsidR="0007510A">
              <w:rPr>
                <w:sz w:val="20"/>
                <w:szCs w:val="20"/>
              </w:rPr>
              <w:t>-19</w:t>
            </w:r>
            <w:r w:rsidRPr="002D5EC9">
              <w:rPr>
                <w:sz w:val="20"/>
                <w:szCs w:val="20"/>
              </w:rPr>
              <w:t xml:space="preserve"> testing and reporting software</w:t>
            </w:r>
            <w:r w:rsidR="002D5EC9">
              <w:rPr>
                <w:sz w:val="20"/>
                <w:szCs w:val="20"/>
              </w:rPr>
              <w:t xml:space="preserve"> helped </w:t>
            </w:r>
            <w:r w:rsidRPr="002D5EC9">
              <w:rPr>
                <w:sz w:val="20"/>
                <w:szCs w:val="20"/>
              </w:rPr>
              <w:t xml:space="preserve">improve COVID 19 vaccination administration, testing and results. These systems contribute to better planning and monitoring by targeting health information services that improve surveillance, workforce planning and strategic planning. </w:t>
            </w:r>
          </w:p>
        </w:tc>
      </w:tr>
      <w:tr w:rsidR="00CA5021" w14:paraId="4AD746D8" w14:textId="77777777" w:rsidTr="00E7126C">
        <w:trPr>
          <w:tblHeader/>
        </w:trPr>
        <w:tc>
          <w:tcPr>
            <w:tcW w:w="4390" w:type="dxa"/>
          </w:tcPr>
          <w:p w14:paraId="0AB10A98" w14:textId="6BED4376" w:rsidR="00CA5021" w:rsidRPr="00AB4795" w:rsidRDefault="001D0CE9" w:rsidP="00991859">
            <w:pPr>
              <w:spacing w:before="60" w:line="260" w:lineRule="auto"/>
              <w:ind w:left="96"/>
            </w:pPr>
            <w:r w:rsidRPr="00DF5D81">
              <w:rPr>
                <w:sz w:val="20"/>
                <w:szCs w:val="20"/>
              </w:rPr>
              <w:t>Evidence that Kiribati has improved responses to health security threats, including robust systems to detect and effectively manage tuberculosis (TB) cases and mitigate the risk of multi-drug resistant TB</w:t>
            </w:r>
          </w:p>
        </w:tc>
        <w:tc>
          <w:tcPr>
            <w:tcW w:w="6146" w:type="dxa"/>
          </w:tcPr>
          <w:p w14:paraId="44F01EB8" w14:textId="24AFCF9E" w:rsidR="00536FAA" w:rsidRPr="00812D96" w:rsidRDefault="00412E1F" w:rsidP="00991859">
            <w:pPr>
              <w:spacing w:before="60" w:line="260" w:lineRule="auto"/>
              <w:ind w:left="96"/>
              <w:rPr>
                <w:sz w:val="20"/>
                <w:szCs w:val="20"/>
              </w:rPr>
            </w:pPr>
            <w:r>
              <w:rPr>
                <w:sz w:val="20"/>
                <w:szCs w:val="20"/>
              </w:rPr>
              <w:t>S</w:t>
            </w:r>
            <w:r w:rsidR="00812D96" w:rsidRPr="00812D96">
              <w:rPr>
                <w:sz w:val="20"/>
                <w:szCs w:val="20"/>
              </w:rPr>
              <w:t>upport for outreach programs has improved community awareness, increased case detection/treatment and maintained patients</w:t>
            </w:r>
            <w:r w:rsidR="00EB45E5">
              <w:rPr>
                <w:sz w:val="20"/>
                <w:szCs w:val="20"/>
              </w:rPr>
              <w:t>’</w:t>
            </w:r>
            <w:r w:rsidR="00812D96" w:rsidRPr="00812D96">
              <w:rPr>
                <w:sz w:val="20"/>
                <w:szCs w:val="20"/>
              </w:rPr>
              <w:t xml:space="preserve"> medical compliance for TB.</w:t>
            </w:r>
            <w:r w:rsidR="00F81029">
              <w:rPr>
                <w:sz w:val="20"/>
                <w:szCs w:val="20"/>
              </w:rPr>
              <w:t xml:space="preserve"> M</w:t>
            </w:r>
            <w:r w:rsidR="00F81029" w:rsidRPr="00536FAA">
              <w:rPr>
                <w:sz w:val="20"/>
                <w:szCs w:val="20"/>
              </w:rPr>
              <w:t xml:space="preserve">edications and equipment for the Pathway to the Elimination of Antibiotic-Resistant and Latent Tuberculosis in the Pacific were </w:t>
            </w:r>
            <w:r w:rsidR="00EB73C2">
              <w:rPr>
                <w:sz w:val="20"/>
                <w:szCs w:val="20"/>
              </w:rPr>
              <w:t>provided</w:t>
            </w:r>
            <w:r w:rsidR="00F81029" w:rsidRPr="00812D96">
              <w:rPr>
                <w:sz w:val="20"/>
                <w:szCs w:val="20"/>
              </w:rPr>
              <w:t>.</w:t>
            </w:r>
          </w:p>
        </w:tc>
      </w:tr>
    </w:tbl>
    <w:p w14:paraId="08BBE344" w14:textId="6BCC6A36" w:rsidR="00AE2B7B" w:rsidRPr="00AE2B7B" w:rsidRDefault="00AE2B7B" w:rsidP="00927066">
      <w:pPr>
        <w:pStyle w:val="Heading3"/>
        <w:spacing w:after="240"/>
      </w:pPr>
      <w:r w:rsidRPr="00AE2B7B">
        <w:t>Stability</w:t>
      </w:r>
    </w:p>
    <w:tbl>
      <w:tblPr>
        <w:tblStyle w:val="TableGrid"/>
        <w:tblW w:w="0" w:type="auto"/>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E7126C">
        <w:trPr>
          <w:tblHeader/>
        </w:trPr>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93A8551" w14:textId="77777777" w:rsidTr="00E7126C">
        <w:trPr>
          <w:tblHeader/>
        </w:trPr>
        <w:tc>
          <w:tcPr>
            <w:tcW w:w="4390" w:type="dxa"/>
          </w:tcPr>
          <w:p w14:paraId="2AA59D1C" w14:textId="179D4291" w:rsidR="00CA5021" w:rsidRPr="00AB4795" w:rsidRDefault="00AA7CCD" w:rsidP="00991859">
            <w:pPr>
              <w:spacing w:before="60"/>
              <w:ind w:left="96"/>
            </w:pPr>
            <w:r w:rsidRPr="00DF5D81">
              <w:rPr>
                <w:bCs/>
                <w:sz w:val="20"/>
                <w:szCs w:val="20"/>
              </w:rPr>
              <w:t>Improved percentage of Year 6 girls and boys meeting or exceeding the expected level of proficiency in literacy (Target: 45 per cent) and numeracy (Target: 75 per cent)</w:t>
            </w:r>
          </w:p>
        </w:tc>
        <w:tc>
          <w:tcPr>
            <w:tcW w:w="6146" w:type="dxa"/>
          </w:tcPr>
          <w:p w14:paraId="2E8902BB" w14:textId="07D15FE5" w:rsidR="00CA5021" w:rsidRDefault="00827AE9" w:rsidP="00991859">
            <w:pPr>
              <w:spacing w:before="60"/>
              <w:ind w:left="96"/>
            </w:pPr>
            <w:r w:rsidRPr="00EB168F">
              <w:rPr>
                <w:bCs/>
                <w:sz w:val="20"/>
                <w:szCs w:val="20"/>
              </w:rPr>
              <w:t>2021 results for Year 6</w:t>
            </w:r>
            <w:r w:rsidR="00CB11B8">
              <w:rPr>
                <w:bCs/>
                <w:sz w:val="20"/>
                <w:szCs w:val="20"/>
              </w:rPr>
              <w:t xml:space="preserve"> students</w:t>
            </w:r>
            <w:r w:rsidRPr="00EB168F">
              <w:rPr>
                <w:bCs/>
                <w:sz w:val="20"/>
                <w:szCs w:val="20"/>
              </w:rPr>
              <w:t xml:space="preserve"> in literacy show that 42 per cent are meeting or exceeding the expected level in English, </w:t>
            </w:r>
            <w:r w:rsidR="00CB11B8">
              <w:rPr>
                <w:bCs/>
                <w:sz w:val="20"/>
                <w:szCs w:val="20"/>
              </w:rPr>
              <w:t xml:space="preserve">and </w:t>
            </w:r>
            <w:r w:rsidRPr="00EB168F">
              <w:rPr>
                <w:bCs/>
                <w:sz w:val="20"/>
                <w:szCs w:val="20"/>
              </w:rPr>
              <w:t xml:space="preserve">77 per cent in </w:t>
            </w:r>
            <w:proofErr w:type="spellStart"/>
            <w:r w:rsidRPr="00EB168F">
              <w:rPr>
                <w:bCs/>
                <w:sz w:val="20"/>
                <w:szCs w:val="20"/>
              </w:rPr>
              <w:t>Te</w:t>
            </w:r>
            <w:proofErr w:type="spellEnd"/>
            <w:r w:rsidRPr="00EB168F">
              <w:rPr>
                <w:bCs/>
                <w:sz w:val="20"/>
                <w:szCs w:val="20"/>
              </w:rPr>
              <w:t xml:space="preserve"> Kiribati. </w:t>
            </w:r>
            <w:r w:rsidR="009F30B0">
              <w:rPr>
                <w:bCs/>
                <w:sz w:val="20"/>
                <w:szCs w:val="20"/>
              </w:rPr>
              <w:t>In n</w:t>
            </w:r>
            <w:r w:rsidR="00CB11B8">
              <w:rPr>
                <w:bCs/>
                <w:sz w:val="20"/>
                <w:szCs w:val="20"/>
              </w:rPr>
              <w:t>umeracy</w:t>
            </w:r>
            <w:r w:rsidR="00EB73C2">
              <w:rPr>
                <w:bCs/>
                <w:sz w:val="20"/>
                <w:szCs w:val="20"/>
              </w:rPr>
              <w:t>,</w:t>
            </w:r>
            <w:r w:rsidR="00CB11B8">
              <w:rPr>
                <w:bCs/>
                <w:sz w:val="20"/>
                <w:szCs w:val="20"/>
              </w:rPr>
              <w:t xml:space="preserve"> </w:t>
            </w:r>
            <w:r w:rsidRPr="00EB168F">
              <w:rPr>
                <w:bCs/>
                <w:sz w:val="20"/>
                <w:szCs w:val="20"/>
              </w:rPr>
              <w:t xml:space="preserve">77 per cent are meeting or exceeding the expected level.  </w:t>
            </w:r>
            <w:r w:rsidR="00F81029">
              <w:rPr>
                <w:bCs/>
                <w:sz w:val="20"/>
                <w:szCs w:val="20"/>
              </w:rPr>
              <w:t>Results are far higher for girls than boys.</w:t>
            </w:r>
          </w:p>
        </w:tc>
      </w:tr>
      <w:tr w:rsidR="00CA5021" w14:paraId="0556A95D" w14:textId="77777777" w:rsidTr="00E7126C">
        <w:trPr>
          <w:tblHeader/>
        </w:trPr>
        <w:tc>
          <w:tcPr>
            <w:tcW w:w="4390" w:type="dxa"/>
          </w:tcPr>
          <w:p w14:paraId="62F5276A" w14:textId="77630E2A" w:rsidR="00CA5021" w:rsidRPr="00AB4795" w:rsidRDefault="00707B00" w:rsidP="00991859">
            <w:pPr>
              <w:spacing w:before="60"/>
              <w:ind w:left="96"/>
            </w:pPr>
            <w:r w:rsidRPr="00DF5D81">
              <w:rPr>
                <w:bCs/>
                <w:sz w:val="20"/>
                <w:szCs w:val="20"/>
              </w:rPr>
              <w:t>Year 1-9 teachers complete professional development modules each year (Target: 80 per cent)</w:t>
            </w:r>
          </w:p>
        </w:tc>
        <w:tc>
          <w:tcPr>
            <w:tcW w:w="6146" w:type="dxa"/>
          </w:tcPr>
          <w:p w14:paraId="71F5FF79" w14:textId="46B7CF5F" w:rsidR="00CA5021" w:rsidRDefault="00827AE9" w:rsidP="00991859">
            <w:pPr>
              <w:spacing w:before="60"/>
              <w:ind w:left="96"/>
            </w:pPr>
            <w:r w:rsidRPr="00EB168F">
              <w:rPr>
                <w:bCs/>
                <w:sz w:val="20"/>
                <w:szCs w:val="20"/>
              </w:rPr>
              <w:t xml:space="preserve">The delivery of professional development modules for Years 1-9 teachers was interrupted by the COVID-19 lockdown and travel restrictions. </w:t>
            </w:r>
            <w:r w:rsidR="009F30B0">
              <w:rPr>
                <w:bCs/>
                <w:sz w:val="20"/>
                <w:szCs w:val="20"/>
              </w:rPr>
              <w:t>Wo</w:t>
            </w:r>
            <w:r w:rsidRPr="00EB168F">
              <w:rPr>
                <w:bCs/>
                <w:sz w:val="20"/>
                <w:szCs w:val="20"/>
              </w:rPr>
              <w:t xml:space="preserve">rk commenced with </w:t>
            </w:r>
            <w:proofErr w:type="spellStart"/>
            <w:r w:rsidRPr="00EB168F">
              <w:rPr>
                <w:bCs/>
                <w:sz w:val="20"/>
                <w:szCs w:val="20"/>
              </w:rPr>
              <w:t>MoE</w:t>
            </w:r>
            <w:proofErr w:type="spellEnd"/>
            <w:r w:rsidRPr="00EB168F">
              <w:rPr>
                <w:bCs/>
                <w:sz w:val="20"/>
                <w:szCs w:val="20"/>
              </w:rPr>
              <w:t xml:space="preserve"> to transition to online delivery for teacher training, despite the connectivity challenges on most outer islands. The target was partially achieved with 55 per cent</w:t>
            </w:r>
            <w:r w:rsidR="009F30B0">
              <w:rPr>
                <w:bCs/>
                <w:sz w:val="20"/>
                <w:szCs w:val="20"/>
              </w:rPr>
              <w:t>.</w:t>
            </w:r>
          </w:p>
        </w:tc>
      </w:tr>
      <w:tr w:rsidR="00CA5021" w14:paraId="5DF0BAD4" w14:textId="77777777" w:rsidTr="00E7126C">
        <w:trPr>
          <w:tblHeader/>
        </w:trPr>
        <w:tc>
          <w:tcPr>
            <w:tcW w:w="4390" w:type="dxa"/>
          </w:tcPr>
          <w:p w14:paraId="476782F7" w14:textId="6CFFE841" w:rsidR="00CA5021" w:rsidRPr="00AB4795" w:rsidRDefault="00773D32" w:rsidP="00991859">
            <w:pPr>
              <w:spacing w:before="60"/>
              <w:ind w:left="96"/>
            </w:pPr>
            <w:r w:rsidRPr="00DF5D81">
              <w:rPr>
                <w:bCs/>
                <w:sz w:val="20"/>
                <w:szCs w:val="20"/>
              </w:rPr>
              <w:t>Increased number of girls and boys (including people with disabilities) who have access to improved learning spaces and water sanitation and hygiene (WASH) facilities each year (Target: 10 per cent)</w:t>
            </w:r>
          </w:p>
        </w:tc>
        <w:tc>
          <w:tcPr>
            <w:tcW w:w="6146" w:type="dxa"/>
          </w:tcPr>
          <w:p w14:paraId="69182282" w14:textId="149B3AD1" w:rsidR="00CA5021" w:rsidRDefault="00C00FCF" w:rsidP="00991859">
            <w:pPr>
              <w:spacing w:before="60"/>
              <w:ind w:left="96"/>
            </w:pPr>
            <w:r>
              <w:rPr>
                <w:bCs/>
                <w:sz w:val="20"/>
                <w:szCs w:val="20"/>
              </w:rPr>
              <w:t>Eight</w:t>
            </w:r>
            <w:r w:rsidR="002F3F94" w:rsidRPr="002F3F94">
              <w:rPr>
                <w:bCs/>
                <w:sz w:val="20"/>
                <w:szCs w:val="20"/>
              </w:rPr>
              <w:t xml:space="preserve"> classroom</w:t>
            </w:r>
            <w:r>
              <w:rPr>
                <w:bCs/>
                <w:sz w:val="20"/>
                <w:szCs w:val="20"/>
              </w:rPr>
              <w:t xml:space="preserve"> constructions were</w:t>
            </w:r>
            <w:r w:rsidR="002F3F94" w:rsidRPr="002F3F94">
              <w:rPr>
                <w:bCs/>
                <w:sz w:val="20"/>
                <w:szCs w:val="20"/>
              </w:rPr>
              <w:t xml:space="preserve"> completed on 2 outer islands. </w:t>
            </w:r>
            <w:r w:rsidR="00CF4599">
              <w:rPr>
                <w:bCs/>
                <w:sz w:val="20"/>
                <w:szCs w:val="20"/>
              </w:rPr>
              <w:t>As</w:t>
            </w:r>
            <w:r w:rsidR="002F3F94" w:rsidRPr="002F3F94">
              <w:rPr>
                <w:bCs/>
                <w:sz w:val="20"/>
                <w:szCs w:val="20"/>
              </w:rPr>
              <w:t xml:space="preserve"> part of Australia’s drought response, repairs </w:t>
            </w:r>
            <w:r w:rsidR="00CF4599">
              <w:rPr>
                <w:bCs/>
                <w:sz w:val="20"/>
                <w:szCs w:val="20"/>
              </w:rPr>
              <w:t>were also completed on</w:t>
            </w:r>
            <w:r w:rsidR="002F3F94" w:rsidRPr="002F3F94">
              <w:rPr>
                <w:bCs/>
                <w:sz w:val="20"/>
                <w:szCs w:val="20"/>
              </w:rPr>
              <w:t xml:space="preserve"> </w:t>
            </w:r>
            <w:r w:rsidR="00E158F7">
              <w:rPr>
                <w:bCs/>
                <w:sz w:val="20"/>
                <w:szCs w:val="20"/>
              </w:rPr>
              <w:t>six</w:t>
            </w:r>
            <w:r w:rsidR="002F3F94" w:rsidRPr="002F3F94">
              <w:rPr>
                <w:bCs/>
                <w:sz w:val="20"/>
                <w:szCs w:val="20"/>
              </w:rPr>
              <w:t xml:space="preserve"> primary school rainwater capture and distribution system</w:t>
            </w:r>
            <w:r w:rsidR="00E158F7">
              <w:rPr>
                <w:bCs/>
                <w:sz w:val="20"/>
                <w:szCs w:val="20"/>
              </w:rPr>
              <w:t>s. In total</w:t>
            </w:r>
            <w:r w:rsidR="002F3F94" w:rsidRPr="002F3F94">
              <w:rPr>
                <w:bCs/>
                <w:sz w:val="20"/>
                <w:szCs w:val="20"/>
              </w:rPr>
              <w:t xml:space="preserve"> 28</w:t>
            </w:r>
            <w:r w:rsidR="001D0EBD">
              <w:rPr>
                <w:bCs/>
                <w:sz w:val="20"/>
                <w:szCs w:val="20"/>
              </w:rPr>
              <w:t xml:space="preserve"> per cent</w:t>
            </w:r>
            <w:r w:rsidR="002F3F94" w:rsidRPr="002F3F94">
              <w:rPr>
                <w:bCs/>
                <w:sz w:val="20"/>
                <w:szCs w:val="20"/>
              </w:rPr>
              <w:t xml:space="preserve"> of primary students benefit</w:t>
            </w:r>
            <w:r w:rsidR="002079B4">
              <w:rPr>
                <w:bCs/>
                <w:sz w:val="20"/>
                <w:szCs w:val="20"/>
              </w:rPr>
              <w:t xml:space="preserve"> from these projects</w:t>
            </w:r>
            <w:r w:rsidR="002F3F94" w:rsidRPr="002F3F94">
              <w:rPr>
                <w:bCs/>
                <w:sz w:val="20"/>
                <w:szCs w:val="20"/>
              </w:rPr>
              <w:t>.</w:t>
            </w:r>
          </w:p>
        </w:tc>
      </w:tr>
      <w:tr w:rsidR="00CA5021" w14:paraId="7E704FEB" w14:textId="77777777" w:rsidTr="00E7126C">
        <w:trPr>
          <w:tblHeader/>
        </w:trPr>
        <w:tc>
          <w:tcPr>
            <w:tcW w:w="4390" w:type="dxa"/>
          </w:tcPr>
          <w:p w14:paraId="1CC2F0CD" w14:textId="168579D0" w:rsidR="00CA5021" w:rsidRPr="00AB4795" w:rsidRDefault="00A35652" w:rsidP="00991859">
            <w:pPr>
              <w:spacing w:before="60"/>
              <w:ind w:left="96"/>
            </w:pPr>
            <w:r w:rsidRPr="00DF5D81">
              <w:rPr>
                <w:bCs/>
                <w:sz w:val="20"/>
                <w:szCs w:val="20"/>
              </w:rPr>
              <w:t>Evidence of improved services for women and girl survivors of violence</w:t>
            </w:r>
          </w:p>
        </w:tc>
        <w:tc>
          <w:tcPr>
            <w:tcW w:w="6146" w:type="dxa"/>
          </w:tcPr>
          <w:p w14:paraId="7D9CAB9B" w14:textId="6AF747FE" w:rsidR="00CA5021" w:rsidRDefault="0075653F" w:rsidP="00991859">
            <w:pPr>
              <w:spacing w:before="60"/>
              <w:ind w:left="96"/>
            </w:pPr>
            <w:r>
              <w:rPr>
                <w:bCs/>
                <w:sz w:val="20"/>
                <w:szCs w:val="20"/>
              </w:rPr>
              <w:t>Data not yet available</w:t>
            </w:r>
            <w:r w:rsidR="000D70C8">
              <w:rPr>
                <w:bCs/>
                <w:sz w:val="20"/>
                <w:szCs w:val="20"/>
              </w:rPr>
              <w:t>.</w:t>
            </w:r>
          </w:p>
        </w:tc>
      </w:tr>
      <w:tr w:rsidR="00A35652" w14:paraId="4B41E746" w14:textId="77777777" w:rsidTr="00E7126C">
        <w:trPr>
          <w:tblHeader/>
        </w:trPr>
        <w:tc>
          <w:tcPr>
            <w:tcW w:w="4390" w:type="dxa"/>
          </w:tcPr>
          <w:p w14:paraId="0B7E2DE9" w14:textId="77BEBEE0" w:rsidR="00A35652" w:rsidRPr="00DF5D81" w:rsidRDefault="00213A7B" w:rsidP="00991859">
            <w:pPr>
              <w:spacing w:before="60"/>
              <w:ind w:left="96"/>
              <w:rPr>
                <w:bCs/>
                <w:sz w:val="20"/>
                <w:szCs w:val="20"/>
              </w:rPr>
            </w:pPr>
            <w:r w:rsidRPr="00DF5D81">
              <w:rPr>
                <w:bCs/>
                <w:sz w:val="20"/>
                <w:szCs w:val="20"/>
              </w:rPr>
              <w:t>Evidence that Australia has contributed to building Kiribati’s capacity for food security</w:t>
            </w:r>
          </w:p>
        </w:tc>
        <w:tc>
          <w:tcPr>
            <w:tcW w:w="6146" w:type="dxa"/>
          </w:tcPr>
          <w:p w14:paraId="02B3EAC3" w14:textId="78622E24" w:rsidR="00A35652" w:rsidRDefault="00BD7D03" w:rsidP="00991859">
            <w:pPr>
              <w:spacing w:before="60"/>
              <w:ind w:left="96"/>
            </w:pPr>
            <w:r w:rsidRPr="00F221D8">
              <w:rPr>
                <w:bCs/>
                <w:sz w:val="20"/>
                <w:szCs w:val="20"/>
              </w:rPr>
              <w:t xml:space="preserve">In South Tarawa, over 2,000 </w:t>
            </w:r>
            <w:r w:rsidR="00ED22A8" w:rsidRPr="00F221D8">
              <w:rPr>
                <w:bCs/>
                <w:sz w:val="20"/>
                <w:szCs w:val="20"/>
              </w:rPr>
              <w:t>people have been trained in basic home production techniques</w:t>
            </w:r>
            <w:r w:rsidR="002E693D" w:rsidRPr="00F221D8">
              <w:rPr>
                <w:bCs/>
                <w:sz w:val="20"/>
                <w:szCs w:val="20"/>
              </w:rPr>
              <w:t>,</w:t>
            </w:r>
            <w:r w:rsidR="00ED22A8" w:rsidRPr="00F221D8">
              <w:rPr>
                <w:bCs/>
                <w:sz w:val="20"/>
                <w:szCs w:val="20"/>
              </w:rPr>
              <w:t xml:space="preserve"> and commercial farmers supported through the Atoll Food Futures project have begun to sell direct to the public and employ their own full-time farm</w:t>
            </w:r>
            <w:r w:rsidR="002E693D" w:rsidRPr="00F221D8">
              <w:rPr>
                <w:bCs/>
                <w:sz w:val="20"/>
                <w:szCs w:val="20"/>
              </w:rPr>
              <w:t xml:space="preserve"> workers.</w:t>
            </w:r>
          </w:p>
        </w:tc>
      </w:tr>
    </w:tbl>
    <w:p w14:paraId="3F2619AB" w14:textId="64D997BA" w:rsidR="00AE2B7B" w:rsidRPr="00AE2B7B" w:rsidRDefault="00AE2B7B" w:rsidP="002849E3">
      <w:pPr>
        <w:pStyle w:val="Heading3"/>
      </w:pPr>
      <w:r w:rsidRPr="00AE2B7B">
        <w:lastRenderedPageBreak/>
        <w:t>Economic Recovery</w:t>
      </w:r>
    </w:p>
    <w:tbl>
      <w:tblPr>
        <w:tblStyle w:val="TableGrid"/>
        <w:tblW w:w="0" w:type="auto"/>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E7126C">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00E7126C">
        <w:trPr>
          <w:tblHeader/>
        </w:trPr>
        <w:tc>
          <w:tcPr>
            <w:tcW w:w="4390" w:type="dxa"/>
          </w:tcPr>
          <w:p w14:paraId="234C1CE4" w14:textId="2D4B66B2" w:rsidR="00CA5021" w:rsidRDefault="00DC68E7" w:rsidP="00991859">
            <w:pPr>
              <w:spacing w:before="60"/>
              <w:ind w:left="96"/>
            </w:pPr>
            <w:r w:rsidRPr="00DF5D81">
              <w:rPr>
                <w:bCs/>
                <w:sz w:val="20"/>
                <w:szCs w:val="20"/>
              </w:rPr>
              <w:t>Evidence of Australia’s policy and technical support on stimulus measures and longer-term economic recovery</w:t>
            </w:r>
          </w:p>
        </w:tc>
        <w:tc>
          <w:tcPr>
            <w:tcW w:w="6146" w:type="dxa"/>
          </w:tcPr>
          <w:p w14:paraId="5A50515E" w14:textId="25F51507" w:rsidR="00CA5021" w:rsidRDefault="000F27D0" w:rsidP="00991859">
            <w:pPr>
              <w:spacing w:before="60"/>
              <w:ind w:left="96"/>
            </w:pPr>
            <w:r w:rsidRPr="002615C2">
              <w:rPr>
                <w:bCs/>
                <w:sz w:val="20"/>
                <w:szCs w:val="20"/>
              </w:rPr>
              <w:t>The Director for National Economic Planning Office led the formulation of</w:t>
            </w:r>
            <w:r w:rsidR="003F14A7">
              <w:rPr>
                <w:bCs/>
                <w:sz w:val="20"/>
                <w:szCs w:val="20"/>
              </w:rPr>
              <w:t xml:space="preserve"> the</w:t>
            </w:r>
            <w:r w:rsidRPr="002615C2">
              <w:rPr>
                <w:bCs/>
                <w:sz w:val="20"/>
                <w:szCs w:val="20"/>
              </w:rPr>
              <w:t xml:space="preserve"> 2022 Government of Kiribati Recurrent/Development Budget</w:t>
            </w:r>
            <w:r w:rsidR="002615C2">
              <w:rPr>
                <w:bCs/>
                <w:sz w:val="20"/>
                <w:szCs w:val="20"/>
              </w:rPr>
              <w:t>, and the budget</w:t>
            </w:r>
            <w:r w:rsidR="001330A7" w:rsidRPr="002615C2">
              <w:rPr>
                <w:bCs/>
                <w:sz w:val="20"/>
                <w:szCs w:val="20"/>
              </w:rPr>
              <w:t xml:space="preserve"> was</w:t>
            </w:r>
            <w:r w:rsidRPr="002615C2">
              <w:rPr>
                <w:bCs/>
                <w:sz w:val="20"/>
                <w:szCs w:val="20"/>
              </w:rPr>
              <w:t xml:space="preserve"> approved in December 2021</w:t>
            </w:r>
            <w:r w:rsidR="002615C2" w:rsidRPr="002615C2">
              <w:rPr>
                <w:bCs/>
                <w:sz w:val="20"/>
                <w:szCs w:val="20"/>
              </w:rPr>
              <w:t xml:space="preserve">. </w:t>
            </w:r>
            <w:r w:rsidR="002811FE">
              <w:rPr>
                <w:bCs/>
                <w:sz w:val="20"/>
                <w:szCs w:val="20"/>
              </w:rPr>
              <w:t>The Director also led the d</w:t>
            </w:r>
            <w:r w:rsidRPr="002615C2">
              <w:rPr>
                <w:bCs/>
                <w:sz w:val="20"/>
                <w:szCs w:val="20"/>
              </w:rPr>
              <w:t xml:space="preserve">evelopment of </w:t>
            </w:r>
            <w:r w:rsidR="005F30A4">
              <w:rPr>
                <w:bCs/>
                <w:sz w:val="20"/>
                <w:szCs w:val="20"/>
              </w:rPr>
              <w:t xml:space="preserve">the </w:t>
            </w:r>
            <w:r w:rsidRPr="002615C2">
              <w:rPr>
                <w:bCs/>
                <w:sz w:val="20"/>
                <w:szCs w:val="20"/>
              </w:rPr>
              <w:t>2022 Fiscal Strategy Policy</w:t>
            </w:r>
            <w:r w:rsidR="00464A38">
              <w:rPr>
                <w:bCs/>
                <w:sz w:val="20"/>
                <w:szCs w:val="20"/>
              </w:rPr>
              <w:t>.</w:t>
            </w:r>
          </w:p>
        </w:tc>
      </w:tr>
      <w:tr w:rsidR="00CA5021" w14:paraId="1EAE2D66" w14:textId="77777777" w:rsidTr="00E7126C">
        <w:trPr>
          <w:tblHeader/>
        </w:trPr>
        <w:tc>
          <w:tcPr>
            <w:tcW w:w="4390" w:type="dxa"/>
          </w:tcPr>
          <w:p w14:paraId="65838CB2" w14:textId="657B5B8F" w:rsidR="00CA5021" w:rsidRDefault="006106EE" w:rsidP="00991859">
            <w:pPr>
              <w:spacing w:before="60"/>
              <w:ind w:left="96"/>
            </w:pPr>
            <w:r w:rsidRPr="00DF5D81">
              <w:rPr>
                <w:bCs/>
                <w:sz w:val="20"/>
                <w:szCs w:val="20"/>
              </w:rPr>
              <w:t xml:space="preserve">Australian budget support as a percentage of total domestic revenue in response to </w:t>
            </w:r>
            <w:r w:rsidRPr="00DF5D81">
              <w:rPr>
                <w:bCs/>
                <w:sz w:val="20"/>
                <w:szCs w:val="20"/>
              </w:rPr>
              <w:br/>
              <w:t>COVID-19</w:t>
            </w:r>
            <w:r w:rsidRPr="00DF5D81">
              <w:rPr>
                <w:rStyle w:val="FootnoteReference"/>
                <w:rFonts w:cs="Calibri"/>
                <w:color w:val="auto"/>
                <w:sz w:val="20"/>
                <w:szCs w:val="20"/>
              </w:rPr>
              <w:footnoteReference w:id="2"/>
            </w:r>
          </w:p>
        </w:tc>
        <w:tc>
          <w:tcPr>
            <w:tcW w:w="6146" w:type="dxa"/>
          </w:tcPr>
          <w:p w14:paraId="02B96D99" w14:textId="51BC3271" w:rsidR="00CA5021" w:rsidRDefault="00875A95" w:rsidP="00991859">
            <w:pPr>
              <w:spacing w:before="60"/>
              <w:ind w:left="96"/>
            </w:pPr>
            <w:r w:rsidRPr="00DF5D81">
              <w:rPr>
                <w:bCs/>
                <w:sz w:val="20"/>
                <w:szCs w:val="20"/>
              </w:rPr>
              <w:t>Australia</w:t>
            </w:r>
            <w:r w:rsidR="00AC64E8">
              <w:rPr>
                <w:bCs/>
                <w:sz w:val="20"/>
                <w:szCs w:val="20"/>
              </w:rPr>
              <w:t>n</w:t>
            </w:r>
            <w:r w:rsidRPr="00DF5D81">
              <w:rPr>
                <w:bCs/>
                <w:sz w:val="20"/>
                <w:szCs w:val="20"/>
              </w:rPr>
              <w:t xml:space="preserve"> budget support represented 3 per cent of total domestic revenue.</w:t>
            </w:r>
          </w:p>
        </w:tc>
      </w:tr>
      <w:tr w:rsidR="00CA5021" w14:paraId="4DF45926" w14:textId="77777777" w:rsidTr="00E7126C">
        <w:trPr>
          <w:tblHeader/>
        </w:trPr>
        <w:tc>
          <w:tcPr>
            <w:tcW w:w="4390" w:type="dxa"/>
          </w:tcPr>
          <w:p w14:paraId="0B1E2DC4" w14:textId="1B191CED" w:rsidR="00CA5021" w:rsidRDefault="00AD0622" w:rsidP="00991859">
            <w:pPr>
              <w:spacing w:before="60"/>
              <w:ind w:left="96"/>
            </w:pPr>
            <w:bookmarkStart w:id="2" w:name="_Hlk81402301"/>
            <w:r w:rsidRPr="00DF5D81">
              <w:rPr>
                <w:bCs/>
                <w:sz w:val="20"/>
                <w:szCs w:val="20"/>
              </w:rPr>
              <w:t>Infrastructure investments are completed on time and on budget and provide local employment opportunities</w:t>
            </w:r>
            <w:bookmarkEnd w:id="2"/>
          </w:p>
        </w:tc>
        <w:tc>
          <w:tcPr>
            <w:tcW w:w="6146" w:type="dxa"/>
          </w:tcPr>
          <w:p w14:paraId="1FCE71E6" w14:textId="74BE695D" w:rsidR="00CA5021" w:rsidRDefault="00EA7430" w:rsidP="00991859">
            <w:pPr>
              <w:spacing w:before="60"/>
              <w:ind w:left="96"/>
            </w:pPr>
            <w:r>
              <w:rPr>
                <w:bCs/>
                <w:sz w:val="20"/>
                <w:szCs w:val="20"/>
              </w:rPr>
              <w:t>T</w:t>
            </w:r>
            <w:r w:rsidR="00827AE9">
              <w:rPr>
                <w:bCs/>
                <w:sz w:val="20"/>
                <w:szCs w:val="20"/>
              </w:rPr>
              <w:t xml:space="preserve">hree primary schools and one </w:t>
            </w:r>
            <w:r w:rsidR="00030E90">
              <w:rPr>
                <w:bCs/>
                <w:sz w:val="20"/>
                <w:szCs w:val="20"/>
              </w:rPr>
              <w:t>e</w:t>
            </w:r>
            <w:r w:rsidR="00827AE9">
              <w:rPr>
                <w:bCs/>
                <w:sz w:val="20"/>
                <w:szCs w:val="20"/>
              </w:rPr>
              <w:t>xamination building</w:t>
            </w:r>
            <w:r>
              <w:rPr>
                <w:bCs/>
                <w:sz w:val="20"/>
                <w:szCs w:val="20"/>
              </w:rPr>
              <w:t xml:space="preserve"> are in the process of being constructed</w:t>
            </w:r>
            <w:r w:rsidR="005450A9">
              <w:rPr>
                <w:bCs/>
                <w:sz w:val="20"/>
                <w:szCs w:val="20"/>
              </w:rPr>
              <w:t>, with three</w:t>
            </w:r>
            <w:r w:rsidR="00EB45E5">
              <w:rPr>
                <w:bCs/>
                <w:sz w:val="20"/>
                <w:szCs w:val="20"/>
              </w:rPr>
              <w:t xml:space="preserve"> schools</w:t>
            </w:r>
            <w:r w:rsidR="005450A9">
              <w:rPr>
                <w:bCs/>
                <w:sz w:val="20"/>
                <w:szCs w:val="20"/>
              </w:rPr>
              <w:t xml:space="preserve"> </w:t>
            </w:r>
            <w:r w:rsidR="00827AE9">
              <w:rPr>
                <w:bCs/>
                <w:sz w:val="20"/>
                <w:szCs w:val="20"/>
              </w:rPr>
              <w:t xml:space="preserve">due to be completed by </w:t>
            </w:r>
            <w:r w:rsidR="00030E90">
              <w:rPr>
                <w:bCs/>
                <w:sz w:val="20"/>
                <w:szCs w:val="20"/>
              </w:rPr>
              <w:t xml:space="preserve">the </w:t>
            </w:r>
            <w:r w:rsidR="00827AE9">
              <w:rPr>
                <w:bCs/>
                <w:sz w:val="20"/>
                <w:szCs w:val="20"/>
              </w:rPr>
              <w:t xml:space="preserve">end of 2022.  </w:t>
            </w:r>
            <w:r w:rsidR="00860AEA">
              <w:rPr>
                <w:bCs/>
                <w:sz w:val="20"/>
                <w:szCs w:val="20"/>
              </w:rPr>
              <w:t>Despite COVID-related supply chain disruption</w:t>
            </w:r>
            <w:r w:rsidR="005217E6">
              <w:rPr>
                <w:bCs/>
                <w:sz w:val="20"/>
                <w:szCs w:val="20"/>
              </w:rPr>
              <w:t xml:space="preserve"> and inflation</w:t>
            </w:r>
            <w:r w:rsidR="00860AEA">
              <w:rPr>
                <w:bCs/>
                <w:sz w:val="20"/>
                <w:szCs w:val="20"/>
              </w:rPr>
              <w:t>, only small increases in budgets and timelines have been experienced</w:t>
            </w:r>
            <w:r w:rsidR="005450A9">
              <w:rPr>
                <w:bCs/>
                <w:sz w:val="20"/>
                <w:szCs w:val="20"/>
              </w:rPr>
              <w:t>, largely due to utilising local workers and supplies.</w:t>
            </w:r>
            <w:r w:rsidR="00827AE9">
              <w:t xml:space="preserve"> </w:t>
            </w:r>
          </w:p>
        </w:tc>
      </w:tr>
      <w:tr w:rsidR="00CA5021" w14:paraId="51A15CF9" w14:textId="77777777" w:rsidTr="00E7126C">
        <w:trPr>
          <w:tblHeader/>
        </w:trPr>
        <w:tc>
          <w:tcPr>
            <w:tcW w:w="4390" w:type="dxa"/>
          </w:tcPr>
          <w:p w14:paraId="3C75C9F9" w14:textId="0DBFBDAB" w:rsidR="00CA5021" w:rsidRDefault="009A36B1" w:rsidP="00991859">
            <w:pPr>
              <w:spacing w:before="60"/>
              <w:ind w:left="96"/>
            </w:pPr>
            <w:r w:rsidRPr="00DF5D81">
              <w:rPr>
                <w:bCs/>
                <w:sz w:val="20"/>
                <w:szCs w:val="20"/>
              </w:rPr>
              <w:t>At least 80 per cent of trainers at the Kiribati Institute of Training (KIT) hold relevant qualifications or have commenced training to obtain relevant qualifications</w:t>
            </w:r>
          </w:p>
        </w:tc>
        <w:tc>
          <w:tcPr>
            <w:tcW w:w="6146" w:type="dxa"/>
          </w:tcPr>
          <w:p w14:paraId="0DD22350" w14:textId="4E5082FA" w:rsidR="00CA5021" w:rsidRDefault="00522E45" w:rsidP="00991859">
            <w:pPr>
              <w:spacing w:before="60"/>
              <w:ind w:left="96"/>
            </w:pPr>
            <w:r w:rsidRPr="00522E45">
              <w:rPr>
                <w:bCs/>
                <w:sz w:val="20"/>
                <w:szCs w:val="20"/>
              </w:rPr>
              <w:t>In 2021, KIT Certificate IV T</w:t>
            </w:r>
            <w:r w:rsidR="00A534CE">
              <w:rPr>
                <w:bCs/>
                <w:sz w:val="20"/>
                <w:szCs w:val="20"/>
              </w:rPr>
              <w:t xml:space="preserve">eaching </w:t>
            </w:r>
            <w:r w:rsidRPr="00522E45">
              <w:rPr>
                <w:bCs/>
                <w:sz w:val="20"/>
                <w:szCs w:val="20"/>
              </w:rPr>
              <w:t>E</w:t>
            </w:r>
            <w:r w:rsidR="00A534CE">
              <w:rPr>
                <w:bCs/>
                <w:sz w:val="20"/>
                <w:szCs w:val="20"/>
              </w:rPr>
              <w:t xml:space="preserve">nglish </w:t>
            </w:r>
            <w:r w:rsidR="007A6517">
              <w:rPr>
                <w:bCs/>
                <w:sz w:val="20"/>
                <w:szCs w:val="20"/>
              </w:rPr>
              <w:t xml:space="preserve">to </w:t>
            </w:r>
            <w:r w:rsidRPr="00522E45">
              <w:rPr>
                <w:bCs/>
                <w:sz w:val="20"/>
                <w:szCs w:val="20"/>
              </w:rPr>
              <w:t>S</w:t>
            </w:r>
            <w:r w:rsidR="007A6517">
              <w:rPr>
                <w:bCs/>
                <w:sz w:val="20"/>
                <w:szCs w:val="20"/>
              </w:rPr>
              <w:t xml:space="preserve">peakers of </w:t>
            </w:r>
            <w:r w:rsidRPr="00522E45">
              <w:rPr>
                <w:bCs/>
                <w:sz w:val="20"/>
                <w:szCs w:val="20"/>
              </w:rPr>
              <w:t>O</w:t>
            </w:r>
            <w:r w:rsidR="007A6517">
              <w:rPr>
                <w:bCs/>
                <w:sz w:val="20"/>
                <w:szCs w:val="20"/>
              </w:rPr>
              <w:t xml:space="preserve">ther </w:t>
            </w:r>
            <w:r w:rsidRPr="00522E45">
              <w:rPr>
                <w:bCs/>
                <w:sz w:val="20"/>
                <w:szCs w:val="20"/>
              </w:rPr>
              <w:t>L</w:t>
            </w:r>
            <w:r w:rsidR="007A6517">
              <w:rPr>
                <w:bCs/>
                <w:sz w:val="20"/>
                <w:szCs w:val="20"/>
              </w:rPr>
              <w:t>anguages</w:t>
            </w:r>
            <w:r w:rsidRPr="00522E45">
              <w:rPr>
                <w:bCs/>
                <w:sz w:val="20"/>
                <w:szCs w:val="20"/>
              </w:rPr>
              <w:t xml:space="preserve"> was successfully accredited with</w:t>
            </w:r>
            <w:r w:rsidR="001D4402">
              <w:rPr>
                <w:bCs/>
                <w:sz w:val="20"/>
                <w:szCs w:val="20"/>
              </w:rPr>
              <w:t xml:space="preserve"> the</w:t>
            </w:r>
            <w:r w:rsidRPr="00522E45">
              <w:rPr>
                <w:bCs/>
                <w:sz w:val="20"/>
                <w:szCs w:val="20"/>
              </w:rPr>
              <w:t xml:space="preserve"> E</w:t>
            </w:r>
            <w:r w:rsidR="001D4402">
              <w:rPr>
                <w:bCs/>
                <w:sz w:val="20"/>
                <w:szCs w:val="20"/>
              </w:rPr>
              <w:t>ducational Quality and Assessment Programme</w:t>
            </w:r>
            <w:r w:rsidRPr="00522E45">
              <w:rPr>
                <w:bCs/>
                <w:sz w:val="20"/>
                <w:szCs w:val="20"/>
              </w:rPr>
              <w:t>. Despite C</w:t>
            </w:r>
            <w:r w:rsidR="003A1485">
              <w:rPr>
                <w:bCs/>
                <w:sz w:val="20"/>
                <w:szCs w:val="20"/>
              </w:rPr>
              <w:t>OVID</w:t>
            </w:r>
            <w:r w:rsidRPr="00522E45">
              <w:rPr>
                <w:bCs/>
                <w:sz w:val="20"/>
                <w:szCs w:val="20"/>
              </w:rPr>
              <w:t xml:space="preserve">-19 challenges, </w:t>
            </w:r>
            <w:r w:rsidR="009E04C6">
              <w:rPr>
                <w:bCs/>
                <w:sz w:val="20"/>
                <w:szCs w:val="20"/>
              </w:rPr>
              <w:t>a</w:t>
            </w:r>
            <w:r w:rsidRPr="00522E45">
              <w:rPr>
                <w:bCs/>
                <w:sz w:val="20"/>
                <w:szCs w:val="20"/>
              </w:rPr>
              <w:t xml:space="preserve">round </w:t>
            </w:r>
            <w:r w:rsidR="00F20521" w:rsidRPr="00522E45">
              <w:rPr>
                <w:bCs/>
                <w:sz w:val="20"/>
                <w:szCs w:val="20"/>
              </w:rPr>
              <w:t>81</w:t>
            </w:r>
            <w:r w:rsidR="00F20521">
              <w:rPr>
                <w:bCs/>
                <w:sz w:val="20"/>
                <w:szCs w:val="20"/>
              </w:rPr>
              <w:t> </w:t>
            </w:r>
            <w:r w:rsidRPr="00522E45">
              <w:rPr>
                <w:bCs/>
                <w:sz w:val="20"/>
                <w:szCs w:val="20"/>
              </w:rPr>
              <w:t>per cent of teaching staff have their I</w:t>
            </w:r>
            <w:r w:rsidR="00D604BD">
              <w:rPr>
                <w:bCs/>
                <w:sz w:val="20"/>
                <w:szCs w:val="20"/>
              </w:rPr>
              <w:t>nternational Skills Training</w:t>
            </w:r>
            <w:r w:rsidRPr="00522E45">
              <w:rPr>
                <w:bCs/>
                <w:sz w:val="20"/>
                <w:szCs w:val="20"/>
              </w:rPr>
              <w:t xml:space="preserve"> qualification (or equivalent) or have commenced study</w:t>
            </w:r>
            <w:r w:rsidR="009E04C6">
              <w:rPr>
                <w:bCs/>
                <w:sz w:val="20"/>
                <w:szCs w:val="20"/>
              </w:rPr>
              <w:t>.</w:t>
            </w:r>
          </w:p>
        </w:tc>
      </w:tr>
      <w:tr w:rsidR="009A36B1" w14:paraId="6C2A27C8" w14:textId="77777777" w:rsidTr="00E7126C">
        <w:trPr>
          <w:tblHeader/>
        </w:trPr>
        <w:tc>
          <w:tcPr>
            <w:tcW w:w="4390" w:type="dxa"/>
          </w:tcPr>
          <w:p w14:paraId="14791F15" w14:textId="36E855D1" w:rsidR="009A36B1" w:rsidRPr="00DF5D81" w:rsidRDefault="004F0194" w:rsidP="00991859">
            <w:pPr>
              <w:spacing w:before="60"/>
              <w:ind w:left="96"/>
              <w:rPr>
                <w:bCs/>
                <w:sz w:val="20"/>
                <w:szCs w:val="20"/>
              </w:rPr>
            </w:pPr>
            <w:r w:rsidRPr="00DF5D81">
              <w:rPr>
                <w:bCs/>
                <w:sz w:val="20"/>
                <w:szCs w:val="20"/>
              </w:rPr>
              <w:t>Aggregate participation by women in all KIT courses to be 50 per cent or higher, and 20 per cent in non-traditional courses</w:t>
            </w:r>
          </w:p>
        </w:tc>
        <w:tc>
          <w:tcPr>
            <w:tcW w:w="6146" w:type="dxa"/>
          </w:tcPr>
          <w:p w14:paraId="05AA2A6C" w14:textId="15C69842" w:rsidR="009A36B1" w:rsidRDefault="000F27D0" w:rsidP="00991859">
            <w:pPr>
              <w:spacing w:before="60"/>
              <w:ind w:left="96"/>
            </w:pPr>
            <w:r>
              <w:rPr>
                <w:bCs/>
                <w:sz w:val="20"/>
                <w:szCs w:val="20"/>
              </w:rPr>
              <w:t>Females represent over 56 per cent of 2021 enrolment figure</w:t>
            </w:r>
            <w:r w:rsidR="005217E6">
              <w:rPr>
                <w:bCs/>
                <w:sz w:val="20"/>
                <w:szCs w:val="20"/>
              </w:rPr>
              <w:t xml:space="preserve"> (latest available)</w:t>
            </w:r>
            <w:r>
              <w:rPr>
                <w:bCs/>
                <w:sz w:val="20"/>
                <w:szCs w:val="20"/>
              </w:rPr>
              <w:t>, and female participation was 21 per cent in non-traditional courses.</w:t>
            </w:r>
          </w:p>
        </w:tc>
      </w:tr>
      <w:tr w:rsidR="009A36B1" w14:paraId="30EBDB57" w14:textId="77777777" w:rsidTr="00E7126C">
        <w:trPr>
          <w:tblHeader/>
        </w:trPr>
        <w:tc>
          <w:tcPr>
            <w:tcW w:w="4390" w:type="dxa"/>
          </w:tcPr>
          <w:p w14:paraId="2845067D" w14:textId="15770627" w:rsidR="009A36B1" w:rsidRPr="00DF5D81" w:rsidRDefault="00796244" w:rsidP="00991859">
            <w:pPr>
              <w:spacing w:before="60"/>
              <w:ind w:left="96"/>
              <w:rPr>
                <w:bCs/>
                <w:sz w:val="20"/>
                <w:szCs w:val="20"/>
              </w:rPr>
            </w:pPr>
            <w:r w:rsidRPr="00DF5D81">
              <w:rPr>
                <w:bCs/>
                <w:sz w:val="20"/>
                <w:szCs w:val="20"/>
              </w:rPr>
              <w:t>Aggregate participation by people with disabilities in all KIT courses is three per cent or higher</w:t>
            </w:r>
          </w:p>
        </w:tc>
        <w:tc>
          <w:tcPr>
            <w:tcW w:w="6146" w:type="dxa"/>
          </w:tcPr>
          <w:p w14:paraId="7B16B35C" w14:textId="704018BE" w:rsidR="009A36B1" w:rsidRDefault="00737C67" w:rsidP="00991859">
            <w:pPr>
              <w:spacing w:before="60"/>
              <w:ind w:left="96"/>
            </w:pPr>
            <w:r w:rsidRPr="00737C67">
              <w:rPr>
                <w:bCs/>
                <w:sz w:val="20"/>
                <w:szCs w:val="20"/>
              </w:rPr>
              <w:t xml:space="preserve">A total of 45 students enrolled in 2021 </w:t>
            </w:r>
            <w:r w:rsidR="0061485E">
              <w:rPr>
                <w:bCs/>
                <w:sz w:val="20"/>
                <w:szCs w:val="20"/>
              </w:rPr>
              <w:t xml:space="preserve">(latest available) </w:t>
            </w:r>
            <w:r w:rsidRPr="00737C67">
              <w:rPr>
                <w:bCs/>
                <w:sz w:val="20"/>
                <w:szCs w:val="20"/>
              </w:rPr>
              <w:t>identified as having disability. This represents 2.8 per cent of students with disability enrolled at KIT, slightly below the 3 per cent target.</w:t>
            </w:r>
          </w:p>
        </w:tc>
      </w:tr>
    </w:tbl>
    <w:p w14:paraId="704DED6A" w14:textId="32A99DD1" w:rsidR="010DEBE3" w:rsidRDefault="010DEBE3"/>
    <w:p w14:paraId="2F13E6BA" w14:textId="77777777" w:rsidR="008A6BB7" w:rsidRDefault="008A6BB7" w:rsidP="008A6BB7">
      <w:pPr>
        <w:pStyle w:val="Heading2"/>
        <w:sectPr w:rsidR="008A6BB7" w:rsidSect="00E7126C">
          <w:pgSz w:w="11906" w:h="16838" w:code="9"/>
          <w:pgMar w:top="1559" w:right="680" w:bottom="1418" w:left="680" w:header="567" w:footer="340" w:gutter="0"/>
          <w:cols w:space="397"/>
          <w:docGrid w:linePitch="360"/>
        </w:sectPr>
      </w:pPr>
    </w:p>
    <w:p w14:paraId="06ABEE3D" w14:textId="2A3ADDF8" w:rsidR="00D1231A" w:rsidRDefault="00121DDD" w:rsidP="008A6BB7">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480" w:type="dxa"/>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987"/>
        <w:gridCol w:w="1423"/>
        <w:gridCol w:w="1134"/>
        <w:gridCol w:w="1129"/>
      </w:tblGrid>
      <w:tr w:rsidR="00E04E01" w:rsidRPr="00DF5D81" w14:paraId="60E0D1CC" w14:textId="77777777" w:rsidTr="00E04E01">
        <w:trPr>
          <w:cnfStyle w:val="100000000000" w:firstRow="1" w:lastRow="0" w:firstColumn="0" w:lastColumn="0" w:oddVBand="0" w:evenVBand="0" w:oddHBand="0"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vAlign w:val="center"/>
          </w:tcPr>
          <w:p w14:paraId="2D38E53D" w14:textId="7003D886" w:rsidR="00E04E01" w:rsidRPr="00E04E01" w:rsidRDefault="00E04E01" w:rsidP="00E04E01">
            <w:pPr>
              <w:suppressAutoHyphens w:val="0"/>
              <w:spacing w:before="0" w:after="0" w:line="240" w:lineRule="auto"/>
              <w:jc w:val="center"/>
              <w:rPr>
                <w:rFonts w:eastAsia="Times New Roman" w:cstheme="minorHAnsi"/>
                <w:b/>
                <w:bCs/>
                <w:color w:val="404040"/>
                <w:sz w:val="20"/>
                <w:szCs w:val="20"/>
                <w:lang w:eastAsia="en-AU"/>
              </w:rPr>
            </w:pPr>
            <w:r w:rsidRPr="00E04E01">
              <w:rPr>
                <w:rFonts w:eastAsia="Times New Roman" w:cstheme="minorHAnsi"/>
                <w:b/>
                <w:bCs/>
                <w:color w:val="404040"/>
                <w:sz w:val="20"/>
                <w:szCs w:val="20"/>
                <w:lang w:eastAsia="en-AU"/>
              </w:rPr>
              <w:t>Investment Details</w:t>
            </w:r>
          </w:p>
        </w:tc>
        <w:tc>
          <w:tcPr>
            <w:tcW w:w="987" w:type="dxa"/>
            <w:tcBorders>
              <w:top w:val="none" w:sz="0" w:space="0" w:color="auto"/>
            </w:tcBorders>
            <w:shd w:val="clear" w:color="auto" w:fill="A2DCD1" w:themeFill="accent1" w:themeFillTint="99"/>
          </w:tcPr>
          <w:p w14:paraId="7ABF216F" w14:textId="57AEE59C" w:rsidR="00E04E01" w:rsidRPr="00E04E01" w:rsidRDefault="00E04E01" w:rsidP="00E04E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AU" w:eastAsia="en-AU"/>
              </w:rPr>
            </w:pPr>
            <w:r w:rsidRPr="00E04E01">
              <w:rPr>
                <w:rFonts w:eastAsia="Times New Roman" w:cstheme="minorHAnsi"/>
                <w:b/>
                <w:bCs/>
                <w:color w:val="000000"/>
                <w:sz w:val="20"/>
                <w:szCs w:val="20"/>
                <w:lang w:val="en-AU" w:eastAsia="en-AU"/>
              </w:rPr>
              <w:t>Year</w:t>
            </w:r>
          </w:p>
        </w:tc>
        <w:tc>
          <w:tcPr>
            <w:tcW w:w="1423" w:type="dxa"/>
            <w:tcBorders>
              <w:top w:val="none" w:sz="0" w:space="0" w:color="auto"/>
            </w:tcBorders>
            <w:shd w:val="clear" w:color="auto" w:fill="A2DCD1" w:themeFill="accent1" w:themeFillTint="99"/>
            <w:noWrap/>
          </w:tcPr>
          <w:p w14:paraId="11729C15" w14:textId="505CCEED" w:rsidR="00E04E01" w:rsidRPr="00E04E01" w:rsidRDefault="00E04E01" w:rsidP="00E04E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AU" w:eastAsia="en-AU"/>
              </w:rPr>
            </w:pPr>
            <w:r w:rsidRPr="00E04E01">
              <w:rPr>
                <w:rFonts w:eastAsia="Times New Roman" w:cstheme="minorHAnsi"/>
                <w:b/>
                <w:bCs/>
                <w:color w:val="000000"/>
                <w:sz w:val="20"/>
                <w:szCs w:val="20"/>
                <w:lang w:val="en-AU" w:eastAsia="en-AU"/>
              </w:rPr>
              <w:t>Effectiveness</w:t>
            </w:r>
          </w:p>
        </w:tc>
        <w:tc>
          <w:tcPr>
            <w:tcW w:w="1134" w:type="dxa"/>
            <w:tcBorders>
              <w:top w:val="none" w:sz="0" w:space="0" w:color="auto"/>
            </w:tcBorders>
            <w:shd w:val="clear" w:color="auto" w:fill="A2DCD1" w:themeFill="accent1" w:themeFillTint="99"/>
            <w:noWrap/>
          </w:tcPr>
          <w:p w14:paraId="74DA95BC" w14:textId="2BBB27C9" w:rsidR="00E04E01" w:rsidRPr="00E04E01" w:rsidRDefault="00E04E01" w:rsidP="00E04E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AU" w:eastAsia="en-AU"/>
              </w:rPr>
            </w:pPr>
            <w:r w:rsidRPr="00E04E01">
              <w:rPr>
                <w:rFonts w:eastAsia="Times New Roman" w:cstheme="minorHAnsi"/>
                <w:b/>
                <w:bCs/>
                <w:color w:val="000000"/>
                <w:sz w:val="20"/>
                <w:szCs w:val="20"/>
                <w:lang w:val="en-AU" w:eastAsia="en-AU"/>
              </w:rPr>
              <w:t>Efficiency</w:t>
            </w:r>
          </w:p>
        </w:tc>
        <w:tc>
          <w:tcPr>
            <w:tcW w:w="1129" w:type="dxa"/>
            <w:tcBorders>
              <w:top w:val="none" w:sz="0" w:space="0" w:color="auto"/>
            </w:tcBorders>
            <w:shd w:val="clear" w:color="auto" w:fill="A2DCD1" w:themeFill="accent1" w:themeFillTint="99"/>
            <w:noWrap/>
          </w:tcPr>
          <w:p w14:paraId="00AF51C6" w14:textId="1AD93075" w:rsidR="00E04E01" w:rsidRPr="00E04E01" w:rsidRDefault="00E04E01" w:rsidP="00E04E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AU" w:eastAsia="en-AU"/>
              </w:rPr>
            </w:pPr>
            <w:r w:rsidRPr="00E04E01">
              <w:rPr>
                <w:rFonts w:eastAsia="Times New Roman" w:cstheme="minorHAnsi"/>
                <w:b/>
                <w:bCs/>
                <w:color w:val="000000"/>
                <w:sz w:val="20"/>
                <w:szCs w:val="20"/>
                <w:lang w:val="en-AU" w:eastAsia="en-AU"/>
              </w:rPr>
              <w:t>Gender Equality</w:t>
            </w:r>
          </w:p>
        </w:tc>
      </w:tr>
      <w:tr w:rsidR="00E07175" w:rsidRPr="00DF5D81" w14:paraId="01583BB3" w14:textId="77777777" w:rsidTr="00E04E0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noWrap/>
            <w:vAlign w:val="center"/>
          </w:tcPr>
          <w:p w14:paraId="0A9C23A5" w14:textId="77777777" w:rsidR="00E07175" w:rsidRPr="00DF5D81" w:rsidRDefault="00E07175" w:rsidP="005C59B4">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DF5D81">
              <w:rPr>
                <w:rFonts w:asciiTheme="minorHAnsi" w:eastAsia="Times New Roman" w:hAnsiTheme="minorHAnsi" w:cstheme="minorHAnsi"/>
                <w:b/>
                <w:bCs/>
                <w:color w:val="404040"/>
                <w:sz w:val="20"/>
                <w:szCs w:val="20"/>
                <w:lang w:eastAsia="en-AU"/>
              </w:rPr>
              <w:t xml:space="preserve">Kiribati facility: </w:t>
            </w:r>
            <w:r w:rsidRPr="00DF5D81">
              <w:rPr>
                <w:rFonts w:eastAsia="Times New Roman" w:cstheme="minorHAnsi"/>
                <w:b/>
                <w:bCs/>
                <w:color w:val="404040"/>
                <w:sz w:val="20"/>
                <w:szCs w:val="20"/>
                <w:lang w:eastAsia="en-AU"/>
              </w:rPr>
              <w:t>Skills for Employment Program</w:t>
            </w:r>
          </w:p>
        </w:tc>
        <w:tc>
          <w:tcPr>
            <w:tcW w:w="987" w:type="dxa"/>
            <w:tcBorders>
              <w:bottom w:val="nil"/>
            </w:tcBorders>
            <w:shd w:val="clear" w:color="auto" w:fill="F2F2F2" w:themeFill="background1" w:themeFillShade="F2"/>
          </w:tcPr>
          <w:p w14:paraId="231025C5" w14:textId="2D1F0179" w:rsidR="00E07175" w:rsidRPr="00DF5D81" w:rsidRDefault="00E07175" w:rsidP="005C59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w:t>
            </w:r>
            <w:r w:rsidR="00E322F9">
              <w:rPr>
                <w:rFonts w:asciiTheme="minorHAnsi" w:eastAsia="Times New Roman" w:hAnsiTheme="minorHAnsi" w:cstheme="minorHAnsi"/>
                <w:color w:val="000000"/>
                <w:sz w:val="20"/>
                <w:szCs w:val="20"/>
                <w:lang w:val="en-AU" w:eastAsia="en-AU"/>
              </w:rPr>
              <w:t>2</w:t>
            </w:r>
          </w:p>
        </w:tc>
        <w:tc>
          <w:tcPr>
            <w:tcW w:w="1423" w:type="dxa"/>
            <w:tcBorders>
              <w:bottom w:val="nil"/>
            </w:tcBorders>
            <w:shd w:val="clear" w:color="auto" w:fill="F2F2F2" w:themeFill="background1" w:themeFillShade="F2"/>
            <w:noWrap/>
          </w:tcPr>
          <w:p w14:paraId="3D85AC37" w14:textId="7A14339D" w:rsidR="00E07175" w:rsidRPr="00DF5D81" w:rsidRDefault="001C7926" w:rsidP="005C59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bottom w:val="nil"/>
            </w:tcBorders>
            <w:shd w:val="clear" w:color="auto" w:fill="F2F2F2" w:themeFill="background1" w:themeFillShade="F2"/>
            <w:noWrap/>
          </w:tcPr>
          <w:p w14:paraId="4C2C95EB" w14:textId="740D07DE" w:rsidR="00E07175" w:rsidRPr="00DF5D81" w:rsidRDefault="001C7926" w:rsidP="005C59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29" w:type="dxa"/>
            <w:tcBorders>
              <w:bottom w:val="nil"/>
            </w:tcBorders>
            <w:shd w:val="clear" w:color="auto" w:fill="F2F2F2" w:themeFill="background1" w:themeFillShade="F2"/>
            <w:noWrap/>
          </w:tcPr>
          <w:p w14:paraId="65802D56" w14:textId="035F4CDC" w:rsidR="00E07175" w:rsidRPr="00DF5D81" w:rsidRDefault="001C7926" w:rsidP="005C59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E322F9" w:rsidRPr="00DF5D81" w14:paraId="7CD1242A" w14:textId="77777777" w:rsidTr="00E04E01">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top w:val="nil"/>
              <w:bottom w:val="single" w:sz="4" w:space="0" w:color="65C5B4" w:themeColor="accent1"/>
            </w:tcBorders>
            <w:shd w:val="clear" w:color="auto" w:fill="F2F2F2" w:themeFill="background1" w:themeFillShade="F2"/>
            <w:noWrap/>
            <w:vAlign w:val="center"/>
          </w:tcPr>
          <w:p w14:paraId="0B073A4B" w14:textId="54151DDC" w:rsidR="00E322F9" w:rsidRPr="00DF5D81" w:rsidRDefault="00E322F9" w:rsidP="00E322F9">
            <w:pPr>
              <w:spacing w:before="0" w:after="0" w:line="240" w:lineRule="auto"/>
              <w:ind w:firstLineChars="100" w:firstLine="200"/>
              <w:rPr>
                <w:rFonts w:eastAsia="Times New Roman" w:cstheme="minorHAnsi"/>
                <w:b/>
                <w:bCs/>
                <w:color w:val="404040"/>
                <w:sz w:val="20"/>
                <w:szCs w:val="20"/>
                <w:lang w:eastAsia="en-AU"/>
              </w:rPr>
            </w:pPr>
            <w:r w:rsidRPr="00DF5D81">
              <w:rPr>
                <w:rFonts w:asciiTheme="minorHAnsi" w:eastAsia="Times New Roman" w:hAnsiTheme="minorHAnsi" w:cstheme="minorHAnsi"/>
                <w:color w:val="404040"/>
                <w:sz w:val="20"/>
                <w:szCs w:val="20"/>
                <w:lang w:val="en-AU" w:eastAsia="en-AU"/>
              </w:rPr>
              <w:t xml:space="preserve">Investment duration: 2016-23; Budget: $36.7m </w:t>
            </w:r>
          </w:p>
        </w:tc>
        <w:tc>
          <w:tcPr>
            <w:tcW w:w="987" w:type="dxa"/>
            <w:tcBorders>
              <w:top w:val="nil"/>
              <w:bottom w:val="single" w:sz="4" w:space="0" w:color="65C5B4" w:themeColor="accent1"/>
            </w:tcBorders>
            <w:shd w:val="clear" w:color="auto" w:fill="F2F2F2" w:themeFill="background1" w:themeFillShade="F2"/>
          </w:tcPr>
          <w:p w14:paraId="2F540F63" w14:textId="439D5616"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2021</w:t>
            </w:r>
          </w:p>
        </w:tc>
        <w:tc>
          <w:tcPr>
            <w:tcW w:w="1423" w:type="dxa"/>
            <w:tcBorders>
              <w:top w:val="nil"/>
              <w:bottom w:val="single" w:sz="4" w:space="0" w:color="65C5B4" w:themeColor="accent1"/>
            </w:tcBorders>
            <w:shd w:val="clear" w:color="auto" w:fill="F2F2F2" w:themeFill="background1" w:themeFillShade="F2"/>
            <w:noWrap/>
          </w:tcPr>
          <w:p w14:paraId="46DF0F06" w14:textId="05FC72D2"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5</w:t>
            </w:r>
          </w:p>
        </w:tc>
        <w:tc>
          <w:tcPr>
            <w:tcW w:w="1134" w:type="dxa"/>
            <w:tcBorders>
              <w:top w:val="nil"/>
              <w:bottom w:val="single" w:sz="4" w:space="0" w:color="65C5B4" w:themeColor="accent1"/>
            </w:tcBorders>
            <w:shd w:val="clear" w:color="auto" w:fill="F2F2F2" w:themeFill="background1" w:themeFillShade="F2"/>
            <w:noWrap/>
          </w:tcPr>
          <w:p w14:paraId="76502CA6" w14:textId="40CD9A30"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5</w:t>
            </w:r>
          </w:p>
        </w:tc>
        <w:tc>
          <w:tcPr>
            <w:tcW w:w="1129" w:type="dxa"/>
            <w:tcBorders>
              <w:top w:val="nil"/>
              <w:bottom w:val="single" w:sz="4" w:space="0" w:color="65C5B4" w:themeColor="accent1"/>
            </w:tcBorders>
            <w:shd w:val="clear" w:color="auto" w:fill="F2F2F2" w:themeFill="background1" w:themeFillShade="F2"/>
            <w:noWrap/>
          </w:tcPr>
          <w:p w14:paraId="7CCDC37A" w14:textId="2AA0EA3F"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5</w:t>
            </w:r>
          </w:p>
        </w:tc>
      </w:tr>
      <w:tr w:rsidR="00E04E01" w:rsidRPr="00DF5D81" w14:paraId="400C1043" w14:textId="77777777" w:rsidTr="00E04E0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noWrap/>
            <w:vAlign w:val="center"/>
          </w:tcPr>
          <w:p w14:paraId="6DD1A75A" w14:textId="77777777" w:rsidR="00E322F9" w:rsidRPr="00DF5D81" w:rsidRDefault="00E322F9" w:rsidP="00E322F9">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DF5D81">
              <w:rPr>
                <w:rFonts w:asciiTheme="minorHAnsi" w:eastAsia="Times New Roman" w:hAnsiTheme="minorHAnsi" w:cstheme="minorHAnsi"/>
                <w:b/>
                <w:bCs/>
                <w:color w:val="404040"/>
                <w:sz w:val="20"/>
                <w:szCs w:val="20"/>
                <w:lang w:eastAsia="en-AU"/>
              </w:rPr>
              <w:t xml:space="preserve">Kiribati Health Sector Support </w:t>
            </w:r>
          </w:p>
        </w:tc>
        <w:tc>
          <w:tcPr>
            <w:tcW w:w="987" w:type="dxa"/>
            <w:tcBorders>
              <w:bottom w:val="nil"/>
            </w:tcBorders>
          </w:tcPr>
          <w:p w14:paraId="1F0E182A" w14:textId="281B1E0E" w:rsidR="00E322F9" w:rsidRPr="00DF5D81" w:rsidRDefault="00E322F9" w:rsidP="00E322F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23" w:type="dxa"/>
            <w:tcBorders>
              <w:bottom w:val="nil"/>
            </w:tcBorders>
            <w:noWrap/>
          </w:tcPr>
          <w:p w14:paraId="7AC1CF75" w14:textId="3CBD2976" w:rsidR="00E322F9" w:rsidRPr="00DF5D81" w:rsidRDefault="00E322F9" w:rsidP="00E322F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134" w:type="dxa"/>
            <w:tcBorders>
              <w:bottom w:val="nil"/>
            </w:tcBorders>
            <w:noWrap/>
          </w:tcPr>
          <w:p w14:paraId="7840B14A" w14:textId="77777777" w:rsidR="00E322F9" w:rsidRPr="00DF5D81" w:rsidRDefault="00E322F9" w:rsidP="00E322F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eastAsia="en-AU"/>
              </w:rPr>
              <w:t>5</w:t>
            </w:r>
          </w:p>
        </w:tc>
        <w:tc>
          <w:tcPr>
            <w:tcW w:w="1129" w:type="dxa"/>
            <w:tcBorders>
              <w:bottom w:val="nil"/>
            </w:tcBorders>
            <w:noWrap/>
          </w:tcPr>
          <w:p w14:paraId="64DE5266" w14:textId="77777777" w:rsidR="00E322F9" w:rsidRPr="00DF5D81" w:rsidRDefault="00E322F9" w:rsidP="00E322F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eastAsia="en-AU"/>
              </w:rPr>
              <w:t>4</w:t>
            </w:r>
          </w:p>
        </w:tc>
      </w:tr>
      <w:tr w:rsidR="00E322F9" w:rsidRPr="00DF5D81" w14:paraId="1AB56376" w14:textId="77777777" w:rsidTr="00E04E01">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top w:val="nil"/>
              <w:bottom w:val="single" w:sz="4" w:space="0" w:color="65C5B4" w:themeColor="accent1"/>
            </w:tcBorders>
            <w:shd w:val="clear" w:color="auto" w:fill="E0F3EF" w:themeFill="accent1" w:themeFillTint="33"/>
            <w:vAlign w:val="center"/>
          </w:tcPr>
          <w:p w14:paraId="29D8A1D3" w14:textId="24B53119" w:rsidR="00E322F9" w:rsidRPr="00DF5D81" w:rsidRDefault="00E322F9" w:rsidP="00E322F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DF5D81">
              <w:rPr>
                <w:rFonts w:asciiTheme="minorHAnsi" w:eastAsia="Times New Roman" w:hAnsiTheme="minorHAnsi" w:cstheme="minorHAnsi"/>
                <w:color w:val="404040"/>
                <w:sz w:val="20"/>
                <w:szCs w:val="20"/>
                <w:lang w:val="en-AU" w:eastAsia="en-AU"/>
              </w:rPr>
              <w:t>Investment duration: 2018-2</w:t>
            </w:r>
            <w:r>
              <w:rPr>
                <w:rFonts w:asciiTheme="minorHAnsi" w:eastAsia="Times New Roman" w:hAnsiTheme="minorHAnsi" w:cstheme="minorHAnsi"/>
                <w:color w:val="404040"/>
                <w:sz w:val="20"/>
                <w:szCs w:val="20"/>
                <w:lang w:val="en-AU" w:eastAsia="en-AU"/>
              </w:rPr>
              <w:t>3</w:t>
            </w:r>
            <w:r w:rsidRPr="00DF5D81">
              <w:rPr>
                <w:rFonts w:asciiTheme="minorHAnsi" w:eastAsia="Times New Roman" w:hAnsiTheme="minorHAnsi" w:cstheme="minorHAnsi"/>
                <w:color w:val="404040"/>
                <w:sz w:val="20"/>
                <w:szCs w:val="20"/>
                <w:lang w:val="en-AU" w:eastAsia="en-AU"/>
              </w:rPr>
              <w:t xml:space="preserve">; Budget: $7.9m </w:t>
            </w:r>
          </w:p>
        </w:tc>
        <w:tc>
          <w:tcPr>
            <w:tcW w:w="987" w:type="dxa"/>
            <w:tcBorders>
              <w:top w:val="nil"/>
              <w:bottom w:val="single" w:sz="4" w:space="0" w:color="65C5B4" w:themeColor="accent1"/>
            </w:tcBorders>
            <w:shd w:val="clear" w:color="auto" w:fill="E0F3EF" w:themeFill="accent1" w:themeFillTint="33"/>
          </w:tcPr>
          <w:p w14:paraId="76C4DA11" w14:textId="77779980"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2021</w:t>
            </w:r>
          </w:p>
        </w:tc>
        <w:tc>
          <w:tcPr>
            <w:tcW w:w="1423" w:type="dxa"/>
            <w:tcBorders>
              <w:top w:val="nil"/>
              <w:bottom w:val="single" w:sz="4" w:space="0" w:color="65C5B4" w:themeColor="accent1"/>
            </w:tcBorders>
            <w:shd w:val="clear" w:color="auto" w:fill="E0F3EF" w:themeFill="accent1" w:themeFillTint="33"/>
            <w:noWrap/>
          </w:tcPr>
          <w:p w14:paraId="78EEA3C7" w14:textId="7B18B2B0"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eastAsia="en-AU"/>
              </w:rPr>
              <w:t>5</w:t>
            </w:r>
          </w:p>
        </w:tc>
        <w:tc>
          <w:tcPr>
            <w:tcW w:w="1134" w:type="dxa"/>
            <w:tcBorders>
              <w:top w:val="nil"/>
              <w:bottom w:val="single" w:sz="4" w:space="0" w:color="65C5B4" w:themeColor="accent1"/>
            </w:tcBorders>
            <w:shd w:val="clear" w:color="auto" w:fill="E0F3EF" w:themeFill="accent1" w:themeFillTint="33"/>
            <w:noWrap/>
          </w:tcPr>
          <w:p w14:paraId="760DEED1" w14:textId="7FF7FE33"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eastAsia="en-AU"/>
              </w:rPr>
              <w:t>5</w:t>
            </w:r>
          </w:p>
        </w:tc>
        <w:tc>
          <w:tcPr>
            <w:tcW w:w="1129" w:type="dxa"/>
            <w:tcBorders>
              <w:top w:val="nil"/>
              <w:bottom w:val="single" w:sz="4" w:space="0" w:color="65C5B4" w:themeColor="accent1"/>
            </w:tcBorders>
            <w:shd w:val="clear" w:color="auto" w:fill="E0F3EF" w:themeFill="accent1" w:themeFillTint="33"/>
            <w:noWrap/>
          </w:tcPr>
          <w:p w14:paraId="0F8FCCED" w14:textId="12D869B8" w:rsidR="00E322F9" w:rsidRPr="00DF5D81" w:rsidRDefault="00E322F9" w:rsidP="00E322F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eastAsia="en-AU"/>
              </w:rPr>
              <w:t>4</w:t>
            </w:r>
          </w:p>
        </w:tc>
      </w:tr>
      <w:tr w:rsidR="00EB1DBB" w:rsidRPr="00DF5D81" w14:paraId="21758103" w14:textId="77777777" w:rsidTr="00E04E0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center"/>
          </w:tcPr>
          <w:p w14:paraId="642CEACF" w14:textId="759E58FF" w:rsidR="00EB1DBB" w:rsidRPr="00DF5D81" w:rsidRDefault="00F76EEA" w:rsidP="00BB39DD">
            <w:pPr>
              <w:suppressAutoHyphens w:val="0"/>
              <w:spacing w:before="0" w:after="0" w:line="240" w:lineRule="auto"/>
              <w:rPr>
                <w:rFonts w:eastAsia="Times New Roman" w:cstheme="minorHAnsi"/>
                <w:color w:val="404040"/>
                <w:sz w:val="20"/>
                <w:szCs w:val="20"/>
                <w:lang w:val="en-AU" w:eastAsia="en-AU"/>
              </w:rPr>
            </w:pPr>
            <w:r>
              <w:rPr>
                <w:rFonts w:asciiTheme="minorHAnsi" w:eastAsia="Times New Roman" w:hAnsiTheme="minorHAnsi" w:cstheme="minorHAnsi"/>
                <w:b/>
                <w:bCs/>
                <w:color w:val="404040"/>
                <w:sz w:val="20"/>
                <w:szCs w:val="20"/>
                <w:lang w:eastAsia="en-AU"/>
              </w:rPr>
              <w:t>Improved basic education – Phase 3</w:t>
            </w:r>
          </w:p>
        </w:tc>
        <w:tc>
          <w:tcPr>
            <w:tcW w:w="987" w:type="dxa"/>
            <w:tcBorders>
              <w:bottom w:val="nil"/>
            </w:tcBorders>
            <w:shd w:val="clear" w:color="auto" w:fill="F2F2F2" w:themeFill="background1" w:themeFillShade="F2"/>
          </w:tcPr>
          <w:p w14:paraId="2A38FB44" w14:textId="17E40E8E" w:rsidR="00EB1DBB" w:rsidRPr="00DF5D81" w:rsidRDefault="00EB1DBB"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23" w:type="dxa"/>
            <w:tcBorders>
              <w:bottom w:val="nil"/>
            </w:tcBorders>
            <w:shd w:val="clear" w:color="auto" w:fill="F2F2F2" w:themeFill="background1" w:themeFillShade="F2"/>
            <w:noWrap/>
          </w:tcPr>
          <w:p w14:paraId="670C210A" w14:textId="24531B4A" w:rsidR="00EB1DBB" w:rsidRPr="00DF5D81" w:rsidRDefault="00D108B4"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5</w:t>
            </w:r>
          </w:p>
        </w:tc>
        <w:tc>
          <w:tcPr>
            <w:tcW w:w="1134" w:type="dxa"/>
            <w:tcBorders>
              <w:bottom w:val="nil"/>
            </w:tcBorders>
            <w:shd w:val="clear" w:color="auto" w:fill="F2F2F2" w:themeFill="background1" w:themeFillShade="F2"/>
            <w:noWrap/>
          </w:tcPr>
          <w:p w14:paraId="575C6575" w14:textId="66CBD800" w:rsidR="00EB1DBB" w:rsidRPr="00DF5D81" w:rsidRDefault="00D108B4"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129" w:type="dxa"/>
            <w:tcBorders>
              <w:bottom w:val="nil"/>
            </w:tcBorders>
            <w:shd w:val="clear" w:color="auto" w:fill="F2F2F2" w:themeFill="background1" w:themeFillShade="F2"/>
            <w:noWrap/>
          </w:tcPr>
          <w:p w14:paraId="0EAD17C4" w14:textId="018DDD37" w:rsidR="00EB1DBB" w:rsidRPr="00DF5D81" w:rsidRDefault="00D108B4"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5</w:t>
            </w:r>
          </w:p>
        </w:tc>
      </w:tr>
      <w:tr w:rsidR="00BB39DD" w:rsidRPr="00DF5D81" w14:paraId="07B7C617" w14:textId="77777777" w:rsidTr="00E04E01">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top w:val="nil"/>
              <w:bottom w:val="single" w:sz="4" w:space="0" w:color="65C5B4" w:themeColor="accent1"/>
            </w:tcBorders>
            <w:shd w:val="clear" w:color="auto" w:fill="F2F2F2" w:themeFill="background1" w:themeFillShade="F2"/>
            <w:vAlign w:val="center"/>
          </w:tcPr>
          <w:p w14:paraId="33E31C85" w14:textId="5C5AD4C9" w:rsidR="00BB39DD" w:rsidRPr="00DF5D81" w:rsidRDefault="00F76EEA" w:rsidP="00EB1DBB">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duration: 2009-23; Budget$96m</w:t>
            </w:r>
          </w:p>
        </w:tc>
        <w:tc>
          <w:tcPr>
            <w:tcW w:w="987" w:type="dxa"/>
            <w:tcBorders>
              <w:top w:val="nil"/>
              <w:bottom w:val="single" w:sz="4" w:space="0" w:color="65C5B4" w:themeColor="accent1"/>
            </w:tcBorders>
            <w:shd w:val="clear" w:color="auto" w:fill="F2F2F2" w:themeFill="background1" w:themeFillShade="F2"/>
          </w:tcPr>
          <w:p w14:paraId="2AC9D849" w14:textId="230F19AE" w:rsidR="00BB39DD" w:rsidRPr="00DF5D81" w:rsidRDefault="00BB39DD"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2021</w:t>
            </w:r>
          </w:p>
        </w:tc>
        <w:tc>
          <w:tcPr>
            <w:tcW w:w="1423" w:type="dxa"/>
            <w:tcBorders>
              <w:top w:val="nil"/>
              <w:bottom w:val="single" w:sz="4" w:space="0" w:color="65C5B4" w:themeColor="accent1"/>
            </w:tcBorders>
            <w:shd w:val="clear" w:color="auto" w:fill="F2F2F2" w:themeFill="background1" w:themeFillShade="F2"/>
            <w:noWrap/>
          </w:tcPr>
          <w:p w14:paraId="1C7B2451" w14:textId="2A2E92B6" w:rsidR="00BB39DD" w:rsidRPr="00DF5D81" w:rsidRDefault="00FA6D65"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134" w:type="dxa"/>
            <w:tcBorders>
              <w:top w:val="nil"/>
              <w:bottom w:val="single" w:sz="4" w:space="0" w:color="65C5B4" w:themeColor="accent1"/>
            </w:tcBorders>
            <w:shd w:val="clear" w:color="auto" w:fill="F2F2F2" w:themeFill="background1" w:themeFillShade="F2"/>
            <w:noWrap/>
          </w:tcPr>
          <w:p w14:paraId="3B2CE8F4" w14:textId="57BF17E6" w:rsidR="00BB39DD" w:rsidRPr="00DF5D81" w:rsidRDefault="00FA6D65"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129" w:type="dxa"/>
            <w:tcBorders>
              <w:top w:val="nil"/>
              <w:bottom w:val="single" w:sz="4" w:space="0" w:color="65C5B4" w:themeColor="accent1"/>
            </w:tcBorders>
            <w:shd w:val="clear" w:color="auto" w:fill="F2F2F2" w:themeFill="background1" w:themeFillShade="F2"/>
            <w:noWrap/>
          </w:tcPr>
          <w:p w14:paraId="44F1B4F4" w14:textId="5904ACD8" w:rsidR="00BB39DD" w:rsidRPr="00DF5D81" w:rsidRDefault="00FA6D65"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5</w:t>
            </w:r>
          </w:p>
        </w:tc>
      </w:tr>
      <w:tr w:rsidR="00E04E01" w:rsidRPr="00DF5D81" w14:paraId="17FDC259" w14:textId="77777777" w:rsidTr="00E04E0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noWrap/>
            <w:vAlign w:val="center"/>
          </w:tcPr>
          <w:p w14:paraId="3BB564A8" w14:textId="77777777" w:rsidR="00EB1DBB" w:rsidRPr="00DF5D81" w:rsidRDefault="00EB1DBB" w:rsidP="00EB1DBB">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DF5D81">
              <w:rPr>
                <w:rFonts w:asciiTheme="minorHAnsi" w:eastAsia="Times New Roman" w:hAnsiTheme="minorHAnsi" w:cstheme="minorHAnsi"/>
                <w:b/>
                <w:bCs/>
                <w:color w:val="404040"/>
                <w:sz w:val="20"/>
                <w:szCs w:val="20"/>
                <w:lang w:eastAsia="en-AU"/>
              </w:rPr>
              <w:t>Kiribati Gender</w:t>
            </w:r>
          </w:p>
        </w:tc>
        <w:tc>
          <w:tcPr>
            <w:tcW w:w="987" w:type="dxa"/>
            <w:tcBorders>
              <w:bottom w:val="nil"/>
            </w:tcBorders>
          </w:tcPr>
          <w:p w14:paraId="38E3631D" w14:textId="18F20F3F" w:rsidR="00EB1DBB" w:rsidRPr="00DF5D81" w:rsidRDefault="00EB1DBB"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23" w:type="dxa"/>
            <w:tcBorders>
              <w:bottom w:val="nil"/>
            </w:tcBorders>
            <w:noWrap/>
          </w:tcPr>
          <w:p w14:paraId="065E2076" w14:textId="2E19A35F" w:rsidR="00EB1DBB" w:rsidRPr="00DF5D81" w:rsidRDefault="0088670F"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bottom w:val="nil"/>
            </w:tcBorders>
            <w:noWrap/>
          </w:tcPr>
          <w:p w14:paraId="641008EF" w14:textId="289D463C" w:rsidR="00EB1DBB" w:rsidRPr="00DF5D81" w:rsidRDefault="0088670F"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29" w:type="dxa"/>
            <w:tcBorders>
              <w:bottom w:val="nil"/>
            </w:tcBorders>
            <w:noWrap/>
          </w:tcPr>
          <w:p w14:paraId="5633B042" w14:textId="349C33A7" w:rsidR="00EB1DBB" w:rsidRPr="00DF5D81" w:rsidRDefault="0088670F" w:rsidP="00EB1DBB">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EB1DBB" w:rsidRPr="00DF5D81" w14:paraId="7C78470D" w14:textId="77777777" w:rsidTr="00E04E01">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vAlign w:val="center"/>
          </w:tcPr>
          <w:p w14:paraId="386D1988" w14:textId="59F50A66" w:rsidR="00EB1DBB" w:rsidRPr="00DF5D81" w:rsidRDefault="00EB1DBB" w:rsidP="00EB1DBB">
            <w:pPr>
              <w:spacing w:before="0" w:after="0" w:line="240" w:lineRule="auto"/>
              <w:ind w:firstLineChars="100" w:firstLine="200"/>
              <w:rPr>
                <w:rFonts w:eastAsia="Times New Roman" w:cstheme="minorHAnsi"/>
                <w:color w:val="404040"/>
                <w:sz w:val="20"/>
                <w:szCs w:val="20"/>
                <w:lang w:val="en-AU" w:eastAsia="en-AU"/>
              </w:rPr>
            </w:pPr>
            <w:r w:rsidRPr="00DF5D81">
              <w:rPr>
                <w:rFonts w:asciiTheme="minorHAnsi" w:eastAsia="Times New Roman" w:hAnsiTheme="minorHAnsi" w:cstheme="minorHAnsi"/>
                <w:color w:val="404040"/>
                <w:sz w:val="20"/>
                <w:szCs w:val="20"/>
                <w:lang w:val="en-AU" w:eastAsia="en-AU"/>
              </w:rPr>
              <w:t>Investment duration: 2011-2023; Budget: $5.1m</w:t>
            </w:r>
          </w:p>
        </w:tc>
        <w:tc>
          <w:tcPr>
            <w:tcW w:w="987" w:type="dxa"/>
            <w:tcBorders>
              <w:top w:val="nil"/>
            </w:tcBorders>
            <w:shd w:val="clear" w:color="auto" w:fill="E0F3EF" w:themeFill="accent1" w:themeFillTint="33"/>
          </w:tcPr>
          <w:p w14:paraId="4C794648" w14:textId="562CDCC3" w:rsidR="00EB1DBB" w:rsidRPr="00DF5D81" w:rsidRDefault="00EB1DBB"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val="en-AU" w:eastAsia="en-AU"/>
              </w:rPr>
            </w:pPr>
            <w:r w:rsidRPr="00DF5D81">
              <w:rPr>
                <w:rFonts w:asciiTheme="minorHAnsi" w:eastAsia="Times New Roman" w:hAnsiTheme="minorHAnsi" w:cstheme="minorHAnsi"/>
                <w:color w:val="000000"/>
                <w:sz w:val="20"/>
                <w:szCs w:val="20"/>
                <w:lang w:val="en-AU" w:eastAsia="en-AU"/>
              </w:rPr>
              <w:t>2021</w:t>
            </w:r>
          </w:p>
        </w:tc>
        <w:tc>
          <w:tcPr>
            <w:tcW w:w="1423" w:type="dxa"/>
            <w:tcBorders>
              <w:top w:val="nil"/>
            </w:tcBorders>
            <w:shd w:val="clear" w:color="auto" w:fill="E0F3EF" w:themeFill="accent1" w:themeFillTint="33"/>
            <w:noWrap/>
          </w:tcPr>
          <w:p w14:paraId="638A03C2" w14:textId="121E1B4E" w:rsidR="00EB1DBB" w:rsidRPr="00DF5D81" w:rsidRDefault="00EB1DBB"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sidRPr="00DF5D81">
              <w:rPr>
                <w:rFonts w:asciiTheme="minorHAnsi" w:eastAsia="Times New Roman" w:hAnsiTheme="minorHAnsi" w:cstheme="minorHAnsi"/>
                <w:color w:val="000000"/>
                <w:sz w:val="20"/>
                <w:szCs w:val="20"/>
                <w:lang w:eastAsia="en-AU"/>
              </w:rPr>
              <w:t>5</w:t>
            </w:r>
          </w:p>
        </w:tc>
        <w:tc>
          <w:tcPr>
            <w:tcW w:w="1134" w:type="dxa"/>
            <w:tcBorders>
              <w:top w:val="nil"/>
            </w:tcBorders>
            <w:shd w:val="clear" w:color="auto" w:fill="E0F3EF" w:themeFill="accent1" w:themeFillTint="33"/>
            <w:noWrap/>
          </w:tcPr>
          <w:p w14:paraId="40BF0DE1" w14:textId="280A397B" w:rsidR="00EB1DBB" w:rsidRPr="00DF5D81" w:rsidRDefault="00EB1DBB"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sidRPr="00DF5D81">
              <w:rPr>
                <w:rFonts w:asciiTheme="minorHAnsi" w:eastAsia="Times New Roman" w:hAnsiTheme="minorHAnsi" w:cstheme="minorHAnsi"/>
                <w:color w:val="000000"/>
                <w:sz w:val="20"/>
                <w:szCs w:val="20"/>
                <w:lang w:eastAsia="en-AU"/>
              </w:rPr>
              <w:t>5</w:t>
            </w:r>
          </w:p>
        </w:tc>
        <w:tc>
          <w:tcPr>
            <w:tcW w:w="1129" w:type="dxa"/>
            <w:tcBorders>
              <w:top w:val="nil"/>
            </w:tcBorders>
            <w:shd w:val="clear" w:color="auto" w:fill="E0F3EF" w:themeFill="accent1" w:themeFillTint="33"/>
            <w:noWrap/>
          </w:tcPr>
          <w:p w14:paraId="7C8459DC" w14:textId="2B4BFBBA" w:rsidR="00EB1DBB" w:rsidRPr="00DF5D81" w:rsidRDefault="00EB1DBB" w:rsidP="00EB1DBB">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sidRPr="00DF5D81">
              <w:rPr>
                <w:rFonts w:asciiTheme="minorHAnsi" w:eastAsia="Times New Roman" w:hAnsiTheme="minorHAnsi" w:cstheme="minorHAnsi"/>
                <w:color w:val="000000"/>
                <w:sz w:val="20"/>
                <w:szCs w:val="20"/>
                <w:lang w:eastAsia="en-AU"/>
              </w:rPr>
              <w:t>5</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E7126C">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34E9" w14:textId="77777777" w:rsidR="00C17462" w:rsidRDefault="00C17462" w:rsidP="00D37B04">
      <w:r>
        <w:separator/>
      </w:r>
    </w:p>
  </w:endnote>
  <w:endnote w:type="continuationSeparator" w:id="0">
    <w:p w14:paraId="0B73E5EE" w14:textId="77777777" w:rsidR="00C17462" w:rsidRDefault="00C1746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3CD1C53F" w:rsidR="0005564F" w:rsidRDefault="0005564F">
        <w:pPr>
          <w:pStyle w:val="Footer"/>
          <w:jc w:val="center"/>
          <w:rPr>
            <w:color w:val="auto"/>
          </w:rPr>
        </w:pPr>
        <w:r>
          <w:rPr>
            <w:noProof/>
            <w:color w:val="auto"/>
          </w:rPr>
          <w:drawing>
            <wp:anchor distT="0" distB="0" distL="114300" distR="114300" simplePos="0" relativeHeight="251657216"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9107B9"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AF2B" w14:textId="54F3FD1B" w:rsidR="00FB44F7" w:rsidRDefault="00FB44F7">
    <w:pPr>
      <w:pStyle w:val="Footer"/>
    </w:pPr>
    <w:r>
      <w:rPr>
        <w:noProof/>
        <w:color w:val="auto"/>
      </w:rPr>
      <w:drawing>
        <wp:anchor distT="0" distB="0" distL="114300" distR="114300" simplePos="0" relativeHeight="251660288" behindDoc="1" locked="0" layoutInCell="1" allowOverlap="1" wp14:anchorId="2F41D1A5" wp14:editId="620A7343">
          <wp:simplePos x="0" y="0"/>
          <wp:positionH relativeFrom="margin">
            <wp:align>left</wp:align>
          </wp:positionH>
          <wp:positionV relativeFrom="paragraph">
            <wp:posOffset>-305435</wp:posOffset>
          </wp:positionV>
          <wp:extent cx="6629948" cy="357173"/>
          <wp:effectExtent l="0" t="0" r="0" b="508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249F5" w14:textId="77777777" w:rsidR="00C17462" w:rsidRPr="008C5A0E" w:rsidRDefault="00C17462" w:rsidP="00D37B04">
      <w:pPr>
        <w:pStyle w:val="Footer"/>
      </w:pPr>
    </w:p>
  </w:footnote>
  <w:footnote w:type="continuationSeparator" w:id="0">
    <w:p w14:paraId="3F1EF240" w14:textId="77777777" w:rsidR="00C17462" w:rsidRDefault="00C17462" w:rsidP="00D37B04">
      <w:r>
        <w:continuationSeparator/>
      </w:r>
    </w:p>
  </w:footnote>
  <w:footnote w:id="1">
    <w:p w14:paraId="0BE3B039" w14:textId="1C1FF0DD" w:rsidR="0076702C" w:rsidRPr="0076702C" w:rsidRDefault="0076702C">
      <w:pPr>
        <w:pStyle w:val="FootnoteText"/>
      </w:pPr>
      <w:r>
        <w:rPr>
          <w:rStyle w:val="FootnoteReference"/>
        </w:rPr>
        <w:footnoteRef/>
      </w:r>
      <w:r>
        <w:t xml:space="preserve"> UN</w:t>
      </w:r>
      <w:r w:rsidR="007E2C39">
        <w:t xml:space="preserve"> Population Fund (UN</w:t>
      </w:r>
      <w:r>
        <w:t>FPA</w:t>
      </w:r>
      <w:r w:rsidR="007E2C39">
        <w:t>)’s</w:t>
      </w:r>
      <w:r>
        <w:t xml:space="preserve"> 2022 </w:t>
      </w:r>
      <w:proofErr w:type="spellStart"/>
      <w:r>
        <w:t>kNOwVAW</w:t>
      </w:r>
      <w:proofErr w:type="spellEnd"/>
      <w:r>
        <w:t xml:space="preserve"> data reports that in Kiribati </w:t>
      </w:r>
      <w:r w:rsidRPr="00664F4C">
        <w:t xml:space="preserve">approximately </w:t>
      </w:r>
      <w:r>
        <w:t>61%</w:t>
      </w:r>
      <w:r w:rsidRPr="00664F4C">
        <w:t xml:space="preserve"> of eve</w:t>
      </w:r>
      <w:r>
        <w:t>r-partnered</w:t>
      </w:r>
      <w:r w:rsidRPr="00664F4C">
        <w:t xml:space="preserve"> women </w:t>
      </w:r>
      <w:r>
        <w:t xml:space="preserve">and girls </w:t>
      </w:r>
      <w:r w:rsidRPr="00664F4C">
        <w:t>age</w:t>
      </w:r>
      <w:r>
        <w:t>d</w:t>
      </w:r>
      <w:r w:rsidRPr="00664F4C">
        <w:t xml:space="preserve"> 15-49 years</w:t>
      </w:r>
      <w:r>
        <w:t xml:space="preserve"> have been subjected to ph</w:t>
      </w:r>
      <w:r w:rsidRPr="00664F4C">
        <w:t xml:space="preserve">ysical </w:t>
      </w:r>
      <w:r>
        <w:t>and/</w:t>
      </w:r>
      <w:r w:rsidRPr="00664F4C">
        <w:t xml:space="preserve">or sexual violence </w:t>
      </w:r>
      <w:r>
        <w:t>by a current or former intimate partner in their lifetime</w:t>
      </w:r>
      <w:r w:rsidR="007E2C39">
        <w:t>.</w:t>
      </w:r>
    </w:p>
  </w:footnote>
  <w:footnote w:id="2">
    <w:p w14:paraId="07A841CD" w14:textId="77777777" w:rsidR="006106EE" w:rsidRPr="00F44566" w:rsidRDefault="006106EE" w:rsidP="006106EE">
      <w:pPr>
        <w:pStyle w:val="FootnoteText"/>
        <w:rPr>
          <w:lang w:val="en-AU"/>
        </w:rPr>
      </w:pPr>
      <w:r>
        <w:rPr>
          <w:rStyle w:val="FootnoteReference"/>
        </w:rPr>
        <w:footnoteRef/>
      </w:r>
      <w:r>
        <w:t xml:space="preserve"> The wording of this indicator has changed since drafting of the CRP from per centage of supplementary budget expenditure to per centage of total domestic revenue.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7B4DF174"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9" name="Picture 9"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FE7402"/>
    <w:multiLevelType w:val="multilevel"/>
    <w:tmpl w:val="B5FE7402"/>
    <w:lvl w:ilvl="0">
      <w:start w:val="1"/>
      <w:numFmt w:val="bullet"/>
      <w:pStyle w:val="bullet"/>
      <w:lvlText w:val=""/>
      <w:lvlJc w:val="left"/>
      <w:pPr>
        <w:ind w:left="746" w:hanging="360"/>
      </w:pPr>
      <w:rPr>
        <w:rFonts w:ascii="Symbol" w:hAnsi="Symbol" w:cs="Symbol"/>
        <w:color w:val="DA291C"/>
      </w:rPr>
    </w:lvl>
    <w:lvl w:ilvl="1">
      <w:start w:val="1"/>
      <w:numFmt w:val="bullet"/>
      <w:lvlText w:val="o"/>
      <w:lvlJc w:val="left"/>
      <w:pPr>
        <w:ind w:left="1469" w:hanging="360"/>
      </w:pPr>
      <w:rPr>
        <w:rFonts w:ascii="Courier New" w:hAnsi="Courier New" w:cs="Courier New"/>
      </w:rPr>
    </w:lvl>
    <w:lvl w:ilvl="2">
      <w:start w:val="1"/>
      <w:numFmt w:val="bullet"/>
      <w:lvlText w:val=""/>
      <w:lvlJc w:val="left"/>
      <w:pPr>
        <w:ind w:left="2189" w:hanging="360"/>
      </w:pPr>
      <w:rPr>
        <w:rFonts w:ascii="Wingdings" w:hAnsi="Wingdings" w:cs="Wingdings" w:hint="default"/>
      </w:rPr>
    </w:lvl>
    <w:lvl w:ilvl="3">
      <w:start w:val="1"/>
      <w:numFmt w:val="bullet"/>
      <w:lvlText w:val=""/>
      <w:lvlJc w:val="left"/>
      <w:pPr>
        <w:ind w:left="2909" w:hanging="360"/>
      </w:pPr>
      <w:rPr>
        <w:rFonts w:ascii="Symbol" w:hAnsi="Symbol" w:cs="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cs="Wingdings" w:hint="default"/>
      </w:rPr>
    </w:lvl>
    <w:lvl w:ilvl="6">
      <w:start w:val="1"/>
      <w:numFmt w:val="bullet"/>
      <w:lvlText w:val=""/>
      <w:lvlJc w:val="left"/>
      <w:pPr>
        <w:ind w:left="5069" w:hanging="360"/>
      </w:pPr>
      <w:rPr>
        <w:rFonts w:ascii="Symbol" w:hAnsi="Symbol" w:cs="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cs="Wingdings" w:hint="default"/>
      </w:rPr>
    </w:lvl>
  </w:abstractNum>
  <w:abstractNum w:abstractNumId="1"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9E1023B"/>
    <w:multiLevelType w:val="hybridMultilevel"/>
    <w:tmpl w:val="D244071C"/>
    <w:lvl w:ilvl="0" w:tplc="172083A4">
      <w:start w:val="1"/>
      <w:numFmt w:val="decimal"/>
      <w:lvlText w:val="%1."/>
      <w:lvlJc w:val="left"/>
      <w:pPr>
        <w:ind w:left="360" w:hanging="360"/>
      </w:pPr>
      <w:rPr>
        <w:rFonts w:ascii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8F132CE"/>
    <w:multiLevelType w:val="multilevel"/>
    <w:tmpl w:val="3B7A10DE"/>
    <w:numStyleLink w:val="BulletsList"/>
  </w:abstractNum>
  <w:abstractNum w:abstractNumId="9"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3"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4"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B0043"/>
    <w:multiLevelType w:val="hybridMultilevel"/>
    <w:tmpl w:val="EDBCCD62"/>
    <w:lvl w:ilvl="0" w:tplc="18BAFC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
  </w:num>
  <w:num w:numId="3">
    <w:abstractNumId w:val="7"/>
  </w:num>
  <w:num w:numId="4">
    <w:abstractNumId w:val="15"/>
  </w:num>
  <w:num w:numId="5">
    <w:abstractNumId w:val="18"/>
  </w:num>
  <w:num w:numId="6">
    <w:abstractNumId w:val="7"/>
  </w:num>
  <w:num w:numId="7">
    <w:abstractNumId w:val="2"/>
  </w:num>
  <w:num w:numId="8">
    <w:abstractNumId w:val="4"/>
  </w:num>
  <w:num w:numId="9">
    <w:abstractNumId w:val="27"/>
  </w:num>
  <w:num w:numId="10">
    <w:abstractNumId w:val="8"/>
  </w:num>
  <w:num w:numId="11">
    <w:abstractNumId w:val="13"/>
  </w:num>
  <w:num w:numId="12">
    <w:abstractNumId w:val="14"/>
  </w:num>
  <w:num w:numId="13">
    <w:abstractNumId w:val="1"/>
  </w:num>
  <w:num w:numId="14">
    <w:abstractNumId w:val="12"/>
  </w:num>
  <w:num w:numId="15">
    <w:abstractNumId w:val="16"/>
  </w:num>
  <w:num w:numId="16">
    <w:abstractNumId w:val="21"/>
  </w:num>
  <w:num w:numId="17">
    <w:abstractNumId w:val="6"/>
  </w:num>
  <w:num w:numId="18">
    <w:abstractNumId w:val="17"/>
  </w:num>
  <w:num w:numId="19">
    <w:abstractNumId w:val="26"/>
  </w:num>
  <w:num w:numId="20">
    <w:abstractNumId w:val="10"/>
  </w:num>
  <w:num w:numId="21">
    <w:abstractNumId w:val="25"/>
  </w:num>
  <w:num w:numId="22">
    <w:abstractNumId w:val="9"/>
  </w:num>
  <w:num w:numId="23">
    <w:abstractNumId w:val="3"/>
  </w:num>
  <w:num w:numId="24">
    <w:abstractNumId w:val="23"/>
  </w:num>
  <w:num w:numId="25">
    <w:abstractNumId w:val="28"/>
  </w:num>
  <w:num w:numId="26">
    <w:abstractNumId w:val="11"/>
  </w:num>
  <w:num w:numId="27">
    <w:abstractNumId w:val="19"/>
  </w:num>
  <w:num w:numId="28">
    <w:abstractNumId w:val="22"/>
  </w:num>
  <w:num w:numId="29">
    <w:abstractNumId w:val="5"/>
  </w:num>
  <w:num w:numId="30">
    <w:abstractNumId w:val="0"/>
  </w:num>
  <w:num w:numId="31">
    <w:abstractNumId w:val="8"/>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4F2"/>
    <w:rsid w:val="00001DA8"/>
    <w:rsid w:val="000020C1"/>
    <w:rsid w:val="00003868"/>
    <w:rsid w:val="00005EF1"/>
    <w:rsid w:val="00007CBD"/>
    <w:rsid w:val="00010006"/>
    <w:rsid w:val="0001016D"/>
    <w:rsid w:val="00011235"/>
    <w:rsid w:val="00015AB7"/>
    <w:rsid w:val="00015B96"/>
    <w:rsid w:val="00015DC0"/>
    <w:rsid w:val="00016037"/>
    <w:rsid w:val="0002080A"/>
    <w:rsid w:val="000218A1"/>
    <w:rsid w:val="0002782F"/>
    <w:rsid w:val="00030E90"/>
    <w:rsid w:val="00031486"/>
    <w:rsid w:val="000314BA"/>
    <w:rsid w:val="00035673"/>
    <w:rsid w:val="00035BBF"/>
    <w:rsid w:val="00035CBC"/>
    <w:rsid w:val="000417C3"/>
    <w:rsid w:val="00041CA8"/>
    <w:rsid w:val="000444F3"/>
    <w:rsid w:val="000456F3"/>
    <w:rsid w:val="00046345"/>
    <w:rsid w:val="00050806"/>
    <w:rsid w:val="00051F3B"/>
    <w:rsid w:val="0005417C"/>
    <w:rsid w:val="000546D9"/>
    <w:rsid w:val="00054E4D"/>
    <w:rsid w:val="0005564F"/>
    <w:rsid w:val="00055880"/>
    <w:rsid w:val="00055F12"/>
    <w:rsid w:val="00056F24"/>
    <w:rsid w:val="00060073"/>
    <w:rsid w:val="000616C6"/>
    <w:rsid w:val="0007510A"/>
    <w:rsid w:val="00075A30"/>
    <w:rsid w:val="000822AD"/>
    <w:rsid w:val="00084F62"/>
    <w:rsid w:val="000854FD"/>
    <w:rsid w:val="0008797C"/>
    <w:rsid w:val="0009041B"/>
    <w:rsid w:val="0009676B"/>
    <w:rsid w:val="000976F0"/>
    <w:rsid w:val="000A0CE3"/>
    <w:rsid w:val="000A39DD"/>
    <w:rsid w:val="000A407E"/>
    <w:rsid w:val="000B37F5"/>
    <w:rsid w:val="000B40E9"/>
    <w:rsid w:val="000B42F7"/>
    <w:rsid w:val="000B50B9"/>
    <w:rsid w:val="000B5DA7"/>
    <w:rsid w:val="000B78E6"/>
    <w:rsid w:val="000C1485"/>
    <w:rsid w:val="000C3A4C"/>
    <w:rsid w:val="000C4411"/>
    <w:rsid w:val="000C48AB"/>
    <w:rsid w:val="000C6293"/>
    <w:rsid w:val="000C73B3"/>
    <w:rsid w:val="000D003A"/>
    <w:rsid w:val="000D2080"/>
    <w:rsid w:val="000D2896"/>
    <w:rsid w:val="000D6471"/>
    <w:rsid w:val="000D66D6"/>
    <w:rsid w:val="000D70C8"/>
    <w:rsid w:val="000E050E"/>
    <w:rsid w:val="000E1045"/>
    <w:rsid w:val="000E13CA"/>
    <w:rsid w:val="000E30BA"/>
    <w:rsid w:val="000E58BF"/>
    <w:rsid w:val="000E6C44"/>
    <w:rsid w:val="000F1286"/>
    <w:rsid w:val="000F2600"/>
    <w:rsid w:val="000F27D0"/>
    <w:rsid w:val="000F4225"/>
    <w:rsid w:val="000F78C9"/>
    <w:rsid w:val="001018A6"/>
    <w:rsid w:val="00104D21"/>
    <w:rsid w:val="001078E4"/>
    <w:rsid w:val="001101CE"/>
    <w:rsid w:val="00113288"/>
    <w:rsid w:val="0011475A"/>
    <w:rsid w:val="00115F38"/>
    <w:rsid w:val="00116E9F"/>
    <w:rsid w:val="00120122"/>
    <w:rsid w:val="001203A0"/>
    <w:rsid w:val="0012048F"/>
    <w:rsid w:val="001214BE"/>
    <w:rsid w:val="0012165D"/>
    <w:rsid w:val="00121DDD"/>
    <w:rsid w:val="001227F1"/>
    <w:rsid w:val="00123A16"/>
    <w:rsid w:val="00123C23"/>
    <w:rsid w:val="001265A6"/>
    <w:rsid w:val="001267E1"/>
    <w:rsid w:val="00130BC1"/>
    <w:rsid w:val="0013101C"/>
    <w:rsid w:val="00132956"/>
    <w:rsid w:val="001330A7"/>
    <w:rsid w:val="0013385F"/>
    <w:rsid w:val="00134AEA"/>
    <w:rsid w:val="001369BE"/>
    <w:rsid w:val="00137F4E"/>
    <w:rsid w:val="001461D6"/>
    <w:rsid w:val="00146E07"/>
    <w:rsid w:val="001477A5"/>
    <w:rsid w:val="001477F7"/>
    <w:rsid w:val="00153078"/>
    <w:rsid w:val="001541EA"/>
    <w:rsid w:val="00155A30"/>
    <w:rsid w:val="0016223D"/>
    <w:rsid w:val="00163DB1"/>
    <w:rsid w:val="00166032"/>
    <w:rsid w:val="001662F8"/>
    <w:rsid w:val="00172C91"/>
    <w:rsid w:val="00172E08"/>
    <w:rsid w:val="00174C49"/>
    <w:rsid w:val="001824B5"/>
    <w:rsid w:val="001841C8"/>
    <w:rsid w:val="00186B4B"/>
    <w:rsid w:val="001919E3"/>
    <w:rsid w:val="00193C49"/>
    <w:rsid w:val="0019454E"/>
    <w:rsid w:val="001951B5"/>
    <w:rsid w:val="001A045B"/>
    <w:rsid w:val="001A21F7"/>
    <w:rsid w:val="001A2D78"/>
    <w:rsid w:val="001A51EE"/>
    <w:rsid w:val="001A7815"/>
    <w:rsid w:val="001B4611"/>
    <w:rsid w:val="001B5A4A"/>
    <w:rsid w:val="001B600F"/>
    <w:rsid w:val="001B74E7"/>
    <w:rsid w:val="001B78DA"/>
    <w:rsid w:val="001C117F"/>
    <w:rsid w:val="001C14F4"/>
    <w:rsid w:val="001C1F11"/>
    <w:rsid w:val="001C3FCD"/>
    <w:rsid w:val="001C483F"/>
    <w:rsid w:val="001C72C5"/>
    <w:rsid w:val="001C7926"/>
    <w:rsid w:val="001D0CE9"/>
    <w:rsid w:val="001D0EBD"/>
    <w:rsid w:val="001D1A8F"/>
    <w:rsid w:val="001D3C98"/>
    <w:rsid w:val="001D3DDD"/>
    <w:rsid w:val="001D4091"/>
    <w:rsid w:val="001D4402"/>
    <w:rsid w:val="001D663E"/>
    <w:rsid w:val="001E02F8"/>
    <w:rsid w:val="001E03BE"/>
    <w:rsid w:val="001E1DC0"/>
    <w:rsid w:val="001E1F1B"/>
    <w:rsid w:val="001E563B"/>
    <w:rsid w:val="001E6D20"/>
    <w:rsid w:val="001E7E91"/>
    <w:rsid w:val="001F16E7"/>
    <w:rsid w:val="001F17F5"/>
    <w:rsid w:val="001F1E28"/>
    <w:rsid w:val="001F407E"/>
    <w:rsid w:val="001F63EC"/>
    <w:rsid w:val="001F7A8B"/>
    <w:rsid w:val="001F7F4D"/>
    <w:rsid w:val="002060A4"/>
    <w:rsid w:val="002079B4"/>
    <w:rsid w:val="00213055"/>
    <w:rsid w:val="00213A7B"/>
    <w:rsid w:val="00214455"/>
    <w:rsid w:val="00216545"/>
    <w:rsid w:val="00216C55"/>
    <w:rsid w:val="002231BD"/>
    <w:rsid w:val="002270F7"/>
    <w:rsid w:val="0022790D"/>
    <w:rsid w:val="0023020A"/>
    <w:rsid w:val="00236222"/>
    <w:rsid w:val="002404E8"/>
    <w:rsid w:val="00244229"/>
    <w:rsid w:val="002443C7"/>
    <w:rsid w:val="00247365"/>
    <w:rsid w:val="00253E7A"/>
    <w:rsid w:val="00255F45"/>
    <w:rsid w:val="00261565"/>
    <w:rsid w:val="002615C2"/>
    <w:rsid w:val="00270C70"/>
    <w:rsid w:val="002714FF"/>
    <w:rsid w:val="002721B5"/>
    <w:rsid w:val="002811FE"/>
    <w:rsid w:val="002849E3"/>
    <w:rsid w:val="0028602A"/>
    <w:rsid w:val="002945C4"/>
    <w:rsid w:val="0029663F"/>
    <w:rsid w:val="00297258"/>
    <w:rsid w:val="00297325"/>
    <w:rsid w:val="00297FD1"/>
    <w:rsid w:val="002A1B0B"/>
    <w:rsid w:val="002A3D34"/>
    <w:rsid w:val="002A44E6"/>
    <w:rsid w:val="002A586F"/>
    <w:rsid w:val="002B0D03"/>
    <w:rsid w:val="002B3381"/>
    <w:rsid w:val="002B33DA"/>
    <w:rsid w:val="002B420F"/>
    <w:rsid w:val="002B5E10"/>
    <w:rsid w:val="002C2A1A"/>
    <w:rsid w:val="002C335F"/>
    <w:rsid w:val="002C793D"/>
    <w:rsid w:val="002D25D9"/>
    <w:rsid w:val="002D35C9"/>
    <w:rsid w:val="002D3C20"/>
    <w:rsid w:val="002D3E9C"/>
    <w:rsid w:val="002D3F4A"/>
    <w:rsid w:val="002D4108"/>
    <w:rsid w:val="002D430F"/>
    <w:rsid w:val="002D597A"/>
    <w:rsid w:val="002D5B25"/>
    <w:rsid w:val="002D5EC9"/>
    <w:rsid w:val="002D626F"/>
    <w:rsid w:val="002D6BAB"/>
    <w:rsid w:val="002E2AF4"/>
    <w:rsid w:val="002E38B2"/>
    <w:rsid w:val="002E500A"/>
    <w:rsid w:val="002E693D"/>
    <w:rsid w:val="002F03FB"/>
    <w:rsid w:val="002F0903"/>
    <w:rsid w:val="002F234B"/>
    <w:rsid w:val="002F2A5B"/>
    <w:rsid w:val="002F2A9D"/>
    <w:rsid w:val="002F2CD2"/>
    <w:rsid w:val="002F3258"/>
    <w:rsid w:val="002F3F94"/>
    <w:rsid w:val="002F4F2B"/>
    <w:rsid w:val="002F5754"/>
    <w:rsid w:val="002F5931"/>
    <w:rsid w:val="002F6581"/>
    <w:rsid w:val="002F67AE"/>
    <w:rsid w:val="003002C0"/>
    <w:rsid w:val="00301144"/>
    <w:rsid w:val="003031C6"/>
    <w:rsid w:val="00304984"/>
    <w:rsid w:val="00311480"/>
    <w:rsid w:val="00311946"/>
    <w:rsid w:val="00312231"/>
    <w:rsid w:val="00312BF8"/>
    <w:rsid w:val="0031309E"/>
    <w:rsid w:val="003148B7"/>
    <w:rsid w:val="00314F9D"/>
    <w:rsid w:val="003152E8"/>
    <w:rsid w:val="003158C3"/>
    <w:rsid w:val="00316B70"/>
    <w:rsid w:val="00320DC8"/>
    <w:rsid w:val="00322226"/>
    <w:rsid w:val="003274CD"/>
    <w:rsid w:val="00333501"/>
    <w:rsid w:val="00333C3B"/>
    <w:rsid w:val="003406AF"/>
    <w:rsid w:val="003407CF"/>
    <w:rsid w:val="00340F52"/>
    <w:rsid w:val="00343D22"/>
    <w:rsid w:val="00344954"/>
    <w:rsid w:val="003457C4"/>
    <w:rsid w:val="00345A8E"/>
    <w:rsid w:val="0035119D"/>
    <w:rsid w:val="00351E41"/>
    <w:rsid w:val="003535F8"/>
    <w:rsid w:val="00354641"/>
    <w:rsid w:val="0035532B"/>
    <w:rsid w:val="003622C1"/>
    <w:rsid w:val="00363A9F"/>
    <w:rsid w:val="00365D7A"/>
    <w:rsid w:val="003664FE"/>
    <w:rsid w:val="0036686E"/>
    <w:rsid w:val="00370898"/>
    <w:rsid w:val="003725B1"/>
    <w:rsid w:val="00374D81"/>
    <w:rsid w:val="00375D23"/>
    <w:rsid w:val="003806FE"/>
    <w:rsid w:val="00381C9F"/>
    <w:rsid w:val="00382CE7"/>
    <w:rsid w:val="00384D2A"/>
    <w:rsid w:val="00387EC8"/>
    <w:rsid w:val="003904C5"/>
    <w:rsid w:val="0039215F"/>
    <w:rsid w:val="0039344A"/>
    <w:rsid w:val="00394A48"/>
    <w:rsid w:val="003979AE"/>
    <w:rsid w:val="003A1485"/>
    <w:rsid w:val="003A2A69"/>
    <w:rsid w:val="003A461E"/>
    <w:rsid w:val="003B1FFF"/>
    <w:rsid w:val="003B3091"/>
    <w:rsid w:val="003B4F12"/>
    <w:rsid w:val="003B5132"/>
    <w:rsid w:val="003B5F1E"/>
    <w:rsid w:val="003B7E6D"/>
    <w:rsid w:val="003C0066"/>
    <w:rsid w:val="003C0CFB"/>
    <w:rsid w:val="003C4ECB"/>
    <w:rsid w:val="003C6C4F"/>
    <w:rsid w:val="003C7D0E"/>
    <w:rsid w:val="003D1253"/>
    <w:rsid w:val="003D18D0"/>
    <w:rsid w:val="003D31EF"/>
    <w:rsid w:val="003D4264"/>
    <w:rsid w:val="003D5258"/>
    <w:rsid w:val="003E03B8"/>
    <w:rsid w:val="003E0545"/>
    <w:rsid w:val="003E1A7C"/>
    <w:rsid w:val="003E24BA"/>
    <w:rsid w:val="003F0008"/>
    <w:rsid w:val="003F0835"/>
    <w:rsid w:val="003F14A7"/>
    <w:rsid w:val="003F2041"/>
    <w:rsid w:val="003F42D3"/>
    <w:rsid w:val="003F460A"/>
    <w:rsid w:val="003F4679"/>
    <w:rsid w:val="003F7D26"/>
    <w:rsid w:val="00400158"/>
    <w:rsid w:val="004007ED"/>
    <w:rsid w:val="00400D50"/>
    <w:rsid w:val="00401D36"/>
    <w:rsid w:val="00402ACC"/>
    <w:rsid w:val="00402E28"/>
    <w:rsid w:val="00403002"/>
    <w:rsid w:val="00403FD8"/>
    <w:rsid w:val="00404443"/>
    <w:rsid w:val="00404602"/>
    <w:rsid w:val="00407711"/>
    <w:rsid w:val="00411C61"/>
    <w:rsid w:val="004120EC"/>
    <w:rsid w:val="0041267F"/>
    <w:rsid w:val="00412E1F"/>
    <w:rsid w:val="0041496F"/>
    <w:rsid w:val="00414AD9"/>
    <w:rsid w:val="004166C9"/>
    <w:rsid w:val="00423B1B"/>
    <w:rsid w:val="00423DB9"/>
    <w:rsid w:val="00423DE0"/>
    <w:rsid w:val="00423F31"/>
    <w:rsid w:val="0042526D"/>
    <w:rsid w:val="00426340"/>
    <w:rsid w:val="00426D2A"/>
    <w:rsid w:val="00427F26"/>
    <w:rsid w:val="004303AA"/>
    <w:rsid w:val="00431899"/>
    <w:rsid w:val="00435E2F"/>
    <w:rsid w:val="00435E74"/>
    <w:rsid w:val="00444694"/>
    <w:rsid w:val="00446F46"/>
    <w:rsid w:val="00447070"/>
    <w:rsid w:val="00450381"/>
    <w:rsid w:val="004529F1"/>
    <w:rsid w:val="00453B1A"/>
    <w:rsid w:val="004565AD"/>
    <w:rsid w:val="00461C3A"/>
    <w:rsid w:val="00462A57"/>
    <w:rsid w:val="00464A38"/>
    <w:rsid w:val="004662FB"/>
    <w:rsid w:val="004708FA"/>
    <w:rsid w:val="00470CEA"/>
    <w:rsid w:val="004728DD"/>
    <w:rsid w:val="00473F2D"/>
    <w:rsid w:val="00473F39"/>
    <w:rsid w:val="00474037"/>
    <w:rsid w:val="00475782"/>
    <w:rsid w:val="00482955"/>
    <w:rsid w:val="00482AE8"/>
    <w:rsid w:val="0048486F"/>
    <w:rsid w:val="00486804"/>
    <w:rsid w:val="0048729C"/>
    <w:rsid w:val="00487549"/>
    <w:rsid w:val="004918FB"/>
    <w:rsid w:val="00492F58"/>
    <w:rsid w:val="00493F17"/>
    <w:rsid w:val="00494242"/>
    <w:rsid w:val="00496766"/>
    <w:rsid w:val="004A0989"/>
    <w:rsid w:val="004A2078"/>
    <w:rsid w:val="004A41B8"/>
    <w:rsid w:val="004A49AE"/>
    <w:rsid w:val="004A5395"/>
    <w:rsid w:val="004A568A"/>
    <w:rsid w:val="004B2B2C"/>
    <w:rsid w:val="004B3775"/>
    <w:rsid w:val="004B5822"/>
    <w:rsid w:val="004B75D5"/>
    <w:rsid w:val="004C0D1D"/>
    <w:rsid w:val="004C242F"/>
    <w:rsid w:val="004C7C3D"/>
    <w:rsid w:val="004D0BA0"/>
    <w:rsid w:val="004D3A9E"/>
    <w:rsid w:val="004D69C4"/>
    <w:rsid w:val="004D7F36"/>
    <w:rsid w:val="004E058F"/>
    <w:rsid w:val="004E3B87"/>
    <w:rsid w:val="004E52AC"/>
    <w:rsid w:val="004E549D"/>
    <w:rsid w:val="004F0194"/>
    <w:rsid w:val="004F5615"/>
    <w:rsid w:val="004F6698"/>
    <w:rsid w:val="00502041"/>
    <w:rsid w:val="00503EB4"/>
    <w:rsid w:val="00504DC7"/>
    <w:rsid w:val="0050592F"/>
    <w:rsid w:val="00510921"/>
    <w:rsid w:val="00510AD3"/>
    <w:rsid w:val="00513348"/>
    <w:rsid w:val="00513AD8"/>
    <w:rsid w:val="0051634A"/>
    <w:rsid w:val="00517DD0"/>
    <w:rsid w:val="005204D2"/>
    <w:rsid w:val="005217E6"/>
    <w:rsid w:val="00522396"/>
    <w:rsid w:val="00522E45"/>
    <w:rsid w:val="00527AD8"/>
    <w:rsid w:val="005303B9"/>
    <w:rsid w:val="0053159D"/>
    <w:rsid w:val="00531B69"/>
    <w:rsid w:val="00533B5D"/>
    <w:rsid w:val="00534D96"/>
    <w:rsid w:val="00536039"/>
    <w:rsid w:val="00536343"/>
    <w:rsid w:val="00536BAB"/>
    <w:rsid w:val="00536FAA"/>
    <w:rsid w:val="00537CA8"/>
    <w:rsid w:val="00540A22"/>
    <w:rsid w:val="005450A9"/>
    <w:rsid w:val="00545B2C"/>
    <w:rsid w:val="0054646B"/>
    <w:rsid w:val="00546877"/>
    <w:rsid w:val="005474FC"/>
    <w:rsid w:val="005476CD"/>
    <w:rsid w:val="00553079"/>
    <w:rsid w:val="005579C6"/>
    <w:rsid w:val="00560E83"/>
    <w:rsid w:val="00562EA9"/>
    <w:rsid w:val="005660E0"/>
    <w:rsid w:val="005672CB"/>
    <w:rsid w:val="00567B7A"/>
    <w:rsid w:val="005736BB"/>
    <w:rsid w:val="00576175"/>
    <w:rsid w:val="00577429"/>
    <w:rsid w:val="00577815"/>
    <w:rsid w:val="00581D7E"/>
    <w:rsid w:val="005822D6"/>
    <w:rsid w:val="005831C5"/>
    <w:rsid w:val="005834A4"/>
    <w:rsid w:val="005838FD"/>
    <w:rsid w:val="005839E5"/>
    <w:rsid w:val="005840D2"/>
    <w:rsid w:val="00584CBA"/>
    <w:rsid w:val="00592510"/>
    <w:rsid w:val="0059478F"/>
    <w:rsid w:val="005A20F6"/>
    <w:rsid w:val="005A257E"/>
    <w:rsid w:val="005B2086"/>
    <w:rsid w:val="005B27D6"/>
    <w:rsid w:val="005B34EA"/>
    <w:rsid w:val="005B6DD3"/>
    <w:rsid w:val="005B7577"/>
    <w:rsid w:val="005B7827"/>
    <w:rsid w:val="005C1DFE"/>
    <w:rsid w:val="005C24DB"/>
    <w:rsid w:val="005C2EC9"/>
    <w:rsid w:val="005C532B"/>
    <w:rsid w:val="005C7A9F"/>
    <w:rsid w:val="005D0C10"/>
    <w:rsid w:val="005D3655"/>
    <w:rsid w:val="005D3EE6"/>
    <w:rsid w:val="005D51BA"/>
    <w:rsid w:val="005D5489"/>
    <w:rsid w:val="005D607C"/>
    <w:rsid w:val="005D69AA"/>
    <w:rsid w:val="005D7F03"/>
    <w:rsid w:val="005E0058"/>
    <w:rsid w:val="005E00E0"/>
    <w:rsid w:val="005E1104"/>
    <w:rsid w:val="005E4830"/>
    <w:rsid w:val="005E5524"/>
    <w:rsid w:val="005E73CC"/>
    <w:rsid w:val="005E787D"/>
    <w:rsid w:val="005F29E7"/>
    <w:rsid w:val="005F2F66"/>
    <w:rsid w:val="005F30A4"/>
    <w:rsid w:val="00602675"/>
    <w:rsid w:val="006031AC"/>
    <w:rsid w:val="00603321"/>
    <w:rsid w:val="00603BDD"/>
    <w:rsid w:val="006051AA"/>
    <w:rsid w:val="006106EE"/>
    <w:rsid w:val="006106F2"/>
    <w:rsid w:val="0061485E"/>
    <w:rsid w:val="006152A1"/>
    <w:rsid w:val="00616A58"/>
    <w:rsid w:val="00616DE3"/>
    <w:rsid w:val="00620663"/>
    <w:rsid w:val="00620A3D"/>
    <w:rsid w:val="00621929"/>
    <w:rsid w:val="00622B86"/>
    <w:rsid w:val="00623BA1"/>
    <w:rsid w:val="0062485A"/>
    <w:rsid w:val="00624FE9"/>
    <w:rsid w:val="00627269"/>
    <w:rsid w:val="00630092"/>
    <w:rsid w:val="00633571"/>
    <w:rsid w:val="006346BC"/>
    <w:rsid w:val="006362FF"/>
    <w:rsid w:val="006378FE"/>
    <w:rsid w:val="006408FF"/>
    <w:rsid w:val="00640F64"/>
    <w:rsid w:val="00641732"/>
    <w:rsid w:val="00641946"/>
    <w:rsid w:val="00643910"/>
    <w:rsid w:val="00645304"/>
    <w:rsid w:val="00646ED1"/>
    <w:rsid w:val="0065649B"/>
    <w:rsid w:val="00660A7E"/>
    <w:rsid w:val="0066203A"/>
    <w:rsid w:val="00662BC4"/>
    <w:rsid w:val="00664F4C"/>
    <w:rsid w:val="006654CC"/>
    <w:rsid w:val="006655AD"/>
    <w:rsid w:val="0066652A"/>
    <w:rsid w:val="006665ED"/>
    <w:rsid w:val="0066692A"/>
    <w:rsid w:val="006674CF"/>
    <w:rsid w:val="006719C3"/>
    <w:rsid w:val="00671B94"/>
    <w:rsid w:val="006745FC"/>
    <w:rsid w:val="006750D9"/>
    <w:rsid w:val="00677D49"/>
    <w:rsid w:val="00677DD7"/>
    <w:rsid w:val="00680115"/>
    <w:rsid w:val="00680522"/>
    <w:rsid w:val="00681633"/>
    <w:rsid w:val="00681ABB"/>
    <w:rsid w:val="00682167"/>
    <w:rsid w:val="006878F1"/>
    <w:rsid w:val="00690AE1"/>
    <w:rsid w:val="00693CFD"/>
    <w:rsid w:val="006A0894"/>
    <w:rsid w:val="006A4146"/>
    <w:rsid w:val="006A6F52"/>
    <w:rsid w:val="006A791A"/>
    <w:rsid w:val="006B0064"/>
    <w:rsid w:val="006B2156"/>
    <w:rsid w:val="006B32F5"/>
    <w:rsid w:val="006B3E95"/>
    <w:rsid w:val="006B4434"/>
    <w:rsid w:val="006B51B2"/>
    <w:rsid w:val="006B6F6D"/>
    <w:rsid w:val="006C0485"/>
    <w:rsid w:val="006C0B06"/>
    <w:rsid w:val="006C23A0"/>
    <w:rsid w:val="006C2A14"/>
    <w:rsid w:val="006C31B6"/>
    <w:rsid w:val="006C3BBD"/>
    <w:rsid w:val="006C42AF"/>
    <w:rsid w:val="006C4E59"/>
    <w:rsid w:val="006C565B"/>
    <w:rsid w:val="006C6498"/>
    <w:rsid w:val="006C7ADE"/>
    <w:rsid w:val="006D0257"/>
    <w:rsid w:val="006D1382"/>
    <w:rsid w:val="006D15F1"/>
    <w:rsid w:val="006D1B4B"/>
    <w:rsid w:val="006D5A56"/>
    <w:rsid w:val="006E4323"/>
    <w:rsid w:val="006E4A3E"/>
    <w:rsid w:val="006F59F1"/>
    <w:rsid w:val="006F6BA7"/>
    <w:rsid w:val="00702332"/>
    <w:rsid w:val="00703EAD"/>
    <w:rsid w:val="00706136"/>
    <w:rsid w:val="007075DF"/>
    <w:rsid w:val="00707B00"/>
    <w:rsid w:val="007109F4"/>
    <w:rsid w:val="00710B6C"/>
    <w:rsid w:val="00711D8E"/>
    <w:rsid w:val="00712672"/>
    <w:rsid w:val="00716E15"/>
    <w:rsid w:val="007178C4"/>
    <w:rsid w:val="00717A85"/>
    <w:rsid w:val="00717BC2"/>
    <w:rsid w:val="007203A3"/>
    <w:rsid w:val="00721DA3"/>
    <w:rsid w:val="007225F5"/>
    <w:rsid w:val="00723E32"/>
    <w:rsid w:val="007243DD"/>
    <w:rsid w:val="00727E09"/>
    <w:rsid w:val="00733EB9"/>
    <w:rsid w:val="00734E3F"/>
    <w:rsid w:val="00736420"/>
    <w:rsid w:val="00736985"/>
    <w:rsid w:val="00737248"/>
    <w:rsid w:val="00737C67"/>
    <w:rsid w:val="007452D0"/>
    <w:rsid w:val="007455D7"/>
    <w:rsid w:val="00745DF5"/>
    <w:rsid w:val="00751718"/>
    <w:rsid w:val="007520F1"/>
    <w:rsid w:val="00754063"/>
    <w:rsid w:val="0075604B"/>
    <w:rsid w:val="0075653F"/>
    <w:rsid w:val="0076190D"/>
    <w:rsid w:val="0076250F"/>
    <w:rsid w:val="00762B86"/>
    <w:rsid w:val="00765223"/>
    <w:rsid w:val="0076702C"/>
    <w:rsid w:val="00767038"/>
    <w:rsid w:val="0077324F"/>
    <w:rsid w:val="0077330A"/>
    <w:rsid w:val="007733DC"/>
    <w:rsid w:val="00773D32"/>
    <w:rsid w:val="00780FA5"/>
    <w:rsid w:val="007864CF"/>
    <w:rsid w:val="00793A19"/>
    <w:rsid w:val="00794D99"/>
    <w:rsid w:val="00796244"/>
    <w:rsid w:val="00796F1C"/>
    <w:rsid w:val="007A4493"/>
    <w:rsid w:val="007A4DF5"/>
    <w:rsid w:val="007A6517"/>
    <w:rsid w:val="007A6DDC"/>
    <w:rsid w:val="007A7AFF"/>
    <w:rsid w:val="007B53DB"/>
    <w:rsid w:val="007B53F9"/>
    <w:rsid w:val="007B5B5C"/>
    <w:rsid w:val="007B6200"/>
    <w:rsid w:val="007B794A"/>
    <w:rsid w:val="007C19B3"/>
    <w:rsid w:val="007C35DE"/>
    <w:rsid w:val="007C4D69"/>
    <w:rsid w:val="007C63CE"/>
    <w:rsid w:val="007C735B"/>
    <w:rsid w:val="007D0C1D"/>
    <w:rsid w:val="007D3212"/>
    <w:rsid w:val="007D5062"/>
    <w:rsid w:val="007E253C"/>
    <w:rsid w:val="007E2C39"/>
    <w:rsid w:val="007E42E4"/>
    <w:rsid w:val="007E5361"/>
    <w:rsid w:val="007E556D"/>
    <w:rsid w:val="007E7688"/>
    <w:rsid w:val="007E7BC7"/>
    <w:rsid w:val="007F3395"/>
    <w:rsid w:val="007F5C0B"/>
    <w:rsid w:val="007F646C"/>
    <w:rsid w:val="00801B9F"/>
    <w:rsid w:val="0080204D"/>
    <w:rsid w:val="0080327B"/>
    <w:rsid w:val="008055AE"/>
    <w:rsid w:val="00812D96"/>
    <w:rsid w:val="00812DC1"/>
    <w:rsid w:val="00813546"/>
    <w:rsid w:val="00813EA6"/>
    <w:rsid w:val="00817D41"/>
    <w:rsid w:val="0082053C"/>
    <w:rsid w:val="00820843"/>
    <w:rsid w:val="0082189F"/>
    <w:rsid w:val="00822F43"/>
    <w:rsid w:val="00827AE9"/>
    <w:rsid w:val="00830866"/>
    <w:rsid w:val="00830D85"/>
    <w:rsid w:val="00835B45"/>
    <w:rsid w:val="00836B54"/>
    <w:rsid w:val="0084191E"/>
    <w:rsid w:val="00843B76"/>
    <w:rsid w:val="00843BB6"/>
    <w:rsid w:val="00844737"/>
    <w:rsid w:val="008475F0"/>
    <w:rsid w:val="008515AF"/>
    <w:rsid w:val="00852C32"/>
    <w:rsid w:val="00854F69"/>
    <w:rsid w:val="008557A7"/>
    <w:rsid w:val="00856BFE"/>
    <w:rsid w:val="00857312"/>
    <w:rsid w:val="00860698"/>
    <w:rsid w:val="008609A1"/>
    <w:rsid w:val="00860AEA"/>
    <w:rsid w:val="00861991"/>
    <w:rsid w:val="00862BCF"/>
    <w:rsid w:val="008636EA"/>
    <w:rsid w:val="00863951"/>
    <w:rsid w:val="00865DE2"/>
    <w:rsid w:val="00865EF5"/>
    <w:rsid w:val="00870928"/>
    <w:rsid w:val="008740B3"/>
    <w:rsid w:val="00875A95"/>
    <w:rsid w:val="00876B47"/>
    <w:rsid w:val="00877620"/>
    <w:rsid w:val="0087795D"/>
    <w:rsid w:val="00881605"/>
    <w:rsid w:val="0088670F"/>
    <w:rsid w:val="00887404"/>
    <w:rsid w:val="0089037F"/>
    <w:rsid w:val="00891106"/>
    <w:rsid w:val="008926E7"/>
    <w:rsid w:val="0089405C"/>
    <w:rsid w:val="00894940"/>
    <w:rsid w:val="00894FEB"/>
    <w:rsid w:val="00896AE1"/>
    <w:rsid w:val="00897FA2"/>
    <w:rsid w:val="008A1503"/>
    <w:rsid w:val="008A2774"/>
    <w:rsid w:val="008A5AFE"/>
    <w:rsid w:val="008A68EF"/>
    <w:rsid w:val="008A6BB7"/>
    <w:rsid w:val="008A6E8A"/>
    <w:rsid w:val="008A745C"/>
    <w:rsid w:val="008A7B6F"/>
    <w:rsid w:val="008B0224"/>
    <w:rsid w:val="008B715C"/>
    <w:rsid w:val="008B760D"/>
    <w:rsid w:val="008C0033"/>
    <w:rsid w:val="008C1A18"/>
    <w:rsid w:val="008C1F60"/>
    <w:rsid w:val="008C2765"/>
    <w:rsid w:val="008C29F1"/>
    <w:rsid w:val="008C2F84"/>
    <w:rsid w:val="008C3C8A"/>
    <w:rsid w:val="008C3DEF"/>
    <w:rsid w:val="008C478C"/>
    <w:rsid w:val="008C5A0E"/>
    <w:rsid w:val="008C6149"/>
    <w:rsid w:val="008C708C"/>
    <w:rsid w:val="008D117B"/>
    <w:rsid w:val="008D4FC1"/>
    <w:rsid w:val="008D5394"/>
    <w:rsid w:val="008E0647"/>
    <w:rsid w:val="008E097E"/>
    <w:rsid w:val="008E413E"/>
    <w:rsid w:val="008E43A3"/>
    <w:rsid w:val="008E4B49"/>
    <w:rsid w:val="008E4BCA"/>
    <w:rsid w:val="008E7A6E"/>
    <w:rsid w:val="008F0337"/>
    <w:rsid w:val="008F4E05"/>
    <w:rsid w:val="008F6625"/>
    <w:rsid w:val="009065EA"/>
    <w:rsid w:val="00906D40"/>
    <w:rsid w:val="009131E9"/>
    <w:rsid w:val="00913875"/>
    <w:rsid w:val="00913954"/>
    <w:rsid w:val="00915DA1"/>
    <w:rsid w:val="00916582"/>
    <w:rsid w:val="00916902"/>
    <w:rsid w:val="00917A7A"/>
    <w:rsid w:val="00920854"/>
    <w:rsid w:val="00922B00"/>
    <w:rsid w:val="00922BB3"/>
    <w:rsid w:val="009252CB"/>
    <w:rsid w:val="00927066"/>
    <w:rsid w:val="0093173D"/>
    <w:rsid w:val="009374E3"/>
    <w:rsid w:val="00937866"/>
    <w:rsid w:val="00940FD4"/>
    <w:rsid w:val="00943730"/>
    <w:rsid w:val="009454B3"/>
    <w:rsid w:val="009505AE"/>
    <w:rsid w:val="00950D65"/>
    <w:rsid w:val="00952815"/>
    <w:rsid w:val="009543B9"/>
    <w:rsid w:val="009633EE"/>
    <w:rsid w:val="00967158"/>
    <w:rsid w:val="00971055"/>
    <w:rsid w:val="00975CA5"/>
    <w:rsid w:val="00976247"/>
    <w:rsid w:val="009774B4"/>
    <w:rsid w:val="00980B57"/>
    <w:rsid w:val="00981D71"/>
    <w:rsid w:val="00983730"/>
    <w:rsid w:val="00986590"/>
    <w:rsid w:val="00991579"/>
    <w:rsid w:val="00991859"/>
    <w:rsid w:val="00992C76"/>
    <w:rsid w:val="00992E68"/>
    <w:rsid w:val="009969D6"/>
    <w:rsid w:val="00997091"/>
    <w:rsid w:val="009A112B"/>
    <w:rsid w:val="009A2619"/>
    <w:rsid w:val="009A36B1"/>
    <w:rsid w:val="009A58FC"/>
    <w:rsid w:val="009A744E"/>
    <w:rsid w:val="009B0942"/>
    <w:rsid w:val="009B394F"/>
    <w:rsid w:val="009B4D3B"/>
    <w:rsid w:val="009C18DB"/>
    <w:rsid w:val="009C3090"/>
    <w:rsid w:val="009C403E"/>
    <w:rsid w:val="009C45A5"/>
    <w:rsid w:val="009C49B4"/>
    <w:rsid w:val="009D1130"/>
    <w:rsid w:val="009D1F71"/>
    <w:rsid w:val="009D3438"/>
    <w:rsid w:val="009D7407"/>
    <w:rsid w:val="009E04C6"/>
    <w:rsid w:val="009E0866"/>
    <w:rsid w:val="009E099D"/>
    <w:rsid w:val="009E273C"/>
    <w:rsid w:val="009E3F91"/>
    <w:rsid w:val="009E6104"/>
    <w:rsid w:val="009E622A"/>
    <w:rsid w:val="009E7412"/>
    <w:rsid w:val="009F0537"/>
    <w:rsid w:val="009F1350"/>
    <w:rsid w:val="009F15FA"/>
    <w:rsid w:val="009F1CEB"/>
    <w:rsid w:val="009F2161"/>
    <w:rsid w:val="009F26DD"/>
    <w:rsid w:val="009F30B0"/>
    <w:rsid w:val="009F54AB"/>
    <w:rsid w:val="009F6423"/>
    <w:rsid w:val="00A07A86"/>
    <w:rsid w:val="00A107B9"/>
    <w:rsid w:val="00A112F1"/>
    <w:rsid w:val="00A12B40"/>
    <w:rsid w:val="00A165DB"/>
    <w:rsid w:val="00A17461"/>
    <w:rsid w:val="00A22CD1"/>
    <w:rsid w:val="00A237B8"/>
    <w:rsid w:val="00A24A62"/>
    <w:rsid w:val="00A251B1"/>
    <w:rsid w:val="00A25C56"/>
    <w:rsid w:val="00A26299"/>
    <w:rsid w:val="00A31C9F"/>
    <w:rsid w:val="00A32E71"/>
    <w:rsid w:val="00A35652"/>
    <w:rsid w:val="00A4144F"/>
    <w:rsid w:val="00A46B28"/>
    <w:rsid w:val="00A47019"/>
    <w:rsid w:val="00A47135"/>
    <w:rsid w:val="00A52B28"/>
    <w:rsid w:val="00A531AA"/>
    <w:rsid w:val="00A534CE"/>
    <w:rsid w:val="00A556BF"/>
    <w:rsid w:val="00A60BF9"/>
    <w:rsid w:val="00A61B4D"/>
    <w:rsid w:val="00A64C8D"/>
    <w:rsid w:val="00A668E4"/>
    <w:rsid w:val="00A6772C"/>
    <w:rsid w:val="00A71167"/>
    <w:rsid w:val="00A72201"/>
    <w:rsid w:val="00A72EA6"/>
    <w:rsid w:val="00A73663"/>
    <w:rsid w:val="00A74192"/>
    <w:rsid w:val="00A75B84"/>
    <w:rsid w:val="00A76BD0"/>
    <w:rsid w:val="00A77C6F"/>
    <w:rsid w:val="00A77C76"/>
    <w:rsid w:val="00A80123"/>
    <w:rsid w:val="00A80305"/>
    <w:rsid w:val="00A80F95"/>
    <w:rsid w:val="00A84DAC"/>
    <w:rsid w:val="00A854F9"/>
    <w:rsid w:val="00A85E9F"/>
    <w:rsid w:val="00A868CB"/>
    <w:rsid w:val="00A96364"/>
    <w:rsid w:val="00A97244"/>
    <w:rsid w:val="00A97BF1"/>
    <w:rsid w:val="00AA298A"/>
    <w:rsid w:val="00AA3574"/>
    <w:rsid w:val="00AA3AA8"/>
    <w:rsid w:val="00AA43EA"/>
    <w:rsid w:val="00AA7CCD"/>
    <w:rsid w:val="00AB3567"/>
    <w:rsid w:val="00AB4644"/>
    <w:rsid w:val="00AB4795"/>
    <w:rsid w:val="00AB5572"/>
    <w:rsid w:val="00AB5D49"/>
    <w:rsid w:val="00AB6748"/>
    <w:rsid w:val="00AB6BD2"/>
    <w:rsid w:val="00AC107C"/>
    <w:rsid w:val="00AC164A"/>
    <w:rsid w:val="00AC2A4A"/>
    <w:rsid w:val="00AC2BEE"/>
    <w:rsid w:val="00AC3944"/>
    <w:rsid w:val="00AC45B8"/>
    <w:rsid w:val="00AC46A5"/>
    <w:rsid w:val="00AC551D"/>
    <w:rsid w:val="00AC64E8"/>
    <w:rsid w:val="00AD0622"/>
    <w:rsid w:val="00AD19F7"/>
    <w:rsid w:val="00AD2C2E"/>
    <w:rsid w:val="00AD5091"/>
    <w:rsid w:val="00AE0B6B"/>
    <w:rsid w:val="00AE2B7B"/>
    <w:rsid w:val="00AE30A0"/>
    <w:rsid w:val="00AE35F5"/>
    <w:rsid w:val="00AE448A"/>
    <w:rsid w:val="00AE74DA"/>
    <w:rsid w:val="00AE7AB3"/>
    <w:rsid w:val="00AF02E2"/>
    <w:rsid w:val="00AF18F4"/>
    <w:rsid w:val="00AF2050"/>
    <w:rsid w:val="00AF3DBC"/>
    <w:rsid w:val="00AF4A1C"/>
    <w:rsid w:val="00AF4B9C"/>
    <w:rsid w:val="00AF514B"/>
    <w:rsid w:val="00AF52DD"/>
    <w:rsid w:val="00AF583C"/>
    <w:rsid w:val="00AF5C28"/>
    <w:rsid w:val="00AF7ECC"/>
    <w:rsid w:val="00B00BF4"/>
    <w:rsid w:val="00B02B2A"/>
    <w:rsid w:val="00B036A0"/>
    <w:rsid w:val="00B03CA8"/>
    <w:rsid w:val="00B05B87"/>
    <w:rsid w:val="00B112E7"/>
    <w:rsid w:val="00B12991"/>
    <w:rsid w:val="00B16179"/>
    <w:rsid w:val="00B16EF6"/>
    <w:rsid w:val="00B21096"/>
    <w:rsid w:val="00B22F0E"/>
    <w:rsid w:val="00B249EC"/>
    <w:rsid w:val="00B26FA7"/>
    <w:rsid w:val="00B30892"/>
    <w:rsid w:val="00B30969"/>
    <w:rsid w:val="00B33C0A"/>
    <w:rsid w:val="00B34763"/>
    <w:rsid w:val="00B3557F"/>
    <w:rsid w:val="00B4000B"/>
    <w:rsid w:val="00B401AF"/>
    <w:rsid w:val="00B41DBC"/>
    <w:rsid w:val="00B47881"/>
    <w:rsid w:val="00B50ED0"/>
    <w:rsid w:val="00B51C2F"/>
    <w:rsid w:val="00B54FA3"/>
    <w:rsid w:val="00B55E19"/>
    <w:rsid w:val="00B5630F"/>
    <w:rsid w:val="00B56E71"/>
    <w:rsid w:val="00B579A6"/>
    <w:rsid w:val="00B62BDD"/>
    <w:rsid w:val="00B6442C"/>
    <w:rsid w:val="00B664A8"/>
    <w:rsid w:val="00B66D3E"/>
    <w:rsid w:val="00B70928"/>
    <w:rsid w:val="00B71529"/>
    <w:rsid w:val="00B71AD8"/>
    <w:rsid w:val="00B72EB6"/>
    <w:rsid w:val="00B74D29"/>
    <w:rsid w:val="00B74DE0"/>
    <w:rsid w:val="00B75CE4"/>
    <w:rsid w:val="00B76224"/>
    <w:rsid w:val="00B80355"/>
    <w:rsid w:val="00B807AD"/>
    <w:rsid w:val="00B816A2"/>
    <w:rsid w:val="00B821CB"/>
    <w:rsid w:val="00B84B3C"/>
    <w:rsid w:val="00B8546D"/>
    <w:rsid w:val="00B857E1"/>
    <w:rsid w:val="00B8599B"/>
    <w:rsid w:val="00B86990"/>
    <w:rsid w:val="00B91FE7"/>
    <w:rsid w:val="00B929BE"/>
    <w:rsid w:val="00B94758"/>
    <w:rsid w:val="00B947A0"/>
    <w:rsid w:val="00B972EE"/>
    <w:rsid w:val="00BA1B89"/>
    <w:rsid w:val="00BA4B6D"/>
    <w:rsid w:val="00BB26C5"/>
    <w:rsid w:val="00BB2F84"/>
    <w:rsid w:val="00BB39DD"/>
    <w:rsid w:val="00BB3FD0"/>
    <w:rsid w:val="00BB51C8"/>
    <w:rsid w:val="00BB6B8F"/>
    <w:rsid w:val="00BC01CD"/>
    <w:rsid w:val="00BC1FED"/>
    <w:rsid w:val="00BC28A4"/>
    <w:rsid w:val="00BC63A8"/>
    <w:rsid w:val="00BD0F5C"/>
    <w:rsid w:val="00BD6304"/>
    <w:rsid w:val="00BD710C"/>
    <w:rsid w:val="00BD7D03"/>
    <w:rsid w:val="00BE12B6"/>
    <w:rsid w:val="00BE1D2E"/>
    <w:rsid w:val="00BE75EB"/>
    <w:rsid w:val="00BF1579"/>
    <w:rsid w:val="00BF4DE6"/>
    <w:rsid w:val="00BF6703"/>
    <w:rsid w:val="00C00E1C"/>
    <w:rsid w:val="00C00FCF"/>
    <w:rsid w:val="00C04D72"/>
    <w:rsid w:val="00C06B13"/>
    <w:rsid w:val="00C07307"/>
    <w:rsid w:val="00C11CEB"/>
    <w:rsid w:val="00C14A39"/>
    <w:rsid w:val="00C1573E"/>
    <w:rsid w:val="00C16A47"/>
    <w:rsid w:val="00C17462"/>
    <w:rsid w:val="00C2195D"/>
    <w:rsid w:val="00C22205"/>
    <w:rsid w:val="00C25916"/>
    <w:rsid w:val="00C27D25"/>
    <w:rsid w:val="00C30B54"/>
    <w:rsid w:val="00C35791"/>
    <w:rsid w:val="00C37697"/>
    <w:rsid w:val="00C42541"/>
    <w:rsid w:val="00C42CDE"/>
    <w:rsid w:val="00C45941"/>
    <w:rsid w:val="00C473BA"/>
    <w:rsid w:val="00C50B58"/>
    <w:rsid w:val="00C5182A"/>
    <w:rsid w:val="00C52463"/>
    <w:rsid w:val="00C52B3D"/>
    <w:rsid w:val="00C53800"/>
    <w:rsid w:val="00C55983"/>
    <w:rsid w:val="00C61649"/>
    <w:rsid w:val="00C61935"/>
    <w:rsid w:val="00C63EE9"/>
    <w:rsid w:val="00C656C7"/>
    <w:rsid w:val="00C674F3"/>
    <w:rsid w:val="00C67651"/>
    <w:rsid w:val="00C71B7C"/>
    <w:rsid w:val="00C80F99"/>
    <w:rsid w:val="00C83F4E"/>
    <w:rsid w:val="00C84C30"/>
    <w:rsid w:val="00C87B9B"/>
    <w:rsid w:val="00C908C7"/>
    <w:rsid w:val="00C9204F"/>
    <w:rsid w:val="00C92805"/>
    <w:rsid w:val="00C92D00"/>
    <w:rsid w:val="00C97E76"/>
    <w:rsid w:val="00CA16F3"/>
    <w:rsid w:val="00CA3403"/>
    <w:rsid w:val="00CA37B1"/>
    <w:rsid w:val="00CA3FD8"/>
    <w:rsid w:val="00CA4B03"/>
    <w:rsid w:val="00CA5021"/>
    <w:rsid w:val="00CA56AE"/>
    <w:rsid w:val="00CA575B"/>
    <w:rsid w:val="00CA6726"/>
    <w:rsid w:val="00CB11B8"/>
    <w:rsid w:val="00CB1488"/>
    <w:rsid w:val="00CB1959"/>
    <w:rsid w:val="00CB2663"/>
    <w:rsid w:val="00CB40BD"/>
    <w:rsid w:val="00CB544A"/>
    <w:rsid w:val="00CC0382"/>
    <w:rsid w:val="00CC03AB"/>
    <w:rsid w:val="00CC0FD1"/>
    <w:rsid w:val="00CC1D45"/>
    <w:rsid w:val="00CC2342"/>
    <w:rsid w:val="00CC741B"/>
    <w:rsid w:val="00CC7AC1"/>
    <w:rsid w:val="00CD0E4B"/>
    <w:rsid w:val="00CD2D7B"/>
    <w:rsid w:val="00CD3F5D"/>
    <w:rsid w:val="00CD4AD4"/>
    <w:rsid w:val="00CE2CF5"/>
    <w:rsid w:val="00CE4C89"/>
    <w:rsid w:val="00CE61AC"/>
    <w:rsid w:val="00CE761F"/>
    <w:rsid w:val="00CF07BA"/>
    <w:rsid w:val="00CF21A3"/>
    <w:rsid w:val="00CF2623"/>
    <w:rsid w:val="00CF4599"/>
    <w:rsid w:val="00CF54D1"/>
    <w:rsid w:val="00CF6233"/>
    <w:rsid w:val="00D008B1"/>
    <w:rsid w:val="00D0296C"/>
    <w:rsid w:val="00D033B3"/>
    <w:rsid w:val="00D0453D"/>
    <w:rsid w:val="00D05CFE"/>
    <w:rsid w:val="00D05E55"/>
    <w:rsid w:val="00D069F7"/>
    <w:rsid w:val="00D108B4"/>
    <w:rsid w:val="00D1231A"/>
    <w:rsid w:val="00D136AB"/>
    <w:rsid w:val="00D13DE4"/>
    <w:rsid w:val="00D14514"/>
    <w:rsid w:val="00D16742"/>
    <w:rsid w:val="00D167AF"/>
    <w:rsid w:val="00D203E9"/>
    <w:rsid w:val="00D20A30"/>
    <w:rsid w:val="00D20BC7"/>
    <w:rsid w:val="00D216D3"/>
    <w:rsid w:val="00D21890"/>
    <w:rsid w:val="00D22D65"/>
    <w:rsid w:val="00D24605"/>
    <w:rsid w:val="00D2641E"/>
    <w:rsid w:val="00D303FF"/>
    <w:rsid w:val="00D3068D"/>
    <w:rsid w:val="00D3170B"/>
    <w:rsid w:val="00D32D6F"/>
    <w:rsid w:val="00D34A98"/>
    <w:rsid w:val="00D34D5D"/>
    <w:rsid w:val="00D34E35"/>
    <w:rsid w:val="00D37A6D"/>
    <w:rsid w:val="00D37B04"/>
    <w:rsid w:val="00D402BF"/>
    <w:rsid w:val="00D43991"/>
    <w:rsid w:val="00D449DC"/>
    <w:rsid w:val="00D45555"/>
    <w:rsid w:val="00D4628C"/>
    <w:rsid w:val="00D479B5"/>
    <w:rsid w:val="00D50B6F"/>
    <w:rsid w:val="00D540C6"/>
    <w:rsid w:val="00D604BD"/>
    <w:rsid w:val="00D618C3"/>
    <w:rsid w:val="00D64BD1"/>
    <w:rsid w:val="00D71338"/>
    <w:rsid w:val="00D71450"/>
    <w:rsid w:val="00D71F34"/>
    <w:rsid w:val="00D7310B"/>
    <w:rsid w:val="00D747FC"/>
    <w:rsid w:val="00D80742"/>
    <w:rsid w:val="00D82559"/>
    <w:rsid w:val="00D84E20"/>
    <w:rsid w:val="00D85F0B"/>
    <w:rsid w:val="00D90B37"/>
    <w:rsid w:val="00D92254"/>
    <w:rsid w:val="00D924D3"/>
    <w:rsid w:val="00DA13AD"/>
    <w:rsid w:val="00DA1762"/>
    <w:rsid w:val="00DA1B52"/>
    <w:rsid w:val="00DA3B03"/>
    <w:rsid w:val="00DA4B3C"/>
    <w:rsid w:val="00DA777E"/>
    <w:rsid w:val="00DB3D7F"/>
    <w:rsid w:val="00DB4612"/>
    <w:rsid w:val="00DB590B"/>
    <w:rsid w:val="00DC0996"/>
    <w:rsid w:val="00DC2185"/>
    <w:rsid w:val="00DC238C"/>
    <w:rsid w:val="00DC4622"/>
    <w:rsid w:val="00DC4C27"/>
    <w:rsid w:val="00DC5A4E"/>
    <w:rsid w:val="00DC5E05"/>
    <w:rsid w:val="00DC68E7"/>
    <w:rsid w:val="00DC6D78"/>
    <w:rsid w:val="00DC7C38"/>
    <w:rsid w:val="00DD077D"/>
    <w:rsid w:val="00DD3E88"/>
    <w:rsid w:val="00DD5344"/>
    <w:rsid w:val="00DE04C9"/>
    <w:rsid w:val="00DE084C"/>
    <w:rsid w:val="00DE0F75"/>
    <w:rsid w:val="00DE62EA"/>
    <w:rsid w:val="00DF0EEA"/>
    <w:rsid w:val="00DF2254"/>
    <w:rsid w:val="00DF337A"/>
    <w:rsid w:val="00DF45DD"/>
    <w:rsid w:val="00DF5294"/>
    <w:rsid w:val="00DF68CF"/>
    <w:rsid w:val="00E0138E"/>
    <w:rsid w:val="00E037D4"/>
    <w:rsid w:val="00E0497E"/>
    <w:rsid w:val="00E04E01"/>
    <w:rsid w:val="00E055AB"/>
    <w:rsid w:val="00E05852"/>
    <w:rsid w:val="00E06B9A"/>
    <w:rsid w:val="00E07175"/>
    <w:rsid w:val="00E129FE"/>
    <w:rsid w:val="00E14E3E"/>
    <w:rsid w:val="00E14E55"/>
    <w:rsid w:val="00E14F51"/>
    <w:rsid w:val="00E158F7"/>
    <w:rsid w:val="00E15A6C"/>
    <w:rsid w:val="00E1666D"/>
    <w:rsid w:val="00E16D5F"/>
    <w:rsid w:val="00E17EE7"/>
    <w:rsid w:val="00E2069F"/>
    <w:rsid w:val="00E20945"/>
    <w:rsid w:val="00E221FA"/>
    <w:rsid w:val="00E24A94"/>
    <w:rsid w:val="00E2747C"/>
    <w:rsid w:val="00E3076E"/>
    <w:rsid w:val="00E32094"/>
    <w:rsid w:val="00E322F9"/>
    <w:rsid w:val="00E357B7"/>
    <w:rsid w:val="00E40E8B"/>
    <w:rsid w:val="00E410F8"/>
    <w:rsid w:val="00E42990"/>
    <w:rsid w:val="00E42E50"/>
    <w:rsid w:val="00E4584F"/>
    <w:rsid w:val="00E463C2"/>
    <w:rsid w:val="00E47867"/>
    <w:rsid w:val="00E532A8"/>
    <w:rsid w:val="00E53800"/>
    <w:rsid w:val="00E6081F"/>
    <w:rsid w:val="00E614AA"/>
    <w:rsid w:val="00E624EC"/>
    <w:rsid w:val="00E65F72"/>
    <w:rsid w:val="00E706EA"/>
    <w:rsid w:val="00E70C37"/>
    <w:rsid w:val="00E7126C"/>
    <w:rsid w:val="00E716A9"/>
    <w:rsid w:val="00E811DA"/>
    <w:rsid w:val="00E8296D"/>
    <w:rsid w:val="00E83519"/>
    <w:rsid w:val="00E8457B"/>
    <w:rsid w:val="00E872F1"/>
    <w:rsid w:val="00E8783F"/>
    <w:rsid w:val="00E92D32"/>
    <w:rsid w:val="00E944AA"/>
    <w:rsid w:val="00E97F4B"/>
    <w:rsid w:val="00EA04B2"/>
    <w:rsid w:val="00EA20F3"/>
    <w:rsid w:val="00EA36D9"/>
    <w:rsid w:val="00EA4197"/>
    <w:rsid w:val="00EA7430"/>
    <w:rsid w:val="00EB168F"/>
    <w:rsid w:val="00EB1DBB"/>
    <w:rsid w:val="00EB2D7C"/>
    <w:rsid w:val="00EB45E5"/>
    <w:rsid w:val="00EB5160"/>
    <w:rsid w:val="00EB5F47"/>
    <w:rsid w:val="00EB73C2"/>
    <w:rsid w:val="00EB77D7"/>
    <w:rsid w:val="00EC1C1A"/>
    <w:rsid w:val="00EC2B54"/>
    <w:rsid w:val="00EC608A"/>
    <w:rsid w:val="00EC6D38"/>
    <w:rsid w:val="00EC74A8"/>
    <w:rsid w:val="00ED179A"/>
    <w:rsid w:val="00ED18EE"/>
    <w:rsid w:val="00ED22A8"/>
    <w:rsid w:val="00ED2831"/>
    <w:rsid w:val="00ED2EB5"/>
    <w:rsid w:val="00ED32B3"/>
    <w:rsid w:val="00ED3B2D"/>
    <w:rsid w:val="00ED43D1"/>
    <w:rsid w:val="00ED6163"/>
    <w:rsid w:val="00ED6E38"/>
    <w:rsid w:val="00EE0466"/>
    <w:rsid w:val="00EE1CFF"/>
    <w:rsid w:val="00EE4EE1"/>
    <w:rsid w:val="00EE4F85"/>
    <w:rsid w:val="00EE5025"/>
    <w:rsid w:val="00EE5EC2"/>
    <w:rsid w:val="00EE6B2F"/>
    <w:rsid w:val="00EF28B5"/>
    <w:rsid w:val="00EF4574"/>
    <w:rsid w:val="00EF6B97"/>
    <w:rsid w:val="00EF74B4"/>
    <w:rsid w:val="00EF7BE3"/>
    <w:rsid w:val="00F003E0"/>
    <w:rsid w:val="00F01921"/>
    <w:rsid w:val="00F051C7"/>
    <w:rsid w:val="00F054CF"/>
    <w:rsid w:val="00F06982"/>
    <w:rsid w:val="00F1128F"/>
    <w:rsid w:val="00F13373"/>
    <w:rsid w:val="00F20521"/>
    <w:rsid w:val="00F20898"/>
    <w:rsid w:val="00F20F79"/>
    <w:rsid w:val="00F221D8"/>
    <w:rsid w:val="00F258BF"/>
    <w:rsid w:val="00F25A93"/>
    <w:rsid w:val="00F2684E"/>
    <w:rsid w:val="00F27235"/>
    <w:rsid w:val="00F32F70"/>
    <w:rsid w:val="00F35DDE"/>
    <w:rsid w:val="00F36CAE"/>
    <w:rsid w:val="00F441AB"/>
    <w:rsid w:val="00F44A3C"/>
    <w:rsid w:val="00F45486"/>
    <w:rsid w:val="00F47942"/>
    <w:rsid w:val="00F516A0"/>
    <w:rsid w:val="00F53309"/>
    <w:rsid w:val="00F53E91"/>
    <w:rsid w:val="00F5404C"/>
    <w:rsid w:val="00F55329"/>
    <w:rsid w:val="00F55620"/>
    <w:rsid w:val="00F55791"/>
    <w:rsid w:val="00F64397"/>
    <w:rsid w:val="00F64FAB"/>
    <w:rsid w:val="00F650C7"/>
    <w:rsid w:val="00F67C6A"/>
    <w:rsid w:val="00F70504"/>
    <w:rsid w:val="00F707E0"/>
    <w:rsid w:val="00F70DEF"/>
    <w:rsid w:val="00F71051"/>
    <w:rsid w:val="00F71CB4"/>
    <w:rsid w:val="00F729EF"/>
    <w:rsid w:val="00F746B7"/>
    <w:rsid w:val="00F760AE"/>
    <w:rsid w:val="00F766E9"/>
    <w:rsid w:val="00F76EEA"/>
    <w:rsid w:val="00F77C1A"/>
    <w:rsid w:val="00F77CAE"/>
    <w:rsid w:val="00F81029"/>
    <w:rsid w:val="00F82271"/>
    <w:rsid w:val="00F83416"/>
    <w:rsid w:val="00F83428"/>
    <w:rsid w:val="00F83689"/>
    <w:rsid w:val="00F85D96"/>
    <w:rsid w:val="00F875A8"/>
    <w:rsid w:val="00F87B3E"/>
    <w:rsid w:val="00F90B17"/>
    <w:rsid w:val="00F92FA3"/>
    <w:rsid w:val="00F9515B"/>
    <w:rsid w:val="00F96BB9"/>
    <w:rsid w:val="00F975C0"/>
    <w:rsid w:val="00FA4D1A"/>
    <w:rsid w:val="00FA5EFD"/>
    <w:rsid w:val="00FA6D65"/>
    <w:rsid w:val="00FB44F7"/>
    <w:rsid w:val="00FB45C1"/>
    <w:rsid w:val="00FB4891"/>
    <w:rsid w:val="00FB4E9A"/>
    <w:rsid w:val="00FB5BDF"/>
    <w:rsid w:val="00FB71E3"/>
    <w:rsid w:val="00FC1216"/>
    <w:rsid w:val="00FC5365"/>
    <w:rsid w:val="00FD1850"/>
    <w:rsid w:val="00FD2D33"/>
    <w:rsid w:val="00FD6145"/>
    <w:rsid w:val="00FD710F"/>
    <w:rsid w:val="00FE0DF1"/>
    <w:rsid w:val="00FE6549"/>
    <w:rsid w:val="00FE677F"/>
    <w:rsid w:val="00FE6C2E"/>
    <w:rsid w:val="00FE6D51"/>
    <w:rsid w:val="00FE6F2A"/>
    <w:rsid w:val="00FF0590"/>
    <w:rsid w:val="00FF551B"/>
    <w:rsid w:val="010DE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2849E3"/>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849E3"/>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customStyle="1" w:styleId="bullet">
    <w:name w:val="bullet"/>
    <w:qFormat/>
    <w:rsid w:val="00922B00"/>
    <w:pPr>
      <w:numPr>
        <w:numId w:val="30"/>
      </w:numPr>
      <w:tabs>
        <w:tab w:val="left" w:pos="360"/>
      </w:tabs>
      <w:spacing w:after="60" w:line="276" w:lineRule="auto"/>
    </w:pPr>
    <w:rPr>
      <w:rFonts w:ascii="Calibri" w:eastAsia="Times New Roman" w:hAnsi="Calibri" w:cs="Times New Roman" w:hint="eastAsia"/>
      <w:szCs w:val="24"/>
      <w:lang w:val="en-US" w:eastAsia="zh-CN"/>
    </w:rPr>
  </w:style>
  <w:style w:type="paragraph" w:styleId="NormalWeb">
    <w:name w:val="Normal (Web)"/>
    <w:basedOn w:val="Normal"/>
    <w:uiPriority w:val="99"/>
    <w:semiHidden/>
    <w:unhideWhenUsed/>
    <w:rsid w:val="00827AE9"/>
    <w:pPr>
      <w:suppressAutoHyphens w:val="0"/>
      <w:spacing w:before="100" w:beforeAutospacing="1" w:after="100" w:afterAutospacing="1" w:line="240" w:lineRule="auto"/>
    </w:pPr>
    <w:rPr>
      <w:rFonts w:ascii="Calibri" w:hAnsi="Calibri" w:cs="Calibri"/>
      <w:color w:val="auto"/>
      <w:lang w:val="en-AU" w:eastAsia="en-AU"/>
    </w:rPr>
  </w:style>
  <w:style w:type="character" w:customStyle="1" w:styleId="normaltextrun">
    <w:name w:val="normaltextrun"/>
    <w:basedOn w:val="DefaultParagraphFont"/>
    <w:rsid w:val="00DE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28322635">
      <w:bodyDiv w:val="1"/>
      <w:marLeft w:val="0"/>
      <w:marRight w:val="0"/>
      <w:marTop w:val="0"/>
      <w:marBottom w:val="0"/>
      <w:divBdr>
        <w:top w:val="none" w:sz="0" w:space="0" w:color="auto"/>
        <w:left w:val="none" w:sz="0" w:space="0" w:color="auto"/>
        <w:bottom w:val="none" w:sz="0" w:space="0" w:color="auto"/>
        <w:right w:val="none" w:sz="0" w:space="0" w:color="auto"/>
      </w:divBdr>
    </w:div>
    <w:div w:id="149447315">
      <w:bodyDiv w:val="1"/>
      <w:marLeft w:val="0"/>
      <w:marRight w:val="0"/>
      <w:marTop w:val="0"/>
      <w:marBottom w:val="0"/>
      <w:divBdr>
        <w:top w:val="none" w:sz="0" w:space="0" w:color="auto"/>
        <w:left w:val="none" w:sz="0" w:space="0" w:color="auto"/>
        <w:bottom w:val="none" w:sz="0" w:space="0" w:color="auto"/>
        <w:right w:val="none" w:sz="0" w:space="0" w:color="auto"/>
      </w:divBdr>
    </w:div>
    <w:div w:id="524902049">
      <w:bodyDiv w:val="1"/>
      <w:marLeft w:val="0"/>
      <w:marRight w:val="0"/>
      <w:marTop w:val="0"/>
      <w:marBottom w:val="0"/>
      <w:divBdr>
        <w:top w:val="none" w:sz="0" w:space="0" w:color="auto"/>
        <w:left w:val="none" w:sz="0" w:space="0" w:color="auto"/>
        <w:bottom w:val="none" w:sz="0" w:space="0" w:color="auto"/>
        <w:right w:val="none" w:sz="0" w:space="0" w:color="auto"/>
      </w:divBdr>
    </w:div>
    <w:div w:id="1160268157">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691299702">
      <w:bodyDiv w:val="1"/>
      <w:marLeft w:val="0"/>
      <w:marRight w:val="0"/>
      <w:marTop w:val="0"/>
      <w:marBottom w:val="0"/>
      <w:divBdr>
        <w:top w:val="none" w:sz="0" w:space="0" w:color="auto"/>
        <w:left w:val="none" w:sz="0" w:space="0" w:color="auto"/>
        <w:bottom w:val="none" w:sz="0" w:space="0" w:color="auto"/>
        <w:right w:val="none" w:sz="0" w:space="0" w:color="auto"/>
      </w:divBdr>
    </w:div>
    <w:div w:id="1699502622">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16869775">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2512</Words>
  <Characters>14765</Characters>
  <Application>Microsoft Office Word</Application>
  <DocSecurity>0</DocSecurity>
  <Lines>289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2022-12-20T07:39:00Z</dcterms:created>
  <dcterms:modified xsi:type="dcterms:W3CDTF">2022-12-20T07:40:00Z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2022-12-20T07:40:00Z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A2A9B950FA6735E076A414E7DC4AC2CB</vt:lpwstr>
  </property>
  <property fmtid="{D5CDD505-2E9C-101B-9397-08002B2CF9AE}" pid="21" name="PM_Hash_Salt">
    <vt:lpwstr>7D6B8F66D4B01037BBE468A79F723C0F</vt:lpwstr>
  </property>
  <property fmtid="{D5CDD505-2E9C-101B-9397-08002B2CF9AE}" pid="22" name="PM_Hash_SHA1">
    <vt:lpwstr>63C30CB975ECEE033F2F888F1081E4A9731AB277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