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77D9C4D2" w:rsidR="00FA5EFD" w:rsidRDefault="002E500A" w:rsidP="007C1089">
      <w:pPr>
        <w:pStyle w:val="Heading1"/>
        <w:spacing w:after="0" w:line="240" w:lineRule="auto"/>
        <w:contextualSpacing w:val="0"/>
      </w:pPr>
      <w:r w:rsidRPr="002E500A">
        <w:t>202</w:t>
      </w:r>
      <w:r w:rsidR="009543B9">
        <w:t>1</w:t>
      </w:r>
      <w:r w:rsidRPr="002E500A">
        <w:t>-2</w:t>
      </w:r>
      <w:r w:rsidR="009543B9">
        <w:t>2</w:t>
      </w:r>
      <w:r w:rsidRPr="002E500A">
        <w:t xml:space="preserve"> </w:t>
      </w:r>
      <w:r w:rsidR="00255D20">
        <w:t>Laos</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6EC3AB43" w14:textId="20D64684" w:rsidR="007C1089" w:rsidRPr="007C1089" w:rsidRDefault="007C1089" w:rsidP="007C1089">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r w:rsidRPr="00015DC0">
        <w:t xml:space="preserve">The COVID-19 Development Response Plan for </w:t>
      </w:r>
      <w:r>
        <w:t>Laos</w:t>
      </w:r>
      <w:r w:rsidRPr="00015DC0">
        <w:t xml:space="preserve"> </w:t>
      </w:r>
      <w:r>
        <w:t>has been extended through 2022-23</w:t>
      </w:r>
      <w:r w:rsidRPr="00015DC0">
        <w:t>.</w:t>
      </w:r>
      <w:r>
        <w:t xml:space="preserve"> </w:t>
      </w:r>
      <w:r>
        <w:br/>
        <w:t xml:space="preserve">In 2022-23, the Laos Program will continue its focus on human resource development and scholarships, supporting economic reform and resilience, encouraging trade and investment, and building environmental and climate resilience. </w:t>
      </w:r>
      <w:bookmarkStart w:id="0" w:name="_Hlk120186055"/>
      <w:r>
        <w:t xml:space="preserve">There may be additional programming in response to new Australian Government development priorities and supporting preparation </w:t>
      </w:r>
      <w:r w:rsidRPr="003922E8">
        <w:t>of Laos’</w:t>
      </w:r>
      <w:r>
        <w:t xml:space="preserve"> </w:t>
      </w:r>
      <w:r w:rsidRPr="003922E8">
        <w:t>Association of Southeast Asian Nations</w:t>
      </w:r>
      <w:r>
        <w:t xml:space="preserve"> (ASEAN) Chair year in 2024. </w:t>
      </w:r>
      <w:bookmarkEnd w:id="0"/>
    </w:p>
    <w:tbl>
      <w:tblPr>
        <w:tblStyle w:val="GridTable4-Accent1"/>
        <w:tblpPr w:leftFromText="180" w:rightFromText="180" w:vertAnchor="text" w:horzAnchor="margin" w:tblpY="28"/>
        <w:tblW w:w="4671"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Program Budget"/>
        <w:tblDescription w:val="Amount of Program budget allocation for 2020-21 for Bilateral, Regional, Global and Other Government Department ODA"/>
      </w:tblPr>
      <w:tblGrid>
        <w:gridCol w:w="2432"/>
        <w:gridCol w:w="2239"/>
      </w:tblGrid>
      <w:tr w:rsidR="007C1089" w14:paraId="514AAE36" w14:textId="77777777" w:rsidTr="00A83146">
        <w:trPr>
          <w:cnfStyle w:val="100000000000" w:firstRow="1" w:lastRow="0" w:firstColumn="0" w:lastColumn="0" w:oddVBand="0" w:evenVBand="0" w:oddHBand="0" w:evenHBand="0" w:firstRowFirstColumn="0" w:firstRowLastColumn="0" w:lastRowFirstColumn="0" w:lastRowLastColumn="0"/>
          <w:trHeight w:val="916"/>
          <w:tblHeader/>
        </w:trPr>
        <w:tc>
          <w:tcPr>
            <w:cnfStyle w:val="001000000000" w:firstRow="0" w:lastRow="0" w:firstColumn="1" w:lastColumn="0" w:oddVBand="0"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5CF67E16" w14:textId="77777777" w:rsidR="007C1089" w:rsidRPr="005736BB" w:rsidRDefault="007C1089" w:rsidP="000E3946">
            <w:pPr>
              <w:widowControl w:val="0"/>
              <w:spacing w:before="60" w:after="120" w:line="260" w:lineRule="exact"/>
              <w:rPr>
                <w:b w:val="0"/>
                <w:bCs w:val="0"/>
                <w:sz w:val="20"/>
                <w:szCs w:val="20"/>
              </w:rPr>
            </w:pPr>
            <w:r w:rsidRPr="005736BB">
              <w:rPr>
                <w:sz w:val="20"/>
                <w:szCs w:val="20"/>
              </w:rPr>
              <w:t>Program Budget</w:t>
            </w:r>
          </w:p>
        </w:tc>
        <w:tc>
          <w:tcPr>
            <w:tcW w:w="2239"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774FF3D8" w14:textId="77777777" w:rsidR="007C1089" w:rsidRPr="005736BB" w:rsidRDefault="007C1089"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5736BB">
              <w:rPr>
                <w:sz w:val="20"/>
                <w:szCs w:val="20"/>
              </w:rPr>
              <w:t>202</w:t>
            </w:r>
            <w:r>
              <w:rPr>
                <w:sz w:val="20"/>
                <w:szCs w:val="20"/>
              </w:rPr>
              <w:t>1</w:t>
            </w:r>
            <w:r w:rsidRPr="005736BB">
              <w:rPr>
                <w:sz w:val="20"/>
                <w:szCs w:val="20"/>
              </w:rPr>
              <w:t>-2</w:t>
            </w:r>
            <w:r>
              <w:rPr>
                <w:sz w:val="20"/>
                <w:szCs w:val="20"/>
              </w:rPr>
              <w:t>2</w:t>
            </w:r>
            <w:r w:rsidRPr="005736BB">
              <w:rPr>
                <w:sz w:val="20"/>
                <w:szCs w:val="20"/>
              </w:rPr>
              <w:t xml:space="preserve"> Budget Estimate $m</w:t>
            </w:r>
            <w:r>
              <w:rPr>
                <w:sz w:val="20"/>
                <w:szCs w:val="20"/>
              </w:rPr>
              <w:t>*</w:t>
            </w:r>
          </w:p>
        </w:tc>
      </w:tr>
      <w:tr w:rsidR="007C1089" w14:paraId="4116F8F7" w14:textId="77777777" w:rsidTr="00A83146">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90A3A7D" w14:textId="77777777" w:rsidR="007C1089" w:rsidRPr="005736BB" w:rsidRDefault="007C1089" w:rsidP="000E3946">
            <w:pPr>
              <w:widowControl w:val="0"/>
              <w:spacing w:before="60" w:after="120" w:line="260" w:lineRule="exact"/>
              <w:rPr>
                <w:sz w:val="20"/>
                <w:szCs w:val="20"/>
              </w:rPr>
            </w:pPr>
            <w:r w:rsidRPr="005736BB">
              <w:rPr>
                <w:sz w:val="20"/>
                <w:szCs w:val="20"/>
              </w:rPr>
              <w:t>Bilateral</w:t>
            </w:r>
          </w:p>
        </w:tc>
        <w:tc>
          <w:tcPr>
            <w:tcW w:w="22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72A453" w14:textId="77777777" w:rsidR="007C1089" w:rsidRDefault="007C1089"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20.6</w:t>
            </w:r>
          </w:p>
        </w:tc>
      </w:tr>
      <w:tr w:rsidR="007C1089" w14:paraId="7CB8CA8E" w14:textId="77777777" w:rsidTr="00A83146">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959FC64" w14:textId="77777777" w:rsidR="007C1089" w:rsidRPr="005736BB" w:rsidRDefault="007C1089" w:rsidP="000E3946">
            <w:pPr>
              <w:widowControl w:val="0"/>
              <w:spacing w:before="60" w:after="120" w:line="260" w:lineRule="exact"/>
              <w:rPr>
                <w:sz w:val="20"/>
                <w:szCs w:val="20"/>
              </w:rPr>
            </w:pPr>
            <w:r w:rsidRPr="005736BB">
              <w:rPr>
                <w:sz w:val="20"/>
                <w:szCs w:val="20"/>
              </w:rPr>
              <w:t>Regional</w:t>
            </w:r>
          </w:p>
        </w:tc>
        <w:tc>
          <w:tcPr>
            <w:tcW w:w="223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C3447F0" w14:textId="77777777" w:rsidR="007C1089" w:rsidRDefault="007C1089"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7.3</w:t>
            </w:r>
          </w:p>
        </w:tc>
      </w:tr>
      <w:tr w:rsidR="007C1089" w14:paraId="6D942D86" w14:textId="77777777" w:rsidTr="00A83146">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3F99E7" w14:textId="77777777" w:rsidR="007C1089" w:rsidRPr="005736BB" w:rsidRDefault="007C1089" w:rsidP="000E3946">
            <w:pPr>
              <w:widowControl w:val="0"/>
              <w:spacing w:before="60" w:after="120" w:line="260" w:lineRule="exact"/>
              <w:rPr>
                <w:sz w:val="20"/>
                <w:szCs w:val="20"/>
              </w:rPr>
            </w:pPr>
            <w:r w:rsidRPr="005736BB">
              <w:rPr>
                <w:sz w:val="20"/>
                <w:szCs w:val="20"/>
              </w:rPr>
              <w:t>Global</w:t>
            </w:r>
          </w:p>
        </w:tc>
        <w:tc>
          <w:tcPr>
            <w:tcW w:w="22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B00178D" w14:textId="77777777" w:rsidR="007C1089" w:rsidRDefault="007C1089"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7.4</w:t>
            </w:r>
          </w:p>
        </w:tc>
      </w:tr>
      <w:tr w:rsidR="007C1089" w14:paraId="143CCC17" w14:textId="77777777" w:rsidTr="00A83146">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8A35B73" w14:textId="77777777" w:rsidR="007C1089" w:rsidRPr="005736BB" w:rsidRDefault="007C1089" w:rsidP="000E3946">
            <w:pPr>
              <w:widowControl w:val="0"/>
              <w:spacing w:before="60" w:after="120" w:line="260" w:lineRule="exact"/>
              <w:rPr>
                <w:sz w:val="20"/>
                <w:szCs w:val="20"/>
              </w:rPr>
            </w:pPr>
            <w:r w:rsidRPr="005736BB">
              <w:rPr>
                <w:sz w:val="20"/>
                <w:szCs w:val="20"/>
              </w:rPr>
              <w:t>Other Govt. Departments</w:t>
            </w:r>
          </w:p>
        </w:tc>
        <w:tc>
          <w:tcPr>
            <w:tcW w:w="2239"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DF828A9" w14:textId="77777777" w:rsidR="007C1089" w:rsidRDefault="007C1089"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3.9</w:t>
            </w:r>
          </w:p>
        </w:tc>
      </w:tr>
      <w:tr w:rsidR="007C1089" w14:paraId="475333C4" w14:textId="77777777" w:rsidTr="00A83146">
        <w:trPr>
          <w:cnfStyle w:val="100000000000" w:firstRow="1" w:lastRow="0" w:firstColumn="0" w:lastColumn="0" w:oddVBand="0" w:evenVBand="0" w:oddHBand="0" w:evenHBand="0" w:firstRowFirstColumn="0" w:firstRowLastColumn="0" w:lastRowFirstColumn="0" w:lastRowLastColumn="0"/>
          <w:trHeight w:val="577"/>
          <w:tblHeader/>
        </w:trPr>
        <w:tc>
          <w:tcPr>
            <w:cnfStyle w:val="001000000000" w:firstRow="0" w:lastRow="0" w:firstColumn="1" w:lastColumn="0" w:oddVBand="0" w:evenVBand="0" w:oddHBand="0" w:evenHBand="0" w:firstRowFirstColumn="0" w:firstRowLastColumn="0" w:lastRowFirstColumn="0" w:lastRowLastColumn="0"/>
            <w:tcW w:w="243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B6E4905" w14:textId="77777777" w:rsidR="007C1089" w:rsidRPr="005736BB" w:rsidRDefault="007C1089" w:rsidP="000E3946">
            <w:pPr>
              <w:widowControl w:val="0"/>
              <w:spacing w:before="60" w:after="120" w:line="260" w:lineRule="exact"/>
              <w:rPr>
                <w:sz w:val="20"/>
                <w:szCs w:val="20"/>
              </w:rPr>
            </w:pPr>
            <w:r w:rsidRPr="005736BB">
              <w:rPr>
                <w:sz w:val="20"/>
                <w:szCs w:val="20"/>
              </w:rPr>
              <w:t>Total ODA</w:t>
            </w:r>
          </w:p>
        </w:tc>
        <w:tc>
          <w:tcPr>
            <w:tcW w:w="223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0F44DA3" w14:textId="77777777" w:rsidR="007C1089" w:rsidRDefault="007C1089" w:rsidP="000E3946">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39.3</w:t>
            </w:r>
          </w:p>
        </w:tc>
      </w:tr>
    </w:tbl>
    <w:p w14:paraId="32692EF0" w14:textId="1FFD731D" w:rsidR="00B6617A" w:rsidRDefault="00323280" w:rsidP="0012467A">
      <w:pPr>
        <w:widowControl w:val="0"/>
        <w:spacing w:before="0" w:after="0" w:line="240" w:lineRule="auto"/>
        <w:rPr>
          <w:i/>
          <w:iCs/>
          <w:sz w:val="18"/>
          <w:szCs w:val="18"/>
        </w:rPr>
      </w:pPr>
      <w:r>
        <w:rPr>
          <w:noProof/>
        </w:rPr>
        <w:drawing>
          <wp:inline distT="0" distB="0" distL="0" distR="0" wp14:anchorId="227B34FD" wp14:editId="499630E1">
            <wp:extent cx="3571875" cy="2486025"/>
            <wp:effectExtent l="0" t="0" r="9525" b="9525"/>
            <wp:docPr id="7" name="Picture 7" descr="The Laos Development Program by Sector Group 2021-22 Budget Estimate&#10;Economic Infrastructure and Services &lt;1%&#10;Agriculture, Trade and other Production Sectors 12%&#10;Governance 12%&#10;Education 56%&#10;Health 19%&#10;Multisector and General Development Support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Laos Development Program by Sector Group 2021-22 Budget Estimate&#10;Economic Infrastructure and Services &lt;1%&#10;Agriculture, Trade and other Production Sectors 12%&#10;Governance 12%&#10;Education 56%&#10;Health 19%&#10;Multisector and General Development Support 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75" cy="2486025"/>
                    </a:xfrm>
                    <a:prstGeom prst="rect">
                      <a:avLst/>
                    </a:prstGeom>
                    <a:noFill/>
                    <a:ln>
                      <a:noFill/>
                    </a:ln>
                  </pic:spPr>
                </pic:pic>
              </a:graphicData>
            </a:graphic>
          </wp:inline>
        </w:drawing>
      </w:r>
    </w:p>
    <w:p w14:paraId="3EDC8A44" w14:textId="436406F8" w:rsidR="007B53F9" w:rsidRDefault="00CA5021" w:rsidP="0012467A">
      <w:pPr>
        <w:widowControl w:val="0"/>
        <w:spacing w:before="0" w:after="0" w:line="240" w:lineRule="auto"/>
      </w:pPr>
      <w:r w:rsidRPr="005D69AA">
        <w:rPr>
          <w:i/>
          <w:iCs/>
          <w:sz w:val="18"/>
          <w:szCs w:val="18"/>
        </w:rPr>
        <w:t xml:space="preserve">*Actual expenditure is expected to be available in </w:t>
      </w:r>
      <w:r w:rsidR="00A17461" w:rsidRPr="005D69AA">
        <w:rPr>
          <w:i/>
          <w:iCs/>
          <w:sz w:val="18"/>
          <w:szCs w:val="18"/>
        </w:rPr>
        <w:t>early 2023</w:t>
      </w:r>
      <w:r w:rsidR="000B40E9" w:rsidRPr="005D69AA">
        <w:rPr>
          <w:i/>
          <w:iCs/>
          <w:sz w:val="18"/>
          <w:szCs w:val="18"/>
        </w:rPr>
        <w:t>.</w:t>
      </w:r>
      <w:r w:rsidR="00E266D6" w:rsidRPr="00E266D6">
        <w:rPr>
          <w:i/>
          <w:iCs/>
          <w:sz w:val="18"/>
          <w:szCs w:val="18"/>
        </w:rPr>
        <w:t xml:space="preserve"> </w:t>
      </w:r>
      <w:r w:rsidR="00E266D6" w:rsidRPr="006B34C9">
        <w:rPr>
          <w:i/>
          <w:iCs/>
          <w:sz w:val="18"/>
          <w:szCs w:val="18"/>
        </w:rPr>
        <w:t>Due to rounding, totals may not match the sum of components</w:t>
      </w:r>
      <w:r w:rsidR="00E266D6">
        <w:rPr>
          <w:i/>
          <w:iCs/>
          <w:sz w:val="18"/>
          <w:szCs w:val="18"/>
        </w:rPr>
        <w:t>.</w:t>
      </w:r>
    </w:p>
    <w:p w14:paraId="723D0BA6" w14:textId="4E35CEBF" w:rsidR="0021398C" w:rsidRPr="00CB5512" w:rsidRDefault="0021398C" w:rsidP="0012467A">
      <w:pPr>
        <w:spacing w:before="0" w:after="0" w:line="240" w:lineRule="auto"/>
        <w:rPr>
          <w:b/>
          <w:bCs/>
          <w:i/>
          <w:iCs/>
          <w:sz w:val="20"/>
          <w:szCs w:val="20"/>
        </w:rPr>
      </w:pPr>
      <w:r w:rsidRPr="00CB5512">
        <w:rPr>
          <w:b/>
          <w:bCs/>
          <w:i/>
          <w:iCs/>
          <w:sz w:val="20"/>
          <w:szCs w:val="20"/>
        </w:rPr>
        <w:t xml:space="preserve">Our development program to </w:t>
      </w:r>
      <w:r w:rsidR="006C5A25">
        <w:rPr>
          <w:b/>
          <w:bCs/>
          <w:i/>
          <w:iCs/>
          <w:sz w:val="20"/>
          <w:szCs w:val="20"/>
        </w:rPr>
        <w:t>Laos</w:t>
      </w:r>
      <w:r w:rsidRPr="00CB5512">
        <w:rPr>
          <w:b/>
          <w:bCs/>
          <w:i/>
          <w:iCs/>
          <w:sz w:val="20"/>
          <w:szCs w:val="20"/>
        </w:rPr>
        <w:t xml:space="preserve"> contributes towards achieving the following Sustainable Development Goals:</w:t>
      </w:r>
    </w:p>
    <w:p w14:paraId="6BE09466" w14:textId="6C20D738" w:rsidR="003806FE" w:rsidRPr="007463BC" w:rsidRDefault="00171C61" w:rsidP="00E13707">
      <w:pPr>
        <w:spacing w:line="260" w:lineRule="auto"/>
      </w:pPr>
      <w:r w:rsidRPr="00171C61">
        <w:rPr>
          <w:noProof/>
        </w:rPr>
        <w:drawing>
          <wp:inline distT="0" distB="0" distL="0" distR="0" wp14:anchorId="6D41DC7D" wp14:editId="6896EF20">
            <wp:extent cx="6696075" cy="571500"/>
            <wp:effectExtent l="0" t="0" r="0" b="0"/>
            <wp:docPr id="11" name="Picture 11" descr="Sustainable Development Goal 1- No Poverty&#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ustainable Development Goal 1- No Poverty&#10;Sustainable Development Goal 4-Quality Education&#10;Sustainable Development Goal 5-Gender Equality&#10;Sustainable Development Goal 8- Decent Work and Economic Growth&#10;Sustainable Development Goal 9- Industry, Innovation and Infrastructure&#10;Sustainable Development Goal 10- Reduced Inequality&#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71500"/>
                    </a:xfrm>
                    <a:prstGeom prst="rect">
                      <a:avLst/>
                    </a:prstGeom>
                    <a:noFill/>
                    <a:ln>
                      <a:noFill/>
                    </a:ln>
                  </pic:spPr>
                </pic:pic>
              </a:graphicData>
            </a:graphic>
          </wp:inline>
        </w:drawing>
      </w:r>
      <w:r w:rsidR="003806FE" w:rsidRPr="007463BC">
        <w:t xml:space="preserve">The </w:t>
      </w:r>
      <w:r w:rsidR="003806FE" w:rsidRPr="007463BC">
        <w:rPr>
          <w:iCs/>
        </w:rPr>
        <w:t>202</w:t>
      </w:r>
      <w:r w:rsidR="00ED6E38" w:rsidRPr="007463BC">
        <w:rPr>
          <w:iCs/>
        </w:rPr>
        <w:t>1</w:t>
      </w:r>
      <w:r w:rsidR="003806FE" w:rsidRPr="007463BC">
        <w:rPr>
          <w:iCs/>
        </w:rPr>
        <w:t>-2</w:t>
      </w:r>
      <w:r w:rsidR="00ED6E38" w:rsidRPr="007463BC">
        <w:rPr>
          <w:iCs/>
        </w:rPr>
        <w:t>2</w:t>
      </w:r>
      <w:r w:rsidR="003806FE" w:rsidRPr="007463BC">
        <w:rPr>
          <w:iCs/>
        </w:rPr>
        <w:t xml:space="preserve"> </w:t>
      </w:r>
      <w:r w:rsidR="008E5130" w:rsidRPr="007463BC">
        <w:rPr>
          <w:iCs/>
        </w:rPr>
        <w:t>Laos</w:t>
      </w:r>
      <w:r w:rsidR="003806FE" w:rsidRPr="007463BC">
        <w:rPr>
          <w:iCs/>
        </w:rPr>
        <w:t xml:space="preserve"> Development Program Progress Report summarises </w:t>
      </w:r>
      <w:r w:rsidR="00404443" w:rsidRPr="007463BC">
        <w:rPr>
          <w:iCs/>
        </w:rPr>
        <w:t>progress with implementation of the Australia</w:t>
      </w:r>
      <w:r w:rsidR="00404443" w:rsidRPr="007463BC">
        <w:t xml:space="preserve"> – </w:t>
      </w:r>
      <w:r w:rsidR="008E5130" w:rsidRPr="007463BC">
        <w:t xml:space="preserve">Laos </w:t>
      </w:r>
      <w:r w:rsidR="00404443" w:rsidRPr="007463BC">
        <w:t xml:space="preserve">COVID-19 </w:t>
      </w:r>
      <w:r w:rsidR="00B66D3E" w:rsidRPr="007463BC">
        <w:t xml:space="preserve">Development </w:t>
      </w:r>
      <w:r w:rsidR="00404443" w:rsidRPr="007463BC">
        <w:t xml:space="preserve">Response Plan and </w:t>
      </w:r>
      <w:r w:rsidR="003806FE" w:rsidRPr="007463BC">
        <w:t>highlights</w:t>
      </w:r>
      <w:r w:rsidR="007463BC" w:rsidRPr="007463BC">
        <w:t xml:space="preserve"> program results</w:t>
      </w:r>
      <w:r w:rsidR="00404443" w:rsidRPr="007463BC">
        <w:t>.</w:t>
      </w:r>
      <w:r w:rsidR="000D003A" w:rsidRPr="007463BC">
        <w:t xml:space="preserve"> </w:t>
      </w:r>
    </w:p>
    <w:p w14:paraId="12F182A4" w14:textId="2F00DDCD" w:rsidR="00C84C30" w:rsidRPr="007463BC" w:rsidRDefault="00C84C30" w:rsidP="00E13707">
      <w:pPr>
        <w:pStyle w:val="Heading2"/>
      </w:pPr>
      <w:r w:rsidRPr="007463BC">
        <w:t xml:space="preserve">CONTEXT </w:t>
      </w:r>
    </w:p>
    <w:p w14:paraId="6F6AA7BD" w14:textId="77777777" w:rsidR="0043577A" w:rsidRDefault="00C3510F" w:rsidP="00E13707">
      <w:pPr>
        <w:pStyle w:val="Bullet1"/>
        <w:numPr>
          <w:ilvl w:val="0"/>
          <w:numId w:val="0"/>
        </w:numPr>
        <w:spacing w:before="120" w:line="260" w:lineRule="auto"/>
        <w:jc w:val="both"/>
      </w:pPr>
      <w:r w:rsidRPr="007463BC">
        <w:t xml:space="preserve">COVID-19 and measures put in place to contain the pandemic have dampened economic activity over the last two years. Real GDP growth fell to 2.1 per cent in 2021 (after a decade of growth averaging 6 per cent per annum) and gross government debt increased to 95.2 per cent of GDP in 2021 (from 80 per cent in 2020). </w:t>
      </w:r>
    </w:p>
    <w:p w14:paraId="469ECF19" w14:textId="42ED7834" w:rsidR="00C3510F" w:rsidRPr="007463BC" w:rsidRDefault="00C3510F" w:rsidP="00E13707">
      <w:pPr>
        <w:pStyle w:val="Bullet1"/>
        <w:numPr>
          <w:ilvl w:val="0"/>
          <w:numId w:val="0"/>
        </w:numPr>
        <w:spacing w:before="120" w:line="260" w:lineRule="auto"/>
        <w:jc w:val="both"/>
        <w:rPr>
          <w:b/>
          <w:bCs/>
        </w:rPr>
      </w:pPr>
      <w:r w:rsidRPr="007463BC">
        <w:rPr>
          <w:b/>
          <w:bCs/>
        </w:rPr>
        <w:t>Inflation has increased significantly</w:t>
      </w:r>
      <w:r w:rsidRPr="007463BC">
        <w:t xml:space="preserve"> from less than 2 per cent in February 2021 (year-on-year) to 30 per cent in </w:t>
      </w:r>
      <w:r w:rsidR="00A83146">
        <w:br/>
      </w:r>
      <w:r w:rsidRPr="007463BC">
        <w:t>August 2022, the highest in more than two decades. Laos</w:t>
      </w:r>
      <w:r w:rsidR="000F20D6">
        <w:t>’</w:t>
      </w:r>
      <w:r w:rsidRPr="007463BC">
        <w:t xml:space="preserve"> low foreign currency reserves coupled with high demand for imports and debt service repayments caused strong depreciation pressure on the local currency (Kip) throughout 2022. This had an impact on fuel imports and led to fuel shortages. Job losses and business closures are expected to continue to put pressure on household incomes, and many </w:t>
      </w:r>
      <w:r w:rsidRPr="007463BC">
        <w:rPr>
          <w:b/>
          <w:bCs/>
        </w:rPr>
        <w:t>households are facing food insecurity and are at risk of falling into poverty.</w:t>
      </w:r>
    </w:p>
    <w:p w14:paraId="58ED814B" w14:textId="77777777" w:rsidR="0043577A" w:rsidRDefault="00C3510F" w:rsidP="00E13707">
      <w:pPr>
        <w:spacing w:line="260" w:lineRule="auto"/>
        <w:jc w:val="both"/>
      </w:pPr>
      <w:r w:rsidRPr="007463BC">
        <w:t xml:space="preserve">Laos reached an interim target of 50 per cent of the eligible population vaccinated for COVID-19 at the end of 2021 and 71.6 per cent at the end of August 2022, on track to meet the national target of 80 per cent by end of 2022. However, disparity of vaccination coverage between urban and remote areas remains high due to delivery and accessibility challenges. </w:t>
      </w:r>
    </w:p>
    <w:p w14:paraId="4BFC0022" w14:textId="77777777" w:rsidR="00D650DC" w:rsidRDefault="00C3510F" w:rsidP="00E13707">
      <w:pPr>
        <w:spacing w:line="260" w:lineRule="auto"/>
        <w:jc w:val="both"/>
      </w:pPr>
      <w:r w:rsidRPr="007463BC">
        <w:rPr>
          <w:b/>
          <w:bCs/>
        </w:rPr>
        <w:t>COVID-19 measures disrupted the education system at many levels</w:t>
      </w:r>
      <w:r w:rsidRPr="007463BC">
        <w:t xml:space="preserve">. In primary education, on the official first day of the 2021-22 academic year only 85 of the 148 districts were able to commence in-person teaching. Compressed curriculum was introduced where only 80 per cent of the primary curriculum content was mandatory (reduced from </w:t>
      </w:r>
      <w:r w:rsidR="00AA74D1" w:rsidRPr="007463BC">
        <w:t>eight</w:t>
      </w:r>
      <w:r w:rsidRPr="007463BC">
        <w:t xml:space="preserve"> to </w:t>
      </w:r>
      <w:r w:rsidR="00AA74D1" w:rsidRPr="007463BC">
        <w:t>five</w:t>
      </w:r>
      <w:r w:rsidRPr="007463BC">
        <w:t xml:space="preserve"> subjects), reducing the school year from 336 to 267 days. </w:t>
      </w:r>
    </w:p>
    <w:p w14:paraId="09874BB2" w14:textId="475CBE44" w:rsidR="00C3510F" w:rsidRPr="007463BC" w:rsidRDefault="00C3510F" w:rsidP="00E13707">
      <w:pPr>
        <w:spacing w:line="260" w:lineRule="auto"/>
        <w:jc w:val="both"/>
      </w:pPr>
      <w:r w:rsidRPr="007463BC">
        <w:lastRenderedPageBreak/>
        <w:t xml:space="preserve">There is a </w:t>
      </w:r>
      <w:r w:rsidRPr="008C2C9E">
        <w:rPr>
          <w:b/>
          <w:bCs/>
        </w:rPr>
        <w:t>high risk that students did not achieve expected learning outcomes in the 2021-22 school year</w:t>
      </w:r>
      <w:r w:rsidRPr="007463BC">
        <w:t xml:space="preserve"> given the reduced scope of curriculum content, teaching time, teachers’ inexperience with remote and online teaching modalities, and widespread lack of internet access and devices to engage with remote and online instruction. Students who are already educationally disadvantaged will be the most negatively affected and are likely to fall further behind. </w:t>
      </w:r>
    </w:p>
    <w:p w14:paraId="1EB3D247" w14:textId="77777777" w:rsidR="00C036F4" w:rsidRPr="007463BC" w:rsidRDefault="00C036F4" w:rsidP="00E13707">
      <w:pPr>
        <w:pStyle w:val="Heading2"/>
      </w:pPr>
      <w:r w:rsidRPr="007463BC">
        <w:t>AUSTRALIA’S RESPONSE and PROGRAM HIGHLIGHTS</w:t>
      </w:r>
    </w:p>
    <w:p w14:paraId="7396AFCD" w14:textId="77777777" w:rsidR="00C036F4" w:rsidRPr="007463BC" w:rsidRDefault="00C036F4" w:rsidP="00E13707">
      <w:pPr>
        <w:pStyle w:val="Heading3"/>
        <w:spacing w:before="120" w:after="60" w:line="260" w:lineRule="auto"/>
      </w:pPr>
      <w:r w:rsidRPr="007463BC">
        <w:t>Health Security</w:t>
      </w:r>
    </w:p>
    <w:p w14:paraId="76E34CA5" w14:textId="77777777" w:rsidR="00C036F4" w:rsidRPr="007463BC" w:rsidRDefault="00C036F4" w:rsidP="00E13707">
      <w:pPr>
        <w:pStyle w:val="Bullet1"/>
        <w:numPr>
          <w:ilvl w:val="0"/>
          <w:numId w:val="0"/>
        </w:numPr>
        <w:spacing w:before="120" w:line="260" w:lineRule="auto"/>
        <w:jc w:val="both"/>
      </w:pPr>
      <w:r w:rsidRPr="007463BC">
        <w:t xml:space="preserve">Australia committed $27.5 million to a three-year package (2020-23) to support Laos’ COVID-19 response and vaccine access, drawing on Australia’s Regional COVID-19 </w:t>
      </w:r>
      <w:r w:rsidRPr="008C2C9E">
        <w:t>Vaccine Access and Health Security Initiative</w:t>
      </w:r>
      <w:r w:rsidRPr="007463BC">
        <w:t xml:space="preserve"> (VAHSI), the Quad Vaccine Partnership, and bilateral funding. This support includes vaccine procurement, delivery support, and strengthening COVID-19 testing capacity. </w:t>
      </w:r>
      <w:r w:rsidRPr="007463BC">
        <w:rPr>
          <w:b/>
          <w:bCs/>
        </w:rPr>
        <w:t>Australia delivered more than one million doses of Pfizer and AstraZeneca COVID-19 vaccines</w:t>
      </w:r>
      <w:r w:rsidRPr="007463BC">
        <w:t xml:space="preserve"> to Laos from domestic supply and procured doses through the UN Children’s Fund (UNICEF).</w:t>
      </w:r>
    </w:p>
    <w:p w14:paraId="09005BD8" w14:textId="63874920" w:rsidR="00C036F4" w:rsidRPr="007463BC" w:rsidRDefault="00C036F4" w:rsidP="00E13707">
      <w:pPr>
        <w:spacing w:line="260" w:lineRule="auto"/>
        <w:jc w:val="both"/>
      </w:pPr>
      <w:r w:rsidRPr="007463BC">
        <w:t xml:space="preserve">Australia, through UNICEF and the World Health Organization (WHO), supported the development of key strategies including </w:t>
      </w:r>
      <w:r w:rsidRPr="007463BC">
        <w:rPr>
          <w:b/>
          <w:bCs/>
        </w:rPr>
        <w:t>a COVID-19 vaccination strategy and action plan for adolescents and children</w:t>
      </w:r>
      <w:r w:rsidR="007463BC">
        <w:rPr>
          <w:b/>
          <w:bCs/>
        </w:rPr>
        <w:t>;</w:t>
      </w:r>
      <w:r w:rsidRPr="007463BC">
        <w:t xml:space="preserve"> </w:t>
      </w:r>
      <w:r w:rsidRPr="007463BC">
        <w:rPr>
          <w:b/>
          <w:bCs/>
        </w:rPr>
        <w:t>Adverse Event Following Immunisation (AEFI) guidelines</w:t>
      </w:r>
      <w:r w:rsidRPr="007463BC">
        <w:t xml:space="preserve"> </w:t>
      </w:r>
      <w:r w:rsidRPr="007463BC">
        <w:rPr>
          <w:b/>
          <w:bCs/>
        </w:rPr>
        <w:t>and training materials</w:t>
      </w:r>
      <w:r w:rsidR="007463BC">
        <w:t xml:space="preserve">. </w:t>
      </w:r>
      <w:r w:rsidR="007463BC" w:rsidRPr="00842F52">
        <w:t xml:space="preserve">Through these partners, </w:t>
      </w:r>
      <w:r w:rsidR="007463BC">
        <w:t>we</w:t>
      </w:r>
      <w:r w:rsidR="007463BC" w:rsidRPr="00842F52">
        <w:t xml:space="preserve"> also provided technical assistance to the Lao Ministry of Health and related agencies to strengthen and implement systems</w:t>
      </w:r>
      <w:r w:rsidR="007463BC">
        <w:t>.</w:t>
      </w:r>
      <w:r w:rsidRPr="007463BC">
        <w:t xml:space="preserve"> </w:t>
      </w:r>
      <w:r w:rsidR="007463BC">
        <w:t>This</w:t>
      </w:r>
      <w:r w:rsidRPr="007463BC">
        <w:t xml:space="preserve"> supported the implementation of the Laos National Deployment and Vaccination Plan for COVID-19 vaccines</w:t>
      </w:r>
      <w:r w:rsidR="007463BC">
        <w:t xml:space="preserve"> and</w:t>
      </w:r>
      <w:r w:rsidRPr="007463BC">
        <w:t xml:space="preserve"> </w:t>
      </w:r>
      <w:r w:rsidR="007463BC">
        <w:t>the</w:t>
      </w:r>
      <w:r w:rsidRPr="007463BC">
        <w:t xml:space="preserve"> effective roll-out </w:t>
      </w:r>
      <w:r w:rsidR="00BF6B08">
        <w:t xml:space="preserve">of </w:t>
      </w:r>
      <w:r w:rsidRPr="007463BC">
        <w:t xml:space="preserve">the COVID-19 vaccination program. Australia’s vaccine access and delivery support assisted Laos to fully vaccinate more than 5.2 million people, including 1.8 million people with a booster dose. In addition, Australia supported the Ministry of Health to strengthen their testing capacity in response to COVID-19 outbreaks through the </w:t>
      </w:r>
      <w:r w:rsidRPr="007463BC">
        <w:rPr>
          <w:b/>
          <w:bCs/>
        </w:rPr>
        <w:t>procurement of reagents and supplies for 50,000 PCR tests and four haemodialysis units</w:t>
      </w:r>
      <w:r w:rsidRPr="007463BC">
        <w:t xml:space="preserve">. </w:t>
      </w:r>
    </w:p>
    <w:p w14:paraId="6DD0115B" w14:textId="32DFDCF1" w:rsidR="00C036F4" w:rsidRPr="007463BC" w:rsidRDefault="00C036F4" w:rsidP="00E13707">
      <w:pPr>
        <w:widowControl w:val="0"/>
        <w:suppressAutoHyphens w:val="0"/>
        <w:autoSpaceDE w:val="0"/>
        <w:autoSpaceDN w:val="0"/>
        <w:adjustRightInd w:val="0"/>
        <w:spacing w:line="260" w:lineRule="auto"/>
        <w:jc w:val="both"/>
        <w:rPr>
          <w:b/>
          <w:bCs/>
        </w:rPr>
      </w:pPr>
      <w:r w:rsidRPr="007463BC">
        <w:rPr>
          <w:rFonts w:ascii="Calibri Light" w:eastAsia="Calibri Light" w:hAnsi="Calibri Light" w:cs="DokChampa"/>
        </w:rPr>
        <w:t xml:space="preserve">As part of the Australian-funded UN Population Fund (UNFPA) project, a </w:t>
      </w:r>
      <w:r w:rsidRPr="007463BC">
        <w:rPr>
          <w:rFonts w:ascii="Calibri Light" w:eastAsia="Calibri Light" w:hAnsi="Calibri Light" w:cs="DokChampa"/>
          <w:b/>
          <w:bCs/>
        </w:rPr>
        <w:t>referral pathway for women and girl survivors of gender-based violence (GBV)</w:t>
      </w:r>
      <w:r w:rsidRPr="007463BC">
        <w:rPr>
          <w:rFonts w:ascii="Calibri Light" w:eastAsia="Calibri Light" w:hAnsi="Calibri Light" w:cs="DokChampa"/>
        </w:rPr>
        <w:t xml:space="preserve"> </w:t>
      </w:r>
      <w:r w:rsidRPr="007463BC">
        <w:rPr>
          <w:rFonts w:ascii="Calibri Light" w:eastAsia="Calibri Light" w:hAnsi="Calibri Light" w:cs="DokChampa"/>
          <w:b/>
          <w:bCs/>
        </w:rPr>
        <w:t xml:space="preserve">was established in 2021-22 in </w:t>
      </w:r>
      <w:proofErr w:type="spellStart"/>
      <w:r w:rsidRPr="007463BC">
        <w:rPr>
          <w:rFonts w:ascii="Calibri Light" w:eastAsia="Calibri Light" w:hAnsi="Calibri Light" w:cs="DokChampa"/>
          <w:b/>
          <w:bCs/>
        </w:rPr>
        <w:t>Savannakhet</w:t>
      </w:r>
      <w:proofErr w:type="spellEnd"/>
      <w:r w:rsidRPr="007463BC">
        <w:rPr>
          <w:rFonts w:ascii="Calibri Light" w:eastAsia="Calibri Light" w:hAnsi="Calibri Light" w:cs="DokChampa"/>
          <w:b/>
          <w:bCs/>
        </w:rPr>
        <w:t xml:space="preserve"> Province</w:t>
      </w:r>
      <w:r w:rsidRPr="007463BC">
        <w:rPr>
          <w:rFonts w:ascii="Calibri Light" w:eastAsia="Calibri Light" w:hAnsi="Calibri Light" w:cs="DokChampa"/>
        </w:rPr>
        <w:t xml:space="preserve">. A total of 790 women and girls (two women with disabilities) received counselling and assistance from the Lao Women’s Union, police, health, labour, justice, social </w:t>
      </w:r>
      <w:proofErr w:type="gramStart"/>
      <w:r w:rsidRPr="007463BC">
        <w:rPr>
          <w:rFonts w:ascii="Calibri Light" w:eastAsia="Calibri Light" w:hAnsi="Calibri Light" w:cs="DokChampa"/>
        </w:rPr>
        <w:t>welfare</w:t>
      </w:r>
      <w:proofErr w:type="gramEnd"/>
      <w:r w:rsidRPr="007463BC">
        <w:rPr>
          <w:rFonts w:ascii="Calibri Light" w:eastAsia="Calibri Light" w:hAnsi="Calibri Light" w:cs="DokChampa"/>
        </w:rPr>
        <w:t xml:space="preserve"> and education departments. This project led to the development of the first Health Standard Operating Procedure (SOP) for gender-based violence response and establishment of a National Coordination Body to enhance the coordination between stakeholders on gender-based violence response and help deliver higher quality care for survivors of violence. </w:t>
      </w:r>
    </w:p>
    <w:p w14:paraId="6236D07C" w14:textId="77777777" w:rsidR="00C036F4" w:rsidRPr="007463BC" w:rsidRDefault="00C036F4" w:rsidP="00E13707">
      <w:pPr>
        <w:pStyle w:val="Heading3"/>
        <w:spacing w:before="120" w:after="60" w:line="260" w:lineRule="auto"/>
      </w:pPr>
      <w:r w:rsidRPr="007463BC">
        <w:t>Stability</w:t>
      </w:r>
    </w:p>
    <w:p w14:paraId="6BE90BC5" w14:textId="77777777" w:rsidR="00C036F4" w:rsidRPr="007463BC" w:rsidRDefault="00C036F4" w:rsidP="00E13707">
      <w:pPr>
        <w:spacing w:line="260" w:lineRule="auto"/>
        <w:jc w:val="both"/>
        <w:rPr>
          <w:rFonts w:eastAsiaTheme="majorEastAsia" w:cstheme="minorHAnsi"/>
          <w:iCs/>
        </w:rPr>
      </w:pPr>
      <w:r w:rsidRPr="007463BC">
        <w:t xml:space="preserve">COVID-19 remained the most significant risk to timely and effective delivery of Australia’s signature </w:t>
      </w:r>
      <w:r w:rsidRPr="007463BC">
        <w:rPr>
          <w:b/>
          <w:bCs/>
        </w:rPr>
        <w:t>Basic Education Quality and Access in Lao PDR (BEQUAL)</w:t>
      </w:r>
      <w:r w:rsidRPr="007463BC">
        <w:t xml:space="preserve"> program. Border and school closures delayed program implementation including the production and transport of curriculum materials, teacher trainings, data collection and monitoring visits. </w:t>
      </w:r>
      <w:r w:rsidRPr="007463BC">
        <w:rPr>
          <w:rFonts w:eastAsiaTheme="majorEastAsia" w:cstheme="minorHAnsi"/>
          <w:iCs/>
        </w:rPr>
        <w:t xml:space="preserve">Despite these challenges, Australia successfully supported the Ministry of Education and Sports to deliver new Grade Three curriculum materials to 8,591 primary schools across Laos. A total of </w:t>
      </w:r>
      <w:r w:rsidRPr="007463BC">
        <w:rPr>
          <w:rFonts w:eastAsiaTheme="majorEastAsia" w:cstheme="minorHAnsi"/>
          <w:b/>
          <w:bCs/>
          <w:iCs/>
        </w:rPr>
        <w:t>150,065 Grade Three students and 9,645 Grade Three teachers were provided with textbooks, teacher guides and other supplementary materials</w:t>
      </w:r>
      <w:r w:rsidRPr="007463BC">
        <w:rPr>
          <w:rFonts w:eastAsiaTheme="majorEastAsia" w:cstheme="minorHAnsi"/>
          <w:iCs/>
        </w:rPr>
        <w:t>. 9,645 Grade Three teachers and 366 Pedagogical Advisers received in-service training on orientation of Grade Three curriculum materials in a COVID-19 safe environment.</w:t>
      </w:r>
    </w:p>
    <w:p w14:paraId="667585E4" w14:textId="77777777" w:rsidR="00C036F4" w:rsidRPr="007463BC" w:rsidRDefault="00C036F4" w:rsidP="00E13707">
      <w:pPr>
        <w:spacing w:line="260" w:lineRule="auto"/>
        <w:jc w:val="both"/>
      </w:pPr>
      <w:r w:rsidRPr="007463BC">
        <w:rPr>
          <w:b/>
          <w:bCs/>
        </w:rPr>
        <w:t>Australia’s advocacy and leadership has ensured the education sector maintains a focus on improving learning outcomes for primary school students.</w:t>
      </w:r>
      <w:r w:rsidRPr="007463BC">
        <w:t xml:space="preserve"> The Education and Sports Sector Development Plan Annual Operational Plan has been developed and finalised. Australia’s leadership ensured that key messages were delivered in the annual dialogue between the Lao Government and development partners. </w:t>
      </w:r>
    </w:p>
    <w:p w14:paraId="459E6973" w14:textId="77777777" w:rsidR="00C036F4" w:rsidRPr="007463BC" w:rsidRDefault="00C036F4" w:rsidP="00E13707">
      <w:pPr>
        <w:spacing w:line="260" w:lineRule="auto"/>
        <w:jc w:val="both"/>
        <w:rPr>
          <w:rFonts w:ascii="Calibri Light" w:eastAsia="Times New Roman" w:hAnsi="Calibri Light" w:cs="Calibri Light"/>
          <w:iCs/>
        </w:rPr>
      </w:pPr>
      <w:r w:rsidRPr="007463BC">
        <w:rPr>
          <w:rFonts w:ascii="Calibri Light" w:eastAsia="Times New Roman" w:hAnsi="Calibri Light" w:cs="Calibri Light"/>
          <w:iCs/>
        </w:rPr>
        <w:t>Under the</w:t>
      </w:r>
      <w:r w:rsidRPr="007463BC">
        <w:rPr>
          <w:rFonts w:ascii="Calibri Light" w:eastAsia="Times New Roman" w:hAnsi="Calibri Light" w:cs="Calibri Light"/>
          <w:b/>
          <w:bCs/>
          <w:iCs/>
        </w:rPr>
        <w:t xml:space="preserve"> Human Rights Technical Cooperation </w:t>
      </w:r>
      <w:proofErr w:type="gramStart"/>
      <w:r w:rsidRPr="007463BC">
        <w:rPr>
          <w:rFonts w:ascii="Calibri Light" w:eastAsia="Times New Roman" w:hAnsi="Calibri Light" w:cs="Calibri Light"/>
          <w:b/>
          <w:bCs/>
          <w:iCs/>
        </w:rPr>
        <w:t>Program</w:t>
      </w:r>
      <w:proofErr w:type="gramEnd"/>
      <w:r w:rsidRPr="007463BC">
        <w:rPr>
          <w:rFonts w:ascii="Calibri Light" w:eastAsia="Times New Roman" w:hAnsi="Calibri Light" w:cs="Calibri Light"/>
          <w:b/>
          <w:bCs/>
          <w:iCs/>
        </w:rPr>
        <w:t xml:space="preserve"> </w:t>
      </w:r>
      <w:r w:rsidRPr="007463BC">
        <w:rPr>
          <w:rFonts w:ascii="Calibri Light" w:eastAsia="Times New Roman" w:hAnsi="Calibri Light" w:cs="Calibri Light"/>
          <w:iCs/>
        </w:rPr>
        <w:t xml:space="preserve">we convened a seminar on the Rights of Persons with Disabilities, providing vulnerable groups and civil society organisations a rare opportunity to exchange ideas, share challenges and discuss solutions with the Lao government. </w:t>
      </w:r>
    </w:p>
    <w:p w14:paraId="5E974245" w14:textId="77777777" w:rsidR="00C036F4" w:rsidRPr="007463BC" w:rsidRDefault="00C036F4" w:rsidP="00E13707">
      <w:pPr>
        <w:keepNext/>
        <w:keepLines/>
        <w:spacing w:line="260" w:lineRule="auto"/>
        <w:outlineLvl w:val="2"/>
        <w:rPr>
          <w:rFonts w:eastAsiaTheme="majorEastAsia" w:cstheme="minorHAnsi"/>
          <w:iCs/>
        </w:rPr>
      </w:pPr>
      <w:r w:rsidRPr="007463BC">
        <w:rPr>
          <w:rFonts w:eastAsiaTheme="majorEastAsia" w:cstheme="minorHAnsi"/>
          <w:iCs/>
        </w:rPr>
        <w:lastRenderedPageBreak/>
        <w:t xml:space="preserve">As part of our Mekong Australia Partnership on Water Energy Climate (MAP WEC), Australia continued to </w:t>
      </w:r>
      <w:r w:rsidRPr="007463BC">
        <w:rPr>
          <w:rFonts w:eastAsiaTheme="majorEastAsia" w:cstheme="minorHAnsi"/>
          <w:b/>
          <w:bCs/>
          <w:iCs/>
        </w:rPr>
        <w:t>support the Ministry of Natural Resources and Environment</w:t>
      </w:r>
      <w:r w:rsidRPr="007463BC">
        <w:rPr>
          <w:rFonts w:eastAsiaTheme="majorEastAsia" w:cstheme="minorHAnsi"/>
          <w:iCs/>
        </w:rPr>
        <w:t xml:space="preserve"> </w:t>
      </w:r>
      <w:r w:rsidRPr="007463BC">
        <w:rPr>
          <w:rFonts w:eastAsiaTheme="majorEastAsia" w:cstheme="minorHAnsi"/>
          <w:b/>
          <w:bCs/>
          <w:iCs/>
        </w:rPr>
        <w:t>to strengthen regulatory frameworks</w:t>
      </w:r>
      <w:r w:rsidRPr="007463BC">
        <w:rPr>
          <w:rFonts w:eastAsiaTheme="majorEastAsia" w:cstheme="minorHAnsi"/>
          <w:iCs/>
        </w:rPr>
        <w:t>, including helping to develop the Lao PDR National Water Resources Strategy, and technical support for river basin planning, groundwater management, water legislation development and coordination of flows between dams on the Mekong and its tributaries. Through MAP WEC and Partnership for Infrastructure, Australia commenced</w:t>
      </w:r>
      <w:r w:rsidRPr="007463BC">
        <w:rPr>
          <w:rFonts w:eastAsiaTheme="majorEastAsia" w:cstheme="minorHAnsi"/>
          <w:b/>
          <w:bCs/>
          <w:iCs/>
        </w:rPr>
        <w:t xml:space="preserve"> a program to support Laos to accelerate the energy transition</w:t>
      </w:r>
      <w:r w:rsidRPr="007463BC">
        <w:rPr>
          <w:rFonts w:eastAsiaTheme="majorEastAsia" w:cstheme="minorHAnsi"/>
          <w:iCs/>
        </w:rPr>
        <w:t xml:space="preserve"> for sustainable development through providing capacity building and knowledge exchange. Australia continued to support the Mekong River Commission to </w:t>
      </w:r>
      <w:r w:rsidRPr="007463BC">
        <w:rPr>
          <w:rFonts w:eastAsiaTheme="majorEastAsia" w:cstheme="minorHAnsi"/>
          <w:b/>
          <w:bCs/>
          <w:iCs/>
        </w:rPr>
        <w:t>further enhance regional cooperation including by supporting the development and implementation of the Mekong Basin Sustainable Hydropower Development Strategy</w:t>
      </w:r>
      <w:r w:rsidRPr="007463BC">
        <w:rPr>
          <w:rFonts w:eastAsiaTheme="majorEastAsia" w:cstheme="minorHAnsi"/>
          <w:iCs/>
        </w:rPr>
        <w:t xml:space="preserve">, strengthening Joint Environmental </w:t>
      </w:r>
      <w:proofErr w:type="gramStart"/>
      <w:r w:rsidRPr="007463BC">
        <w:rPr>
          <w:rFonts w:eastAsiaTheme="majorEastAsia" w:cstheme="minorHAnsi"/>
          <w:iCs/>
        </w:rPr>
        <w:t>Monitoring</w:t>
      </w:r>
      <w:proofErr w:type="gramEnd"/>
      <w:r w:rsidRPr="007463BC">
        <w:rPr>
          <w:rFonts w:eastAsiaTheme="majorEastAsia" w:cstheme="minorHAnsi"/>
          <w:iCs/>
        </w:rPr>
        <w:t xml:space="preserve"> and enhancing regional cooperation through ASEAN and Friends of the Mekong. Through Oxfam, our support </w:t>
      </w:r>
      <w:r w:rsidRPr="007463BC">
        <w:rPr>
          <w:rFonts w:eastAsiaTheme="majorEastAsia" w:cstheme="minorHAnsi"/>
          <w:b/>
          <w:bCs/>
          <w:iCs/>
        </w:rPr>
        <w:t>enabled</w:t>
      </w:r>
      <w:r w:rsidRPr="007463BC">
        <w:rPr>
          <w:rFonts w:eastAsiaTheme="majorEastAsia" w:cstheme="minorHAnsi"/>
          <w:iCs/>
        </w:rPr>
        <w:t xml:space="preserve"> </w:t>
      </w:r>
      <w:r w:rsidRPr="007463BC">
        <w:rPr>
          <w:rFonts w:eastAsiaTheme="majorEastAsia" w:cstheme="minorHAnsi"/>
          <w:b/>
          <w:bCs/>
          <w:iCs/>
        </w:rPr>
        <w:t>civil society organisations to engage in dialogue on water and hydropower</w:t>
      </w:r>
      <w:r w:rsidRPr="007463BC">
        <w:rPr>
          <w:rFonts w:eastAsiaTheme="majorEastAsia" w:cstheme="minorHAnsi"/>
          <w:iCs/>
        </w:rPr>
        <w:t xml:space="preserve"> development through a consultation hosted by the Lao National Assembly.</w:t>
      </w:r>
    </w:p>
    <w:p w14:paraId="6BD63578" w14:textId="77777777" w:rsidR="00C036F4" w:rsidRPr="007463BC" w:rsidRDefault="00C036F4" w:rsidP="00E13707">
      <w:pPr>
        <w:pStyle w:val="Heading3"/>
        <w:spacing w:before="120" w:after="60" w:line="260" w:lineRule="auto"/>
      </w:pPr>
      <w:r w:rsidRPr="007463BC">
        <w:t>Economic recovery</w:t>
      </w:r>
    </w:p>
    <w:p w14:paraId="13CE25B9" w14:textId="77777777" w:rsidR="00C036F4" w:rsidRPr="007463BC" w:rsidRDefault="00C036F4" w:rsidP="00E13707">
      <w:pPr>
        <w:spacing w:line="260" w:lineRule="auto"/>
        <w:jc w:val="both"/>
      </w:pPr>
      <w:r w:rsidRPr="007463BC">
        <w:t xml:space="preserve">Australia supported Laos’ economic resilience and recovery from COVID-19 through work to improve economic fundamentals and build human resource capacity. Australia provided an additional $1 million (total contribution $5.5 million) to the </w:t>
      </w:r>
      <w:r w:rsidRPr="007463BC">
        <w:rPr>
          <w:b/>
          <w:bCs/>
        </w:rPr>
        <w:t>Lao PDR Competitiveness and Trade Project</w:t>
      </w:r>
      <w:r w:rsidRPr="007463BC">
        <w:t xml:space="preserve"> (LCTP) through the COVID-19 economic recovery fund. This multi-donor World Bank-led project is improving the business environment, trade facilitation, and firm competitiveness. In the reporting period, </w:t>
      </w:r>
      <w:r w:rsidRPr="007463BC">
        <w:rPr>
          <w:b/>
          <w:bCs/>
        </w:rPr>
        <w:t>the LCTP supported matching grants to 170 SMEs to improve their business operations and recover from COVID-19 impacts</w:t>
      </w:r>
      <w:r w:rsidRPr="007463BC">
        <w:t xml:space="preserve">. Laos’ Enterprise Law was revised to reduce the number of days it takes for business registration and to introduce online registration. </w:t>
      </w:r>
    </w:p>
    <w:p w14:paraId="6689D7B0" w14:textId="7F3ED417" w:rsidR="00C036F4" w:rsidRPr="007463BC" w:rsidRDefault="00C036F4" w:rsidP="00E13707">
      <w:pPr>
        <w:spacing w:line="260" w:lineRule="auto"/>
        <w:jc w:val="both"/>
      </w:pPr>
      <w:r w:rsidRPr="007463BC">
        <w:t xml:space="preserve">Under the Mekong-Australia Partnership (MAP), Australia started a new partnership with The Asia Foundation to </w:t>
      </w:r>
      <w:r w:rsidRPr="007463BC">
        <w:rPr>
          <w:b/>
          <w:bCs/>
        </w:rPr>
        <w:t>improve the evidence base for economic decision-making.</w:t>
      </w:r>
      <w:r w:rsidRPr="007463BC">
        <w:t xml:space="preserve"> This project will strengthen the capacity of provincial chambers of commerce, provide independent research and support the Lao National Assembly. Australia is using the MAP Economic Resilience Fund to </w:t>
      </w:r>
      <w:r w:rsidRPr="007463BC">
        <w:rPr>
          <w:b/>
          <w:bCs/>
        </w:rPr>
        <w:t>support public financial management reforms</w:t>
      </w:r>
      <w:r w:rsidRPr="007463BC">
        <w:t xml:space="preserve"> th</w:t>
      </w:r>
      <w:r w:rsidR="00091CF4">
        <w:t>r</w:t>
      </w:r>
      <w:r w:rsidRPr="007463BC">
        <w:t xml:space="preserve">ough the World Bank. This work covers budget preparation and public expenditure management, domestic revenue mobilisation, public procurement, and human resources management. Australia’s Partnerships for Infrastructure Program (P4I) is providing parallel financing to help deliver activities under the World Bank-led Southeast Asia Regional Economic Corridor and Connectivity project. P4I has started preparations for a feasibility study on upgrading cross-border facilities on National Road 2 in northern Laos. </w:t>
      </w:r>
    </w:p>
    <w:p w14:paraId="51245E97" w14:textId="77777777" w:rsidR="00C036F4" w:rsidRPr="007463BC" w:rsidRDefault="00C036F4" w:rsidP="00E13707">
      <w:pPr>
        <w:spacing w:line="260" w:lineRule="auto"/>
        <w:jc w:val="both"/>
        <w:rPr>
          <w:rFonts w:ascii="Calibri Light" w:eastAsia="Calibri Light" w:hAnsi="Calibri Light" w:cs="DokChampa"/>
        </w:rPr>
      </w:pPr>
      <w:r w:rsidRPr="007463BC">
        <w:rPr>
          <w:rFonts w:ascii="Calibri Light" w:eastAsia="Calibri Light" w:hAnsi="Calibri Light" w:cs="DokChampa"/>
        </w:rPr>
        <w:t>Through the Laos-Australia Institute (LAI) and the MAP Building Human Capacity Pillar, Australia continued to support Laos’ human resources development by providing</w:t>
      </w:r>
      <w:r w:rsidRPr="007463BC">
        <w:rPr>
          <w:rFonts w:ascii="Calibri Light" w:eastAsia="Calibri Light" w:hAnsi="Calibri Light" w:cs="DokChampa"/>
          <w:b/>
          <w:bCs/>
        </w:rPr>
        <w:t xml:space="preserve"> 60 new Masters, </w:t>
      </w:r>
      <w:proofErr w:type="gramStart"/>
      <w:r w:rsidRPr="007463BC">
        <w:rPr>
          <w:rFonts w:ascii="Calibri Light" w:eastAsia="Calibri Light" w:hAnsi="Calibri Light" w:cs="DokChampa"/>
          <w:b/>
          <w:bCs/>
        </w:rPr>
        <w:t>PhD</w:t>
      </w:r>
      <w:proofErr w:type="gramEnd"/>
      <w:r w:rsidRPr="007463BC">
        <w:rPr>
          <w:rFonts w:ascii="Calibri Light" w:eastAsia="Calibri Light" w:hAnsi="Calibri Light" w:cs="DokChampa"/>
          <w:b/>
          <w:bCs/>
        </w:rPr>
        <w:t xml:space="preserve"> or technical level Australia Award Scholarships, in addition to capacity building training and short courses to Lao decision-makers, leaders and community</w:t>
      </w:r>
      <w:r w:rsidRPr="007463BC">
        <w:rPr>
          <w:rFonts w:ascii="Calibri Light" w:eastAsia="Calibri Light" w:hAnsi="Calibri Light" w:cs="DokChampa"/>
        </w:rPr>
        <w:t xml:space="preserve">. LAI also developed the </w:t>
      </w:r>
      <w:r w:rsidRPr="007463BC">
        <w:rPr>
          <w:rFonts w:ascii="Calibri Light" w:eastAsia="Calibri Light" w:hAnsi="Calibri Light" w:cs="DokChampa"/>
          <w:b/>
          <w:bCs/>
        </w:rPr>
        <w:t xml:space="preserve">leadership capabilities of seven Lao Government organisations in areas including gender equality and </w:t>
      </w:r>
      <w:r w:rsidRPr="008C2C9E">
        <w:rPr>
          <w:rFonts w:ascii="Calibri Light" w:eastAsia="Calibri Light" w:hAnsi="Calibri Light" w:cs="DokChampa"/>
        </w:rPr>
        <w:t xml:space="preserve">inclusivity skills, research and analytical skills, and English language skills </w:t>
      </w:r>
      <w:r w:rsidRPr="007463BC">
        <w:rPr>
          <w:rFonts w:ascii="Calibri Light" w:eastAsia="Calibri Light" w:hAnsi="Calibri Light" w:cs="DokChampa"/>
        </w:rPr>
        <w:t>(62 per cent of all participants were female). </w:t>
      </w:r>
    </w:p>
    <w:p w14:paraId="420C3271" w14:textId="1C0CCB65" w:rsidR="008F6850" w:rsidRPr="008C2C9E" w:rsidRDefault="00C036F4" w:rsidP="00E13707">
      <w:pPr>
        <w:pStyle w:val="Heading2"/>
        <w:rPr>
          <w:rFonts w:ascii="Calibri Light" w:eastAsia="Calibri Light" w:hAnsi="Calibri Light" w:cs="DokChampa"/>
          <w:b w:val="0"/>
          <w:caps w:val="0"/>
          <w:szCs w:val="22"/>
        </w:rPr>
      </w:pPr>
      <w:r w:rsidRPr="008C2C9E">
        <w:rPr>
          <w:rFonts w:ascii="Calibri Light" w:eastAsia="Calibri Light" w:hAnsi="Calibri Light" w:cs="DokChampa"/>
          <w:b w:val="0"/>
          <w:caps w:val="0"/>
          <w:szCs w:val="22"/>
        </w:rPr>
        <w:t xml:space="preserve">Gender and disability inclusion remains a strong focus of the program and is embedded in </w:t>
      </w:r>
      <w:proofErr w:type="gramStart"/>
      <w:r w:rsidRPr="008C2C9E">
        <w:rPr>
          <w:rFonts w:ascii="Calibri Light" w:eastAsia="Calibri Light" w:hAnsi="Calibri Light" w:cs="DokChampa"/>
          <w:b w:val="0"/>
          <w:caps w:val="0"/>
          <w:szCs w:val="22"/>
        </w:rPr>
        <w:t>all of</w:t>
      </w:r>
      <w:proofErr w:type="gramEnd"/>
      <w:r w:rsidRPr="008C2C9E">
        <w:rPr>
          <w:rFonts w:ascii="Calibri Light" w:eastAsia="Calibri Light" w:hAnsi="Calibri Light" w:cs="DokChampa"/>
          <w:b w:val="0"/>
          <w:caps w:val="0"/>
          <w:szCs w:val="22"/>
        </w:rPr>
        <w:t xml:space="preserve"> our program activities. An </w:t>
      </w:r>
      <w:r w:rsidRPr="008C2C9E">
        <w:rPr>
          <w:rFonts w:ascii="Calibri Light" w:eastAsia="Calibri Light" w:hAnsi="Calibri Light" w:cs="DokChampa"/>
          <w:bCs/>
          <w:caps w:val="0"/>
          <w:szCs w:val="22"/>
        </w:rPr>
        <w:t>online Inclusive Leadership course for the Mekong region</w:t>
      </w:r>
      <w:r w:rsidRPr="008C2C9E">
        <w:rPr>
          <w:rFonts w:ascii="Calibri Light" w:eastAsia="Calibri Light" w:hAnsi="Calibri Light" w:cs="DokChampa"/>
          <w:b w:val="0"/>
          <w:caps w:val="0"/>
          <w:szCs w:val="22"/>
        </w:rPr>
        <w:t xml:space="preserve"> was delivered successfully in early 2022. The course included participants from Laos and the Mekong region with the aim of building a regional network of leaders who can use inclusive knowledge and practices to create change in their organisations and communities and to respond to COVID-19 challenges affecting vulnerable groups. Gender performance scores averaging 4 out of 6 generally reflected COVID-related delays in program </w:t>
      </w:r>
      <w:proofErr w:type="gramStart"/>
      <w:r w:rsidRPr="008C2C9E">
        <w:rPr>
          <w:rFonts w:ascii="Calibri Light" w:eastAsia="Calibri Light" w:hAnsi="Calibri Light" w:cs="DokChampa"/>
          <w:b w:val="0"/>
          <w:caps w:val="0"/>
          <w:szCs w:val="22"/>
        </w:rPr>
        <w:t>implementation, and</w:t>
      </w:r>
      <w:proofErr w:type="gramEnd"/>
      <w:r w:rsidRPr="008C2C9E">
        <w:rPr>
          <w:rFonts w:ascii="Calibri Light" w:eastAsia="Calibri Light" w:hAnsi="Calibri Light" w:cs="DokChampa"/>
          <w:b w:val="0"/>
          <w:caps w:val="0"/>
          <w:szCs w:val="22"/>
        </w:rPr>
        <w:t xml:space="preserve"> represent an opportunity to improve in the year ahead</w:t>
      </w:r>
      <w:r w:rsidR="00091CF4">
        <w:rPr>
          <w:rFonts w:ascii="Calibri Light" w:eastAsia="Calibri Light" w:hAnsi="Calibri Light" w:cs="DokChampa"/>
          <w:b w:val="0"/>
          <w:caps w:val="0"/>
          <w:szCs w:val="22"/>
        </w:rPr>
        <w:t>.</w:t>
      </w:r>
    </w:p>
    <w:p w14:paraId="7A6A2CC7" w14:textId="77777777" w:rsidR="00345038" w:rsidRDefault="00345038">
      <w:pPr>
        <w:suppressAutoHyphens w:val="0"/>
        <w:spacing w:before="0" w:after="120" w:line="440" w:lineRule="atLeast"/>
        <w:rPr>
          <w:rFonts w:asciiTheme="majorHAnsi" w:eastAsiaTheme="majorEastAsia" w:hAnsiTheme="majorHAnsi" w:cstheme="majorBidi"/>
          <w:b/>
          <w:caps/>
          <w:szCs w:val="26"/>
        </w:rPr>
      </w:pPr>
      <w:r>
        <w:br w:type="page"/>
      </w:r>
    </w:p>
    <w:p w14:paraId="12E24BAE" w14:textId="47A5637D" w:rsidR="00BC1FED" w:rsidRDefault="00121DDD" w:rsidP="00345038">
      <w:pPr>
        <w:pStyle w:val="Heading2"/>
      </w:pPr>
      <w:r>
        <w:lastRenderedPageBreak/>
        <w:t>Annex 1</w:t>
      </w:r>
      <w:r w:rsidR="001F7F4D" w:rsidRPr="002945C4">
        <w:t xml:space="preserve">: </w:t>
      </w:r>
      <w:r w:rsidR="00540A22">
        <w:t xml:space="preserve">Progress against </w:t>
      </w:r>
      <w:r w:rsidR="008A1503">
        <w:t xml:space="preserve">COVID-19 </w:t>
      </w:r>
      <w:r w:rsidR="008C1A18">
        <w:t xml:space="preserve">development </w:t>
      </w:r>
      <w:r w:rsidR="008A1503">
        <w:t xml:space="preserve">Response plan </w:t>
      </w:r>
      <w:r w:rsidR="00E1666D">
        <w:t>results indicators</w:t>
      </w:r>
    </w:p>
    <w:p w14:paraId="53E0B1CB" w14:textId="4861D448" w:rsidR="00AE2B7B" w:rsidRPr="008A745C" w:rsidRDefault="00AE2B7B" w:rsidP="00202474">
      <w:pPr>
        <w:pStyle w:val="Heading3"/>
      </w:pPr>
      <w:r w:rsidRPr="008A745C">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07A4493">
        <w:trPr>
          <w:tblHeader/>
        </w:trPr>
        <w:tc>
          <w:tcPr>
            <w:tcW w:w="4390" w:type="dxa"/>
            <w:shd w:val="clear" w:color="auto" w:fill="A2DCD1" w:themeFill="accent1" w:themeFillTint="99"/>
          </w:tcPr>
          <w:p w14:paraId="7116F4F5" w14:textId="2BCC79D7" w:rsidR="004F5615" w:rsidRPr="005736BB" w:rsidRDefault="00A96364" w:rsidP="00CA5021">
            <w:pPr>
              <w:spacing w:before="0" w:after="0" w:line="240" w:lineRule="auto"/>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CA5021">
            <w:pPr>
              <w:spacing w:before="0" w:after="0"/>
              <w:ind w:left="100"/>
              <w:jc w:val="center"/>
              <w:rPr>
                <w:sz w:val="20"/>
                <w:szCs w:val="20"/>
              </w:rPr>
            </w:pPr>
            <w:r w:rsidRPr="005736BB">
              <w:rPr>
                <w:b/>
                <w:sz w:val="20"/>
                <w:szCs w:val="20"/>
              </w:rPr>
              <w:t>Progress/Result</w:t>
            </w:r>
          </w:p>
        </w:tc>
      </w:tr>
      <w:tr w:rsidR="00CA5021" w14:paraId="5D4066B5" w14:textId="77777777" w:rsidTr="007A4493">
        <w:trPr>
          <w:tblHeader/>
        </w:trPr>
        <w:tc>
          <w:tcPr>
            <w:tcW w:w="4390" w:type="dxa"/>
          </w:tcPr>
          <w:p w14:paraId="354112BD" w14:textId="5A6AA1C2" w:rsidR="00877620" w:rsidRPr="00AB4795" w:rsidRDefault="00E91AA9" w:rsidP="008C2C9E">
            <w:pPr>
              <w:spacing w:before="60" w:line="260" w:lineRule="auto"/>
              <w:ind w:left="96"/>
            </w:pPr>
            <w:r w:rsidRPr="0077572A">
              <w:rPr>
                <w:sz w:val="20"/>
                <w:szCs w:val="20"/>
              </w:rPr>
              <w:t xml:space="preserve">New or improved therapeutics, diagnostics, </w:t>
            </w:r>
            <w:proofErr w:type="gramStart"/>
            <w:r w:rsidRPr="0077572A">
              <w:rPr>
                <w:sz w:val="20"/>
                <w:szCs w:val="20"/>
              </w:rPr>
              <w:t>vaccines</w:t>
            </w:r>
            <w:proofErr w:type="gramEnd"/>
            <w:r w:rsidRPr="0077572A">
              <w:rPr>
                <w:sz w:val="20"/>
                <w:szCs w:val="20"/>
              </w:rPr>
              <w:t xml:space="preserve"> and additional equipment provided for health centres and provincial hospitals</w:t>
            </w:r>
          </w:p>
        </w:tc>
        <w:tc>
          <w:tcPr>
            <w:tcW w:w="6146" w:type="dxa"/>
          </w:tcPr>
          <w:p w14:paraId="4240EA4D" w14:textId="77777777" w:rsidR="00650DBB" w:rsidRDefault="00D24297" w:rsidP="008C2C9E">
            <w:pPr>
              <w:spacing w:before="60" w:line="260" w:lineRule="auto"/>
              <w:ind w:left="96"/>
              <w:rPr>
                <w:sz w:val="20"/>
                <w:szCs w:val="20"/>
              </w:rPr>
            </w:pPr>
            <w:r w:rsidRPr="00650DBB">
              <w:rPr>
                <w:sz w:val="20"/>
                <w:szCs w:val="20"/>
              </w:rPr>
              <w:t>900,580 Pfizer does and 100,000 AstraZeneca doses were delivered to support national COVID-19 vaccine roll-out.</w:t>
            </w:r>
            <w:r w:rsidR="00650DBB">
              <w:rPr>
                <w:sz w:val="20"/>
                <w:szCs w:val="20"/>
              </w:rPr>
              <w:t xml:space="preserve"> </w:t>
            </w:r>
          </w:p>
          <w:p w14:paraId="43411F32" w14:textId="3498E58C" w:rsidR="00D24297" w:rsidRPr="00650DBB" w:rsidRDefault="00D24297" w:rsidP="008C2C9E">
            <w:pPr>
              <w:spacing w:before="60" w:line="260" w:lineRule="auto"/>
              <w:ind w:left="96"/>
              <w:rPr>
                <w:sz w:val="20"/>
                <w:szCs w:val="20"/>
              </w:rPr>
            </w:pPr>
            <w:r w:rsidRPr="00650DBB">
              <w:rPr>
                <w:sz w:val="20"/>
                <w:szCs w:val="20"/>
              </w:rPr>
              <w:t>Reagents and supplies for 50,00</w:t>
            </w:r>
            <w:r w:rsidR="0006537F">
              <w:rPr>
                <w:sz w:val="20"/>
                <w:szCs w:val="20"/>
              </w:rPr>
              <w:t>0</w:t>
            </w:r>
            <w:r w:rsidRPr="00650DBB">
              <w:rPr>
                <w:sz w:val="20"/>
                <w:szCs w:val="20"/>
              </w:rPr>
              <w:t xml:space="preserve"> PCR tests were provided to strengthen testing capacity.</w:t>
            </w:r>
            <w:r w:rsidR="00EA7CD9">
              <w:rPr>
                <w:sz w:val="20"/>
                <w:szCs w:val="20"/>
              </w:rPr>
              <w:t xml:space="preserve"> </w:t>
            </w:r>
            <w:r w:rsidRPr="00650DBB">
              <w:rPr>
                <w:sz w:val="20"/>
                <w:szCs w:val="20"/>
              </w:rPr>
              <w:t xml:space="preserve">Four haemodialysis units were provided to provincial hospitals to enhance haemodialysis treatment capacity. </w:t>
            </w:r>
          </w:p>
          <w:p w14:paraId="534F0E62" w14:textId="68AB041F" w:rsidR="00D24297" w:rsidRPr="00650DBB" w:rsidRDefault="00D24297" w:rsidP="008C2C9E">
            <w:pPr>
              <w:spacing w:before="60" w:line="260" w:lineRule="auto"/>
              <w:ind w:left="96"/>
              <w:rPr>
                <w:sz w:val="20"/>
                <w:szCs w:val="20"/>
              </w:rPr>
            </w:pPr>
            <w:r w:rsidRPr="00650DBB">
              <w:rPr>
                <w:sz w:val="20"/>
                <w:szCs w:val="20"/>
              </w:rPr>
              <w:t>COVID-19 vaccination strategy for adolescent</w:t>
            </w:r>
            <w:r w:rsidR="0006537F">
              <w:rPr>
                <w:sz w:val="20"/>
                <w:szCs w:val="20"/>
              </w:rPr>
              <w:t>s</w:t>
            </w:r>
            <w:r w:rsidRPr="00650DBB">
              <w:rPr>
                <w:sz w:val="20"/>
                <w:szCs w:val="20"/>
              </w:rPr>
              <w:t xml:space="preserve"> and children and its action plan were developed.</w:t>
            </w:r>
          </w:p>
          <w:p w14:paraId="1C78B18E" w14:textId="057ACE75" w:rsidR="00877620" w:rsidRDefault="00D24297" w:rsidP="008C2C9E">
            <w:pPr>
              <w:spacing w:before="60" w:line="260" w:lineRule="auto"/>
              <w:ind w:left="96"/>
            </w:pPr>
            <w:r w:rsidRPr="00650DBB">
              <w:rPr>
                <w:sz w:val="20"/>
                <w:szCs w:val="20"/>
              </w:rPr>
              <w:t>Adverse Event Following Immunisation guidelines were updated to include COVID-19 vaccines and the training materials were developed.</w:t>
            </w:r>
          </w:p>
        </w:tc>
      </w:tr>
      <w:tr w:rsidR="00CA5021" w14:paraId="4AD746D8" w14:textId="77777777" w:rsidTr="007A4493">
        <w:trPr>
          <w:tblHeader/>
        </w:trPr>
        <w:tc>
          <w:tcPr>
            <w:tcW w:w="4390" w:type="dxa"/>
          </w:tcPr>
          <w:p w14:paraId="0AB10A98" w14:textId="1960292A" w:rsidR="00CA5021" w:rsidRPr="00AB4795" w:rsidRDefault="00E91AA9" w:rsidP="008C2C9E">
            <w:pPr>
              <w:spacing w:before="60" w:line="260" w:lineRule="auto"/>
              <w:ind w:left="96"/>
            </w:pPr>
            <w:r w:rsidRPr="0077572A">
              <w:rPr>
                <w:sz w:val="20"/>
                <w:szCs w:val="20"/>
              </w:rPr>
              <w:t xml:space="preserve">Number of vulnerable women, men, </w:t>
            </w:r>
            <w:proofErr w:type="gramStart"/>
            <w:r w:rsidRPr="0077572A">
              <w:rPr>
                <w:sz w:val="20"/>
                <w:szCs w:val="20"/>
              </w:rPr>
              <w:t>girls</w:t>
            </w:r>
            <w:proofErr w:type="gramEnd"/>
            <w:r w:rsidRPr="0077572A">
              <w:rPr>
                <w:sz w:val="20"/>
                <w:szCs w:val="20"/>
              </w:rPr>
              <w:t xml:space="preserve"> and boys provided with emergency assistance in crisis situations (</w:t>
            </w:r>
            <w:r>
              <w:rPr>
                <w:sz w:val="20"/>
                <w:szCs w:val="20"/>
              </w:rPr>
              <w:t>men/ women;</w:t>
            </w:r>
            <w:r w:rsidRPr="0077572A">
              <w:rPr>
                <w:sz w:val="20"/>
                <w:szCs w:val="20"/>
              </w:rPr>
              <w:t xml:space="preserve"> </w:t>
            </w:r>
            <w:r>
              <w:rPr>
                <w:sz w:val="20"/>
                <w:szCs w:val="20"/>
              </w:rPr>
              <w:t>people with disabilities</w:t>
            </w:r>
            <w:r w:rsidRPr="0077572A">
              <w:rPr>
                <w:sz w:val="20"/>
                <w:szCs w:val="20"/>
              </w:rPr>
              <w:t xml:space="preserve">)  </w:t>
            </w:r>
            <w:r>
              <w:rPr>
                <w:sz w:val="20"/>
                <w:szCs w:val="20"/>
              </w:rPr>
              <w:br/>
            </w:r>
            <w:r w:rsidRPr="0077572A">
              <w:rPr>
                <w:sz w:val="20"/>
                <w:szCs w:val="20"/>
              </w:rPr>
              <w:t>(</w:t>
            </w:r>
            <w:bookmarkStart w:id="1" w:name="_Hlk83131224"/>
            <w:r w:rsidRPr="0077572A">
              <w:rPr>
                <w:sz w:val="20"/>
                <w:szCs w:val="20"/>
              </w:rPr>
              <w:t>target: 1,000,000 people have access to messages on COVID-19 prevention</w:t>
            </w:r>
            <w:bookmarkEnd w:id="1"/>
            <w:r w:rsidRPr="0077572A">
              <w:rPr>
                <w:sz w:val="20"/>
                <w:szCs w:val="20"/>
              </w:rPr>
              <w:t>, and on how to report violence and sexual exploitation and abuse cases)</w:t>
            </w:r>
          </w:p>
        </w:tc>
        <w:tc>
          <w:tcPr>
            <w:tcW w:w="6146" w:type="dxa"/>
          </w:tcPr>
          <w:p w14:paraId="44F01EB8" w14:textId="3467AE57" w:rsidR="00CA5021" w:rsidRDefault="005E40B0" w:rsidP="008C2C9E">
            <w:pPr>
              <w:widowControl w:val="0"/>
              <w:suppressAutoHyphens w:val="0"/>
              <w:autoSpaceDE w:val="0"/>
              <w:autoSpaceDN w:val="0"/>
              <w:adjustRightInd w:val="0"/>
              <w:spacing w:before="60" w:line="260" w:lineRule="auto"/>
              <w:ind w:left="96"/>
            </w:pPr>
            <w:r w:rsidRPr="005E40B0">
              <w:rPr>
                <w:rFonts w:ascii="Calibri Light" w:eastAsia="Calibri Light" w:hAnsi="Calibri Light" w:cs="DokChampa"/>
                <w:sz w:val="20"/>
                <w:szCs w:val="20"/>
              </w:rPr>
              <w:t xml:space="preserve">A total of 790 women and girls (2 women with disabilities) received counselling and assistance from the Lao Women’s Union, police, health, labour, justice, social </w:t>
            </w:r>
            <w:proofErr w:type="gramStart"/>
            <w:r w:rsidRPr="005E40B0">
              <w:rPr>
                <w:rFonts w:ascii="Calibri Light" w:eastAsia="Calibri Light" w:hAnsi="Calibri Light" w:cs="DokChampa"/>
                <w:sz w:val="20"/>
                <w:szCs w:val="20"/>
              </w:rPr>
              <w:t>welfare</w:t>
            </w:r>
            <w:proofErr w:type="gramEnd"/>
            <w:r w:rsidRPr="005E40B0">
              <w:rPr>
                <w:rFonts w:ascii="Calibri Light" w:eastAsia="Calibri Light" w:hAnsi="Calibri Light" w:cs="DokChampa"/>
                <w:sz w:val="20"/>
                <w:szCs w:val="20"/>
              </w:rPr>
              <w:t xml:space="preserve"> and education departments in </w:t>
            </w:r>
            <w:proofErr w:type="spellStart"/>
            <w:r w:rsidRPr="005E40B0">
              <w:rPr>
                <w:rFonts w:ascii="Calibri Light" w:eastAsia="Calibri Light" w:hAnsi="Calibri Light" w:cs="DokChampa"/>
                <w:sz w:val="20"/>
                <w:szCs w:val="20"/>
              </w:rPr>
              <w:t>Savannakhet</w:t>
            </w:r>
            <w:proofErr w:type="spellEnd"/>
            <w:r w:rsidRPr="005E40B0">
              <w:rPr>
                <w:rFonts w:ascii="Calibri Light" w:eastAsia="Calibri Light" w:hAnsi="Calibri Light" w:cs="DokChampa"/>
                <w:sz w:val="20"/>
                <w:szCs w:val="20"/>
              </w:rPr>
              <w:t xml:space="preserve"> province. </w:t>
            </w:r>
            <w:r>
              <w:rPr>
                <w:rFonts w:ascii="Calibri Light" w:eastAsia="Calibri Light" w:hAnsi="Calibri Light" w:cs="DokChampa"/>
                <w:sz w:val="20"/>
                <w:szCs w:val="20"/>
              </w:rPr>
              <w:t>The</w:t>
            </w:r>
            <w:r w:rsidRPr="005E40B0">
              <w:rPr>
                <w:rFonts w:ascii="Calibri Light" w:eastAsia="Calibri Light" w:hAnsi="Calibri Light" w:cs="DokChampa"/>
                <w:sz w:val="20"/>
                <w:szCs w:val="20"/>
              </w:rPr>
              <w:t xml:space="preserve"> first Health Standard Operating Procedure (SOP) for gender-based violence response was developed, and the National Coordination Body was established. </w:t>
            </w:r>
          </w:p>
        </w:tc>
      </w:tr>
    </w:tbl>
    <w:p w14:paraId="08BBE344" w14:textId="6BCC6A36" w:rsidR="00AE2B7B" w:rsidRPr="00AE2B7B" w:rsidRDefault="00AE2B7B" w:rsidP="00202474">
      <w:pPr>
        <w:pStyle w:val="Heading3"/>
      </w:pPr>
      <w:r w:rsidRPr="00AE2B7B">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8C2C9E">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93A8551" w14:textId="77777777" w:rsidTr="007A4493">
        <w:trPr>
          <w:tblHeader/>
        </w:trPr>
        <w:tc>
          <w:tcPr>
            <w:tcW w:w="4390" w:type="dxa"/>
          </w:tcPr>
          <w:p w14:paraId="2AA59D1C" w14:textId="1AA4DA26" w:rsidR="00CA5021" w:rsidRPr="00AB4795" w:rsidRDefault="00E91AA9" w:rsidP="008C2C9E">
            <w:pPr>
              <w:spacing w:before="60" w:line="260" w:lineRule="auto"/>
              <w:ind w:left="96"/>
            </w:pPr>
            <w:r w:rsidRPr="0077572A">
              <w:rPr>
                <w:sz w:val="20"/>
                <w:szCs w:val="20"/>
              </w:rPr>
              <w:t>Evidence of significant policy change in</w:t>
            </w:r>
            <w:r w:rsidRPr="00AE1BC7">
              <w:rPr>
                <w:sz w:val="20"/>
                <w:szCs w:val="20"/>
              </w:rPr>
              <w:t xml:space="preserve"> </w:t>
            </w:r>
            <w:r w:rsidRPr="0077572A">
              <w:rPr>
                <w:sz w:val="20"/>
                <w:szCs w:val="20"/>
              </w:rPr>
              <w:t>the education sector (curriculum and teachers’ professional development)</w:t>
            </w:r>
          </w:p>
        </w:tc>
        <w:tc>
          <w:tcPr>
            <w:tcW w:w="6146" w:type="dxa"/>
          </w:tcPr>
          <w:p w14:paraId="1FA8B0CF" w14:textId="0FD595F9" w:rsidR="00D24297" w:rsidRPr="00D24297" w:rsidRDefault="00D24297" w:rsidP="008C2C9E">
            <w:pPr>
              <w:keepNext/>
              <w:keepLines/>
              <w:spacing w:before="60" w:line="260" w:lineRule="auto"/>
              <w:ind w:left="96"/>
              <w:outlineLvl w:val="2"/>
              <w:rPr>
                <w:rFonts w:eastAsiaTheme="majorEastAsia" w:cstheme="minorHAnsi"/>
                <w:iCs/>
                <w:sz w:val="20"/>
                <w:szCs w:val="20"/>
              </w:rPr>
            </w:pPr>
            <w:r w:rsidRPr="00D24297">
              <w:rPr>
                <w:rFonts w:eastAsiaTheme="majorEastAsia" w:cstheme="minorHAnsi"/>
                <w:iCs/>
                <w:sz w:val="20"/>
                <w:szCs w:val="20"/>
              </w:rPr>
              <w:t>8,591 primary schools across Laos received new Grade Three curriculum materials.</w:t>
            </w:r>
          </w:p>
          <w:p w14:paraId="2EBA6F80" w14:textId="0FE7259C" w:rsidR="00D24297" w:rsidRPr="00D24297" w:rsidRDefault="00D24297" w:rsidP="008C2C9E">
            <w:pPr>
              <w:keepNext/>
              <w:keepLines/>
              <w:spacing w:before="60" w:line="260" w:lineRule="auto"/>
              <w:ind w:left="96"/>
              <w:outlineLvl w:val="2"/>
              <w:rPr>
                <w:rFonts w:eastAsiaTheme="majorEastAsia" w:cstheme="minorHAnsi"/>
                <w:iCs/>
                <w:sz w:val="20"/>
                <w:szCs w:val="20"/>
              </w:rPr>
            </w:pPr>
            <w:r w:rsidRPr="00D24297">
              <w:rPr>
                <w:rFonts w:eastAsiaTheme="majorEastAsia" w:cstheme="minorHAnsi"/>
                <w:iCs/>
                <w:sz w:val="20"/>
                <w:szCs w:val="20"/>
              </w:rPr>
              <w:t xml:space="preserve">150,065 Grade Three students (48 per cent women) and 9,645 Grade Three teachers (56 per cent women) were provided with textbooks, teacher guides and other supplementary materials. </w:t>
            </w:r>
          </w:p>
          <w:p w14:paraId="5B7D7312" w14:textId="319A9555" w:rsidR="00D24297" w:rsidRPr="00D24297" w:rsidRDefault="00D24297" w:rsidP="008C2C9E">
            <w:pPr>
              <w:keepNext/>
              <w:keepLines/>
              <w:spacing w:before="60" w:line="260" w:lineRule="auto"/>
              <w:ind w:left="96"/>
              <w:outlineLvl w:val="2"/>
              <w:rPr>
                <w:rFonts w:eastAsiaTheme="majorEastAsia" w:cstheme="minorHAnsi"/>
                <w:iCs/>
                <w:sz w:val="20"/>
                <w:szCs w:val="20"/>
              </w:rPr>
            </w:pPr>
            <w:r w:rsidRPr="00D24297">
              <w:rPr>
                <w:rFonts w:eastAsiaTheme="majorEastAsia" w:cstheme="minorHAnsi"/>
                <w:iCs/>
                <w:sz w:val="20"/>
                <w:szCs w:val="20"/>
              </w:rPr>
              <w:t>9,645 Grade Three teachers (56 per cent women) and 366 Pedagogical Advisers (31 per cent women) received in-service training on orientation of Grade Three curriculum materials in COVID-19 safe environment.</w:t>
            </w:r>
          </w:p>
          <w:p w14:paraId="2E8902BB" w14:textId="47DAE92B" w:rsidR="00CA5021" w:rsidRDefault="00D24297" w:rsidP="008C2C9E">
            <w:pPr>
              <w:spacing w:before="60" w:line="260" w:lineRule="auto"/>
              <w:ind w:left="96"/>
            </w:pPr>
            <w:r w:rsidRPr="00D24297">
              <w:rPr>
                <w:sz w:val="20"/>
                <w:szCs w:val="20"/>
              </w:rPr>
              <w:t>Australia supported the development of the concept note for the Teacher Continuous Professional Development which was tabled at the ESWG in August 2021 and has now been approved by the Minister of Education and Sports.</w:t>
            </w:r>
          </w:p>
        </w:tc>
      </w:tr>
      <w:tr w:rsidR="00CA5021" w14:paraId="0556A95D" w14:textId="77777777" w:rsidTr="007A4493">
        <w:trPr>
          <w:tblHeader/>
        </w:trPr>
        <w:tc>
          <w:tcPr>
            <w:tcW w:w="4390" w:type="dxa"/>
          </w:tcPr>
          <w:p w14:paraId="62F5276A" w14:textId="4036F4B2" w:rsidR="00CA5021" w:rsidRPr="00AB4795" w:rsidRDefault="00E91AA9" w:rsidP="008C2C9E">
            <w:pPr>
              <w:spacing w:before="60" w:line="260" w:lineRule="auto"/>
              <w:ind w:left="96"/>
            </w:pPr>
            <w:r w:rsidRPr="0077572A">
              <w:rPr>
                <w:sz w:val="20"/>
                <w:szCs w:val="20"/>
              </w:rPr>
              <w:t xml:space="preserve">Number of women from poor communities holding single accounts in village banks (target: </w:t>
            </w:r>
            <w:r>
              <w:rPr>
                <w:sz w:val="20"/>
                <w:szCs w:val="20"/>
              </w:rPr>
              <w:t>36,344</w:t>
            </w:r>
            <w:r w:rsidRPr="0077572A">
              <w:rPr>
                <w:sz w:val="20"/>
                <w:szCs w:val="20"/>
              </w:rPr>
              <w:t>)</w:t>
            </w:r>
          </w:p>
        </w:tc>
        <w:tc>
          <w:tcPr>
            <w:tcW w:w="6146" w:type="dxa"/>
          </w:tcPr>
          <w:p w14:paraId="71F5FF79" w14:textId="045F7BC1" w:rsidR="00CA5021" w:rsidRPr="000A0DC6" w:rsidRDefault="000A0DC6" w:rsidP="008C2C9E">
            <w:pPr>
              <w:spacing w:before="60" w:line="260" w:lineRule="auto"/>
              <w:ind w:left="96"/>
              <w:rPr>
                <w:sz w:val="20"/>
                <w:szCs w:val="20"/>
              </w:rPr>
            </w:pPr>
            <w:r w:rsidRPr="000A0DC6">
              <w:rPr>
                <w:sz w:val="20"/>
                <w:szCs w:val="20"/>
              </w:rPr>
              <w:t>Supported microfinance assistance to expand the network of village banks, the number of single women accounts was increased above the target to 46,292 accounts.</w:t>
            </w:r>
          </w:p>
        </w:tc>
      </w:tr>
      <w:tr w:rsidR="00E91AA9" w14:paraId="5DF0BAD4" w14:textId="77777777" w:rsidTr="007A4493">
        <w:trPr>
          <w:tblHeader/>
        </w:trPr>
        <w:tc>
          <w:tcPr>
            <w:tcW w:w="4390" w:type="dxa"/>
          </w:tcPr>
          <w:p w14:paraId="476782F7" w14:textId="275CCA7F" w:rsidR="00E91AA9" w:rsidRPr="00AB4795" w:rsidRDefault="00E91AA9" w:rsidP="008C2C9E">
            <w:pPr>
              <w:spacing w:before="60" w:line="260" w:lineRule="auto"/>
              <w:ind w:left="96"/>
            </w:pPr>
            <w:r w:rsidRPr="0077572A">
              <w:rPr>
                <w:sz w:val="20"/>
                <w:szCs w:val="20"/>
              </w:rPr>
              <w:t xml:space="preserve">Examples of Australian supported capacity building activities on human rights and COVID-19 for </w:t>
            </w:r>
            <w:proofErr w:type="spellStart"/>
            <w:r w:rsidRPr="0077572A">
              <w:rPr>
                <w:sz w:val="20"/>
                <w:szCs w:val="20"/>
              </w:rPr>
              <w:t>GoL</w:t>
            </w:r>
            <w:proofErr w:type="spellEnd"/>
            <w:r w:rsidRPr="0077572A">
              <w:rPr>
                <w:sz w:val="20"/>
                <w:szCs w:val="20"/>
              </w:rPr>
              <w:t xml:space="preserve"> officials </w:t>
            </w:r>
            <w:r>
              <w:rPr>
                <w:sz w:val="20"/>
                <w:szCs w:val="20"/>
              </w:rPr>
              <w:t>(men/ women;</w:t>
            </w:r>
            <w:r w:rsidRPr="0077572A">
              <w:rPr>
                <w:sz w:val="20"/>
                <w:szCs w:val="20"/>
              </w:rPr>
              <w:t xml:space="preserve"> </w:t>
            </w:r>
            <w:r>
              <w:rPr>
                <w:sz w:val="20"/>
                <w:szCs w:val="20"/>
              </w:rPr>
              <w:t>people with disabilities</w:t>
            </w:r>
            <w:r w:rsidRPr="0077572A">
              <w:rPr>
                <w:sz w:val="20"/>
                <w:szCs w:val="20"/>
              </w:rPr>
              <w:t>)</w:t>
            </w:r>
          </w:p>
        </w:tc>
        <w:tc>
          <w:tcPr>
            <w:tcW w:w="6146" w:type="dxa"/>
          </w:tcPr>
          <w:p w14:paraId="69182282" w14:textId="6C7AC20E" w:rsidR="00E91AA9" w:rsidRPr="000A0DC6" w:rsidRDefault="000A0DC6" w:rsidP="008C2C9E">
            <w:pPr>
              <w:spacing w:before="60" w:line="260" w:lineRule="auto"/>
              <w:ind w:left="96"/>
              <w:rPr>
                <w:sz w:val="20"/>
                <w:szCs w:val="20"/>
              </w:rPr>
            </w:pPr>
            <w:r w:rsidRPr="000A0DC6">
              <w:rPr>
                <w:sz w:val="20"/>
                <w:szCs w:val="20"/>
              </w:rPr>
              <w:t xml:space="preserve">37 participants from government (25) and non-government organisations (12) participated in a seminar on the Rights of Persons with Disabilities and the Reporting Mechanism in April 2022. 12 of the 37 participants were women, of which </w:t>
            </w:r>
            <w:r w:rsidR="00C85D59">
              <w:rPr>
                <w:sz w:val="20"/>
                <w:szCs w:val="20"/>
              </w:rPr>
              <w:t>four</w:t>
            </w:r>
            <w:r w:rsidRPr="000A0DC6">
              <w:rPr>
                <w:sz w:val="20"/>
                <w:szCs w:val="20"/>
              </w:rPr>
              <w:t xml:space="preserve"> were women with disabilities. Participants deepened their knowledge and understanding of the Convention on the Rights of Persons with Disabilities and learned about promotion and </w:t>
            </w:r>
            <w:r w:rsidRPr="000A0DC6">
              <w:rPr>
                <w:sz w:val="20"/>
                <w:szCs w:val="20"/>
              </w:rPr>
              <w:lastRenderedPageBreak/>
              <w:t>protection of the rights of persons with disability in Laos. They discussed a wide range of issues, including the impact of the COVID-19 outbreak for women and people with disabilities and potential response actions.</w:t>
            </w:r>
          </w:p>
        </w:tc>
      </w:tr>
    </w:tbl>
    <w:p w14:paraId="3F2619AB" w14:textId="64D997BA" w:rsidR="00AE2B7B" w:rsidRPr="00AE2B7B" w:rsidRDefault="00AE2B7B" w:rsidP="00202474">
      <w:pPr>
        <w:pStyle w:val="Heading3"/>
      </w:pPr>
      <w:r w:rsidRPr="00AE2B7B">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6D541DE4">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6D541DE4">
        <w:trPr>
          <w:tblHeader/>
        </w:trPr>
        <w:tc>
          <w:tcPr>
            <w:tcW w:w="4390" w:type="dxa"/>
          </w:tcPr>
          <w:p w14:paraId="234C1CE4" w14:textId="710063E4" w:rsidR="00CA5021" w:rsidRDefault="00E91AA9" w:rsidP="008C2C9E">
            <w:pPr>
              <w:spacing w:before="60"/>
              <w:ind w:left="96"/>
            </w:pPr>
            <w:r w:rsidRPr="0077572A">
              <w:rPr>
                <w:sz w:val="20"/>
                <w:szCs w:val="20"/>
              </w:rPr>
              <w:t>Examples of entrepreneurial activities (</w:t>
            </w:r>
            <w:r w:rsidRPr="00DD7FF7">
              <w:rPr>
                <w:sz w:val="20"/>
                <w:szCs w:val="20"/>
              </w:rPr>
              <w:t>men/ women; people with disabilities</w:t>
            </w:r>
            <w:r w:rsidRPr="0077572A">
              <w:rPr>
                <w:sz w:val="20"/>
                <w:szCs w:val="20"/>
              </w:rPr>
              <w:t>) supported with financial and/or business development services</w:t>
            </w:r>
          </w:p>
        </w:tc>
        <w:tc>
          <w:tcPr>
            <w:tcW w:w="6146" w:type="dxa"/>
          </w:tcPr>
          <w:p w14:paraId="5A50515E" w14:textId="20D7A2D7" w:rsidR="00CA5021" w:rsidRPr="000A0DC6" w:rsidRDefault="000A0DC6" w:rsidP="008C2C9E">
            <w:pPr>
              <w:spacing w:before="60"/>
              <w:ind w:left="96"/>
              <w:rPr>
                <w:sz w:val="20"/>
                <w:szCs w:val="20"/>
              </w:rPr>
            </w:pPr>
            <w:r w:rsidRPr="000A0DC6">
              <w:rPr>
                <w:sz w:val="20"/>
                <w:szCs w:val="20"/>
              </w:rPr>
              <w:t xml:space="preserve">In partnership with the United States and the World Bank, supported the Lao PDR Competitiveness and Trade project to increase the target number of companies assisted by the Business Assistance Facility from 300 to 500. As of June 2022, the project had approved 282 grants to SMEs. In the reporting period, LCTP has significantly increased its support to 170 enterprises. 108 (63.5 per cent) grants have been provided to women-led enterprises; 62 grants to male-led businesses. No data </w:t>
            </w:r>
            <w:r w:rsidR="00A855EE">
              <w:rPr>
                <w:sz w:val="20"/>
                <w:szCs w:val="20"/>
              </w:rPr>
              <w:t xml:space="preserve">is available </w:t>
            </w:r>
            <w:r w:rsidRPr="000A0DC6">
              <w:rPr>
                <w:sz w:val="20"/>
                <w:szCs w:val="20"/>
              </w:rPr>
              <w:t>on</w:t>
            </w:r>
            <w:r w:rsidR="00A855EE">
              <w:rPr>
                <w:sz w:val="20"/>
                <w:szCs w:val="20"/>
              </w:rPr>
              <w:t xml:space="preserve"> businesses owned by persons with</w:t>
            </w:r>
            <w:r w:rsidRPr="000A0DC6">
              <w:rPr>
                <w:sz w:val="20"/>
                <w:szCs w:val="20"/>
              </w:rPr>
              <w:t xml:space="preserve"> disability.</w:t>
            </w:r>
          </w:p>
        </w:tc>
      </w:tr>
      <w:tr w:rsidR="00CA5021" w14:paraId="1EAE2D66" w14:textId="77777777" w:rsidTr="6D541DE4">
        <w:trPr>
          <w:tblHeader/>
        </w:trPr>
        <w:tc>
          <w:tcPr>
            <w:tcW w:w="4390" w:type="dxa"/>
          </w:tcPr>
          <w:p w14:paraId="65838CB2" w14:textId="18DC9C6B" w:rsidR="00CA5021" w:rsidRDefault="00E91AA9" w:rsidP="008C2C9E">
            <w:pPr>
              <w:spacing w:before="60"/>
              <w:ind w:left="96"/>
            </w:pPr>
            <w:r w:rsidRPr="0077572A">
              <w:rPr>
                <w:sz w:val="20"/>
                <w:szCs w:val="20"/>
              </w:rPr>
              <w:t>Number of postgraduate scholarships provided (</w:t>
            </w:r>
            <w:r w:rsidRPr="00DD7FF7">
              <w:rPr>
                <w:sz w:val="20"/>
                <w:szCs w:val="20"/>
              </w:rPr>
              <w:t>men/ women; people with disabilities</w:t>
            </w:r>
            <w:r w:rsidRPr="0077572A">
              <w:rPr>
                <w:sz w:val="20"/>
                <w:szCs w:val="20"/>
              </w:rPr>
              <w:t>) in priority areas for economic growth, quality governance and inclusive development (target: 30 per year)</w:t>
            </w:r>
          </w:p>
        </w:tc>
        <w:tc>
          <w:tcPr>
            <w:tcW w:w="6146" w:type="dxa"/>
          </w:tcPr>
          <w:p w14:paraId="7220F8F4" w14:textId="2436B06A" w:rsidR="00323570" w:rsidRPr="00323570" w:rsidRDefault="2BBF41BB" w:rsidP="008C2C9E">
            <w:pPr>
              <w:spacing w:before="60"/>
              <w:ind w:left="96"/>
              <w:rPr>
                <w:sz w:val="20"/>
                <w:szCs w:val="20"/>
              </w:rPr>
            </w:pPr>
            <w:r w:rsidRPr="6D541DE4">
              <w:rPr>
                <w:sz w:val="20"/>
                <w:szCs w:val="20"/>
              </w:rPr>
              <w:t>Through the Laos-Australia Institute, we</w:t>
            </w:r>
            <w:r w:rsidR="175AAEFA" w:rsidRPr="6D541DE4">
              <w:rPr>
                <w:sz w:val="20"/>
                <w:szCs w:val="20"/>
              </w:rPr>
              <w:t>:</w:t>
            </w:r>
            <w:r w:rsidRPr="6D541DE4">
              <w:rPr>
                <w:sz w:val="20"/>
                <w:szCs w:val="20"/>
              </w:rPr>
              <w:t xml:space="preserve"> </w:t>
            </w:r>
          </w:p>
          <w:p w14:paraId="043B1405" w14:textId="77777777" w:rsidR="007463BC" w:rsidRPr="00182526" w:rsidRDefault="007463BC" w:rsidP="007463BC">
            <w:pPr>
              <w:pStyle w:val="ListParagraph"/>
              <w:numPr>
                <w:ilvl w:val="0"/>
                <w:numId w:val="35"/>
              </w:numPr>
              <w:spacing w:before="60"/>
              <w:rPr>
                <w:sz w:val="20"/>
                <w:szCs w:val="20"/>
              </w:rPr>
            </w:pPr>
            <w:r w:rsidRPr="00182526">
              <w:rPr>
                <w:sz w:val="20"/>
                <w:szCs w:val="20"/>
              </w:rPr>
              <w:t xml:space="preserve">assisted 74 disadvantaged Lao students (45 per cent women; 17 per cent people with disabilities) to graduate with a </w:t>
            </w:r>
            <w:proofErr w:type="gramStart"/>
            <w:r w:rsidRPr="00182526">
              <w:rPr>
                <w:sz w:val="20"/>
                <w:szCs w:val="20"/>
              </w:rPr>
              <w:t>Bachelor</w:t>
            </w:r>
            <w:proofErr w:type="gramEnd"/>
            <w:r w:rsidRPr="00182526">
              <w:rPr>
                <w:sz w:val="20"/>
                <w:szCs w:val="20"/>
              </w:rPr>
              <w:t xml:space="preserve"> degree and employable skills; </w:t>
            </w:r>
          </w:p>
          <w:p w14:paraId="697BC886" w14:textId="77777777" w:rsidR="007463BC" w:rsidRPr="00182526" w:rsidRDefault="007463BC" w:rsidP="007463BC">
            <w:pPr>
              <w:pStyle w:val="ListParagraph"/>
              <w:numPr>
                <w:ilvl w:val="0"/>
                <w:numId w:val="35"/>
              </w:numPr>
              <w:spacing w:before="60"/>
              <w:rPr>
                <w:sz w:val="20"/>
                <w:szCs w:val="20"/>
              </w:rPr>
            </w:pPr>
            <w:r w:rsidRPr="00182526">
              <w:rPr>
                <w:sz w:val="20"/>
                <w:szCs w:val="20"/>
              </w:rPr>
              <w:t>provided five Mekong-Australia Partnership training courses to 102   people (where 62</w:t>
            </w:r>
            <w:r>
              <w:rPr>
                <w:sz w:val="20"/>
                <w:szCs w:val="20"/>
              </w:rPr>
              <w:t xml:space="preserve"> </w:t>
            </w:r>
            <w:r w:rsidRPr="00182526">
              <w:rPr>
                <w:sz w:val="20"/>
                <w:szCs w:val="20"/>
              </w:rPr>
              <w:t>per cent of the participants were women, and where the target was 50 per cent</w:t>
            </w:r>
            <w:proofErr w:type="gramStart"/>
            <w:r w:rsidRPr="00182526">
              <w:rPr>
                <w:sz w:val="20"/>
                <w:szCs w:val="20"/>
              </w:rPr>
              <w:t>)</w:t>
            </w:r>
            <w:r>
              <w:rPr>
                <w:sz w:val="20"/>
                <w:szCs w:val="20"/>
              </w:rPr>
              <w:t>;</w:t>
            </w:r>
            <w:proofErr w:type="gramEnd"/>
          </w:p>
          <w:p w14:paraId="3CB5AD27" w14:textId="29888A9E" w:rsidR="007463BC" w:rsidRDefault="007463BC" w:rsidP="007463BC">
            <w:pPr>
              <w:pStyle w:val="ListParagraph"/>
              <w:numPr>
                <w:ilvl w:val="0"/>
                <w:numId w:val="35"/>
              </w:numPr>
              <w:spacing w:before="60"/>
              <w:rPr>
                <w:sz w:val="20"/>
                <w:szCs w:val="20"/>
              </w:rPr>
            </w:pPr>
            <w:r>
              <w:rPr>
                <w:sz w:val="20"/>
                <w:szCs w:val="20"/>
              </w:rPr>
              <w:t xml:space="preserve">saw </w:t>
            </w:r>
            <w:r w:rsidRPr="00182526">
              <w:rPr>
                <w:sz w:val="20"/>
                <w:szCs w:val="20"/>
              </w:rPr>
              <w:t xml:space="preserve">100 per cent of Laos Australia National Scholarships (LANS) students complete their studies, exceeding the 95 per cent </w:t>
            </w:r>
            <w:proofErr w:type="gramStart"/>
            <w:r w:rsidRPr="00182526">
              <w:rPr>
                <w:sz w:val="20"/>
                <w:szCs w:val="20"/>
              </w:rPr>
              <w:t>target</w:t>
            </w:r>
            <w:r>
              <w:rPr>
                <w:sz w:val="20"/>
                <w:szCs w:val="20"/>
              </w:rPr>
              <w:t>;</w:t>
            </w:r>
            <w:proofErr w:type="gramEnd"/>
          </w:p>
          <w:p w14:paraId="02B96D99" w14:textId="6C54B17E" w:rsidR="00CA5021" w:rsidRPr="00323570" w:rsidRDefault="007463BC" w:rsidP="0012467A">
            <w:pPr>
              <w:pStyle w:val="ListParagraph"/>
              <w:numPr>
                <w:ilvl w:val="0"/>
                <w:numId w:val="35"/>
              </w:numPr>
              <w:spacing w:before="60"/>
            </w:pPr>
            <w:r>
              <w:rPr>
                <w:sz w:val="20"/>
                <w:szCs w:val="20"/>
              </w:rPr>
              <w:t xml:space="preserve">ensured </w:t>
            </w:r>
            <w:r w:rsidRPr="00182526">
              <w:rPr>
                <w:sz w:val="20"/>
                <w:szCs w:val="20"/>
              </w:rPr>
              <w:t xml:space="preserve">93 per cent (60 per cent were women) of Australia Awards students completed studies in priority areas, below the 95 per cent target as students requested extensions due to COVID-19 related stress.  </w:t>
            </w:r>
          </w:p>
        </w:tc>
      </w:tr>
    </w:tbl>
    <w:p w14:paraId="2F13E6BA" w14:textId="77777777" w:rsidR="008A6BB7" w:rsidRDefault="008A6BB7" w:rsidP="00345038">
      <w:pPr>
        <w:pStyle w:val="Heading2"/>
        <w:sectPr w:rsidR="008A6BB7" w:rsidSect="00D650DC">
          <w:headerReference w:type="default" r:id="rId10"/>
          <w:footerReference w:type="default" r:id="rId11"/>
          <w:headerReference w:type="first" r:id="rId12"/>
          <w:pgSz w:w="11906" w:h="16838" w:code="9"/>
          <w:pgMar w:top="1559" w:right="680" w:bottom="1276" w:left="680" w:header="567" w:footer="340" w:gutter="0"/>
          <w:cols w:space="397"/>
          <w:docGrid w:linePitch="360"/>
        </w:sectPr>
      </w:pPr>
    </w:p>
    <w:p w14:paraId="06ABEE3D" w14:textId="62B1A356" w:rsidR="00D1231A" w:rsidRDefault="00121DDD" w:rsidP="00345038">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GridTable4-Accent1"/>
        <w:tblW w:w="1050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99"/>
        <w:gridCol w:w="1075"/>
        <w:gridCol w:w="1273"/>
        <w:gridCol w:w="1351"/>
        <w:gridCol w:w="1508"/>
      </w:tblGrid>
      <w:tr w:rsidR="007463BC" w:rsidRPr="00E91AA9" w14:paraId="2B28F540" w14:textId="77777777" w:rsidTr="001356F8">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5299" w:type="dxa"/>
            <w:tcBorders>
              <w:top w:val="none" w:sz="0" w:space="0" w:color="auto"/>
              <w:left w:val="none" w:sz="0" w:space="0" w:color="auto"/>
              <w:right w:val="none" w:sz="0" w:space="0" w:color="auto"/>
            </w:tcBorders>
            <w:shd w:val="clear" w:color="auto" w:fill="A2DCD1" w:themeFill="accent1" w:themeFillTint="99"/>
            <w:noWrap/>
            <w:hideMark/>
          </w:tcPr>
          <w:p w14:paraId="2D8F817A" w14:textId="77777777" w:rsidR="007463BC" w:rsidRPr="00447D48" w:rsidRDefault="007463BC" w:rsidP="00842F52">
            <w:pPr>
              <w:spacing w:before="60"/>
              <w:jc w:val="center"/>
              <w:rPr>
                <w:rFonts w:ascii="Calibri Light" w:hAnsi="Calibri Light" w:cs="Calibri Light"/>
                <w:sz w:val="20"/>
                <w:szCs w:val="20"/>
                <w:lang w:val="en-AU" w:eastAsia="en-AU"/>
              </w:rPr>
            </w:pPr>
            <w:r w:rsidRPr="00447D48">
              <w:rPr>
                <w:rFonts w:ascii="Calibri Light" w:hAnsi="Calibri Light" w:cs="Calibri Light"/>
                <w:sz w:val="20"/>
                <w:szCs w:val="20"/>
                <w:lang w:eastAsia="en-AU"/>
              </w:rPr>
              <w:t>Investment Details</w:t>
            </w:r>
          </w:p>
        </w:tc>
        <w:tc>
          <w:tcPr>
            <w:tcW w:w="1075" w:type="dxa"/>
            <w:tcBorders>
              <w:top w:val="none" w:sz="0" w:space="0" w:color="auto"/>
              <w:left w:val="none" w:sz="0" w:space="0" w:color="auto"/>
              <w:right w:val="none" w:sz="0" w:space="0" w:color="auto"/>
            </w:tcBorders>
            <w:shd w:val="clear" w:color="auto" w:fill="A2DCD1" w:themeFill="accent1" w:themeFillTint="99"/>
            <w:noWrap/>
            <w:hideMark/>
          </w:tcPr>
          <w:p w14:paraId="7566F50B" w14:textId="77777777" w:rsidR="007463BC" w:rsidRPr="00447D48" w:rsidRDefault="007463BC" w:rsidP="00842F52">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Year</w:t>
            </w:r>
          </w:p>
        </w:tc>
        <w:tc>
          <w:tcPr>
            <w:tcW w:w="1272" w:type="dxa"/>
            <w:tcBorders>
              <w:top w:val="none" w:sz="0" w:space="0" w:color="auto"/>
              <w:left w:val="none" w:sz="0" w:space="0" w:color="auto"/>
              <w:right w:val="none" w:sz="0" w:space="0" w:color="auto"/>
            </w:tcBorders>
            <w:shd w:val="clear" w:color="auto" w:fill="A2DCD1" w:themeFill="accent1" w:themeFillTint="99"/>
            <w:noWrap/>
            <w:hideMark/>
          </w:tcPr>
          <w:p w14:paraId="09D38B07" w14:textId="77777777" w:rsidR="007463BC" w:rsidRPr="00447D48" w:rsidRDefault="007463BC" w:rsidP="00842F52">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Effectiveness</w:t>
            </w:r>
          </w:p>
        </w:tc>
        <w:tc>
          <w:tcPr>
            <w:tcW w:w="1351" w:type="dxa"/>
            <w:tcBorders>
              <w:top w:val="none" w:sz="0" w:space="0" w:color="auto"/>
              <w:left w:val="none" w:sz="0" w:space="0" w:color="auto"/>
              <w:right w:val="none" w:sz="0" w:space="0" w:color="auto"/>
            </w:tcBorders>
            <w:shd w:val="clear" w:color="auto" w:fill="A2DCD1" w:themeFill="accent1" w:themeFillTint="99"/>
            <w:noWrap/>
            <w:hideMark/>
          </w:tcPr>
          <w:p w14:paraId="138951E7" w14:textId="77777777" w:rsidR="007463BC" w:rsidRPr="00447D48" w:rsidRDefault="007463BC" w:rsidP="00842F52">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Efficiency</w:t>
            </w:r>
          </w:p>
        </w:tc>
        <w:tc>
          <w:tcPr>
            <w:tcW w:w="1508" w:type="dxa"/>
            <w:tcBorders>
              <w:top w:val="none" w:sz="0" w:space="0" w:color="auto"/>
              <w:left w:val="none" w:sz="0" w:space="0" w:color="auto"/>
              <w:right w:val="none" w:sz="0" w:space="0" w:color="auto"/>
            </w:tcBorders>
            <w:shd w:val="clear" w:color="auto" w:fill="A2DCD1" w:themeFill="accent1" w:themeFillTint="99"/>
            <w:noWrap/>
            <w:hideMark/>
          </w:tcPr>
          <w:p w14:paraId="1617D3E7" w14:textId="66A2C6EF" w:rsidR="007463BC" w:rsidRPr="00447D48" w:rsidRDefault="007463BC" w:rsidP="00842F52">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 xml:space="preserve">Gender </w:t>
            </w:r>
            <w:r w:rsidR="00447D48">
              <w:rPr>
                <w:rFonts w:ascii="Calibri Light" w:hAnsi="Calibri Light" w:cs="Calibri Light"/>
                <w:sz w:val="20"/>
                <w:szCs w:val="20"/>
                <w:lang w:eastAsia="en-AU"/>
              </w:rPr>
              <w:t>Equality</w:t>
            </w:r>
          </w:p>
        </w:tc>
      </w:tr>
      <w:tr w:rsidR="007463BC" w:rsidRPr="00E91AA9" w14:paraId="03B6D3A0" w14:textId="77777777" w:rsidTr="001356F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99" w:type="dxa"/>
            <w:tcBorders>
              <w:bottom w:val="nil"/>
            </w:tcBorders>
            <w:shd w:val="clear" w:color="auto" w:fill="F2F2F2" w:themeFill="background1" w:themeFillShade="F2"/>
            <w:noWrap/>
            <w:hideMark/>
          </w:tcPr>
          <w:p w14:paraId="5D5551CB" w14:textId="77777777" w:rsidR="007463BC" w:rsidRPr="00447D48" w:rsidRDefault="007463BC" w:rsidP="00842F52">
            <w:pPr>
              <w:spacing w:before="60"/>
              <w:rPr>
                <w:rFonts w:ascii="Calibri Light" w:hAnsi="Calibri Light" w:cs="Calibri Light"/>
                <w:sz w:val="20"/>
                <w:szCs w:val="20"/>
                <w:lang w:eastAsia="en-AU"/>
              </w:rPr>
            </w:pPr>
            <w:r w:rsidRPr="00447D48">
              <w:rPr>
                <w:rFonts w:ascii="Calibri Light" w:hAnsi="Calibri Light" w:cs="Calibri Light"/>
                <w:sz w:val="20"/>
                <w:szCs w:val="20"/>
                <w:lang w:eastAsia="en-AU"/>
              </w:rPr>
              <w:t>Lao PDR Competitiveness and Trade</w:t>
            </w:r>
          </w:p>
        </w:tc>
        <w:tc>
          <w:tcPr>
            <w:tcW w:w="1075" w:type="dxa"/>
            <w:tcBorders>
              <w:bottom w:val="nil"/>
            </w:tcBorders>
            <w:shd w:val="clear" w:color="auto" w:fill="F2F2F2" w:themeFill="background1" w:themeFillShade="F2"/>
            <w:hideMark/>
          </w:tcPr>
          <w:p w14:paraId="2D2FC5C5" w14:textId="77777777" w:rsidR="007463BC" w:rsidRPr="00E91AA9" w:rsidRDefault="007463BC" w:rsidP="00842F52">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202</w:t>
            </w:r>
            <w:r>
              <w:rPr>
                <w:rFonts w:ascii="Calibri Light" w:hAnsi="Calibri Light" w:cs="Calibri Light"/>
                <w:sz w:val="20"/>
                <w:szCs w:val="20"/>
                <w:lang w:eastAsia="en-AU"/>
              </w:rPr>
              <w:t>2</w:t>
            </w:r>
          </w:p>
        </w:tc>
        <w:tc>
          <w:tcPr>
            <w:tcW w:w="1272" w:type="dxa"/>
            <w:tcBorders>
              <w:bottom w:val="nil"/>
            </w:tcBorders>
            <w:shd w:val="clear" w:color="auto" w:fill="F2F2F2" w:themeFill="background1" w:themeFillShade="F2"/>
            <w:noWrap/>
            <w:hideMark/>
          </w:tcPr>
          <w:p w14:paraId="1CC2D50F" w14:textId="77777777" w:rsidR="007463BC" w:rsidRPr="00E91AA9" w:rsidRDefault="007463BC" w:rsidP="00842F52">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4</w:t>
            </w:r>
          </w:p>
        </w:tc>
        <w:tc>
          <w:tcPr>
            <w:tcW w:w="1351" w:type="dxa"/>
            <w:tcBorders>
              <w:bottom w:val="nil"/>
            </w:tcBorders>
            <w:shd w:val="clear" w:color="auto" w:fill="F2F2F2" w:themeFill="background1" w:themeFillShade="F2"/>
            <w:noWrap/>
            <w:hideMark/>
          </w:tcPr>
          <w:p w14:paraId="797466A7" w14:textId="77777777" w:rsidR="007463BC" w:rsidRPr="00E91AA9" w:rsidRDefault="007463BC" w:rsidP="00842F52">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4</w:t>
            </w:r>
          </w:p>
        </w:tc>
        <w:tc>
          <w:tcPr>
            <w:tcW w:w="1508" w:type="dxa"/>
            <w:tcBorders>
              <w:bottom w:val="nil"/>
            </w:tcBorders>
            <w:shd w:val="clear" w:color="auto" w:fill="F2F2F2" w:themeFill="background1" w:themeFillShade="F2"/>
            <w:noWrap/>
            <w:hideMark/>
          </w:tcPr>
          <w:p w14:paraId="01931C71" w14:textId="77777777" w:rsidR="007463BC" w:rsidRPr="00E91AA9" w:rsidRDefault="007463BC" w:rsidP="00842F52">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5</w:t>
            </w:r>
          </w:p>
        </w:tc>
      </w:tr>
      <w:tr w:rsidR="007463BC" w:rsidRPr="00E91AA9" w14:paraId="6EEE6318" w14:textId="77777777" w:rsidTr="001356F8">
        <w:trPr>
          <w:trHeight w:val="286"/>
        </w:trPr>
        <w:tc>
          <w:tcPr>
            <w:cnfStyle w:val="001000000000" w:firstRow="0" w:lastRow="0" w:firstColumn="1" w:lastColumn="0" w:oddVBand="0" w:evenVBand="0" w:oddHBand="0" w:evenHBand="0" w:firstRowFirstColumn="0" w:firstRowLastColumn="0" w:lastRowFirstColumn="0" w:lastRowLastColumn="0"/>
            <w:tcW w:w="5299" w:type="dxa"/>
            <w:tcBorders>
              <w:top w:val="nil"/>
            </w:tcBorders>
            <w:shd w:val="clear" w:color="auto" w:fill="F2F2F2" w:themeFill="background1" w:themeFillShade="F2"/>
            <w:hideMark/>
          </w:tcPr>
          <w:p w14:paraId="17E159ED" w14:textId="77777777" w:rsidR="007463BC" w:rsidRPr="00E91AA9" w:rsidRDefault="007463BC" w:rsidP="00842F52">
            <w:pPr>
              <w:spacing w:before="60"/>
              <w:ind w:firstLine="200"/>
              <w:rPr>
                <w:rFonts w:ascii="Calibri Light" w:hAnsi="Calibri Light" w:cs="Calibri Light"/>
                <w:sz w:val="20"/>
                <w:szCs w:val="20"/>
                <w:lang w:eastAsia="en-AU"/>
              </w:rPr>
            </w:pPr>
            <w:r w:rsidRPr="00E91AA9">
              <w:rPr>
                <w:rFonts w:ascii="Calibri Light" w:hAnsi="Calibri Light" w:cs="Calibri Light"/>
                <w:b w:val="0"/>
                <w:bCs w:val="0"/>
                <w:sz w:val="20"/>
                <w:szCs w:val="20"/>
                <w:lang w:eastAsia="en-AU"/>
              </w:rPr>
              <w:t>Investment duration: 2018-202</w:t>
            </w:r>
            <w:r>
              <w:rPr>
                <w:rFonts w:ascii="Calibri Light" w:hAnsi="Calibri Light" w:cs="Calibri Light"/>
                <w:b w:val="0"/>
                <w:bCs w:val="0"/>
                <w:sz w:val="20"/>
                <w:szCs w:val="20"/>
                <w:lang w:eastAsia="en-AU"/>
              </w:rPr>
              <w:t>5</w:t>
            </w:r>
            <w:r w:rsidRPr="00E91AA9">
              <w:rPr>
                <w:rFonts w:ascii="Calibri Light" w:hAnsi="Calibri Light" w:cs="Calibri Light"/>
                <w:b w:val="0"/>
                <w:bCs w:val="0"/>
                <w:sz w:val="20"/>
                <w:szCs w:val="20"/>
                <w:lang w:eastAsia="en-AU"/>
              </w:rPr>
              <w:t xml:space="preserve">; Budget: $4.5m </w:t>
            </w:r>
          </w:p>
        </w:tc>
        <w:tc>
          <w:tcPr>
            <w:tcW w:w="1075" w:type="dxa"/>
            <w:tcBorders>
              <w:top w:val="nil"/>
            </w:tcBorders>
            <w:shd w:val="clear" w:color="auto" w:fill="F2F2F2" w:themeFill="background1" w:themeFillShade="F2"/>
            <w:hideMark/>
          </w:tcPr>
          <w:p w14:paraId="3B438BEF" w14:textId="77777777" w:rsidR="007463BC" w:rsidRPr="00E91AA9" w:rsidRDefault="007463BC" w:rsidP="00842F52">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202</w:t>
            </w:r>
            <w:r>
              <w:rPr>
                <w:rFonts w:ascii="Calibri Light" w:hAnsi="Calibri Light" w:cs="Calibri Light"/>
                <w:sz w:val="20"/>
                <w:szCs w:val="20"/>
                <w:lang w:eastAsia="en-AU"/>
              </w:rPr>
              <w:t>1</w:t>
            </w:r>
          </w:p>
        </w:tc>
        <w:tc>
          <w:tcPr>
            <w:tcW w:w="1272" w:type="dxa"/>
            <w:tcBorders>
              <w:top w:val="nil"/>
            </w:tcBorders>
            <w:shd w:val="clear" w:color="auto" w:fill="F2F2F2" w:themeFill="background1" w:themeFillShade="F2"/>
            <w:noWrap/>
            <w:hideMark/>
          </w:tcPr>
          <w:p w14:paraId="295C1830" w14:textId="77777777" w:rsidR="007463BC" w:rsidRPr="00E91AA9" w:rsidRDefault="007463BC" w:rsidP="00842F52">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4</w:t>
            </w:r>
          </w:p>
        </w:tc>
        <w:tc>
          <w:tcPr>
            <w:tcW w:w="1351" w:type="dxa"/>
            <w:tcBorders>
              <w:top w:val="nil"/>
            </w:tcBorders>
            <w:shd w:val="clear" w:color="auto" w:fill="F2F2F2" w:themeFill="background1" w:themeFillShade="F2"/>
            <w:noWrap/>
            <w:hideMark/>
          </w:tcPr>
          <w:p w14:paraId="4D18B69D" w14:textId="77777777" w:rsidR="007463BC" w:rsidRPr="00E91AA9" w:rsidRDefault="007463BC" w:rsidP="00842F52">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4</w:t>
            </w:r>
          </w:p>
        </w:tc>
        <w:tc>
          <w:tcPr>
            <w:tcW w:w="1508" w:type="dxa"/>
            <w:tcBorders>
              <w:top w:val="nil"/>
            </w:tcBorders>
            <w:shd w:val="clear" w:color="auto" w:fill="F2F2F2" w:themeFill="background1" w:themeFillShade="F2"/>
            <w:noWrap/>
            <w:hideMark/>
          </w:tcPr>
          <w:p w14:paraId="48228252" w14:textId="77777777" w:rsidR="007463BC" w:rsidRPr="00E91AA9" w:rsidRDefault="007463BC" w:rsidP="00842F52">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4</w:t>
            </w:r>
          </w:p>
        </w:tc>
      </w:tr>
    </w:tbl>
    <w:p w14:paraId="46FFCEAF" w14:textId="436A923A" w:rsidR="00E91AA9" w:rsidRPr="00E91AA9" w:rsidRDefault="00E91AA9" w:rsidP="00E91AA9">
      <w:pPr>
        <w:keepNext/>
        <w:keepLines/>
        <w:spacing w:before="240" w:after="120" w:line="240" w:lineRule="auto"/>
        <w:outlineLvl w:val="1"/>
        <w:rPr>
          <w:rFonts w:asciiTheme="majorHAnsi" w:eastAsiaTheme="majorEastAsia" w:hAnsiTheme="majorHAnsi" w:cstheme="majorBidi"/>
          <w:b/>
          <w:caps/>
          <w:szCs w:val="26"/>
        </w:rPr>
      </w:pPr>
      <w:bookmarkStart w:id="2" w:name="_Hlk116377605"/>
      <w:r w:rsidRPr="00E91AA9">
        <w:rPr>
          <w:rFonts w:asciiTheme="majorHAnsi" w:eastAsiaTheme="majorEastAsia" w:hAnsiTheme="majorHAnsi" w:cstheme="majorBidi"/>
          <w:b/>
          <w:caps/>
          <w:szCs w:val="26"/>
        </w:rPr>
        <w:t>Final Investment Performance ratings</w:t>
      </w:r>
    </w:p>
    <w:tbl>
      <w:tblPr>
        <w:tblStyle w:val="GridTable4-Accent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09"/>
        <w:gridCol w:w="1165"/>
        <w:gridCol w:w="1273"/>
        <w:gridCol w:w="1328"/>
        <w:gridCol w:w="1652"/>
      </w:tblGrid>
      <w:tr w:rsidR="00E91AA9" w:rsidRPr="00E91AA9" w14:paraId="273E5E8F" w14:textId="77777777" w:rsidTr="001356F8">
        <w:trPr>
          <w:cnfStyle w:val="100000000000" w:firstRow="1" w:lastRow="0" w:firstColumn="0" w:lastColumn="0" w:oddVBand="0" w:evenVBand="0" w:oddHBand="0" w:evenHBand="0" w:firstRowFirstColumn="0" w:firstRowLastColumn="0" w:lastRowFirstColumn="0" w:lastRowLastColumn="0"/>
          <w:trHeight w:val="228"/>
          <w:tblHeader/>
        </w:trPr>
        <w:tc>
          <w:tcPr>
            <w:cnfStyle w:val="001000000000" w:firstRow="0" w:lastRow="0" w:firstColumn="1" w:lastColumn="0" w:oddVBand="0" w:evenVBand="0" w:oddHBand="0" w:evenHBand="0" w:firstRowFirstColumn="0" w:firstRowLastColumn="0" w:lastRowFirstColumn="0" w:lastRowLastColumn="0"/>
            <w:tcW w:w="5209" w:type="dxa"/>
            <w:tcBorders>
              <w:top w:val="none" w:sz="0" w:space="0" w:color="auto"/>
              <w:left w:val="none" w:sz="0" w:space="0" w:color="auto"/>
              <w:right w:val="none" w:sz="0" w:space="0" w:color="auto"/>
            </w:tcBorders>
            <w:shd w:val="clear" w:color="auto" w:fill="A2DCD1" w:themeFill="accent1" w:themeFillTint="99"/>
            <w:noWrap/>
            <w:hideMark/>
          </w:tcPr>
          <w:p w14:paraId="5EA8E2AB" w14:textId="77777777" w:rsidR="00E91AA9" w:rsidRPr="00447D48" w:rsidRDefault="00E91AA9" w:rsidP="00E91AA9">
            <w:pPr>
              <w:spacing w:before="60"/>
              <w:jc w:val="center"/>
              <w:rPr>
                <w:rFonts w:ascii="Calibri Light" w:hAnsi="Calibri Light" w:cs="Calibri Light"/>
                <w:sz w:val="20"/>
                <w:szCs w:val="20"/>
                <w:lang w:val="en-AU" w:eastAsia="en-AU"/>
              </w:rPr>
            </w:pPr>
            <w:r w:rsidRPr="00447D48">
              <w:rPr>
                <w:rFonts w:ascii="Calibri Light" w:hAnsi="Calibri Light" w:cs="Calibri Light"/>
                <w:sz w:val="20"/>
                <w:szCs w:val="20"/>
                <w:lang w:eastAsia="en-AU"/>
              </w:rPr>
              <w:t>Investment Details</w:t>
            </w:r>
          </w:p>
        </w:tc>
        <w:tc>
          <w:tcPr>
            <w:tcW w:w="1165" w:type="dxa"/>
            <w:tcBorders>
              <w:top w:val="none" w:sz="0" w:space="0" w:color="auto"/>
              <w:left w:val="none" w:sz="0" w:space="0" w:color="auto"/>
              <w:right w:val="none" w:sz="0" w:space="0" w:color="auto"/>
            </w:tcBorders>
            <w:shd w:val="clear" w:color="auto" w:fill="A2DCD1" w:themeFill="accent1" w:themeFillTint="99"/>
            <w:noWrap/>
            <w:hideMark/>
          </w:tcPr>
          <w:p w14:paraId="100CA4D2" w14:textId="77777777" w:rsidR="00E91AA9" w:rsidRPr="00447D48" w:rsidRDefault="00E91AA9" w:rsidP="00E91AA9">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Year</w:t>
            </w:r>
          </w:p>
        </w:tc>
        <w:tc>
          <w:tcPr>
            <w:tcW w:w="1273" w:type="dxa"/>
            <w:tcBorders>
              <w:top w:val="none" w:sz="0" w:space="0" w:color="auto"/>
              <w:left w:val="none" w:sz="0" w:space="0" w:color="auto"/>
              <w:right w:val="none" w:sz="0" w:space="0" w:color="auto"/>
            </w:tcBorders>
            <w:shd w:val="clear" w:color="auto" w:fill="A2DCD1" w:themeFill="accent1" w:themeFillTint="99"/>
            <w:noWrap/>
            <w:hideMark/>
          </w:tcPr>
          <w:p w14:paraId="501BD8F1" w14:textId="77777777" w:rsidR="00E91AA9" w:rsidRPr="00447D48" w:rsidRDefault="00E91AA9" w:rsidP="00E91AA9">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Effectiveness</w:t>
            </w:r>
          </w:p>
        </w:tc>
        <w:tc>
          <w:tcPr>
            <w:tcW w:w="1328" w:type="dxa"/>
            <w:tcBorders>
              <w:top w:val="none" w:sz="0" w:space="0" w:color="auto"/>
              <w:left w:val="none" w:sz="0" w:space="0" w:color="auto"/>
              <w:right w:val="none" w:sz="0" w:space="0" w:color="auto"/>
            </w:tcBorders>
            <w:shd w:val="clear" w:color="auto" w:fill="A2DCD1" w:themeFill="accent1" w:themeFillTint="99"/>
            <w:noWrap/>
            <w:hideMark/>
          </w:tcPr>
          <w:p w14:paraId="575E686C" w14:textId="77777777" w:rsidR="00E91AA9" w:rsidRPr="00447D48" w:rsidRDefault="00E91AA9" w:rsidP="00E91AA9">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Efficiency</w:t>
            </w:r>
          </w:p>
        </w:tc>
        <w:tc>
          <w:tcPr>
            <w:tcW w:w="1652" w:type="dxa"/>
            <w:tcBorders>
              <w:top w:val="none" w:sz="0" w:space="0" w:color="auto"/>
              <w:left w:val="none" w:sz="0" w:space="0" w:color="auto"/>
              <w:right w:val="none" w:sz="0" w:space="0" w:color="auto"/>
            </w:tcBorders>
            <w:shd w:val="clear" w:color="auto" w:fill="A2DCD1" w:themeFill="accent1" w:themeFillTint="99"/>
            <w:noWrap/>
            <w:hideMark/>
          </w:tcPr>
          <w:p w14:paraId="5BD8CD07" w14:textId="1BE06BB0" w:rsidR="00E91AA9" w:rsidRPr="00447D48" w:rsidRDefault="00E91AA9" w:rsidP="00E91AA9">
            <w:pPr>
              <w:spacing w:before="60"/>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447D48">
              <w:rPr>
                <w:rFonts w:ascii="Calibri Light" w:hAnsi="Calibri Light" w:cs="Calibri Light"/>
                <w:sz w:val="20"/>
                <w:szCs w:val="20"/>
                <w:lang w:eastAsia="en-AU"/>
              </w:rPr>
              <w:t xml:space="preserve">Gender </w:t>
            </w:r>
            <w:r w:rsidR="00447D48">
              <w:rPr>
                <w:rFonts w:ascii="Calibri Light" w:hAnsi="Calibri Light" w:cs="Calibri Light"/>
                <w:sz w:val="20"/>
                <w:szCs w:val="20"/>
                <w:lang w:eastAsia="en-AU"/>
              </w:rPr>
              <w:t>Equality</w:t>
            </w:r>
          </w:p>
        </w:tc>
      </w:tr>
      <w:tr w:rsidR="00E91AA9" w:rsidRPr="00E91AA9" w14:paraId="0A6FB71F" w14:textId="77777777" w:rsidTr="001356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09" w:type="dxa"/>
            <w:tcBorders>
              <w:bottom w:val="nil"/>
            </w:tcBorders>
            <w:hideMark/>
          </w:tcPr>
          <w:p w14:paraId="1EBE65B3" w14:textId="332871FD" w:rsidR="00E91AA9" w:rsidRPr="00447D48" w:rsidRDefault="00CB23FF" w:rsidP="00E91AA9">
            <w:pPr>
              <w:spacing w:before="60"/>
              <w:rPr>
                <w:rFonts w:ascii="Calibri Light" w:hAnsi="Calibri Light" w:cs="Calibri Light"/>
                <w:sz w:val="20"/>
                <w:szCs w:val="20"/>
                <w:lang w:eastAsia="en-AU"/>
              </w:rPr>
            </w:pPr>
            <w:r w:rsidRPr="00447D48">
              <w:rPr>
                <w:rFonts w:ascii="Calibri Light" w:hAnsi="Calibri Light" w:cs="Calibri Light"/>
                <w:sz w:val="20"/>
                <w:szCs w:val="20"/>
                <w:lang w:eastAsia="en-AU"/>
              </w:rPr>
              <w:t>Basic Education Quality and Access in Laos</w:t>
            </w:r>
          </w:p>
        </w:tc>
        <w:tc>
          <w:tcPr>
            <w:tcW w:w="1165" w:type="dxa"/>
            <w:tcBorders>
              <w:bottom w:val="nil"/>
            </w:tcBorders>
            <w:hideMark/>
          </w:tcPr>
          <w:p w14:paraId="09503E07" w14:textId="05A3659F" w:rsidR="00E91AA9" w:rsidRPr="00E91AA9" w:rsidRDefault="00E91AA9"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202</w:t>
            </w:r>
            <w:r w:rsidR="00A953B9">
              <w:rPr>
                <w:rFonts w:ascii="Calibri Light" w:hAnsi="Calibri Light" w:cs="Calibri Light"/>
                <w:sz w:val="20"/>
                <w:szCs w:val="20"/>
                <w:lang w:eastAsia="en-AU"/>
              </w:rPr>
              <w:t>2</w:t>
            </w:r>
            <w:r w:rsidRPr="00E91AA9">
              <w:rPr>
                <w:rFonts w:ascii="Calibri Light" w:hAnsi="Calibri Light" w:cs="Calibri Light"/>
                <w:sz w:val="20"/>
                <w:szCs w:val="20"/>
                <w:lang w:eastAsia="en-AU"/>
              </w:rPr>
              <w:t xml:space="preserve"> FIMR</w:t>
            </w:r>
          </w:p>
        </w:tc>
        <w:tc>
          <w:tcPr>
            <w:tcW w:w="1273" w:type="dxa"/>
            <w:tcBorders>
              <w:bottom w:val="nil"/>
            </w:tcBorders>
            <w:noWrap/>
            <w:hideMark/>
          </w:tcPr>
          <w:p w14:paraId="66683648" w14:textId="77777777" w:rsidR="00E91AA9" w:rsidRPr="00E91AA9" w:rsidRDefault="00E91AA9"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4</w:t>
            </w:r>
          </w:p>
        </w:tc>
        <w:tc>
          <w:tcPr>
            <w:tcW w:w="1328" w:type="dxa"/>
            <w:tcBorders>
              <w:bottom w:val="nil"/>
            </w:tcBorders>
            <w:noWrap/>
            <w:hideMark/>
          </w:tcPr>
          <w:p w14:paraId="46F75AA6" w14:textId="0B2EF1F1" w:rsidR="00E91AA9" w:rsidRPr="00E91AA9" w:rsidRDefault="00CB23FF"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5</w:t>
            </w:r>
          </w:p>
        </w:tc>
        <w:tc>
          <w:tcPr>
            <w:tcW w:w="1652" w:type="dxa"/>
            <w:tcBorders>
              <w:bottom w:val="nil"/>
            </w:tcBorders>
            <w:noWrap/>
            <w:hideMark/>
          </w:tcPr>
          <w:p w14:paraId="1A5D5AC3" w14:textId="3AEDC8CF" w:rsidR="00E91AA9" w:rsidRPr="00E91AA9" w:rsidRDefault="00A953B9"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4</w:t>
            </w:r>
          </w:p>
        </w:tc>
      </w:tr>
      <w:tr w:rsidR="00E91AA9" w:rsidRPr="00E91AA9" w14:paraId="5144C148" w14:textId="77777777" w:rsidTr="001356F8">
        <w:trPr>
          <w:trHeight w:val="284"/>
        </w:trPr>
        <w:tc>
          <w:tcPr>
            <w:cnfStyle w:val="001000000000" w:firstRow="0" w:lastRow="0" w:firstColumn="1" w:lastColumn="0" w:oddVBand="0" w:evenVBand="0" w:oddHBand="0" w:evenHBand="0" w:firstRowFirstColumn="0" w:firstRowLastColumn="0" w:lastRowFirstColumn="0" w:lastRowLastColumn="0"/>
            <w:tcW w:w="5209" w:type="dxa"/>
            <w:tcBorders>
              <w:top w:val="nil"/>
              <w:bottom w:val="single" w:sz="4" w:space="0" w:color="65C5B4" w:themeColor="accent1"/>
            </w:tcBorders>
            <w:shd w:val="clear" w:color="auto" w:fill="E0F3EF" w:themeFill="accent1" w:themeFillTint="33"/>
            <w:hideMark/>
          </w:tcPr>
          <w:p w14:paraId="7AD0D04A" w14:textId="5A706D29" w:rsidR="00E91AA9" w:rsidRPr="00E91AA9" w:rsidRDefault="00E91AA9" w:rsidP="00E91AA9">
            <w:pPr>
              <w:spacing w:before="60"/>
              <w:ind w:firstLine="200"/>
              <w:rPr>
                <w:rFonts w:ascii="Calibri Light" w:hAnsi="Calibri Light" w:cs="Calibri Light"/>
                <w:sz w:val="20"/>
                <w:szCs w:val="20"/>
                <w:lang w:eastAsia="en-AU"/>
              </w:rPr>
            </w:pPr>
            <w:r w:rsidRPr="00E91AA9">
              <w:rPr>
                <w:rFonts w:ascii="Calibri Light" w:hAnsi="Calibri Light" w:cs="Calibri Light"/>
                <w:b w:val="0"/>
                <w:bCs w:val="0"/>
                <w:sz w:val="20"/>
                <w:szCs w:val="20"/>
                <w:lang w:eastAsia="en-AU"/>
              </w:rPr>
              <w:t>Investment duration: 201</w:t>
            </w:r>
            <w:r w:rsidR="00CB23FF">
              <w:rPr>
                <w:rFonts w:ascii="Calibri Light" w:hAnsi="Calibri Light" w:cs="Calibri Light"/>
                <w:b w:val="0"/>
                <w:bCs w:val="0"/>
                <w:sz w:val="20"/>
                <w:szCs w:val="20"/>
                <w:lang w:eastAsia="en-AU"/>
              </w:rPr>
              <w:t>4</w:t>
            </w:r>
            <w:r w:rsidRPr="00E91AA9">
              <w:rPr>
                <w:rFonts w:ascii="Calibri Light" w:hAnsi="Calibri Light" w:cs="Calibri Light"/>
                <w:b w:val="0"/>
                <w:bCs w:val="0"/>
                <w:sz w:val="20"/>
                <w:szCs w:val="20"/>
                <w:lang w:eastAsia="en-AU"/>
              </w:rPr>
              <w:t>-2021; Budget: $</w:t>
            </w:r>
            <w:r w:rsidR="00CB23FF">
              <w:rPr>
                <w:rFonts w:ascii="Calibri Light" w:hAnsi="Calibri Light" w:cs="Calibri Light"/>
                <w:b w:val="0"/>
                <w:bCs w:val="0"/>
                <w:sz w:val="20"/>
                <w:szCs w:val="20"/>
                <w:lang w:eastAsia="en-AU"/>
              </w:rPr>
              <w:t>64</w:t>
            </w:r>
            <w:r w:rsidRPr="00E91AA9">
              <w:rPr>
                <w:rFonts w:ascii="Calibri Light" w:hAnsi="Calibri Light" w:cs="Calibri Light"/>
                <w:b w:val="0"/>
                <w:bCs w:val="0"/>
                <w:sz w:val="20"/>
                <w:szCs w:val="20"/>
                <w:lang w:eastAsia="en-AU"/>
              </w:rPr>
              <w:t>.</w:t>
            </w:r>
            <w:r w:rsidR="00CB23FF">
              <w:rPr>
                <w:rFonts w:ascii="Calibri Light" w:hAnsi="Calibri Light" w:cs="Calibri Light"/>
                <w:b w:val="0"/>
                <w:bCs w:val="0"/>
                <w:sz w:val="20"/>
                <w:szCs w:val="20"/>
                <w:lang w:eastAsia="en-AU"/>
              </w:rPr>
              <w:t>5</w:t>
            </w:r>
            <w:r w:rsidRPr="00E91AA9">
              <w:rPr>
                <w:rFonts w:ascii="Calibri Light" w:hAnsi="Calibri Light" w:cs="Calibri Light"/>
                <w:b w:val="0"/>
                <w:bCs w:val="0"/>
                <w:sz w:val="20"/>
                <w:szCs w:val="20"/>
                <w:lang w:eastAsia="en-AU"/>
              </w:rPr>
              <w:t>m</w:t>
            </w:r>
          </w:p>
        </w:tc>
        <w:tc>
          <w:tcPr>
            <w:tcW w:w="1165" w:type="dxa"/>
            <w:tcBorders>
              <w:top w:val="nil"/>
              <w:bottom w:val="single" w:sz="4" w:space="0" w:color="65C5B4" w:themeColor="accent1"/>
            </w:tcBorders>
            <w:shd w:val="clear" w:color="auto" w:fill="E0F3EF" w:themeFill="accent1" w:themeFillTint="33"/>
            <w:hideMark/>
          </w:tcPr>
          <w:p w14:paraId="37D39148" w14:textId="7418093E" w:rsidR="00E91AA9" w:rsidRPr="00E91AA9" w:rsidRDefault="00993533" w:rsidP="00427697">
            <w:pPr>
              <w:spacing w:before="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AU" w:eastAsia="en-AU"/>
              </w:rPr>
            </w:pPr>
            <w:r>
              <w:rPr>
                <w:rFonts w:ascii="Calibri Light" w:hAnsi="Calibri Light" w:cs="Calibri Light"/>
                <w:sz w:val="20"/>
                <w:szCs w:val="20"/>
                <w:lang w:eastAsia="en-AU"/>
              </w:rPr>
              <w:t xml:space="preserve"> </w:t>
            </w:r>
            <w:r w:rsidR="00E91AA9" w:rsidRPr="00E91AA9">
              <w:rPr>
                <w:rFonts w:ascii="Calibri Light" w:hAnsi="Calibri Light" w:cs="Calibri Light"/>
                <w:sz w:val="20"/>
                <w:szCs w:val="20"/>
                <w:lang w:eastAsia="en-AU"/>
              </w:rPr>
              <w:t>202</w:t>
            </w:r>
            <w:r w:rsidR="00A953B9">
              <w:rPr>
                <w:rFonts w:ascii="Calibri Light" w:hAnsi="Calibri Light" w:cs="Calibri Light"/>
                <w:sz w:val="20"/>
                <w:szCs w:val="20"/>
                <w:lang w:eastAsia="en-AU"/>
              </w:rPr>
              <w:t>1</w:t>
            </w:r>
            <w:r w:rsidR="00E91AA9" w:rsidRPr="00E91AA9">
              <w:rPr>
                <w:rFonts w:ascii="Calibri Light" w:hAnsi="Calibri Light" w:cs="Calibri Light"/>
                <w:sz w:val="20"/>
                <w:szCs w:val="20"/>
                <w:lang w:eastAsia="en-AU"/>
              </w:rPr>
              <w:t xml:space="preserve"> IMR</w:t>
            </w:r>
          </w:p>
        </w:tc>
        <w:tc>
          <w:tcPr>
            <w:tcW w:w="1273" w:type="dxa"/>
            <w:tcBorders>
              <w:top w:val="nil"/>
              <w:bottom w:val="single" w:sz="4" w:space="0" w:color="65C5B4" w:themeColor="accent1"/>
            </w:tcBorders>
            <w:shd w:val="clear" w:color="auto" w:fill="E0F3EF" w:themeFill="accent1" w:themeFillTint="33"/>
            <w:noWrap/>
            <w:hideMark/>
          </w:tcPr>
          <w:p w14:paraId="4A794E4C" w14:textId="5E867FFF" w:rsidR="00E91AA9" w:rsidRPr="00E91AA9" w:rsidRDefault="00A953B9" w:rsidP="00E91AA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5</w:t>
            </w:r>
          </w:p>
        </w:tc>
        <w:tc>
          <w:tcPr>
            <w:tcW w:w="1328" w:type="dxa"/>
            <w:tcBorders>
              <w:top w:val="nil"/>
              <w:bottom w:val="single" w:sz="4" w:space="0" w:color="65C5B4" w:themeColor="accent1"/>
            </w:tcBorders>
            <w:shd w:val="clear" w:color="auto" w:fill="E0F3EF" w:themeFill="accent1" w:themeFillTint="33"/>
            <w:noWrap/>
            <w:hideMark/>
          </w:tcPr>
          <w:p w14:paraId="2ABD9CF7" w14:textId="593FB4C3" w:rsidR="00E91AA9" w:rsidRPr="00E91AA9" w:rsidRDefault="00A953B9" w:rsidP="00E91AA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5</w:t>
            </w:r>
          </w:p>
        </w:tc>
        <w:tc>
          <w:tcPr>
            <w:tcW w:w="1652" w:type="dxa"/>
            <w:tcBorders>
              <w:top w:val="nil"/>
              <w:bottom w:val="single" w:sz="4" w:space="0" w:color="65C5B4" w:themeColor="accent1"/>
            </w:tcBorders>
            <w:shd w:val="clear" w:color="auto" w:fill="E0F3EF" w:themeFill="accent1" w:themeFillTint="33"/>
            <w:noWrap/>
            <w:hideMark/>
          </w:tcPr>
          <w:p w14:paraId="473B8406" w14:textId="77777777" w:rsidR="00E91AA9" w:rsidRPr="00E91AA9" w:rsidRDefault="00E91AA9" w:rsidP="00E91AA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5</w:t>
            </w:r>
          </w:p>
        </w:tc>
      </w:tr>
      <w:tr w:rsidR="00E91AA9" w:rsidRPr="00E91AA9" w14:paraId="09BE8814" w14:textId="77777777" w:rsidTr="001356F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09" w:type="dxa"/>
            <w:tcBorders>
              <w:bottom w:val="nil"/>
            </w:tcBorders>
            <w:shd w:val="clear" w:color="auto" w:fill="F2F2F2" w:themeFill="background1" w:themeFillShade="F2"/>
            <w:hideMark/>
          </w:tcPr>
          <w:p w14:paraId="55B7BE99" w14:textId="11E93B4B" w:rsidR="00E91AA9" w:rsidRPr="00447D48" w:rsidRDefault="00876382" w:rsidP="00E91AA9">
            <w:pPr>
              <w:spacing w:before="60"/>
              <w:rPr>
                <w:rFonts w:ascii="Calibri" w:hAnsi="Calibri" w:cs="Calibri"/>
                <w:sz w:val="20"/>
                <w:szCs w:val="20"/>
                <w:lang w:eastAsia="en-AU"/>
              </w:rPr>
            </w:pPr>
            <w:bookmarkStart w:id="3" w:name="_Hlk115076950"/>
            <w:r w:rsidRPr="00447D48">
              <w:rPr>
                <w:rFonts w:ascii="Calibri" w:hAnsi="Calibri" w:cs="Calibri"/>
                <w:sz w:val="20"/>
                <w:szCs w:val="20"/>
                <w:lang w:eastAsia="en-AU"/>
              </w:rPr>
              <w:t>Microfinance V</w:t>
            </w:r>
            <w:bookmarkEnd w:id="3"/>
            <w:r w:rsidRPr="00447D48">
              <w:rPr>
                <w:rFonts w:ascii="Calibri" w:hAnsi="Calibri" w:cs="Calibri"/>
                <w:sz w:val="20"/>
                <w:szCs w:val="20"/>
                <w:lang w:eastAsia="en-AU"/>
              </w:rPr>
              <w:t xml:space="preserve"> – Access to Finance for the Poor </w:t>
            </w:r>
          </w:p>
        </w:tc>
        <w:tc>
          <w:tcPr>
            <w:tcW w:w="1165" w:type="dxa"/>
            <w:tcBorders>
              <w:bottom w:val="nil"/>
            </w:tcBorders>
            <w:shd w:val="clear" w:color="auto" w:fill="F2F2F2" w:themeFill="background1" w:themeFillShade="F2"/>
            <w:hideMark/>
          </w:tcPr>
          <w:p w14:paraId="0517CC73" w14:textId="7D674A8C" w:rsidR="00E91AA9" w:rsidRPr="00E91AA9" w:rsidRDefault="00E91AA9"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202</w:t>
            </w:r>
            <w:r w:rsidR="00876382">
              <w:rPr>
                <w:rFonts w:ascii="Calibri Light" w:hAnsi="Calibri Light" w:cs="Calibri Light"/>
                <w:sz w:val="20"/>
                <w:szCs w:val="20"/>
                <w:lang w:eastAsia="en-AU"/>
              </w:rPr>
              <w:t>2</w:t>
            </w:r>
            <w:r w:rsidRPr="00E91AA9">
              <w:rPr>
                <w:rFonts w:ascii="Calibri Light" w:hAnsi="Calibri Light" w:cs="Calibri Light"/>
                <w:sz w:val="20"/>
                <w:szCs w:val="20"/>
                <w:lang w:eastAsia="en-AU"/>
              </w:rPr>
              <w:t xml:space="preserve"> FIMR</w:t>
            </w:r>
          </w:p>
        </w:tc>
        <w:tc>
          <w:tcPr>
            <w:tcW w:w="1273" w:type="dxa"/>
            <w:tcBorders>
              <w:bottom w:val="nil"/>
            </w:tcBorders>
            <w:shd w:val="clear" w:color="auto" w:fill="F2F2F2" w:themeFill="background1" w:themeFillShade="F2"/>
            <w:noWrap/>
            <w:hideMark/>
          </w:tcPr>
          <w:p w14:paraId="7D0B1B96" w14:textId="67920A8B" w:rsidR="00E91AA9" w:rsidRPr="00E91AA9" w:rsidRDefault="00876382"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val="en-AU" w:eastAsia="en-AU"/>
              </w:rPr>
            </w:pPr>
            <w:r>
              <w:rPr>
                <w:rFonts w:ascii="Calibri Light" w:hAnsi="Calibri Light" w:cs="Calibri Light"/>
                <w:sz w:val="20"/>
                <w:szCs w:val="20"/>
                <w:lang w:eastAsia="en-AU"/>
              </w:rPr>
              <w:t>2</w:t>
            </w:r>
          </w:p>
        </w:tc>
        <w:tc>
          <w:tcPr>
            <w:tcW w:w="1328" w:type="dxa"/>
            <w:tcBorders>
              <w:bottom w:val="nil"/>
            </w:tcBorders>
            <w:shd w:val="clear" w:color="auto" w:fill="F2F2F2" w:themeFill="background1" w:themeFillShade="F2"/>
            <w:noWrap/>
            <w:hideMark/>
          </w:tcPr>
          <w:p w14:paraId="2E2E3218" w14:textId="1365F4AE" w:rsidR="00E91AA9" w:rsidRPr="00E91AA9" w:rsidRDefault="00876382"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2</w:t>
            </w:r>
          </w:p>
        </w:tc>
        <w:tc>
          <w:tcPr>
            <w:tcW w:w="1652" w:type="dxa"/>
            <w:tcBorders>
              <w:bottom w:val="nil"/>
            </w:tcBorders>
            <w:shd w:val="clear" w:color="auto" w:fill="F2F2F2" w:themeFill="background1" w:themeFillShade="F2"/>
            <w:noWrap/>
            <w:hideMark/>
          </w:tcPr>
          <w:p w14:paraId="3D448C13" w14:textId="455BD8E9" w:rsidR="00E91AA9" w:rsidRPr="00E91AA9" w:rsidRDefault="00876382" w:rsidP="00E91AA9">
            <w:pPr>
              <w:spacing w:before="60"/>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2</w:t>
            </w:r>
          </w:p>
        </w:tc>
      </w:tr>
      <w:tr w:rsidR="00E91AA9" w:rsidRPr="00E91AA9" w14:paraId="39E88B21" w14:textId="77777777" w:rsidTr="001356F8">
        <w:trPr>
          <w:trHeight w:val="284"/>
        </w:trPr>
        <w:tc>
          <w:tcPr>
            <w:cnfStyle w:val="001000000000" w:firstRow="0" w:lastRow="0" w:firstColumn="1" w:lastColumn="0" w:oddVBand="0" w:evenVBand="0" w:oddHBand="0" w:evenHBand="0" w:firstRowFirstColumn="0" w:firstRowLastColumn="0" w:lastRowFirstColumn="0" w:lastRowLastColumn="0"/>
            <w:tcW w:w="5209" w:type="dxa"/>
            <w:tcBorders>
              <w:top w:val="nil"/>
            </w:tcBorders>
            <w:shd w:val="clear" w:color="auto" w:fill="F2F2F2" w:themeFill="background1" w:themeFillShade="F2"/>
            <w:hideMark/>
          </w:tcPr>
          <w:p w14:paraId="6D770C34" w14:textId="5440F128" w:rsidR="00E91AA9" w:rsidRPr="00E91AA9" w:rsidRDefault="00E91AA9" w:rsidP="00E91AA9">
            <w:pPr>
              <w:spacing w:before="60"/>
              <w:ind w:firstLine="200"/>
              <w:rPr>
                <w:rFonts w:ascii="Calibri Light" w:hAnsi="Calibri Light" w:cs="Calibri Light"/>
                <w:sz w:val="20"/>
                <w:szCs w:val="20"/>
                <w:lang w:eastAsia="en-AU"/>
              </w:rPr>
            </w:pPr>
            <w:r w:rsidRPr="00E91AA9">
              <w:rPr>
                <w:rFonts w:ascii="Calibri Light" w:hAnsi="Calibri Light" w:cs="Calibri Light"/>
                <w:b w:val="0"/>
                <w:bCs w:val="0"/>
                <w:sz w:val="20"/>
                <w:szCs w:val="20"/>
                <w:lang w:eastAsia="en-AU"/>
              </w:rPr>
              <w:t>Investment duration: 201</w:t>
            </w:r>
            <w:r w:rsidR="00876382">
              <w:rPr>
                <w:rFonts w:ascii="Calibri Light" w:hAnsi="Calibri Light" w:cs="Calibri Light"/>
                <w:b w:val="0"/>
                <w:bCs w:val="0"/>
                <w:sz w:val="20"/>
                <w:szCs w:val="20"/>
                <w:lang w:eastAsia="en-AU"/>
              </w:rPr>
              <w:t>8</w:t>
            </w:r>
            <w:r w:rsidRPr="00E91AA9">
              <w:rPr>
                <w:rFonts w:ascii="Calibri Light" w:hAnsi="Calibri Light" w:cs="Calibri Light"/>
                <w:b w:val="0"/>
                <w:bCs w:val="0"/>
                <w:sz w:val="20"/>
                <w:szCs w:val="20"/>
                <w:lang w:eastAsia="en-AU"/>
              </w:rPr>
              <w:t>-2021; Budget: $</w:t>
            </w:r>
            <w:r w:rsidR="00876382">
              <w:rPr>
                <w:rFonts w:ascii="Calibri Light" w:hAnsi="Calibri Light" w:cs="Calibri Light"/>
                <w:b w:val="0"/>
                <w:bCs w:val="0"/>
                <w:sz w:val="20"/>
                <w:szCs w:val="20"/>
                <w:lang w:eastAsia="en-AU"/>
              </w:rPr>
              <w:t>3</w:t>
            </w:r>
            <w:r w:rsidRPr="00E91AA9">
              <w:rPr>
                <w:rFonts w:ascii="Calibri Light" w:hAnsi="Calibri Light" w:cs="Calibri Light"/>
                <w:b w:val="0"/>
                <w:bCs w:val="0"/>
                <w:sz w:val="20"/>
                <w:szCs w:val="20"/>
                <w:lang w:eastAsia="en-AU"/>
              </w:rPr>
              <w:t>.</w:t>
            </w:r>
            <w:r w:rsidR="00876382">
              <w:rPr>
                <w:rFonts w:ascii="Calibri Light" w:hAnsi="Calibri Light" w:cs="Calibri Light"/>
                <w:b w:val="0"/>
                <w:bCs w:val="0"/>
                <w:sz w:val="20"/>
                <w:szCs w:val="20"/>
                <w:lang w:eastAsia="en-AU"/>
              </w:rPr>
              <w:t>2</w:t>
            </w:r>
            <w:r w:rsidRPr="00E91AA9">
              <w:rPr>
                <w:rFonts w:ascii="Calibri Light" w:hAnsi="Calibri Light" w:cs="Calibri Light"/>
                <w:b w:val="0"/>
                <w:bCs w:val="0"/>
                <w:sz w:val="20"/>
                <w:szCs w:val="20"/>
                <w:lang w:eastAsia="en-AU"/>
              </w:rPr>
              <w:t>m</w:t>
            </w:r>
          </w:p>
        </w:tc>
        <w:tc>
          <w:tcPr>
            <w:tcW w:w="1165" w:type="dxa"/>
            <w:tcBorders>
              <w:top w:val="nil"/>
            </w:tcBorders>
            <w:shd w:val="clear" w:color="auto" w:fill="F2F2F2" w:themeFill="background1" w:themeFillShade="F2"/>
            <w:hideMark/>
          </w:tcPr>
          <w:p w14:paraId="0B1C15CA" w14:textId="59277C05" w:rsidR="00E91AA9" w:rsidRPr="00E91AA9" w:rsidRDefault="00993533" w:rsidP="00633CA9">
            <w:pPr>
              <w:spacing w:before="6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 xml:space="preserve"> </w:t>
            </w:r>
            <w:r w:rsidR="00E91AA9" w:rsidRPr="00E91AA9">
              <w:rPr>
                <w:rFonts w:ascii="Calibri Light" w:hAnsi="Calibri Light" w:cs="Calibri Light"/>
                <w:sz w:val="20"/>
                <w:szCs w:val="20"/>
                <w:lang w:eastAsia="en-AU"/>
              </w:rPr>
              <w:t>202</w:t>
            </w:r>
            <w:r w:rsidR="00876382">
              <w:rPr>
                <w:rFonts w:ascii="Calibri Light" w:hAnsi="Calibri Light" w:cs="Calibri Light"/>
                <w:sz w:val="20"/>
                <w:szCs w:val="20"/>
                <w:lang w:eastAsia="en-AU"/>
              </w:rPr>
              <w:t>1</w:t>
            </w:r>
            <w:r w:rsidR="00E91AA9" w:rsidRPr="00E91AA9">
              <w:rPr>
                <w:rFonts w:ascii="Calibri Light" w:hAnsi="Calibri Light" w:cs="Calibri Light"/>
                <w:sz w:val="20"/>
                <w:szCs w:val="20"/>
                <w:lang w:eastAsia="en-AU"/>
              </w:rPr>
              <w:t xml:space="preserve"> IMR</w:t>
            </w:r>
          </w:p>
        </w:tc>
        <w:tc>
          <w:tcPr>
            <w:tcW w:w="1273" w:type="dxa"/>
            <w:tcBorders>
              <w:top w:val="nil"/>
            </w:tcBorders>
            <w:shd w:val="clear" w:color="auto" w:fill="F2F2F2" w:themeFill="background1" w:themeFillShade="F2"/>
            <w:noWrap/>
            <w:hideMark/>
          </w:tcPr>
          <w:p w14:paraId="4F7C9344" w14:textId="77777777" w:rsidR="00E91AA9" w:rsidRPr="00E91AA9" w:rsidRDefault="00E91AA9" w:rsidP="00E91AA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val="en-AU" w:eastAsia="en-AU"/>
              </w:rPr>
            </w:pPr>
            <w:r w:rsidRPr="00E91AA9">
              <w:rPr>
                <w:rFonts w:ascii="Calibri Light" w:hAnsi="Calibri Light" w:cs="Calibri Light"/>
                <w:sz w:val="20"/>
                <w:szCs w:val="20"/>
                <w:lang w:eastAsia="en-AU"/>
              </w:rPr>
              <w:t>4</w:t>
            </w:r>
          </w:p>
        </w:tc>
        <w:tc>
          <w:tcPr>
            <w:tcW w:w="1328" w:type="dxa"/>
            <w:tcBorders>
              <w:top w:val="nil"/>
            </w:tcBorders>
            <w:shd w:val="clear" w:color="auto" w:fill="F2F2F2" w:themeFill="background1" w:themeFillShade="F2"/>
            <w:noWrap/>
            <w:hideMark/>
          </w:tcPr>
          <w:p w14:paraId="792A69F9" w14:textId="77777777" w:rsidR="00E91AA9" w:rsidRPr="00E91AA9" w:rsidRDefault="00E91AA9" w:rsidP="00E91AA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sidRPr="00E91AA9">
              <w:rPr>
                <w:rFonts w:ascii="Calibri Light" w:hAnsi="Calibri Light" w:cs="Calibri Light"/>
                <w:sz w:val="20"/>
                <w:szCs w:val="20"/>
                <w:lang w:eastAsia="en-AU"/>
              </w:rPr>
              <w:t>4</w:t>
            </w:r>
          </w:p>
        </w:tc>
        <w:tc>
          <w:tcPr>
            <w:tcW w:w="1652" w:type="dxa"/>
            <w:tcBorders>
              <w:top w:val="nil"/>
            </w:tcBorders>
            <w:shd w:val="clear" w:color="auto" w:fill="F2F2F2" w:themeFill="background1" w:themeFillShade="F2"/>
            <w:noWrap/>
            <w:hideMark/>
          </w:tcPr>
          <w:p w14:paraId="6B30603A" w14:textId="12ACE38F" w:rsidR="00E91AA9" w:rsidRPr="00E91AA9" w:rsidRDefault="00E54F1B" w:rsidP="00E91AA9">
            <w:pPr>
              <w:spacing w:before="60"/>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lang w:eastAsia="en-AU"/>
              </w:rPr>
            </w:pPr>
            <w:r>
              <w:rPr>
                <w:rFonts w:ascii="Calibri Light" w:hAnsi="Calibri Light" w:cs="Calibri Light"/>
                <w:sz w:val="20"/>
                <w:szCs w:val="20"/>
                <w:lang w:eastAsia="en-AU"/>
              </w:rPr>
              <w:t>4</w:t>
            </w:r>
          </w:p>
        </w:tc>
      </w:tr>
    </w:tbl>
    <w:bookmarkEnd w:id="2"/>
    <w:p w14:paraId="2DE554C1" w14:textId="25C4EA49" w:rsidR="00FD710F" w:rsidRDefault="00FD710F" w:rsidP="00345038">
      <w:pPr>
        <w:pStyle w:val="Heading2"/>
      </w:pPr>
      <w:r>
        <w:t>HUMANITARIAN I</w:t>
      </w:r>
      <w:r w:rsidRPr="00D1231A">
        <w:t>nvestment Performance</w:t>
      </w:r>
      <w:r>
        <w:t xml:space="preserve"> ratings  </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240"/>
        <w:gridCol w:w="1134"/>
        <w:gridCol w:w="1276"/>
        <w:gridCol w:w="1276"/>
        <w:gridCol w:w="1701"/>
      </w:tblGrid>
      <w:tr w:rsidR="00FD710F" w:rsidRPr="00AF18F4" w14:paraId="06C6B937" w14:textId="77777777" w:rsidTr="001356F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tcBorders>
            <w:shd w:val="clear" w:color="auto" w:fill="A2DCD1" w:themeFill="accent1" w:themeFillTint="99"/>
            <w:noWrap/>
            <w:hideMark/>
          </w:tcPr>
          <w:p w14:paraId="51F13FFC" w14:textId="77777777" w:rsidR="00FD710F" w:rsidRPr="005736BB" w:rsidRDefault="00FD710F" w:rsidP="00570196">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tcBorders>
              <w:top w:val="none" w:sz="0" w:space="0" w:color="auto"/>
            </w:tcBorders>
            <w:shd w:val="clear" w:color="auto" w:fill="A2DCD1" w:themeFill="accent1" w:themeFillTint="99"/>
            <w:noWrap/>
            <w:hideMark/>
          </w:tcPr>
          <w:p w14:paraId="2F309884" w14:textId="77777777" w:rsidR="00FD710F" w:rsidRPr="005736BB" w:rsidRDefault="00FD710F" w:rsidP="0057019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tcBorders>
              <w:top w:val="none" w:sz="0" w:space="0" w:color="auto"/>
            </w:tcBorders>
            <w:shd w:val="clear" w:color="auto" w:fill="A2DCD1" w:themeFill="accent1" w:themeFillTint="99"/>
            <w:noWrap/>
            <w:hideMark/>
          </w:tcPr>
          <w:p w14:paraId="7657BDFE" w14:textId="77777777" w:rsidR="00FD710F" w:rsidRPr="005736BB" w:rsidRDefault="00FD710F" w:rsidP="0057019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276" w:type="dxa"/>
            <w:tcBorders>
              <w:top w:val="none" w:sz="0" w:space="0" w:color="auto"/>
            </w:tcBorders>
            <w:shd w:val="clear" w:color="auto" w:fill="A2DCD1" w:themeFill="accent1" w:themeFillTint="99"/>
            <w:noWrap/>
            <w:hideMark/>
          </w:tcPr>
          <w:p w14:paraId="1F20A266" w14:textId="77777777" w:rsidR="00FD710F" w:rsidRPr="005736BB" w:rsidRDefault="00FD710F" w:rsidP="0057019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701" w:type="dxa"/>
            <w:tcBorders>
              <w:top w:val="none" w:sz="0" w:space="0" w:color="auto"/>
            </w:tcBorders>
            <w:shd w:val="clear" w:color="auto" w:fill="A2DCD1" w:themeFill="accent1" w:themeFillTint="99"/>
            <w:noWrap/>
            <w:hideMark/>
          </w:tcPr>
          <w:p w14:paraId="4202F6E6" w14:textId="77777777" w:rsidR="00FD710F" w:rsidRPr="005736BB" w:rsidRDefault="00FD710F" w:rsidP="00570196">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FD710F" w:rsidRPr="00AF18F4" w14:paraId="5AD38D57" w14:textId="77777777" w:rsidTr="001356F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bottom w:val="nil"/>
            </w:tcBorders>
            <w:shd w:val="clear" w:color="auto" w:fill="F2F2F2" w:themeFill="background1" w:themeFillShade="F2"/>
            <w:vAlign w:val="center"/>
          </w:tcPr>
          <w:p w14:paraId="10BC166D" w14:textId="4BCB8F86" w:rsidR="00FD710F" w:rsidRPr="00CA5021" w:rsidRDefault="00461D35" w:rsidP="00993533">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447D48">
              <w:rPr>
                <w:rFonts w:ascii="Calibri Light" w:hAnsi="Calibri Light" w:cs="Calibri Light"/>
                <w:b/>
                <w:bCs/>
                <w:sz w:val="20"/>
                <w:szCs w:val="20"/>
                <w:lang w:eastAsia="en-AU"/>
              </w:rPr>
              <w:t>Humanitarian and Health COVID-19</w:t>
            </w:r>
            <w:r w:rsidRPr="00993533">
              <w:rPr>
                <w:rFonts w:ascii="Calibri Light" w:hAnsi="Calibri Light" w:cs="Calibri Light"/>
                <w:b/>
                <w:bCs/>
                <w:sz w:val="20"/>
                <w:szCs w:val="20"/>
                <w:lang w:eastAsia="en-AU"/>
              </w:rPr>
              <w:t xml:space="preserve"> Response</w:t>
            </w:r>
          </w:p>
        </w:tc>
        <w:tc>
          <w:tcPr>
            <w:tcW w:w="1134" w:type="dxa"/>
            <w:tcBorders>
              <w:top w:val="none" w:sz="0" w:space="0" w:color="auto"/>
              <w:bottom w:val="nil"/>
            </w:tcBorders>
            <w:shd w:val="clear" w:color="auto" w:fill="F2F2F2" w:themeFill="background1" w:themeFillShade="F2"/>
            <w:vAlign w:val="center"/>
            <w:hideMark/>
          </w:tcPr>
          <w:p w14:paraId="1AB503DB" w14:textId="18C2B429" w:rsidR="00FD710F" w:rsidRPr="00A83146" w:rsidRDefault="00FD710F"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eastAsia="en-AU"/>
              </w:rPr>
              <w:t>202</w:t>
            </w:r>
            <w:r w:rsidR="00ED179A" w:rsidRPr="00A83146">
              <w:rPr>
                <w:rFonts w:asciiTheme="minorHAnsi" w:eastAsia="Times New Roman" w:hAnsiTheme="minorHAnsi" w:cstheme="minorHAnsi"/>
                <w:sz w:val="20"/>
                <w:szCs w:val="20"/>
                <w:lang w:eastAsia="en-AU"/>
              </w:rPr>
              <w:t>2</w:t>
            </w:r>
            <w:r w:rsidRPr="00A83146">
              <w:rPr>
                <w:rFonts w:asciiTheme="minorHAnsi" w:eastAsia="Times New Roman" w:hAnsiTheme="minorHAnsi" w:cstheme="minorHAnsi"/>
                <w:sz w:val="20"/>
                <w:szCs w:val="20"/>
                <w:lang w:eastAsia="en-AU"/>
              </w:rPr>
              <w:t xml:space="preserve"> </w:t>
            </w:r>
            <w:r w:rsidR="00F32F70" w:rsidRPr="00A83146">
              <w:rPr>
                <w:rFonts w:asciiTheme="minorHAnsi" w:eastAsia="Times New Roman" w:hAnsiTheme="minorHAnsi" w:cstheme="minorHAnsi"/>
                <w:sz w:val="20"/>
                <w:szCs w:val="20"/>
                <w:lang w:eastAsia="en-AU"/>
              </w:rPr>
              <w:t>HIMR</w:t>
            </w:r>
          </w:p>
        </w:tc>
        <w:tc>
          <w:tcPr>
            <w:tcW w:w="1276" w:type="dxa"/>
            <w:tcBorders>
              <w:top w:val="none" w:sz="0" w:space="0" w:color="auto"/>
              <w:bottom w:val="nil"/>
            </w:tcBorders>
            <w:shd w:val="clear" w:color="auto" w:fill="F2F2F2" w:themeFill="background1" w:themeFillShade="F2"/>
            <w:noWrap/>
            <w:vAlign w:val="center"/>
            <w:hideMark/>
          </w:tcPr>
          <w:p w14:paraId="2D619B23" w14:textId="501AD028" w:rsidR="00FD710F" w:rsidRPr="00A83146" w:rsidRDefault="004716CD"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val="en-AU" w:eastAsia="en-AU"/>
              </w:rPr>
              <w:t>4</w:t>
            </w:r>
          </w:p>
        </w:tc>
        <w:tc>
          <w:tcPr>
            <w:tcW w:w="1276" w:type="dxa"/>
            <w:tcBorders>
              <w:top w:val="none" w:sz="0" w:space="0" w:color="auto"/>
              <w:bottom w:val="nil"/>
            </w:tcBorders>
            <w:shd w:val="clear" w:color="auto" w:fill="F2F2F2" w:themeFill="background1" w:themeFillShade="F2"/>
            <w:noWrap/>
            <w:vAlign w:val="center"/>
            <w:hideMark/>
          </w:tcPr>
          <w:p w14:paraId="1489587F" w14:textId="1D2DDB5C" w:rsidR="00FD710F" w:rsidRPr="00A83146" w:rsidRDefault="004716CD"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eastAsia="en-AU"/>
              </w:rPr>
              <w:t>3</w:t>
            </w:r>
          </w:p>
        </w:tc>
        <w:tc>
          <w:tcPr>
            <w:tcW w:w="1701" w:type="dxa"/>
            <w:tcBorders>
              <w:top w:val="none" w:sz="0" w:space="0" w:color="auto"/>
              <w:bottom w:val="nil"/>
            </w:tcBorders>
            <w:shd w:val="clear" w:color="auto" w:fill="F2F2F2" w:themeFill="background1" w:themeFillShade="F2"/>
            <w:noWrap/>
            <w:vAlign w:val="center"/>
            <w:hideMark/>
          </w:tcPr>
          <w:p w14:paraId="7414BE40" w14:textId="0C89F559" w:rsidR="00FD710F" w:rsidRPr="00A83146" w:rsidRDefault="004716CD"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eastAsia="en-AU"/>
              </w:rPr>
              <w:t>4</w:t>
            </w:r>
          </w:p>
        </w:tc>
      </w:tr>
      <w:tr w:rsidR="00FD710F" w:rsidRPr="00AF18F4" w14:paraId="7509BD38" w14:textId="77777777" w:rsidTr="001356F8">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240" w:type="dxa"/>
            <w:tcBorders>
              <w:top w:val="nil"/>
              <w:bottom w:val="none" w:sz="0" w:space="0" w:color="auto"/>
            </w:tcBorders>
            <w:shd w:val="clear" w:color="auto" w:fill="F2F2F2" w:themeFill="background1" w:themeFillShade="F2"/>
            <w:vAlign w:val="center"/>
          </w:tcPr>
          <w:p w14:paraId="00E2389F" w14:textId="73BDD27D" w:rsidR="00FD710F" w:rsidRPr="00CA5021" w:rsidRDefault="00C93F9B" w:rsidP="00993533">
            <w:pPr>
              <w:spacing w:before="0" w:after="0" w:line="240" w:lineRule="auto"/>
              <w:ind w:firstLine="200"/>
              <w:rPr>
                <w:rFonts w:asciiTheme="minorHAnsi" w:eastAsia="Times New Roman" w:hAnsiTheme="minorHAnsi" w:cstheme="minorHAnsi"/>
                <w:color w:val="404040"/>
                <w:sz w:val="20"/>
                <w:szCs w:val="20"/>
                <w:lang w:val="en-AU" w:eastAsia="en-AU"/>
              </w:rPr>
            </w:pPr>
            <w:r w:rsidRPr="004716CD">
              <w:rPr>
                <w:rFonts w:asciiTheme="minorHAnsi" w:eastAsia="Times New Roman" w:hAnsiTheme="minorHAnsi" w:cstheme="minorHAnsi"/>
                <w:color w:val="404040"/>
                <w:sz w:val="20"/>
                <w:szCs w:val="20"/>
                <w:lang w:val="en-AU" w:eastAsia="en-AU"/>
              </w:rPr>
              <w:t>Investment duration: 2020-2023; Budget: $8.5m</w:t>
            </w:r>
          </w:p>
        </w:tc>
        <w:tc>
          <w:tcPr>
            <w:tcW w:w="1134" w:type="dxa"/>
            <w:tcBorders>
              <w:top w:val="nil"/>
              <w:bottom w:val="none" w:sz="0" w:space="0" w:color="auto"/>
            </w:tcBorders>
            <w:shd w:val="clear" w:color="auto" w:fill="F2F2F2" w:themeFill="background1" w:themeFillShade="F2"/>
            <w:vAlign w:val="center"/>
            <w:hideMark/>
          </w:tcPr>
          <w:p w14:paraId="01A2E277" w14:textId="472BCDDD" w:rsidR="00FD710F" w:rsidRPr="00A83146" w:rsidRDefault="00FD710F"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eastAsia="en-AU"/>
              </w:rPr>
              <w:t>202</w:t>
            </w:r>
            <w:r w:rsidR="00ED179A" w:rsidRPr="00A83146">
              <w:rPr>
                <w:rFonts w:asciiTheme="minorHAnsi" w:eastAsia="Times New Roman" w:hAnsiTheme="minorHAnsi" w:cstheme="minorHAnsi"/>
                <w:sz w:val="20"/>
                <w:szCs w:val="20"/>
                <w:lang w:eastAsia="en-AU"/>
              </w:rPr>
              <w:t>1</w:t>
            </w:r>
            <w:r w:rsidRPr="00A83146">
              <w:rPr>
                <w:rFonts w:asciiTheme="minorHAnsi" w:eastAsia="Times New Roman" w:hAnsiTheme="minorHAnsi" w:cstheme="minorHAnsi"/>
                <w:sz w:val="20"/>
                <w:szCs w:val="20"/>
                <w:lang w:eastAsia="en-AU"/>
              </w:rPr>
              <w:t xml:space="preserve"> </w:t>
            </w:r>
            <w:r w:rsidR="00F32F70" w:rsidRPr="00A83146">
              <w:rPr>
                <w:rFonts w:asciiTheme="minorHAnsi" w:eastAsia="Times New Roman" w:hAnsiTheme="minorHAnsi" w:cstheme="minorHAnsi"/>
                <w:sz w:val="20"/>
                <w:szCs w:val="20"/>
                <w:lang w:eastAsia="en-AU"/>
              </w:rPr>
              <w:t>HIMR</w:t>
            </w:r>
          </w:p>
        </w:tc>
        <w:tc>
          <w:tcPr>
            <w:tcW w:w="1276" w:type="dxa"/>
            <w:tcBorders>
              <w:top w:val="nil"/>
              <w:bottom w:val="none" w:sz="0" w:space="0" w:color="auto"/>
            </w:tcBorders>
            <w:shd w:val="clear" w:color="auto" w:fill="F2F2F2" w:themeFill="background1" w:themeFillShade="F2"/>
            <w:noWrap/>
            <w:vAlign w:val="center"/>
            <w:hideMark/>
          </w:tcPr>
          <w:p w14:paraId="60D69345" w14:textId="49B9AF6D" w:rsidR="00FD710F" w:rsidRPr="00A83146" w:rsidRDefault="004716CD"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val="en-AU" w:eastAsia="en-AU"/>
              </w:rPr>
              <w:t>4</w:t>
            </w:r>
          </w:p>
        </w:tc>
        <w:tc>
          <w:tcPr>
            <w:tcW w:w="1276" w:type="dxa"/>
            <w:tcBorders>
              <w:top w:val="nil"/>
              <w:bottom w:val="none" w:sz="0" w:space="0" w:color="auto"/>
            </w:tcBorders>
            <w:shd w:val="clear" w:color="auto" w:fill="F2F2F2" w:themeFill="background1" w:themeFillShade="F2"/>
            <w:noWrap/>
            <w:vAlign w:val="center"/>
            <w:hideMark/>
          </w:tcPr>
          <w:p w14:paraId="22DCB191" w14:textId="5344B925" w:rsidR="00FD710F" w:rsidRPr="00A83146" w:rsidRDefault="004716CD"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val="en-AU" w:eastAsia="en-AU"/>
              </w:rPr>
              <w:t>3</w:t>
            </w:r>
          </w:p>
        </w:tc>
        <w:tc>
          <w:tcPr>
            <w:tcW w:w="1701" w:type="dxa"/>
            <w:tcBorders>
              <w:top w:val="nil"/>
              <w:bottom w:val="none" w:sz="0" w:space="0" w:color="auto"/>
            </w:tcBorders>
            <w:shd w:val="clear" w:color="auto" w:fill="F2F2F2" w:themeFill="background1" w:themeFillShade="F2"/>
            <w:noWrap/>
            <w:vAlign w:val="center"/>
            <w:hideMark/>
          </w:tcPr>
          <w:p w14:paraId="0794DDB2" w14:textId="77777777" w:rsidR="00FD710F" w:rsidRPr="00A83146" w:rsidRDefault="00FD710F" w:rsidP="00993533">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lang w:val="en-AU" w:eastAsia="en-AU"/>
              </w:rPr>
            </w:pPr>
            <w:r w:rsidRPr="00A83146">
              <w:rPr>
                <w:rFonts w:asciiTheme="minorHAnsi" w:eastAsia="Times New Roman" w:hAnsiTheme="minorHAnsi" w:cstheme="minorHAnsi"/>
                <w:sz w:val="20"/>
                <w:szCs w:val="20"/>
                <w:lang w:val="en-AU" w:eastAsia="en-AU"/>
              </w:rPr>
              <w:t>4</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CA7B0" w14:textId="77777777" w:rsidR="00C07B23" w:rsidRDefault="00C07B23" w:rsidP="00D37B04">
      <w:r>
        <w:separator/>
      </w:r>
    </w:p>
  </w:endnote>
  <w:endnote w:type="continuationSeparator" w:id="0">
    <w:p w14:paraId="42F65F05" w14:textId="77777777" w:rsidR="00C07B23" w:rsidRDefault="00C07B23" w:rsidP="00D37B04">
      <w:r>
        <w:continuationSeparator/>
      </w:r>
    </w:p>
  </w:endnote>
  <w:endnote w:type="continuationNotice" w:id="1">
    <w:p w14:paraId="4ED88E40" w14:textId="77777777" w:rsidR="00C07B23" w:rsidRDefault="00C07B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47385CC8"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04235E"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677DC" w14:textId="77777777" w:rsidR="00C07B23" w:rsidRPr="008C5A0E" w:rsidRDefault="00C07B23" w:rsidP="00D37B04">
      <w:pPr>
        <w:pStyle w:val="Footer"/>
      </w:pPr>
    </w:p>
  </w:footnote>
  <w:footnote w:type="continuationSeparator" w:id="0">
    <w:p w14:paraId="4AECD35F" w14:textId="77777777" w:rsidR="00C07B23" w:rsidRDefault="00C07B23" w:rsidP="00D37B04">
      <w:r>
        <w:continuationSeparator/>
      </w:r>
    </w:p>
  </w:footnote>
  <w:footnote w:type="continuationNotice" w:id="1">
    <w:p w14:paraId="1272316C" w14:textId="77777777" w:rsidR="00C07B23" w:rsidRDefault="00C07B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3DAA6F"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192" name="Picture 192"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53C2A"/>
    <w:multiLevelType w:val="hybridMultilevel"/>
    <w:tmpl w:val="B0986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BA71CC2"/>
    <w:multiLevelType w:val="hybridMultilevel"/>
    <w:tmpl w:val="F86CE188"/>
    <w:lvl w:ilvl="0" w:tplc="1CC884CE">
      <w:numFmt w:val="bullet"/>
      <w:lvlText w:val="-"/>
      <w:lvlJc w:val="left"/>
      <w:pPr>
        <w:ind w:left="817" w:hanging="360"/>
      </w:pPr>
      <w:rPr>
        <w:rFonts w:ascii="Calibri" w:eastAsiaTheme="minorHAnsi" w:hAnsi="Calibri" w:cs="Calibri"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6"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6B07"/>
    <w:multiLevelType w:val="hybridMultilevel"/>
    <w:tmpl w:val="790072B0"/>
    <w:lvl w:ilvl="0" w:tplc="F7BA5ED8">
      <w:numFmt w:val="bullet"/>
      <w:lvlText w:val="-"/>
      <w:lvlJc w:val="left"/>
      <w:pPr>
        <w:ind w:left="456"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8F132CE"/>
    <w:multiLevelType w:val="multilevel"/>
    <w:tmpl w:val="3B7A10DE"/>
    <w:numStyleLink w:val="BulletsList"/>
  </w:abstractNum>
  <w:abstractNum w:abstractNumId="10"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4" w15:restartNumberingAfterBreak="0">
    <w:nsid w:val="49E80C59"/>
    <w:multiLevelType w:val="hybridMultilevel"/>
    <w:tmpl w:val="B3E62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3C7883"/>
    <w:multiLevelType w:val="hybridMultilevel"/>
    <w:tmpl w:val="13FABEAA"/>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E23445"/>
    <w:multiLevelType w:val="hybridMultilevel"/>
    <w:tmpl w:val="1DAE099C"/>
    <w:lvl w:ilvl="0" w:tplc="F7BA5ED8">
      <w:numFmt w:val="bullet"/>
      <w:lvlText w:val="-"/>
      <w:lvlJc w:val="left"/>
      <w:pPr>
        <w:ind w:left="456" w:hanging="360"/>
      </w:pPr>
      <w:rPr>
        <w:rFonts w:ascii="Calibri Light" w:eastAsiaTheme="minorHAnsi" w:hAnsi="Calibri Light" w:cs="Calibri Light"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25"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5E6114"/>
    <w:multiLevelType w:val="hybridMultilevel"/>
    <w:tmpl w:val="20DE2DCC"/>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1"/>
  </w:num>
  <w:num w:numId="3">
    <w:abstractNumId w:val="8"/>
  </w:num>
  <w:num w:numId="4">
    <w:abstractNumId w:val="18"/>
  </w:num>
  <w:num w:numId="5">
    <w:abstractNumId w:val="21"/>
  </w:num>
  <w:num w:numId="6">
    <w:abstractNumId w:val="8"/>
  </w:num>
  <w:num w:numId="7">
    <w:abstractNumId w:val="1"/>
  </w:num>
  <w:num w:numId="8">
    <w:abstractNumId w:val="4"/>
  </w:num>
  <w:num w:numId="9">
    <w:abstractNumId w:val="31"/>
  </w:num>
  <w:num w:numId="10">
    <w:abstractNumId w:val="9"/>
  </w:num>
  <w:num w:numId="11">
    <w:abstractNumId w:val="16"/>
  </w:num>
  <w:num w:numId="12">
    <w:abstractNumId w:val="17"/>
  </w:num>
  <w:num w:numId="13">
    <w:abstractNumId w:val="0"/>
  </w:num>
  <w:num w:numId="14">
    <w:abstractNumId w:val="13"/>
  </w:num>
  <w:num w:numId="15">
    <w:abstractNumId w:val="19"/>
  </w:num>
  <w:num w:numId="16">
    <w:abstractNumId w:val="23"/>
  </w:num>
  <w:num w:numId="17">
    <w:abstractNumId w:val="6"/>
  </w:num>
  <w:num w:numId="18">
    <w:abstractNumId w:val="20"/>
  </w:num>
  <w:num w:numId="19">
    <w:abstractNumId w:val="29"/>
  </w:num>
  <w:num w:numId="20">
    <w:abstractNumId w:val="11"/>
  </w:num>
  <w:num w:numId="21">
    <w:abstractNumId w:val="28"/>
  </w:num>
  <w:num w:numId="22">
    <w:abstractNumId w:val="10"/>
  </w:num>
  <w:num w:numId="23">
    <w:abstractNumId w:val="2"/>
  </w:num>
  <w:num w:numId="24">
    <w:abstractNumId w:val="26"/>
  </w:num>
  <w:num w:numId="25">
    <w:abstractNumId w:val="32"/>
  </w:num>
  <w:num w:numId="26">
    <w:abstractNumId w:val="12"/>
  </w:num>
  <w:num w:numId="27">
    <w:abstractNumId w:val="22"/>
  </w:num>
  <w:num w:numId="28">
    <w:abstractNumId w:val="25"/>
  </w:num>
  <w:num w:numId="29">
    <w:abstractNumId w:val="14"/>
  </w:num>
  <w:num w:numId="30">
    <w:abstractNumId w:val="3"/>
  </w:num>
  <w:num w:numId="31">
    <w:abstractNumId w:val="5"/>
  </w:num>
  <w:num w:numId="32">
    <w:abstractNumId w:val="15"/>
  </w:num>
  <w:num w:numId="33">
    <w:abstractNumId w:val="24"/>
  </w:num>
  <w:num w:numId="34">
    <w:abstractNumId w:val="7"/>
  </w:num>
  <w:num w:numId="35">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2F3F"/>
    <w:rsid w:val="0000453D"/>
    <w:rsid w:val="00006CE7"/>
    <w:rsid w:val="00010006"/>
    <w:rsid w:val="00011235"/>
    <w:rsid w:val="00014649"/>
    <w:rsid w:val="00015AB7"/>
    <w:rsid w:val="00015DC0"/>
    <w:rsid w:val="0001729C"/>
    <w:rsid w:val="0002080A"/>
    <w:rsid w:val="00027646"/>
    <w:rsid w:val="0002782F"/>
    <w:rsid w:val="00027C42"/>
    <w:rsid w:val="00031486"/>
    <w:rsid w:val="000314BA"/>
    <w:rsid w:val="00034BC5"/>
    <w:rsid w:val="000351A0"/>
    <w:rsid w:val="00035BBF"/>
    <w:rsid w:val="00035CBC"/>
    <w:rsid w:val="000417C3"/>
    <w:rsid w:val="00041CA8"/>
    <w:rsid w:val="0004235E"/>
    <w:rsid w:val="000444F3"/>
    <w:rsid w:val="00046577"/>
    <w:rsid w:val="000472BA"/>
    <w:rsid w:val="0005026D"/>
    <w:rsid w:val="00050806"/>
    <w:rsid w:val="00051F3B"/>
    <w:rsid w:val="0005417C"/>
    <w:rsid w:val="000546D9"/>
    <w:rsid w:val="00054E4D"/>
    <w:rsid w:val="0005564F"/>
    <w:rsid w:val="00055880"/>
    <w:rsid w:val="00056F24"/>
    <w:rsid w:val="00060073"/>
    <w:rsid w:val="000616C6"/>
    <w:rsid w:val="00061D8D"/>
    <w:rsid w:val="0006396D"/>
    <w:rsid w:val="00063DD1"/>
    <w:rsid w:val="0006537F"/>
    <w:rsid w:val="00065462"/>
    <w:rsid w:val="00077C32"/>
    <w:rsid w:val="000822AD"/>
    <w:rsid w:val="000854FD"/>
    <w:rsid w:val="00086976"/>
    <w:rsid w:val="00090F12"/>
    <w:rsid w:val="00091CF4"/>
    <w:rsid w:val="000929ED"/>
    <w:rsid w:val="000964AB"/>
    <w:rsid w:val="0009676B"/>
    <w:rsid w:val="000A0DC6"/>
    <w:rsid w:val="000A39DD"/>
    <w:rsid w:val="000A407E"/>
    <w:rsid w:val="000B37F5"/>
    <w:rsid w:val="000B40E9"/>
    <w:rsid w:val="000B59D6"/>
    <w:rsid w:val="000B5DA7"/>
    <w:rsid w:val="000B78E6"/>
    <w:rsid w:val="000C3A4C"/>
    <w:rsid w:val="000C4411"/>
    <w:rsid w:val="000D003A"/>
    <w:rsid w:val="000D2896"/>
    <w:rsid w:val="000D66D6"/>
    <w:rsid w:val="000D684A"/>
    <w:rsid w:val="000E1045"/>
    <w:rsid w:val="000E58BF"/>
    <w:rsid w:val="000E6C44"/>
    <w:rsid w:val="000F1286"/>
    <w:rsid w:val="000F20D6"/>
    <w:rsid w:val="000F2600"/>
    <w:rsid w:val="000F78C9"/>
    <w:rsid w:val="00111270"/>
    <w:rsid w:val="00112458"/>
    <w:rsid w:val="00113288"/>
    <w:rsid w:val="00113FB6"/>
    <w:rsid w:val="0011475A"/>
    <w:rsid w:val="00116E9F"/>
    <w:rsid w:val="001203A0"/>
    <w:rsid w:val="001214BE"/>
    <w:rsid w:val="0012165D"/>
    <w:rsid w:val="00121DDD"/>
    <w:rsid w:val="001227F1"/>
    <w:rsid w:val="0012467A"/>
    <w:rsid w:val="001251DC"/>
    <w:rsid w:val="0013101C"/>
    <w:rsid w:val="0013362E"/>
    <w:rsid w:val="0013385F"/>
    <w:rsid w:val="00134AEA"/>
    <w:rsid w:val="00134E9A"/>
    <w:rsid w:val="001356F8"/>
    <w:rsid w:val="00135B29"/>
    <w:rsid w:val="00137F4E"/>
    <w:rsid w:val="001461D6"/>
    <w:rsid w:val="00146E07"/>
    <w:rsid w:val="001541EA"/>
    <w:rsid w:val="00154368"/>
    <w:rsid w:val="001609D8"/>
    <w:rsid w:val="0016223D"/>
    <w:rsid w:val="00163DB1"/>
    <w:rsid w:val="001641B9"/>
    <w:rsid w:val="00166032"/>
    <w:rsid w:val="001662F8"/>
    <w:rsid w:val="00171C61"/>
    <w:rsid w:val="00172B66"/>
    <w:rsid w:val="001841C8"/>
    <w:rsid w:val="00186B4B"/>
    <w:rsid w:val="00193C49"/>
    <w:rsid w:val="0019416B"/>
    <w:rsid w:val="00194F74"/>
    <w:rsid w:val="001A51EE"/>
    <w:rsid w:val="001A7815"/>
    <w:rsid w:val="001B1C42"/>
    <w:rsid w:val="001B44B3"/>
    <w:rsid w:val="001B5CDE"/>
    <w:rsid w:val="001B78DA"/>
    <w:rsid w:val="001C14F4"/>
    <w:rsid w:val="001C1F11"/>
    <w:rsid w:val="001C2319"/>
    <w:rsid w:val="001C31BD"/>
    <w:rsid w:val="001C483F"/>
    <w:rsid w:val="001C72C5"/>
    <w:rsid w:val="001D0312"/>
    <w:rsid w:val="001D1A8F"/>
    <w:rsid w:val="001D3C98"/>
    <w:rsid w:val="001D3DDD"/>
    <w:rsid w:val="001D4091"/>
    <w:rsid w:val="001D663E"/>
    <w:rsid w:val="001E03BE"/>
    <w:rsid w:val="001E1DC0"/>
    <w:rsid w:val="001E4F11"/>
    <w:rsid w:val="001E563B"/>
    <w:rsid w:val="001E6D20"/>
    <w:rsid w:val="001F16AB"/>
    <w:rsid w:val="001F16E7"/>
    <w:rsid w:val="001F63EC"/>
    <w:rsid w:val="001F68F4"/>
    <w:rsid w:val="001F6E53"/>
    <w:rsid w:val="001F7A8B"/>
    <w:rsid w:val="001F7F4D"/>
    <w:rsid w:val="002018A2"/>
    <w:rsid w:val="00202474"/>
    <w:rsid w:val="0021398C"/>
    <w:rsid w:val="00216C55"/>
    <w:rsid w:val="002231BD"/>
    <w:rsid w:val="002270F7"/>
    <w:rsid w:val="0022790D"/>
    <w:rsid w:val="00227B21"/>
    <w:rsid w:val="00230C23"/>
    <w:rsid w:val="00236D6D"/>
    <w:rsid w:val="002404E8"/>
    <w:rsid w:val="00241F29"/>
    <w:rsid w:val="00242D52"/>
    <w:rsid w:val="00244229"/>
    <w:rsid w:val="002443C7"/>
    <w:rsid w:val="00247086"/>
    <w:rsid w:val="00247365"/>
    <w:rsid w:val="00251508"/>
    <w:rsid w:val="00255D20"/>
    <w:rsid w:val="00255F45"/>
    <w:rsid w:val="00261565"/>
    <w:rsid w:val="00270C70"/>
    <w:rsid w:val="002721B5"/>
    <w:rsid w:val="002805C5"/>
    <w:rsid w:val="0028602A"/>
    <w:rsid w:val="002945C4"/>
    <w:rsid w:val="0029663F"/>
    <w:rsid w:val="00297258"/>
    <w:rsid w:val="00297FD1"/>
    <w:rsid w:val="002A05C1"/>
    <w:rsid w:val="002B22AD"/>
    <w:rsid w:val="002B3381"/>
    <w:rsid w:val="002B4995"/>
    <w:rsid w:val="002B5E10"/>
    <w:rsid w:val="002C793D"/>
    <w:rsid w:val="002D25D9"/>
    <w:rsid w:val="002D35C9"/>
    <w:rsid w:val="002D4108"/>
    <w:rsid w:val="002D430F"/>
    <w:rsid w:val="002D5B25"/>
    <w:rsid w:val="002D626F"/>
    <w:rsid w:val="002D6CE7"/>
    <w:rsid w:val="002E2AF4"/>
    <w:rsid w:val="002E38B2"/>
    <w:rsid w:val="002E500A"/>
    <w:rsid w:val="002F03FB"/>
    <w:rsid w:val="002F0903"/>
    <w:rsid w:val="002F0AA1"/>
    <w:rsid w:val="002F4F2B"/>
    <w:rsid w:val="002F57B6"/>
    <w:rsid w:val="002F6581"/>
    <w:rsid w:val="002F67AE"/>
    <w:rsid w:val="003002C0"/>
    <w:rsid w:val="00301144"/>
    <w:rsid w:val="003031C6"/>
    <w:rsid w:val="00304984"/>
    <w:rsid w:val="00311946"/>
    <w:rsid w:val="00312BF8"/>
    <w:rsid w:val="003148B7"/>
    <w:rsid w:val="003158C3"/>
    <w:rsid w:val="00320DC8"/>
    <w:rsid w:val="00323280"/>
    <w:rsid w:val="00323570"/>
    <w:rsid w:val="003255CD"/>
    <w:rsid w:val="003274CD"/>
    <w:rsid w:val="00333501"/>
    <w:rsid w:val="003406AF"/>
    <w:rsid w:val="00341310"/>
    <w:rsid w:val="00345038"/>
    <w:rsid w:val="003457C4"/>
    <w:rsid w:val="0035119D"/>
    <w:rsid w:val="003535F8"/>
    <w:rsid w:val="00354641"/>
    <w:rsid w:val="0035532B"/>
    <w:rsid w:val="003622C1"/>
    <w:rsid w:val="00363A9F"/>
    <w:rsid w:val="003664FE"/>
    <w:rsid w:val="00375D23"/>
    <w:rsid w:val="003806FE"/>
    <w:rsid w:val="00382CE7"/>
    <w:rsid w:val="00384D2A"/>
    <w:rsid w:val="00387EC8"/>
    <w:rsid w:val="0039215F"/>
    <w:rsid w:val="003922E8"/>
    <w:rsid w:val="0039344A"/>
    <w:rsid w:val="00393FAC"/>
    <w:rsid w:val="003A53BA"/>
    <w:rsid w:val="003A7908"/>
    <w:rsid w:val="003B0E13"/>
    <w:rsid w:val="003B3091"/>
    <w:rsid w:val="003B4F12"/>
    <w:rsid w:val="003B5132"/>
    <w:rsid w:val="003B5630"/>
    <w:rsid w:val="003C3FC2"/>
    <w:rsid w:val="003C6C4F"/>
    <w:rsid w:val="003C7D0E"/>
    <w:rsid w:val="003D0712"/>
    <w:rsid w:val="003D1253"/>
    <w:rsid w:val="003E03B8"/>
    <w:rsid w:val="003E0545"/>
    <w:rsid w:val="003E24BA"/>
    <w:rsid w:val="003E27E2"/>
    <w:rsid w:val="003F2041"/>
    <w:rsid w:val="003F289D"/>
    <w:rsid w:val="003F4679"/>
    <w:rsid w:val="003F4D86"/>
    <w:rsid w:val="003F6F21"/>
    <w:rsid w:val="003F7D26"/>
    <w:rsid w:val="004007ED"/>
    <w:rsid w:val="00400D50"/>
    <w:rsid w:val="0040273D"/>
    <w:rsid w:val="00402ACC"/>
    <w:rsid w:val="00403FD8"/>
    <w:rsid w:val="00404443"/>
    <w:rsid w:val="00404602"/>
    <w:rsid w:val="004120EC"/>
    <w:rsid w:val="0041267F"/>
    <w:rsid w:val="00414AD9"/>
    <w:rsid w:val="00422FFA"/>
    <w:rsid w:val="00423DB9"/>
    <w:rsid w:val="00423DE0"/>
    <w:rsid w:val="00423F31"/>
    <w:rsid w:val="0042526D"/>
    <w:rsid w:val="00426340"/>
    <w:rsid w:val="00427697"/>
    <w:rsid w:val="004303AA"/>
    <w:rsid w:val="00431899"/>
    <w:rsid w:val="0043577A"/>
    <w:rsid w:val="00446F46"/>
    <w:rsid w:val="00447D48"/>
    <w:rsid w:val="00450381"/>
    <w:rsid w:val="004529F1"/>
    <w:rsid w:val="00453B1A"/>
    <w:rsid w:val="00461D35"/>
    <w:rsid w:val="00462A57"/>
    <w:rsid w:val="00467E5A"/>
    <w:rsid w:val="004708FA"/>
    <w:rsid w:val="004716CD"/>
    <w:rsid w:val="004728DD"/>
    <w:rsid w:val="00473F2D"/>
    <w:rsid w:val="00473F39"/>
    <w:rsid w:val="00474037"/>
    <w:rsid w:val="00475782"/>
    <w:rsid w:val="00480670"/>
    <w:rsid w:val="00482AE8"/>
    <w:rsid w:val="00483EE6"/>
    <w:rsid w:val="00486804"/>
    <w:rsid w:val="00487549"/>
    <w:rsid w:val="00487CEE"/>
    <w:rsid w:val="00491780"/>
    <w:rsid w:val="00493F17"/>
    <w:rsid w:val="00494242"/>
    <w:rsid w:val="00496766"/>
    <w:rsid w:val="004A4181"/>
    <w:rsid w:val="004A41B8"/>
    <w:rsid w:val="004B3775"/>
    <w:rsid w:val="004D0846"/>
    <w:rsid w:val="004D0BA0"/>
    <w:rsid w:val="004D7F36"/>
    <w:rsid w:val="004E058F"/>
    <w:rsid w:val="004E3B87"/>
    <w:rsid w:val="004E4FE0"/>
    <w:rsid w:val="004E549D"/>
    <w:rsid w:val="004F5615"/>
    <w:rsid w:val="004F78F8"/>
    <w:rsid w:val="00502041"/>
    <w:rsid w:val="005031D2"/>
    <w:rsid w:val="00503EB4"/>
    <w:rsid w:val="0050592F"/>
    <w:rsid w:val="00510921"/>
    <w:rsid w:val="00510AD3"/>
    <w:rsid w:val="00513348"/>
    <w:rsid w:val="00513AD8"/>
    <w:rsid w:val="00517DD0"/>
    <w:rsid w:val="005204D2"/>
    <w:rsid w:val="005215A3"/>
    <w:rsid w:val="00522396"/>
    <w:rsid w:val="00523208"/>
    <w:rsid w:val="00527AD8"/>
    <w:rsid w:val="005303B9"/>
    <w:rsid w:val="00530720"/>
    <w:rsid w:val="0053159D"/>
    <w:rsid w:val="00531B69"/>
    <w:rsid w:val="00533B5D"/>
    <w:rsid w:val="00534D96"/>
    <w:rsid w:val="00535CC8"/>
    <w:rsid w:val="00536343"/>
    <w:rsid w:val="00536BAB"/>
    <w:rsid w:val="00540A22"/>
    <w:rsid w:val="00542B8F"/>
    <w:rsid w:val="00546877"/>
    <w:rsid w:val="005474FC"/>
    <w:rsid w:val="00550BB8"/>
    <w:rsid w:val="00553079"/>
    <w:rsid w:val="005579C6"/>
    <w:rsid w:val="00560E83"/>
    <w:rsid w:val="0056796C"/>
    <w:rsid w:val="00570196"/>
    <w:rsid w:val="005736BB"/>
    <w:rsid w:val="00577815"/>
    <w:rsid w:val="00581CDC"/>
    <w:rsid w:val="005822D6"/>
    <w:rsid w:val="00582783"/>
    <w:rsid w:val="005838FD"/>
    <w:rsid w:val="005839E5"/>
    <w:rsid w:val="00591C18"/>
    <w:rsid w:val="005974B3"/>
    <w:rsid w:val="005A1163"/>
    <w:rsid w:val="005A20F6"/>
    <w:rsid w:val="005A257E"/>
    <w:rsid w:val="005A7271"/>
    <w:rsid w:val="005B7577"/>
    <w:rsid w:val="005C2EC9"/>
    <w:rsid w:val="005C4B58"/>
    <w:rsid w:val="005C532B"/>
    <w:rsid w:val="005D3655"/>
    <w:rsid w:val="005D5489"/>
    <w:rsid w:val="005D69AA"/>
    <w:rsid w:val="005D7F03"/>
    <w:rsid w:val="005E0058"/>
    <w:rsid w:val="005E40B0"/>
    <w:rsid w:val="005E4830"/>
    <w:rsid w:val="005E5524"/>
    <w:rsid w:val="005E73CC"/>
    <w:rsid w:val="005F2191"/>
    <w:rsid w:val="005F2F66"/>
    <w:rsid w:val="00602984"/>
    <w:rsid w:val="006031AC"/>
    <w:rsid w:val="00603321"/>
    <w:rsid w:val="0060452E"/>
    <w:rsid w:val="00605823"/>
    <w:rsid w:val="00616A58"/>
    <w:rsid w:val="00620A3D"/>
    <w:rsid w:val="00622B86"/>
    <w:rsid w:val="00623BA1"/>
    <w:rsid w:val="00630092"/>
    <w:rsid w:val="00633CA9"/>
    <w:rsid w:val="00633F95"/>
    <w:rsid w:val="006346BC"/>
    <w:rsid w:val="006362FF"/>
    <w:rsid w:val="006378FE"/>
    <w:rsid w:val="006408FF"/>
    <w:rsid w:val="00644C6E"/>
    <w:rsid w:val="00650DBB"/>
    <w:rsid w:val="00650E84"/>
    <w:rsid w:val="0065257B"/>
    <w:rsid w:val="0065649B"/>
    <w:rsid w:val="0066203A"/>
    <w:rsid w:val="0066318E"/>
    <w:rsid w:val="006662D9"/>
    <w:rsid w:val="00666398"/>
    <w:rsid w:val="0066652A"/>
    <w:rsid w:val="00670C22"/>
    <w:rsid w:val="006719C3"/>
    <w:rsid w:val="006739AE"/>
    <w:rsid w:val="006745FC"/>
    <w:rsid w:val="006750D9"/>
    <w:rsid w:val="00677DD7"/>
    <w:rsid w:val="00680115"/>
    <w:rsid w:val="00680522"/>
    <w:rsid w:val="00681633"/>
    <w:rsid w:val="00682167"/>
    <w:rsid w:val="00685C84"/>
    <w:rsid w:val="0069023F"/>
    <w:rsid w:val="00690AE1"/>
    <w:rsid w:val="006A47EC"/>
    <w:rsid w:val="006A6F52"/>
    <w:rsid w:val="006A791A"/>
    <w:rsid w:val="006B0064"/>
    <w:rsid w:val="006B392F"/>
    <w:rsid w:val="006B3C36"/>
    <w:rsid w:val="006B3E95"/>
    <w:rsid w:val="006B50E7"/>
    <w:rsid w:val="006B51B2"/>
    <w:rsid w:val="006B6F6D"/>
    <w:rsid w:val="006C0B06"/>
    <w:rsid w:val="006C3BBD"/>
    <w:rsid w:val="006C42AF"/>
    <w:rsid w:val="006C565B"/>
    <w:rsid w:val="006C5A25"/>
    <w:rsid w:val="006C6498"/>
    <w:rsid w:val="006C790E"/>
    <w:rsid w:val="006D15F1"/>
    <w:rsid w:val="006D2367"/>
    <w:rsid w:val="006D5A56"/>
    <w:rsid w:val="006E4323"/>
    <w:rsid w:val="006E7EB7"/>
    <w:rsid w:val="006F478E"/>
    <w:rsid w:val="006F59F1"/>
    <w:rsid w:val="006F6BA7"/>
    <w:rsid w:val="0070238C"/>
    <w:rsid w:val="00705118"/>
    <w:rsid w:val="00706136"/>
    <w:rsid w:val="007075DF"/>
    <w:rsid w:val="00707FB2"/>
    <w:rsid w:val="00711D8E"/>
    <w:rsid w:val="00712609"/>
    <w:rsid w:val="00712672"/>
    <w:rsid w:val="007178C4"/>
    <w:rsid w:val="00724D15"/>
    <w:rsid w:val="00727E09"/>
    <w:rsid w:val="007309A6"/>
    <w:rsid w:val="00734E3F"/>
    <w:rsid w:val="00735C23"/>
    <w:rsid w:val="00736985"/>
    <w:rsid w:val="00737663"/>
    <w:rsid w:val="00745DF5"/>
    <w:rsid w:val="007463BC"/>
    <w:rsid w:val="00751718"/>
    <w:rsid w:val="007575CB"/>
    <w:rsid w:val="00761B3D"/>
    <w:rsid w:val="0076250F"/>
    <w:rsid w:val="0077324F"/>
    <w:rsid w:val="007733DC"/>
    <w:rsid w:val="00780FA5"/>
    <w:rsid w:val="007817D1"/>
    <w:rsid w:val="007864CF"/>
    <w:rsid w:val="007921D1"/>
    <w:rsid w:val="00794D99"/>
    <w:rsid w:val="00796F1C"/>
    <w:rsid w:val="007A4493"/>
    <w:rsid w:val="007A4DF5"/>
    <w:rsid w:val="007B0306"/>
    <w:rsid w:val="007B53DB"/>
    <w:rsid w:val="007B53F9"/>
    <w:rsid w:val="007B6200"/>
    <w:rsid w:val="007C1089"/>
    <w:rsid w:val="007C19B3"/>
    <w:rsid w:val="007C258E"/>
    <w:rsid w:val="007C35DE"/>
    <w:rsid w:val="007C4D69"/>
    <w:rsid w:val="007C735B"/>
    <w:rsid w:val="007D042C"/>
    <w:rsid w:val="007D1256"/>
    <w:rsid w:val="007D15AF"/>
    <w:rsid w:val="007D24F4"/>
    <w:rsid w:val="007D259B"/>
    <w:rsid w:val="007D787A"/>
    <w:rsid w:val="007E0B4D"/>
    <w:rsid w:val="007E2489"/>
    <w:rsid w:val="007E5361"/>
    <w:rsid w:val="007E556D"/>
    <w:rsid w:val="007E67D4"/>
    <w:rsid w:val="007E6A09"/>
    <w:rsid w:val="007E7BC7"/>
    <w:rsid w:val="007F0B25"/>
    <w:rsid w:val="007F3395"/>
    <w:rsid w:val="007F5C0B"/>
    <w:rsid w:val="007F646C"/>
    <w:rsid w:val="00801B9F"/>
    <w:rsid w:val="0080204D"/>
    <w:rsid w:val="00807537"/>
    <w:rsid w:val="00813EA6"/>
    <w:rsid w:val="00815765"/>
    <w:rsid w:val="0082053C"/>
    <w:rsid w:val="00821F7E"/>
    <w:rsid w:val="008225FB"/>
    <w:rsid w:val="00822F43"/>
    <w:rsid w:val="00826F8C"/>
    <w:rsid w:val="00830866"/>
    <w:rsid w:val="00835A7E"/>
    <w:rsid w:val="00836B54"/>
    <w:rsid w:val="00840C61"/>
    <w:rsid w:val="0084191E"/>
    <w:rsid w:val="00843B76"/>
    <w:rsid w:val="00844737"/>
    <w:rsid w:val="008448E0"/>
    <w:rsid w:val="00845F6E"/>
    <w:rsid w:val="008475F0"/>
    <w:rsid w:val="008515AF"/>
    <w:rsid w:val="00852C32"/>
    <w:rsid w:val="00854F69"/>
    <w:rsid w:val="00855249"/>
    <w:rsid w:val="008557A7"/>
    <w:rsid w:val="00856BFE"/>
    <w:rsid w:val="00857312"/>
    <w:rsid w:val="00860698"/>
    <w:rsid w:val="00860EB0"/>
    <w:rsid w:val="00862BCF"/>
    <w:rsid w:val="00865DE2"/>
    <w:rsid w:val="00870928"/>
    <w:rsid w:val="008740B3"/>
    <w:rsid w:val="00876382"/>
    <w:rsid w:val="00876B47"/>
    <w:rsid w:val="00877620"/>
    <w:rsid w:val="00881605"/>
    <w:rsid w:val="00887404"/>
    <w:rsid w:val="00893B64"/>
    <w:rsid w:val="0089405C"/>
    <w:rsid w:val="008940D8"/>
    <w:rsid w:val="00894FEB"/>
    <w:rsid w:val="00897FA2"/>
    <w:rsid w:val="008A1503"/>
    <w:rsid w:val="008A5AFE"/>
    <w:rsid w:val="008A6BB7"/>
    <w:rsid w:val="008A745C"/>
    <w:rsid w:val="008A7B6F"/>
    <w:rsid w:val="008B0B14"/>
    <w:rsid w:val="008B4D28"/>
    <w:rsid w:val="008C1A18"/>
    <w:rsid w:val="008C1F60"/>
    <w:rsid w:val="008C2340"/>
    <w:rsid w:val="008C2C9E"/>
    <w:rsid w:val="008C478C"/>
    <w:rsid w:val="008C5A0E"/>
    <w:rsid w:val="008C6149"/>
    <w:rsid w:val="008C6F8D"/>
    <w:rsid w:val="008C708C"/>
    <w:rsid w:val="008C7768"/>
    <w:rsid w:val="008E4B49"/>
    <w:rsid w:val="008E4BCA"/>
    <w:rsid w:val="008E5130"/>
    <w:rsid w:val="008E5DC5"/>
    <w:rsid w:val="008E776A"/>
    <w:rsid w:val="008E7A6E"/>
    <w:rsid w:val="008F6625"/>
    <w:rsid w:val="008F6850"/>
    <w:rsid w:val="00911A6D"/>
    <w:rsid w:val="009131E9"/>
    <w:rsid w:val="00913875"/>
    <w:rsid w:val="00913996"/>
    <w:rsid w:val="00916582"/>
    <w:rsid w:val="00917A7A"/>
    <w:rsid w:val="00920854"/>
    <w:rsid w:val="0093173D"/>
    <w:rsid w:val="00937866"/>
    <w:rsid w:val="00943730"/>
    <w:rsid w:val="00944E59"/>
    <w:rsid w:val="009505AE"/>
    <w:rsid w:val="00950D65"/>
    <w:rsid w:val="00952815"/>
    <w:rsid w:val="009543B9"/>
    <w:rsid w:val="009600DE"/>
    <w:rsid w:val="00961E45"/>
    <w:rsid w:val="00974A21"/>
    <w:rsid w:val="00975CA5"/>
    <w:rsid w:val="009774B4"/>
    <w:rsid w:val="00985AD1"/>
    <w:rsid w:val="00986590"/>
    <w:rsid w:val="00991579"/>
    <w:rsid w:val="00992C76"/>
    <w:rsid w:val="00993533"/>
    <w:rsid w:val="009969D6"/>
    <w:rsid w:val="00997A71"/>
    <w:rsid w:val="00997E1A"/>
    <w:rsid w:val="009A0079"/>
    <w:rsid w:val="009A0F71"/>
    <w:rsid w:val="009A112B"/>
    <w:rsid w:val="009A2619"/>
    <w:rsid w:val="009A58FC"/>
    <w:rsid w:val="009A744E"/>
    <w:rsid w:val="009B394F"/>
    <w:rsid w:val="009B4D3B"/>
    <w:rsid w:val="009C18DB"/>
    <w:rsid w:val="009D1F71"/>
    <w:rsid w:val="009D2B12"/>
    <w:rsid w:val="009D3438"/>
    <w:rsid w:val="009D638F"/>
    <w:rsid w:val="009D7407"/>
    <w:rsid w:val="009E0866"/>
    <w:rsid w:val="009E273C"/>
    <w:rsid w:val="009E334B"/>
    <w:rsid w:val="009F1350"/>
    <w:rsid w:val="009F6423"/>
    <w:rsid w:val="00A02D5C"/>
    <w:rsid w:val="00A07A86"/>
    <w:rsid w:val="00A107B9"/>
    <w:rsid w:val="00A12B40"/>
    <w:rsid w:val="00A139C9"/>
    <w:rsid w:val="00A17461"/>
    <w:rsid w:val="00A22CD1"/>
    <w:rsid w:val="00A237B8"/>
    <w:rsid w:val="00A24A32"/>
    <w:rsid w:val="00A24A62"/>
    <w:rsid w:val="00A27708"/>
    <w:rsid w:val="00A31009"/>
    <w:rsid w:val="00A31C9F"/>
    <w:rsid w:val="00A3449A"/>
    <w:rsid w:val="00A34D2F"/>
    <w:rsid w:val="00A36581"/>
    <w:rsid w:val="00A4144F"/>
    <w:rsid w:val="00A46B28"/>
    <w:rsid w:val="00A47135"/>
    <w:rsid w:val="00A5425D"/>
    <w:rsid w:val="00A573CA"/>
    <w:rsid w:val="00A613A9"/>
    <w:rsid w:val="00A61B4D"/>
    <w:rsid w:val="00A71167"/>
    <w:rsid w:val="00A72201"/>
    <w:rsid w:val="00A74192"/>
    <w:rsid w:val="00A75B84"/>
    <w:rsid w:val="00A80123"/>
    <w:rsid w:val="00A80305"/>
    <w:rsid w:val="00A80F95"/>
    <w:rsid w:val="00A83146"/>
    <w:rsid w:val="00A854F9"/>
    <w:rsid w:val="00A855EE"/>
    <w:rsid w:val="00A860B7"/>
    <w:rsid w:val="00A868CB"/>
    <w:rsid w:val="00A91054"/>
    <w:rsid w:val="00A953B9"/>
    <w:rsid w:val="00A96364"/>
    <w:rsid w:val="00A97244"/>
    <w:rsid w:val="00A97BF1"/>
    <w:rsid w:val="00AA298A"/>
    <w:rsid w:val="00AA3AA8"/>
    <w:rsid w:val="00AA74D1"/>
    <w:rsid w:val="00AA79CB"/>
    <w:rsid w:val="00AB08B8"/>
    <w:rsid w:val="00AB4795"/>
    <w:rsid w:val="00AB5D49"/>
    <w:rsid w:val="00AB6748"/>
    <w:rsid w:val="00AB6BD2"/>
    <w:rsid w:val="00AB75E2"/>
    <w:rsid w:val="00AC0B7B"/>
    <w:rsid w:val="00AC107C"/>
    <w:rsid w:val="00AC164A"/>
    <w:rsid w:val="00AC3944"/>
    <w:rsid w:val="00AC551D"/>
    <w:rsid w:val="00AC64C5"/>
    <w:rsid w:val="00AD19F7"/>
    <w:rsid w:val="00AD2C2E"/>
    <w:rsid w:val="00AE2B7B"/>
    <w:rsid w:val="00AE448A"/>
    <w:rsid w:val="00AE5A6C"/>
    <w:rsid w:val="00AE74DA"/>
    <w:rsid w:val="00AE7AB3"/>
    <w:rsid w:val="00AF18F4"/>
    <w:rsid w:val="00AF2050"/>
    <w:rsid w:val="00AF27E2"/>
    <w:rsid w:val="00AF4A1C"/>
    <w:rsid w:val="00AF7ECC"/>
    <w:rsid w:val="00B00BF4"/>
    <w:rsid w:val="00B02B2A"/>
    <w:rsid w:val="00B03CA8"/>
    <w:rsid w:val="00B05B87"/>
    <w:rsid w:val="00B1104B"/>
    <w:rsid w:val="00B12991"/>
    <w:rsid w:val="00B16EF6"/>
    <w:rsid w:val="00B17157"/>
    <w:rsid w:val="00B22F0E"/>
    <w:rsid w:val="00B249EC"/>
    <w:rsid w:val="00B33C0A"/>
    <w:rsid w:val="00B34763"/>
    <w:rsid w:val="00B401AF"/>
    <w:rsid w:val="00B41C64"/>
    <w:rsid w:val="00B50ED0"/>
    <w:rsid w:val="00B51C2F"/>
    <w:rsid w:val="00B51F46"/>
    <w:rsid w:val="00B55E19"/>
    <w:rsid w:val="00B56E71"/>
    <w:rsid w:val="00B579A6"/>
    <w:rsid w:val="00B6187B"/>
    <w:rsid w:val="00B6617A"/>
    <w:rsid w:val="00B664A8"/>
    <w:rsid w:val="00B6674E"/>
    <w:rsid w:val="00B66D3E"/>
    <w:rsid w:val="00B71280"/>
    <w:rsid w:val="00B71AD8"/>
    <w:rsid w:val="00B773B6"/>
    <w:rsid w:val="00B84B3C"/>
    <w:rsid w:val="00B857E1"/>
    <w:rsid w:val="00B8599B"/>
    <w:rsid w:val="00B86990"/>
    <w:rsid w:val="00B91FE7"/>
    <w:rsid w:val="00B929BE"/>
    <w:rsid w:val="00B94758"/>
    <w:rsid w:val="00BA1B89"/>
    <w:rsid w:val="00BA4B6D"/>
    <w:rsid w:val="00BB26C5"/>
    <w:rsid w:val="00BB2F84"/>
    <w:rsid w:val="00BB3FD0"/>
    <w:rsid w:val="00BC0718"/>
    <w:rsid w:val="00BC1FED"/>
    <w:rsid w:val="00BC34C7"/>
    <w:rsid w:val="00BC5DD4"/>
    <w:rsid w:val="00BC63A8"/>
    <w:rsid w:val="00BD0F5C"/>
    <w:rsid w:val="00BD6304"/>
    <w:rsid w:val="00BD710C"/>
    <w:rsid w:val="00BE12B6"/>
    <w:rsid w:val="00BF08CF"/>
    <w:rsid w:val="00BF1579"/>
    <w:rsid w:val="00BF27B3"/>
    <w:rsid w:val="00BF4DE6"/>
    <w:rsid w:val="00BF6703"/>
    <w:rsid w:val="00BF6B08"/>
    <w:rsid w:val="00BF790A"/>
    <w:rsid w:val="00C025E3"/>
    <w:rsid w:val="00C036F4"/>
    <w:rsid w:val="00C04D72"/>
    <w:rsid w:val="00C06B13"/>
    <w:rsid w:val="00C07B23"/>
    <w:rsid w:val="00C14958"/>
    <w:rsid w:val="00C16A47"/>
    <w:rsid w:val="00C23D09"/>
    <w:rsid w:val="00C27D25"/>
    <w:rsid w:val="00C331B3"/>
    <w:rsid w:val="00C3510F"/>
    <w:rsid w:val="00C35791"/>
    <w:rsid w:val="00C367ED"/>
    <w:rsid w:val="00C37697"/>
    <w:rsid w:val="00C42541"/>
    <w:rsid w:val="00C42CDE"/>
    <w:rsid w:val="00C45941"/>
    <w:rsid w:val="00C50B58"/>
    <w:rsid w:val="00C5182A"/>
    <w:rsid w:val="00C52463"/>
    <w:rsid w:val="00C52B3D"/>
    <w:rsid w:val="00C55983"/>
    <w:rsid w:val="00C55EF4"/>
    <w:rsid w:val="00C61649"/>
    <w:rsid w:val="00C61935"/>
    <w:rsid w:val="00C63EE9"/>
    <w:rsid w:val="00C74F42"/>
    <w:rsid w:val="00C76279"/>
    <w:rsid w:val="00C80F99"/>
    <w:rsid w:val="00C82712"/>
    <w:rsid w:val="00C83F4E"/>
    <w:rsid w:val="00C84C30"/>
    <w:rsid w:val="00C85D59"/>
    <w:rsid w:val="00C868E4"/>
    <w:rsid w:val="00C86B7B"/>
    <w:rsid w:val="00C87B9B"/>
    <w:rsid w:val="00C87BEE"/>
    <w:rsid w:val="00C908C7"/>
    <w:rsid w:val="00C927F0"/>
    <w:rsid w:val="00C92805"/>
    <w:rsid w:val="00C93014"/>
    <w:rsid w:val="00C93F9B"/>
    <w:rsid w:val="00CA14C3"/>
    <w:rsid w:val="00CA16F3"/>
    <w:rsid w:val="00CA1FDD"/>
    <w:rsid w:val="00CA281B"/>
    <w:rsid w:val="00CA3403"/>
    <w:rsid w:val="00CA345B"/>
    <w:rsid w:val="00CA37B1"/>
    <w:rsid w:val="00CA3FD8"/>
    <w:rsid w:val="00CA5021"/>
    <w:rsid w:val="00CA575B"/>
    <w:rsid w:val="00CA6875"/>
    <w:rsid w:val="00CB1488"/>
    <w:rsid w:val="00CB1959"/>
    <w:rsid w:val="00CB23FF"/>
    <w:rsid w:val="00CB40BD"/>
    <w:rsid w:val="00CC0FD1"/>
    <w:rsid w:val="00CC1D45"/>
    <w:rsid w:val="00CC741B"/>
    <w:rsid w:val="00CC7456"/>
    <w:rsid w:val="00CC7AC1"/>
    <w:rsid w:val="00CD0E4B"/>
    <w:rsid w:val="00CD3F5D"/>
    <w:rsid w:val="00CD4AD4"/>
    <w:rsid w:val="00CE2CF5"/>
    <w:rsid w:val="00CE4C89"/>
    <w:rsid w:val="00CE51A9"/>
    <w:rsid w:val="00CF07BA"/>
    <w:rsid w:val="00CF21A3"/>
    <w:rsid w:val="00CF5438"/>
    <w:rsid w:val="00D006F3"/>
    <w:rsid w:val="00D0296C"/>
    <w:rsid w:val="00D03046"/>
    <w:rsid w:val="00D05E55"/>
    <w:rsid w:val="00D1231A"/>
    <w:rsid w:val="00D20A30"/>
    <w:rsid w:val="00D20BC7"/>
    <w:rsid w:val="00D24297"/>
    <w:rsid w:val="00D2641E"/>
    <w:rsid w:val="00D3068D"/>
    <w:rsid w:val="00D3170B"/>
    <w:rsid w:val="00D32D6F"/>
    <w:rsid w:val="00D34D5D"/>
    <w:rsid w:val="00D37B04"/>
    <w:rsid w:val="00D45555"/>
    <w:rsid w:val="00D4628C"/>
    <w:rsid w:val="00D46323"/>
    <w:rsid w:val="00D46C8C"/>
    <w:rsid w:val="00D479B5"/>
    <w:rsid w:val="00D509AE"/>
    <w:rsid w:val="00D540C6"/>
    <w:rsid w:val="00D6059C"/>
    <w:rsid w:val="00D64BD1"/>
    <w:rsid w:val="00D650DC"/>
    <w:rsid w:val="00D71F34"/>
    <w:rsid w:val="00D7310B"/>
    <w:rsid w:val="00D824C4"/>
    <w:rsid w:val="00D85F0B"/>
    <w:rsid w:val="00D90B37"/>
    <w:rsid w:val="00D92254"/>
    <w:rsid w:val="00D924D3"/>
    <w:rsid w:val="00DA1B52"/>
    <w:rsid w:val="00DA4B3C"/>
    <w:rsid w:val="00DB5D90"/>
    <w:rsid w:val="00DC0996"/>
    <w:rsid w:val="00DC13AF"/>
    <w:rsid w:val="00DC238C"/>
    <w:rsid w:val="00DC5A4E"/>
    <w:rsid w:val="00DC6D78"/>
    <w:rsid w:val="00DD0362"/>
    <w:rsid w:val="00DD3E88"/>
    <w:rsid w:val="00DD75A0"/>
    <w:rsid w:val="00DE084C"/>
    <w:rsid w:val="00DE0B4B"/>
    <w:rsid w:val="00DF2254"/>
    <w:rsid w:val="00DF68CF"/>
    <w:rsid w:val="00DF701C"/>
    <w:rsid w:val="00E0138E"/>
    <w:rsid w:val="00E0497E"/>
    <w:rsid w:val="00E055AB"/>
    <w:rsid w:val="00E1226B"/>
    <w:rsid w:val="00E13707"/>
    <w:rsid w:val="00E14E3E"/>
    <w:rsid w:val="00E14E55"/>
    <w:rsid w:val="00E14F51"/>
    <w:rsid w:val="00E15A6C"/>
    <w:rsid w:val="00E1666D"/>
    <w:rsid w:val="00E16D5F"/>
    <w:rsid w:val="00E20945"/>
    <w:rsid w:val="00E218C9"/>
    <w:rsid w:val="00E221FA"/>
    <w:rsid w:val="00E266D6"/>
    <w:rsid w:val="00E26CF6"/>
    <w:rsid w:val="00E3076E"/>
    <w:rsid w:val="00E3153B"/>
    <w:rsid w:val="00E32094"/>
    <w:rsid w:val="00E35250"/>
    <w:rsid w:val="00E357B7"/>
    <w:rsid w:val="00E40E8B"/>
    <w:rsid w:val="00E410F8"/>
    <w:rsid w:val="00E42990"/>
    <w:rsid w:val="00E42E50"/>
    <w:rsid w:val="00E43B47"/>
    <w:rsid w:val="00E4584F"/>
    <w:rsid w:val="00E463CC"/>
    <w:rsid w:val="00E532A8"/>
    <w:rsid w:val="00E53800"/>
    <w:rsid w:val="00E54F1B"/>
    <w:rsid w:val="00E6081F"/>
    <w:rsid w:val="00E614AA"/>
    <w:rsid w:val="00E624EC"/>
    <w:rsid w:val="00E70C37"/>
    <w:rsid w:val="00E8296D"/>
    <w:rsid w:val="00E82F3E"/>
    <w:rsid w:val="00E83E92"/>
    <w:rsid w:val="00E8457B"/>
    <w:rsid w:val="00E8703B"/>
    <w:rsid w:val="00E91AA9"/>
    <w:rsid w:val="00E944AA"/>
    <w:rsid w:val="00EA04B2"/>
    <w:rsid w:val="00EA20F3"/>
    <w:rsid w:val="00EA36D9"/>
    <w:rsid w:val="00EA7CD9"/>
    <w:rsid w:val="00EB43B9"/>
    <w:rsid w:val="00EB6126"/>
    <w:rsid w:val="00EC2B54"/>
    <w:rsid w:val="00EC46B9"/>
    <w:rsid w:val="00EC608A"/>
    <w:rsid w:val="00EC675A"/>
    <w:rsid w:val="00EC6D38"/>
    <w:rsid w:val="00ED179A"/>
    <w:rsid w:val="00ED18EE"/>
    <w:rsid w:val="00ED2831"/>
    <w:rsid w:val="00ED3B2D"/>
    <w:rsid w:val="00ED43D1"/>
    <w:rsid w:val="00ED6E38"/>
    <w:rsid w:val="00EE0466"/>
    <w:rsid w:val="00EE0841"/>
    <w:rsid w:val="00EE1CFF"/>
    <w:rsid w:val="00EE4EE1"/>
    <w:rsid w:val="00EF2307"/>
    <w:rsid w:val="00EF2915"/>
    <w:rsid w:val="00EF4574"/>
    <w:rsid w:val="00F003E0"/>
    <w:rsid w:val="00F00FCD"/>
    <w:rsid w:val="00F01921"/>
    <w:rsid w:val="00F02A08"/>
    <w:rsid w:val="00F06982"/>
    <w:rsid w:val="00F06B49"/>
    <w:rsid w:val="00F13373"/>
    <w:rsid w:val="00F1745A"/>
    <w:rsid w:val="00F20898"/>
    <w:rsid w:val="00F2483E"/>
    <w:rsid w:val="00F24FCD"/>
    <w:rsid w:val="00F258BF"/>
    <w:rsid w:val="00F25A93"/>
    <w:rsid w:val="00F2684E"/>
    <w:rsid w:val="00F27235"/>
    <w:rsid w:val="00F32F70"/>
    <w:rsid w:val="00F342EA"/>
    <w:rsid w:val="00F37107"/>
    <w:rsid w:val="00F42586"/>
    <w:rsid w:val="00F43C1B"/>
    <w:rsid w:val="00F4510A"/>
    <w:rsid w:val="00F45486"/>
    <w:rsid w:val="00F46EF3"/>
    <w:rsid w:val="00F47942"/>
    <w:rsid w:val="00F53309"/>
    <w:rsid w:val="00F53E91"/>
    <w:rsid w:val="00F5404C"/>
    <w:rsid w:val="00F55791"/>
    <w:rsid w:val="00F64397"/>
    <w:rsid w:val="00F650C7"/>
    <w:rsid w:val="00F66407"/>
    <w:rsid w:val="00F67C6A"/>
    <w:rsid w:val="00F70504"/>
    <w:rsid w:val="00F707E0"/>
    <w:rsid w:val="00F71CB4"/>
    <w:rsid w:val="00F729EF"/>
    <w:rsid w:val="00F746B7"/>
    <w:rsid w:val="00F760AE"/>
    <w:rsid w:val="00F77CAE"/>
    <w:rsid w:val="00F77F71"/>
    <w:rsid w:val="00F82271"/>
    <w:rsid w:val="00F83428"/>
    <w:rsid w:val="00F875A8"/>
    <w:rsid w:val="00F90B17"/>
    <w:rsid w:val="00F9151C"/>
    <w:rsid w:val="00F96BB9"/>
    <w:rsid w:val="00F975C0"/>
    <w:rsid w:val="00FA4D1A"/>
    <w:rsid w:val="00FA5EFD"/>
    <w:rsid w:val="00FC1216"/>
    <w:rsid w:val="00FC5365"/>
    <w:rsid w:val="00FC6BA2"/>
    <w:rsid w:val="00FD0240"/>
    <w:rsid w:val="00FD1850"/>
    <w:rsid w:val="00FD62EA"/>
    <w:rsid w:val="00FD710F"/>
    <w:rsid w:val="00FE0288"/>
    <w:rsid w:val="00FE6D51"/>
    <w:rsid w:val="00FE6F2A"/>
    <w:rsid w:val="00FF0590"/>
    <w:rsid w:val="00FF551B"/>
    <w:rsid w:val="12297368"/>
    <w:rsid w:val="1648267C"/>
    <w:rsid w:val="175AAEFA"/>
    <w:rsid w:val="200EC2F8"/>
    <w:rsid w:val="2282B4D5"/>
    <w:rsid w:val="2BBF41BB"/>
    <w:rsid w:val="5120ACDD"/>
    <w:rsid w:val="58CB0773"/>
    <w:rsid w:val="6BB84D83"/>
    <w:rsid w:val="6D541DE4"/>
    <w:rsid w:val="76AD2192"/>
    <w:rsid w:val="7E2FADC7"/>
  </w:rsids>
  <m:mathPr>
    <m:mathFont m:val="Cambria Math"/>
    <m:brkBin m:val="before"/>
    <m:brkBinSub m:val="--"/>
    <m:smallFrac m:val="0"/>
    <m:dispDef/>
    <m:lMargin m:val="0"/>
    <m:rMargin m:val="0"/>
    <m:defJc m:val="centerGroup"/>
    <m:wrapIndent m:val="1440"/>
    <m:intLim m:val="subSup"/>
    <m:naryLim m:val="undOvr"/>
  </m:mathPr>
  <w:themeFontLang w:val="en-AU" w:bidi="lo-L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345038"/>
    <w:pPr>
      <w:spacing w:before="120" w:after="60" w:line="260" w:lineRule="auto"/>
      <w:contextualSpacing w:val="0"/>
      <w:outlineLvl w:val="1"/>
    </w:pPr>
    <w:rPr>
      <w:bCs w:val="0"/>
      <w:sz w:val="22"/>
      <w:szCs w:val="26"/>
    </w:rPr>
  </w:style>
  <w:style w:type="paragraph" w:styleId="Heading3">
    <w:name w:val="heading 3"/>
    <w:basedOn w:val="Heading2"/>
    <w:next w:val="Normal"/>
    <w:link w:val="Heading3Char"/>
    <w:autoRedefine/>
    <w:uiPriority w:val="9"/>
    <w:unhideWhenUsed/>
    <w:qFormat/>
    <w:rsid w:val="00202474"/>
    <w:pPr>
      <w:spacing w:before="240" w:after="120" w:line="259" w:lineRule="auto"/>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345038"/>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202474"/>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pPr>
    <w:rPr>
      <w:bCs/>
    </w:rPr>
  </w:style>
  <w:style w:type="paragraph" w:customStyle="1" w:styleId="Heading3Numbered">
    <w:name w:val="Heading 3 Numbered"/>
    <w:basedOn w:val="Heading3"/>
    <w:next w:val="Normal"/>
    <w:qFormat/>
    <w:rsid w:val="00ED2831"/>
    <w:pPr>
      <w:numPr>
        <w:ilvl w:val="2"/>
        <w:numId w:val="6"/>
      </w:numPr>
      <w:spacing w:before="30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F02A08"/>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315648286">
      <w:bodyDiv w:val="1"/>
      <w:marLeft w:val="0"/>
      <w:marRight w:val="0"/>
      <w:marTop w:val="0"/>
      <w:marBottom w:val="0"/>
      <w:divBdr>
        <w:top w:val="none" w:sz="0" w:space="0" w:color="auto"/>
        <w:left w:val="none" w:sz="0" w:space="0" w:color="auto"/>
        <w:bottom w:val="none" w:sz="0" w:space="0" w:color="auto"/>
        <w:right w:val="none" w:sz="0" w:space="0" w:color="auto"/>
      </w:divBdr>
    </w:div>
    <w:div w:id="1021668850">
      <w:bodyDiv w:val="1"/>
      <w:marLeft w:val="0"/>
      <w:marRight w:val="0"/>
      <w:marTop w:val="0"/>
      <w:marBottom w:val="0"/>
      <w:divBdr>
        <w:top w:val="none" w:sz="0" w:space="0" w:color="auto"/>
        <w:left w:val="none" w:sz="0" w:space="0" w:color="auto"/>
        <w:bottom w:val="none" w:sz="0" w:space="0" w:color="auto"/>
        <w:right w:val="none" w:sz="0" w:space="0" w:color="auto"/>
      </w:divBdr>
    </w:div>
    <w:div w:id="1132601892">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01877635">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2053722830">
      <w:bodyDiv w:val="1"/>
      <w:marLeft w:val="0"/>
      <w:marRight w:val="0"/>
      <w:marTop w:val="0"/>
      <w:marBottom w:val="0"/>
      <w:divBdr>
        <w:top w:val="none" w:sz="0" w:space="0" w:color="auto"/>
        <w:left w:val="none" w:sz="0" w:space="0" w:color="auto"/>
        <w:bottom w:val="none" w:sz="0" w:space="0" w:color="auto"/>
        <w:right w:val="none" w:sz="0" w:space="0" w:color="auto"/>
      </w:divBdr>
    </w:div>
    <w:div w:id="2069186620">
      <w:bodyDiv w:val="1"/>
      <w:marLeft w:val="0"/>
      <w:marRight w:val="0"/>
      <w:marTop w:val="0"/>
      <w:marBottom w:val="0"/>
      <w:divBdr>
        <w:top w:val="none" w:sz="0" w:space="0" w:color="auto"/>
        <w:left w:val="none" w:sz="0" w:space="0" w:color="auto"/>
        <w:bottom w:val="none" w:sz="0" w:space="0" w:color="auto"/>
        <w:right w:val="none" w:sz="0" w:space="0" w:color="auto"/>
      </w:divBdr>
    </w:div>
    <w:div w:id="21118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2548</Words>
  <Characters>15040</Characters>
  <Application>Microsoft Office Word</Application>
  <DocSecurity>0</DocSecurity>
  <Lines>289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2022-12-20T07:24:00Z</dcterms:created>
  <dcterms:modified xsi:type="dcterms:W3CDTF">2022-12-20T07:25:00Z</dcterms:modified>
  <cp:category/>
</cp:coreProperties>
</file>