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B4AE2" w14:textId="6D34A023" w:rsidR="009A744E" w:rsidRPr="00571315" w:rsidRDefault="005F176A" w:rsidP="00571315">
      <w:pPr>
        <w:pStyle w:val="Heading1"/>
        <w:spacing w:after="0" w:line="240" w:lineRule="auto"/>
        <w:contextualSpacing w:val="0"/>
        <w:rPr>
          <w:rFonts w:cstheme="minorHAnsi"/>
        </w:rPr>
      </w:pPr>
      <w:r w:rsidRPr="00571315">
        <w:rPr>
          <w:rFonts w:cstheme="minorHAnsi"/>
        </w:rPr>
        <w:t>20</w:t>
      </w:r>
      <w:r w:rsidR="002E500A" w:rsidRPr="00571315">
        <w:rPr>
          <w:rFonts w:cstheme="minorHAnsi"/>
        </w:rPr>
        <w:t>2</w:t>
      </w:r>
      <w:r w:rsidR="009543B9" w:rsidRPr="00571315">
        <w:rPr>
          <w:rFonts w:cstheme="minorHAnsi"/>
        </w:rPr>
        <w:t>1</w:t>
      </w:r>
      <w:r w:rsidR="002E500A" w:rsidRPr="00571315">
        <w:rPr>
          <w:rFonts w:cstheme="minorHAnsi"/>
        </w:rPr>
        <w:t>-2</w:t>
      </w:r>
      <w:r w:rsidR="009543B9" w:rsidRPr="00571315">
        <w:rPr>
          <w:rFonts w:cstheme="minorHAnsi"/>
        </w:rPr>
        <w:t>2</w:t>
      </w:r>
      <w:r w:rsidR="002E500A" w:rsidRPr="00571315">
        <w:rPr>
          <w:rFonts w:cstheme="minorHAnsi"/>
        </w:rPr>
        <w:t xml:space="preserve"> </w:t>
      </w:r>
      <w:r w:rsidR="00645A38" w:rsidRPr="00571315">
        <w:rPr>
          <w:rFonts w:cstheme="minorHAnsi"/>
        </w:rPr>
        <w:t>samoa</w:t>
      </w:r>
      <w:r w:rsidR="001F7F4D" w:rsidRPr="00571315">
        <w:rPr>
          <w:rFonts w:cstheme="minorHAnsi"/>
        </w:rPr>
        <w:t xml:space="preserve"> D</w:t>
      </w:r>
      <w:r w:rsidR="00382CE7" w:rsidRPr="00571315">
        <w:rPr>
          <w:rFonts w:cstheme="minorHAnsi"/>
        </w:rPr>
        <w:t>evelopment</w:t>
      </w:r>
      <w:r w:rsidR="001F7F4D" w:rsidRPr="00571315">
        <w:rPr>
          <w:rFonts w:cstheme="minorHAnsi"/>
        </w:rPr>
        <w:t xml:space="preserve"> </w:t>
      </w:r>
      <w:r w:rsidR="002E500A" w:rsidRPr="00571315">
        <w:rPr>
          <w:rFonts w:cstheme="minorHAnsi"/>
        </w:rPr>
        <w:t>P</w:t>
      </w:r>
      <w:r w:rsidR="00382CE7" w:rsidRPr="00571315">
        <w:rPr>
          <w:rFonts w:cstheme="minorHAnsi"/>
        </w:rPr>
        <w:t xml:space="preserve">rogram </w:t>
      </w:r>
      <w:r w:rsidR="002E500A" w:rsidRPr="00571315">
        <w:rPr>
          <w:rFonts w:cstheme="minorHAnsi"/>
        </w:rPr>
        <w:t>P</w:t>
      </w:r>
      <w:r w:rsidR="00382CE7" w:rsidRPr="00571315">
        <w:rPr>
          <w:rFonts w:cstheme="minorHAnsi"/>
        </w:rPr>
        <w:t>rogress</w:t>
      </w:r>
      <w:r w:rsidR="002E500A" w:rsidRPr="00571315">
        <w:rPr>
          <w:rFonts w:cstheme="minorHAnsi"/>
        </w:rPr>
        <w:t xml:space="preserve"> R</w:t>
      </w:r>
      <w:r w:rsidR="00382CE7" w:rsidRPr="00571315">
        <w:rPr>
          <w:rFonts w:cstheme="minorHAnsi"/>
        </w:rPr>
        <w:t>eport</w:t>
      </w:r>
    </w:p>
    <w:p w14:paraId="16F05062" w14:textId="690B742B" w:rsidR="0013334D" w:rsidRPr="0013334D" w:rsidRDefault="0013334D" w:rsidP="005A5C68">
      <w:pPr>
        <w:pBdr>
          <w:top w:val="single" w:sz="4" w:space="1" w:color="65C5B4" w:themeColor="accent1"/>
          <w:left w:val="single" w:sz="4" w:space="4" w:color="65C5B4" w:themeColor="accent1"/>
          <w:bottom w:val="single" w:sz="4" w:space="1" w:color="65C5B4" w:themeColor="accent1"/>
          <w:right w:val="single" w:sz="4" w:space="4" w:color="65C5B4" w:themeColor="accent1"/>
        </w:pBdr>
        <w:spacing w:before="0" w:after="0" w:line="240" w:lineRule="auto"/>
      </w:pPr>
      <w:r w:rsidRPr="00015DC0">
        <w:t xml:space="preserve">The COVID-19 Development Response Plan for </w:t>
      </w:r>
      <w:r>
        <w:t>Samoa</w:t>
      </w:r>
      <w:r w:rsidRPr="00015DC0">
        <w:t xml:space="preserve"> </w:t>
      </w:r>
      <w:r>
        <w:t>has been extended through 2022-23</w:t>
      </w:r>
      <w:r w:rsidRPr="00015DC0">
        <w:t>.</w:t>
      </w:r>
      <w:r w:rsidRPr="007C4D69">
        <w:t xml:space="preserve"> </w:t>
      </w:r>
      <w:r>
        <w:br/>
        <w:t xml:space="preserve">In 2022-23, the Samoa program will continue to have a focus on economic governance and growth, education and skills, health security, climate change, gender, </w:t>
      </w:r>
      <w:proofErr w:type="gramStart"/>
      <w:r>
        <w:t>disability</w:t>
      </w:r>
      <w:proofErr w:type="gramEnd"/>
      <w:r>
        <w:t xml:space="preserve"> and social inclusion in support of the Government of Samoa’s </w:t>
      </w:r>
      <w:r w:rsidRPr="0055356D">
        <w:rPr>
          <w:i/>
          <w:iCs/>
        </w:rPr>
        <w:t>Pathway for the Development of Samoa 2021-26</w:t>
      </w:r>
      <w:r>
        <w:t xml:space="preserve">. </w:t>
      </w:r>
    </w:p>
    <w:tbl>
      <w:tblPr>
        <w:tblStyle w:val="GridTable4-Accent1"/>
        <w:tblpPr w:leftFromText="180" w:rightFromText="180" w:vertAnchor="text" w:horzAnchor="margin" w:tblpY="28"/>
        <w:tblW w:w="4673"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ook w:val="04A0" w:firstRow="1" w:lastRow="0" w:firstColumn="1" w:lastColumn="0" w:noHBand="0" w:noVBand="1"/>
        <w:tblCaption w:val="Program Budget"/>
        <w:tblDescription w:val="Amount of Program budget allocation for 2020-21 for Bilateral, Regional, Global and Other Government Department ODA"/>
      </w:tblPr>
      <w:tblGrid>
        <w:gridCol w:w="2561"/>
        <w:gridCol w:w="2112"/>
      </w:tblGrid>
      <w:tr w:rsidR="00DE4417" w14:paraId="47EA1C5E" w14:textId="77777777" w:rsidTr="0022531C">
        <w:trPr>
          <w:cnfStyle w:val="100000000000" w:firstRow="1" w:lastRow="0" w:firstColumn="0" w:lastColumn="0" w:oddVBand="0" w:evenVBand="0" w:oddHBand="0" w:evenHBand="0" w:firstRowFirstColumn="0" w:firstRowLastColumn="0" w:lastRowFirstColumn="0" w:lastRowLastColumn="0"/>
          <w:trHeight w:val="935"/>
          <w:tblHeader/>
        </w:trPr>
        <w:tc>
          <w:tcPr>
            <w:cnfStyle w:val="001000000000" w:firstRow="0" w:lastRow="0" w:firstColumn="1" w:lastColumn="0" w:oddVBand="0" w:evenVBand="0" w:oddHBand="0" w:evenHBand="0" w:firstRowFirstColumn="0" w:firstRowLastColumn="0" w:lastRowFirstColumn="0" w:lastRowLastColumn="0"/>
            <w:tcW w:w="2561"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3FC4AF47" w14:textId="77777777" w:rsidR="00DE4417" w:rsidRPr="005736BB" w:rsidRDefault="00DE4417" w:rsidP="00570BF7">
            <w:pPr>
              <w:widowControl w:val="0"/>
              <w:spacing w:before="60" w:after="120" w:line="260" w:lineRule="exact"/>
              <w:rPr>
                <w:b w:val="0"/>
                <w:bCs w:val="0"/>
                <w:sz w:val="20"/>
                <w:szCs w:val="20"/>
              </w:rPr>
            </w:pPr>
            <w:r w:rsidRPr="005736BB">
              <w:rPr>
                <w:sz w:val="20"/>
                <w:szCs w:val="20"/>
              </w:rPr>
              <w:t>Program Budget</w:t>
            </w:r>
          </w:p>
        </w:tc>
        <w:tc>
          <w:tcPr>
            <w:tcW w:w="2112"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778517AC" w14:textId="77777777" w:rsidR="00DE4417" w:rsidRPr="005736BB" w:rsidRDefault="00DE4417"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36BB">
              <w:rPr>
                <w:sz w:val="20"/>
                <w:szCs w:val="20"/>
              </w:rPr>
              <w:t>202</w:t>
            </w:r>
            <w:r>
              <w:rPr>
                <w:sz w:val="20"/>
                <w:szCs w:val="20"/>
              </w:rPr>
              <w:t>1</w:t>
            </w:r>
            <w:r w:rsidRPr="005736BB">
              <w:rPr>
                <w:sz w:val="20"/>
                <w:szCs w:val="20"/>
              </w:rPr>
              <w:t>-2</w:t>
            </w:r>
            <w:r>
              <w:rPr>
                <w:sz w:val="20"/>
                <w:szCs w:val="20"/>
              </w:rPr>
              <w:t>2</w:t>
            </w:r>
            <w:r w:rsidRPr="005736BB">
              <w:rPr>
                <w:sz w:val="20"/>
                <w:szCs w:val="20"/>
              </w:rPr>
              <w:t xml:space="preserve"> Budget Estimate $m</w:t>
            </w:r>
            <w:r>
              <w:rPr>
                <w:sz w:val="20"/>
                <w:szCs w:val="20"/>
              </w:rPr>
              <w:t>*</w:t>
            </w:r>
          </w:p>
        </w:tc>
      </w:tr>
      <w:tr w:rsidR="00DE4417" w14:paraId="41F725CB" w14:textId="77777777" w:rsidTr="0022531C">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25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B4F17CA" w14:textId="77777777" w:rsidR="00DE4417" w:rsidRPr="005736BB" w:rsidRDefault="00DE4417" w:rsidP="00570BF7">
            <w:pPr>
              <w:widowControl w:val="0"/>
              <w:spacing w:before="60" w:after="120" w:line="260" w:lineRule="exact"/>
              <w:rPr>
                <w:sz w:val="20"/>
                <w:szCs w:val="20"/>
              </w:rPr>
            </w:pPr>
            <w:r w:rsidRPr="005736BB">
              <w:rPr>
                <w:sz w:val="20"/>
                <w:szCs w:val="20"/>
              </w:rPr>
              <w:t>Bilateral</w:t>
            </w:r>
          </w:p>
        </w:tc>
        <w:tc>
          <w:tcPr>
            <w:tcW w:w="211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45091D4" w14:textId="77777777" w:rsidR="00DE4417" w:rsidRDefault="00DE4417"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27.0</w:t>
            </w:r>
          </w:p>
        </w:tc>
      </w:tr>
      <w:tr w:rsidR="00DE4417" w14:paraId="1156A7E0" w14:textId="77777777" w:rsidTr="0022531C">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2561"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4171A3EE" w14:textId="77777777" w:rsidR="00DE4417" w:rsidRPr="005736BB" w:rsidRDefault="00DE4417" w:rsidP="00570BF7">
            <w:pPr>
              <w:widowControl w:val="0"/>
              <w:spacing w:before="60" w:after="120" w:line="260" w:lineRule="exact"/>
              <w:rPr>
                <w:sz w:val="20"/>
                <w:szCs w:val="20"/>
              </w:rPr>
            </w:pPr>
            <w:r w:rsidRPr="005736BB">
              <w:rPr>
                <w:sz w:val="20"/>
                <w:szCs w:val="20"/>
              </w:rPr>
              <w:t>Regional</w:t>
            </w:r>
          </w:p>
        </w:tc>
        <w:tc>
          <w:tcPr>
            <w:tcW w:w="211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3FAAAA5E" w14:textId="77777777" w:rsidR="00DE4417" w:rsidRDefault="00DE4417"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10.0</w:t>
            </w:r>
          </w:p>
        </w:tc>
      </w:tr>
      <w:tr w:rsidR="00DE4417" w14:paraId="3A35122B" w14:textId="77777777" w:rsidTr="0022531C">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25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472FA0B" w14:textId="77777777" w:rsidR="00DE4417" w:rsidRPr="005736BB" w:rsidRDefault="00DE4417" w:rsidP="00570BF7">
            <w:pPr>
              <w:widowControl w:val="0"/>
              <w:spacing w:before="60" w:after="120" w:line="260" w:lineRule="exact"/>
              <w:rPr>
                <w:sz w:val="20"/>
                <w:szCs w:val="20"/>
              </w:rPr>
            </w:pPr>
            <w:r w:rsidRPr="005736BB">
              <w:rPr>
                <w:sz w:val="20"/>
                <w:szCs w:val="20"/>
              </w:rPr>
              <w:t>Global</w:t>
            </w:r>
          </w:p>
        </w:tc>
        <w:tc>
          <w:tcPr>
            <w:tcW w:w="211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9EF3E48" w14:textId="77777777" w:rsidR="00DE4417" w:rsidRDefault="00DE4417"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0.1</w:t>
            </w:r>
          </w:p>
        </w:tc>
      </w:tr>
      <w:tr w:rsidR="00DE4417" w14:paraId="7A67A519" w14:textId="77777777" w:rsidTr="0022531C">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2561"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2106D670" w14:textId="77777777" w:rsidR="00DE4417" w:rsidRPr="005736BB" w:rsidRDefault="00DE4417" w:rsidP="00570BF7">
            <w:pPr>
              <w:widowControl w:val="0"/>
              <w:spacing w:before="60" w:after="120" w:line="260" w:lineRule="exact"/>
              <w:rPr>
                <w:sz w:val="20"/>
                <w:szCs w:val="20"/>
              </w:rPr>
            </w:pPr>
            <w:r w:rsidRPr="005736BB">
              <w:rPr>
                <w:sz w:val="20"/>
                <w:szCs w:val="20"/>
              </w:rPr>
              <w:t>Other Govt. Departments</w:t>
            </w:r>
          </w:p>
        </w:tc>
        <w:tc>
          <w:tcPr>
            <w:tcW w:w="211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E5D3FDC" w14:textId="77777777" w:rsidR="00DE4417" w:rsidRDefault="00DE4417"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2.6</w:t>
            </w:r>
          </w:p>
        </w:tc>
      </w:tr>
      <w:tr w:rsidR="00DE4417" w14:paraId="2EDA80FA" w14:textId="77777777" w:rsidTr="0022531C">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25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535A98A" w14:textId="77777777" w:rsidR="00DE4417" w:rsidRPr="005736BB" w:rsidRDefault="00DE4417" w:rsidP="00570BF7">
            <w:pPr>
              <w:widowControl w:val="0"/>
              <w:spacing w:before="60" w:after="120" w:line="260" w:lineRule="exact"/>
              <w:rPr>
                <w:sz w:val="20"/>
                <w:szCs w:val="20"/>
              </w:rPr>
            </w:pPr>
            <w:r w:rsidRPr="005736BB">
              <w:rPr>
                <w:sz w:val="20"/>
                <w:szCs w:val="20"/>
              </w:rPr>
              <w:t>Total ODA</w:t>
            </w:r>
          </w:p>
        </w:tc>
        <w:tc>
          <w:tcPr>
            <w:tcW w:w="211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6B5FDE8" w14:textId="77777777" w:rsidR="00DE4417" w:rsidRDefault="00DE4417"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39.7</w:t>
            </w:r>
          </w:p>
        </w:tc>
      </w:tr>
    </w:tbl>
    <w:p w14:paraId="47D5B03C" w14:textId="7C58700A" w:rsidR="00805A86" w:rsidRDefault="00B10F53" w:rsidP="006804E5">
      <w:pPr>
        <w:widowControl w:val="0"/>
        <w:spacing w:before="0" w:after="0" w:line="240" w:lineRule="auto"/>
        <w:rPr>
          <w:rFonts w:cstheme="minorHAnsi"/>
          <w:i/>
          <w:iCs/>
          <w:color w:val="auto"/>
          <w:sz w:val="18"/>
          <w:szCs w:val="18"/>
        </w:rPr>
      </w:pPr>
      <w:r>
        <w:rPr>
          <w:noProof/>
        </w:rPr>
        <w:drawing>
          <wp:inline distT="0" distB="0" distL="0" distR="0" wp14:anchorId="5251B57D" wp14:editId="65EAB98B">
            <wp:extent cx="3590925" cy="2524125"/>
            <wp:effectExtent l="0" t="0" r="9525" b="9525"/>
            <wp:docPr id="2" name="Picture 2" descr="The Samoa Development Program by Sector Group 2021-22 Budget Estimate&#10;Economic Infrastructure and Services 3%&#10;Agriculture, Trade and other Production Sectors 5%&#10;Governance 35%&#10;Education 37%&#10;Health 10%&#10;Multisector and General Development Support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amoa Development Program by Sector Group 2021-22 Budget Estimate&#10;Economic Infrastructure and Services 3%&#10;Agriculture, Trade and other Production Sectors 5%&#10;Governance 35%&#10;Education 37%&#10;Health 10%&#10;Multisector and General Development Support 1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925" cy="2524125"/>
                    </a:xfrm>
                    <a:prstGeom prst="rect">
                      <a:avLst/>
                    </a:prstGeom>
                    <a:noFill/>
                    <a:ln>
                      <a:noFill/>
                    </a:ln>
                  </pic:spPr>
                </pic:pic>
              </a:graphicData>
            </a:graphic>
          </wp:inline>
        </w:drawing>
      </w:r>
    </w:p>
    <w:p w14:paraId="3EDC8A44" w14:textId="4EF27DEC" w:rsidR="007B53F9" w:rsidRPr="006B34C9" w:rsidRDefault="00CA5021" w:rsidP="0055356D">
      <w:pPr>
        <w:widowControl w:val="0"/>
        <w:spacing w:before="0" w:after="0" w:line="240" w:lineRule="auto"/>
        <w:rPr>
          <w:rFonts w:cstheme="minorHAnsi"/>
          <w:i/>
          <w:iCs/>
          <w:color w:val="auto"/>
          <w:sz w:val="18"/>
          <w:szCs w:val="18"/>
        </w:rPr>
      </w:pPr>
      <w:r w:rsidRPr="00003AC7">
        <w:rPr>
          <w:rFonts w:cstheme="minorHAnsi"/>
          <w:i/>
          <w:iCs/>
          <w:color w:val="auto"/>
          <w:sz w:val="18"/>
          <w:szCs w:val="18"/>
        </w:rPr>
        <w:t>*</w:t>
      </w:r>
      <w:r w:rsidRPr="006B34C9">
        <w:rPr>
          <w:i/>
          <w:iCs/>
          <w:sz w:val="18"/>
          <w:szCs w:val="18"/>
        </w:rPr>
        <w:t xml:space="preserve">Actual expenditure is expected to be available in </w:t>
      </w:r>
      <w:r w:rsidR="00A17461" w:rsidRPr="006B34C9">
        <w:rPr>
          <w:i/>
          <w:iCs/>
          <w:sz w:val="18"/>
          <w:szCs w:val="18"/>
        </w:rPr>
        <w:t>early 2023</w:t>
      </w:r>
      <w:r w:rsidR="000B40E9" w:rsidRPr="006B34C9">
        <w:rPr>
          <w:rFonts w:cstheme="minorHAnsi"/>
          <w:i/>
          <w:iCs/>
          <w:color w:val="auto"/>
          <w:sz w:val="18"/>
          <w:szCs w:val="18"/>
        </w:rPr>
        <w:t>.</w:t>
      </w:r>
      <w:r w:rsidR="006B34C9" w:rsidRPr="006B34C9">
        <w:rPr>
          <w:i/>
          <w:iCs/>
          <w:sz w:val="18"/>
          <w:szCs w:val="18"/>
        </w:rPr>
        <w:t xml:space="preserve"> Due to rounding, totals may not match the sum of components</w:t>
      </w:r>
      <w:r w:rsidR="00A916BA">
        <w:rPr>
          <w:i/>
          <w:iCs/>
          <w:sz w:val="18"/>
          <w:szCs w:val="18"/>
        </w:rPr>
        <w:t>.</w:t>
      </w:r>
    </w:p>
    <w:p w14:paraId="2712465C" w14:textId="480DA77B" w:rsidR="001A2653" w:rsidRPr="00CB5512" w:rsidRDefault="001A2653" w:rsidP="0055356D">
      <w:pPr>
        <w:spacing w:before="0" w:after="0" w:line="240" w:lineRule="auto"/>
        <w:rPr>
          <w:b/>
          <w:bCs/>
          <w:i/>
          <w:iCs/>
          <w:sz w:val="20"/>
          <w:szCs w:val="20"/>
        </w:rPr>
      </w:pPr>
      <w:r w:rsidRPr="00CB5512">
        <w:rPr>
          <w:b/>
          <w:bCs/>
          <w:i/>
          <w:iCs/>
          <w:sz w:val="20"/>
          <w:szCs w:val="20"/>
        </w:rPr>
        <w:t xml:space="preserve">Our development program to </w:t>
      </w:r>
      <w:r w:rsidR="009F115B">
        <w:rPr>
          <w:b/>
          <w:bCs/>
          <w:i/>
          <w:iCs/>
          <w:sz w:val="20"/>
          <w:szCs w:val="20"/>
        </w:rPr>
        <w:t>Samoa</w:t>
      </w:r>
      <w:r w:rsidRPr="00CB5512">
        <w:rPr>
          <w:b/>
          <w:bCs/>
          <w:i/>
          <w:iCs/>
          <w:sz w:val="20"/>
          <w:szCs w:val="20"/>
        </w:rPr>
        <w:t xml:space="preserve"> contributes towards achieving the following Sustainable Development Goals:</w:t>
      </w:r>
    </w:p>
    <w:p w14:paraId="6BE09466" w14:textId="3C8A6489" w:rsidR="003806FE" w:rsidRPr="00D914E4" w:rsidRDefault="004A4E91" w:rsidP="00A67E24">
      <w:pPr>
        <w:spacing w:before="100" w:line="259" w:lineRule="auto"/>
        <w:rPr>
          <w:rFonts w:cstheme="minorHAnsi"/>
        </w:rPr>
      </w:pPr>
      <w:r w:rsidRPr="004A4E91">
        <w:rPr>
          <w:noProof/>
        </w:rPr>
        <w:drawing>
          <wp:inline distT="0" distB="0" distL="0" distR="0" wp14:anchorId="1FB8CD2A" wp14:editId="50278D36">
            <wp:extent cx="6696075" cy="571500"/>
            <wp:effectExtent l="0" t="0" r="0" b="0"/>
            <wp:docPr id="36" name="Picture 36" descr="Sustainable Development Goal 1- No Poverty&#10;Sustainable Development Goal 3-Good Health and Well-being&#10;Sustainable Development Goal 4-Quality Education&#10;Sustainable Development Goal 5-Gender Equality&#10;Sustainable Development Goal 8- Decent Work and Economic Growth&#10;Sustainable Development Goal 9- Industry, Innovation and Infrastructure&#10;Sustainable Development Goal 10- Reduced Inequality&#10;Sustainable Development Goal 13- Climate Action&#10;Sustainable Development Goal 16- Peace and Justice Strong Institutions&#10;Sustainable Development Goal 17- Partnerships to achieve the Go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ustainable Development Goal 1- No Poverty&#10;Sustainable Development Goal 3-Good Health and Well-being&#10;Sustainable Development Goal 4-Quality Education&#10;Sustainable Development Goal 5-Gender Equality&#10;Sustainable Development Goal 8- Decent Work and Economic Growth&#10;Sustainable Development Goal 9- Industry, Innovation and Infrastructure&#10;Sustainable Development Goal 10- Reduced Inequality&#10;Sustainable Development Goal 13- Climate Action&#10;Sustainable Development Goal 16- Peace and Justice Strong Institutions&#10;Sustainable Development Goal 17- Partnerships to achieve the Goal&#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6075" cy="571500"/>
                    </a:xfrm>
                    <a:prstGeom prst="rect">
                      <a:avLst/>
                    </a:prstGeom>
                    <a:noFill/>
                    <a:ln>
                      <a:noFill/>
                    </a:ln>
                  </pic:spPr>
                </pic:pic>
              </a:graphicData>
            </a:graphic>
          </wp:inline>
        </w:drawing>
      </w:r>
      <w:r w:rsidR="003806FE" w:rsidRPr="00D914E4">
        <w:rPr>
          <w:rFonts w:cstheme="minorHAnsi"/>
        </w:rPr>
        <w:t xml:space="preserve">The </w:t>
      </w:r>
      <w:r w:rsidR="003806FE" w:rsidRPr="00D914E4">
        <w:rPr>
          <w:rFonts w:cstheme="minorHAnsi"/>
          <w:iCs/>
        </w:rPr>
        <w:t>202</w:t>
      </w:r>
      <w:r w:rsidR="00ED6E38" w:rsidRPr="00D914E4">
        <w:rPr>
          <w:rFonts w:cstheme="minorHAnsi"/>
          <w:iCs/>
        </w:rPr>
        <w:t>1</w:t>
      </w:r>
      <w:r w:rsidR="003806FE" w:rsidRPr="00D914E4">
        <w:rPr>
          <w:rFonts w:cstheme="minorHAnsi"/>
          <w:iCs/>
        </w:rPr>
        <w:t>-2</w:t>
      </w:r>
      <w:r w:rsidR="00ED6E38" w:rsidRPr="00D914E4">
        <w:rPr>
          <w:rFonts w:cstheme="minorHAnsi"/>
          <w:iCs/>
        </w:rPr>
        <w:t>2</w:t>
      </w:r>
      <w:r w:rsidR="003806FE" w:rsidRPr="00D914E4">
        <w:rPr>
          <w:rFonts w:cstheme="minorHAnsi"/>
          <w:iCs/>
        </w:rPr>
        <w:t xml:space="preserve"> </w:t>
      </w:r>
      <w:r w:rsidR="00764D5B" w:rsidRPr="00D914E4">
        <w:rPr>
          <w:rFonts w:cstheme="minorHAnsi"/>
          <w:iCs/>
        </w:rPr>
        <w:t>Samoa</w:t>
      </w:r>
      <w:r w:rsidR="003806FE" w:rsidRPr="00D914E4">
        <w:rPr>
          <w:rFonts w:cstheme="minorHAnsi"/>
          <w:iCs/>
        </w:rPr>
        <w:t xml:space="preserve"> Development Program Progress Report summarises </w:t>
      </w:r>
      <w:r w:rsidR="00404443" w:rsidRPr="00D914E4">
        <w:rPr>
          <w:rFonts w:cstheme="minorHAnsi"/>
          <w:iCs/>
        </w:rPr>
        <w:t>progress with implementation of the Australia</w:t>
      </w:r>
      <w:r w:rsidR="00404443" w:rsidRPr="00D914E4">
        <w:rPr>
          <w:rFonts w:cstheme="minorHAnsi"/>
        </w:rPr>
        <w:t xml:space="preserve"> – </w:t>
      </w:r>
      <w:r w:rsidR="00764D5B" w:rsidRPr="00D914E4">
        <w:rPr>
          <w:rFonts w:cstheme="minorHAnsi"/>
        </w:rPr>
        <w:t>Samoa</w:t>
      </w:r>
      <w:r w:rsidR="00404443" w:rsidRPr="00D914E4">
        <w:rPr>
          <w:rFonts w:cstheme="minorHAnsi"/>
        </w:rPr>
        <w:t xml:space="preserve"> COVID-19 </w:t>
      </w:r>
      <w:r w:rsidR="00B66D3E" w:rsidRPr="00D914E4">
        <w:rPr>
          <w:rFonts w:cstheme="minorHAnsi"/>
        </w:rPr>
        <w:t xml:space="preserve">Development </w:t>
      </w:r>
      <w:r w:rsidR="00404443" w:rsidRPr="00D914E4">
        <w:rPr>
          <w:rFonts w:cstheme="minorHAnsi"/>
        </w:rPr>
        <w:t xml:space="preserve">Response Plan and </w:t>
      </w:r>
      <w:r w:rsidR="00734AB2" w:rsidRPr="00D914E4">
        <w:rPr>
          <w:rFonts w:cstheme="minorHAnsi"/>
        </w:rPr>
        <w:t xml:space="preserve">highlights </w:t>
      </w:r>
      <w:r w:rsidR="003806FE" w:rsidRPr="00D914E4">
        <w:rPr>
          <w:rFonts w:cstheme="minorHAnsi"/>
        </w:rPr>
        <w:t xml:space="preserve">program </w:t>
      </w:r>
      <w:r w:rsidR="005F176A" w:rsidRPr="00D914E4">
        <w:rPr>
          <w:rFonts w:cstheme="minorHAnsi"/>
        </w:rPr>
        <w:t>results.</w:t>
      </w:r>
      <w:r w:rsidR="000D003A" w:rsidRPr="00D914E4">
        <w:rPr>
          <w:rFonts w:cstheme="minorHAnsi"/>
        </w:rPr>
        <w:t xml:space="preserve"> </w:t>
      </w:r>
    </w:p>
    <w:p w14:paraId="12F182A4" w14:textId="2F00DDCD" w:rsidR="00C84C30" w:rsidRPr="00D914E4" w:rsidRDefault="00C84C30" w:rsidP="00D914E4">
      <w:pPr>
        <w:pStyle w:val="Heading2"/>
      </w:pPr>
      <w:r w:rsidRPr="00D914E4">
        <w:t xml:space="preserve">CONTEXT </w:t>
      </w:r>
    </w:p>
    <w:p w14:paraId="7BB49B34" w14:textId="446F3DBA" w:rsidR="001C753D" w:rsidRDefault="0026145E" w:rsidP="00A67E24">
      <w:pPr>
        <w:spacing w:before="100" w:line="259" w:lineRule="auto"/>
        <w:rPr>
          <w:rFonts w:cstheme="minorHAnsi"/>
        </w:rPr>
      </w:pPr>
      <w:r w:rsidRPr="00D914E4">
        <w:rPr>
          <w:rFonts w:cstheme="minorHAnsi"/>
        </w:rPr>
        <w:t>Australia</w:t>
      </w:r>
      <w:r w:rsidR="00A70B96" w:rsidRPr="00D914E4">
        <w:rPr>
          <w:rFonts w:cstheme="minorHAnsi"/>
        </w:rPr>
        <w:t>’s</w:t>
      </w:r>
      <w:r w:rsidRPr="00D914E4">
        <w:rPr>
          <w:rFonts w:cstheme="minorHAnsi"/>
        </w:rPr>
        <w:t xml:space="preserve"> </w:t>
      </w:r>
      <w:r w:rsidR="006937CD" w:rsidRPr="00D914E4">
        <w:rPr>
          <w:rFonts w:cstheme="minorHAnsi"/>
        </w:rPr>
        <w:t xml:space="preserve">longstanding partnership </w:t>
      </w:r>
      <w:r w:rsidR="00A70B96" w:rsidRPr="00D914E4">
        <w:rPr>
          <w:rFonts w:cstheme="minorHAnsi"/>
        </w:rPr>
        <w:t xml:space="preserve">with Samoa is </w:t>
      </w:r>
      <w:r w:rsidR="006937CD" w:rsidRPr="00D914E4">
        <w:rPr>
          <w:rFonts w:cstheme="minorHAnsi"/>
        </w:rPr>
        <w:t xml:space="preserve">underpinned by </w:t>
      </w:r>
      <w:r w:rsidR="004F63BA" w:rsidRPr="00D914E4">
        <w:rPr>
          <w:rFonts w:cstheme="minorHAnsi"/>
        </w:rPr>
        <w:t>development, economic</w:t>
      </w:r>
      <w:r w:rsidR="005B0888" w:rsidRPr="00D914E4">
        <w:rPr>
          <w:rFonts w:cstheme="minorHAnsi"/>
        </w:rPr>
        <w:t xml:space="preserve">, </w:t>
      </w:r>
      <w:r w:rsidR="004F63BA" w:rsidRPr="00D914E4">
        <w:rPr>
          <w:rFonts w:cstheme="minorHAnsi"/>
        </w:rPr>
        <w:t>and security partnership</w:t>
      </w:r>
      <w:r w:rsidR="008B5227" w:rsidRPr="00D914E4">
        <w:rPr>
          <w:rFonts w:cstheme="minorHAnsi"/>
        </w:rPr>
        <w:t>s</w:t>
      </w:r>
      <w:r w:rsidR="004F63BA" w:rsidRPr="00D914E4">
        <w:rPr>
          <w:rFonts w:cstheme="minorHAnsi"/>
        </w:rPr>
        <w:t xml:space="preserve">, and </w:t>
      </w:r>
      <w:r w:rsidR="005B0888" w:rsidRPr="00D914E4">
        <w:rPr>
          <w:rFonts w:cstheme="minorHAnsi"/>
        </w:rPr>
        <w:t xml:space="preserve">rich </w:t>
      </w:r>
      <w:r w:rsidRPr="00D914E4">
        <w:rPr>
          <w:rFonts w:cstheme="minorHAnsi"/>
        </w:rPr>
        <w:t xml:space="preserve">people-to-people </w:t>
      </w:r>
      <w:r w:rsidR="004F63BA" w:rsidRPr="00D914E4">
        <w:rPr>
          <w:rFonts w:cstheme="minorHAnsi"/>
        </w:rPr>
        <w:t>li</w:t>
      </w:r>
      <w:r w:rsidR="00141203" w:rsidRPr="00D914E4">
        <w:rPr>
          <w:rFonts w:cstheme="minorHAnsi"/>
        </w:rPr>
        <w:t>nks</w:t>
      </w:r>
      <w:r w:rsidRPr="00D914E4">
        <w:rPr>
          <w:rFonts w:cstheme="minorHAnsi"/>
        </w:rPr>
        <w:t xml:space="preserve">. </w:t>
      </w:r>
      <w:r w:rsidR="00516D46" w:rsidRPr="00D914E4">
        <w:rPr>
          <w:rFonts w:cstheme="minorHAnsi"/>
        </w:rPr>
        <w:t>In 2020-21</w:t>
      </w:r>
      <w:r w:rsidR="00A87012" w:rsidRPr="00D914E4">
        <w:rPr>
          <w:rFonts w:cstheme="minorHAnsi"/>
        </w:rPr>
        <w:t>,</w:t>
      </w:r>
      <w:r w:rsidR="00516D46" w:rsidRPr="00D914E4">
        <w:rPr>
          <w:rFonts w:cstheme="minorHAnsi"/>
        </w:rPr>
        <w:t xml:space="preserve"> w</w:t>
      </w:r>
      <w:r w:rsidRPr="00D914E4">
        <w:rPr>
          <w:rFonts w:cstheme="minorHAnsi"/>
        </w:rPr>
        <w:t xml:space="preserve">e reoriented our development program to respond to </w:t>
      </w:r>
      <w:r w:rsidR="00272957" w:rsidRPr="00D914E4">
        <w:rPr>
          <w:rFonts w:cstheme="minorHAnsi"/>
        </w:rPr>
        <w:t xml:space="preserve">the </w:t>
      </w:r>
      <w:r w:rsidRPr="00D914E4">
        <w:rPr>
          <w:rFonts w:cstheme="minorHAnsi"/>
        </w:rPr>
        <w:t xml:space="preserve">challenges </w:t>
      </w:r>
      <w:r w:rsidR="00A70B96" w:rsidRPr="00D914E4">
        <w:rPr>
          <w:rFonts w:cstheme="minorHAnsi"/>
        </w:rPr>
        <w:t>of</w:t>
      </w:r>
      <w:r w:rsidR="00272957" w:rsidRPr="00D914E4">
        <w:rPr>
          <w:rFonts w:cstheme="minorHAnsi"/>
        </w:rPr>
        <w:t xml:space="preserve"> COVID-19</w:t>
      </w:r>
      <w:r w:rsidR="00374E55" w:rsidRPr="00D914E4">
        <w:rPr>
          <w:rFonts w:cstheme="minorHAnsi"/>
        </w:rPr>
        <w:t>. In 2021-22</w:t>
      </w:r>
      <w:r w:rsidR="003D095C" w:rsidRPr="00D914E4">
        <w:rPr>
          <w:rFonts w:cstheme="minorHAnsi"/>
        </w:rPr>
        <w:t xml:space="preserve">, </w:t>
      </w:r>
      <w:r w:rsidR="00D864C1" w:rsidRPr="00D914E4">
        <w:rPr>
          <w:rFonts w:cstheme="minorHAnsi"/>
        </w:rPr>
        <w:t xml:space="preserve">we continued to focus on </w:t>
      </w:r>
      <w:r w:rsidR="000C64FC" w:rsidRPr="00D914E4">
        <w:rPr>
          <w:rFonts w:cstheme="minorHAnsi"/>
        </w:rPr>
        <w:t>COVID-19 response</w:t>
      </w:r>
      <w:r w:rsidR="00A87012" w:rsidRPr="00D914E4">
        <w:rPr>
          <w:rFonts w:cstheme="minorHAnsi"/>
        </w:rPr>
        <w:t xml:space="preserve"> and recovery</w:t>
      </w:r>
      <w:r w:rsidR="003B1AD0" w:rsidRPr="00D914E4">
        <w:rPr>
          <w:rFonts w:cstheme="minorHAnsi"/>
        </w:rPr>
        <w:t xml:space="preserve"> a</w:t>
      </w:r>
      <w:r w:rsidR="00582751" w:rsidRPr="00D914E4">
        <w:rPr>
          <w:rFonts w:cstheme="minorHAnsi"/>
        </w:rPr>
        <w:t xml:space="preserve">cross </w:t>
      </w:r>
      <w:r w:rsidR="003B1AD0" w:rsidRPr="00D914E4">
        <w:rPr>
          <w:rFonts w:cstheme="minorHAnsi"/>
        </w:rPr>
        <w:t xml:space="preserve">each of the </w:t>
      </w:r>
      <w:r w:rsidR="00582751" w:rsidRPr="00D914E4">
        <w:rPr>
          <w:rFonts w:cstheme="minorHAnsi"/>
        </w:rPr>
        <w:t xml:space="preserve">three </w:t>
      </w:r>
      <w:r w:rsidR="003B1AD0" w:rsidRPr="00D914E4">
        <w:rPr>
          <w:rFonts w:cstheme="minorHAnsi"/>
        </w:rPr>
        <w:t xml:space="preserve">Partnerships for Recovery </w:t>
      </w:r>
      <w:r w:rsidR="00582751" w:rsidRPr="00D914E4">
        <w:rPr>
          <w:rFonts w:cstheme="minorHAnsi"/>
        </w:rPr>
        <w:t>pillars</w:t>
      </w:r>
      <w:r w:rsidR="003B1AD0" w:rsidRPr="00D914E4">
        <w:rPr>
          <w:rFonts w:cstheme="minorHAnsi"/>
        </w:rPr>
        <w:t xml:space="preserve">. </w:t>
      </w:r>
      <w:r w:rsidR="00A70B96" w:rsidRPr="00D914E4">
        <w:rPr>
          <w:rFonts w:cstheme="minorHAnsi"/>
        </w:rPr>
        <w:t xml:space="preserve">Samoa recorded its first </w:t>
      </w:r>
      <w:r w:rsidR="005E2C29" w:rsidRPr="00D914E4">
        <w:rPr>
          <w:rFonts w:cstheme="minorHAnsi"/>
        </w:rPr>
        <w:t xml:space="preserve">COVID-19 </w:t>
      </w:r>
      <w:r w:rsidR="00A70B96" w:rsidRPr="00D914E4">
        <w:rPr>
          <w:rFonts w:cstheme="minorHAnsi"/>
        </w:rPr>
        <w:t xml:space="preserve">case </w:t>
      </w:r>
      <w:r w:rsidR="003B1AD0" w:rsidRPr="00D914E4">
        <w:rPr>
          <w:rFonts w:cstheme="minorHAnsi"/>
        </w:rPr>
        <w:t>on 17 March 2022. Australia supported Samoa’s response</w:t>
      </w:r>
      <w:r w:rsidR="005E2C29" w:rsidRPr="00D914E4">
        <w:rPr>
          <w:rFonts w:cstheme="minorHAnsi"/>
        </w:rPr>
        <w:t>,</w:t>
      </w:r>
      <w:r w:rsidR="00AA2CC2" w:rsidRPr="00D914E4">
        <w:rPr>
          <w:rFonts w:cstheme="minorHAnsi"/>
        </w:rPr>
        <w:t xml:space="preserve"> </w:t>
      </w:r>
      <w:r w:rsidR="000269BB" w:rsidRPr="00D914E4">
        <w:rPr>
          <w:rFonts w:cstheme="minorHAnsi"/>
        </w:rPr>
        <w:t xml:space="preserve">including </w:t>
      </w:r>
      <w:r w:rsidR="00AA2CC2" w:rsidRPr="00D914E4">
        <w:rPr>
          <w:rFonts w:cstheme="minorHAnsi"/>
        </w:rPr>
        <w:t xml:space="preserve">through vaccine </w:t>
      </w:r>
      <w:r w:rsidR="00BC13CD" w:rsidRPr="00D914E4">
        <w:rPr>
          <w:rFonts w:cstheme="minorHAnsi"/>
        </w:rPr>
        <w:t xml:space="preserve">and other medical </w:t>
      </w:r>
      <w:r w:rsidR="00541F22" w:rsidRPr="00D914E4">
        <w:rPr>
          <w:rFonts w:cstheme="minorHAnsi"/>
        </w:rPr>
        <w:t>supplies</w:t>
      </w:r>
      <w:r w:rsidR="006F5EB4" w:rsidRPr="00D914E4">
        <w:rPr>
          <w:rFonts w:cstheme="minorHAnsi"/>
        </w:rPr>
        <w:t xml:space="preserve">, </w:t>
      </w:r>
      <w:r w:rsidR="00CD555D" w:rsidRPr="00D914E4">
        <w:rPr>
          <w:rFonts w:cstheme="minorHAnsi"/>
        </w:rPr>
        <w:t>eHealth support</w:t>
      </w:r>
      <w:r w:rsidR="006F5EB4" w:rsidRPr="00D914E4">
        <w:rPr>
          <w:rFonts w:cstheme="minorHAnsi"/>
        </w:rPr>
        <w:t xml:space="preserve"> and budget support</w:t>
      </w:r>
      <w:r w:rsidR="001233C1" w:rsidRPr="00D914E4">
        <w:rPr>
          <w:rFonts w:cstheme="minorHAnsi"/>
        </w:rPr>
        <w:t>.</w:t>
      </w:r>
      <w:r w:rsidR="003B1AD0" w:rsidRPr="00D914E4">
        <w:rPr>
          <w:rFonts w:cstheme="minorHAnsi"/>
        </w:rPr>
        <w:t xml:space="preserve"> At the same time, we continued to </w:t>
      </w:r>
      <w:r w:rsidR="000C64FC" w:rsidRPr="00D914E4">
        <w:rPr>
          <w:rFonts w:cstheme="minorHAnsi"/>
        </w:rPr>
        <w:t xml:space="preserve">consolidate </w:t>
      </w:r>
      <w:r w:rsidR="004E1033" w:rsidRPr="00D914E4">
        <w:rPr>
          <w:rFonts w:cstheme="minorHAnsi"/>
        </w:rPr>
        <w:t xml:space="preserve">and reposition </w:t>
      </w:r>
      <w:r w:rsidR="00626DF6" w:rsidRPr="00D914E4">
        <w:rPr>
          <w:rFonts w:cstheme="minorHAnsi"/>
        </w:rPr>
        <w:t xml:space="preserve">our programs </w:t>
      </w:r>
      <w:r w:rsidR="003B1AD0" w:rsidRPr="00D914E4">
        <w:rPr>
          <w:rFonts w:cstheme="minorHAnsi"/>
        </w:rPr>
        <w:t>to ensure the</w:t>
      </w:r>
      <w:r w:rsidR="00D40260" w:rsidRPr="00D914E4">
        <w:rPr>
          <w:rFonts w:cstheme="minorHAnsi"/>
        </w:rPr>
        <w:t xml:space="preserve">y </w:t>
      </w:r>
      <w:r w:rsidR="00A70B96" w:rsidRPr="00D914E4">
        <w:rPr>
          <w:rFonts w:cstheme="minorHAnsi"/>
        </w:rPr>
        <w:t xml:space="preserve">were </w:t>
      </w:r>
      <w:r w:rsidR="003B1AD0" w:rsidRPr="00D914E4">
        <w:rPr>
          <w:rFonts w:cstheme="minorHAnsi"/>
        </w:rPr>
        <w:t>responsive to the development context</w:t>
      </w:r>
      <w:r w:rsidR="00D40260" w:rsidRPr="00D914E4">
        <w:rPr>
          <w:rFonts w:cstheme="minorHAnsi"/>
        </w:rPr>
        <w:t xml:space="preserve">. </w:t>
      </w:r>
      <w:r w:rsidR="007C648E" w:rsidRPr="00D914E4">
        <w:rPr>
          <w:rFonts w:cstheme="minorHAnsi"/>
        </w:rPr>
        <w:t>T</w:t>
      </w:r>
      <w:r w:rsidR="003B1AD0" w:rsidRPr="00D914E4">
        <w:rPr>
          <w:rFonts w:cstheme="minorHAnsi"/>
        </w:rPr>
        <w:t xml:space="preserve">he new Government of Samoa </w:t>
      </w:r>
      <w:r w:rsidR="00EC7BCD" w:rsidRPr="00D914E4">
        <w:rPr>
          <w:rFonts w:cstheme="minorHAnsi"/>
        </w:rPr>
        <w:t>(</w:t>
      </w:r>
      <w:proofErr w:type="spellStart"/>
      <w:r w:rsidR="00EC7BCD" w:rsidRPr="00D914E4">
        <w:rPr>
          <w:rFonts w:cstheme="minorHAnsi"/>
        </w:rPr>
        <w:t>GoS</w:t>
      </w:r>
      <w:proofErr w:type="spellEnd"/>
      <w:r w:rsidR="00EC7BCD" w:rsidRPr="00D914E4">
        <w:rPr>
          <w:rFonts w:cstheme="minorHAnsi"/>
        </w:rPr>
        <w:t xml:space="preserve">) </w:t>
      </w:r>
      <w:r w:rsidR="003B1AD0" w:rsidRPr="00D914E4">
        <w:rPr>
          <w:rFonts w:cstheme="minorHAnsi"/>
        </w:rPr>
        <w:t xml:space="preserve">under Prime Minister </w:t>
      </w:r>
      <w:proofErr w:type="spellStart"/>
      <w:r w:rsidR="003B1AD0" w:rsidRPr="00D914E4">
        <w:rPr>
          <w:rFonts w:cstheme="minorHAnsi"/>
        </w:rPr>
        <w:t>Fiame</w:t>
      </w:r>
      <w:proofErr w:type="spellEnd"/>
      <w:r w:rsidR="003B1AD0" w:rsidRPr="00D914E4">
        <w:rPr>
          <w:rFonts w:cstheme="minorHAnsi"/>
        </w:rPr>
        <w:t xml:space="preserve"> Naomi </w:t>
      </w:r>
      <w:proofErr w:type="spellStart"/>
      <w:r w:rsidR="003B1AD0" w:rsidRPr="00D914E4">
        <w:rPr>
          <w:rFonts w:cstheme="minorHAnsi"/>
        </w:rPr>
        <w:t>Mata’afa</w:t>
      </w:r>
      <w:proofErr w:type="spellEnd"/>
      <w:r w:rsidR="003B1AD0" w:rsidRPr="00D914E4">
        <w:rPr>
          <w:rFonts w:cstheme="minorHAnsi"/>
        </w:rPr>
        <w:t xml:space="preserve"> </w:t>
      </w:r>
      <w:r w:rsidR="006B1F40" w:rsidRPr="00D914E4">
        <w:rPr>
          <w:rFonts w:cstheme="minorHAnsi"/>
        </w:rPr>
        <w:t xml:space="preserve">introduced </w:t>
      </w:r>
      <w:r w:rsidR="00755EBA" w:rsidRPr="00D914E4">
        <w:rPr>
          <w:rFonts w:cstheme="minorHAnsi"/>
        </w:rPr>
        <w:t xml:space="preserve">a </w:t>
      </w:r>
      <w:r w:rsidR="00755EBA" w:rsidRPr="00D914E4">
        <w:rPr>
          <w:rFonts w:cstheme="minorHAnsi"/>
          <w:b/>
          <w:bCs/>
        </w:rPr>
        <w:t>new</w:t>
      </w:r>
      <w:r w:rsidR="006B1F40" w:rsidRPr="00D914E4">
        <w:rPr>
          <w:rFonts w:cstheme="minorHAnsi"/>
          <w:b/>
          <w:bCs/>
        </w:rPr>
        <w:t xml:space="preserve"> </w:t>
      </w:r>
      <w:r w:rsidR="006B1F40" w:rsidRPr="00D914E4">
        <w:rPr>
          <w:rFonts w:cstheme="minorHAnsi"/>
          <w:b/>
          <w:bCs/>
          <w:i/>
          <w:iCs/>
        </w:rPr>
        <w:t>Pathway for the Development of Samoa 2021-26</w:t>
      </w:r>
      <w:r w:rsidR="006B1F40" w:rsidRPr="00D914E4">
        <w:rPr>
          <w:rFonts w:cstheme="minorHAnsi"/>
        </w:rPr>
        <w:t>.</w:t>
      </w:r>
      <w:r w:rsidR="003B1AD0" w:rsidRPr="00D914E4">
        <w:rPr>
          <w:rFonts w:cstheme="minorHAnsi"/>
        </w:rPr>
        <w:t xml:space="preserve"> </w:t>
      </w:r>
      <w:r w:rsidR="006B1F40" w:rsidRPr="00D914E4">
        <w:rPr>
          <w:rFonts w:cstheme="minorHAnsi"/>
        </w:rPr>
        <w:t xml:space="preserve">Our programs </w:t>
      </w:r>
      <w:r w:rsidR="008C3B88" w:rsidRPr="00D914E4">
        <w:rPr>
          <w:rFonts w:cstheme="minorHAnsi"/>
        </w:rPr>
        <w:t>have been</w:t>
      </w:r>
      <w:r w:rsidR="006B1F40" w:rsidRPr="00D914E4">
        <w:rPr>
          <w:rFonts w:cstheme="minorHAnsi"/>
        </w:rPr>
        <w:t xml:space="preserve"> </w:t>
      </w:r>
      <w:r w:rsidR="00DD0CB3" w:rsidRPr="00D914E4">
        <w:rPr>
          <w:rFonts w:cstheme="minorHAnsi"/>
        </w:rPr>
        <w:t xml:space="preserve">oriented to </w:t>
      </w:r>
      <w:r w:rsidR="006B1F40" w:rsidRPr="00D914E4">
        <w:rPr>
          <w:rFonts w:cstheme="minorHAnsi"/>
        </w:rPr>
        <w:t xml:space="preserve">directly support this strategy. </w:t>
      </w:r>
      <w:r w:rsidR="003B1AD0" w:rsidRPr="00D914E4">
        <w:rPr>
          <w:rFonts w:cstheme="minorHAnsi"/>
        </w:rPr>
        <w:t xml:space="preserve">This included the </w:t>
      </w:r>
      <w:r w:rsidR="003B1AD0" w:rsidRPr="00D914E4">
        <w:rPr>
          <w:rFonts w:cstheme="minorHAnsi"/>
          <w:b/>
          <w:bCs/>
        </w:rPr>
        <w:t xml:space="preserve">establishment of the </w:t>
      </w:r>
      <w:proofErr w:type="spellStart"/>
      <w:r w:rsidR="003B1AD0" w:rsidRPr="00D914E4">
        <w:rPr>
          <w:rFonts w:cstheme="minorHAnsi"/>
          <w:b/>
          <w:bCs/>
        </w:rPr>
        <w:t>Tautua</w:t>
      </w:r>
      <w:proofErr w:type="spellEnd"/>
      <w:r w:rsidR="003B1AD0" w:rsidRPr="00D914E4">
        <w:rPr>
          <w:rFonts w:cstheme="minorHAnsi"/>
          <w:b/>
          <w:bCs/>
        </w:rPr>
        <w:t xml:space="preserve"> Human Development for All facility, and </w:t>
      </w:r>
      <w:r w:rsidR="00DD0CB3" w:rsidRPr="00D914E4">
        <w:rPr>
          <w:rFonts w:cstheme="minorHAnsi"/>
          <w:b/>
          <w:bCs/>
        </w:rPr>
        <w:t>a</w:t>
      </w:r>
      <w:r w:rsidR="003B1AD0" w:rsidRPr="00D914E4">
        <w:rPr>
          <w:rFonts w:cstheme="minorHAnsi"/>
          <w:b/>
          <w:bCs/>
        </w:rPr>
        <w:t xml:space="preserve"> Governance and Economic Growth facility</w:t>
      </w:r>
      <w:r w:rsidR="003B1AD0" w:rsidRPr="00D914E4">
        <w:rPr>
          <w:rFonts w:cstheme="minorHAnsi"/>
        </w:rPr>
        <w:t xml:space="preserve"> </w:t>
      </w:r>
      <w:r w:rsidR="00A87012" w:rsidRPr="00D914E4">
        <w:rPr>
          <w:rFonts w:cstheme="minorHAnsi"/>
        </w:rPr>
        <w:t>that is being</w:t>
      </w:r>
      <w:r w:rsidR="003B1AD0" w:rsidRPr="00D914E4">
        <w:rPr>
          <w:rFonts w:cstheme="minorHAnsi"/>
        </w:rPr>
        <w:t xml:space="preserve"> mobilised in the last quarter of 2022. </w:t>
      </w:r>
    </w:p>
    <w:p w14:paraId="7A9FDB4A" w14:textId="29871260" w:rsidR="005A0FE3" w:rsidRPr="00D914E4" w:rsidRDefault="005A0FE3" w:rsidP="00A67E24">
      <w:pPr>
        <w:spacing w:before="100" w:line="259" w:lineRule="auto"/>
        <w:rPr>
          <w:rFonts w:cstheme="minorHAnsi"/>
        </w:rPr>
      </w:pPr>
      <w:r>
        <w:t xml:space="preserve">The Samoan economy contracted in 2019-20 (-3.1 per cent), 2020-21 (-7.1 per cent) and 2021-22 (-5.3 per cent). </w:t>
      </w:r>
      <w:r w:rsidR="001B1C4A" w:rsidRPr="001B1C4A">
        <w:rPr>
          <w:rFonts w:cstheme="minorHAnsi"/>
          <w:b/>
          <w:bCs/>
        </w:rPr>
        <w:t xml:space="preserve"> </w:t>
      </w:r>
      <w:r w:rsidR="001B1C4A" w:rsidRPr="00D914E4">
        <w:rPr>
          <w:rFonts w:cstheme="minorHAnsi"/>
          <w:b/>
          <w:bCs/>
        </w:rPr>
        <w:t xml:space="preserve">Border closures have weighed heavily on the tourism-reliant economy </w:t>
      </w:r>
      <w:r w:rsidR="001B1C4A" w:rsidRPr="005A0FE3">
        <w:rPr>
          <w:b/>
          <w:bCs/>
        </w:rPr>
        <w:t xml:space="preserve">(24 per cent </w:t>
      </w:r>
      <w:r w:rsidR="001B1C4A">
        <w:rPr>
          <w:b/>
          <w:bCs/>
        </w:rPr>
        <w:t xml:space="preserve">of </w:t>
      </w:r>
      <w:r w:rsidR="001B1C4A" w:rsidRPr="005A0FE3">
        <w:rPr>
          <w:b/>
          <w:bCs/>
        </w:rPr>
        <w:t xml:space="preserve">pre-COVID GDP) </w:t>
      </w:r>
      <w:r w:rsidR="001B1C4A" w:rsidRPr="00D914E4">
        <w:rPr>
          <w:rFonts w:cstheme="minorHAnsi"/>
          <w:b/>
          <w:bCs/>
        </w:rPr>
        <w:t>and have only been partially offset by growth in remittances</w:t>
      </w:r>
      <w:r w:rsidR="001B1C4A" w:rsidRPr="00D914E4">
        <w:rPr>
          <w:rFonts w:cstheme="minorHAnsi"/>
        </w:rPr>
        <w:t xml:space="preserve">. </w:t>
      </w:r>
      <w:r>
        <w:t xml:space="preserve">Further, Samoa’s high import reliance </w:t>
      </w:r>
      <w:r w:rsidR="00D20BC2">
        <w:t xml:space="preserve">(52 per cent of GDP) </w:t>
      </w:r>
      <w:r>
        <w:t>means it is highly exposed to increases in global food and fuel prices driven by supply chain disruptions.</w:t>
      </w:r>
    </w:p>
    <w:p w14:paraId="759A3930" w14:textId="45CBA5D5" w:rsidR="007B0C6B" w:rsidRPr="00D914E4" w:rsidRDefault="007B0C6B" w:rsidP="00A67E24">
      <w:pPr>
        <w:spacing w:before="100" w:line="259" w:lineRule="auto"/>
        <w:rPr>
          <w:rFonts w:cstheme="minorHAnsi"/>
        </w:rPr>
      </w:pPr>
    </w:p>
    <w:p w14:paraId="22900C6A" w14:textId="53950FE9" w:rsidR="00EC608A" w:rsidRPr="00D914E4" w:rsidRDefault="00FC1216" w:rsidP="00D914E4">
      <w:pPr>
        <w:pStyle w:val="Heading2"/>
      </w:pPr>
      <w:r w:rsidRPr="00D914E4">
        <w:lastRenderedPageBreak/>
        <w:t>AUSTRALIA’S RESPONS</w:t>
      </w:r>
      <w:r w:rsidR="00193C49" w:rsidRPr="00D914E4">
        <w:t xml:space="preserve">E </w:t>
      </w:r>
      <w:r w:rsidR="00A46B28" w:rsidRPr="00D914E4">
        <w:t>and</w:t>
      </w:r>
      <w:r w:rsidR="00193C49" w:rsidRPr="00D914E4">
        <w:t xml:space="preserve"> PROGRAM HIGHLIGHTS</w:t>
      </w:r>
    </w:p>
    <w:p w14:paraId="3A090151" w14:textId="5518D16D" w:rsidR="003B1AD0" w:rsidRPr="00D914E4" w:rsidRDefault="003B1AD0" w:rsidP="00A67E24">
      <w:pPr>
        <w:spacing w:before="100" w:line="259" w:lineRule="auto"/>
        <w:rPr>
          <w:rFonts w:cstheme="minorHAnsi"/>
        </w:rPr>
      </w:pPr>
      <w:r w:rsidRPr="00D914E4">
        <w:rPr>
          <w:rFonts w:cstheme="minorHAnsi"/>
        </w:rPr>
        <w:t>The confirmation of the</w:t>
      </w:r>
      <w:r w:rsidR="00DA1D08" w:rsidRPr="00D914E4">
        <w:rPr>
          <w:rFonts w:cstheme="minorHAnsi"/>
        </w:rPr>
        <w:t xml:space="preserve"> new</w:t>
      </w:r>
      <w:r w:rsidRPr="00D914E4">
        <w:rPr>
          <w:rFonts w:cstheme="minorHAnsi"/>
        </w:rPr>
        <w:t xml:space="preserve"> </w:t>
      </w:r>
      <w:proofErr w:type="spellStart"/>
      <w:r w:rsidRPr="00D914E4">
        <w:rPr>
          <w:rFonts w:cstheme="minorHAnsi"/>
        </w:rPr>
        <w:t>Fiame</w:t>
      </w:r>
      <w:proofErr w:type="spellEnd"/>
      <w:r w:rsidRPr="00D914E4">
        <w:rPr>
          <w:rFonts w:cstheme="minorHAnsi"/>
        </w:rPr>
        <w:t xml:space="preserve"> Government </w:t>
      </w:r>
      <w:r w:rsidR="009E661D" w:rsidRPr="00D914E4">
        <w:rPr>
          <w:rFonts w:cstheme="minorHAnsi"/>
        </w:rPr>
        <w:t>in</w:t>
      </w:r>
      <w:r w:rsidRPr="00D914E4">
        <w:rPr>
          <w:rFonts w:cstheme="minorHAnsi"/>
        </w:rPr>
        <w:t xml:space="preserve"> September</w:t>
      </w:r>
      <w:r w:rsidR="00AF39F7" w:rsidRPr="00D914E4">
        <w:rPr>
          <w:rFonts w:cstheme="minorHAnsi"/>
        </w:rPr>
        <w:t xml:space="preserve"> 2021 </w:t>
      </w:r>
      <w:r w:rsidR="00DA1D08" w:rsidRPr="00D914E4">
        <w:rPr>
          <w:rFonts w:cstheme="minorHAnsi"/>
        </w:rPr>
        <w:t>has led to a reorientation of</w:t>
      </w:r>
      <w:r w:rsidR="00AF39F7" w:rsidRPr="00D914E4">
        <w:rPr>
          <w:rFonts w:cstheme="minorHAnsi"/>
        </w:rPr>
        <w:t xml:space="preserve"> Samoa’s development priorities</w:t>
      </w:r>
      <w:r w:rsidR="00CA3078" w:rsidRPr="00D914E4">
        <w:rPr>
          <w:rFonts w:cstheme="minorHAnsi"/>
        </w:rPr>
        <w:t>, including a significant focus on community driven development.</w:t>
      </w:r>
      <w:r w:rsidR="00AF39F7" w:rsidRPr="00D914E4">
        <w:rPr>
          <w:rFonts w:cstheme="minorHAnsi"/>
        </w:rPr>
        <w:t xml:space="preserve"> </w:t>
      </w:r>
      <w:r w:rsidR="008A2E35" w:rsidRPr="00D914E4">
        <w:rPr>
          <w:rFonts w:cstheme="minorHAnsi"/>
        </w:rPr>
        <w:t xml:space="preserve">The </w:t>
      </w:r>
      <w:r w:rsidR="006271F6" w:rsidRPr="00D914E4">
        <w:rPr>
          <w:rFonts w:cstheme="minorHAnsi"/>
        </w:rPr>
        <w:t>advent of COVID-19 community transmission</w:t>
      </w:r>
      <w:r w:rsidR="00AF39F7" w:rsidRPr="00D914E4">
        <w:rPr>
          <w:rFonts w:cstheme="minorHAnsi"/>
        </w:rPr>
        <w:t xml:space="preserve"> resulted in slower</w:t>
      </w:r>
      <w:r w:rsidR="00A87012" w:rsidRPr="00D914E4">
        <w:rPr>
          <w:rFonts w:cstheme="minorHAnsi"/>
        </w:rPr>
        <w:t>-</w:t>
      </w:r>
      <w:r w:rsidR="00AF39F7" w:rsidRPr="00D914E4">
        <w:rPr>
          <w:rFonts w:cstheme="minorHAnsi"/>
        </w:rPr>
        <w:t>than</w:t>
      </w:r>
      <w:r w:rsidR="00A87012" w:rsidRPr="00D914E4">
        <w:rPr>
          <w:rFonts w:cstheme="minorHAnsi"/>
        </w:rPr>
        <w:t>-</w:t>
      </w:r>
      <w:r w:rsidR="00AF39F7" w:rsidRPr="00D914E4">
        <w:rPr>
          <w:rFonts w:cstheme="minorHAnsi"/>
        </w:rPr>
        <w:t xml:space="preserve">expected progress in many of our programs. This also placed government systems and capacity under further strain, resulting in </w:t>
      </w:r>
      <w:proofErr w:type="spellStart"/>
      <w:r w:rsidR="003C1EF5" w:rsidRPr="00D914E4">
        <w:rPr>
          <w:rFonts w:cstheme="minorHAnsi"/>
        </w:rPr>
        <w:t>GoS</w:t>
      </w:r>
      <w:proofErr w:type="spellEnd"/>
      <w:r w:rsidR="00CA3078" w:rsidRPr="00D914E4">
        <w:rPr>
          <w:rFonts w:cstheme="minorHAnsi"/>
        </w:rPr>
        <w:t xml:space="preserve"> focus </w:t>
      </w:r>
      <w:r w:rsidR="00251E9D" w:rsidRPr="00D914E4">
        <w:rPr>
          <w:rFonts w:cstheme="minorHAnsi"/>
        </w:rPr>
        <w:t>being directed to support COVID-19 response</w:t>
      </w:r>
      <w:r w:rsidR="00836224" w:rsidRPr="00D914E4">
        <w:rPr>
          <w:rFonts w:cstheme="minorHAnsi"/>
        </w:rPr>
        <w:t xml:space="preserve">. In the </w:t>
      </w:r>
      <w:r w:rsidR="00CA3078" w:rsidRPr="00D914E4">
        <w:rPr>
          <w:rFonts w:cstheme="minorHAnsi"/>
        </w:rPr>
        <w:t>context of</w:t>
      </w:r>
      <w:r w:rsidR="00251E9D" w:rsidRPr="00D914E4">
        <w:rPr>
          <w:rFonts w:cstheme="minorHAnsi"/>
        </w:rPr>
        <w:t xml:space="preserve"> restricted work </w:t>
      </w:r>
      <w:r w:rsidR="00980C7A" w:rsidRPr="00D914E4">
        <w:rPr>
          <w:rFonts w:cstheme="minorHAnsi"/>
        </w:rPr>
        <w:t xml:space="preserve">and mobility </w:t>
      </w:r>
      <w:r w:rsidR="00251E9D" w:rsidRPr="00D914E4">
        <w:rPr>
          <w:rFonts w:cstheme="minorHAnsi"/>
        </w:rPr>
        <w:t>arrangements</w:t>
      </w:r>
      <w:r w:rsidR="002937D2" w:rsidRPr="00D914E4">
        <w:rPr>
          <w:rFonts w:cstheme="minorHAnsi"/>
        </w:rPr>
        <w:t xml:space="preserve">, </w:t>
      </w:r>
      <w:r w:rsidR="00AF39F7" w:rsidRPr="00D914E4">
        <w:rPr>
          <w:rFonts w:cstheme="minorHAnsi"/>
        </w:rPr>
        <w:t>reporting</w:t>
      </w:r>
      <w:r w:rsidR="00832C59" w:rsidRPr="00D914E4">
        <w:rPr>
          <w:rFonts w:cstheme="minorHAnsi"/>
        </w:rPr>
        <w:t xml:space="preserve"> delays</w:t>
      </w:r>
      <w:r w:rsidR="006271F6" w:rsidRPr="00D914E4">
        <w:rPr>
          <w:rFonts w:cstheme="minorHAnsi"/>
        </w:rPr>
        <w:t xml:space="preserve"> </w:t>
      </w:r>
      <w:r w:rsidR="00251E9D" w:rsidRPr="00D914E4">
        <w:rPr>
          <w:rFonts w:cstheme="minorHAnsi"/>
        </w:rPr>
        <w:t>and</w:t>
      </w:r>
      <w:r w:rsidR="006F3537" w:rsidRPr="00D914E4">
        <w:rPr>
          <w:rFonts w:cstheme="minorHAnsi"/>
        </w:rPr>
        <w:t>,</w:t>
      </w:r>
      <w:r w:rsidR="00251E9D" w:rsidRPr="00D914E4">
        <w:rPr>
          <w:rFonts w:cstheme="minorHAnsi"/>
        </w:rPr>
        <w:t xml:space="preserve"> </w:t>
      </w:r>
      <w:r w:rsidR="00AF39F7" w:rsidRPr="00D914E4">
        <w:rPr>
          <w:rFonts w:cstheme="minorHAnsi"/>
        </w:rPr>
        <w:t>in some programs</w:t>
      </w:r>
      <w:r w:rsidR="00832C59" w:rsidRPr="00D914E4">
        <w:rPr>
          <w:rFonts w:cstheme="minorHAnsi"/>
        </w:rPr>
        <w:t>,</w:t>
      </w:r>
      <w:r w:rsidR="00AF39F7" w:rsidRPr="00D914E4">
        <w:rPr>
          <w:rFonts w:cstheme="minorHAnsi"/>
        </w:rPr>
        <w:t xml:space="preserve"> a lack of evidence</w:t>
      </w:r>
      <w:r w:rsidR="009F0877" w:rsidRPr="00D914E4">
        <w:rPr>
          <w:rFonts w:cstheme="minorHAnsi"/>
        </w:rPr>
        <w:t>,</w:t>
      </w:r>
      <w:r w:rsidR="008D29F7" w:rsidRPr="00D914E4">
        <w:rPr>
          <w:rFonts w:cstheme="minorHAnsi"/>
        </w:rPr>
        <w:t xml:space="preserve"> </w:t>
      </w:r>
      <w:r w:rsidR="003C426B" w:rsidRPr="00D914E4">
        <w:rPr>
          <w:rFonts w:cstheme="minorHAnsi"/>
        </w:rPr>
        <w:t xml:space="preserve">our ability to </w:t>
      </w:r>
      <w:r w:rsidR="00AF39F7" w:rsidRPr="00D914E4">
        <w:rPr>
          <w:rFonts w:cstheme="minorHAnsi"/>
        </w:rPr>
        <w:t>assess program</w:t>
      </w:r>
      <w:r w:rsidR="00251E9D" w:rsidRPr="00D914E4">
        <w:rPr>
          <w:rFonts w:cstheme="minorHAnsi"/>
        </w:rPr>
        <w:t xml:space="preserve"> performance</w:t>
      </w:r>
      <w:r w:rsidR="00682843" w:rsidRPr="00D914E4">
        <w:rPr>
          <w:rFonts w:cstheme="minorHAnsi"/>
        </w:rPr>
        <w:t xml:space="preserve"> was </w:t>
      </w:r>
      <w:r w:rsidR="00CC7424" w:rsidRPr="00D914E4">
        <w:rPr>
          <w:rFonts w:cstheme="minorHAnsi"/>
        </w:rPr>
        <w:t>limited.</w:t>
      </w:r>
      <w:r w:rsidR="00682843" w:rsidRPr="00D914E4">
        <w:rPr>
          <w:rFonts w:cstheme="minorHAnsi"/>
        </w:rPr>
        <w:t xml:space="preserve"> </w:t>
      </w:r>
      <w:r w:rsidR="00251E9D" w:rsidRPr="00D914E4">
        <w:rPr>
          <w:rFonts w:cstheme="minorHAnsi"/>
        </w:rPr>
        <w:t xml:space="preserve">However, the </w:t>
      </w:r>
      <w:proofErr w:type="spellStart"/>
      <w:r w:rsidR="001D41D9" w:rsidRPr="00D914E4">
        <w:rPr>
          <w:rFonts w:cstheme="minorHAnsi"/>
        </w:rPr>
        <w:t>GoS</w:t>
      </w:r>
      <w:proofErr w:type="spellEnd"/>
      <w:r w:rsidR="001D41D9" w:rsidRPr="00D914E4">
        <w:rPr>
          <w:rFonts w:cstheme="minorHAnsi"/>
        </w:rPr>
        <w:t xml:space="preserve"> </w:t>
      </w:r>
      <w:r w:rsidR="00251E9D" w:rsidRPr="00D914E4">
        <w:rPr>
          <w:rFonts w:cstheme="minorHAnsi"/>
        </w:rPr>
        <w:t xml:space="preserve">and partners </w:t>
      </w:r>
      <w:r w:rsidR="00A87012" w:rsidRPr="00D914E4">
        <w:rPr>
          <w:rFonts w:cstheme="minorHAnsi"/>
        </w:rPr>
        <w:t>continued</w:t>
      </w:r>
      <w:r w:rsidR="00251E9D" w:rsidRPr="00D914E4">
        <w:rPr>
          <w:rFonts w:cstheme="minorHAnsi"/>
        </w:rPr>
        <w:t xml:space="preserve"> to </w:t>
      </w:r>
      <w:r w:rsidR="003E07EB" w:rsidRPr="00D914E4">
        <w:rPr>
          <w:rFonts w:cstheme="minorHAnsi"/>
        </w:rPr>
        <w:t xml:space="preserve">deliver </w:t>
      </w:r>
      <w:r w:rsidR="00CA3078" w:rsidRPr="00D914E4">
        <w:rPr>
          <w:rFonts w:cstheme="minorHAnsi"/>
        </w:rPr>
        <w:t xml:space="preserve">key </w:t>
      </w:r>
      <w:r w:rsidR="003E07EB" w:rsidRPr="00D914E4">
        <w:rPr>
          <w:rFonts w:cstheme="minorHAnsi"/>
        </w:rPr>
        <w:t>services</w:t>
      </w:r>
      <w:r w:rsidR="00CA3078" w:rsidRPr="00D914E4">
        <w:rPr>
          <w:rFonts w:cstheme="minorHAnsi"/>
        </w:rPr>
        <w:t>, including COVID-19 immunisations,</w:t>
      </w:r>
      <w:r w:rsidR="003E07EB" w:rsidRPr="00D914E4">
        <w:rPr>
          <w:rFonts w:cstheme="minorHAnsi"/>
        </w:rPr>
        <w:t xml:space="preserve"> under difficult circumstances.</w:t>
      </w:r>
      <w:r w:rsidR="009E661D" w:rsidRPr="00D914E4">
        <w:rPr>
          <w:rFonts w:cstheme="minorHAnsi"/>
        </w:rPr>
        <w:t xml:space="preserve"> </w:t>
      </w:r>
      <w:r w:rsidRPr="00D914E4">
        <w:rPr>
          <w:rFonts w:cstheme="minorHAnsi"/>
        </w:rPr>
        <w:t>Programs in the infrastructure and governance sectors</w:t>
      </w:r>
      <w:r w:rsidR="006A67AE" w:rsidRPr="00D914E4">
        <w:rPr>
          <w:rFonts w:cstheme="minorHAnsi"/>
        </w:rPr>
        <w:t>, some of which had been in progress for ten years,</w:t>
      </w:r>
      <w:r w:rsidRPr="00D914E4">
        <w:rPr>
          <w:rFonts w:cstheme="minorHAnsi"/>
        </w:rPr>
        <w:t xml:space="preserve"> reached completion during the reporting period</w:t>
      </w:r>
      <w:r w:rsidR="006A67AE" w:rsidRPr="00D914E4">
        <w:rPr>
          <w:rFonts w:cstheme="minorHAnsi"/>
        </w:rPr>
        <w:t xml:space="preserve">. </w:t>
      </w:r>
      <w:r w:rsidRPr="00D914E4">
        <w:rPr>
          <w:rFonts w:cstheme="minorHAnsi"/>
        </w:rPr>
        <w:t>Australia will continue to work in these areas during the next reporting perio</w:t>
      </w:r>
      <w:r w:rsidR="00F17F09" w:rsidRPr="00D914E4">
        <w:rPr>
          <w:rFonts w:cstheme="minorHAnsi"/>
        </w:rPr>
        <w:t>d</w:t>
      </w:r>
      <w:r w:rsidR="00F6245D">
        <w:rPr>
          <w:rFonts w:cstheme="minorHAnsi"/>
        </w:rPr>
        <w:t>, including through</w:t>
      </w:r>
      <w:r w:rsidR="00DA1D08" w:rsidRPr="00D914E4">
        <w:rPr>
          <w:rFonts w:cstheme="minorHAnsi"/>
        </w:rPr>
        <w:t xml:space="preserve"> the </w:t>
      </w:r>
      <w:r w:rsidRPr="00D914E4">
        <w:rPr>
          <w:rFonts w:cstheme="minorHAnsi"/>
        </w:rPr>
        <w:t xml:space="preserve">new </w:t>
      </w:r>
      <w:proofErr w:type="spellStart"/>
      <w:r w:rsidR="00CC66B8">
        <w:rPr>
          <w:rFonts w:cstheme="minorHAnsi"/>
        </w:rPr>
        <w:t>Tautai</w:t>
      </w:r>
      <w:proofErr w:type="spellEnd"/>
      <w:r w:rsidR="00CC66B8">
        <w:rPr>
          <w:rFonts w:cstheme="minorHAnsi"/>
        </w:rPr>
        <w:t xml:space="preserve"> </w:t>
      </w:r>
      <w:r w:rsidRPr="00D914E4">
        <w:rPr>
          <w:rFonts w:cstheme="minorHAnsi"/>
        </w:rPr>
        <w:t>Governance and Economic Growth facility</w:t>
      </w:r>
      <w:r w:rsidR="00AF39F7" w:rsidRPr="00D914E4">
        <w:rPr>
          <w:rFonts w:cstheme="minorHAnsi"/>
        </w:rPr>
        <w:t xml:space="preserve"> and </w:t>
      </w:r>
      <w:r w:rsidR="00F17F09" w:rsidRPr="00D914E4">
        <w:rPr>
          <w:rFonts w:cstheme="minorHAnsi"/>
        </w:rPr>
        <w:t>proposed c</w:t>
      </w:r>
      <w:r w:rsidR="00AF39F7" w:rsidRPr="00D914E4">
        <w:rPr>
          <w:rFonts w:cstheme="minorHAnsi"/>
        </w:rPr>
        <w:t>limate</w:t>
      </w:r>
      <w:r w:rsidR="00F17F09" w:rsidRPr="00D914E4">
        <w:rPr>
          <w:rFonts w:cstheme="minorHAnsi"/>
        </w:rPr>
        <w:t xml:space="preserve"> </w:t>
      </w:r>
      <w:r w:rsidR="00AF39F7" w:rsidRPr="00D914E4">
        <w:rPr>
          <w:rFonts w:cstheme="minorHAnsi"/>
        </w:rPr>
        <w:t>investments</w:t>
      </w:r>
      <w:r w:rsidR="008027DE" w:rsidRPr="00D914E4">
        <w:rPr>
          <w:rFonts w:cstheme="minorHAnsi"/>
        </w:rPr>
        <w:t>,</w:t>
      </w:r>
      <w:r w:rsidRPr="00D914E4">
        <w:rPr>
          <w:rFonts w:cstheme="minorHAnsi"/>
        </w:rPr>
        <w:t xml:space="preserve"> designed to respond to lessons learned</w:t>
      </w:r>
      <w:r w:rsidR="008027DE" w:rsidRPr="00D914E4">
        <w:rPr>
          <w:rFonts w:cstheme="minorHAnsi"/>
        </w:rPr>
        <w:t xml:space="preserve"> from previous programs</w:t>
      </w:r>
      <w:r w:rsidRPr="00D914E4">
        <w:rPr>
          <w:rFonts w:cstheme="minorHAnsi"/>
        </w:rPr>
        <w:t xml:space="preserve"> </w:t>
      </w:r>
      <w:r w:rsidR="00F17F09" w:rsidRPr="00D914E4">
        <w:rPr>
          <w:rFonts w:cstheme="minorHAnsi"/>
        </w:rPr>
        <w:t>and</w:t>
      </w:r>
      <w:r w:rsidRPr="00D914E4">
        <w:rPr>
          <w:rFonts w:cstheme="minorHAnsi"/>
        </w:rPr>
        <w:t xml:space="preserve"> </w:t>
      </w:r>
      <w:r w:rsidR="008027DE" w:rsidRPr="00D914E4">
        <w:rPr>
          <w:rFonts w:cstheme="minorHAnsi"/>
        </w:rPr>
        <w:t xml:space="preserve">to </w:t>
      </w:r>
      <w:r w:rsidR="00AF39F7" w:rsidRPr="00D914E4">
        <w:rPr>
          <w:rFonts w:cstheme="minorHAnsi"/>
        </w:rPr>
        <w:t>consolidate existing effort</w:t>
      </w:r>
      <w:r w:rsidR="00F17F09" w:rsidRPr="00D914E4">
        <w:rPr>
          <w:rFonts w:cstheme="minorHAnsi"/>
        </w:rPr>
        <w:t>s.</w:t>
      </w:r>
    </w:p>
    <w:p w14:paraId="79BE876C" w14:textId="68208608" w:rsidR="00297FD1" w:rsidRPr="00D914E4" w:rsidRDefault="00297FD1" w:rsidP="00D914E4">
      <w:pPr>
        <w:pStyle w:val="Heading3"/>
      </w:pPr>
      <w:r w:rsidRPr="00D914E4">
        <w:t>Health Security</w:t>
      </w:r>
    </w:p>
    <w:p w14:paraId="07EB8CE1" w14:textId="28265531" w:rsidR="00415C34" w:rsidRPr="00D914E4" w:rsidRDefault="007A7922" w:rsidP="00A67E24">
      <w:pPr>
        <w:spacing w:before="100" w:line="259" w:lineRule="auto"/>
        <w:rPr>
          <w:rFonts w:cstheme="minorHAnsi"/>
          <w:bCs/>
          <w:lang w:val="en-AU"/>
        </w:rPr>
      </w:pPr>
      <w:r w:rsidRPr="00D914E4">
        <w:rPr>
          <w:rFonts w:cstheme="minorHAnsi"/>
        </w:rPr>
        <w:t xml:space="preserve">Australia supported Samoa’s health sector to respond to COVID-19. </w:t>
      </w:r>
      <w:bookmarkStart w:id="0" w:name="_Hlk84183856"/>
      <w:r w:rsidRPr="00D914E4">
        <w:rPr>
          <w:rFonts w:cstheme="minorHAnsi"/>
        </w:rPr>
        <w:t xml:space="preserve">We have committed $4.7 million over three years (2020-23) for COVID-19 vaccine access, including delivery support and vaccine procurement, drawing on Australia’s Regional COVID-19 Vaccine Access and Health Security Initiative (VAHSI). </w:t>
      </w:r>
      <w:r w:rsidRPr="00D914E4">
        <w:rPr>
          <w:rFonts w:eastAsia="Calibri Light" w:cstheme="minorHAnsi"/>
        </w:rPr>
        <w:t xml:space="preserve">Through VAHSI, Australia </w:t>
      </w:r>
      <w:r w:rsidR="00F970E6" w:rsidRPr="00D914E4">
        <w:rPr>
          <w:rFonts w:eastAsia="Calibri Light" w:cstheme="minorHAnsi"/>
        </w:rPr>
        <w:t>is supporting</w:t>
      </w:r>
      <w:r w:rsidRPr="00D914E4">
        <w:rPr>
          <w:rFonts w:eastAsia="Calibri Light" w:cstheme="minorHAnsi"/>
        </w:rPr>
        <w:t xml:space="preserve"> Samoa </w:t>
      </w:r>
      <w:r w:rsidR="00F970E6" w:rsidRPr="00D914E4">
        <w:rPr>
          <w:rFonts w:eastAsia="Calibri Light" w:cstheme="minorHAnsi"/>
        </w:rPr>
        <w:t xml:space="preserve">to </w:t>
      </w:r>
      <w:r w:rsidRPr="00D914E4">
        <w:rPr>
          <w:rFonts w:eastAsia="Calibri Light" w:cstheme="minorHAnsi"/>
        </w:rPr>
        <w:t xml:space="preserve">achieve comprehensive vaccine coverage. </w:t>
      </w:r>
      <w:bookmarkEnd w:id="0"/>
      <w:r w:rsidR="002716E6" w:rsidRPr="00D914E4">
        <w:rPr>
          <w:rFonts w:cstheme="minorHAnsi"/>
        </w:rPr>
        <w:t xml:space="preserve">In </w:t>
      </w:r>
      <w:r w:rsidR="008278C2" w:rsidRPr="00D914E4">
        <w:rPr>
          <w:rFonts w:cstheme="minorHAnsi"/>
        </w:rPr>
        <w:t>2021-22</w:t>
      </w:r>
      <w:r w:rsidR="00A87012" w:rsidRPr="00D914E4">
        <w:rPr>
          <w:rFonts w:cstheme="minorHAnsi"/>
        </w:rPr>
        <w:t>,</w:t>
      </w:r>
      <w:r w:rsidR="008278C2" w:rsidRPr="00D914E4">
        <w:rPr>
          <w:rFonts w:cstheme="minorHAnsi"/>
        </w:rPr>
        <w:t xml:space="preserve"> Australia supported the delivery of </w:t>
      </w:r>
      <w:r w:rsidR="00C8362A" w:rsidRPr="00D914E4">
        <w:rPr>
          <w:rFonts w:cstheme="minorHAnsi"/>
        </w:rPr>
        <w:t xml:space="preserve">more than </w:t>
      </w:r>
      <w:r w:rsidR="008278C2" w:rsidRPr="00D914E4">
        <w:rPr>
          <w:rFonts w:cstheme="minorHAnsi"/>
        </w:rPr>
        <w:t xml:space="preserve">64,000 vaccination doses </w:t>
      </w:r>
      <w:r w:rsidR="00F937EF" w:rsidRPr="00D914E4">
        <w:rPr>
          <w:rFonts w:cstheme="minorHAnsi"/>
        </w:rPr>
        <w:t>from its dome</w:t>
      </w:r>
      <w:r w:rsidR="00415C34" w:rsidRPr="00D914E4">
        <w:rPr>
          <w:rFonts w:cstheme="minorHAnsi"/>
        </w:rPr>
        <w:t>s</w:t>
      </w:r>
      <w:r w:rsidR="00F937EF" w:rsidRPr="00D914E4">
        <w:rPr>
          <w:rFonts w:cstheme="minorHAnsi"/>
        </w:rPr>
        <w:t xml:space="preserve">tic supplies and an additional 111,150 through </w:t>
      </w:r>
      <w:r w:rsidR="006F1EB1" w:rsidRPr="00D914E4">
        <w:rPr>
          <w:rFonts w:cstheme="minorHAnsi"/>
        </w:rPr>
        <w:t>the UN Children’s Fund (</w:t>
      </w:r>
      <w:r w:rsidR="00F937EF" w:rsidRPr="00D914E4">
        <w:rPr>
          <w:rFonts w:cstheme="minorHAnsi"/>
        </w:rPr>
        <w:t>UNICEF</w:t>
      </w:r>
      <w:r w:rsidR="006F1EB1" w:rsidRPr="00D914E4">
        <w:rPr>
          <w:rFonts w:cstheme="minorHAnsi"/>
        </w:rPr>
        <w:t>)</w:t>
      </w:r>
      <w:r w:rsidRPr="00D914E4">
        <w:rPr>
          <w:rFonts w:cstheme="minorHAnsi"/>
        </w:rPr>
        <w:t>.</w:t>
      </w:r>
      <w:r w:rsidR="00415C34" w:rsidRPr="00D914E4">
        <w:rPr>
          <w:rFonts w:cstheme="minorHAnsi"/>
        </w:rPr>
        <w:t xml:space="preserve"> </w:t>
      </w:r>
      <w:r w:rsidR="00415C34" w:rsidRPr="00D914E4">
        <w:rPr>
          <w:rFonts w:cstheme="minorHAnsi"/>
          <w:bCs/>
          <w:lang w:val="en-AU"/>
        </w:rPr>
        <w:t xml:space="preserve">As </w:t>
      </w:r>
      <w:proofErr w:type="gramStart"/>
      <w:r w:rsidR="00415C34" w:rsidRPr="00D914E4">
        <w:rPr>
          <w:rFonts w:cstheme="minorHAnsi"/>
          <w:bCs/>
          <w:lang w:val="en-AU"/>
        </w:rPr>
        <w:t>at</w:t>
      </w:r>
      <w:proofErr w:type="gramEnd"/>
      <w:r w:rsidR="00415C34" w:rsidRPr="00D914E4">
        <w:rPr>
          <w:rFonts w:cstheme="minorHAnsi"/>
          <w:bCs/>
          <w:lang w:val="en-AU"/>
        </w:rPr>
        <w:t xml:space="preserve"> </w:t>
      </w:r>
      <w:r w:rsidR="007B3BC3" w:rsidRPr="00D914E4">
        <w:rPr>
          <w:rFonts w:cstheme="minorHAnsi"/>
          <w:bCs/>
          <w:lang w:val="en-AU"/>
        </w:rPr>
        <w:t>1</w:t>
      </w:r>
      <w:r w:rsidR="00824CA6">
        <w:rPr>
          <w:rFonts w:cstheme="minorHAnsi"/>
          <w:bCs/>
          <w:lang w:val="en-AU"/>
        </w:rPr>
        <w:t>6 October</w:t>
      </w:r>
      <w:r w:rsidR="00415C34" w:rsidRPr="00D914E4">
        <w:rPr>
          <w:rFonts w:cstheme="minorHAnsi"/>
          <w:bCs/>
          <w:lang w:val="en-AU"/>
        </w:rPr>
        <w:t xml:space="preserve">, more than </w:t>
      </w:r>
      <w:r w:rsidR="00415C34" w:rsidRPr="00D914E4">
        <w:rPr>
          <w:rFonts w:cstheme="minorHAnsi"/>
          <w:b/>
          <w:lang w:val="en-AU"/>
        </w:rPr>
        <w:t>9</w:t>
      </w:r>
      <w:r w:rsidR="007B3BC3" w:rsidRPr="00D914E4">
        <w:rPr>
          <w:rFonts w:cstheme="minorHAnsi"/>
          <w:b/>
          <w:lang w:val="en-AU"/>
        </w:rPr>
        <w:t>2</w:t>
      </w:r>
      <w:r w:rsidR="00415C34" w:rsidRPr="00D914E4">
        <w:rPr>
          <w:rFonts w:cstheme="minorHAnsi"/>
          <w:b/>
          <w:lang w:val="en-AU"/>
        </w:rPr>
        <w:t xml:space="preserve"> per cent of Samoa’s population aged 5 years and above were fully vaccinated</w:t>
      </w:r>
      <w:r w:rsidR="00415C34" w:rsidRPr="00D914E4">
        <w:rPr>
          <w:rFonts w:cstheme="minorHAnsi"/>
          <w:bCs/>
          <w:lang w:val="en-AU"/>
        </w:rPr>
        <w:t xml:space="preserve"> (two doses), and booster doses are continuing. Samoa’s highly successful </w:t>
      </w:r>
      <w:r w:rsidR="00E4423B" w:rsidRPr="00D914E4">
        <w:rPr>
          <w:rFonts w:cstheme="minorHAnsi"/>
          <w:bCs/>
          <w:lang w:val="en-AU"/>
        </w:rPr>
        <w:t>vaccination rollout allowed the country to open its borders on 1 August 2022</w:t>
      </w:r>
      <w:r w:rsidR="00B76EBB" w:rsidRPr="00D914E4">
        <w:rPr>
          <w:rFonts w:cstheme="minorHAnsi"/>
          <w:bCs/>
          <w:lang w:val="en-AU"/>
        </w:rPr>
        <w:t>.</w:t>
      </w:r>
      <w:r w:rsidR="00415C34" w:rsidRPr="00D914E4">
        <w:rPr>
          <w:rFonts w:cstheme="minorHAnsi"/>
          <w:bCs/>
          <w:lang w:val="en-AU"/>
        </w:rPr>
        <w:t xml:space="preserve"> </w:t>
      </w:r>
    </w:p>
    <w:p w14:paraId="70EE359D" w14:textId="67E9DA05" w:rsidR="006466A4" w:rsidRPr="00D914E4" w:rsidRDefault="004437C9" w:rsidP="00A67E24">
      <w:pPr>
        <w:spacing w:before="100" w:line="259" w:lineRule="auto"/>
        <w:rPr>
          <w:rFonts w:cstheme="minorHAnsi"/>
          <w:bCs/>
        </w:rPr>
      </w:pPr>
      <w:r w:rsidRPr="00D914E4">
        <w:rPr>
          <w:rFonts w:cstheme="minorHAnsi"/>
          <w:bCs/>
        </w:rPr>
        <w:t xml:space="preserve">Australia </w:t>
      </w:r>
      <w:r w:rsidR="00613875" w:rsidRPr="00D914E4">
        <w:rPr>
          <w:rFonts w:cstheme="minorHAnsi"/>
          <w:bCs/>
        </w:rPr>
        <w:t xml:space="preserve">supported implementation of contact tracing protocols and systems during COVID-19 outbreaks in 2021-22. The </w:t>
      </w:r>
      <w:r w:rsidR="00613875" w:rsidRPr="00D914E4">
        <w:rPr>
          <w:rFonts w:cstheme="minorHAnsi"/>
          <w:b/>
        </w:rPr>
        <w:t>Tamanu and Tupaia</w:t>
      </w:r>
      <w:r w:rsidRPr="00D914E4">
        <w:rPr>
          <w:rFonts w:cstheme="minorHAnsi"/>
          <w:b/>
        </w:rPr>
        <w:t xml:space="preserve"> software</w:t>
      </w:r>
      <w:r w:rsidR="00613875" w:rsidRPr="00D914E4">
        <w:rPr>
          <w:rFonts w:cstheme="minorHAnsi"/>
          <w:b/>
        </w:rPr>
        <w:t xml:space="preserve"> applications provided authorities with up-to-date information o</w:t>
      </w:r>
      <w:r w:rsidR="008640FD" w:rsidRPr="00D914E4">
        <w:rPr>
          <w:rFonts w:cstheme="minorHAnsi"/>
          <w:b/>
        </w:rPr>
        <w:t>n</w:t>
      </w:r>
      <w:r w:rsidR="00613875" w:rsidRPr="00D914E4">
        <w:rPr>
          <w:rFonts w:cstheme="minorHAnsi"/>
          <w:b/>
        </w:rPr>
        <w:t xml:space="preserve"> hotspots</w:t>
      </w:r>
      <w:r w:rsidR="00613875" w:rsidRPr="00D914E4">
        <w:rPr>
          <w:rFonts w:cstheme="minorHAnsi"/>
          <w:bCs/>
        </w:rPr>
        <w:t xml:space="preserve"> and an ability to pin-point ‘at risk’ households. Tamanu enabled several suspected cases in the community to be traced and taken into isolation as a precautionary measure. </w:t>
      </w:r>
      <w:r w:rsidR="00BA17F0" w:rsidRPr="00D914E4">
        <w:rPr>
          <w:rFonts w:cstheme="minorHAnsi"/>
          <w:bCs/>
        </w:rPr>
        <w:t>C</w:t>
      </w:r>
      <w:r w:rsidR="00613875" w:rsidRPr="00D914E4">
        <w:rPr>
          <w:rFonts w:cstheme="minorHAnsi"/>
          <w:bCs/>
        </w:rPr>
        <w:t xml:space="preserve">ontact tracing was conducted for the initial confirmed community cases </w:t>
      </w:r>
      <w:r w:rsidR="0060558D" w:rsidRPr="00D914E4">
        <w:rPr>
          <w:rFonts w:cstheme="minorHAnsi"/>
          <w:bCs/>
        </w:rPr>
        <w:t>which identified</w:t>
      </w:r>
      <w:r w:rsidR="00613875" w:rsidRPr="00D914E4">
        <w:rPr>
          <w:rFonts w:cstheme="minorHAnsi"/>
          <w:bCs/>
        </w:rPr>
        <w:t xml:space="preserve"> COVID-19 hotspots and </w:t>
      </w:r>
      <w:r w:rsidR="0060558D" w:rsidRPr="00D914E4">
        <w:rPr>
          <w:rFonts w:cstheme="minorHAnsi"/>
          <w:bCs/>
        </w:rPr>
        <w:t xml:space="preserve">supported targeted </w:t>
      </w:r>
      <w:r w:rsidR="00613875" w:rsidRPr="00D914E4">
        <w:rPr>
          <w:rFonts w:cstheme="minorHAnsi"/>
          <w:bCs/>
        </w:rPr>
        <w:t>lockdown</w:t>
      </w:r>
      <w:r w:rsidR="003C52FB" w:rsidRPr="00D914E4">
        <w:rPr>
          <w:rFonts w:cstheme="minorHAnsi"/>
          <w:bCs/>
        </w:rPr>
        <w:t>s</w:t>
      </w:r>
      <w:r w:rsidR="00613875" w:rsidRPr="00D914E4">
        <w:rPr>
          <w:rFonts w:cstheme="minorHAnsi"/>
          <w:bCs/>
        </w:rPr>
        <w:t>.</w:t>
      </w:r>
      <w:r w:rsidR="00EB2E3C" w:rsidRPr="00D914E4">
        <w:rPr>
          <w:rFonts w:cstheme="minorHAnsi"/>
          <w:bCs/>
        </w:rPr>
        <w:t xml:space="preserve"> </w:t>
      </w:r>
      <w:r w:rsidR="00650D52" w:rsidRPr="00D914E4">
        <w:rPr>
          <w:rFonts w:cstheme="minorHAnsi"/>
          <w:bCs/>
        </w:rPr>
        <w:t>U</w:t>
      </w:r>
      <w:r w:rsidR="00123867" w:rsidRPr="00D914E4">
        <w:rPr>
          <w:rFonts w:cstheme="minorHAnsi"/>
          <w:bCs/>
        </w:rPr>
        <w:t xml:space="preserve">sing the </w:t>
      </w:r>
      <w:r w:rsidR="00137C6B" w:rsidRPr="00D914E4">
        <w:rPr>
          <w:rFonts w:cstheme="minorHAnsi"/>
          <w:bCs/>
        </w:rPr>
        <w:t>Tupaia and Tamanu e</w:t>
      </w:r>
      <w:r w:rsidR="00123867" w:rsidRPr="00D914E4">
        <w:rPr>
          <w:rFonts w:cstheme="minorHAnsi"/>
          <w:bCs/>
        </w:rPr>
        <w:t>-</w:t>
      </w:r>
      <w:r w:rsidR="00137C6B" w:rsidRPr="00D914E4">
        <w:rPr>
          <w:rFonts w:cstheme="minorHAnsi"/>
          <w:bCs/>
        </w:rPr>
        <w:t>health systems</w:t>
      </w:r>
      <w:r w:rsidR="00123867" w:rsidRPr="00D914E4">
        <w:rPr>
          <w:rFonts w:cstheme="minorHAnsi"/>
          <w:bCs/>
        </w:rPr>
        <w:t>, we</w:t>
      </w:r>
      <w:r w:rsidR="00123867" w:rsidRPr="00D914E4">
        <w:rPr>
          <w:rFonts w:cstheme="minorHAnsi"/>
        </w:rPr>
        <w:t xml:space="preserve"> su</w:t>
      </w:r>
      <w:r w:rsidR="00123867" w:rsidRPr="00D914E4">
        <w:rPr>
          <w:rFonts w:cstheme="minorHAnsi"/>
          <w:bCs/>
        </w:rPr>
        <w:t xml:space="preserve">pported </w:t>
      </w:r>
      <w:r w:rsidR="005B4B74" w:rsidRPr="00D914E4">
        <w:rPr>
          <w:rFonts w:cstheme="minorHAnsi"/>
          <w:bCs/>
        </w:rPr>
        <w:t>Samoa</w:t>
      </w:r>
      <w:r w:rsidR="00123867" w:rsidRPr="00D914E4">
        <w:rPr>
          <w:rFonts w:cstheme="minorHAnsi"/>
          <w:bCs/>
        </w:rPr>
        <w:t xml:space="preserve"> </w:t>
      </w:r>
      <w:r w:rsidR="00DC234E" w:rsidRPr="00D914E4">
        <w:rPr>
          <w:rFonts w:cstheme="minorHAnsi"/>
          <w:bCs/>
        </w:rPr>
        <w:t xml:space="preserve">to </w:t>
      </w:r>
      <w:r w:rsidR="00123867" w:rsidRPr="00D914E4">
        <w:rPr>
          <w:rFonts w:cstheme="minorHAnsi"/>
          <w:bCs/>
        </w:rPr>
        <w:t>roll out its vaccination program</w:t>
      </w:r>
      <w:r w:rsidR="00137C6B" w:rsidRPr="00D914E4">
        <w:rPr>
          <w:rFonts w:cstheme="minorHAnsi"/>
          <w:bCs/>
        </w:rPr>
        <w:t>. Tupaia and Tamanu improved systems for infection prevention by ensuring authorities have access to population-wide overviews of COVID-19 vaccination rates and COVID-19 laboratory test results, thereby permitting tailor-made vaccination programs. These applications were instrumental in supporting Samoa to have one of the highest vaccination rates in the Pacific.</w:t>
      </w:r>
      <w:r w:rsidR="00AD1F13" w:rsidRPr="00D914E4">
        <w:rPr>
          <w:rFonts w:cstheme="minorHAnsi"/>
          <w:bCs/>
        </w:rPr>
        <w:t xml:space="preserve"> </w:t>
      </w:r>
      <w:r w:rsidR="006466A4" w:rsidRPr="00D914E4">
        <w:rPr>
          <w:rFonts w:cstheme="minorHAnsi"/>
          <w:bCs/>
        </w:rPr>
        <w:t xml:space="preserve">An </w:t>
      </w:r>
      <w:r w:rsidR="006466A4" w:rsidRPr="00D914E4">
        <w:rPr>
          <w:rFonts w:cstheme="minorHAnsi"/>
          <w:b/>
        </w:rPr>
        <w:t>Australian Volunteer epidemiologist was also mobilised to Samoa</w:t>
      </w:r>
      <w:r w:rsidR="006466A4" w:rsidRPr="00D914E4">
        <w:rPr>
          <w:rFonts w:cstheme="minorHAnsi"/>
          <w:bCs/>
        </w:rPr>
        <w:t xml:space="preserve"> in June to provide support to the Ministry of Health in reviewing and updating its Climate Adaptation Strategy and conduct hospital risk</w:t>
      </w:r>
      <w:r w:rsidR="00A87012" w:rsidRPr="00D914E4">
        <w:rPr>
          <w:rFonts w:cstheme="minorHAnsi"/>
          <w:bCs/>
        </w:rPr>
        <w:t>-</w:t>
      </w:r>
      <w:r w:rsidR="006466A4" w:rsidRPr="00D914E4">
        <w:rPr>
          <w:rFonts w:cstheme="minorHAnsi"/>
          <w:bCs/>
        </w:rPr>
        <w:t>resilience assessments for the District Health facilities.</w:t>
      </w:r>
    </w:p>
    <w:p w14:paraId="33D48BFA" w14:textId="77777777" w:rsidR="00BE2F61" w:rsidRPr="00D914E4" w:rsidRDefault="00297FD1" w:rsidP="00D914E4">
      <w:pPr>
        <w:pStyle w:val="Heading3"/>
      </w:pPr>
      <w:r w:rsidRPr="00D914E4">
        <w:t>Stability</w:t>
      </w:r>
    </w:p>
    <w:p w14:paraId="720EB003" w14:textId="4B65FC13" w:rsidR="00CC66B8" w:rsidRPr="00CC66B8" w:rsidRDefault="002F5367" w:rsidP="00CC66B8">
      <w:pPr>
        <w:pStyle w:val="CommentText"/>
        <w:rPr>
          <w:sz w:val="22"/>
          <w:szCs w:val="22"/>
        </w:rPr>
      </w:pPr>
      <w:r w:rsidRPr="00CC66B8">
        <w:rPr>
          <w:rFonts w:cstheme="minorHAnsi"/>
          <w:sz w:val="22"/>
          <w:szCs w:val="22"/>
        </w:rPr>
        <w:t xml:space="preserve">Australia continued to work in partnership with New Zealand and </w:t>
      </w:r>
      <w:proofErr w:type="spellStart"/>
      <w:r w:rsidRPr="00CC66B8">
        <w:rPr>
          <w:rFonts w:cstheme="minorHAnsi"/>
          <w:sz w:val="22"/>
          <w:szCs w:val="22"/>
        </w:rPr>
        <w:t>G</w:t>
      </w:r>
      <w:r w:rsidR="008D372C" w:rsidRPr="00CC66B8">
        <w:rPr>
          <w:rFonts w:cstheme="minorHAnsi"/>
          <w:sz w:val="22"/>
          <w:szCs w:val="22"/>
        </w:rPr>
        <w:t>oS</w:t>
      </w:r>
      <w:proofErr w:type="spellEnd"/>
      <w:r w:rsidRPr="00CC66B8">
        <w:rPr>
          <w:rFonts w:cstheme="minorHAnsi"/>
          <w:sz w:val="22"/>
          <w:szCs w:val="22"/>
        </w:rPr>
        <w:t xml:space="preserve"> to improve quality, </w:t>
      </w:r>
      <w:proofErr w:type="gramStart"/>
      <w:r w:rsidRPr="00CC66B8">
        <w:rPr>
          <w:rFonts w:cstheme="minorHAnsi"/>
          <w:sz w:val="22"/>
          <w:szCs w:val="22"/>
        </w:rPr>
        <w:t>access</w:t>
      </w:r>
      <w:proofErr w:type="gramEnd"/>
      <w:r w:rsidRPr="00CC66B8">
        <w:rPr>
          <w:rFonts w:cstheme="minorHAnsi"/>
          <w:sz w:val="22"/>
          <w:szCs w:val="22"/>
        </w:rPr>
        <w:t xml:space="preserve"> and relevance of education through the Education Sector Support Program. School closures </w:t>
      </w:r>
      <w:r w:rsidR="00CB5F86" w:rsidRPr="00CC66B8">
        <w:rPr>
          <w:rFonts w:cstheme="minorHAnsi"/>
          <w:sz w:val="22"/>
          <w:szCs w:val="22"/>
        </w:rPr>
        <w:t>due to COVID-19</w:t>
      </w:r>
      <w:r w:rsidRPr="00CC66B8">
        <w:rPr>
          <w:rFonts w:cstheme="minorHAnsi"/>
          <w:sz w:val="22"/>
          <w:szCs w:val="22"/>
        </w:rPr>
        <w:t xml:space="preserve"> appear to have impacted heavily on learning outcomes</w:t>
      </w:r>
      <w:r w:rsidR="00ED21C4" w:rsidRPr="00CC66B8">
        <w:rPr>
          <w:rFonts w:cstheme="minorHAnsi"/>
          <w:sz w:val="22"/>
          <w:szCs w:val="22"/>
        </w:rPr>
        <w:t>.</w:t>
      </w:r>
      <w:r w:rsidRPr="00CC66B8">
        <w:rPr>
          <w:rFonts w:cstheme="minorHAnsi"/>
          <w:sz w:val="22"/>
          <w:szCs w:val="22"/>
        </w:rPr>
        <w:t xml:space="preserve"> Australia </w:t>
      </w:r>
      <w:r w:rsidR="000330E1">
        <w:rPr>
          <w:rFonts w:cstheme="minorHAnsi"/>
          <w:sz w:val="22"/>
          <w:szCs w:val="22"/>
        </w:rPr>
        <w:t xml:space="preserve">continues to </w:t>
      </w:r>
      <w:r w:rsidR="00CB5F86" w:rsidRPr="00CC66B8">
        <w:rPr>
          <w:rFonts w:cstheme="minorHAnsi"/>
          <w:sz w:val="22"/>
          <w:szCs w:val="22"/>
        </w:rPr>
        <w:t>support</w:t>
      </w:r>
      <w:r w:rsidRPr="00CC66B8">
        <w:rPr>
          <w:rFonts w:cstheme="minorHAnsi"/>
          <w:sz w:val="22"/>
          <w:szCs w:val="22"/>
        </w:rPr>
        <w:t xml:space="preserve"> </w:t>
      </w:r>
      <w:r w:rsidRPr="00CC66B8">
        <w:rPr>
          <w:rFonts w:cstheme="minorHAnsi"/>
          <w:b/>
          <w:bCs/>
          <w:sz w:val="22"/>
          <w:szCs w:val="22"/>
        </w:rPr>
        <w:t xml:space="preserve">research into the impacts of COVID-19 on student learning outcomes and greater levels of resilience </w:t>
      </w:r>
      <w:r w:rsidR="00A87012" w:rsidRPr="00CC66B8">
        <w:rPr>
          <w:rFonts w:cstheme="minorHAnsi"/>
          <w:b/>
          <w:bCs/>
          <w:sz w:val="22"/>
          <w:szCs w:val="22"/>
        </w:rPr>
        <w:t>in</w:t>
      </w:r>
      <w:r w:rsidRPr="00CC66B8">
        <w:rPr>
          <w:rFonts w:cstheme="minorHAnsi"/>
          <w:b/>
          <w:bCs/>
          <w:sz w:val="22"/>
          <w:szCs w:val="22"/>
        </w:rPr>
        <w:t xml:space="preserve"> the education system</w:t>
      </w:r>
      <w:r w:rsidRPr="00CC66B8">
        <w:rPr>
          <w:rFonts w:cstheme="minorHAnsi"/>
          <w:sz w:val="22"/>
          <w:szCs w:val="22"/>
        </w:rPr>
        <w:t xml:space="preserve">. </w:t>
      </w:r>
      <w:r w:rsidR="00CB5F86" w:rsidRPr="00CC66B8">
        <w:rPr>
          <w:rFonts w:cstheme="minorHAnsi"/>
          <w:sz w:val="22"/>
          <w:szCs w:val="22"/>
        </w:rPr>
        <w:t xml:space="preserve">With Australia’s support, </w:t>
      </w:r>
      <w:r w:rsidR="00CB5F86" w:rsidRPr="00CC66B8">
        <w:rPr>
          <w:rFonts w:cstheme="minorHAnsi"/>
          <w:b/>
          <w:bCs/>
          <w:sz w:val="22"/>
          <w:szCs w:val="22"/>
        </w:rPr>
        <w:t>Samoa finalised</w:t>
      </w:r>
      <w:r w:rsidRPr="00CC66B8">
        <w:rPr>
          <w:rFonts w:cstheme="minorHAnsi"/>
          <w:b/>
          <w:bCs/>
          <w:sz w:val="22"/>
          <w:szCs w:val="22"/>
        </w:rPr>
        <w:t xml:space="preserve"> the Education Sector Climate Change and Disaster Resilience Strategy, Sector ICT </w:t>
      </w:r>
      <w:proofErr w:type="gramStart"/>
      <w:r w:rsidRPr="00CC66B8">
        <w:rPr>
          <w:rFonts w:cstheme="minorHAnsi"/>
          <w:b/>
          <w:bCs/>
          <w:sz w:val="22"/>
          <w:szCs w:val="22"/>
        </w:rPr>
        <w:t>Policy</w:t>
      </w:r>
      <w:proofErr w:type="gramEnd"/>
      <w:r w:rsidRPr="00CC66B8">
        <w:rPr>
          <w:rFonts w:cstheme="minorHAnsi"/>
          <w:b/>
          <w:bCs/>
          <w:sz w:val="22"/>
          <w:szCs w:val="22"/>
        </w:rPr>
        <w:t xml:space="preserve"> and Inclusive Education Implementation Plan</w:t>
      </w:r>
      <w:r w:rsidRPr="00CC66B8">
        <w:rPr>
          <w:rFonts w:cstheme="minorHAnsi"/>
          <w:sz w:val="22"/>
          <w:szCs w:val="22"/>
        </w:rPr>
        <w:t>.</w:t>
      </w:r>
      <w:r w:rsidR="000375CF" w:rsidRPr="00CC66B8">
        <w:rPr>
          <w:rFonts w:cstheme="minorHAnsi"/>
          <w:sz w:val="22"/>
          <w:szCs w:val="22"/>
        </w:rPr>
        <w:t xml:space="preserve"> Due to a variety of factors, including the impacts of COVID-19, </w:t>
      </w:r>
      <w:proofErr w:type="spellStart"/>
      <w:r w:rsidR="000375CF" w:rsidRPr="00CC66B8">
        <w:rPr>
          <w:rFonts w:cstheme="minorHAnsi"/>
          <w:sz w:val="22"/>
          <w:szCs w:val="22"/>
        </w:rPr>
        <w:t>GoS</w:t>
      </w:r>
      <w:proofErr w:type="spellEnd"/>
      <w:r w:rsidR="000375CF" w:rsidRPr="00CC66B8">
        <w:rPr>
          <w:rFonts w:cstheme="minorHAnsi"/>
          <w:sz w:val="22"/>
          <w:szCs w:val="22"/>
        </w:rPr>
        <w:t xml:space="preserve"> self-assessment reporting, a condition for release of education sector support funds, was delayed</w:t>
      </w:r>
      <w:r w:rsidR="009D1AFF" w:rsidRPr="00CC66B8">
        <w:rPr>
          <w:rFonts w:cstheme="minorHAnsi"/>
          <w:sz w:val="22"/>
          <w:szCs w:val="22"/>
        </w:rPr>
        <w:t xml:space="preserve"> and incomplete.</w:t>
      </w:r>
      <w:r w:rsidR="00CC66B8" w:rsidRPr="00CC66B8">
        <w:rPr>
          <w:rFonts w:cstheme="minorHAnsi"/>
          <w:sz w:val="22"/>
          <w:szCs w:val="22"/>
        </w:rPr>
        <w:t xml:space="preserve"> </w:t>
      </w:r>
      <w:r w:rsidR="00F6245D">
        <w:rPr>
          <w:rFonts w:cstheme="minorHAnsi"/>
          <w:sz w:val="22"/>
          <w:szCs w:val="22"/>
        </w:rPr>
        <w:t>F</w:t>
      </w:r>
      <w:r w:rsidR="00CC66B8" w:rsidRPr="00CC66B8">
        <w:rPr>
          <w:sz w:val="22"/>
          <w:szCs w:val="22"/>
        </w:rPr>
        <w:t xml:space="preserve">unds were eventually released in </w:t>
      </w:r>
      <w:r w:rsidR="009E7E90">
        <w:rPr>
          <w:sz w:val="22"/>
          <w:szCs w:val="22"/>
        </w:rPr>
        <w:t>20</w:t>
      </w:r>
      <w:r w:rsidR="00CC66B8" w:rsidRPr="00CC66B8">
        <w:rPr>
          <w:sz w:val="22"/>
          <w:szCs w:val="22"/>
        </w:rPr>
        <w:t>22-23.</w:t>
      </w:r>
    </w:p>
    <w:p w14:paraId="286DDA90" w14:textId="18614189" w:rsidR="002F5367" w:rsidRPr="00D914E4" w:rsidRDefault="00680407" w:rsidP="00A67E24">
      <w:pPr>
        <w:spacing w:before="100" w:line="259" w:lineRule="auto"/>
        <w:rPr>
          <w:rFonts w:cstheme="minorHAnsi"/>
        </w:rPr>
      </w:pPr>
      <w:r w:rsidRPr="00D914E4">
        <w:rPr>
          <w:rFonts w:cstheme="minorHAnsi"/>
        </w:rPr>
        <w:t xml:space="preserve">Australia continued to support </w:t>
      </w:r>
      <w:r w:rsidR="002D5FFC" w:rsidRPr="00D914E4">
        <w:rPr>
          <w:rFonts w:cstheme="minorHAnsi"/>
        </w:rPr>
        <w:t>g</w:t>
      </w:r>
      <w:r w:rsidRPr="00D914E4">
        <w:rPr>
          <w:rFonts w:cstheme="minorHAnsi"/>
        </w:rPr>
        <w:t xml:space="preserve">ender, disability, and social inclusion </w:t>
      </w:r>
      <w:r w:rsidR="002D5FFC" w:rsidRPr="00D914E4">
        <w:rPr>
          <w:rFonts w:cstheme="minorHAnsi"/>
        </w:rPr>
        <w:t xml:space="preserve">(GEDSI) </w:t>
      </w:r>
      <w:r w:rsidRPr="00D914E4">
        <w:rPr>
          <w:rFonts w:cstheme="minorHAnsi"/>
        </w:rPr>
        <w:t xml:space="preserve">initiatives across the development portfolio. </w:t>
      </w:r>
      <w:r w:rsidR="009E7E90">
        <w:rPr>
          <w:rFonts w:cstheme="minorHAnsi"/>
        </w:rPr>
        <w:t xml:space="preserve">Our </w:t>
      </w:r>
      <w:r w:rsidR="002F5367" w:rsidRPr="00D914E4">
        <w:rPr>
          <w:rFonts w:cstheme="minorHAnsi"/>
        </w:rPr>
        <w:t>funding support allowed Samoa</w:t>
      </w:r>
      <w:r w:rsidR="00651312" w:rsidRPr="00D914E4">
        <w:rPr>
          <w:rFonts w:cstheme="minorHAnsi"/>
        </w:rPr>
        <w:t>,</w:t>
      </w:r>
      <w:r w:rsidR="002F5367" w:rsidRPr="00D914E4">
        <w:rPr>
          <w:rFonts w:cstheme="minorHAnsi"/>
        </w:rPr>
        <w:t xml:space="preserve"> through </w:t>
      </w:r>
      <w:r w:rsidR="00651312" w:rsidRPr="00D914E4">
        <w:rPr>
          <w:rFonts w:cstheme="minorHAnsi"/>
        </w:rPr>
        <w:t>its</w:t>
      </w:r>
      <w:r w:rsidR="002F5367" w:rsidRPr="00D914E4">
        <w:rPr>
          <w:rFonts w:cstheme="minorHAnsi"/>
        </w:rPr>
        <w:t xml:space="preserve"> Ministry of Women, Community and Social Development</w:t>
      </w:r>
      <w:r w:rsidR="00651312" w:rsidRPr="00D914E4">
        <w:rPr>
          <w:rFonts w:cstheme="minorHAnsi"/>
        </w:rPr>
        <w:t>,</w:t>
      </w:r>
      <w:r w:rsidR="002F5367" w:rsidRPr="00D914E4">
        <w:rPr>
          <w:rFonts w:cstheme="minorHAnsi"/>
        </w:rPr>
        <w:t xml:space="preserve"> to compile its </w:t>
      </w:r>
      <w:r w:rsidR="002F5367" w:rsidRPr="00D914E4">
        <w:rPr>
          <w:rFonts w:cstheme="minorHAnsi"/>
          <w:b/>
          <w:bCs/>
        </w:rPr>
        <w:t>first Report on the Convention of the Rights of Persons with Disabilities (CRPD).</w:t>
      </w:r>
      <w:r w:rsidR="002F5367" w:rsidRPr="00D914E4">
        <w:rPr>
          <w:rFonts w:cstheme="minorHAnsi"/>
        </w:rPr>
        <w:t xml:space="preserve"> This important report has </w:t>
      </w:r>
      <w:r w:rsidR="002F5367" w:rsidRPr="00D914E4">
        <w:rPr>
          <w:rFonts w:cstheme="minorHAnsi"/>
        </w:rPr>
        <w:lastRenderedPageBreak/>
        <w:t xml:space="preserve">been critical in ensuring that during the COVID-19 pandemic, </w:t>
      </w:r>
      <w:r w:rsidR="00651312" w:rsidRPr="00D914E4">
        <w:rPr>
          <w:rFonts w:cstheme="minorHAnsi"/>
        </w:rPr>
        <w:t xml:space="preserve">the voices of </w:t>
      </w:r>
      <w:r w:rsidR="002F5367" w:rsidRPr="00D914E4">
        <w:rPr>
          <w:rFonts w:cstheme="minorHAnsi"/>
        </w:rPr>
        <w:t xml:space="preserve">persons with disabilities have </w:t>
      </w:r>
      <w:r w:rsidR="00651312" w:rsidRPr="00D914E4">
        <w:rPr>
          <w:rFonts w:cstheme="minorHAnsi"/>
        </w:rPr>
        <w:t>been</w:t>
      </w:r>
      <w:r w:rsidR="002F5367" w:rsidRPr="00D914E4">
        <w:rPr>
          <w:rFonts w:cstheme="minorHAnsi"/>
        </w:rPr>
        <w:t xml:space="preserve"> heard, and support for broader inclusion has remained an important priority. The report process also </w:t>
      </w:r>
      <w:r w:rsidR="00CB5F86" w:rsidRPr="00D914E4">
        <w:rPr>
          <w:rFonts w:cstheme="minorHAnsi"/>
        </w:rPr>
        <w:t>provided</w:t>
      </w:r>
      <w:r w:rsidR="002F5367" w:rsidRPr="00D914E4">
        <w:rPr>
          <w:rFonts w:cstheme="minorHAnsi"/>
        </w:rPr>
        <w:t xml:space="preserve"> </w:t>
      </w:r>
      <w:r w:rsidR="002F5367" w:rsidRPr="00D914E4">
        <w:rPr>
          <w:rFonts w:cstheme="minorHAnsi"/>
          <w:b/>
          <w:bCs/>
        </w:rPr>
        <w:t>forums for Organisations of Persons with Disabilities (OPDs)</w:t>
      </w:r>
      <w:r w:rsidR="002F5367" w:rsidRPr="00D914E4">
        <w:rPr>
          <w:rFonts w:cstheme="minorHAnsi"/>
        </w:rPr>
        <w:t xml:space="preserve"> to advocate for their stakeholders and engage the broader public. This </w:t>
      </w:r>
      <w:r w:rsidR="00CB5F86" w:rsidRPr="00D914E4">
        <w:rPr>
          <w:rFonts w:cstheme="minorHAnsi"/>
        </w:rPr>
        <w:t xml:space="preserve">led to a </w:t>
      </w:r>
      <w:r w:rsidR="002F5367" w:rsidRPr="00D914E4">
        <w:rPr>
          <w:rFonts w:cstheme="minorHAnsi"/>
        </w:rPr>
        <w:t>standardi</w:t>
      </w:r>
      <w:r w:rsidR="00651312" w:rsidRPr="00D914E4">
        <w:rPr>
          <w:rFonts w:cstheme="minorHAnsi"/>
        </w:rPr>
        <w:t>s</w:t>
      </w:r>
      <w:r w:rsidR="002F5367" w:rsidRPr="00D914E4">
        <w:rPr>
          <w:rFonts w:cstheme="minorHAnsi"/>
        </w:rPr>
        <w:t xml:space="preserve">ed process </w:t>
      </w:r>
      <w:r w:rsidR="00CB5F86" w:rsidRPr="00D914E4">
        <w:rPr>
          <w:rFonts w:cstheme="minorHAnsi"/>
        </w:rPr>
        <w:t>for</w:t>
      </w:r>
      <w:r w:rsidR="002F5367" w:rsidRPr="00D914E4">
        <w:rPr>
          <w:rFonts w:cstheme="minorHAnsi"/>
        </w:rPr>
        <w:t xml:space="preserve"> on-going consultations with OPDs in developing inclusive governance and policies for persons with disabilities.</w:t>
      </w:r>
      <w:r w:rsidR="0061227F" w:rsidRPr="00D914E4">
        <w:rPr>
          <w:rFonts w:cstheme="minorHAnsi"/>
        </w:rPr>
        <w:t xml:space="preserve"> A new Samoa Gender Partnership Program commenced at the end of the reporting cycle, working with key civil society organisations to </w:t>
      </w:r>
      <w:r w:rsidR="0061227F" w:rsidRPr="00D914E4">
        <w:rPr>
          <w:rFonts w:cstheme="minorHAnsi"/>
          <w:b/>
          <w:bCs/>
        </w:rPr>
        <w:t xml:space="preserve">support ending violence against women, sexual and reproductive health, economic </w:t>
      </w:r>
      <w:proofErr w:type="gramStart"/>
      <w:r w:rsidR="0061227F" w:rsidRPr="00D914E4">
        <w:rPr>
          <w:rFonts w:cstheme="minorHAnsi"/>
          <w:b/>
          <w:bCs/>
        </w:rPr>
        <w:t>empowerment</w:t>
      </w:r>
      <w:proofErr w:type="gramEnd"/>
      <w:r w:rsidR="0061227F" w:rsidRPr="00D914E4">
        <w:rPr>
          <w:rFonts w:cstheme="minorHAnsi"/>
          <w:b/>
          <w:bCs/>
        </w:rPr>
        <w:t xml:space="preserve"> and women’s leadership</w:t>
      </w:r>
      <w:r w:rsidR="0061227F" w:rsidRPr="00D914E4">
        <w:rPr>
          <w:rFonts w:cstheme="minorHAnsi"/>
        </w:rPr>
        <w:t xml:space="preserve">. </w:t>
      </w:r>
      <w:r w:rsidR="008D2720" w:rsidRPr="00D914E4">
        <w:rPr>
          <w:rFonts w:cstheme="minorHAnsi"/>
        </w:rPr>
        <w:t xml:space="preserve">Noting the impact of COVID-19 on women </w:t>
      </w:r>
      <w:r w:rsidR="00CB5F86" w:rsidRPr="00D914E4">
        <w:rPr>
          <w:rFonts w:cstheme="minorHAnsi"/>
        </w:rPr>
        <w:t xml:space="preserve">and </w:t>
      </w:r>
      <w:r w:rsidR="008D2720" w:rsidRPr="00D914E4">
        <w:rPr>
          <w:rFonts w:cstheme="minorHAnsi"/>
        </w:rPr>
        <w:t xml:space="preserve">persons with </w:t>
      </w:r>
      <w:r w:rsidR="00A206DF" w:rsidRPr="00D914E4">
        <w:rPr>
          <w:rFonts w:cstheme="minorHAnsi"/>
        </w:rPr>
        <w:t>disabilities, as well as</w:t>
      </w:r>
      <w:r w:rsidR="008D2720" w:rsidRPr="00D914E4">
        <w:rPr>
          <w:rFonts w:cstheme="minorHAnsi"/>
        </w:rPr>
        <w:t xml:space="preserve"> </w:t>
      </w:r>
      <w:r w:rsidR="00A206DF" w:rsidRPr="00D914E4">
        <w:rPr>
          <w:rFonts w:cstheme="minorHAnsi"/>
        </w:rPr>
        <w:t xml:space="preserve">room for improvement on gender ratings in investment monitoring reports, a </w:t>
      </w:r>
      <w:r w:rsidR="008D2720" w:rsidRPr="00D914E4">
        <w:rPr>
          <w:rFonts w:cstheme="minorHAnsi"/>
        </w:rPr>
        <w:t xml:space="preserve">focus for the next </w:t>
      </w:r>
      <w:r w:rsidR="00A206DF" w:rsidRPr="00D914E4">
        <w:rPr>
          <w:rFonts w:cstheme="minorHAnsi"/>
        </w:rPr>
        <w:t>period</w:t>
      </w:r>
      <w:r w:rsidR="008D2720" w:rsidRPr="00D914E4">
        <w:rPr>
          <w:rFonts w:cstheme="minorHAnsi"/>
        </w:rPr>
        <w:t xml:space="preserve"> will be to </w:t>
      </w:r>
      <w:r w:rsidR="002D5FFC" w:rsidRPr="00D914E4">
        <w:rPr>
          <w:rFonts w:cstheme="minorHAnsi"/>
        </w:rPr>
        <w:t xml:space="preserve">better integrate </w:t>
      </w:r>
      <w:r w:rsidR="00A206DF" w:rsidRPr="00D914E4">
        <w:rPr>
          <w:rFonts w:cstheme="minorHAnsi"/>
        </w:rPr>
        <w:t xml:space="preserve">and target </w:t>
      </w:r>
      <w:r w:rsidR="002D5FFC" w:rsidRPr="00D914E4">
        <w:rPr>
          <w:rFonts w:cstheme="minorHAnsi"/>
        </w:rPr>
        <w:t>GEDSI across the</w:t>
      </w:r>
      <w:r w:rsidR="00CC66B8">
        <w:rPr>
          <w:rFonts w:cstheme="minorHAnsi"/>
        </w:rPr>
        <w:t xml:space="preserve"> development </w:t>
      </w:r>
      <w:r w:rsidR="002D5FFC" w:rsidRPr="00D914E4">
        <w:rPr>
          <w:rFonts w:cstheme="minorHAnsi"/>
        </w:rPr>
        <w:t>program</w:t>
      </w:r>
      <w:r w:rsidR="008D2720" w:rsidRPr="00D914E4">
        <w:rPr>
          <w:rFonts w:cstheme="minorHAnsi"/>
        </w:rPr>
        <w:t>.</w:t>
      </w:r>
    </w:p>
    <w:p w14:paraId="08459B2B" w14:textId="3B73E092" w:rsidR="00216699" w:rsidRPr="00D914E4" w:rsidRDefault="00704782" w:rsidP="00A67E24">
      <w:pPr>
        <w:spacing w:before="100" w:line="259" w:lineRule="auto"/>
        <w:rPr>
          <w:rFonts w:cstheme="minorHAnsi"/>
        </w:rPr>
      </w:pPr>
      <w:r w:rsidRPr="00D914E4">
        <w:rPr>
          <w:rFonts w:cstheme="minorHAnsi"/>
        </w:rPr>
        <w:t>Security continued to be a key focus. Through the Samoa-Australia Police Partnership, the Australian Federal Police worked with the Samoa Police, Prisons and Correction Services (SPPCS) to further strengthen SPPCS’ leadership, management, corporate and technical capabilities, to maintain a safe and stable Samoa</w:t>
      </w:r>
      <w:r w:rsidR="00930BB5" w:rsidRPr="00D914E4">
        <w:rPr>
          <w:rFonts w:cstheme="minorHAnsi"/>
        </w:rPr>
        <w:t>.</w:t>
      </w:r>
      <w:r w:rsidRPr="00D914E4">
        <w:rPr>
          <w:rFonts w:cstheme="minorHAnsi"/>
        </w:rPr>
        <w:t xml:space="preserve"> The Australian Defence Force continued to </w:t>
      </w:r>
      <w:r w:rsidR="005B3C97" w:rsidRPr="00D914E4">
        <w:rPr>
          <w:rFonts w:cstheme="minorHAnsi"/>
        </w:rPr>
        <w:t>support S</w:t>
      </w:r>
      <w:r w:rsidRPr="00D914E4">
        <w:rPr>
          <w:rFonts w:cstheme="minorHAnsi"/>
        </w:rPr>
        <w:t>amoa</w:t>
      </w:r>
      <w:r w:rsidR="00E14736" w:rsidRPr="00D914E4">
        <w:rPr>
          <w:rFonts w:cstheme="minorHAnsi"/>
        </w:rPr>
        <w:t xml:space="preserve"> to</w:t>
      </w:r>
      <w:r w:rsidR="005B3C97" w:rsidRPr="00D914E4">
        <w:rPr>
          <w:rFonts w:cstheme="minorHAnsi"/>
        </w:rPr>
        <w:t xml:space="preserve"> </w:t>
      </w:r>
      <w:r w:rsidRPr="00D914E4">
        <w:rPr>
          <w:rFonts w:cstheme="minorHAnsi"/>
          <w:b/>
          <w:bCs/>
        </w:rPr>
        <w:t xml:space="preserve">secure its </w:t>
      </w:r>
      <w:r w:rsidR="0007468E" w:rsidRPr="00D914E4">
        <w:rPr>
          <w:rFonts w:cstheme="minorHAnsi"/>
          <w:b/>
          <w:bCs/>
        </w:rPr>
        <w:t>maritime boundaries</w:t>
      </w:r>
      <w:r w:rsidR="001328F2" w:rsidRPr="00D914E4">
        <w:rPr>
          <w:rFonts w:cstheme="minorHAnsi"/>
        </w:rPr>
        <w:t xml:space="preserve">, </w:t>
      </w:r>
      <w:r w:rsidR="001328F2" w:rsidRPr="00D914E4">
        <w:rPr>
          <w:rFonts w:cstheme="minorHAnsi"/>
          <w:b/>
          <w:bCs/>
        </w:rPr>
        <w:t>including through capacity building and training</w:t>
      </w:r>
      <w:r w:rsidR="001328F2" w:rsidRPr="00D914E4">
        <w:rPr>
          <w:rFonts w:cstheme="minorHAnsi"/>
        </w:rPr>
        <w:t xml:space="preserve">. </w:t>
      </w:r>
      <w:r w:rsidR="00DF383A" w:rsidRPr="00D914E4">
        <w:rPr>
          <w:rFonts w:cstheme="minorHAnsi"/>
        </w:rPr>
        <w:t>Australia has committed to gift Samoa a new G</w:t>
      </w:r>
      <w:r w:rsidR="001328F2" w:rsidRPr="00D914E4">
        <w:rPr>
          <w:rFonts w:cstheme="minorHAnsi"/>
        </w:rPr>
        <w:t xml:space="preserve">uardian Class Patrol Boat </w:t>
      </w:r>
      <w:r w:rsidR="00DF383A" w:rsidRPr="00D914E4">
        <w:rPr>
          <w:rFonts w:cstheme="minorHAnsi"/>
        </w:rPr>
        <w:t xml:space="preserve">in 2023. </w:t>
      </w:r>
      <w:r w:rsidR="00B3034A" w:rsidRPr="00D914E4">
        <w:rPr>
          <w:rFonts w:cstheme="minorHAnsi"/>
        </w:rPr>
        <w:t>Australia</w:t>
      </w:r>
      <w:r w:rsidR="00216699" w:rsidRPr="00D914E4">
        <w:rPr>
          <w:rFonts w:cstheme="minorHAnsi"/>
        </w:rPr>
        <w:t xml:space="preserve"> funded the establishment of Samoa’s Cyber Emergency Response Capability Team (SAMCERT). Five positions were recruited for the SAMCERT over the last twelve </w:t>
      </w:r>
      <w:r w:rsidR="00651312" w:rsidRPr="00D914E4">
        <w:rPr>
          <w:rFonts w:cstheme="minorHAnsi"/>
        </w:rPr>
        <w:t>months and</w:t>
      </w:r>
      <w:r w:rsidR="00216699" w:rsidRPr="00D914E4">
        <w:rPr>
          <w:rFonts w:cstheme="minorHAnsi"/>
        </w:rPr>
        <w:t xml:space="preserve"> have been instrumental in supporting Samoa in transitioning to greater use of online systems during the COVID-19 pandemic. The SAMCERT is responsible for coordinating nation-wide responses to cyber-attacks and </w:t>
      </w:r>
      <w:r w:rsidR="00651312" w:rsidRPr="00D914E4">
        <w:rPr>
          <w:rFonts w:cstheme="minorHAnsi"/>
        </w:rPr>
        <w:t>threats and</w:t>
      </w:r>
      <w:r w:rsidR="00216699" w:rsidRPr="00D914E4">
        <w:rPr>
          <w:rFonts w:cstheme="minorHAnsi"/>
        </w:rPr>
        <w:t xml:space="preserve"> has been active over the reporting period in addressing and defending against </w:t>
      </w:r>
      <w:proofErr w:type="gramStart"/>
      <w:r w:rsidR="00216699" w:rsidRPr="00D914E4">
        <w:rPr>
          <w:rFonts w:cstheme="minorHAnsi"/>
        </w:rPr>
        <w:t>a number of</w:t>
      </w:r>
      <w:proofErr w:type="gramEnd"/>
      <w:r w:rsidR="00216699" w:rsidRPr="00D914E4">
        <w:rPr>
          <w:rFonts w:cstheme="minorHAnsi"/>
        </w:rPr>
        <w:t xml:space="preserve"> cyber-attacks on </w:t>
      </w:r>
      <w:proofErr w:type="spellStart"/>
      <w:r w:rsidR="00216699" w:rsidRPr="00D914E4">
        <w:rPr>
          <w:rFonts w:cstheme="minorHAnsi"/>
        </w:rPr>
        <w:t>G</w:t>
      </w:r>
      <w:r w:rsidR="008D372C" w:rsidRPr="00D914E4">
        <w:rPr>
          <w:rFonts w:cstheme="minorHAnsi"/>
        </w:rPr>
        <w:t>oS</w:t>
      </w:r>
      <w:proofErr w:type="spellEnd"/>
      <w:r w:rsidR="00216699" w:rsidRPr="00D914E4">
        <w:rPr>
          <w:rFonts w:cstheme="minorHAnsi"/>
        </w:rPr>
        <w:t xml:space="preserve"> systems. It has also commenced </w:t>
      </w:r>
      <w:r w:rsidR="00216699" w:rsidRPr="00D914E4">
        <w:rPr>
          <w:rFonts w:cstheme="minorHAnsi"/>
          <w:b/>
          <w:bCs/>
        </w:rPr>
        <w:t>training with key government departments and the private sector to strengthen resilience against cyber-attacks, including in the banking and finance sectors</w:t>
      </w:r>
      <w:r w:rsidR="0062130C" w:rsidRPr="00D914E4">
        <w:rPr>
          <w:rFonts w:cstheme="minorHAnsi"/>
          <w:b/>
          <w:bCs/>
        </w:rPr>
        <w:t xml:space="preserve"> </w:t>
      </w:r>
      <w:r w:rsidR="0062130C" w:rsidRPr="00D914E4">
        <w:rPr>
          <w:rFonts w:cstheme="minorHAnsi"/>
        </w:rPr>
        <w:t xml:space="preserve">- </w:t>
      </w:r>
      <w:r w:rsidR="00216699" w:rsidRPr="00D914E4">
        <w:rPr>
          <w:rFonts w:cstheme="minorHAnsi"/>
        </w:rPr>
        <w:t xml:space="preserve">critical to supporting economic inflows during the COVID-19 pandemic. </w:t>
      </w:r>
    </w:p>
    <w:p w14:paraId="0B17EEFD" w14:textId="715E67F5" w:rsidR="008C1F60" w:rsidRPr="00D914E4" w:rsidRDefault="00297FD1" w:rsidP="00D914E4">
      <w:pPr>
        <w:pStyle w:val="Heading3"/>
      </w:pPr>
      <w:r w:rsidRPr="00D914E4">
        <w:t>Economic recovery</w:t>
      </w:r>
    </w:p>
    <w:p w14:paraId="3023E41A" w14:textId="1ACE40EA" w:rsidR="0015102C" w:rsidRPr="00D914E4" w:rsidRDefault="00237D8D" w:rsidP="00A67E24">
      <w:pPr>
        <w:spacing w:before="100" w:line="259" w:lineRule="auto"/>
        <w:rPr>
          <w:rFonts w:cstheme="minorHAnsi"/>
          <w:lang w:val="en-AU"/>
        </w:rPr>
      </w:pPr>
      <w:r w:rsidRPr="00D914E4">
        <w:rPr>
          <w:rFonts w:cstheme="minorHAnsi"/>
          <w:lang w:val="en-AU"/>
        </w:rPr>
        <w:t>In partnership with the World Bank, ADB and New Zealand</w:t>
      </w:r>
      <w:r w:rsidR="00651312" w:rsidRPr="00D914E4">
        <w:rPr>
          <w:rFonts w:cstheme="minorHAnsi"/>
          <w:lang w:val="en-AU"/>
        </w:rPr>
        <w:t xml:space="preserve"> (through the Joint Policy Action Matrix)</w:t>
      </w:r>
      <w:r w:rsidRPr="00D914E4">
        <w:rPr>
          <w:rFonts w:cstheme="minorHAnsi"/>
          <w:lang w:val="en-AU"/>
        </w:rPr>
        <w:t xml:space="preserve">, Australia provided </w:t>
      </w:r>
      <w:r w:rsidR="004565E3" w:rsidRPr="00D914E4">
        <w:rPr>
          <w:rFonts w:cstheme="minorHAnsi"/>
          <w:lang w:val="en-AU"/>
        </w:rPr>
        <w:t>$</w:t>
      </w:r>
      <w:r w:rsidR="00D325F2" w:rsidRPr="00D914E4">
        <w:rPr>
          <w:rFonts w:cstheme="minorHAnsi"/>
          <w:lang w:val="en-AU"/>
        </w:rPr>
        <w:t>8</w:t>
      </w:r>
      <w:r w:rsidR="004565E3" w:rsidRPr="00D914E4">
        <w:rPr>
          <w:rFonts w:cstheme="minorHAnsi"/>
          <w:lang w:val="en-AU"/>
        </w:rPr>
        <w:t xml:space="preserve"> </w:t>
      </w:r>
      <w:r w:rsidR="00D325F2" w:rsidRPr="00D914E4">
        <w:rPr>
          <w:rFonts w:cstheme="minorHAnsi"/>
          <w:lang w:val="en-AU"/>
        </w:rPr>
        <w:t>m</w:t>
      </w:r>
      <w:r w:rsidR="004565E3" w:rsidRPr="00D914E4">
        <w:rPr>
          <w:rFonts w:cstheme="minorHAnsi"/>
          <w:lang w:val="en-AU"/>
        </w:rPr>
        <w:t>illion</w:t>
      </w:r>
      <w:r w:rsidR="00D325F2" w:rsidRPr="00D914E4">
        <w:rPr>
          <w:rFonts w:cstheme="minorHAnsi"/>
          <w:lang w:val="en-AU"/>
        </w:rPr>
        <w:t xml:space="preserve"> </w:t>
      </w:r>
      <w:r w:rsidR="00ED21C4" w:rsidRPr="00D914E4">
        <w:rPr>
          <w:rFonts w:cstheme="minorHAnsi"/>
          <w:lang w:val="en-AU"/>
        </w:rPr>
        <w:t xml:space="preserve">in </w:t>
      </w:r>
      <w:r w:rsidRPr="00D914E4">
        <w:rPr>
          <w:rFonts w:cstheme="minorHAnsi"/>
          <w:lang w:val="en-AU"/>
        </w:rPr>
        <w:t>budget support</w:t>
      </w:r>
      <w:r w:rsidR="00ED21C4" w:rsidRPr="00D914E4">
        <w:rPr>
          <w:rFonts w:cstheme="minorHAnsi"/>
          <w:lang w:val="en-AU"/>
        </w:rPr>
        <w:t xml:space="preserve"> from the bilateral development program</w:t>
      </w:r>
      <w:r w:rsidR="00D325F2" w:rsidRPr="00D914E4">
        <w:rPr>
          <w:rFonts w:cstheme="minorHAnsi"/>
          <w:lang w:val="en-AU"/>
        </w:rPr>
        <w:t xml:space="preserve">, and another </w:t>
      </w:r>
      <w:r w:rsidR="004565E3" w:rsidRPr="00D914E4">
        <w:rPr>
          <w:rFonts w:cstheme="minorHAnsi"/>
          <w:lang w:val="en-AU"/>
        </w:rPr>
        <w:t>$</w:t>
      </w:r>
      <w:r w:rsidR="00D325F2" w:rsidRPr="00D914E4">
        <w:rPr>
          <w:rFonts w:cstheme="minorHAnsi"/>
          <w:lang w:val="en-AU"/>
        </w:rPr>
        <w:t>10</w:t>
      </w:r>
      <w:r w:rsidR="004565E3" w:rsidRPr="00D914E4">
        <w:rPr>
          <w:rFonts w:cstheme="minorHAnsi"/>
          <w:lang w:val="en-AU"/>
        </w:rPr>
        <w:t xml:space="preserve"> </w:t>
      </w:r>
      <w:r w:rsidR="00D325F2" w:rsidRPr="00D914E4">
        <w:rPr>
          <w:rFonts w:cstheme="minorHAnsi"/>
          <w:lang w:val="en-AU"/>
        </w:rPr>
        <w:t>m</w:t>
      </w:r>
      <w:r w:rsidR="004565E3" w:rsidRPr="00D914E4">
        <w:rPr>
          <w:rFonts w:cstheme="minorHAnsi"/>
          <w:lang w:val="en-AU"/>
        </w:rPr>
        <w:t>illion</w:t>
      </w:r>
      <w:r w:rsidR="00D325F2" w:rsidRPr="00D914E4">
        <w:rPr>
          <w:rFonts w:cstheme="minorHAnsi"/>
          <w:lang w:val="en-AU"/>
        </w:rPr>
        <w:t xml:space="preserve"> from the</w:t>
      </w:r>
      <w:r w:rsidR="00E14736" w:rsidRPr="00D914E4">
        <w:rPr>
          <w:rFonts w:cstheme="minorHAnsi"/>
          <w:lang w:val="en-AU"/>
        </w:rPr>
        <w:t xml:space="preserve"> regional</w:t>
      </w:r>
      <w:r w:rsidR="00D325F2" w:rsidRPr="00D914E4">
        <w:rPr>
          <w:rFonts w:cstheme="minorHAnsi"/>
          <w:lang w:val="en-AU"/>
        </w:rPr>
        <w:t xml:space="preserve"> </w:t>
      </w:r>
      <w:r w:rsidR="00E14736" w:rsidRPr="00D914E4">
        <w:rPr>
          <w:rFonts w:cstheme="minorHAnsi"/>
          <w:lang w:val="en-AU"/>
        </w:rPr>
        <w:t xml:space="preserve">Pacific </w:t>
      </w:r>
      <w:r w:rsidR="00D325F2" w:rsidRPr="00D914E4">
        <w:rPr>
          <w:rFonts w:cstheme="minorHAnsi"/>
          <w:lang w:val="en-AU"/>
        </w:rPr>
        <w:t xml:space="preserve">COVID-19 </w:t>
      </w:r>
      <w:r w:rsidR="00E14736" w:rsidRPr="00D914E4">
        <w:rPr>
          <w:rFonts w:cstheme="minorHAnsi"/>
          <w:lang w:val="en-AU"/>
        </w:rPr>
        <w:t>Response</w:t>
      </w:r>
      <w:r w:rsidR="00D325F2" w:rsidRPr="00D914E4">
        <w:rPr>
          <w:rFonts w:cstheme="minorHAnsi"/>
          <w:lang w:val="en-AU"/>
        </w:rPr>
        <w:t xml:space="preserve"> Package</w:t>
      </w:r>
      <w:r w:rsidR="00651312" w:rsidRPr="00D914E4">
        <w:rPr>
          <w:rFonts w:cstheme="minorHAnsi"/>
          <w:lang w:val="en-AU"/>
        </w:rPr>
        <w:t>.</w:t>
      </w:r>
      <w:r w:rsidR="00651312" w:rsidRPr="00D914E4">
        <w:rPr>
          <w:rFonts w:cstheme="minorHAnsi"/>
          <w:b/>
          <w:bCs/>
          <w:lang w:val="en-AU"/>
        </w:rPr>
        <w:t xml:space="preserve"> </w:t>
      </w:r>
      <w:r w:rsidRPr="00D914E4">
        <w:rPr>
          <w:rFonts w:cstheme="minorHAnsi"/>
          <w:b/>
          <w:bCs/>
          <w:lang w:val="en-AU"/>
        </w:rPr>
        <w:t xml:space="preserve">Our support incentivised key socio-economic and fiscal policy reforms. </w:t>
      </w:r>
      <w:r w:rsidR="00D325F2" w:rsidRPr="00D914E4">
        <w:rPr>
          <w:rFonts w:cstheme="minorHAnsi"/>
          <w:lang w:val="en-AU"/>
        </w:rPr>
        <w:t>Notably, this included t</w:t>
      </w:r>
      <w:r w:rsidRPr="00D914E4">
        <w:rPr>
          <w:rFonts w:cstheme="minorHAnsi"/>
          <w:lang w:val="en-AU"/>
        </w:rPr>
        <w:t>he development of a tax invoice monitoring system, which resulted in increased revenue</w:t>
      </w:r>
      <w:r w:rsidR="00D325F2" w:rsidRPr="00D914E4">
        <w:rPr>
          <w:rFonts w:cstheme="minorHAnsi"/>
          <w:lang w:val="en-AU"/>
        </w:rPr>
        <w:t xml:space="preserve"> </w:t>
      </w:r>
      <w:r w:rsidR="00707969" w:rsidRPr="00D914E4">
        <w:rPr>
          <w:rFonts w:cstheme="minorHAnsi"/>
          <w:lang w:val="en-AU"/>
        </w:rPr>
        <w:t>collection</w:t>
      </w:r>
      <w:r w:rsidRPr="00D914E4">
        <w:rPr>
          <w:rFonts w:cstheme="minorHAnsi"/>
          <w:lang w:val="en-AU"/>
        </w:rPr>
        <w:t>.</w:t>
      </w:r>
      <w:r w:rsidR="00707969" w:rsidRPr="00D914E4">
        <w:rPr>
          <w:rFonts w:cstheme="minorHAnsi"/>
          <w:lang w:val="en-AU"/>
        </w:rPr>
        <w:t xml:space="preserve"> </w:t>
      </w:r>
      <w:r w:rsidR="00453889" w:rsidRPr="00D914E4">
        <w:rPr>
          <w:rFonts w:cstheme="minorHAnsi"/>
          <w:lang w:val="en-AU"/>
        </w:rPr>
        <w:t>T</w:t>
      </w:r>
      <w:r w:rsidR="00453889" w:rsidRPr="00D914E4">
        <w:rPr>
          <w:rFonts w:cstheme="minorHAnsi"/>
        </w:rPr>
        <w:t xml:space="preserve">he </w:t>
      </w:r>
      <w:proofErr w:type="spellStart"/>
      <w:r w:rsidR="00453889" w:rsidRPr="00D914E4">
        <w:rPr>
          <w:rFonts w:cstheme="minorHAnsi"/>
        </w:rPr>
        <w:t>G</w:t>
      </w:r>
      <w:r w:rsidR="008D372C" w:rsidRPr="00D914E4">
        <w:rPr>
          <w:rFonts w:cstheme="minorHAnsi"/>
        </w:rPr>
        <w:t>oS</w:t>
      </w:r>
      <w:proofErr w:type="spellEnd"/>
      <w:r w:rsidR="00707969" w:rsidRPr="00D914E4">
        <w:rPr>
          <w:rFonts w:cstheme="minorHAnsi"/>
          <w:lang w:val="en-AU"/>
        </w:rPr>
        <w:t xml:space="preserve"> also commenced </w:t>
      </w:r>
      <w:r w:rsidR="00707969" w:rsidRPr="00D914E4">
        <w:rPr>
          <w:rFonts w:cstheme="minorHAnsi"/>
          <w:b/>
          <w:bCs/>
          <w:lang w:val="en-AU"/>
        </w:rPr>
        <w:t xml:space="preserve">development of </w:t>
      </w:r>
      <w:r w:rsidR="00F71371" w:rsidRPr="00D914E4">
        <w:rPr>
          <w:rFonts w:cstheme="minorHAnsi"/>
          <w:b/>
          <w:bCs/>
          <w:lang w:val="en-AU"/>
        </w:rPr>
        <w:t xml:space="preserve">a </w:t>
      </w:r>
      <w:r w:rsidR="00707969" w:rsidRPr="00D914E4">
        <w:rPr>
          <w:rFonts w:cstheme="minorHAnsi"/>
          <w:b/>
          <w:bCs/>
          <w:lang w:val="en-AU"/>
        </w:rPr>
        <w:t>Social Protection Framework</w:t>
      </w:r>
      <w:r w:rsidR="00707969" w:rsidRPr="00D914E4">
        <w:rPr>
          <w:rFonts w:cstheme="minorHAnsi"/>
          <w:b/>
          <w:bCs/>
        </w:rPr>
        <w:t xml:space="preserve"> that provides a basis for targeting benefits to vulnerable and affected households in responses to economic shocks.</w:t>
      </w:r>
      <w:r w:rsidRPr="00D914E4">
        <w:rPr>
          <w:rFonts w:cstheme="minorHAnsi"/>
          <w:lang w:val="en-AU"/>
        </w:rPr>
        <w:t xml:space="preserve"> Samoa also continued a commitment to responsible debt management, including a policy of no new external non-concessional borrowing.</w:t>
      </w:r>
      <w:r w:rsidRPr="00D914E4">
        <w:rPr>
          <w:rFonts w:cstheme="minorHAnsi"/>
        </w:rPr>
        <w:t xml:space="preserve"> </w:t>
      </w:r>
      <w:r w:rsidR="009E5403" w:rsidRPr="00D914E4">
        <w:rPr>
          <w:rFonts w:cstheme="minorHAnsi"/>
          <w:lang w:val="en-AU"/>
        </w:rPr>
        <w:t xml:space="preserve">An Australian funded Senior Procurement Advisor worked closely with the Ministry of Finance and other key ministries to </w:t>
      </w:r>
      <w:r w:rsidR="00E14736" w:rsidRPr="00D914E4">
        <w:rPr>
          <w:rFonts w:cstheme="minorHAnsi"/>
          <w:lang w:val="en-AU"/>
        </w:rPr>
        <w:t>strengthen</w:t>
      </w:r>
      <w:r w:rsidR="009E5403" w:rsidRPr="00D914E4">
        <w:rPr>
          <w:rFonts w:cstheme="minorHAnsi"/>
          <w:lang w:val="en-AU"/>
        </w:rPr>
        <w:t xml:space="preserve"> Samoa’s procurement systems, which have come under strain during the COVID-19 pandemic. </w:t>
      </w:r>
      <w:r w:rsidR="009E5403" w:rsidRPr="00D914E4">
        <w:rPr>
          <w:rFonts w:cstheme="minorHAnsi"/>
          <w:b/>
          <w:bCs/>
          <w:lang w:val="en-AU"/>
        </w:rPr>
        <w:t>Training and capacity building occurred in key areas including public procurement, fraud and corruption, procurement planning, contract management, and insurance</w:t>
      </w:r>
      <w:r w:rsidR="009E5403" w:rsidRPr="00D914E4">
        <w:rPr>
          <w:rFonts w:cstheme="minorHAnsi"/>
          <w:lang w:val="en-AU"/>
        </w:rPr>
        <w:t>. These trainings have assisted procurement practitioners in the country to manage procurement processes more effectively and efficiently, mi</w:t>
      </w:r>
      <w:r w:rsidR="00707969" w:rsidRPr="00D914E4">
        <w:rPr>
          <w:rFonts w:cstheme="minorHAnsi"/>
          <w:lang w:val="en-AU"/>
        </w:rPr>
        <w:t xml:space="preserve">tigate </w:t>
      </w:r>
      <w:r w:rsidR="009E5403" w:rsidRPr="00D914E4">
        <w:rPr>
          <w:rFonts w:cstheme="minorHAnsi"/>
          <w:lang w:val="en-AU"/>
        </w:rPr>
        <w:t>corruption and fraud, and supported early identification and detection</w:t>
      </w:r>
      <w:r w:rsidR="00E14736" w:rsidRPr="00D914E4">
        <w:rPr>
          <w:rFonts w:cstheme="minorHAnsi"/>
          <w:lang w:val="en-AU"/>
        </w:rPr>
        <w:t xml:space="preserve"> of risks</w:t>
      </w:r>
      <w:r w:rsidR="009E5403" w:rsidRPr="00D914E4">
        <w:rPr>
          <w:rFonts w:cstheme="minorHAnsi"/>
          <w:lang w:val="en-AU"/>
        </w:rPr>
        <w:t>.</w:t>
      </w:r>
    </w:p>
    <w:p w14:paraId="3A04567A" w14:textId="77B34AA7" w:rsidR="00B42B9B" w:rsidRPr="00D914E4" w:rsidRDefault="009202F7" w:rsidP="00A67E24">
      <w:pPr>
        <w:spacing w:before="100" w:line="259" w:lineRule="auto"/>
        <w:rPr>
          <w:rFonts w:cstheme="minorHAnsi"/>
          <w:lang w:val="en-AU"/>
        </w:rPr>
      </w:pPr>
      <w:r w:rsidRPr="00D914E4">
        <w:rPr>
          <w:rFonts w:cstheme="minorHAnsi"/>
          <w:lang w:val="en-AU"/>
        </w:rPr>
        <w:t>Targeted training w</w:t>
      </w:r>
      <w:r w:rsidR="00E14736" w:rsidRPr="00D914E4">
        <w:rPr>
          <w:rFonts w:cstheme="minorHAnsi"/>
          <w:lang w:val="en-AU"/>
        </w:rPr>
        <w:t>as</w:t>
      </w:r>
      <w:r w:rsidRPr="00D914E4">
        <w:rPr>
          <w:rFonts w:cstheme="minorHAnsi"/>
          <w:lang w:val="en-AU"/>
        </w:rPr>
        <w:t xml:space="preserve"> provided to </w:t>
      </w:r>
      <w:r w:rsidR="009E661D" w:rsidRPr="00D914E4">
        <w:rPr>
          <w:rFonts w:cstheme="minorHAnsi"/>
          <w:b/>
          <w:bCs/>
          <w:lang w:val="en-AU"/>
        </w:rPr>
        <w:t>54 key Samoan public service</w:t>
      </w:r>
      <w:r w:rsidR="00651312" w:rsidRPr="00D914E4">
        <w:rPr>
          <w:rFonts w:cstheme="minorHAnsi"/>
          <w:b/>
          <w:bCs/>
          <w:lang w:val="en-AU"/>
        </w:rPr>
        <w:t xml:space="preserve"> </w:t>
      </w:r>
      <w:r w:rsidRPr="00D914E4">
        <w:rPr>
          <w:rFonts w:cstheme="minorHAnsi"/>
          <w:b/>
          <w:bCs/>
          <w:lang w:val="en-AU"/>
        </w:rPr>
        <w:t>staff</w:t>
      </w:r>
      <w:r w:rsidRPr="00D914E4">
        <w:rPr>
          <w:rFonts w:cstheme="minorHAnsi"/>
          <w:lang w:val="en-AU"/>
        </w:rPr>
        <w:t xml:space="preserve"> from the Samoa Audit Office (SAO), the Office of the Ombudsman of Samoa (OOS) and the Public Service Commission’s Office</w:t>
      </w:r>
      <w:r w:rsidR="00417150" w:rsidRPr="00D914E4">
        <w:rPr>
          <w:rFonts w:cstheme="minorHAnsi"/>
          <w:lang w:val="en-AU"/>
        </w:rPr>
        <w:t>, which</w:t>
      </w:r>
      <w:r w:rsidRPr="00D914E4">
        <w:rPr>
          <w:rFonts w:cstheme="minorHAnsi"/>
          <w:lang w:val="en-AU"/>
        </w:rPr>
        <w:t xml:space="preserve"> </w:t>
      </w:r>
      <w:r w:rsidR="00417150" w:rsidRPr="00D914E4">
        <w:rPr>
          <w:rFonts w:cstheme="minorHAnsi"/>
          <w:lang w:val="en-AU"/>
        </w:rPr>
        <w:t>enabled staff to uphold</w:t>
      </w:r>
      <w:r w:rsidRPr="00D914E4">
        <w:rPr>
          <w:rFonts w:cstheme="minorHAnsi"/>
          <w:lang w:val="en-AU"/>
        </w:rPr>
        <w:t xml:space="preserve"> </w:t>
      </w:r>
      <w:r w:rsidR="00417150" w:rsidRPr="00D914E4">
        <w:rPr>
          <w:rFonts w:cstheme="minorHAnsi"/>
          <w:lang w:val="en-AU"/>
        </w:rPr>
        <w:t xml:space="preserve">fit for purpose </w:t>
      </w:r>
      <w:r w:rsidRPr="00D914E4">
        <w:rPr>
          <w:rFonts w:cstheme="minorHAnsi"/>
          <w:lang w:val="en-AU"/>
        </w:rPr>
        <w:t>government systems during the state of emergency period and several national lockdowns.</w:t>
      </w:r>
      <w:r w:rsidR="009E661D" w:rsidRPr="00D914E4">
        <w:rPr>
          <w:rFonts w:cstheme="minorHAnsi"/>
          <w:lang w:val="en-AU"/>
        </w:rPr>
        <w:t xml:space="preserve"> </w:t>
      </w:r>
      <w:r w:rsidR="00B42B9B" w:rsidRPr="00D914E4">
        <w:rPr>
          <w:rFonts w:cstheme="minorHAnsi"/>
          <w:lang w:val="en-AU"/>
        </w:rPr>
        <w:t>Training delivered by the Australia Pacific Training Coa</w:t>
      </w:r>
      <w:r w:rsidR="00B63910" w:rsidRPr="00D914E4">
        <w:rPr>
          <w:rFonts w:cstheme="minorHAnsi"/>
          <w:lang w:val="en-AU"/>
        </w:rPr>
        <w:t xml:space="preserve">lition (APTC) supported </w:t>
      </w:r>
      <w:r w:rsidR="00E14736" w:rsidRPr="00D914E4">
        <w:rPr>
          <w:rFonts w:cstheme="minorHAnsi"/>
          <w:lang w:val="en-AU"/>
        </w:rPr>
        <w:t>students’</w:t>
      </w:r>
      <w:r w:rsidR="00B63910" w:rsidRPr="00D914E4">
        <w:rPr>
          <w:rFonts w:cstheme="minorHAnsi"/>
          <w:lang w:val="en-AU"/>
        </w:rPr>
        <w:t xml:space="preserve"> </w:t>
      </w:r>
      <w:r w:rsidR="00E14736" w:rsidRPr="00D914E4">
        <w:rPr>
          <w:rFonts w:cstheme="minorHAnsi"/>
          <w:lang w:val="en-AU"/>
        </w:rPr>
        <w:t xml:space="preserve">skills development </w:t>
      </w:r>
      <w:r w:rsidR="00B63910" w:rsidRPr="00D914E4">
        <w:rPr>
          <w:rFonts w:cstheme="minorHAnsi"/>
          <w:lang w:val="en-AU"/>
        </w:rPr>
        <w:t xml:space="preserve">in a range of priority </w:t>
      </w:r>
      <w:r w:rsidR="00707969" w:rsidRPr="00D914E4">
        <w:rPr>
          <w:rFonts w:cstheme="minorHAnsi"/>
          <w:lang w:val="en-AU"/>
        </w:rPr>
        <w:t xml:space="preserve">economic </w:t>
      </w:r>
      <w:r w:rsidR="00B63910" w:rsidRPr="00D914E4">
        <w:rPr>
          <w:rFonts w:cstheme="minorHAnsi"/>
          <w:lang w:val="en-AU"/>
        </w:rPr>
        <w:t>sectors</w:t>
      </w:r>
      <w:r w:rsidR="00651312" w:rsidRPr="00D914E4">
        <w:rPr>
          <w:rFonts w:cstheme="minorHAnsi"/>
          <w:lang w:val="en-AU"/>
        </w:rPr>
        <w:t>,</w:t>
      </w:r>
      <w:r w:rsidR="00B63910" w:rsidRPr="00D914E4">
        <w:rPr>
          <w:rFonts w:cstheme="minorHAnsi"/>
          <w:lang w:val="en-AU"/>
        </w:rPr>
        <w:t xml:space="preserve"> including tourism, hospitality, construction, plumbing and counselling. In the reporting </w:t>
      </w:r>
      <w:r w:rsidR="00651312" w:rsidRPr="00D914E4">
        <w:rPr>
          <w:rFonts w:cstheme="minorHAnsi"/>
          <w:lang w:val="en-AU"/>
        </w:rPr>
        <w:t>period, APTC</w:t>
      </w:r>
      <w:r w:rsidR="00B63910" w:rsidRPr="00D914E4">
        <w:rPr>
          <w:rFonts w:cstheme="minorHAnsi"/>
          <w:lang w:val="en-AU"/>
        </w:rPr>
        <w:t xml:space="preserve"> has also focussed energy and resources on </w:t>
      </w:r>
      <w:r w:rsidR="00B63910" w:rsidRPr="00D914E4">
        <w:rPr>
          <w:rFonts w:cstheme="minorHAnsi"/>
          <w:b/>
          <w:bCs/>
          <w:lang w:val="en-AU"/>
        </w:rPr>
        <w:t xml:space="preserve">strengthening local Technical Vocational Education and Training (TVET) providers. </w:t>
      </w:r>
      <w:r w:rsidR="00B63910" w:rsidRPr="00D914E4">
        <w:rPr>
          <w:rFonts w:cstheme="minorHAnsi"/>
          <w:lang w:val="en-AU"/>
        </w:rPr>
        <w:t xml:space="preserve">A partnership with the Samoan disability advocacy organisation </w:t>
      </w:r>
      <w:proofErr w:type="spellStart"/>
      <w:r w:rsidR="00B63910" w:rsidRPr="00D914E4">
        <w:rPr>
          <w:rFonts w:cstheme="minorHAnsi"/>
          <w:lang w:val="en-AU"/>
        </w:rPr>
        <w:t>Nuanua</w:t>
      </w:r>
      <w:proofErr w:type="spellEnd"/>
      <w:r w:rsidR="00B63910" w:rsidRPr="00D914E4">
        <w:rPr>
          <w:rFonts w:cstheme="minorHAnsi"/>
          <w:lang w:val="en-AU"/>
        </w:rPr>
        <w:t xml:space="preserve"> O Le </w:t>
      </w:r>
      <w:proofErr w:type="spellStart"/>
      <w:r w:rsidR="00B63910" w:rsidRPr="00D914E4">
        <w:rPr>
          <w:rFonts w:cstheme="minorHAnsi"/>
          <w:lang w:val="en-AU"/>
        </w:rPr>
        <w:t>Alofa</w:t>
      </w:r>
      <w:proofErr w:type="spellEnd"/>
      <w:r w:rsidR="00B63910" w:rsidRPr="00D914E4">
        <w:rPr>
          <w:rFonts w:cstheme="minorHAnsi"/>
          <w:lang w:val="en-AU"/>
        </w:rPr>
        <w:t xml:space="preserve"> (NOLA) culminated in publication of a research paper on </w:t>
      </w:r>
      <w:r w:rsidR="00651312" w:rsidRPr="00D914E4">
        <w:rPr>
          <w:rFonts w:cstheme="minorHAnsi"/>
          <w:lang w:val="en-AU"/>
        </w:rPr>
        <w:t>i</w:t>
      </w:r>
      <w:r w:rsidR="00B63910" w:rsidRPr="00D914E4">
        <w:rPr>
          <w:rFonts w:cstheme="minorHAnsi"/>
          <w:lang w:val="en-AU"/>
        </w:rPr>
        <w:t>nclusive TVET in Samoa</w:t>
      </w:r>
      <w:r w:rsidR="009D5001" w:rsidRPr="00D914E4">
        <w:rPr>
          <w:rFonts w:cstheme="minorHAnsi"/>
          <w:lang w:val="en-AU"/>
        </w:rPr>
        <w:t>.</w:t>
      </w:r>
    </w:p>
    <w:p w14:paraId="12E24BAE" w14:textId="75A251EE" w:rsidR="00BC1FED" w:rsidRPr="00D914E4" w:rsidRDefault="00121DDD" w:rsidP="00D914E4">
      <w:pPr>
        <w:pStyle w:val="Heading2"/>
      </w:pPr>
      <w:r w:rsidRPr="00D914E4">
        <w:lastRenderedPageBreak/>
        <w:t>Annex 1</w:t>
      </w:r>
      <w:r w:rsidR="001F7F4D" w:rsidRPr="00D914E4">
        <w:t xml:space="preserve">: </w:t>
      </w:r>
      <w:r w:rsidR="00540A22" w:rsidRPr="00D914E4">
        <w:t xml:space="preserve">Progress against </w:t>
      </w:r>
      <w:r w:rsidR="008A1503" w:rsidRPr="00D914E4">
        <w:t xml:space="preserve">COVID-19 </w:t>
      </w:r>
      <w:r w:rsidR="008C1A18" w:rsidRPr="00D914E4">
        <w:t xml:space="preserve">development </w:t>
      </w:r>
      <w:r w:rsidR="008A1503" w:rsidRPr="00D914E4">
        <w:t xml:space="preserve">Response plan </w:t>
      </w:r>
      <w:r w:rsidR="00E1666D" w:rsidRPr="00D914E4">
        <w:t>results indicators</w:t>
      </w:r>
    </w:p>
    <w:p w14:paraId="53E0B1CB" w14:textId="4861D448" w:rsidR="00AE2B7B" w:rsidRPr="00003AC7" w:rsidRDefault="00AE2B7B" w:rsidP="00D914E4">
      <w:pPr>
        <w:pStyle w:val="Heading3"/>
      </w:pPr>
      <w:r w:rsidRPr="00003AC7">
        <w:t>Health Security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90"/>
        <w:gridCol w:w="6146"/>
      </w:tblGrid>
      <w:tr w:rsidR="00330EE8" w:rsidRPr="00330EE8" w14:paraId="228F7F02" w14:textId="77777777" w:rsidTr="007A4493">
        <w:trPr>
          <w:tblHeader/>
        </w:trPr>
        <w:tc>
          <w:tcPr>
            <w:tcW w:w="4390" w:type="dxa"/>
            <w:shd w:val="clear" w:color="auto" w:fill="A2DCD1" w:themeFill="accent1" w:themeFillTint="99"/>
          </w:tcPr>
          <w:p w14:paraId="7116F4F5" w14:textId="2BCC79D7" w:rsidR="004F5615" w:rsidRPr="00330EE8" w:rsidRDefault="00A96364" w:rsidP="00CA5021">
            <w:pPr>
              <w:spacing w:before="0" w:after="0" w:line="240" w:lineRule="auto"/>
              <w:jc w:val="center"/>
              <w:rPr>
                <w:rFonts w:cstheme="minorHAnsi"/>
                <w:b/>
                <w:sz w:val="20"/>
                <w:szCs w:val="20"/>
              </w:rPr>
            </w:pPr>
            <w:r w:rsidRPr="00330EE8">
              <w:rPr>
                <w:rFonts w:cstheme="minorHAnsi"/>
                <w:b/>
                <w:sz w:val="20"/>
                <w:szCs w:val="20"/>
              </w:rPr>
              <w:t xml:space="preserve">Key Results </w:t>
            </w:r>
            <w:r w:rsidR="00E1666D" w:rsidRPr="00330EE8">
              <w:rPr>
                <w:rFonts w:cstheme="minorHAnsi"/>
                <w:b/>
                <w:sz w:val="20"/>
                <w:szCs w:val="20"/>
              </w:rPr>
              <w:t>Indicators</w:t>
            </w:r>
          </w:p>
        </w:tc>
        <w:tc>
          <w:tcPr>
            <w:tcW w:w="6146" w:type="dxa"/>
            <w:shd w:val="clear" w:color="auto" w:fill="A2DCD1" w:themeFill="accent1" w:themeFillTint="99"/>
          </w:tcPr>
          <w:p w14:paraId="18C04122" w14:textId="30B10914" w:rsidR="004F5615" w:rsidRPr="00330EE8" w:rsidRDefault="00AD19F7" w:rsidP="00CA5021">
            <w:pPr>
              <w:spacing w:before="0" w:after="0"/>
              <w:ind w:left="100"/>
              <w:jc w:val="center"/>
              <w:rPr>
                <w:rFonts w:cstheme="minorHAnsi"/>
                <w:sz w:val="20"/>
                <w:szCs w:val="20"/>
              </w:rPr>
            </w:pPr>
            <w:r w:rsidRPr="00330EE8">
              <w:rPr>
                <w:rFonts w:cstheme="minorHAnsi"/>
                <w:b/>
                <w:sz w:val="20"/>
                <w:szCs w:val="20"/>
              </w:rPr>
              <w:t>Progress/Result</w:t>
            </w:r>
          </w:p>
        </w:tc>
      </w:tr>
      <w:tr w:rsidR="00330EE8" w:rsidRPr="00330EE8" w14:paraId="5D4066B5" w14:textId="77777777" w:rsidTr="007A4493">
        <w:trPr>
          <w:tblHeader/>
        </w:trPr>
        <w:tc>
          <w:tcPr>
            <w:tcW w:w="4390" w:type="dxa"/>
          </w:tcPr>
          <w:p w14:paraId="354112BD" w14:textId="5F5A29A4" w:rsidR="00645A38" w:rsidRPr="00330EE8" w:rsidRDefault="00645A38" w:rsidP="0055356D">
            <w:pPr>
              <w:spacing w:before="60"/>
              <w:ind w:left="96"/>
              <w:rPr>
                <w:rFonts w:cstheme="minorHAnsi"/>
                <w:sz w:val="20"/>
                <w:szCs w:val="20"/>
              </w:rPr>
            </w:pPr>
            <w:r w:rsidRPr="00330EE8">
              <w:rPr>
                <w:rFonts w:cstheme="minorHAnsi"/>
                <w:sz w:val="20"/>
                <w:szCs w:val="20"/>
              </w:rPr>
              <w:t xml:space="preserve">Number (and nature) of instances of strengthened health systems, including preparedness for emergencies and public health crises </w:t>
            </w:r>
          </w:p>
        </w:tc>
        <w:tc>
          <w:tcPr>
            <w:tcW w:w="6146" w:type="dxa"/>
          </w:tcPr>
          <w:p w14:paraId="2783356B" w14:textId="0F09D7FC" w:rsidR="001F5D35" w:rsidRPr="00330EE8" w:rsidRDefault="005E04D1" w:rsidP="0055356D">
            <w:pPr>
              <w:spacing w:before="60"/>
              <w:ind w:left="96"/>
              <w:rPr>
                <w:rFonts w:cstheme="minorHAnsi"/>
                <w:sz w:val="20"/>
                <w:szCs w:val="20"/>
              </w:rPr>
            </w:pPr>
            <w:r w:rsidRPr="00330EE8">
              <w:rPr>
                <w:rFonts w:cstheme="minorHAnsi"/>
                <w:sz w:val="20"/>
                <w:szCs w:val="20"/>
              </w:rPr>
              <w:t>E</w:t>
            </w:r>
            <w:r w:rsidR="005102AC" w:rsidRPr="00330EE8">
              <w:rPr>
                <w:rFonts w:cstheme="minorHAnsi"/>
                <w:sz w:val="20"/>
                <w:szCs w:val="20"/>
              </w:rPr>
              <w:t xml:space="preserve">xtension of the </w:t>
            </w:r>
            <w:proofErr w:type="spellStart"/>
            <w:r w:rsidR="005102AC" w:rsidRPr="00330EE8">
              <w:rPr>
                <w:rFonts w:cstheme="minorHAnsi"/>
                <w:sz w:val="20"/>
                <w:szCs w:val="20"/>
              </w:rPr>
              <w:t>mSupply</w:t>
            </w:r>
            <w:proofErr w:type="spellEnd"/>
            <w:r w:rsidR="005102AC" w:rsidRPr="00330EE8">
              <w:rPr>
                <w:rFonts w:cstheme="minorHAnsi"/>
                <w:sz w:val="20"/>
                <w:szCs w:val="20"/>
              </w:rPr>
              <w:t xml:space="preserve"> health management software from the Central Pharmaceutical Warehouse and TTM National Hospital to six district health facilities in 2021-22</w:t>
            </w:r>
            <w:r w:rsidR="00401EC9" w:rsidRPr="00330EE8">
              <w:rPr>
                <w:rFonts w:cstheme="minorHAnsi"/>
                <w:sz w:val="20"/>
                <w:szCs w:val="20"/>
              </w:rPr>
              <w:t xml:space="preserve"> </w:t>
            </w:r>
            <w:r w:rsidR="00DD596B" w:rsidRPr="00330EE8">
              <w:rPr>
                <w:rFonts w:cstheme="minorHAnsi"/>
                <w:sz w:val="20"/>
                <w:szCs w:val="20"/>
              </w:rPr>
              <w:t xml:space="preserve">linked </w:t>
            </w:r>
            <w:r w:rsidR="00217A42" w:rsidRPr="00330EE8">
              <w:rPr>
                <w:rFonts w:cstheme="minorHAnsi"/>
                <w:sz w:val="20"/>
                <w:szCs w:val="20"/>
              </w:rPr>
              <w:t>a</w:t>
            </w:r>
            <w:r w:rsidR="005102AC" w:rsidRPr="00330EE8">
              <w:rPr>
                <w:rFonts w:cstheme="minorHAnsi"/>
                <w:sz w:val="20"/>
                <w:szCs w:val="20"/>
              </w:rPr>
              <w:t>ll health facilities to one system, enabling better monitoring, and timely replenishments of pharmaceutical supplies and medical resources</w:t>
            </w:r>
            <w:r w:rsidRPr="00330EE8">
              <w:rPr>
                <w:rFonts w:cstheme="minorHAnsi"/>
                <w:sz w:val="20"/>
                <w:szCs w:val="20"/>
              </w:rPr>
              <w:t>.</w:t>
            </w:r>
          </w:p>
          <w:p w14:paraId="1C78B18E" w14:textId="0D7269FC" w:rsidR="001F5D35" w:rsidRPr="00330EE8" w:rsidRDefault="00232C33" w:rsidP="0055356D">
            <w:pPr>
              <w:spacing w:before="60"/>
              <w:ind w:left="96"/>
              <w:rPr>
                <w:rFonts w:cstheme="minorHAnsi"/>
                <w:sz w:val="20"/>
                <w:szCs w:val="20"/>
              </w:rPr>
            </w:pPr>
            <w:r w:rsidRPr="00330EE8">
              <w:rPr>
                <w:rFonts w:cstheme="minorHAnsi"/>
                <w:sz w:val="20"/>
                <w:szCs w:val="20"/>
              </w:rPr>
              <w:t xml:space="preserve">Implementation of </w:t>
            </w:r>
            <w:r w:rsidR="00204D5E" w:rsidRPr="00330EE8">
              <w:rPr>
                <w:rFonts w:cstheme="minorHAnsi"/>
                <w:sz w:val="20"/>
                <w:szCs w:val="20"/>
              </w:rPr>
              <w:t xml:space="preserve">Tupaia, a health data aggregation and visualization tool, </w:t>
            </w:r>
            <w:r w:rsidR="00DD596B" w:rsidRPr="00330EE8">
              <w:rPr>
                <w:rFonts w:cstheme="minorHAnsi"/>
                <w:sz w:val="20"/>
                <w:szCs w:val="20"/>
              </w:rPr>
              <w:t>supported the</w:t>
            </w:r>
            <w:r w:rsidR="00204D5E" w:rsidRPr="00330EE8">
              <w:rPr>
                <w:rFonts w:cstheme="minorHAnsi"/>
                <w:sz w:val="20"/>
                <w:szCs w:val="20"/>
              </w:rPr>
              <w:t xml:space="preserve"> Ministry of Health</w:t>
            </w:r>
            <w:r w:rsidR="00DD596B" w:rsidRPr="00330EE8">
              <w:rPr>
                <w:rFonts w:cstheme="minorHAnsi"/>
                <w:sz w:val="20"/>
                <w:szCs w:val="20"/>
              </w:rPr>
              <w:t xml:space="preserve">’s </w:t>
            </w:r>
            <w:r w:rsidR="00204D5E" w:rsidRPr="00330EE8">
              <w:rPr>
                <w:rFonts w:cstheme="minorHAnsi"/>
                <w:sz w:val="20"/>
                <w:szCs w:val="20"/>
              </w:rPr>
              <w:t>infectious disease surveillance systems</w:t>
            </w:r>
            <w:r w:rsidR="00216593" w:rsidRPr="00330EE8">
              <w:rPr>
                <w:rFonts w:cstheme="minorHAnsi"/>
                <w:sz w:val="20"/>
                <w:szCs w:val="20"/>
              </w:rPr>
              <w:t xml:space="preserve">, giving </w:t>
            </w:r>
            <w:r w:rsidR="00204D5E" w:rsidRPr="00330EE8">
              <w:rPr>
                <w:rFonts w:cstheme="minorHAnsi"/>
                <w:sz w:val="20"/>
                <w:szCs w:val="20"/>
              </w:rPr>
              <w:t>visibility of areas with low vaccination rates allowing for appropriate deployment of vaccination teams.</w:t>
            </w:r>
            <w:r w:rsidR="00117619" w:rsidRPr="00330EE8">
              <w:rPr>
                <w:rFonts w:cstheme="minorHAnsi"/>
                <w:sz w:val="20"/>
                <w:szCs w:val="20"/>
              </w:rPr>
              <w:t xml:space="preserve"> Expansion of </w:t>
            </w:r>
            <w:r w:rsidR="003D0CC5" w:rsidRPr="00330EE8">
              <w:rPr>
                <w:rFonts w:cstheme="minorHAnsi"/>
                <w:sz w:val="20"/>
                <w:szCs w:val="20"/>
              </w:rPr>
              <w:t>Tamanu, a patient-level electronic medical record system,</w:t>
            </w:r>
            <w:r w:rsidR="002006EA" w:rsidRPr="00330EE8">
              <w:rPr>
                <w:rFonts w:cstheme="minorHAnsi"/>
                <w:sz w:val="20"/>
                <w:szCs w:val="20"/>
              </w:rPr>
              <w:t xml:space="preserve"> to</w:t>
            </w:r>
            <w:r w:rsidR="003D0CC5" w:rsidRPr="00330EE8">
              <w:rPr>
                <w:rFonts w:cstheme="minorHAnsi"/>
                <w:sz w:val="20"/>
                <w:szCs w:val="20"/>
              </w:rPr>
              <w:t xml:space="preserve"> District Health Facilities has enabled authorized health staff to have access to a patient’s record from any health facility.</w:t>
            </w:r>
          </w:p>
        </w:tc>
      </w:tr>
      <w:tr w:rsidR="00330EE8" w:rsidRPr="00330EE8" w14:paraId="4AD746D8" w14:textId="77777777" w:rsidTr="007A4493">
        <w:trPr>
          <w:tblHeader/>
        </w:trPr>
        <w:tc>
          <w:tcPr>
            <w:tcW w:w="4390" w:type="dxa"/>
          </w:tcPr>
          <w:p w14:paraId="0AB10A98" w14:textId="20FC53B1" w:rsidR="00645A38" w:rsidRPr="00330EE8" w:rsidRDefault="00645A38" w:rsidP="0055356D">
            <w:pPr>
              <w:spacing w:before="60"/>
              <w:ind w:left="96"/>
              <w:rPr>
                <w:rFonts w:cstheme="minorHAnsi"/>
                <w:sz w:val="20"/>
                <w:szCs w:val="20"/>
              </w:rPr>
            </w:pPr>
            <w:r w:rsidRPr="00330EE8">
              <w:rPr>
                <w:rFonts w:cstheme="minorHAnsi"/>
                <w:sz w:val="20"/>
                <w:szCs w:val="20"/>
              </w:rPr>
              <w:t xml:space="preserve">Evidence of improved response to health security threats </w:t>
            </w:r>
          </w:p>
        </w:tc>
        <w:tc>
          <w:tcPr>
            <w:tcW w:w="6146" w:type="dxa"/>
          </w:tcPr>
          <w:p w14:paraId="5CA2D195" w14:textId="20620CBD" w:rsidR="004F7C0F" w:rsidRPr="00330EE8" w:rsidRDefault="00A51888" w:rsidP="0055356D">
            <w:pPr>
              <w:spacing w:before="60"/>
              <w:ind w:left="96"/>
              <w:rPr>
                <w:rFonts w:cstheme="minorHAnsi"/>
                <w:sz w:val="20"/>
                <w:szCs w:val="20"/>
              </w:rPr>
            </w:pPr>
            <w:r w:rsidRPr="00330EE8">
              <w:rPr>
                <w:rFonts w:cstheme="minorHAnsi"/>
                <w:sz w:val="20"/>
                <w:szCs w:val="20"/>
              </w:rPr>
              <w:t xml:space="preserve">Implementation of </w:t>
            </w:r>
            <w:proofErr w:type="spellStart"/>
            <w:r w:rsidRPr="00330EE8">
              <w:rPr>
                <w:rFonts w:cstheme="minorHAnsi"/>
                <w:sz w:val="20"/>
                <w:szCs w:val="20"/>
              </w:rPr>
              <w:t>GoS</w:t>
            </w:r>
            <w:proofErr w:type="spellEnd"/>
            <w:r w:rsidRPr="00330EE8">
              <w:rPr>
                <w:rFonts w:cstheme="minorHAnsi"/>
                <w:sz w:val="20"/>
                <w:szCs w:val="20"/>
              </w:rPr>
              <w:t>’ con</w:t>
            </w:r>
            <w:r w:rsidR="004F7C0F" w:rsidRPr="00330EE8">
              <w:rPr>
                <w:rFonts w:cstheme="minorHAnsi"/>
                <w:sz w:val="20"/>
                <w:szCs w:val="20"/>
              </w:rPr>
              <w:t>tact tracing protocols and systems during COVID-19 outbreaks in 2021-22</w:t>
            </w:r>
            <w:r w:rsidR="00913D52" w:rsidRPr="00330EE8">
              <w:rPr>
                <w:rFonts w:cstheme="minorHAnsi"/>
                <w:sz w:val="20"/>
                <w:szCs w:val="20"/>
              </w:rPr>
              <w:t xml:space="preserve"> using </w:t>
            </w:r>
            <w:r w:rsidR="004F7C0F" w:rsidRPr="00330EE8">
              <w:rPr>
                <w:rFonts w:cstheme="minorHAnsi"/>
                <w:sz w:val="20"/>
                <w:szCs w:val="20"/>
              </w:rPr>
              <w:t xml:space="preserve">Tamanu and Tupaia provided authorities with up-to-date information of hotspots and an ability to pin-point ‘at risk’ households. </w:t>
            </w:r>
            <w:r w:rsidR="00DD596B" w:rsidRPr="00330EE8">
              <w:rPr>
                <w:rFonts w:cstheme="minorHAnsi"/>
                <w:sz w:val="20"/>
                <w:szCs w:val="20"/>
              </w:rPr>
              <w:t xml:space="preserve">This </w:t>
            </w:r>
            <w:r w:rsidR="004F7C0F" w:rsidRPr="00330EE8">
              <w:rPr>
                <w:rFonts w:cstheme="minorHAnsi"/>
                <w:sz w:val="20"/>
                <w:szCs w:val="20"/>
              </w:rPr>
              <w:t xml:space="preserve">enabled </w:t>
            </w:r>
            <w:r w:rsidR="0018080D" w:rsidRPr="00330EE8">
              <w:rPr>
                <w:rFonts w:cstheme="minorHAnsi"/>
                <w:sz w:val="20"/>
                <w:szCs w:val="20"/>
              </w:rPr>
              <w:t xml:space="preserve">authorities </w:t>
            </w:r>
            <w:r w:rsidR="004F7C0F" w:rsidRPr="00330EE8">
              <w:rPr>
                <w:rFonts w:cstheme="minorHAnsi"/>
                <w:sz w:val="20"/>
                <w:szCs w:val="20"/>
              </w:rPr>
              <w:t>t</w:t>
            </w:r>
            <w:r w:rsidR="0018080D" w:rsidRPr="00330EE8">
              <w:rPr>
                <w:rFonts w:cstheme="minorHAnsi"/>
                <w:sz w:val="20"/>
                <w:szCs w:val="20"/>
              </w:rPr>
              <w:t xml:space="preserve">o </w:t>
            </w:r>
            <w:r w:rsidR="002D0D06" w:rsidRPr="00330EE8">
              <w:rPr>
                <w:rFonts w:cstheme="minorHAnsi"/>
                <w:sz w:val="20"/>
                <w:szCs w:val="20"/>
              </w:rPr>
              <w:t xml:space="preserve">take the decision </w:t>
            </w:r>
            <w:r w:rsidR="004F7C0F" w:rsidRPr="00330EE8">
              <w:rPr>
                <w:rFonts w:cstheme="minorHAnsi"/>
                <w:sz w:val="20"/>
                <w:szCs w:val="20"/>
              </w:rPr>
              <w:t>that a nation-wide lockdown was necessary.</w:t>
            </w:r>
          </w:p>
          <w:p w14:paraId="44F01EB8" w14:textId="53CBA95A" w:rsidR="004F7C0F" w:rsidRPr="00330EE8" w:rsidRDefault="002973CF" w:rsidP="0055356D">
            <w:pPr>
              <w:spacing w:before="60"/>
              <w:ind w:left="96"/>
              <w:rPr>
                <w:rFonts w:cstheme="minorHAnsi"/>
                <w:sz w:val="20"/>
                <w:szCs w:val="20"/>
              </w:rPr>
            </w:pPr>
            <w:r w:rsidRPr="00330EE8">
              <w:rPr>
                <w:rFonts w:cstheme="minorHAnsi"/>
                <w:sz w:val="20"/>
                <w:szCs w:val="20"/>
              </w:rPr>
              <w:t xml:space="preserve">Tamanu and Tupaia also </w:t>
            </w:r>
            <w:r w:rsidR="009976E5" w:rsidRPr="00330EE8">
              <w:rPr>
                <w:rFonts w:cstheme="minorHAnsi"/>
                <w:sz w:val="20"/>
                <w:szCs w:val="20"/>
              </w:rPr>
              <w:t>i</w:t>
            </w:r>
            <w:r w:rsidR="00D83E2E" w:rsidRPr="00330EE8">
              <w:rPr>
                <w:rFonts w:cstheme="minorHAnsi"/>
                <w:sz w:val="20"/>
                <w:szCs w:val="20"/>
              </w:rPr>
              <w:t>mprove</w:t>
            </w:r>
            <w:r w:rsidR="009976E5" w:rsidRPr="00330EE8">
              <w:rPr>
                <w:rFonts w:cstheme="minorHAnsi"/>
                <w:sz w:val="20"/>
                <w:szCs w:val="20"/>
              </w:rPr>
              <w:t>d</w:t>
            </w:r>
            <w:r w:rsidR="00D83E2E" w:rsidRPr="00330EE8">
              <w:rPr>
                <w:rFonts w:cstheme="minorHAnsi"/>
                <w:sz w:val="20"/>
                <w:szCs w:val="20"/>
              </w:rPr>
              <w:t xml:space="preserve"> </w:t>
            </w:r>
            <w:r w:rsidR="009A6103" w:rsidRPr="00330EE8">
              <w:rPr>
                <w:rFonts w:cstheme="minorHAnsi"/>
                <w:sz w:val="20"/>
                <w:szCs w:val="20"/>
              </w:rPr>
              <w:t>systems for infection prevention by ensuring authorities have access to population-wide overviews of COVID-19 vaccination rates and COVID-19 laboratory test results, thereby permitting tailor-made vaccination programs. These applications were instrumental in supporting Samoa to have one of the highest vaccination rates in the Pacific.</w:t>
            </w:r>
          </w:p>
        </w:tc>
      </w:tr>
      <w:tr w:rsidR="00330EE8" w:rsidRPr="00330EE8" w14:paraId="561E10FB" w14:textId="77777777" w:rsidTr="007A4493">
        <w:trPr>
          <w:tblHeader/>
        </w:trPr>
        <w:tc>
          <w:tcPr>
            <w:tcW w:w="4390" w:type="dxa"/>
          </w:tcPr>
          <w:p w14:paraId="3FC5A9AE" w14:textId="0B238259" w:rsidR="000811CA" w:rsidRPr="00330EE8" w:rsidRDefault="000811CA" w:rsidP="0055356D">
            <w:pPr>
              <w:spacing w:before="60"/>
              <w:ind w:left="96"/>
              <w:rPr>
                <w:rFonts w:cstheme="minorHAnsi"/>
                <w:sz w:val="20"/>
                <w:szCs w:val="20"/>
              </w:rPr>
            </w:pPr>
            <w:r w:rsidRPr="00330EE8">
              <w:rPr>
                <w:rFonts w:cstheme="minorHAnsi"/>
                <w:sz w:val="20"/>
                <w:szCs w:val="20"/>
              </w:rPr>
              <w:t>Number of people immunised with Australian support</w:t>
            </w:r>
          </w:p>
        </w:tc>
        <w:tc>
          <w:tcPr>
            <w:tcW w:w="6146" w:type="dxa"/>
          </w:tcPr>
          <w:p w14:paraId="1D0B508E" w14:textId="3957D4C8" w:rsidR="000811CA" w:rsidRPr="00330EE8" w:rsidRDefault="0048643C" w:rsidP="0055356D">
            <w:pPr>
              <w:spacing w:before="60"/>
              <w:ind w:left="96"/>
              <w:rPr>
                <w:rFonts w:cstheme="minorHAnsi"/>
                <w:sz w:val="20"/>
                <w:szCs w:val="20"/>
              </w:rPr>
            </w:pPr>
            <w:r w:rsidRPr="00330EE8">
              <w:rPr>
                <w:rFonts w:cstheme="minorHAnsi"/>
                <w:sz w:val="20"/>
                <w:szCs w:val="20"/>
              </w:rPr>
              <w:t>A</w:t>
            </w:r>
            <w:r w:rsidR="00F22228" w:rsidRPr="00330EE8">
              <w:rPr>
                <w:rFonts w:cstheme="minorHAnsi"/>
                <w:sz w:val="20"/>
                <w:szCs w:val="20"/>
              </w:rPr>
              <w:t>ustralian support delivered 175,150 COVID-19 vaccination doses</w:t>
            </w:r>
            <w:r w:rsidR="00C16142" w:rsidRPr="00330EE8">
              <w:rPr>
                <w:rFonts w:cstheme="minorHAnsi"/>
                <w:sz w:val="20"/>
                <w:szCs w:val="20"/>
              </w:rPr>
              <w:t xml:space="preserve"> in Samoa in 2021-22</w:t>
            </w:r>
            <w:r w:rsidR="00F22228" w:rsidRPr="00330EE8">
              <w:rPr>
                <w:rFonts w:cstheme="minorHAnsi"/>
                <w:sz w:val="20"/>
                <w:szCs w:val="20"/>
              </w:rPr>
              <w:t xml:space="preserve">. </w:t>
            </w:r>
          </w:p>
        </w:tc>
      </w:tr>
      <w:tr w:rsidR="00330EE8" w:rsidRPr="00330EE8" w14:paraId="6024B2EE" w14:textId="77777777" w:rsidTr="007A4493">
        <w:trPr>
          <w:tblHeader/>
        </w:trPr>
        <w:tc>
          <w:tcPr>
            <w:tcW w:w="4390" w:type="dxa"/>
          </w:tcPr>
          <w:p w14:paraId="5A7E4C44" w14:textId="6C4C4A06" w:rsidR="000811CA" w:rsidRPr="00330EE8" w:rsidRDefault="000811CA" w:rsidP="0055356D">
            <w:pPr>
              <w:spacing w:before="60"/>
              <w:ind w:left="96"/>
              <w:rPr>
                <w:rFonts w:cstheme="minorHAnsi"/>
                <w:sz w:val="20"/>
                <w:szCs w:val="20"/>
              </w:rPr>
            </w:pPr>
            <w:r w:rsidRPr="00330EE8">
              <w:rPr>
                <w:rFonts w:cstheme="minorHAnsi"/>
                <w:sz w:val="20"/>
                <w:szCs w:val="20"/>
              </w:rPr>
              <w:t xml:space="preserve">Number of women and men accessing SRHR services provided with Australian support </w:t>
            </w:r>
          </w:p>
        </w:tc>
        <w:tc>
          <w:tcPr>
            <w:tcW w:w="6146" w:type="dxa"/>
          </w:tcPr>
          <w:p w14:paraId="3A40B9CD" w14:textId="03FF7D4D" w:rsidR="000811CA" w:rsidRPr="00330EE8" w:rsidRDefault="00BE79AF" w:rsidP="0055356D">
            <w:pPr>
              <w:spacing w:before="60"/>
              <w:ind w:left="96"/>
              <w:rPr>
                <w:rFonts w:cstheme="minorHAnsi"/>
                <w:sz w:val="20"/>
                <w:szCs w:val="20"/>
              </w:rPr>
            </w:pPr>
            <w:r w:rsidRPr="00330EE8">
              <w:rPr>
                <w:rFonts w:cstheme="minorHAnsi"/>
                <w:sz w:val="20"/>
                <w:szCs w:val="20"/>
              </w:rPr>
              <w:t>Australian support enabled 7,218 women and men to access SRHR services between July-Dec 2021, 5,560 of whom were women and 1,589 were young people. This is a 12</w:t>
            </w:r>
            <w:r w:rsidR="006902D0" w:rsidRPr="00330EE8">
              <w:rPr>
                <w:rFonts w:cstheme="minorHAnsi"/>
                <w:sz w:val="20"/>
                <w:szCs w:val="20"/>
              </w:rPr>
              <w:t xml:space="preserve"> per cent</w:t>
            </w:r>
            <w:r w:rsidRPr="00330EE8">
              <w:rPr>
                <w:rFonts w:cstheme="minorHAnsi"/>
                <w:sz w:val="20"/>
                <w:szCs w:val="20"/>
              </w:rPr>
              <w:t xml:space="preserve"> decline compared to the pre-COVID19 baseline of 8,215 due to COVID19 lockdowns for vaccination campaigns and community outbreak.</w:t>
            </w:r>
          </w:p>
        </w:tc>
      </w:tr>
      <w:tr w:rsidR="00330EE8" w:rsidRPr="00330EE8" w14:paraId="43E8C114" w14:textId="77777777" w:rsidTr="007A4493">
        <w:trPr>
          <w:tblHeader/>
        </w:trPr>
        <w:tc>
          <w:tcPr>
            <w:tcW w:w="4390" w:type="dxa"/>
          </w:tcPr>
          <w:p w14:paraId="32022758" w14:textId="5343FBA6" w:rsidR="000811CA" w:rsidRPr="00330EE8" w:rsidRDefault="000811CA" w:rsidP="0055356D">
            <w:pPr>
              <w:spacing w:before="60"/>
              <w:ind w:left="96"/>
              <w:rPr>
                <w:rFonts w:cstheme="minorHAnsi"/>
                <w:sz w:val="20"/>
                <w:szCs w:val="20"/>
              </w:rPr>
            </w:pPr>
            <w:r w:rsidRPr="00330EE8">
              <w:rPr>
                <w:rFonts w:cstheme="minorHAnsi"/>
                <w:sz w:val="20"/>
                <w:szCs w:val="20"/>
              </w:rPr>
              <w:t xml:space="preserve">Total number of SRHR-related appointments held at frontline service units, provided with Australian support </w:t>
            </w:r>
          </w:p>
        </w:tc>
        <w:tc>
          <w:tcPr>
            <w:tcW w:w="6146" w:type="dxa"/>
          </w:tcPr>
          <w:p w14:paraId="17AC3137" w14:textId="13D1ABAB" w:rsidR="000811CA" w:rsidRPr="00330EE8" w:rsidRDefault="00D20823" w:rsidP="0055356D">
            <w:pPr>
              <w:spacing w:before="60"/>
              <w:ind w:left="96"/>
              <w:rPr>
                <w:rFonts w:cstheme="minorHAnsi"/>
                <w:sz w:val="20"/>
                <w:szCs w:val="20"/>
              </w:rPr>
            </w:pPr>
            <w:r w:rsidRPr="00330EE8">
              <w:rPr>
                <w:rFonts w:cstheme="minorHAnsi"/>
                <w:sz w:val="20"/>
                <w:szCs w:val="20"/>
              </w:rPr>
              <w:t xml:space="preserve">Supported the delivery of </w:t>
            </w:r>
            <w:r w:rsidR="00BE79AF" w:rsidRPr="00330EE8">
              <w:rPr>
                <w:rFonts w:cstheme="minorHAnsi"/>
                <w:sz w:val="20"/>
                <w:szCs w:val="20"/>
              </w:rPr>
              <w:t xml:space="preserve">22,828 </w:t>
            </w:r>
            <w:r w:rsidRPr="00330EE8">
              <w:rPr>
                <w:rFonts w:cstheme="minorHAnsi"/>
                <w:sz w:val="20"/>
                <w:szCs w:val="20"/>
              </w:rPr>
              <w:t xml:space="preserve">SRHR-related services at both static and mobile clinics. </w:t>
            </w:r>
          </w:p>
        </w:tc>
      </w:tr>
      <w:tr w:rsidR="00330EE8" w:rsidRPr="00330EE8" w14:paraId="593260F7" w14:textId="77777777" w:rsidTr="007A4493">
        <w:trPr>
          <w:tblHeader/>
        </w:trPr>
        <w:tc>
          <w:tcPr>
            <w:tcW w:w="4390" w:type="dxa"/>
          </w:tcPr>
          <w:p w14:paraId="1F165136" w14:textId="7CBEDC83" w:rsidR="000811CA" w:rsidRPr="00330EE8" w:rsidRDefault="000811CA" w:rsidP="0055356D">
            <w:pPr>
              <w:spacing w:before="60"/>
              <w:ind w:left="96"/>
              <w:rPr>
                <w:rFonts w:cstheme="minorHAnsi"/>
                <w:sz w:val="20"/>
                <w:szCs w:val="20"/>
              </w:rPr>
            </w:pPr>
            <w:r w:rsidRPr="00330EE8">
              <w:rPr>
                <w:rFonts w:cstheme="minorHAnsi"/>
                <w:sz w:val="20"/>
                <w:szCs w:val="20"/>
              </w:rPr>
              <w:t xml:space="preserve">Contraceptive protection from unplanned pregnancy made available through Australian support </w:t>
            </w:r>
          </w:p>
        </w:tc>
        <w:tc>
          <w:tcPr>
            <w:tcW w:w="6146" w:type="dxa"/>
          </w:tcPr>
          <w:p w14:paraId="363638EB" w14:textId="0A30D5D1" w:rsidR="000811CA" w:rsidRPr="00330EE8" w:rsidRDefault="000811CA" w:rsidP="0055356D">
            <w:pPr>
              <w:spacing w:before="60"/>
              <w:ind w:left="96"/>
              <w:rPr>
                <w:rFonts w:cstheme="minorHAnsi"/>
                <w:sz w:val="20"/>
                <w:szCs w:val="20"/>
              </w:rPr>
            </w:pPr>
            <w:r w:rsidRPr="00330EE8">
              <w:rPr>
                <w:rFonts w:cstheme="minorHAnsi"/>
                <w:sz w:val="20"/>
                <w:szCs w:val="20"/>
              </w:rPr>
              <w:t xml:space="preserve">Supported </w:t>
            </w:r>
            <w:r w:rsidR="009346D4" w:rsidRPr="00330EE8">
              <w:rPr>
                <w:rFonts w:cstheme="minorHAnsi"/>
                <w:sz w:val="20"/>
                <w:szCs w:val="20"/>
              </w:rPr>
              <w:t>261</w:t>
            </w:r>
            <w:r w:rsidRPr="00330EE8">
              <w:rPr>
                <w:rFonts w:cstheme="minorHAnsi"/>
                <w:sz w:val="20"/>
                <w:szCs w:val="20"/>
              </w:rPr>
              <w:t xml:space="preserve"> </w:t>
            </w:r>
            <w:r w:rsidR="002F5F91" w:rsidRPr="00330EE8">
              <w:rPr>
                <w:rFonts w:cstheme="minorHAnsi"/>
                <w:sz w:val="20"/>
                <w:szCs w:val="20"/>
              </w:rPr>
              <w:t>instances of contraceptive protection from unplanned pregnancy made available</w:t>
            </w:r>
            <w:r w:rsidRPr="00330EE8">
              <w:rPr>
                <w:rFonts w:cstheme="minorHAnsi"/>
                <w:sz w:val="20"/>
                <w:szCs w:val="20"/>
              </w:rPr>
              <w:t>.</w:t>
            </w:r>
          </w:p>
        </w:tc>
      </w:tr>
    </w:tbl>
    <w:p w14:paraId="417CDBD0" w14:textId="4DD2D67E" w:rsidR="00903B84" w:rsidRPr="00330EE8" w:rsidRDefault="00903B84" w:rsidP="0055356D"/>
    <w:p w14:paraId="2C7B88D3" w14:textId="77777777" w:rsidR="00EC406D" w:rsidRPr="00330EE8" w:rsidRDefault="00EC406D" w:rsidP="0055356D"/>
    <w:p w14:paraId="74EFE69E" w14:textId="7B16A67B" w:rsidR="00C16142" w:rsidRPr="00330EE8" w:rsidRDefault="00AE2B7B" w:rsidP="00D914E4">
      <w:pPr>
        <w:pStyle w:val="Heading3"/>
      </w:pPr>
      <w:r w:rsidRPr="00330EE8">
        <w:lastRenderedPageBreak/>
        <w:t>Stability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330EE8" w:rsidRPr="00330EE8" w14:paraId="14EF210E" w14:textId="77777777" w:rsidTr="0055356D">
        <w:tc>
          <w:tcPr>
            <w:tcW w:w="4390" w:type="dxa"/>
            <w:shd w:val="clear" w:color="auto" w:fill="A2DCD1" w:themeFill="accent1" w:themeFillTint="99"/>
            <w:vAlign w:val="bottom"/>
          </w:tcPr>
          <w:p w14:paraId="47014330" w14:textId="7A7E2C4C" w:rsidR="00CA5021" w:rsidRPr="00330EE8" w:rsidRDefault="00A96364" w:rsidP="00CA5021">
            <w:pPr>
              <w:widowControl w:val="0"/>
              <w:spacing w:before="0" w:after="0" w:line="240" w:lineRule="auto"/>
              <w:jc w:val="center"/>
              <w:rPr>
                <w:rFonts w:cstheme="minorHAnsi"/>
                <w:sz w:val="20"/>
                <w:szCs w:val="20"/>
              </w:rPr>
            </w:pPr>
            <w:r w:rsidRPr="00330EE8">
              <w:rPr>
                <w:rFonts w:cstheme="minorHAnsi"/>
                <w:b/>
                <w:sz w:val="20"/>
                <w:szCs w:val="20"/>
              </w:rPr>
              <w:t>Key Results</w:t>
            </w:r>
            <w:r w:rsidR="00CA5021" w:rsidRPr="00330EE8">
              <w:rPr>
                <w:rFonts w:cstheme="minorHAnsi"/>
                <w:b/>
                <w:sz w:val="20"/>
                <w:szCs w:val="20"/>
              </w:rPr>
              <w:t xml:space="preserve"> Indicator</w:t>
            </w:r>
            <w:r w:rsidRPr="00330EE8">
              <w:rPr>
                <w:rFonts w:cstheme="minorHAnsi"/>
                <w:b/>
                <w:sz w:val="20"/>
                <w:szCs w:val="20"/>
              </w:rPr>
              <w:t>s</w:t>
            </w:r>
          </w:p>
        </w:tc>
        <w:tc>
          <w:tcPr>
            <w:tcW w:w="6146" w:type="dxa"/>
            <w:shd w:val="clear" w:color="auto" w:fill="A2DCD1" w:themeFill="accent1" w:themeFillTint="99"/>
            <w:vAlign w:val="bottom"/>
          </w:tcPr>
          <w:p w14:paraId="167B5817" w14:textId="6DB7E03D" w:rsidR="00CA5021" w:rsidRPr="00330EE8" w:rsidRDefault="00AD19F7" w:rsidP="00CA5021">
            <w:pPr>
              <w:widowControl w:val="0"/>
              <w:spacing w:before="0" w:after="0" w:line="240" w:lineRule="auto"/>
              <w:jc w:val="center"/>
              <w:rPr>
                <w:rFonts w:cstheme="minorHAnsi"/>
                <w:sz w:val="20"/>
                <w:szCs w:val="20"/>
              </w:rPr>
            </w:pPr>
            <w:r w:rsidRPr="00330EE8">
              <w:rPr>
                <w:rFonts w:cstheme="minorHAnsi"/>
                <w:b/>
                <w:sz w:val="20"/>
                <w:szCs w:val="20"/>
              </w:rPr>
              <w:t>Progress/Result</w:t>
            </w:r>
          </w:p>
        </w:tc>
      </w:tr>
      <w:tr w:rsidR="00330EE8" w:rsidRPr="00330EE8" w14:paraId="593A8551" w14:textId="77777777" w:rsidTr="007A4493">
        <w:trPr>
          <w:tblHeader/>
        </w:trPr>
        <w:tc>
          <w:tcPr>
            <w:tcW w:w="4390" w:type="dxa"/>
          </w:tcPr>
          <w:p w14:paraId="2AA59D1C" w14:textId="20162B53" w:rsidR="00645A38" w:rsidRPr="00330EE8" w:rsidRDefault="00645A38" w:rsidP="0055356D">
            <w:pPr>
              <w:tabs>
                <w:tab w:val="left" w:pos="6201"/>
              </w:tabs>
              <w:spacing w:before="60"/>
              <w:ind w:left="96"/>
              <w:rPr>
                <w:rFonts w:cstheme="minorHAnsi"/>
                <w:sz w:val="20"/>
                <w:szCs w:val="20"/>
              </w:rPr>
            </w:pPr>
            <w:bookmarkStart w:id="1" w:name="_Hlk116980526"/>
            <w:r w:rsidRPr="00330EE8">
              <w:rPr>
                <w:rFonts w:cstheme="minorHAnsi"/>
                <w:sz w:val="20"/>
                <w:szCs w:val="20"/>
              </w:rPr>
              <w:t xml:space="preserve">Number (and nature) of instances of improved social protection-related policies and/or measures </w:t>
            </w:r>
          </w:p>
        </w:tc>
        <w:tc>
          <w:tcPr>
            <w:tcW w:w="6146" w:type="dxa"/>
          </w:tcPr>
          <w:p w14:paraId="2E8902BB" w14:textId="65E52F26" w:rsidR="00645A38" w:rsidRPr="00330EE8" w:rsidRDefault="00B77E4F" w:rsidP="0055356D">
            <w:pPr>
              <w:tabs>
                <w:tab w:val="left" w:pos="6201"/>
              </w:tabs>
              <w:spacing w:before="60"/>
              <w:ind w:left="96"/>
              <w:rPr>
                <w:rFonts w:cstheme="minorHAnsi"/>
                <w:sz w:val="20"/>
                <w:szCs w:val="20"/>
              </w:rPr>
            </w:pPr>
            <w:r w:rsidRPr="00330EE8">
              <w:rPr>
                <w:rFonts w:cstheme="minorHAnsi"/>
                <w:sz w:val="20"/>
                <w:szCs w:val="20"/>
              </w:rPr>
              <w:t>O</w:t>
            </w:r>
            <w:r w:rsidR="00875BEE" w:rsidRPr="00330EE8">
              <w:rPr>
                <w:rFonts w:cstheme="minorHAnsi"/>
                <w:sz w:val="20"/>
                <w:szCs w:val="20"/>
              </w:rPr>
              <w:t xml:space="preserve">ngoing development </w:t>
            </w:r>
            <w:r w:rsidR="00667014" w:rsidRPr="00330EE8">
              <w:rPr>
                <w:rFonts w:cstheme="minorHAnsi"/>
                <w:sz w:val="20"/>
                <w:szCs w:val="20"/>
              </w:rPr>
              <w:t xml:space="preserve">of a social protection framework </w:t>
            </w:r>
            <w:r w:rsidR="00C16142" w:rsidRPr="00330EE8">
              <w:rPr>
                <w:rFonts w:cstheme="minorHAnsi"/>
                <w:sz w:val="20"/>
                <w:szCs w:val="20"/>
              </w:rPr>
              <w:t xml:space="preserve">within Government budget </w:t>
            </w:r>
            <w:r w:rsidR="00667014" w:rsidRPr="00330EE8">
              <w:rPr>
                <w:rFonts w:cstheme="minorHAnsi"/>
                <w:sz w:val="20"/>
                <w:szCs w:val="20"/>
              </w:rPr>
              <w:t>that provides a basis for the targeting of benefits to vulnerable and affected households in responses to economic shocks. This represents a significant shift for the G</w:t>
            </w:r>
            <w:r w:rsidR="0012777F" w:rsidRPr="00330EE8">
              <w:rPr>
                <w:rFonts w:cstheme="minorHAnsi"/>
                <w:sz w:val="20"/>
                <w:szCs w:val="20"/>
              </w:rPr>
              <w:t>overnment of Samoa</w:t>
            </w:r>
            <w:r w:rsidR="00667014" w:rsidRPr="00330EE8">
              <w:rPr>
                <w:rFonts w:cstheme="minorHAnsi"/>
                <w:sz w:val="20"/>
                <w:szCs w:val="20"/>
              </w:rPr>
              <w:t xml:space="preserve"> and will form the basis for their approach to a range of support measures for </w:t>
            </w:r>
            <w:proofErr w:type="gramStart"/>
            <w:r w:rsidR="00667014" w:rsidRPr="00330EE8">
              <w:rPr>
                <w:rFonts w:cstheme="minorHAnsi"/>
                <w:sz w:val="20"/>
                <w:szCs w:val="20"/>
              </w:rPr>
              <w:t>a number of</w:t>
            </w:r>
            <w:proofErr w:type="gramEnd"/>
            <w:r w:rsidR="00667014" w:rsidRPr="00330EE8">
              <w:rPr>
                <w:rFonts w:cstheme="minorHAnsi"/>
                <w:sz w:val="20"/>
                <w:szCs w:val="20"/>
              </w:rPr>
              <w:t xml:space="preserve"> vulnerable groups, including persons with disabilities.</w:t>
            </w:r>
          </w:p>
        </w:tc>
      </w:tr>
      <w:tr w:rsidR="00330EE8" w:rsidRPr="00330EE8" w14:paraId="0556A95D" w14:textId="77777777" w:rsidTr="007A4493">
        <w:trPr>
          <w:tblHeader/>
        </w:trPr>
        <w:tc>
          <w:tcPr>
            <w:tcW w:w="4390" w:type="dxa"/>
          </w:tcPr>
          <w:p w14:paraId="62F5276A" w14:textId="5B35475E" w:rsidR="00645A38" w:rsidRPr="00330EE8" w:rsidRDefault="00645A38" w:rsidP="0055356D">
            <w:pPr>
              <w:tabs>
                <w:tab w:val="left" w:pos="6201"/>
              </w:tabs>
              <w:spacing w:before="60"/>
              <w:ind w:left="96"/>
              <w:rPr>
                <w:rFonts w:cstheme="minorHAnsi"/>
                <w:sz w:val="20"/>
                <w:szCs w:val="20"/>
              </w:rPr>
            </w:pPr>
            <w:r w:rsidRPr="00330EE8">
              <w:rPr>
                <w:rFonts w:cstheme="minorHAnsi"/>
                <w:sz w:val="20"/>
                <w:szCs w:val="20"/>
              </w:rPr>
              <w:t>Number of women and girl survivors receiving support services</w:t>
            </w:r>
          </w:p>
        </w:tc>
        <w:tc>
          <w:tcPr>
            <w:tcW w:w="6146" w:type="dxa"/>
          </w:tcPr>
          <w:p w14:paraId="71F5FF79" w14:textId="08202B0C" w:rsidR="00645A38" w:rsidRPr="00330EE8" w:rsidRDefault="00EC0BA6" w:rsidP="0055356D">
            <w:pPr>
              <w:tabs>
                <w:tab w:val="left" w:pos="6201"/>
              </w:tabs>
              <w:spacing w:before="60"/>
              <w:ind w:left="96"/>
              <w:rPr>
                <w:rFonts w:cstheme="minorHAnsi"/>
                <w:i/>
                <w:iCs/>
                <w:sz w:val="20"/>
                <w:szCs w:val="20"/>
              </w:rPr>
            </w:pPr>
            <w:r w:rsidRPr="00330EE8">
              <w:rPr>
                <w:rFonts w:cstheme="minorHAnsi"/>
                <w:sz w:val="20"/>
                <w:szCs w:val="20"/>
              </w:rPr>
              <w:t>301 women and girls (</w:t>
            </w:r>
            <w:r w:rsidR="00F556F3" w:rsidRPr="00330EE8">
              <w:rPr>
                <w:rFonts w:cstheme="minorHAnsi"/>
                <w:sz w:val="20"/>
                <w:szCs w:val="20"/>
              </w:rPr>
              <w:t>inc</w:t>
            </w:r>
            <w:r w:rsidR="005F176A" w:rsidRPr="00330EE8">
              <w:rPr>
                <w:rFonts w:cstheme="minorHAnsi"/>
                <w:sz w:val="20"/>
                <w:szCs w:val="20"/>
              </w:rPr>
              <w:t>luding</w:t>
            </w:r>
            <w:r w:rsidR="00F556F3" w:rsidRPr="00330EE8">
              <w:rPr>
                <w:rFonts w:cstheme="minorHAnsi"/>
                <w:sz w:val="20"/>
                <w:szCs w:val="20"/>
              </w:rPr>
              <w:t xml:space="preserve"> </w:t>
            </w:r>
            <w:r w:rsidR="005F176A" w:rsidRPr="00330EE8">
              <w:rPr>
                <w:rFonts w:cstheme="minorHAnsi"/>
                <w:sz w:val="20"/>
                <w:szCs w:val="20"/>
              </w:rPr>
              <w:t xml:space="preserve">seven </w:t>
            </w:r>
            <w:r w:rsidRPr="00330EE8">
              <w:rPr>
                <w:rFonts w:cstheme="minorHAnsi"/>
                <w:sz w:val="20"/>
                <w:szCs w:val="20"/>
              </w:rPr>
              <w:t xml:space="preserve">with disabilities and </w:t>
            </w:r>
            <w:r w:rsidR="005F176A" w:rsidRPr="00330EE8">
              <w:rPr>
                <w:rFonts w:cstheme="minorHAnsi"/>
                <w:sz w:val="20"/>
                <w:szCs w:val="20"/>
              </w:rPr>
              <w:t xml:space="preserve">five </w:t>
            </w:r>
            <w:r w:rsidRPr="00330EE8">
              <w:rPr>
                <w:rFonts w:cstheme="minorHAnsi"/>
                <w:sz w:val="20"/>
                <w:szCs w:val="20"/>
              </w:rPr>
              <w:t>pregnant mothers) out of 427 cases s</w:t>
            </w:r>
            <w:r w:rsidR="00AB0C05" w:rsidRPr="00330EE8">
              <w:rPr>
                <w:rFonts w:cstheme="minorHAnsi"/>
                <w:sz w:val="20"/>
                <w:szCs w:val="20"/>
              </w:rPr>
              <w:t xml:space="preserve">ought </w:t>
            </w:r>
            <w:r w:rsidRPr="00330EE8">
              <w:rPr>
                <w:rFonts w:cstheme="minorHAnsi"/>
                <w:sz w:val="20"/>
                <w:szCs w:val="20"/>
              </w:rPr>
              <w:t>assistance through the Helpline.</w:t>
            </w:r>
          </w:p>
        </w:tc>
      </w:tr>
      <w:tr w:rsidR="00330EE8" w:rsidRPr="00330EE8" w14:paraId="5DF0BAD4" w14:textId="77777777" w:rsidTr="007A4493">
        <w:trPr>
          <w:tblHeader/>
        </w:trPr>
        <w:tc>
          <w:tcPr>
            <w:tcW w:w="4390" w:type="dxa"/>
          </w:tcPr>
          <w:p w14:paraId="476782F7" w14:textId="5243704C" w:rsidR="00645A38" w:rsidRPr="00330EE8" w:rsidRDefault="00645A38" w:rsidP="0055356D">
            <w:pPr>
              <w:tabs>
                <w:tab w:val="left" w:pos="6201"/>
              </w:tabs>
              <w:spacing w:before="60"/>
              <w:ind w:left="96"/>
              <w:rPr>
                <w:rFonts w:cstheme="minorHAnsi"/>
                <w:sz w:val="20"/>
                <w:szCs w:val="20"/>
              </w:rPr>
            </w:pPr>
            <w:r w:rsidRPr="00330EE8">
              <w:rPr>
                <w:rFonts w:cstheme="minorHAnsi"/>
                <w:sz w:val="20"/>
                <w:szCs w:val="20"/>
              </w:rPr>
              <w:t xml:space="preserve">Number (and nature) of instances of improved policies and/or measures that seek to combat gender-based violence (GBV) </w:t>
            </w:r>
          </w:p>
        </w:tc>
        <w:tc>
          <w:tcPr>
            <w:tcW w:w="6146" w:type="dxa"/>
          </w:tcPr>
          <w:p w14:paraId="4C13721F" w14:textId="53E99DD5" w:rsidR="00645A38" w:rsidRPr="00330EE8" w:rsidRDefault="00232470" w:rsidP="0055356D">
            <w:pPr>
              <w:tabs>
                <w:tab w:val="left" w:pos="6201"/>
              </w:tabs>
              <w:spacing w:before="60"/>
              <w:ind w:left="96"/>
              <w:rPr>
                <w:rFonts w:cstheme="minorHAnsi"/>
                <w:sz w:val="20"/>
                <w:szCs w:val="20"/>
              </w:rPr>
            </w:pPr>
            <w:r w:rsidRPr="00330EE8">
              <w:rPr>
                <w:rFonts w:cstheme="minorHAnsi"/>
                <w:sz w:val="20"/>
                <w:szCs w:val="20"/>
              </w:rPr>
              <w:t xml:space="preserve">Publication of the </w:t>
            </w:r>
            <w:proofErr w:type="spellStart"/>
            <w:r w:rsidRPr="00330EE8">
              <w:rPr>
                <w:rFonts w:cstheme="minorHAnsi"/>
                <w:sz w:val="20"/>
                <w:szCs w:val="20"/>
              </w:rPr>
              <w:t>Talanoa</w:t>
            </w:r>
            <w:proofErr w:type="spellEnd"/>
            <w:r w:rsidRPr="00330EE8">
              <w:rPr>
                <w:rFonts w:cstheme="minorHAnsi"/>
                <w:sz w:val="20"/>
                <w:szCs w:val="20"/>
              </w:rPr>
              <w:t xml:space="preserve"> Toolkit for village</w:t>
            </w:r>
            <w:r w:rsidR="00F36FEA" w:rsidRPr="00330EE8">
              <w:rPr>
                <w:rFonts w:cstheme="minorHAnsi"/>
                <w:sz w:val="20"/>
                <w:szCs w:val="20"/>
              </w:rPr>
              <w:t>-</w:t>
            </w:r>
            <w:r w:rsidRPr="00330EE8">
              <w:rPr>
                <w:rFonts w:cstheme="minorHAnsi"/>
                <w:sz w:val="20"/>
                <w:szCs w:val="20"/>
              </w:rPr>
              <w:t>based advocates to facilitate conversations and dialogues to address family violence</w:t>
            </w:r>
            <w:r w:rsidR="008F16F2" w:rsidRPr="00330EE8">
              <w:rPr>
                <w:rFonts w:cstheme="minorHAnsi"/>
                <w:sz w:val="20"/>
                <w:szCs w:val="20"/>
              </w:rPr>
              <w:t>.</w:t>
            </w:r>
          </w:p>
          <w:p w14:paraId="69182282" w14:textId="48C525D0" w:rsidR="00F36FEA" w:rsidRPr="00330EE8" w:rsidRDefault="000D71B7" w:rsidP="0055356D">
            <w:pPr>
              <w:tabs>
                <w:tab w:val="left" w:pos="6201"/>
              </w:tabs>
              <w:spacing w:before="60"/>
              <w:ind w:left="96"/>
              <w:rPr>
                <w:rFonts w:cstheme="minorHAnsi"/>
                <w:sz w:val="20"/>
                <w:szCs w:val="20"/>
              </w:rPr>
            </w:pPr>
            <w:r w:rsidRPr="00330EE8">
              <w:rPr>
                <w:rFonts w:cstheme="minorHAnsi"/>
                <w:sz w:val="20"/>
                <w:szCs w:val="20"/>
              </w:rPr>
              <w:t xml:space="preserve">Capacity building for community leaders on their roles and responsibilities in responding to child protection and domestic violence </w:t>
            </w:r>
            <w:r w:rsidR="008F16F2" w:rsidRPr="00330EE8">
              <w:rPr>
                <w:rFonts w:cstheme="minorHAnsi"/>
                <w:sz w:val="20"/>
                <w:szCs w:val="20"/>
              </w:rPr>
              <w:t>cases.</w:t>
            </w:r>
          </w:p>
        </w:tc>
      </w:tr>
      <w:tr w:rsidR="00330EE8" w:rsidRPr="00330EE8" w14:paraId="7E704FEB" w14:textId="77777777" w:rsidTr="00082C04">
        <w:trPr>
          <w:tblHeader/>
        </w:trPr>
        <w:tc>
          <w:tcPr>
            <w:tcW w:w="4390" w:type="dxa"/>
          </w:tcPr>
          <w:p w14:paraId="1CC2F0CD" w14:textId="76D1D584" w:rsidR="00645A38" w:rsidRPr="00330EE8" w:rsidRDefault="00645A38" w:rsidP="0055356D">
            <w:pPr>
              <w:tabs>
                <w:tab w:val="left" w:pos="6201"/>
              </w:tabs>
              <w:spacing w:before="60"/>
              <w:ind w:left="96"/>
              <w:rPr>
                <w:rFonts w:cstheme="minorHAnsi"/>
                <w:sz w:val="20"/>
                <w:szCs w:val="20"/>
              </w:rPr>
            </w:pPr>
            <w:r w:rsidRPr="00330EE8">
              <w:rPr>
                <w:rFonts w:cstheme="minorHAnsi"/>
                <w:sz w:val="20"/>
                <w:szCs w:val="20"/>
              </w:rPr>
              <w:t xml:space="preserve">Percentage of Year 4 and Year 6 students meeting a minimum Level 3 for literacy and numeracy </w:t>
            </w:r>
          </w:p>
        </w:tc>
        <w:tc>
          <w:tcPr>
            <w:tcW w:w="6146" w:type="dxa"/>
            <w:shd w:val="clear" w:color="auto" w:fill="auto"/>
          </w:tcPr>
          <w:p w14:paraId="569EA6FE" w14:textId="7FC8AE42" w:rsidR="000B6007" w:rsidRPr="00330EE8" w:rsidRDefault="000B6007" w:rsidP="0055356D">
            <w:pPr>
              <w:tabs>
                <w:tab w:val="left" w:pos="6201"/>
              </w:tabs>
              <w:spacing w:before="60"/>
              <w:ind w:left="96"/>
              <w:rPr>
                <w:rFonts w:cstheme="minorHAnsi"/>
                <w:sz w:val="20"/>
                <w:szCs w:val="20"/>
              </w:rPr>
            </w:pPr>
            <w:r w:rsidRPr="00330EE8">
              <w:rPr>
                <w:rFonts w:cstheme="minorHAnsi"/>
                <w:sz w:val="20"/>
                <w:szCs w:val="20"/>
                <w:u w:val="single"/>
              </w:rPr>
              <w:t>FY 2020</w:t>
            </w:r>
            <w:r w:rsidR="00BA3126" w:rsidRPr="00330EE8">
              <w:rPr>
                <w:rFonts w:cstheme="minorHAnsi"/>
                <w:sz w:val="20"/>
                <w:szCs w:val="20"/>
                <w:u w:val="single"/>
              </w:rPr>
              <w:t>-</w:t>
            </w:r>
            <w:r w:rsidRPr="00330EE8">
              <w:rPr>
                <w:rFonts w:cstheme="minorHAnsi"/>
                <w:sz w:val="20"/>
                <w:szCs w:val="20"/>
                <w:u w:val="single"/>
              </w:rPr>
              <w:t>21 results</w:t>
            </w:r>
            <w:r w:rsidRPr="00330EE8">
              <w:rPr>
                <w:rFonts w:cstheme="minorHAnsi"/>
                <w:sz w:val="20"/>
                <w:szCs w:val="20"/>
              </w:rPr>
              <w:t xml:space="preserve"> (not available at time of 2020</w:t>
            </w:r>
            <w:r w:rsidR="006902D0" w:rsidRPr="00330EE8">
              <w:rPr>
                <w:rFonts w:cstheme="minorHAnsi"/>
                <w:sz w:val="20"/>
                <w:szCs w:val="20"/>
              </w:rPr>
              <w:t>-</w:t>
            </w:r>
            <w:r w:rsidRPr="00330EE8">
              <w:rPr>
                <w:rFonts w:cstheme="minorHAnsi"/>
                <w:sz w:val="20"/>
                <w:szCs w:val="20"/>
              </w:rPr>
              <w:t>21 report)</w:t>
            </w:r>
          </w:p>
          <w:p w14:paraId="4B9FEFAD" w14:textId="55201A0A" w:rsidR="000B6007" w:rsidRPr="00330EE8" w:rsidRDefault="000B6007" w:rsidP="0055356D">
            <w:pPr>
              <w:tabs>
                <w:tab w:val="left" w:pos="6201"/>
              </w:tabs>
              <w:spacing w:before="60"/>
              <w:ind w:left="96"/>
              <w:rPr>
                <w:rFonts w:cstheme="minorHAnsi"/>
                <w:sz w:val="20"/>
                <w:szCs w:val="20"/>
              </w:rPr>
            </w:pPr>
            <w:proofErr w:type="spellStart"/>
            <w:r w:rsidRPr="00330EE8">
              <w:rPr>
                <w:rFonts w:cstheme="minorHAnsi"/>
                <w:sz w:val="20"/>
                <w:szCs w:val="20"/>
              </w:rPr>
              <w:t>Yr</w:t>
            </w:r>
            <w:proofErr w:type="spellEnd"/>
            <w:r w:rsidRPr="00330EE8">
              <w:rPr>
                <w:rFonts w:cstheme="minorHAnsi"/>
                <w:sz w:val="20"/>
                <w:szCs w:val="20"/>
              </w:rPr>
              <w:t xml:space="preserve"> 4 Boys</w:t>
            </w:r>
            <w:r w:rsidR="00E7256E" w:rsidRPr="00330EE8">
              <w:rPr>
                <w:rFonts w:cstheme="minorHAnsi"/>
                <w:sz w:val="20"/>
                <w:szCs w:val="20"/>
              </w:rPr>
              <w:t xml:space="preserve">: </w:t>
            </w:r>
            <w:r w:rsidRPr="00330EE8">
              <w:rPr>
                <w:rFonts w:cstheme="minorHAnsi"/>
                <w:sz w:val="20"/>
                <w:szCs w:val="20"/>
              </w:rPr>
              <w:t>Numeracy: 42</w:t>
            </w:r>
            <w:r w:rsidR="006902D0" w:rsidRPr="00330EE8">
              <w:rPr>
                <w:rFonts w:cstheme="minorHAnsi"/>
                <w:sz w:val="20"/>
                <w:szCs w:val="20"/>
              </w:rPr>
              <w:t xml:space="preserve"> per cent</w:t>
            </w:r>
            <w:r w:rsidR="00B34973" w:rsidRPr="00330EE8">
              <w:rPr>
                <w:rFonts w:cstheme="minorHAnsi"/>
                <w:sz w:val="20"/>
                <w:szCs w:val="20"/>
              </w:rPr>
              <w:t>; En</w:t>
            </w:r>
            <w:r w:rsidRPr="00330EE8">
              <w:rPr>
                <w:rFonts w:cstheme="minorHAnsi"/>
                <w:sz w:val="20"/>
                <w:szCs w:val="20"/>
              </w:rPr>
              <w:t>glish: 22</w:t>
            </w:r>
            <w:r w:rsidR="006902D0" w:rsidRPr="00330EE8">
              <w:rPr>
                <w:rFonts w:cstheme="minorHAnsi"/>
                <w:sz w:val="20"/>
                <w:szCs w:val="20"/>
              </w:rPr>
              <w:t xml:space="preserve"> per cent </w:t>
            </w:r>
            <w:r w:rsidRPr="00330EE8">
              <w:rPr>
                <w:rFonts w:cstheme="minorHAnsi"/>
                <w:sz w:val="20"/>
                <w:szCs w:val="20"/>
              </w:rPr>
              <w:t xml:space="preserve"> </w:t>
            </w:r>
          </w:p>
          <w:p w14:paraId="3741A22E" w14:textId="4B93D1B1" w:rsidR="000B6007" w:rsidRPr="00330EE8" w:rsidRDefault="000B6007" w:rsidP="0055356D">
            <w:pPr>
              <w:tabs>
                <w:tab w:val="left" w:pos="6201"/>
              </w:tabs>
              <w:spacing w:before="60"/>
              <w:ind w:left="96"/>
              <w:rPr>
                <w:rFonts w:cstheme="minorHAnsi"/>
                <w:sz w:val="20"/>
                <w:szCs w:val="20"/>
              </w:rPr>
            </w:pPr>
            <w:proofErr w:type="spellStart"/>
            <w:r w:rsidRPr="00330EE8">
              <w:rPr>
                <w:rFonts w:cstheme="minorHAnsi"/>
                <w:sz w:val="20"/>
                <w:szCs w:val="20"/>
              </w:rPr>
              <w:t>Yr</w:t>
            </w:r>
            <w:proofErr w:type="spellEnd"/>
            <w:r w:rsidRPr="00330EE8">
              <w:rPr>
                <w:rFonts w:cstheme="minorHAnsi"/>
                <w:sz w:val="20"/>
                <w:szCs w:val="20"/>
              </w:rPr>
              <w:t xml:space="preserve"> 4 Girls</w:t>
            </w:r>
            <w:r w:rsidR="00B34973" w:rsidRPr="00330EE8">
              <w:rPr>
                <w:rFonts w:cstheme="minorHAnsi"/>
                <w:sz w:val="20"/>
                <w:szCs w:val="20"/>
              </w:rPr>
              <w:t xml:space="preserve">: </w:t>
            </w:r>
            <w:r w:rsidRPr="00330EE8">
              <w:rPr>
                <w:rFonts w:cstheme="minorHAnsi"/>
                <w:sz w:val="20"/>
                <w:szCs w:val="20"/>
              </w:rPr>
              <w:t>Numeracy: 41</w:t>
            </w:r>
            <w:r w:rsidR="006902D0" w:rsidRPr="00330EE8">
              <w:rPr>
                <w:rFonts w:cstheme="minorHAnsi"/>
                <w:sz w:val="20"/>
                <w:szCs w:val="20"/>
              </w:rPr>
              <w:t xml:space="preserve"> per cent</w:t>
            </w:r>
            <w:r w:rsidR="00B34973" w:rsidRPr="00330EE8">
              <w:rPr>
                <w:rFonts w:cstheme="minorHAnsi"/>
                <w:sz w:val="20"/>
                <w:szCs w:val="20"/>
              </w:rPr>
              <w:t xml:space="preserve">; </w:t>
            </w:r>
            <w:r w:rsidRPr="00330EE8">
              <w:rPr>
                <w:rFonts w:cstheme="minorHAnsi"/>
                <w:sz w:val="20"/>
                <w:szCs w:val="20"/>
              </w:rPr>
              <w:t>English: 26</w:t>
            </w:r>
            <w:r w:rsidR="006902D0" w:rsidRPr="00330EE8">
              <w:rPr>
                <w:rFonts w:cstheme="minorHAnsi"/>
                <w:sz w:val="20"/>
                <w:szCs w:val="20"/>
              </w:rPr>
              <w:t xml:space="preserve"> per cent </w:t>
            </w:r>
            <w:r w:rsidRPr="00330EE8">
              <w:rPr>
                <w:rFonts w:cstheme="minorHAnsi"/>
                <w:sz w:val="20"/>
                <w:szCs w:val="20"/>
              </w:rPr>
              <w:t xml:space="preserve"> </w:t>
            </w:r>
          </w:p>
          <w:p w14:paraId="552DEE5F" w14:textId="00E047E6" w:rsidR="000B6007" w:rsidRPr="00330EE8" w:rsidRDefault="000B6007" w:rsidP="0055356D">
            <w:pPr>
              <w:tabs>
                <w:tab w:val="left" w:pos="6201"/>
              </w:tabs>
              <w:spacing w:before="60"/>
              <w:ind w:left="96"/>
              <w:rPr>
                <w:rFonts w:cstheme="minorHAnsi"/>
                <w:sz w:val="20"/>
                <w:szCs w:val="20"/>
              </w:rPr>
            </w:pPr>
            <w:proofErr w:type="spellStart"/>
            <w:r w:rsidRPr="00330EE8">
              <w:rPr>
                <w:rFonts w:cstheme="minorHAnsi"/>
                <w:sz w:val="20"/>
                <w:szCs w:val="20"/>
              </w:rPr>
              <w:t>Yr</w:t>
            </w:r>
            <w:proofErr w:type="spellEnd"/>
            <w:r w:rsidRPr="00330EE8">
              <w:rPr>
                <w:rFonts w:cstheme="minorHAnsi"/>
                <w:sz w:val="20"/>
                <w:szCs w:val="20"/>
              </w:rPr>
              <w:t xml:space="preserve"> 6 Boys</w:t>
            </w:r>
            <w:r w:rsidR="00B34973" w:rsidRPr="00330EE8">
              <w:rPr>
                <w:rFonts w:cstheme="minorHAnsi"/>
                <w:sz w:val="20"/>
                <w:szCs w:val="20"/>
              </w:rPr>
              <w:t xml:space="preserve">: </w:t>
            </w:r>
            <w:r w:rsidRPr="00330EE8">
              <w:rPr>
                <w:rFonts w:cstheme="minorHAnsi"/>
                <w:sz w:val="20"/>
                <w:szCs w:val="20"/>
              </w:rPr>
              <w:t>Numeracy: 38</w:t>
            </w:r>
            <w:r w:rsidR="006902D0" w:rsidRPr="00330EE8">
              <w:rPr>
                <w:rFonts w:cstheme="minorHAnsi"/>
                <w:sz w:val="20"/>
                <w:szCs w:val="20"/>
              </w:rPr>
              <w:t xml:space="preserve"> per cent</w:t>
            </w:r>
            <w:r w:rsidR="00B34973" w:rsidRPr="00330EE8">
              <w:rPr>
                <w:rFonts w:cstheme="minorHAnsi"/>
                <w:sz w:val="20"/>
                <w:szCs w:val="20"/>
              </w:rPr>
              <w:t xml:space="preserve">; </w:t>
            </w:r>
            <w:r w:rsidRPr="00330EE8">
              <w:rPr>
                <w:rFonts w:cstheme="minorHAnsi"/>
                <w:sz w:val="20"/>
                <w:szCs w:val="20"/>
              </w:rPr>
              <w:t>English: 32</w:t>
            </w:r>
            <w:r w:rsidR="006902D0" w:rsidRPr="00330EE8">
              <w:rPr>
                <w:rFonts w:cstheme="minorHAnsi"/>
                <w:sz w:val="20"/>
                <w:szCs w:val="20"/>
              </w:rPr>
              <w:t xml:space="preserve"> per cent </w:t>
            </w:r>
            <w:r w:rsidRPr="00330EE8">
              <w:rPr>
                <w:rFonts w:cstheme="minorHAnsi"/>
                <w:sz w:val="20"/>
                <w:szCs w:val="20"/>
              </w:rPr>
              <w:t xml:space="preserve">  </w:t>
            </w:r>
          </w:p>
          <w:p w14:paraId="73BB60E5" w14:textId="3732F8CE" w:rsidR="000B6007" w:rsidRPr="00330EE8" w:rsidRDefault="000B6007" w:rsidP="0055356D">
            <w:pPr>
              <w:tabs>
                <w:tab w:val="left" w:pos="6201"/>
              </w:tabs>
              <w:spacing w:before="60"/>
              <w:ind w:left="96"/>
              <w:rPr>
                <w:rFonts w:cstheme="minorHAnsi"/>
                <w:sz w:val="20"/>
                <w:szCs w:val="20"/>
              </w:rPr>
            </w:pPr>
            <w:proofErr w:type="spellStart"/>
            <w:r w:rsidRPr="00330EE8">
              <w:rPr>
                <w:rFonts w:cstheme="minorHAnsi"/>
                <w:sz w:val="20"/>
                <w:szCs w:val="20"/>
              </w:rPr>
              <w:t>Yr</w:t>
            </w:r>
            <w:proofErr w:type="spellEnd"/>
            <w:r w:rsidRPr="00330EE8">
              <w:rPr>
                <w:rFonts w:cstheme="minorHAnsi"/>
                <w:sz w:val="20"/>
                <w:szCs w:val="20"/>
              </w:rPr>
              <w:t xml:space="preserve"> 6 Girls</w:t>
            </w:r>
            <w:r w:rsidR="00B34973" w:rsidRPr="00330EE8">
              <w:rPr>
                <w:rFonts w:cstheme="minorHAnsi"/>
                <w:sz w:val="20"/>
                <w:szCs w:val="20"/>
              </w:rPr>
              <w:t xml:space="preserve">: </w:t>
            </w:r>
            <w:r w:rsidRPr="00330EE8">
              <w:rPr>
                <w:rFonts w:cstheme="minorHAnsi"/>
                <w:sz w:val="20"/>
                <w:szCs w:val="20"/>
              </w:rPr>
              <w:t>Numeracy: 41</w:t>
            </w:r>
            <w:r w:rsidR="006902D0" w:rsidRPr="00330EE8">
              <w:rPr>
                <w:rFonts w:cstheme="minorHAnsi"/>
                <w:sz w:val="20"/>
                <w:szCs w:val="20"/>
              </w:rPr>
              <w:t xml:space="preserve"> per cent</w:t>
            </w:r>
            <w:r w:rsidR="00B34973" w:rsidRPr="00330EE8">
              <w:rPr>
                <w:rFonts w:cstheme="minorHAnsi"/>
                <w:sz w:val="20"/>
                <w:szCs w:val="20"/>
              </w:rPr>
              <w:t xml:space="preserve">; </w:t>
            </w:r>
            <w:r w:rsidRPr="00330EE8">
              <w:rPr>
                <w:rFonts w:cstheme="minorHAnsi"/>
                <w:sz w:val="20"/>
                <w:szCs w:val="20"/>
              </w:rPr>
              <w:t>English: 38</w:t>
            </w:r>
            <w:r w:rsidR="006902D0" w:rsidRPr="00330EE8">
              <w:rPr>
                <w:rFonts w:cstheme="minorHAnsi"/>
                <w:sz w:val="20"/>
                <w:szCs w:val="20"/>
              </w:rPr>
              <w:t xml:space="preserve"> per cent </w:t>
            </w:r>
            <w:r w:rsidRPr="00330EE8">
              <w:rPr>
                <w:rFonts w:cstheme="minorHAnsi"/>
                <w:sz w:val="20"/>
                <w:szCs w:val="20"/>
              </w:rPr>
              <w:t xml:space="preserve"> </w:t>
            </w:r>
          </w:p>
          <w:p w14:paraId="76812720" w14:textId="3DF905A8" w:rsidR="000B6007" w:rsidRPr="00330EE8" w:rsidRDefault="000B6007" w:rsidP="0055356D">
            <w:pPr>
              <w:tabs>
                <w:tab w:val="left" w:pos="6201"/>
              </w:tabs>
              <w:spacing w:before="60"/>
              <w:ind w:left="96"/>
              <w:rPr>
                <w:rFonts w:cstheme="minorHAnsi"/>
                <w:sz w:val="20"/>
                <w:szCs w:val="20"/>
                <w:u w:val="single"/>
              </w:rPr>
            </w:pPr>
            <w:r w:rsidRPr="00330EE8">
              <w:rPr>
                <w:rFonts w:cstheme="minorHAnsi"/>
                <w:sz w:val="20"/>
                <w:szCs w:val="20"/>
                <w:u w:val="single"/>
              </w:rPr>
              <w:t>FY 2021</w:t>
            </w:r>
            <w:r w:rsidR="00BA3126" w:rsidRPr="00330EE8">
              <w:rPr>
                <w:rFonts w:cstheme="minorHAnsi"/>
                <w:sz w:val="20"/>
                <w:szCs w:val="20"/>
                <w:u w:val="single"/>
              </w:rPr>
              <w:t>-</w:t>
            </w:r>
            <w:r w:rsidRPr="00330EE8">
              <w:rPr>
                <w:rFonts w:cstheme="minorHAnsi"/>
                <w:sz w:val="20"/>
                <w:szCs w:val="20"/>
                <w:u w:val="single"/>
              </w:rPr>
              <w:t xml:space="preserve">22 results </w:t>
            </w:r>
          </w:p>
          <w:p w14:paraId="2041E273" w14:textId="397FBDCC" w:rsidR="000B6007" w:rsidRPr="00330EE8" w:rsidRDefault="000B6007" w:rsidP="0055356D">
            <w:pPr>
              <w:tabs>
                <w:tab w:val="left" w:pos="6201"/>
              </w:tabs>
              <w:spacing w:before="60"/>
              <w:ind w:left="96"/>
              <w:rPr>
                <w:rFonts w:cstheme="minorHAnsi"/>
                <w:sz w:val="20"/>
                <w:szCs w:val="20"/>
              </w:rPr>
            </w:pPr>
            <w:proofErr w:type="spellStart"/>
            <w:r w:rsidRPr="00330EE8">
              <w:rPr>
                <w:rFonts w:cstheme="minorHAnsi"/>
                <w:sz w:val="20"/>
                <w:szCs w:val="20"/>
              </w:rPr>
              <w:t>Yr</w:t>
            </w:r>
            <w:proofErr w:type="spellEnd"/>
            <w:r w:rsidRPr="00330EE8">
              <w:rPr>
                <w:rFonts w:cstheme="minorHAnsi"/>
                <w:sz w:val="20"/>
                <w:szCs w:val="20"/>
              </w:rPr>
              <w:t xml:space="preserve"> 4 Boys</w:t>
            </w:r>
            <w:r w:rsidR="00C94929" w:rsidRPr="00330EE8">
              <w:rPr>
                <w:rFonts w:cstheme="minorHAnsi"/>
                <w:sz w:val="20"/>
                <w:szCs w:val="20"/>
              </w:rPr>
              <w:t xml:space="preserve">: </w:t>
            </w:r>
            <w:r w:rsidRPr="00330EE8">
              <w:rPr>
                <w:rFonts w:cstheme="minorHAnsi"/>
                <w:sz w:val="20"/>
                <w:szCs w:val="20"/>
              </w:rPr>
              <w:t>Numeracy: 3</w:t>
            </w:r>
            <w:r w:rsidR="006902D0" w:rsidRPr="00330EE8">
              <w:rPr>
                <w:rFonts w:cstheme="minorHAnsi"/>
                <w:sz w:val="20"/>
                <w:szCs w:val="20"/>
              </w:rPr>
              <w:t xml:space="preserve"> per cent</w:t>
            </w:r>
            <w:r w:rsidR="00C94929" w:rsidRPr="00330EE8">
              <w:rPr>
                <w:rFonts w:cstheme="minorHAnsi"/>
                <w:sz w:val="20"/>
                <w:szCs w:val="20"/>
              </w:rPr>
              <w:t xml:space="preserve">; </w:t>
            </w:r>
            <w:r w:rsidRPr="00330EE8">
              <w:rPr>
                <w:rFonts w:cstheme="minorHAnsi"/>
                <w:sz w:val="20"/>
                <w:szCs w:val="20"/>
              </w:rPr>
              <w:t>English: 5</w:t>
            </w:r>
            <w:r w:rsidR="006902D0" w:rsidRPr="00330EE8">
              <w:rPr>
                <w:rFonts w:cstheme="minorHAnsi"/>
                <w:sz w:val="20"/>
                <w:szCs w:val="20"/>
              </w:rPr>
              <w:t xml:space="preserve"> per cent </w:t>
            </w:r>
            <w:r w:rsidRPr="00330EE8">
              <w:rPr>
                <w:rFonts w:cstheme="minorHAnsi"/>
                <w:sz w:val="20"/>
                <w:szCs w:val="20"/>
              </w:rPr>
              <w:t xml:space="preserve"> </w:t>
            </w:r>
          </w:p>
          <w:p w14:paraId="155E7322" w14:textId="74A0FA92" w:rsidR="000B6007" w:rsidRPr="00330EE8" w:rsidRDefault="000B6007" w:rsidP="0055356D">
            <w:pPr>
              <w:tabs>
                <w:tab w:val="left" w:pos="6201"/>
              </w:tabs>
              <w:spacing w:before="60"/>
              <w:ind w:left="96"/>
              <w:rPr>
                <w:rFonts w:cstheme="minorHAnsi"/>
                <w:sz w:val="20"/>
                <w:szCs w:val="20"/>
              </w:rPr>
            </w:pPr>
            <w:proofErr w:type="spellStart"/>
            <w:r w:rsidRPr="00330EE8">
              <w:rPr>
                <w:rFonts w:cstheme="minorHAnsi"/>
                <w:sz w:val="20"/>
                <w:szCs w:val="20"/>
              </w:rPr>
              <w:t>Yr</w:t>
            </w:r>
            <w:proofErr w:type="spellEnd"/>
            <w:r w:rsidRPr="00330EE8">
              <w:rPr>
                <w:rFonts w:cstheme="minorHAnsi"/>
                <w:sz w:val="20"/>
                <w:szCs w:val="20"/>
              </w:rPr>
              <w:t xml:space="preserve"> 4 Girls</w:t>
            </w:r>
            <w:r w:rsidR="00C94929" w:rsidRPr="00330EE8">
              <w:rPr>
                <w:rFonts w:cstheme="minorHAnsi"/>
                <w:sz w:val="20"/>
                <w:szCs w:val="20"/>
              </w:rPr>
              <w:t xml:space="preserve">: </w:t>
            </w:r>
            <w:r w:rsidRPr="00330EE8">
              <w:rPr>
                <w:rFonts w:cstheme="minorHAnsi"/>
                <w:sz w:val="20"/>
                <w:szCs w:val="20"/>
              </w:rPr>
              <w:t>Numeracy: 4</w:t>
            </w:r>
            <w:r w:rsidR="006902D0" w:rsidRPr="00330EE8">
              <w:rPr>
                <w:rFonts w:cstheme="minorHAnsi"/>
                <w:sz w:val="20"/>
                <w:szCs w:val="20"/>
              </w:rPr>
              <w:t xml:space="preserve"> per cent</w:t>
            </w:r>
            <w:r w:rsidR="00C94929" w:rsidRPr="00330EE8">
              <w:rPr>
                <w:rFonts w:cstheme="minorHAnsi"/>
                <w:sz w:val="20"/>
                <w:szCs w:val="20"/>
              </w:rPr>
              <w:t xml:space="preserve">; </w:t>
            </w:r>
            <w:r w:rsidRPr="00330EE8">
              <w:rPr>
                <w:rFonts w:cstheme="minorHAnsi"/>
                <w:sz w:val="20"/>
                <w:szCs w:val="20"/>
              </w:rPr>
              <w:t>English: 11</w:t>
            </w:r>
            <w:r w:rsidR="006902D0" w:rsidRPr="00330EE8">
              <w:rPr>
                <w:rFonts w:cstheme="minorHAnsi"/>
                <w:sz w:val="20"/>
                <w:szCs w:val="20"/>
              </w:rPr>
              <w:t xml:space="preserve"> per cent </w:t>
            </w:r>
          </w:p>
          <w:p w14:paraId="220DE046" w14:textId="5EB9AD78" w:rsidR="000B6007" w:rsidRPr="00330EE8" w:rsidRDefault="000B6007" w:rsidP="0055356D">
            <w:pPr>
              <w:tabs>
                <w:tab w:val="left" w:pos="6201"/>
              </w:tabs>
              <w:spacing w:before="60"/>
              <w:ind w:left="96"/>
              <w:rPr>
                <w:rFonts w:cstheme="minorHAnsi"/>
                <w:sz w:val="20"/>
                <w:szCs w:val="20"/>
              </w:rPr>
            </w:pPr>
            <w:proofErr w:type="spellStart"/>
            <w:r w:rsidRPr="00330EE8">
              <w:rPr>
                <w:rFonts w:cstheme="minorHAnsi"/>
                <w:sz w:val="20"/>
                <w:szCs w:val="20"/>
              </w:rPr>
              <w:t>Yr</w:t>
            </w:r>
            <w:proofErr w:type="spellEnd"/>
            <w:r w:rsidRPr="00330EE8">
              <w:rPr>
                <w:rFonts w:cstheme="minorHAnsi"/>
                <w:sz w:val="20"/>
                <w:szCs w:val="20"/>
              </w:rPr>
              <w:t xml:space="preserve"> 6 Boys</w:t>
            </w:r>
            <w:r w:rsidR="00C94929" w:rsidRPr="00330EE8">
              <w:rPr>
                <w:rFonts w:cstheme="minorHAnsi"/>
                <w:sz w:val="20"/>
                <w:szCs w:val="20"/>
              </w:rPr>
              <w:t xml:space="preserve">: </w:t>
            </w:r>
            <w:r w:rsidRPr="00330EE8">
              <w:rPr>
                <w:rFonts w:cstheme="minorHAnsi"/>
                <w:sz w:val="20"/>
                <w:szCs w:val="20"/>
              </w:rPr>
              <w:t>Numeracy: 8</w:t>
            </w:r>
            <w:r w:rsidR="006902D0" w:rsidRPr="00330EE8">
              <w:rPr>
                <w:rFonts w:cstheme="minorHAnsi"/>
                <w:sz w:val="20"/>
                <w:szCs w:val="20"/>
              </w:rPr>
              <w:t xml:space="preserve"> per cent</w:t>
            </w:r>
            <w:r w:rsidR="00C94929" w:rsidRPr="00330EE8">
              <w:rPr>
                <w:rFonts w:cstheme="minorHAnsi"/>
                <w:sz w:val="20"/>
                <w:szCs w:val="20"/>
              </w:rPr>
              <w:t xml:space="preserve">; </w:t>
            </w:r>
            <w:r w:rsidRPr="00330EE8">
              <w:rPr>
                <w:rFonts w:cstheme="minorHAnsi"/>
                <w:sz w:val="20"/>
                <w:szCs w:val="20"/>
              </w:rPr>
              <w:t>English: 32</w:t>
            </w:r>
            <w:r w:rsidR="006902D0" w:rsidRPr="00330EE8">
              <w:rPr>
                <w:rFonts w:cstheme="minorHAnsi"/>
                <w:sz w:val="20"/>
                <w:szCs w:val="20"/>
              </w:rPr>
              <w:t xml:space="preserve"> per cent </w:t>
            </w:r>
            <w:r w:rsidRPr="00330EE8">
              <w:rPr>
                <w:rFonts w:cstheme="minorHAnsi"/>
                <w:sz w:val="20"/>
                <w:szCs w:val="20"/>
              </w:rPr>
              <w:t xml:space="preserve"> </w:t>
            </w:r>
          </w:p>
          <w:p w14:paraId="0D9758AE" w14:textId="1440CD4E" w:rsidR="000B6007" w:rsidRPr="00330EE8" w:rsidRDefault="000B6007" w:rsidP="0055356D">
            <w:pPr>
              <w:tabs>
                <w:tab w:val="left" w:pos="6201"/>
              </w:tabs>
              <w:spacing w:before="60"/>
              <w:ind w:left="96"/>
              <w:rPr>
                <w:rFonts w:cstheme="minorHAnsi"/>
                <w:sz w:val="20"/>
                <w:szCs w:val="20"/>
              </w:rPr>
            </w:pPr>
            <w:proofErr w:type="spellStart"/>
            <w:r w:rsidRPr="00330EE8">
              <w:rPr>
                <w:rFonts w:cstheme="minorHAnsi"/>
                <w:sz w:val="20"/>
                <w:szCs w:val="20"/>
              </w:rPr>
              <w:t>Yr</w:t>
            </w:r>
            <w:proofErr w:type="spellEnd"/>
            <w:r w:rsidRPr="00330EE8">
              <w:rPr>
                <w:rFonts w:cstheme="minorHAnsi"/>
                <w:sz w:val="20"/>
                <w:szCs w:val="20"/>
              </w:rPr>
              <w:t xml:space="preserve"> 6 Girls</w:t>
            </w:r>
            <w:r w:rsidR="00C94929" w:rsidRPr="00330EE8">
              <w:rPr>
                <w:rFonts w:cstheme="minorHAnsi"/>
                <w:sz w:val="20"/>
                <w:szCs w:val="20"/>
              </w:rPr>
              <w:t xml:space="preserve">: </w:t>
            </w:r>
            <w:r w:rsidRPr="00330EE8">
              <w:rPr>
                <w:rFonts w:cstheme="minorHAnsi"/>
                <w:sz w:val="20"/>
                <w:szCs w:val="20"/>
              </w:rPr>
              <w:t>Numeracy: 11</w:t>
            </w:r>
            <w:r w:rsidR="006902D0" w:rsidRPr="00330EE8">
              <w:rPr>
                <w:rFonts w:cstheme="minorHAnsi"/>
                <w:sz w:val="20"/>
                <w:szCs w:val="20"/>
              </w:rPr>
              <w:t xml:space="preserve"> per cent</w:t>
            </w:r>
            <w:r w:rsidR="00C94929" w:rsidRPr="00330EE8">
              <w:rPr>
                <w:rFonts w:cstheme="minorHAnsi"/>
                <w:sz w:val="20"/>
                <w:szCs w:val="20"/>
              </w:rPr>
              <w:t xml:space="preserve">; </w:t>
            </w:r>
            <w:r w:rsidRPr="00330EE8">
              <w:rPr>
                <w:rFonts w:cstheme="minorHAnsi"/>
                <w:sz w:val="20"/>
                <w:szCs w:val="20"/>
              </w:rPr>
              <w:t>English: 38</w:t>
            </w:r>
            <w:r w:rsidR="006902D0" w:rsidRPr="00330EE8">
              <w:rPr>
                <w:rFonts w:cstheme="minorHAnsi"/>
                <w:sz w:val="20"/>
                <w:szCs w:val="20"/>
              </w:rPr>
              <w:t xml:space="preserve"> per cent </w:t>
            </w:r>
            <w:r w:rsidRPr="00330EE8">
              <w:rPr>
                <w:rFonts w:cstheme="minorHAnsi"/>
                <w:sz w:val="20"/>
                <w:szCs w:val="20"/>
              </w:rPr>
              <w:t xml:space="preserve"> </w:t>
            </w:r>
          </w:p>
          <w:p w14:paraId="7D9CAB9B" w14:textId="360DACA3" w:rsidR="00645A38" w:rsidRPr="00330EE8" w:rsidRDefault="00C94929" w:rsidP="0055356D">
            <w:pPr>
              <w:tabs>
                <w:tab w:val="left" w:pos="6201"/>
              </w:tabs>
              <w:spacing w:before="60"/>
              <w:ind w:left="96"/>
              <w:rPr>
                <w:rFonts w:cstheme="minorHAnsi"/>
                <w:sz w:val="20"/>
                <w:szCs w:val="20"/>
              </w:rPr>
            </w:pPr>
            <w:r w:rsidRPr="00330EE8">
              <w:rPr>
                <w:rFonts w:cstheme="minorHAnsi"/>
                <w:sz w:val="20"/>
                <w:szCs w:val="20"/>
              </w:rPr>
              <w:t>D</w:t>
            </w:r>
            <w:r w:rsidR="00DA28EE" w:rsidRPr="00330EE8">
              <w:rPr>
                <w:rFonts w:cstheme="minorHAnsi"/>
                <w:sz w:val="20"/>
                <w:szCs w:val="20"/>
              </w:rPr>
              <w:t>ecline in results stems from COVID-19 related lockdowns in early 2022</w:t>
            </w:r>
            <w:r w:rsidRPr="00330EE8">
              <w:rPr>
                <w:rFonts w:cstheme="minorHAnsi"/>
                <w:sz w:val="20"/>
                <w:szCs w:val="20"/>
              </w:rPr>
              <w:t>.</w:t>
            </w:r>
          </w:p>
        </w:tc>
      </w:tr>
      <w:tr w:rsidR="00330EE8" w:rsidRPr="00330EE8" w14:paraId="04D80B20" w14:textId="77777777" w:rsidTr="007A4493">
        <w:trPr>
          <w:tblHeader/>
        </w:trPr>
        <w:tc>
          <w:tcPr>
            <w:tcW w:w="4390" w:type="dxa"/>
          </w:tcPr>
          <w:p w14:paraId="718C1182" w14:textId="6F2F8105" w:rsidR="00645A38" w:rsidRPr="00330EE8" w:rsidRDefault="00645A38" w:rsidP="0055356D">
            <w:pPr>
              <w:tabs>
                <w:tab w:val="left" w:pos="6201"/>
              </w:tabs>
              <w:spacing w:before="60"/>
              <w:ind w:left="96"/>
              <w:rPr>
                <w:rFonts w:cstheme="minorHAnsi"/>
                <w:sz w:val="20"/>
                <w:szCs w:val="20"/>
              </w:rPr>
            </w:pPr>
            <w:r w:rsidRPr="00330EE8">
              <w:rPr>
                <w:rFonts w:cstheme="minorHAnsi"/>
                <w:sz w:val="20"/>
                <w:szCs w:val="20"/>
              </w:rPr>
              <w:t xml:space="preserve">Number of students with disabilities enrolled at all levels </w:t>
            </w:r>
          </w:p>
        </w:tc>
        <w:tc>
          <w:tcPr>
            <w:tcW w:w="6146" w:type="dxa"/>
          </w:tcPr>
          <w:p w14:paraId="25889C11" w14:textId="423342DA" w:rsidR="00645A38" w:rsidRPr="00330EE8" w:rsidRDefault="00C14C8C" w:rsidP="0055356D">
            <w:pPr>
              <w:tabs>
                <w:tab w:val="left" w:pos="6201"/>
              </w:tabs>
              <w:spacing w:before="60"/>
              <w:ind w:left="96"/>
              <w:rPr>
                <w:rFonts w:cstheme="minorHAnsi"/>
                <w:sz w:val="20"/>
                <w:szCs w:val="20"/>
              </w:rPr>
            </w:pPr>
            <w:r w:rsidRPr="00330EE8">
              <w:rPr>
                <w:rFonts w:cstheme="minorHAnsi"/>
                <w:sz w:val="20"/>
                <w:szCs w:val="20"/>
              </w:rPr>
              <w:t>Supported the enrolment of 229 students with disabilities</w:t>
            </w:r>
            <w:r w:rsidR="003354B8" w:rsidRPr="00330EE8">
              <w:rPr>
                <w:rFonts w:cstheme="minorHAnsi"/>
                <w:sz w:val="20"/>
                <w:szCs w:val="20"/>
              </w:rPr>
              <w:t>:</w:t>
            </w:r>
            <w:r w:rsidR="00EB794E" w:rsidRPr="00330EE8">
              <w:rPr>
                <w:rFonts w:cstheme="minorHAnsi"/>
                <w:sz w:val="20"/>
                <w:szCs w:val="20"/>
              </w:rPr>
              <w:t xml:space="preserve"> </w:t>
            </w:r>
            <w:r w:rsidRPr="00330EE8">
              <w:rPr>
                <w:rFonts w:cstheme="minorHAnsi"/>
                <w:sz w:val="20"/>
                <w:szCs w:val="20"/>
              </w:rPr>
              <w:t>Primary: 202</w:t>
            </w:r>
            <w:r w:rsidR="00EB794E" w:rsidRPr="00330EE8">
              <w:rPr>
                <w:rFonts w:cstheme="minorHAnsi"/>
                <w:sz w:val="20"/>
                <w:szCs w:val="20"/>
              </w:rPr>
              <w:t xml:space="preserve">; </w:t>
            </w:r>
            <w:r w:rsidRPr="00330EE8">
              <w:rPr>
                <w:rFonts w:cstheme="minorHAnsi"/>
                <w:sz w:val="20"/>
                <w:szCs w:val="20"/>
              </w:rPr>
              <w:t>Secondary: 16</w:t>
            </w:r>
            <w:r w:rsidR="003354B8" w:rsidRPr="00330EE8">
              <w:rPr>
                <w:rFonts w:cstheme="minorHAnsi"/>
                <w:sz w:val="20"/>
                <w:szCs w:val="20"/>
              </w:rPr>
              <w:t xml:space="preserve">; </w:t>
            </w:r>
            <w:r w:rsidRPr="00330EE8">
              <w:rPr>
                <w:rFonts w:cstheme="minorHAnsi"/>
                <w:sz w:val="20"/>
                <w:szCs w:val="20"/>
              </w:rPr>
              <w:t>APTC: 10</w:t>
            </w:r>
            <w:r w:rsidR="00EB794E" w:rsidRPr="00330EE8">
              <w:rPr>
                <w:rFonts w:cstheme="minorHAnsi"/>
                <w:sz w:val="20"/>
                <w:szCs w:val="20"/>
              </w:rPr>
              <w:t xml:space="preserve">; </w:t>
            </w:r>
            <w:r w:rsidRPr="00330EE8">
              <w:rPr>
                <w:rFonts w:cstheme="minorHAnsi"/>
                <w:sz w:val="20"/>
                <w:szCs w:val="20"/>
              </w:rPr>
              <w:t>Vocational: 1</w:t>
            </w:r>
            <w:r w:rsidR="00EB794E" w:rsidRPr="00330EE8">
              <w:rPr>
                <w:rFonts w:cstheme="minorHAnsi"/>
                <w:sz w:val="20"/>
                <w:szCs w:val="20"/>
              </w:rPr>
              <w:t>.</w:t>
            </w:r>
          </w:p>
        </w:tc>
      </w:tr>
      <w:tr w:rsidR="00330EE8" w:rsidRPr="00330EE8" w14:paraId="077B4CA2" w14:textId="77777777" w:rsidTr="007A4493">
        <w:trPr>
          <w:tblHeader/>
        </w:trPr>
        <w:tc>
          <w:tcPr>
            <w:tcW w:w="4390" w:type="dxa"/>
          </w:tcPr>
          <w:p w14:paraId="44B019E3" w14:textId="0344933F" w:rsidR="00645A38" w:rsidRPr="00330EE8" w:rsidRDefault="00645A38" w:rsidP="0055356D">
            <w:pPr>
              <w:tabs>
                <w:tab w:val="left" w:pos="6201"/>
              </w:tabs>
              <w:spacing w:before="60"/>
              <w:ind w:left="96"/>
              <w:rPr>
                <w:rFonts w:cstheme="minorHAnsi"/>
                <w:sz w:val="20"/>
                <w:szCs w:val="20"/>
              </w:rPr>
            </w:pPr>
            <w:r w:rsidRPr="00330EE8">
              <w:rPr>
                <w:rFonts w:cstheme="minorHAnsi"/>
                <w:sz w:val="20"/>
                <w:szCs w:val="20"/>
              </w:rPr>
              <w:t>Percentage of schools implementing online learning plans</w:t>
            </w:r>
          </w:p>
        </w:tc>
        <w:tc>
          <w:tcPr>
            <w:tcW w:w="6146" w:type="dxa"/>
          </w:tcPr>
          <w:p w14:paraId="32DDF135" w14:textId="546DDC20" w:rsidR="00645A38" w:rsidRPr="00330EE8" w:rsidRDefault="00120B01" w:rsidP="0055356D">
            <w:pPr>
              <w:tabs>
                <w:tab w:val="left" w:pos="6201"/>
              </w:tabs>
              <w:spacing w:before="60"/>
              <w:ind w:left="96"/>
              <w:rPr>
                <w:rFonts w:cstheme="minorHAnsi"/>
                <w:sz w:val="20"/>
                <w:szCs w:val="20"/>
              </w:rPr>
            </w:pPr>
            <w:r w:rsidRPr="00330EE8">
              <w:rPr>
                <w:rFonts w:cstheme="minorHAnsi"/>
                <w:sz w:val="20"/>
                <w:szCs w:val="20"/>
              </w:rPr>
              <w:t xml:space="preserve">The Moodle Cloud initiative targeted </w:t>
            </w:r>
            <w:r w:rsidR="00D04C04" w:rsidRPr="00330EE8">
              <w:rPr>
                <w:rFonts w:cstheme="minorHAnsi"/>
                <w:sz w:val="20"/>
                <w:szCs w:val="20"/>
              </w:rPr>
              <w:t xml:space="preserve">36 </w:t>
            </w:r>
            <w:r w:rsidR="00A23C94" w:rsidRPr="00330EE8">
              <w:rPr>
                <w:rFonts w:cstheme="minorHAnsi"/>
                <w:sz w:val="20"/>
                <w:szCs w:val="20"/>
              </w:rPr>
              <w:t xml:space="preserve">Government </w:t>
            </w:r>
            <w:r w:rsidR="008C1F6E" w:rsidRPr="00330EE8">
              <w:rPr>
                <w:rFonts w:cstheme="minorHAnsi"/>
                <w:sz w:val="20"/>
                <w:szCs w:val="20"/>
              </w:rPr>
              <w:t>schools</w:t>
            </w:r>
            <w:r w:rsidRPr="00330EE8">
              <w:rPr>
                <w:rFonts w:cstheme="minorHAnsi"/>
                <w:sz w:val="20"/>
                <w:szCs w:val="20"/>
              </w:rPr>
              <w:t xml:space="preserve"> </w:t>
            </w:r>
            <w:r w:rsidR="00A23C94" w:rsidRPr="00330EE8">
              <w:rPr>
                <w:rFonts w:cstheme="minorHAnsi"/>
                <w:sz w:val="20"/>
                <w:szCs w:val="20"/>
              </w:rPr>
              <w:t xml:space="preserve">(21%) </w:t>
            </w:r>
            <w:r w:rsidRPr="00330EE8">
              <w:rPr>
                <w:rFonts w:cstheme="minorHAnsi"/>
                <w:sz w:val="20"/>
                <w:szCs w:val="20"/>
              </w:rPr>
              <w:t xml:space="preserve">to ensure students and teachers </w:t>
            </w:r>
            <w:r w:rsidR="000A6BEB" w:rsidRPr="00330EE8">
              <w:rPr>
                <w:rFonts w:cstheme="minorHAnsi"/>
                <w:sz w:val="20"/>
                <w:szCs w:val="20"/>
              </w:rPr>
              <w:t>were</w:t>
            </w:r>
            <w:r w:rsidRPr="00330EE8">
              <w:rPr>
                <w:rFonts w:cstheme="minorHAnsi"/>
                <w:sz w:val="20"/>
                <w:szCs w:val="20"/>
              </w:rPr>
              <w:t xml:space="preserve"> able to communicate. It offers a wide range of curriculum</w:t>
            </w:r>
            <w:r w:rsidR="003E5DC9" w:rsidRPr="00330EE8">
              <w:rPr>
                <w:rFonts w:cstheme="minorHAnsi"/>
                <w:sz w:val="20"/>
                <w:szCs w:val="20"/>
              </w:rPr>
              <w:t>-</w:t>
            </w:r>
            <w:r w:rsidRPr="00330EE8">
              <w:rPr>
                <w:rFonts w:cstheme="minorHAnsi"/>
                <w:sz w:val="20"/>
                <w:szCs w:val="20"/>
              </w:rPr>
              <w:t>based resources and supplementary information to support teachers. 14</w:t>
            </w:r>
            <w:r w:rsidR="00A23C94" w:rsidRPr="00330EE8">
              <w:rPr>
                <w:rFonts w:cstheme="minorHAnsi"/>
                <w:sz w:val="20"/>
                <w:szCs w:val="20"/>
              </w:rPr>
              <w:t xml:space="preserve"> Government </w:t>
            </w:r>
            <w:r w:rsidR="004E558F" w:rsidRPr="00330EE8">
              <w:rPr>
                <w:rFonts w:cstheme="minorHAnsi"/>
                <w:sz w:val="20"/>
                <w:szCs w:val="20"/>
              </w:rPr>
              <w:t>c</w:t>
            </w:r>
            <w:r w:rsidRPr="00330EE8">
              <w:rPr>
                <w:rFonts w:cstheme="minorHAnsi"/>
                <w:sz w:val="20"/>
                <w:szCs w:val="20"/>
              </w:rPr>
              <w:t xml:space="preserve">olleges </w:t>
            </w:r>
            <w:r w:rsidR="006D78EE" w:rsidRPr="00330EE8">
              <w:rPr>
                <w:rFonts w:cstheme="minorHAnsi"/>
                <w:sz w:val="20"/>
                <w:szCs w:val="20"/>
              </w:rPr>
              <w:t xml:space="preserve">(58%) </w:t>
            </w:r>
            <w:r w:rsidR="000A6BEB" w:rsidRPr="00330EE8">
              <w:rPr>
                <w:rFonts w:cstheme="minorHAnsi"/>
                <w:sz w:val="20"/>
                <w:szCs w:val="20"/>
              </w:rPr>
              <w:t>continue to</w:t>
            </w:r>
            <w:r w:rsidRPr="00330EE8">
              <w:rPr>
                <w:rFonts w:cstheme="minorHAnsi"/>
                <w:sz w:val="20"/>
                <w:szCs w:val="20"/>
              </w:rPr>
              <w:t xml:space="preserve"> us</w:t>
            </w:r>
            <w:r w:rsidR="000A6BEB" w:rsidRPr="00330EE8">
              <w:rPr>
                <w:rFonts w:cstheme="minorHAnsi"/>
                <w:sz w:val="20"/>
                <w:szCs w:val="20"/>
              </w:rPr>
              <w:t>e</w:t>
            </w:r>
            <w:r w:rsidRPr="00330EE8">
              <w:rPr>
                <w:rFonts w:cstheme="minorHAnsi"/>
                <w:sz w:val="20"/>
                <w:szCs w:val="20"/>
              </w:rPr>
              <w:t xml:space="preserve"> Moodle as their primary Learning Management platform.</w:t>
            </w:r>
            <w:r w:rsidR="00DC0BCB" w:rsidRPr="00330EE8">
              <w:rPr>
                <w:rFonts w:cstheme="minorHAnsi"/>
                <w:sz w:val="20"/>
                <w:szCs w:val="20"/>
              </w:rPr>
              <w:t xml:space="preserve"> </w:t>
            </w:r>
            <w:r w:rsidRPr="00330EE8">
              <w:rPr>
                <w:rFonts w:cstheme="minorHAnsi"/>
                <w:sz w:val="20"/>
                <w:szCs w:val="20"/>
              </w:rPr>
              <w:t xml:space="preserve">1,857 teachers </w:t>
            </w:r>
            <w:r w:rsidR="006D78EE" w:rsidRPr="00330EE8">
              <w:rPr>
                <w:rFonts w:cstheme="minorHAnsi"/>
                <w:sz w:val="20"/>
                <w:szCs w:val="20"/>
              </w:rPr>
              <w:t xml:space="preserve">(74%) </w:t>
            </w:r>
            <w:r w:rsidRPr="00330EE8">
              <w:rPr>
                <w:rFonts w:cstheme="minorHAnsi"/>
                <w:sz w:val="20"/>
                <w:szCs w:val="20"/>
              </w:rPr>
              <w:t>have registered and are notably active on the</w:t>
            </w:r>
            <w:r w:rsidR="00D04C04" w:rsidRPr="00330EE8">
              <w:rPr>
                <w:rFonts w:cstheme="minorHAnsi"/>
                <w:sz w:val="20"/>
                <w:szCs w:val="20"/>
              </w:rPr>
              <w:t xml:space="preserve"> </w:t>
            </w:r>
            <w:r w:rsidRPr="00330EE8">
              <w:rPr>
                <w:rFonts w:cstheme="minorHAnsi"/>
                <w:sz w:val="20"/>
                <w:szCs w:val="20"/>
              </w:rPr>
              <w:t>Moodle platform.</w:t>
            </w:r>
          </w:p>
        </w:tc>
      </w:tr>
      <w:tr w:rsidR="00330EE8" w:rsidRPr="00330EE8" w14:paraId="73834AF4" w14:textId="77777777" w:rsidTr="007A4493">
        <w:trPr>
          <w:tblHeader/>
        </w:trPr>
        <w:tc>
          <w:tcPr>
            <w:tcW w:w="4390" w:type="dxa"/>
          </w:tcPr>
          <w:p w14:paraId="35582AD6" w14:textId="0EDF7625" w:rsidR="00645A38" w:rsidRPr="00330EE8" w:rsidRDefault="00645A38" w:rsidP="0055356D">
            <w:pPr>
              <w:tabs>
                <w:tab w:val="left" w:pos="6201"/>
              </w:tabs>
              <w:spacing w:before="60"/>
              <w:ind w:left="96"/>
              <w:rPr>
                <w:rFonts w:cstheme="minorHAnsi"/>
                <w:sz w:val="20"/>
                <w:szCs w:val="20"/>
              </w:rPr>
            </w:pPr>
            <w:r w:rsidRPr="00330EE8">
              <w:rPr>
                <w:rFonts w:cstheme="minorHAnsi"/>
                <w:sz w:val="20"/>
                <w:szCs w:val="20"/>
              </w:rPr>
              <w:t xml:space="preserve">Number (and nature) of instances of improved policies and/or measures that seek to improve education quality for all </w:t>
            </w:r>
          </w:p>
        </w:tc>
        <w:tc>
          <w:tcPr>
            <w:tcW w:w="6146" w:type="dxa"/>
          </w:tcPr>
          <w:p w14:paraId="6E183193" w14:textId="0B25C030" w:rsidR="00422ED9" w:rsidRPr="00330EE8" w:rsidRDefault="009E092D" w:rsidP="0055356D">
            <w:pPr>
              <w:tabs>
                <w:tab w:val="left" w:pos="6201"/>
              </w:tabs>
              <w:spacing w:before="60"/>
              <w:ind w:left="96"/>
              <w:rPr>
                <w:rFonts w:cstheme="minorHAnsi"/>
                <w:sz w:val="20"/>
                <w:szCs w:val="20"/>
              </w:rPr>
            </w:pPr>
            <w:r w:rsidRPr="00330EE8">
              <w:rPr>
                <w:rFonts w:cstheme="minorHAnsi"/>
                <w:sz w:val="20"/>
                <w:szCs w:val="20"/>
              </w:rPr>
              <w:t>A new ICT sector policy, finalised awaiting ESSP support in the May ESWG meeting, that comprises an Education Sector ICT Digital Strategic Framework and an Education Sector Information Management Policy Framework and which together will facilitate increases access to good quality education and training opportunities</w:t>
            </w:r>
            <w:r w:rsidR="00B362A2" w:rsidRPr="00330EE8">
              <w:rPr>
                <w:rFonts w:cstheme="minorHAnsi"/>
                <w:sz w:val="20"/>
                <w:szCs w:val="20"/>
              </w:rPr>
              <w:t>.</w:t>
            </w:r>
            <w:r w:rsidRPr="00330EE8">
              <w:rPr>
                <w:rFonts w:cstheme="minorHAnsi"/>
                <w:sz w:val="20"/>
                <w:szCs w:val="20"/>
              </w:rPr>
              <w:t xml:space="preserve"> </w:t>
            </w:r>
          </w:p>
          <w:p w14:paraId="1270268B" w14:textId="2502C42C" w:rsidR="00645A38" w:rsidRPr="00330EE8" w:rsidRDefault="009E092D" w:rsidP="0055356D">
            <w:pPr>
              <w:tabs>
                <w:tab w:val="left" w:pos="6201"/>
              </w:tabs>
              <w:spacing w:before="60"/>
              <w:ind w:left="96"/>
              <w:rPr>
                <w:rFonts w:cstheme="minorHAnsi"/>
                <w:sz w:val="20"/>
                <w:szCs w:val="20"/>
              </w:rPr>
            </w:pPr>
            <w:r w:rsidRPr="00330EE8">
              <w:rPr>
                <w:rFonts w:cstheme="minorHAnsi"/>
                <w:sz w:val="20"/>
                <w:szCs w:val="20"/>
              </w:rPr>
              <w:lastRenderedPageBreak/>
              <w:t xml:space="preserve">A new Education Sector Climate Change and Disaster Resilience Strategy finalised with ESSP support in Sept 2021 and </w:t>
            </w:r>
            <w:r w:rsidR="00525F4C" w:rsidRPr="00330EE8">
              <w:rPr>
                <w:rFonts w:cstheme="minorHAnsi"/>
                <w:sz w:val="20"/>
                <w:szCs w:val="20"/>
              </w:rPr>
              <w:t xml:space="preserve">was </w:t>
            </w:r>
            <w:r w:rsidRPr="00330EE8">
              <w:rPr>
                <w:rFonts w:cstheme="minorHAnsi"/>
                <w:sz w:val="20"/>
                <w:szCs w:val="20"/>
              </w:rPr>
              <w:t xml:space="preserve">due to be endorsed by the ESAC in Jan </w:t>
            </w:r>
            <w:proofErr w:type="gramStart"/>
            <w:r w:rsidRPr="00330EE8">
              <w:rPr>
                <w:rFonts w:cstheme="minorHAnsi"/>
                <w:sz w:val="20"/>
                <w:szCs w:val="20"/>
              </w:rPr>
              <w:t>2022</w:t>
            </w:r>
            <w:proofErr w:type="gramEnd"/>
            <w:r w:rsidRPr="00330EE8">
              <w:rPr>
                <w:rFonts w:cstheme="minorHAnsi"/>
                <w:sz w:val="20"/>
                <w:szCs w:val="20"/>
              </w:rPr>
              <w:t xml:space="preserve"> but the meeting was postponed due to lockdown</w:t>
            </w:r>
            <w:r w:rsidR="00475F3F" w:rsidRPr="00330EE8">
              <w:rPr>
                <w:rFonts w:cstheme="minorHAnsi"/>
                <w:sz w:val="20"/>
                <w:szCs w:val="20"/>
              </w:rPr>
              <w:t>.</w:t>
            </w:r>
          </w:p>
        </w:tc>
      </w:tr>
      <w:tr w:rsidR="00330EE8" w:rsidRPr="00330EE8" w14:paraId="6D2F8A97" w14:textId="77777777" w:rsidTr="007A4493">
        <w:trPr>
          <w:tblHeader/>
        </w:trPr>
        <w:tc>
          <w:tcPr>
            <w:tcW w:w="4390" w:type="dxa"/>
          </w:tcPr>
          <w:p w14:paraId="4B974789" w14:textId="2CE0B726" w:rsidR="00645A38" w:rsidRPr="00330EE8" w:rsidRDefault="00645A38" w:rsidP="00D94837">
            <w:pPr>
              <w:tabs>
                <w:tab w:val="left" w:pos="6201"/>
              </w:tabs>
              <w:spacing w:before="0" w:after="0"/>
              <w:rPr>
                <w:rFonts w:cstheme="minorHAnsi"/>
                <w:sz w:val="20"/>
                <w:szCs w:val="20"/>
              </w:rPr>
            </w:pPr>
            <w:r w:rsidRPr="00330EE8">
              <w:rPr>
                <w:rFonts w:cstheme="minorHAnsi"/>
                <w:sz w:val="20"/>
                <w:szCs w:val="20"/>
              </w:rPr>
              <w:lastRenderedPageBreak/>
              <w:t xml:space="preserve">Number (and nature) of instances of improved food security-related policies and/or measures, including farmer resilience under climate change conditions and market challenges </w:t>
            </w:r>
          </w:p>
        </w:tc>
        <w:tc>
          <w:tcPr>
            <w:tcW w:w="6146" w:type="dxa"/>
          </w:tcPr>
          <w:p w14:paraId="60C44187" w14:textId="6660A44E" w:rsidR="00EC406D" w:rsidRPr="00330EE8" w:rsidRDefault="00EC406D" w:rsidP="00EC406D">
            <w:pPr>
              <w:rPr>
                <w:rFonts w:cstheme="minorHAnsi"/>
                <w:sz w:val="20"/>
                <w:szCs w:val="20"/>
              </w:rPr>
            </w:pPr>
            <w:r w:rsidRPr="00330EE8">
              <w:rPr>
                <w:rFonts w:cstheme="minorHAnsi"/>
                <w:sz w:val="20"/>
                <w:szCs w:val="20"/>
              </w:rPr>
              <w:t>No data is available against this indictor as there were no bilateral investments covering this area in 2021-22.</w:t>
            </w:r>
          </w:p>
          <w:p w14:paraId="05A02EC9" w14:textId="2284EEA7" w:rsidR="00645A38" w:rsidRPr="00330EE8" w:rsidRDefault="00645A38" w:rsidP="00D94837">
            <w:pPr>
              <w:tabs>
                <w:tab w:val="left" w:pos="6201"/>
              </w:tabs>
              <w:spacing w:before="0" w:after="0"/>
              <w:ind w:left="100"/>
              <w:rPr>
                <w:rFonts w:cstheme="minorHAnsi"/>
                <w:i/>
                <w:iCs/>
                <w:sz w:val="20"/>
                <w:szCs w:val="20"/>
                <w:lang w:val="en-AU"/>
              </w:rPr>
            </w:pPr>
          </w:p>
        </w:tc>
      </w:tr>
    </w:tbl>
    <w:p w14:paraId="3F2619AB" w14:textId="089109EB" w:rsidR="00AE2B7B" w:rsidRPr="00330EE8" w:rsidRDefault="00AE2B7B" w:rsidP="00D914E4">
      <w:pPr>
        <w:pStyle w:val="Heading3"/>
      </w:pPr>
      <w:r w:rsidRPr="00330EE8">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330EE8" w:rsidRPr="00330EE8" w14:paraId="6541DEB5" w14:textId="77777777" w:rsidTr="0055356D">
        <w:tc>
          <w:tcPr>
            <w:tcW w:w="4390" w:type="dxa"/>
            <w:shd w:val="clear" w:color="auto" w:fill="A2DCD1" w:themeFill="accent1" w:themeFillTint="99"/>
            <w:vAlign w:val="bottom"/>
          </w:tcPr>
          <w:p w14:paraId="7B68B645" w14:textId="39A83BEA" w:rsidR="00CA5021" w:rsidRPr="00330EE8" w:rsidRDefault="00A96364" w:rsidP="00D94837">
            <w:pPr>
              <w:widowControl w:val="0"/>
              <w:tabs>
                <w:tab w:val="left" w:pos="6201"/>
              </w:tabs>
              <w:spacing w:before="0" w:after="0" w:line="240" w:lineRule="auto"/>
              <w:jc w:val="center"/>
              <w:rPr>
                <w:rFonts w:cstheme="minorHAnsi"/>
                <w:sz w:val="20"/>
                <w:szCs w:val="20"/>
              </w:rPr>
            </w:pPr>
            <w:r w:rsidRPr="00330EE8">
              <w:rPr>
                <w:rFonts w:cstheme="minorHAnsi"/>
                <w:b/>
                <w:sz w:val="20"/>
                <w:szCs w:val="20"/>
              </w:rPr>
              <w:t xml:space="preserve">Key Results </w:t>
            </w:r>
            <w:r w:rsidR="00CA5021" w:rsidRPr="00330EE8">
              <w:rPr>
                <w:rFonts w:cstheme="minorHAnsi"/>
                <w:b/>
                <w:sz w:val="20"/>
                <w:szCs w:val="20"/>
              </w:rPr>
              <w:t>Indicator</w:t>
            </w:r>
            <w:r w:rsidRPr="00330EE8">
              <w:rPr>
                <w:rFonts w:cstheme="minorHAnsi"/>
                <w:b/>
                <w:sz w:val="20"/>
                <w:szCs w:val="20"/>
              </w:rPr>
              <w:t>s</w:t>
            </w:r>
          </w:p>
        </w:tc>
        <w:tc>
          <w:tcPr>
            <w:tcW w:w="6146" w:type="dxa"/>
            <w:shd w:val="clear" w:color="auto" w:fill="A2DCD1" w:themeFill="accent1" w:themeFillTint="99"/>
            <w:vAlign w:val="bottom"/>
          </w:tcPr>
          <w:p w14:paraId="7B256934" w14:textId="69DE6F90" w:rsidR="00CA5021" w:rsidRPr="00330EE8" w:rsidRDefault="00AD19F7" w:rsidP="00D94837">
            <w:pPr>
              <w:widowControl w:val="0"/>
              <w:tabs>
                <w:tab w:val="left" w:pos="6201"/>
              </w:tabs>
              <w:spacing w:before="0" w:after="0" w:line="240" w:lineRule="auto"/>
              <w:jc w:val="center"/>
              <w:rPr>
                <w:rFonts w:cstheme="minorHAnsi"/>
                <w:sz w:val="20"/>
                <w:szCs w:val="20"/>
              </w:rPr>
            </w:pPr>
            <w:r w:rsidRPr="00330EE8">
              <w:rPr>
                <w:rFonts w:cstheme="minorHAnsi"/>
                <w:b/>
                <w:sz w:val="20"/>
                <w:szCs w:val="20"/>
              </w:rPr>
              <w:t>Progress/Result</w:t>
            </w:r>
          </w:p>
        </w:tc>
      </w:tr>
      <w:tr w:rsidR="00330EE8" w:rsidRPr="00330EE8" w14:paraId="564E6F58" w14:textId="77777777" w:rsidTr="007A4493">
        <w:trPr>
          <w:tblHeader/>
        </w:trPr>
        <w:tc>
          <w:tcPr>
            <w:tcW w:w="4390" w:type="dxa"/>
          </w:tcPr>
          <w:p w14:paraId="234C1CE4" w14:textId="38FD0B8C" w:rsidR="00645A38" w:rsidRPr="00330EE8" w:rsidRDefault="00645A38" w:rsidP="0055356D">
            <w:pPr>
              <w:tabs>
                <w:tab w:val="left" w:pos="6201"/>
              </w:tabs>
              <w:spacing w:before="60"/>
              <w:ind w:left="96"/>
              <w:rPr>
                <w:rFonts w:cstheme="minorHAnsi"/>
                <w:sz w:val="20"/>
                <w:szCs w:val="20"/>
              </w:rPr>
            </w:pPr>
            <w:r w:rsidRPr="00330EE8">
              <w:rPr>
                <w:rFonts w:cstheme="minorHAnsi"/>
                <w:sz w:val="20"/>
                <w:szCs w:val="20"/>
              </w:rPr>
              <w:t>Number (and nature) of instances of the Government of Samoa having adopted responsible and evidence-informed fiscal and economic measures that mitigate the impacts of COVID-19</w:t>
            </w:r>
          </w:p>
        </w:tc>
        <w:tc>
          <w:tcPr>
            <w:tcW w:w="6146" w:type="dxa"/>
          </w:tcPr>
          <w:p w14:paraId="3418E908" w14:textId="5CEE80B8" w:rsidR="00937065" w:rsidRPr="0022531C" w:rsidRDefault="00937065" w:rsidP="0022531C">
            <w:pPr>
              <w:tabs>
                <w:tab w:val="left" w:pos="6201"/>
              </w:tabs>
              <w:spacing w:before="60"/>
              <w:ind w:left="96"/>
              <w:rPr>
                <w:rFonts w:cstheme="minorHAnsi"/>
                <w:sz w:val="20"/>
                <w:szCs w:val="20"/>
              </w:rPr>
            </w:pPr>
            <w:r w:rsidRPr="0022531C">
              <w:rPr>
                <w:rFonts w:cstheme="minorHAnsi"/>
                <w:sz w:val="20"/>
                <w:szCs w:val="20"/>
              </w:rPr>
              <w:t>Australia’s budget support through the multi-donor Joint Policy Action Matrix incentivise</w:t>
            </w:r>
            <w:r w:rsidR="009976E5" w:rsidRPr="0022531C">
              <w:rPr>
                <w:rFonts w:cstheme="minorHAnsi"/>
                <w:sz w:val="20"/>
                <w:szCs w:val="20"/>
              </w:rPr>
              <w:t>d</w:t>
            </w:r>
            <w:r w:rsidRPr="0022531C">
              <w:rPr>
                <w:rFonts w:cstheme="minorHAnsi"/>
                <w:sz w:val="20"/>
                <w:szCs w:val="20"/>
              </w:rPr>
              <w:t xml:space="preserve"> </w:t>
            </w:r>
            <w:proofErr w:type="gramStart"/>
            <w:r w:rsidRPr="0022531C">
              <w:rPr>
                <w:rFonts w:cstheme="minorHAnsi"/>
                <w:sz w:val="20"/>
                <w:szCs w:val="20"/>
              </w:rPr>
              <w:t>a number of</w:t>
            </w:r>
            <w:proofErr w:type="gramEnd"/>
            <w:r w:rsidRPr="0022531C">
              <w:rPr>
                <w:rFonts w:cstheme="minorHAnsi"/>
                <w:sz w:val="20"/>
                <w:szCs w:val="20"/>
              </w:rPr>
              <w:t xml:space="preserve"> key reforms critical to addressing the fiscal and social impacts of the COVID-19 pandemic. These included:</w:t>
            </w:r>
          </w:p>
          <w:p w14:paraId="471B6DCD" w14:textId="77777777" w:rsidR="005F176A" w:rsidRPr="00330EE8" w:rsidRDefault="005F176A" w:rsidP="0022531C">
            <w:pPr>
              <w:pStyle w:val="ListParagraph"/>
              <w:numPr>
                <w:ilvl w:val="0"/>
                <w:numId w:val="41"/>
              </w:numPr>
              <w:tabs>
                <w:tab w:val="left" w:pos="6201"/>
              </w:tabs>
              <w:spacing w:before="60"/>
              <w:rPr>
                <w:rFonts w:cstheme="minorHAnsi"/>
                <w:sz w:val="20"/>
                <w:szCs w:val="20"/>
              </w:rPr>
            </w:pPr>
            <w:r w:rsidRPr="00330EE8">
              <w:rPr>
                <w:rFonts w:cstheme="minorHAnsi"/>
                <w:sz w:val="20"/>
                <w:szCs w:val="20"/>
              </w:rPr>
              <w:t>The introduction of a social protection framework (details under stability).</w:t>
            </w:r>
          </w:p>
          <w:p w14:paraId="5A50515E" w14:textId="42DA52D7" w:rsidR="00020E63" w:rsidRPr="0022531C" w:rsidRDefault="005F176A" w:rsidP="0022531C">
            <w:pPr>
              <w:pStyle w:val="ListParagraph"/>
              <w:numPr>
                <w:ilvl w:val="0"/>
                <w:numId w:val="41"/>
              </w:numPr>
              <w:tabs>
                <w:tab w:val="left" w:pos="6201"/>
              </w:tabs>
              <w:spacing w:before="60"/>
              <w:rPr>
                <w:rFonts w:cstheme="minorHAnsi"/>
                <w:sz w:val="20"/>
                <w:szCs w:val="20"/>
              </w:rPr>
            </w:pPr>
            <w:r w:rsidRPr="00330EE8">
              <w:rPr>
                <w:rFonts w:cstheme="minorHAnsi"/>
                <w:sz w:val="20"/>
                <w:szCs w:val="20"/>
              </w:rPr>
              <w:t xml:space="preserve">An electronic Tax Invoice Monitoring System (TIMS) implemented throughout the business community, which ensures businesses are complying with taxation obligations has improved tax compliance and revenue inflows. A Ministry of Customs and Revenue initial impact assessment indicates an increase of around 1-2 per cent on revenue collections, thereby supporting </w:t>
            </w:r>
            <w:proofErr w:type="spellStart"/>
            <w:r w:rsidRPr="00330EE8">
              <w:rPr>
                <w:rFonts w:cstheme="minorHAnsi"/>
                <w:sz w:val="20"/>
                <w:szCs w:val="20"/>
              </w:rPr>
              <w:t>GoS</w:t>
            </w:r>
            <w:proofErr w:type="spellEnd"/>
            <w:r w:rsidRPr="00330EE8">
              <w:rPr>
                <w:rFonts w:cstheme="minorHAnsi"/>
                <w:sz w:val="20"/>
                <w:szCs w:val="20"/>
              </w:rPr>
              <w:t xml:space="preserve"> maximise revenue, which has significantly decreased </w:t>
            </w:r>
            <w:proofErr w:type="gramStart"/>
            <w:r w:rsidRPr="00330EE8">
              <w:rPr>
                <w:rFonts w:cstheme="minorHAnsi"/>
                <w:sz w:val="20"/>
                <w:szCs w:val="20"/>
              </w:rPr>
              <w:t>as a result of</w:t>
            </w:r>
            <w:proofErr w:type="gramEnd"/>
            <w:r w:rsidRPr="00330EE8">
              <w:rPr>
                <w:rFonts w:cstheme="minorHAnsi"/>
                <w:sz w:val="20"/>
                <w:szCs w:val="20"/>
              </w:rPr>
              <w:t xml:space="preserve"> the COVID-19 pandemic.</w:t>
            </w:r>
          </w:p>
        </w:tc>
      </w:tr>
      <w:tr w:rsidR="00330EE8" w:rsidRPr="00330EE8" w14:paraId="1EAE2D66" w14:textId="77777777" w:rsidTr="007A4493">
        <w:trPr>
          <w:tblHeader/>
        </w:trPr>
        <w:tc>
          <w:tcPr>
            <w:tcW w:w="4390" w:type="dxa"/>
          </w:tcPr>
          <w:p w14:paraId="65838CB2" w14:textId="5EB0DAD1" w:rsidR="00645A38" w:rsidRPr="00330EE8" w:rsidRDefault="00645A38" w:rsidP="0055356D">
            <w:pPr>
              <w:tabs>
                <w:tab w:val="left" w:pos="6201"/>
              </w:tabs>
              <w:spacing w:before="60"/>
              <w:ind w:left="96"/>
              <w:rPr>
                <w:rFonts w:cstheme="minorHAnsi"/>
                <w:sz w:val="20"/>
                <w:szCs w:val="20"/>
              </w:rPr>
            </w:pPr>
            <w:r w:rsidRPr="00330EE8">
              <w:rPr>
                <w:rFonts w:cstheme="minorHAnsi"/>
                <w:sz w:val="20"/>
                <w:szCs w:val="20"/>
              </w:rPr>
              <w:t xml:space="preserve">Number (and nature) of instances of the Government of Samoa having adopted responsible and evidence-informed fiscal and economic measures that support inclusive growth and resilience </w:t>
            </w:r>
          </w:p>
        </w:tc>
        <w:tc>
          <w:tcPr>
            <w:tcW w:w="6146" w:type="dxa"/>
          </w:tcPr>
          <w:p w14:paraId="02B96D99" w14:textId="60E5BBA9" w:rsidR="00645A38" w:rsidRPr="00330EE8" w:rsidRDefault="00AE263D" w:rsidP="0055356D">
            <w:pPr>
              <w:tabs>
                <w:tab w:val="left" w:pos="6201"/>
              </w:tabs>
              <w:spacing w:before="60"/>
              <w:ind w:left="96"/>
              <w:rPr>
                <w:rFonts w:cstheme="minorHAnsi"/>
                <w:sz w:val="20"/>
                <w:szCs w:val="20"/>
              </w:rPr>
            </w:pPr>
            <w:r w:rsidRPr="00330EE8">
              <w:rPr>
                <w:rFonts w:cstheme="minorHAnsi"/>
                <w:sz w:val="20"/>
                <w:szCs w:val="20"/>
              </w:rPr>
              <w:t xml:space="preserve">In the last 12 months, </w:t>
            </w:r>
            <w:r w:rsidR="00C16142" w:rsidRPr="00330EE8">
              <w:rPr>
                <w:rFonts w:cstheme="minorHAnsi"/>
                <w:sz w:val="20"/>
                <w:szCs w:val="20"/>
              </w:rPr>
              <w:t xml:space="preserve">our </w:t>
            </w:r>
            <w:r w:rsidRPr="00330EE8">
              <w:rPr>
                <w:rFonts w:cstheme="minorHAnsi"/>
                <w:sz w:val="20"/>
                <w:szCs w:val="20"/>
              </w:rPr>
              <w:t xml:space="preserve">contribution to the World Bank led Enhanced Road Access Project funded the completion and opening of two new bridges on the main island of Upolu. The </w:t>
            </w:r>
            <w:proofErr w:type="spellStart"/>
            <w:r w:rsidRPr="00330EE8">
              <w:rPr>
                <w:rFonts w:cstheme="minorHAnsi"/>
                <w:sz w:val="20"/>
                <w:szCs w:val="20"/>
              </w:rPr>
              <w:t>Aia</w:t>
            </w:r>
            <w:proofErr w:type="spellEnd"/>
            <w:r w:rsidRPr="00330EE8">
              <w:rPr>
                <w:rFonts w:cstheme="minorHAnsi"/>
                <w:sz w:val="20"/>
                <w:szCs w:val="20"/>
              </w:rPr>
              <w:t xml:space="preserve"> and </w:t>
            </w:r>
            <w:proofErr w:type="spellStart"/>
            <w:r w:rsidRPr="00330EE8">
              <w:rPr>
                <w:rFonts w:cstheme="minorHAnsi"/>
                <w:sz w:val="20"/>
                <w:szCs w:val="20"/>
              </w:rPr>
              <w:t>Nu’usuatia</w:t>
            </w:r>
            <w:proofErr w:type="spellEnd"/>
            <w:r w:rsidRPr="00330EE8">
              <w:rPr>
                <w:rFonts w:cstheme="minorHAnsi"/>
                <w:sz w:val="20"/>
                <w:szCs w:val="20"/>
              </w:rPr>
              <w:t xml:space="preserve"> bridges have been built at transport junctions and will support continuity in the movement of goods and services within the country and ensure transport pathways are open that support economic growth and greater resilience. Investment in these infrastructure projects has created jobs and economic opportunities for local business and </w:t>
            </w:r>
            <w:proofErr w:type="gramStart"/>
            <w:r w:rsidRPr="00330EE8">
              <w:rPr>
                <w:rFonts w:cstheme="minorHAnsi"/>
                <w:sz w:val="20"/>
                <w:szCs w:val="20"/>
              </w:rPr>
              <w:t>worker, and</w:t>
            </w:r>
            <w:proofErr w:type="gramEnd"/>
            <w:r w:rsidRPr="00330EE8">
              <w:rPr>
                <w:rFonts w:cstheme="minorHAnsi"/>
                <w:sz w:val="20"/>
                <w:szCs w:val="20"/>
              </w:rPr>
              <w:t xml:space="preserve"> is an important element in supporting Samoa’s pathway to economic recovery from the effects of COVID-19.</w:t>
            </w:r>
          </w:p>
        </w:tc>
      </w:tr>
      <w:tr w:rsidR="00330EE8" w:rsidRPr="00330EE8" w14:paraId="4DF45926" w14:textId="77777777" w:rsidTr="00194D1D">
        <w:trPr>
          <w:tblHeader/>
        </w:trPr>
        <w:tc>
          <w:tcPr>
            <w:tcW w:w="4390" w:type="dxa"/>
          </w:tcPr>
          <w:p w14:paraId="0B1E2DC4" w14:textId="41C75F6A" w:rsidR="00645A38" w:rsidRPr="00330EE8" w:rsidRDefault="00645A38" w:rsidP="0055356D">
            <w:pPr>
              <w:tabs>
                <w:tab w:val="left" w:pos="6201"/>
              </w:tabs>
              <w:spacing w:before="60"/>
              <w:ind w:left="96"/>
              <w:rPr>
                <w:rFonts w:cstheme="minorHAnsi"/>
                <w:sz w:val="20"/>
                <w:szCs w:val="20"/>
              </w:rPr>
            </w:pPr>
            <w:r w:rsidRPr="00330EE8">
              <w:rPr>
                <w:rFonts w:cstheme="minorHAnsi"/>
                <w:sz w:val="20"/>
                <w:szCs w:val="20"/>
              </w:rPr>
              <w:t xml:space="preserve">Number of people supported to have raised incomes and better jobs or livelihoods </w:t>
            </w:r>
          </w:p>
        </w:tc>
        <w:tc>
          <w:tcPr>
            <w:tcW w:w="6146" w:type="dxa"/>
            <w:shd w:val="clear" w:color="auto" w:fill="auto"/>
          </w:tcPr>
          <w:p w14:paraId="1FCE71E6" w14:textId="237E93FA" w:rsidR="00645A38" w:rsidRPr="00330EE8" w:rsidRDefault="00B42B9B" w:rsidP="0055356D">
            <w:pPr>
              <w:tabs>
                <w:tab w:val="left" w:pos="6201"/>
              </w:tabs>
              <w:spacing w:before="60"/>
              <w:ind w:left="96"/>
              <w:rPr>
                <w:rFonts w:cstheme="minorHAnsi"/>
                <w:sz w:val="20"/>
                <w:szCs w:val="20"/>
              </w:rPr>
            </w:pPr>
            <w:r w:rsidRPr="00330EE8">
              <w:rPr>
                <w:rFonts w:cstheme="minorHAnsi"/>
                <w:sz w:val="20"/>
                <w:szCs w:val="20"/>
              </w:rPr>
              <w:t>314 APTC Graduates upskilled with qualifications including construction, plumbing, counselling, International Skills Training and Commercial Cookery</w:t>
            </w:r>
          </w:p>
        </w:tc>
      </w:tr>
      <w:tr w:rsidR="00330EE8" w:rsidRPr="00330EE8" w14:paraId="51A15CF9" w14:textId="77777777" w:rsidTr="007A4493">
        <w:trPr>
          <w:tblHeader/>
        </w:trPr>
        <w:tc>
          <w:tcPr>
            <w:tcW w:w="4390" w:type="dxa"/>
          </w:tcPr>
          <w:p w14:paraId="3C75C9F9" w14:textId="18A43708" w:rsidR="00645A38" w:rsidRPr="00330EE8" w:rsidRDefault="00645A38" w:rsidP="0055356D">
            <w:pPr>
              <w:tabs>
                <w:tab w:val="left" w:pos="6201"/>
              </w:tabs>
              <w:spacing w:before="60"/>
              <w:ind w:left="96"/>
              <w:rPr>
                <w:rFonts w:cstheme="minorHAnsi"/>
                <w:sz w:val="20"/>
                <w:szCs w:val="20"/>
              </w:rPr>
            </w:pPr>
            <w:r w:rsidRPr="00330EE8">
              <w:rPr>
                <w:rFonts w:cstheme="minorHAnsi"/>
                <w:sz w:val="20"/>
                <w:szCs w:val="20"/>
              </w:rPr>
              <w:t>Examples of partnering with the private sector and other partners to ensure supply lines are open</w:t>
            </w:r>
          </w:p>
        </w:tc>
        <w:tc>
          <w:tcPr>
            <w:tcW w:w="6146" w:type="dxa"/>
          </w:tcPr>
          <w:p w14:paraId="0DD22350" w14:textId="117B9A15" w:rsidR="00645A38" w:rsidRPr="00330EE8" w:rsidRDefault="00EC406D" w:rsidP="0055356D">
            <w:pPr>
              <w:tabs>
                <w:tab w:val="left" w:pos="6201"/>
              </w:tabs>
              <w:spacing w:before="60"/>
              <w:ind w:left="96"/>
              <w:rPr>
                <w:rFonts w:cstheme="minorHAnsi"/>
                <w:sz w:val="20"/>
                <w:szCs w:val="20"/>
              </w:rPr>
            </w:pPr>
            <w:r w:rsidRPr="00330EE8">
              <w:rPr>
                <w:rFonts w:cstheme="minorHAnsi"/>
                <w:sz w:val="20"/>
                <w:szCs w:val="20"/>
              </w:rPr>
              <w:t>No data is available against this indictor as there were no bilateral investments covering this area in 2021-22.</w:t>
            </w:r>
          </w:p>
        </w:tc>
      </w:tr>
      <w:tr w:rsidR="00330EE8" w:rsidRPr="00330EE8" w14:paraId="6BA3C790" w14:textId="77777777" w:rsidTr="007A4493">
        <w:trPr>
          <w:tblHeader/>
        </w:trPr>
        <w:tc>
          <w:tcPr>
            <w:tcW w:w="4390" w:type="dxa"/>
          </w:tcPr>
          <w:p w14:paraId="172439FC" w14:textId="052BD734" w:rsidR="00645A38" w:rsidRPr="00330EE8" w:rsidRDefault="00645A38" w:rsidP="0055356D">
            <w:pPr>
              <w:tabs>
                <w:tab w:val="left" w:pos="6201"/>
              </w:tabs>
              <w:spacing w:before="60"/>
              <w:ind w:left="96"/>
              <w:rPr>
                <w:rFonts w:cstheme="minorHAnsi"/>
                <w:sz w:val="20"/>
                <w:szCs w:val="20"/>
              </w:rPr>
            </w:pPr>
            <w:r w:rsidRPr="00330EE8">
              <w:rPr>
                <w:rFonts w:cstheme="minorHAnsi"/>
                <w:sz w:val="20"/>
                <w:szCs w:val="20"/>
              </w:rPr>
              <w:t>Australian budget support as a per centage of the partner country’s domestic revenue</w:t>
            </w:r>
          </w:p>
        </w:tc>
        <w:tc>
          <w:tcPr>
            <w:tcW w:w="6146" w:type="dxa"/>
          </w:tcPr>
          <w:p w14:paraId="63D13324" w14:textId="7705F1CC" w:rsidR="00645A38" w:rsidRPr="00330EE8" w:rsidRDefault="00AD3CF3" w:rsidP="0055356D">
            <w:pPr>
              <w:tabs>
                <w:tab w:val="left" w:pos="6201"/>
              </w:tabs>
              <w:spacing w:before="60"/>
              <w:ind w:left="96"/>
              <w:rPr>
                <w:rFonts w:cstheme="minorHAnsi"/>
                <w:sz w:val="20"/>
                <w:szCs w:val="20"/>
              </w:rPr>
            </w:pPr>
            <w:r w:rsidRPr="00330EE8">
              <w:rPr>
                <w:rFonts w:cstheme="minorHAnsi"/>
                <w:sz w:val="20"/>
                <w:szCs w:val="20"/>
              </w:rPr>
              <w:t>Australia provided budget support to the amount of 6.91 per cent of total domestic revenue in 2020-21.</w:t>
            </w:r>
          </w:p>
        </w:tc>
      </w:tr>
    </w:tbl>
    <w:p w14:paraId="2F13E6BA" w14:textId="77777777" w:rsidR="008A6BB7" w:rsidRPr="00330EE8" w:rsidRDefault="008A6BB7" w:rsidP="00D914E4">
      <w:pPr>
        <w:pStyle w:val="Heading2"/>
        <w:sectPr w:rsidR="008A6BB7" w:rsidRPr="00330EE8" w:rsidSect="00952815">
          <w:headerReference w:type="default" r:id="rId10"/>
          <w:footerReference w:type="default" r:id="rId11"/>
          <w:headerReference w:type="first" r:id="rId12"/>
          <w:pgSz w:w="11906" w:h="16838" w:code="9"/>
          <w:pgMar w:top="1559" w:right="680" w:bottom="1418" w:left="680" w:header="567" w:footer="340" w:gutter="0"/>
          <w:cols w:space="397"/>
          <w:docGrid w:linePitch="360"/>
        </w:sectPr>
      </w:pPr>
    </w:p>
    <w:bookmarkEnd w:id="1"/>
    <w:p w14:paraId="06ABEE3D" w14:textId="62B75A66" w:rsidR="00D1231A" w:rsidRPr="00A916BA" w:rsidRDefault="00121DDD" w:rsidP="00D914E4">
      <w:pPr>
        <w:pStyle w:val="Heading2"/>
      </w:pPr>
      <w:r w:rsidRPr="00A916BA">
        <w:lastRenderedPageBreak/>
        <w:t>Annex 2</w:t>
      </w:r>
      <w:r w:rsidR="00D1231A" w:rsidRPr="00A916BA">
        <w:t>: Investment Performance</w:t>
      </w:r>
      <w:r w:rsidR="000F78C9" w:rsidRPr="00A916BA">
        <w:t xml:space="preserve"> ratings</w:t>
      </w:r>
    </w:p>
    <w:tbl>
      <w:tblPr>
        <w:tblStyle w:val="DFATTable1"/>
        <w:tblW w:w="10620"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4"/>
        <w:gridCol w:w="1133"/>
        <w:gridCol w:w="1275"/>
        <w:gridCol w:w="1133"/>
        <w:gridCol w:w="1275"/>
      </w:tblGrid>
      <w:tr w:rsidR="00A916BA" w:rsidRPr="00A916BA" w14:paraId="346A874C" w14:textId="77777777" w:rsidTr="0022531C">
        <w:trPr>
          <w:cnfStyle w:val="100000000000" w:firstRow="1" w:lastRow="0" w:firstColumn="0" w:lastColumn="0" w:oddVBand="0" w:evenVBand="0" w:oddHBand="0" w:evenHBand="0" w:firstRowFirstColumn="0" w:firstRowLastColumn="0" w:lastRowFirstColumn="0" w:lastRowLastColumn="0"/>
          <w:trHeight w:hRule="exact" w:val="550"/>
          <w:tblHead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tcBorders>
            <w:shd w:val="clear" w:color="auto" w:fill="A2DCD1" w:themeFill="accent1" w:themeFillTint="99"/>
            <w:noWrap/>
            <w:vAlign w:val="center"/>
            <w:hideMark/>
          </w:tcPr>
          <w:p w14:paraId="494E9BEC" w14:textId="77777777" w:rsidR="00645A38" w:rsidRPr="00A916BA" w:rsidRDefault="00645A38" w:rsidP="00F15E4B">
            <w:pPr>
              <w:suppressAutoHyphens w:val="0"/>
              <w:spacing w:before="0" w:after="0" w:line="240" w:lineRule="auto"/>
              <w:jc w:val="center"/>
              <w:rPr>
                <w:rFonts w:asciiTheme="minorHAnsi" w:eastAsia="Times New Roman" w:hAnsiTheme="minorHAnsi" w:cstheme="minorHAnsi"/>
                <w:b/>
                <w:bCs/>
                <w:sz w:val="20"/>
                <w:szCs w:val="20"/>
                <w:lang w:val="en-AU" w:eastAsia="en-AU"/>
              </w:rPr>
            </w:pPr>
            <w:r w:rsidRPr="00A916BA">
              <w:rPr>
                <w:rFonts w:asciiTheme="minorHAnsi" w:eastAsia="Times New Roman" w:hAnsiTheme="minorHAnsi" w:cstheme="minorHAnsi"/>
                <w:b/>
                <w:bCs/>
                <w:sz w:val="20"/>
                <w:szCs w:val="20"/>
                <w:lang w:val="en-AU" w:eastAsia="en-AU"/>
              </w:rPr>
              <w:t>Investment Details</w:t>
            </w:r>
          </w:p>
        </w:tc>
        <w:tc>
          <w:tcPr>
            <w:tcW w:w="0" w:type="dxa"/>
            <w:tcBorders>
              <w:top w:val="none" w:sz="0" w:space="0" w:color="auto"/>
            </w:tcBorders>
            <w:shd w:val="clear" w:color="auto" w:fill="A2DCD1" w:themeFill="accent1" w:themeFillTint="99"/>
            <w:noWrap/>
            <w:vAlign w:val="center"/>
            <w:hideMark/>
          </w:tcPr>
          <w:p w14:paraId="67C0951B" w14:textId="77777777" w:rsidR="00645A38" w:rsidRPr="00A916BA" w:rsidRDefault="00645A38" w:rsidP="00F15E4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A916BA">
              <w:rPr>
                <w:rFonts w:asciiTheme="minorHAnsi" w:eastAsia="Times New Roman" w:hAnsiTheme="minorHAnsi" w:cstheme="minorHAnsi"/>
                <w:b/>
                <w:bCs/>
                <w:sz w:val="20"/>
                <w:szCs w:val="20"/>
                <w:lang w:val="en-AU" w:eastAsia="en-AU"/>
              </w:rPr>
              <w:t>Year</w:t>
            </w:r>
          </w:p>
        </w:tc>
        <w:tc>
          <w:tcPr>
            <w:tcW w:w="0" w:type="dxa"/>
            <w:tcBorders>
              <w:top w:val="none" w:sz="0" w:space="0" w:color="auto"/>
            </w:tcBorders>
            <w:shd w:val="clear" w:color="auto" w:fill="A2DCD1" w:themeFill="accent1" w:themeFillTint="99"/>
            <w:noWrap/>
            <w:vAlign w:val="center"/>
            <w:hideMark/>
          </w:tcPr>
          <w:p w14:paraId="62252DFC" w14:textId="77777777" w:rsidR="00645A38" w:rsidRPr="00A916BA" w:rsidRDefault="00645A38" w:rsidP="00F15E4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A916BA">
              <w:rPr>
                <w:rFonts w:asciiTheme="minorHAnsi" w:eastAsia="Times New Roman" w:hAnsiTheme="minorHAnsi" w:cstheme="minorHAnsi"/>
                <w:b/>
                <w:bCs/>
                <w:sz w:val="20"/>
                <w:szCs w:val="20"/>
                <w:lang w:val="en-AU" w:eastAsia="en-AU"/>
              </w:rPr>
              <w:t>Effectiveness</w:t>
            </w:r>
          </w:p>
        </w:tc>
        <w:tc>
          <w:tcPr>
            <w:tcW w:w="0" w:type="dxa"/>
            <w:tcBorders>
              <w:top w:val="none" w:sz="0" w:space="0" w:color="auto"/>
            </w:tcBorders>
            <w:shd w:val="clear" w:color="auto" w:fill="A2DCD1" w:themeFill="accent1" w:themeFillTint="99"/>
            <w:noWrap/>
            <w:vAlign w:val="center"/>
            <w:hideMark/>
          </w:tcPr>
          <w:p w14:paraId="4761FC15" w14:textId="77777777" w:rsidR="00645A38" w:rsidRPr="00A916BA" w:rsidRDefault="00645A38" w:rsidP="00F15E4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A916BA">
              <w:rPr>
                <w:rFonts w:asciiTheme="minorHAnsi" w:eastAsia="Times New Roman" w:hAnsiTheme="minorHAnsi" w:cstheme="minorHAnsi"/>
                <w:b/>
                <w:bCs/>
                <w:sz w:val="20"/>
                <w:szCs w:val="20"/>
                <w:lang w:val="en-AU" w:eastAsia="en-AU"/>
              </w:rPr>
              <w:t>Efficiency</w:t>
            </w:r>
          </w:p>
        </w:tc>
        <w:tc>
          <w:tcPr>
            <w:tcW w:w="0" w:type="dxa"/>
            <w:tcBorders>
              <w:top w:val="none" w:sz="0" w:space="0" w:color="auto"/>
            </w:tcBorders>
            <w:shd w:val="clear" w:color="auto" w:fill="A2DCD1" w:themeFill="accent1" w:themeFillTint="99"/>
            <w:noWrap/>
            <w:vAlign w:val="center"/>
            <w:hideMark/>
          </w:tcPr>
          <w:p w14:paraId="15107BD0" w14:textId="73ABDC01" w:rsidR="00645A38" w:rsidRPr="00A916BA" w:rsidRDefault="00645A38" w:rsidP="00F15E4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A916BA">
              <w:rPr>
                <w:rFonts w:asciiTheme="minorHAnsi" w:eastAsia="Times New Roman" w:hAnsiTheme="minorHAnsi" w:cstheme="minorHAnsi"/>
                <w:b/>
                <w:bCs/>
                <w:sz w:val="20"/>
                <w:szCs w:val="20"/>
                <w:lang w:val="en-AU" w:eastAsia="en-AU"/>
              </w:rPr>
              <w:t>Gender</w:t>
            </w:r>
            <w:r w:rsidR="006F1EB1" w:rsidRPr="00A916BA">
              <w:rPr>
                <w:rFonts w:asciiTheme="minorHAnsi" w:eastAsia="Times New Roman" w:hAnsiTheme="minorHAnsi" w:cstheme="minorHAnsi"/>
                <w:b/>
                <w:bCs/>
                <w:sz w:val="20"/>
                <w:szCs w:val="20"/>
                <w:lang w:val="en-AU" w:eastAsia="en-AU"/>
              </w:rPr>
              <w:t xml:space="preserve"> Equality</w:t>
            </w:r>
            <w:r w:rsidRPr="00A916BA">
              <w:rPr>
                <w:rFonts w:asciiTheme="minorHAnsi" w:eastAsia="Times New Roman" w:hAnsiTheme="minorHAnsi" w:cstheme="minorHAnsi"/>
                <w:b/>
                <w:bCs/>
                <w:sz w:val="20"/>
                <w:szCs w:val="20"/>
                <w:lang w:val="en-AU" w:eastAsia="en-AU"/>
              </w:rPr>
              <w:t xml:space="preserve"> </w:t>
            </w:r>
          </w:p>
        </w:tc>
      </w:tr>
      <w:tr w:rsidR="00A916BA" w:rsidRPr="00A916BA" w14:paraId="5EDB8943" w14:textId="77777777" w:rsidTr="0022531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one" w:sz="0" w:space="0" w:color="auto"/>
              <w:bottom w:val="nil"/>
            </w:tcBorders>
            <w:shd w:val="clear" w:color="auto" w:fill="F2F2F2" w:themeFill="background1" w:themeFillShade="F2"/>
            <w:vAlign w:val="bottom"/>
            <w:hideMark/>
          </w:tcPr>
          <w:p w14:paraId="75D532F1" w14:textId="77777777" w:rsidR="00466536" w:rsidRPr="00A916BA" w:rsidRDefault="00466536" w:rsidP="00466536">
            <w:pPr>
              <w:suppressAutoHyphens w:val="0"/>
              <w:spacing w:before="0" w:after="0" w:line="240" w:lineRule="auto"/>
              <w:rPr>
                <w:rFonts w:asciiTheme="minorHAnsi" w:eastAsia="Times New Roman" w:hAnsiTheme="minorHAnsi" w:cstheme="minorHAnsi"/>
                <w:b/>
                <w:bCs/>
                <w:sz w:val="20"/>
                <w:szCs w:val="20"/>
                <w:lang w:val="en-AU" w:eastAsia="en-AU"/>
              </w:rPr>
            </w:pPr>
            <w:r w:rsidRPr="00A916BA">
              <w:rPr>
                <w:rFonts w:asciiTheme="minorHAnsi" w:eastAsia="Times New Roman" w:hAnsiTheme="minorHAnsi" w:cstheme="minorHAnsi"/>
                <w:b/>
                <w:bCs/>
                <w:sz w:val="20"/>
                <w:szCs w:val="20"/>
                <w:lang w:val="en-AU" w:eastAsia="en-AU"/>
              </w:rPr>
              <w:t>Samoa Education Sector Support Program – Phase 2</w:t>
            </w:r>
          </w:p>
        </w:tc>
        <w:tc>
          <w:tcPr>
            <w:tcW w:w="1133" w:type="dxa"/>
            <w:tcBorders>
              <w:top w:val="none" w:sz="0" w:space="0" w:color="auto"/>
              <w:bottom w:val="nil"/>
            </w:tcBorders>
            <w:shd w:val="clear" w:color="auto" w:fill="F2F2F2" w:themeFill="background1" w:themeFillShade="F2"/>
          </w:tcPr>
          <w:p w14:paraId="0F103A92" w14:textId="1A54AE67" w:rsidR="00466536" w:rsidRPr="00A916BA" w:rsidRDefault="00466536" w:rsidP="0046653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eastAsia="en-AU"/>
              </w:rPr>
              <w:t>2022</w:t>
            </w:r>
          </w:p>
        </w:tc>
        <w:tc>
          <w:tcPr>
            <w:tcW w:w="1275" w:type="dxa"/>
            <w:tcBorders>
              <w:top w:val="none" w:sz="0" w:space="0" w:color="auto"/>
              <w:bottom w:val="nil"/>
            </w:tcBorders>
            <w:shd w:val="clear" w:color="auto" w:fill="F2F2F2" w:themeFill="background1" w:themeFillShade="F2"/>
            <w:noWrap/>
          </w:tcPr>
          <w:p w14:paraId="7CA39F9E" w14:textId="155FF447" w:rsidR="00466536" w:rsidRPr="00A916BA" w:rsidRDefault="00731D22" w:rsidP="0046653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4</w:t>
            </w:r>
          </w:p>
        </w:tc>
        <w:tc>
          <w:tcPr>
            <w:tcW w:w="1133" w:type="dxa"/>
            <w:tcBorders>
              <w:top w:val="none" w:sz="0" w:space="0" w:color="auto"/>
              <w:bottom w:val="nil"/>
            </w:tcBorders>
            <w:shd w:val="clear" w:color="auto" w:fill="F2F2F2" w:themeFill="background1" w:themeFillShade="F2"/>
            <w:noWrap/>
          </w:tcPr>
          <w:p w14:paraId="2C2F7386" w14:textId="1D2AFC2C" w:rsidR="00466536" w:rsidRPr="00A916BA" w:rsidRDefault="00731D22" w:rsidP="0046653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4</w:t>
            </w:r>
          </w:p>
        </w:tc>
        <w:tc>
          <w:tcPr>
            <w:tcW w:w="1275" w:type="dxa"/>
            <w:tcBorders>
              <w:top w:val="none" w:sz="0" w:space="0" w:color="auto"/>
              <w:bottom w:val="nil"/>
            </w:tcBorders>
            <w:shd w:val="clear" w:color="auto" w:fill="F2F2F2" w:themeFill="background1" w:themeFillShade="F2"/>
            <w:noWrap/>
          </w:tcPr>
          <w:p w14:paraId="336FB0B9" w14:textId="79C4CE61" w:rsidR="00466536" w:rsidRPr="00A916BA" w:rsidRDefault="00731D22" w:rsidP="0046653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4</w:t>
            </w:r>
          </w:p>
        </w:tc>
      </w:tr>
      <w:tr w:rsidR="00A916BA" w:rsidRPr="00A916BA" w14:paraId="56B2E13C" w14:textId="77777777" w:rsidTr="0022531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tcBorders>
            <w:shd w:val="clear" w:color="auto" w:fill="F2F2F2" w:themeFill="background1" w:themeFillShade="F2"/>
            <w:hideMark/>
          </w:tcPr>
          <w:p w14:paraId="272DCA4D" w14:textId="77777777" w:rsidR="00466536" w:rsidRPr="00A916BA" w:rsidRDefault="00466536" w:rsidP="00466536">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 xml:space="preserve">Investment duration: 2019-24; Budget: $14.1m </w:t>
            </w:r>
          </w:p>
        </w:tc>
        <w:tc>
          <w:tcPr>
            <w:tcW w:w="1133" w:type="dxa"/>
            <w:tcBorders>
              <w:top w:val="nil"/>
            </w:tcBorders>
            <w:shd w:val="clear" w:color="auto" w:fill="F2F2F2" w:themeFill="background1" w:themeFillShade="F2"/>
          </w:tcPr>
          <w:p w14:paraId="22B6A239" w14:textId="3DB3597E" w:rsidR="00466536" w:rsidRPr="00A916BA" w:rsidRDefault="00466536" w:rsidP="0046653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eastAsia="en-AU"/>
              </w:rPr>
              <w:t>2021</w:t>
            </w:r>
          </w:p>
        </w:tc>
        <w:tc>
          <w:tcPr>
            <w:tcW w:w="1275" w:type="dxa"/>
            <w:tcBorders>
              <w:top w:val="nil"/>
            </w:tcBorders>
            <w:shd w:val="clear" w:color="auto" w:fill="F2F2F2" w:themeFill="background1" w:themeFillShade="F2"/>
            <w:noWrap/>
          </w:tcPr>
          <w:p w14:paraId="537A2BAA" w14:textId="43D534C6" w:rsidR="00466536" w:rsidRPr="00A916BA" w:rsidRDefault="0067374D" w:rsidP="0046653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4</w:t>
            </w:r>
          </w:p>
        </w:tc>
        <w:tc>
          <w:tcPr>
            <w:tcW w:w="1133" w:type="dxa"/>
            <w:tcBorders>
              <w:top w:val="nil"/>
            </w:tcBorders>
            <w:shd w:val="clear" w:color="auto" w:fill="F2F2F2" w:themeFill="background1" w:themeFillShade="F2"/>
            <w:noWrap/>
          </w:tcPr>
          <w:p w14:paraId="10E9F320" w14:textId="65566AF7" w:rsidR="00466536" w:rsidRPr="00A916BA" w:rsidRDefault="0067374D" w:rsidP="0046653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4</w:t>
            </w:r>
          </w:p>
        </w:tc>
        <w:tc>
          <w:tcPr>
            <w:tcW w:w="1275" w:type="dxa"/>
            <w:tcBorders>
              <w:top w:val="nil"/>
            </w:tcBorders>
            <w:shd w:val="clear" w:color="auto" w:fill="F2F2F2" w:themeFill="background1" w:themeFillShade="F2"/>
            <w:noWrap/>
          </w:tcPr>
          <w:p w14:paraId="7A20C858" w14:textId="3F527A2B" w:rsidR="00466536" w:rsidRPr="00A916BA" w:rsidRDefault="0067374D" w:rsidP="0046653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4</w:t>
            </w:r>
          </w:p>
        </w:tc>
      </w:tr>
      <w:tr w:rsidR="00A916BA" w:rsidRPr="00A916BA" w14:paraId="7E98B73A" w14:textId="77777777" w:rsidTr="0022531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one" w:sz="0" w:space="0" w:color="auto"/>
              <w:bottom w:val="nil"/>
            </w:tcBorders>
            <w:shd w:val="clear" w:color="auto" w:fill="E0F3EF" w:themeFill="accent1" w:themeFillTint="33"/>
            <w:noWrap/>
            <w:vAlign w:val="bottom"/>
          </w:tcPr>
          <w:p w14:paraId="2777B202" w14:textId="604FAA8F" w:rsidR="00CE4353" w:rsidRPr="00A916BA" w:rsidRDefault="00CE4353" w:rsidP="00CE4353">
            <w:pPr>
              <w:suppressAutoHyphens w:val="0"/>
              <w:spacing w:before="0" w:after="0" w:line="240" w:lineRule="auto"/>
              <w:rPr>
                <w:rFonts w:asciiTheme="minorHAnsi" w:eastAsia="Times New Roman" w:hAnsiTheme="minorHAnsi" w:cstheme="minorHAnsi"/>
                <w:b/>
                <w:bCs/>
                <w:sz w:val="20"/>
                <w:szCs w:val="20"/>
                <w:lang w:val="en-AU" w:eastAsia="en-AU"/>
              </w:rPr>
            </w:pPr>
            <w:r w:rsidRPr="00A916BA">
              <w:rPr>
                <w:rFonts w:asciiTheme="minorHAnsi" w:eastAsia="Times New Roman" w:hAnsiTheme="minorHAnsi" w:cstheme="minorHAnsi"/>
                <w:b/>
                <w:bCs/>
                <w:sz w:val="20"/>
                <w:szCs w:val="20"/>
                <w:lang w:eastAsia="en-AU"/>
              </w:rPr>
              <w:t>Samoa Health Program</w:t>
            </w:r>
          </w:p>
        </w:tc>
        <w:tc>
          <w:tcPr>
            <w:tcW w:w="1133" w:type="dxa"/>
            <w:tcBorders>
              <w:top w:val="none" w:sz="0" w:space="0" w:color="auto"/>
              <w:bottom w:val="nil"/>
            </w:tcBorders>
            <w:shd w:val="clear" w:color="auto" w:fill="E0F3EF" w:themeFill="accent1" w:themeFillTint="33"/>
          </w:tcPr>
          <w:p w14:paraId="35F4D031" w14:textId="6B4F0C1C"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2022</w:t>
            </w:r>
          </w:p>
        </w:tc>
        <w:tc>
          <w:tcPr>
            <w:tcW w:w="1275" w:type="dxa"/>
            <w:tcBorders>
              <w:top w:val="none" w:sz="0" w:space="0" w:color="auto"/>
              <w:bottom w:val="nil"/>
            </w:tcBorders>
            <w:shd w:val="clear" w:color="auto" w:fill="E0F3EF" w:themeFill="accent1" w:themeFillTint="33"/>
            <w:noWrap/>
          </w:tcPr>
          <w:p w14:paraId="0BE3BCFF" w14:textId="517BE830" w:rsidR="00CE4353" w:rsidRPr="00A916BA" w:rsidRDefault="00011EE7"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5</w:t>
            </w:r>
          </w:p>
        </w:tc>
        <w:tc>
          <w:tcPr>
            <w:tcW w:w="1133" w:type="dxa"/>
            <w:tcBorders>
              <w:top w:val="none" w:sz="0" w:space="0" w:color="auto"/>
              <w:bottom w:val="nil"/>
            </w:tcBorders>
            <w:shd w:val="clear" w:color="auto" w:fill="E0F3EF" w:themeFill="accent1" w:themeFillTint="33"/>
            <w:noWrap/>
          </w:tcPr>
          <w:p w14:paraId="3AD64A45" w14:textId="0B5A312A"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4</w:t>
            </w:r>
          </w:p>
        </w:tc>
        <w:tc>
          <w:tcPr>
            <w:tcW w:w="1275" w:type="dxa"/>
            <w:tcBorders>
              <w:top w:val="none" w:sz="0" w:space="0" w:color="auto"/>
              <w:bottom w:val="nil"/>
            </w:tcBorders>
            <w:shd w:val="clear" w:color="auto" w:fill="E0F3EF" w:themeFill="accent1" w:themeFillTint="33"/>
            <w:noWrap/>
          </w:tcPr>
          <w:p w14:paraId="49EC056B" w14:textId="1E1CD2B4"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4</w:t>
            </w:r>
          </w:p>
        </w:tc>
      </w:tr>
      <w:tr w:rsidR="00A916BA" w:rsidRPr="00A916BA" w14:paraId="1FBE93CD" w14:textId="77777777" w:rsidTr="0022531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tcBorders>
            <w:shd w:val="clear" w:color="auto" w:fill="E0F3EF" w:themeFill="accent1" w:themeFillTint="33"/>
          </w:tcPr>
          <w:p w14:paraId="43BA38B6" w14:textId="52CC10F1" w:rsidR="00CE4353" w:rsidRPr="00A916BA" w:rsidRDefault="00CE4353" w:rsidP="00CE4353">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 xml:space="preserve">Investment duration: 2013-22; Budget: $9.2m </w:t>
            </w:r>
          </w:p>
        </w:tc>
        <w:tc>
          <w:tcPr>
            <w:tcW w:w="1133" w:type="dxa"/>
            <w:tcBorders>
              <w:top w:val="nil"/>
            </w:tcBorders>
            <w:shd w:val="clear" w:color="auto" w:fill="E0F3EF" w:themeFill="accent1" w:themeFillTint="33"/>
          </w:tcPr>
          <w:p w14:paraId="5A1E75B5" w14:textId="79B2C750"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2021</w:t>
            </w:r>
          </w:p>
        </w:tc>
        <w:tc>
          <w:tcPr>
            <w:tcW w:w="1275" w:type="dxa"/>
            <w:tcBorders>
              <w:top w:val="nil"/>
            </w:tcBorders>
            <w:shd w:val="clear" w:color="auto" w:fill="E0F3EF" w:themeFill="accent1" w:themeFillTint="33"/>
            <w:noWrap/>
          </w:tcPr>
          <w:p w14:paraId="5D96878E" w14:textId="5A953921"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4</w:t>
            </w:r>
          </w:p>
        </w:tc>
        <w:tc>
          <w:tcPr>
            <w:tcW w:w="1133" w:type="dxa"/>
            <w:tcBorders>
              <w:top w:val="nil"/>
            </w:tcBorders>
            <w:shd w:val="clear" w:color="auto" w:fill="E0F3EF" w:themeFill="accent1" w:themeFillTint="33"/>
            <w:noWrap/>
          </w:tcPr>
          <w:p w14:paraId="72DB3484" w14:textId="29BD8493"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4</w:t>
            </w:r>
          </w:p>
        </w:tc>
        <w:tc>
          <w:tcPr>
            <w:tcW w:w="1275" w:type="dxa"/>
            <w:tcBorders>
              <w:top w:val="nil"/>
            </w:tcBorders>
            <w:shd w:val="clear" w:color="auto" w:fill="E0F3EF" w:themeFill="accent1" w:themeFillTint="33"/>
            <w:noWrap/>
          </w:tcPr>
          <w:p w14:paraId="5E7A954D" w14:textId="6693D038"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4</w:t>
            </w:r>
          </w:p>
        </w:tc>
      </w:tr>
      <w:tr w:rsidR="00A916BA" w:rsidRPr="00A916BA" w14:paraId="7CE96FA6" w14:textId="77777777" w:rsidTr="0022531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one" w:sz="0" w:space="0" w:color="auto"/>
              <w:bottom w:val="nil"/>
            </w:tcBorders>
            <w:shd w:val="clear" w:color="auto" w:fill="F2F2F2" w:themeFill="background1" w:themeFillShade="F2"/>
            <w:noWrap/>
            <w:vAlign w:val="bottom"/>
          </w:tcPr>
          <w:p w14:paraId="6D38D75E" w14:textId="4FA7E5DC" w:rsidR="00CE4353" w:rsidRPr="00A916BA" w:rsidRDefault="00CE4353" w:rsidP="00CE4353">
            <w:pPr>
              <w:suppressAutoHyphens w:val="0"/>
              <w:spacing w:before="0" w:after="0" w:line="240" w:lineRule="auto"/>
              <w:rPr>
                <w:rFonts w:asciiTheme="minorHAnsi" w:eastAsia="Times New Roman" w:hAnsiTheme="minorHAnsi" w:cstheme="minorHAnsi"/>
                <w:b/>
                <w:bCs/>
                <w:sz w:val="20"/>
                <w:szCs w:val="20"/>
                <w:lang w:val="en-AU" w:eastAsia="en-AU"/>
              </w:rPr>
            </w:pPr>
            <w:r w:rsidRPr="00A916BA">
              <w:rPr>
                <w:rFonts w:asciiTheme="minorHAnsi" w:eastAsia="Times New Roman" w:hAnsiTheme="minorHAnsi" w:cstheme="minorHAnsi"/>
                <w:b/>
                <w:bCs/>
                <w:sz w:val="20"/>
                <w:szCs w:val="20"/>
                <w:lang w:eastAsia="en-AU"/>
              </w:rPr>
              <w:t>Women in Leadership in Samoa</w:t>
            </w:r>
          </w:p>
        </w:tc>
        <w:tc>
          <w:tcPr>
            <w:tcW w:w="1133" w:type="dxa"/>
            <w:tcBorders>
              <w:top w:val="none" w:sz="0" w:space="0" w:color="auto"/>
              <w:bottom w:val="nil"/>
            </w:tcBorders>
            <w:shd w:val="clear" w:color="auto" w:fill="F2F2F2" w:themeFill="background1" w:themeFillShade="F2"/>
          </w:tcPr>
          <w:p w14:paraId="38AB1E52" w14:textId="772A09E0"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2022</w:t>
            </w:r>
          </w:p>
        </w:tc>
        <w:tc>
          <w:tcPr>
            <w:tcW w:w="1275" w:type="dxa"/>
            <w:tcBorders>
              <w:top w:val="none" w:sz="0" w:space="0" w:color="auto"/>
              <w:bottom w:val="nil"/>
            </w:tcBorders>
            <w:shd w:val="clear" w:color="auto" w:fill="F2F2F2" w:themeFill="background1" w:themeFillShade="F2"/>
            <w:noWrap/>
          </w:tcPr>
          <w:p w14:paraId="17B6FC4B" w14:textId="22C9D83A"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4</w:t>
            </w:r>
          </w:p>
        </w:tc>
        <w:tc>
          <w:tcPr>
            <w:tcW w:w="1133" w:type="dxa"/>
            <w:tcBorders>
              <w:top w:val="none" w:sz="0" w:space="0" w:color="auto"/>
              <w:bottom w:val="nil"/>
            </w:tcBorders>
            <w:shd w:val="clear" w:color="auto" w:fill="F2F2F2" w:themeFill="background1" w:themeFillShade="F2"/>
            <w:noWrap/>
          </w:tcPr>
          <w:p w14:paraId="61F98E2E" w14:textId="3478FAAB"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3</w:t>
            </w:r>
          </w:p>
        </w:tc>
        <w:tc>
          <w:tcPr>
            <w:tcW w:w="1275" w:type="dxa"/>
            <w:tcBorders>
              <w:top w:val="none" w:sz="0" w:space="0" w:color="auto"/>
              <w:bottom w:val="nil"/>
            </w:tcBorders>
            <w:shd w:val="clear" w:color="auto" w:fill="F2F2F2" w:themeFill="background1" w:themeFillShade="F2"/>
            <w:noWrap/>
          </w:tcPr>
          <w:p w14:paraId="3DD058BF" w14:textId="2035448B"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4</w:t>
            </w:r>
          </w:p>
        </w:tc>
      </w:tr>
      <w:tr w:rsidR="00A916BA" w:rsidRPr="00A916BA" w14:paraId="03B02AE9" w14:textId="77777777" w:rsidTr="0022531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tcBorders>
            <w:shd w:val="clear" w:color="auto" w:fill="F2F2F2" w:themeFill="background1" w:themeFillShade="F2"/>
          </w:tcPr>
          <w:p w14:paraId="226D3276" w14:textId="36935AD8" w:rsidR="00CE4353" w:rsidRPr="00A916BA" w:rsidRDefault="00CE4353" w:rsidP="00CE4353">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 xml:space="preserve">Investment duration: 2018-22; Budget: $3.0m </w:t>
            </w:r>
          </w:p>
        </w:tc>
        <w:tc>
          <w:tcPr>
            <w:tcW w:w="1133" w:type="dxa"/>
            <w:tcBorders>
              <w:top w:val="nil"/>
            </w:tcBorders>
            <w:shd w:val="clear" w:color="auto" w:fill="F2F2F2" w:themeFill="background1" w:themeFillShade="F2"/>
          </w:tcPr>
          <w:p w14:paraId="523595C8" w14:textId="4E10DBD9"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2021</w:t>
            </w:r>
          </w:p>
        </w:tc>
        <w:tc>
          <w:tcPr>
            <w:tcW w:w="1275" w:type="dxa"/>
            <w:tcBorders>
              <w:top w:val="nil"/>
            </w:tcBorders>
            <w:shd w:val="clear" w:color="auto" w:fill="F2F2F2" w:themeFill="background1" w:themeFillShade="F2"/>
            <w:noWrap/>
          </w:tcPr>
          <w:p w14:paraId="6CC00D58" w14:textId="77CEE354"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3</w:t>
            </w:r>
          </w:p>
        </w:tc>
        <w:tc>
          <w:tcPr>
            <w:tcW w:w="1133" w:type="dxa"/>
            <w:tcBorders>
              <w:top w:val="nil"/>
            </w:tcBorders>
            <w:shd w:val="clear" w:color="auto" w:fill="F2F2F2" w:themeFill="background1" w:themeFillShade="F2"/>
            <w:noWrap/>
          </w:tcPr>
          <w:p w14:paraId="1ECCD432" w14:textId="56F40301"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3</w:t>
            </w:r>
          </w:p>
        </w:tc>
        <w:tc>
          <w:tcPr>
            <w:tcW w:w="1275" w:type="dxa"/>
            <w:tcBorders>
              <w:top w:val="nil"/>
            </w:tcBorders>
            <w:shd w:val="clear" w:color="auto" w:fill="F2F2F2" w:themeFill="background1" w:themeFillShade="F2"/>
            <w:noWrap/>
          </w:tcPr>
          <w:p w14:paraId="32F532F2" w14:textId="6A241002"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4</w:t>
            </w:r>
          </w:p>
        </w:tc>
      </w:tr>
      <w:tr w:rsidR="00A916BA" w:rsidRPr="00A916BA" w14:paraId="3B66DEA1" w14:textId="77777777" w:rsidTr="0022531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one" w:sz="0" w:space="0" w:color="auto"/>
              <w:bottom w:val="nil"/>
            </w:tcBorders>
            <w:shd w:val="clear" w:color="auto" w:fill="E0F3EF" w:themeFill="accent1" w:themeFillTint="33"/>
            <w:noWrap/>
            <w:vAlign w:val="bottom"/>
          </w:tcPr>
          <w:p w14:paraId="186ADA94" w14:textId="048703FB" w:rsidR="00CE4353" w:rsidRPr="00A916BA" w:rsidRDefault="00CE4353" w:rsidP="00CE4353">
            <w:pPr>
              <w:suppressAutoHyphens w:val="0"/>
              <w:spacing w:before="0" w:after="0" w:line="240" w:lineRule="auto"/>
              <w:rPr>
                <w:rFonts w:asciiTheme="minorHAnsi" w:eastAsia="Times New Roman" w:hAnsiTheme="minorHAnsi" w:cstheme="minorHAnsi"/>
                <w:b/>
                <w:bCs/>
                <w:sz w:val="20"/>
                <w:szCs w:val="20"/>
                <w:lang w:val="en-AU" w:eastAsia="en-AU"/>
              </w:rPr>
            </w:pPr>
            <w:r w:rsidRPr="00A916BA">
              <w:rPr>
                <w:rFonts w:asciiTheme="minorHAnsi" w:eastAsia="Times New Roman" w:hAnsiTheme="minorHAnsi" w:cstheme="minorHAnsi"/>
                <w:b/>
                <w:bCs/>
                <w:sz w:val="20"/>
                <w:szCs w:val="20"/>
                <w:lang w:eastAsia="en-AU"/>
              </w:rPr>
              <w:t>Samoa Fiscal Resilience Program</w:t>
            </w:r>
          </w:p>
        </w:tc>
        <w:tc>
          <w:tcPr>
            <w:tcW w:w="1133" w:type="dxa"/>
            <w:tcBorders>
              <w:top w:val="none" w:sz="0" w:space="0" w:color="auto"/>
              <w:bottom w:val="nil"/>
            </w:tcBorders>
            <w:shd w:val="clear" w:color="auto" w:fill="E0F3EF" w:themeFill="accent1" w:themeFillTint="33"/>
          </w:tcPr>
          <w:p w14:paraId="56502081" w14:textId="4AB07333"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eastAsia="en-AU"/>
              </w:rPr>
              <w:t>2022</w:t>
            </w:r>
          </w:p>
        </w:tc>
        <w:tc>
          <w:tcPr>
            <w:tcW w:w="1275" w:type="dxa"/>
            <w:tcBorders>
              <w:top w:val="none" w:sz="0" w:space="0" w:color="auto"/>
              <w:bottom w:val="nil"/>
            </w:tcBorders>
            <w:shd w:val="clear" w:color="auto" w:fill="E0F3EF" w:themeFill="accent1" w:themeFillTint="33"/>
            <w:noWrap/>
          </w:tcPr>
          <w:p w14:paraId="5AFBCC4E" w14:textId="6E403C26"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eastAsia="en-AU"/>
              </w:rPr>
              <w:t>5</w:t>
            </w:r>
          </w:p>
        </w:tc>
        <w:tc>
          <w:tcPr>
            <w:tcW w:w="1133" w:type="dxa"/>
            <w:tcBorders>
              <w:top w:val="none" w:sz="0" w:space="0" w:color="auto"/>
              <w:bottom w:val="nil"/>
            </w:tcBorders>
            <w:shd w:val="clear" w:color="auto" w:fill="E0F3EF" w:themeFill="accent1" w:themeFillTint="33"/>
            <w:noWrap/>
          </w:tcPr>
          <w:p w14:paraId="08D9A534" w14:textId="315068BB"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eastAsia="en-AU"/>
              </w:rPr>
              <w:t>5</w:t>
            </w:r>
          </w:p>
        </w:tc>
        <w:tc>
          <w:tcPr>
            <w:tcW w:w="1275" w:type="dxa"/>
            <w:tcBorders>
              <w:top w:val="none" w:sz="0" w:space="0" w:color="auto"/>
              <w:bottom w:val="nil"/>
            </w:tcBorders>
            <w:shd w:val="clear" w:color="auto" w:fill="E0F3EF" w:themeFill="accent1" w:themeFillTint="33"/>
            <w:noWrap/>
          </w:tcPr>
          <w:p w14:paraId="20A37FB4" w14:textId="74CE8933"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eastAsia="en-AU"/>
              </w:rPr>
              <w:t>3</w:t>
            </w:r>
          </w:p>
        </w:tc>
      </w:tr>
      <w:tr w:rsidR="00A916BA" w:rsidRPr="00A916BA" w14:paraId="25A833C3" w14:textId="77777777" w:rsidTr="0022531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bottom w:val="none" w:sz="0" w:space="0" w:color="auto"/>
            </w:tcBorders>
            <w:shd w:val="clear" w:color="auto" w:fill="E0F3EF" w:themeFill="accent1" w:themeFillTint="33"/>
          </w:tcPr>
          <w:p w14:paraId="74778FD7" w14:textId="32725D5E" w:rsidR="00CE4353" w:rsidRPr="00A916BA" w:rsidRDefault="00CE4353" w:rsidP="00CE4353">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 xml:space="preserve">Investment duration: 2018-22; Budget: $10.0m </w:t>
            </w:r>
          </w:p>
        </w:tc>
        <w:tc>
          <w:tcPr>
            <w:tcW w:w="1133" w:type="dxa"/>
            <w:tcBorders>
              <w:top w:val="nil"/>
              <w:bottom w:val="none" w:sz="0" w:space="0" w:color="auto"/>
            </w:tcBorders>
            <w:shd w:val="clear" w:color="auto" w:fill="E0F3EF" w:themeFill="accent1" w:themeFillTint="33"/>
          </w:tcPr>
          <w:p w14:paraId="29D624A4" w14:textId="6874B218"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eastAsia="en-AU"/>
              </w:rPr>
              <w:t>2021</w:t>
            </w:r>
          </w:p>
        </w:tc>
        <w:tc>
          <w:tcPr>
            <w:tcW w:w="1275" w:type="dxa"/>
            <w:tcBorders>
              <w:top w:val="nil"/>
              <w:bottom w:val="none" w:sz="0" w:space="0" w:color="auto"/>
            </w:tcBorders>
            <w:shd w:val="clear" w:color="auto" w:fill="E0F3EF" w:themeFill="accent1" w:themeFillTint="33"/>
            <w:noWrap/>
          </w:tcPr>
          <w:p w14:paraId="17487309" w14:textId="5FE11F7A"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eastAsia="en-AU"/>
              </w:rPr>
              <w:t>5</w:t>
            </w:r>
          </w:p>
        </w:tc>
        <w:tc>
          <w:tcPr>
            <w:tcW w:w="1133" w:type="dxa"/>
            <w:tcBorders>
              <w:top w:val="nil"/>
              <w:bottom w:val="none" w:sz="0" w:space="0" w:color="auto"/>
            </w:tcBorders>
            <w:shd w:val="clear" w:color="auto" w:fill="E0F3EF" w:themeFill="accent1" w:themeFillTint="33"/>
            <w:noWrap/>
          </w:tcPr>
          <w:p w14:paraId="5171D05F" w14:textId="5A818693"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eastAsia="en-AU"/>
              </w:rPr>
              <w:t>5</w:t>
            </w:r>
          </w:p>
        </w:tc>
        <w:tc>
          <w:tcPr>
            <w:tcW w:w="1275" w:type="dxa"/>
            <w:tcBorders>
              <w:top w:val="nil"/>
              <w:bottom w:val="none" w:sz="0" w:space="0" w:color="auto"/>
            </w:tcBorders>
            <w:shd w:val="clear" w:color="auto" w:fill="E0F3EF" w:themeFill="accent1" w:themeFillTint="33"/>
            <w:noWrap/>
          </w:tcPr>
          <w:p w14:paraId="1653BDE2" w14:textId="3614ADE3"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eastAsia="en-AU"/>
              </w:rPr>
              <w:t>1</w:t>
            </w:r>
          </w:p>
        </w:tc>
      </w:tr>
    </w:tbl>
    <w:p w14:paraId="3800A196" w14:textId="5EF7DEF1" w:rsidR="00E221FA" w:rsidRPr="00A916BA" w:rsidRDefault="00E221FA" w:rsidP="00D914E4">
      <w:pPr>
        <w:pStyle w:val="Heading2"/>
      </w:pPr>
      <w:bookmarkStart w:id="2" w:name="_Hlk120789719"/>
      <w:r w:rsidRPr="00A916BA">
        <w:t>Final Investment Performance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665"/>
        <w:gridCol w:w="1276"/>
        <w:gridCol w:w="1276"/>
        <w:gridCol w:w="1134"/>
        <w:gridCol w:w="1276"/>
      </w:tblGrid>
      <w:tr w:rsidR="00A916BA" w:rsidRPr="00A916BA" w14:paraId="1C7DF276" w14:textId="77777777" w:rsidTr="0022531C">
        <w:trPr>
          <w:cnfStyle w:val="100000000000" w:firstRow="1" w:lastRow="0" w:firstColumn="0" w:lastColumn="0" w:oddVBand="0" w:evenVBand="0" w:oddHBand="0" w:evenHBand="0" w:firstRowFirstColumn="0" w:firstRowLastColumn="0" w:lastRowFirstColumn="0" w:lastRowLastColumn="0"/>
          <w:trHeight w:hRule="exact" w:val="680"/>
          <w:tblHeader/>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tcBorders>
            <w:shd w:val="clear" w:color="auto" w:fill="A2DCD1" w:themeFill="accent1" w:themeFillTint="99"/>
            <w:noWrap/>
            <w:vAlign w:val="center"/>
            <w:hideMark/>
          </w:tcPr>
          <w:p w14:paraId="5CB2E247" w14:textId="77777777" w:rsidR="00D7310B" w:rsidRPr="00A916BA" w:rsidRDefault="00D7310B" w:rsidP="00CD68E5">
            <w:pPr>
              <w:suppressAutoHyphens w:val="0"/>
              <w:spacing w:before="0" w:after="0" w:line="240" w:lineRule="auto"/>
              <w:jc w:val="center"/>
              <w:rPr>
                <w:rFonts w:asciiTheme="minorHAnsi" w:eastAsia="Times New Roman" w:hAnsiTheme="minorHAnsi" w:cstheme="minorHAnsi"/>
                <w:b/>
                <w:bCs/>
                <w:sz w:val="20"/>
                <w:szCs w:val="20"/>
                <w:lang w:val="en-AU" w:eastAsia="en-AU"/>
              </w:rPr>
            </w:pPr>
            <w:r w:rsidRPr="00A916BA">
              <w:rPr>
                <w:rFonts w:asciiTheme="minorHAnsi" w:eastAsia="Times New Roman" w:hAnsiTheme="minorHAnsi" w:cstheme="minorHAnsi"/>
                <w:b/>
                <w:bCs/>
                <w:sz w:val="20"/>
                <w:szCs w:val="20"/>
                <w:lang w:val="en-AU" w:eastAsia="en-AU"/>
              </w:rPr>
              <w:t>Investment Details</w:t>
            </w:r>
          </w:p>
        </w:tc>
        <w:tc>
          <w:tcPr>
            <w:tcW w:w="1276" w:type="dxa"/>
            <w:tcBorders>
              <w:top w:val="none" w:sz="0" w:space="0" w:color="auto"/>
            </w:tcBorders>
            <w:shd w:val="clear" w:color="auto" w:fill="A2DCD1" w:themeFill="accent1" w:themeFillTint="99"/>
            <w:noWrap/>
            <w:vAlign w:val="center"/>
            <w:hideMark/>
          </w:tcPr>
          <w:p w14:paraId="559F947C" w14:textId="77777777" w:rsidR="00D7310B" w:rsidRPr="00A916BA" w:rsidRDefault="00D7310B" w:rsidP="00CD68E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A916BA">
              <w:rPr>
                <w:rFonts w:asciiTheme="minorHAnsi" w:eastAsia="Times New Roman" w:hAnsiTheme="minorHAnsi" w:cstheme="minorHAnsi"/>
                <w:b/>
                <w:bCs/>
                <w:sz w:val="20"/>
                <w:szCs w:val="20"/>
                <w:lang w:val="en-AU" w:eastAsia="en-AU"/>
              </w:rPr>
              <w:t>Year</w:t>
            </w:r>
          </w:p>
        </w:tc>
        <w:tc>
          <w:tcPr>
            <w:tcW w:w="1276" w:type="dxa"/>
            <w:tcBorders>
              <w:top w:val="none" w:sz="0" w:space="0" w:color="auto"/>
            </w:tcBorders>
            <w:shd w:val="clear" w:color="auto" w:fill="A2DCD1" w:themeFill="accent1" w:themeFillTint="99"/>
            <w:noWrap/>
            <w:vAlign w:val="center"/>
            <w:hideMark/>
          </w:tcPr>
          <w:p w14:paraId="661038F4" w14:textId="77777777" w:rsidR="00D7310B" w:rsidRPr="00A916BA" w:rsidRDefault="00D7310B" w:rsidP="00CD68E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A916BA">
              <w:rPr>
                <w:rFonts w:asciiTheme="minorHAnsi" w:eastAsia="Times New Roman" w:hAnsiTheme="minorHAnsi" w:cstheme="minorHAnsi"/>
                <w:b/>
                <w:bCs/>
                <w:sz w:val="20"/>
                <w:szCs w:val="20"/>
                <w:lang w:val="en-AU" w:eastAsia="en-AU"/>
              </w:rPr>
              <w:t>Effectiveness</w:t>
            </w:r>
          </w:p>
        </w:tc>
        <w:tc>
          <w:tcPr>
            <w:tcW w:w="1134" w:type="dxa"/>
            <w:tcBorders>
              <w:top w:val="none" w:sz="0" w:space="0" w:color="auto"/>
            </w:tcBorders>
            <w:shd w:val="clear" w:color="auto" w:fill="A2DCD1" w:themeFill="accent1" w:themeFillTint="99"/>
            <w:noWrap/>
            <w:vAlign w:val="center"/>
            <w:hideMark/>
          </w:tcPr>
          <w:p w14:paraId="1765D5AA" w14:textId="77777777" w:rsidR="00D7310B" w:rsidRPr="00A916BA" w:rsidRDefault="00D7310B" w:rsidP="00CD68E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A916BA">
              <w:rPr>
                <w:rFonts w:asciiTheme="minorHAnsi" w:eastAsia="Times New Roman" w:hAnsiTheme="minorHAnsi" w:cstheme="minorHAnsi"/>
                <w:b/>
                <w:bCs/>
                <w:sz w:val="20"/>
                <w:szCs w:val="20"/>
                <w:lang w:val="en-AU" w:eastAsia="en-AU"/>
              </w:rPr>
              <w:t>Efficiency</w:t>
            </w:r>
          </w:p>
        </w:tc>
        <w:tc>
          <w:tcPr>
            <w:tcW w:w="1276" w:type="dxa"/>
            <w:tcBorders>
              <w:top w:val="none" w:sz="0" w:space="0" w:color="auto"/>
            </w:tcBorders>
            <w:shd w:val="clear" w:color="auto" w:fill="A2DCD1" w:themeFill="accent1" w:themeFillTint="99"/>
            <w:noWrap/>
            <w:vAlign w:val="center"/>
            <w:hideMark/>
          </w:tcPr>
          <w:p w14:paraId="27D22FD9" w14:textId="77777777" w:rsidR="006F1EB1" w:rsidRPr="00A916BA" w:rsidRDefault="00D7310B" w:rsidP="00CD68E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A916BA">
              <w:rPr>
                <w:rFonts w:asciiTheme="minorHAnsi" w:eastAsia="Times New Roman" w:hAnsiTheme="minorHAnsi" w:cstheme="minorHAnsi"/>
                <w:b/>
                <w:bCs/>
                <w:sz w:val="20"/>
                <w:szCs w:val="20"/>
                <w:lang w:val="en-AU" w:eastAsia="en-AU"/>
              </w:rPr>
              <w:t xml:space="preserve">Gender </w:t>
            </w:r>
          </w:p>
          <w:p w14:paraId="38C29940" w14:textId="1FC6845E" w:rsidR="00D7310B" w:rsidRPr="00A916BA" w:rsidRDefault="00D7310B" w:rsidP="00CD68E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A916BA">
              <w:rPr>
                <w:rFonts w:asciiTheme="minorHAnsi" w:eastAsia="Times New Roman" w:hAnsiTheme="minorHAnsi" w:cstheme="minorHAnsi"/>
                <w:b/>
                <w:bCs/>
                <w:sz w:val="20"/>
                <w:szCs w:val="20"/>
                <w:lang w:val="en-AU" w:eastAsia="en-AU"/>
              </w:rPr>
              <w:t>Equality</w:t>
            </w:r>
          </w:p>
        </w:tc>
      </w:tr>
      <w:tr w:rsidR="00A916BA" w:rsidRPr="00A916BA" w14:paraId="5FCAA806" w14:textId="77777777" w:rsidTr="0022531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il"/>
            </w:tcBorders>
            <w:shd w:val="clear" w:color="auto" w:fill="F2F2F2" w:themeFill="background1" w:themeFillShade="F2"/>
            <w:vAlign w:val="bottom"/>
            <w:hideMark/>
          </w:tcPr>
          <w:p w14:paraId="26CB53EA" w14:textId="57D6D1AB" w:rsidR="00CE4353" w:rsidRPr="00A916BA" w:rsidRDefault="00CE4353" w:rsidP="00CE4353">
            <w:pPr>
              <w:suppressAutoHyphens w:val="0"/>
              <w:spacing w:before="0" w:after="0" w:line="240" w:lineRule="auto"/>
              <w:rPr>
                <w:rFonts w:asciiTheme="minorHAnsi" w:eastAsia="Times New Roman" w:hAnsiTheme="minorHAnsi" w:cstheme="minorHAnsi"/>
                <w:b/>
                <w:bCs/>
                <w:sz w:val="20"/>
                <w:szCs w:val="20"/>
                <w:lang w:val="en-AU" w:eastAsia="en-AU"/>
              </w:rPr>
            </w:pPr>
            <w:r w:rsidRPr="00A916BA">
              <w:rPr>
                <w:rFonts w:asciiTheme="minorHAnsi" w:eastAsia="Times New Roman" w:hAnsiTheme="minorHAnsi" w:cstheme="minorHAnsi"/>
                <w:b/>
                <w:bCs/>
                <w:sz w:val="20"/>
                <w:szCs w:val="20"/>
                <w:lang w:val="en-AU" w:eastAsia="en-AU"/>
              </w:rPr>
              <w:t>Samoa Parliament Complex Redevelopment</w:t>
            </w:r>
          </w:p>
        </w:tc>
        <w:tc>
          <w:tcPr>
            <w:tcW w:w="1276" w:type="dxa"/>
            <w:tcBorders>
              <w:top w:val="none" w:sz="0" w:space="0" w:color="auto"/>
              <w:bottom w:val="nil"/>
            </w:tcBorders>
            <w:shd w:val="clear" w:color="auto" w:fill="F2F2F2" w:themeFill="background1" w:themeFillShade="F2"/>
            <w:hideMark/>
          </w:tcPr>
          <w:p w14:paraId="615EF094" w14:textId="34198549"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eastAsia="en-AU"/>
              </w:rPr>
              <w:t>2022</w:t>
            </w:r>
            <w:r w:rsidR="00B271E8">
              <w:rPr>
                <w:rFonts w:asciiTheme="minorHAnsi" w:eastAsia="Times New Roman" w:hAnsiTheme="minorHAnsi" w:cstheme="minorHAnsi"/>
                <w:sz w:val="20"/>
                <w:szCs w:val="20"/>
                <w:lang w:eastAsia="en-AU"/>
              </w:rPr>
              <w:t xml:space="preserve"> FIMR</w:t>
            </w:r>
          </w:p>
        </w:tc>
        <w:tc>
          <w:tcPr>
            <w:tcW w:w="1276" w:type="dxa"/>
            <w:tcBorders>
              <w:top w:val="none" w:sz="0" w:space="0" w:color="auto"/>
              <w:bottom w:val="nil"/>
            </w:tcBorders>
            <w:shd w:val="clear" w:color="auto" w:fill="F2F2F2" w:themeFill="background1" w:themeFillShade="F2"/>
            <w:noWrap/>
            <w:hideMark/>
          </w:tcPr>
          <w:p w14:paraId="12403CED" w14:textId="1A4AC0F4"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3</w:t>
            </w:r>
          </w:p>
        </w:tc>
        <w:tc>
          <w:tcPr>
            <w:tcW w:w="1134" w:type="dxa"/>
            <w:tcBorders>
              <w:top w:val="none" w:sz="0" w:space="0" w:color="auto"/>
              <w:bottom w:val="nil"/>
            </w:tcBorders>
            <w:shd w:val="clear" w:color="auto" w:fill="F2F2F2" w:themeFill="background1" w:themeFillShade="F2"/>
            <w:noWrap/>
            <w:hideMark/>
          </w:tcPr>
          <w:p w14:paraId="456E1DCC" w14:textId="40D90637"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3</w:t>
            </w:r>
          </w:p>
        </w:tc>
        <w:tc>
          <w:tcPr>
            <w:tcW w:w="1276" w:type="dxa"/>
            <w:tcBorders>
              <w:top w:val="none" w:sz="0" w:space="0" w:color="auto"/>
              <w:bottom w:val="nil"/>
            </w:tcBorders>
            <w:shd w:val="clear" w:color="auto" w:fill="F2F2F2" w:themeFill="background1" w:themeFillShade="F2"/>
            <w:noWrap/>
            <w:hideMark/>
          </w:tcPr>
          <w:p w14:paraId="2C7A02D0" w14:textId="60D040F3"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2</w:t>
            </w:r>
          </w:p>
        </w:tc>
      </w:tr>
      <w:tr w:rsidR="00A916BA" w:rsidRPr="00A916BA" w14:paraId="48A88951" w14:textId="77777777" w:rsidTr="0022531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il"/>
            </w:tcBorders>
            <w:shd w:val="clear" w:color="auto" w:fill="F2F2F2" w:themeFill="background1" w:themeFillShade="F2"/>
            <w:hideMark/>
          </w:tcPr>
          <w:p w14:paraId="7C9CCC70" w14:textId="777D3FD2" w:rsidR="00CE4353" w:rsidRPr="00A916BA" w:rsidRDefault="00CE4353" w:rsidP="00CE4353">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 xml:space="preserve">Investment duration: 2012-22; Budget: $13.2m </w:t>
            </w:r>
          </w:p>
        </w:tc>
        <w:tc>
          <w:tcPr>
            <w:tcW w:w="1276" w:type="dxa"/>
            <w:tcBorders>
              <w:top w:val="nil"/>
            </w:tcBorders>
            <w:shd w:val="clear" w:color="auto" w:fill="F2F2F2" w:themeFill="background1" w:themeFillShade="F2"/>
            <w:hideMark/>
          </w:tcPr>
          <w:p w14:paraId="265BD1DC" w14:textId="4B3D927A"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eastAsia="en-AU"/>
              </w:rPr>
              <w:t>2021</w:t>
            </w:r>
            <w:r w:rsidR="00B271E8">
              <w:rPr>
                <w:rFonts w:asciiTheme="minorHAnsi" w:eastAsia="Times New Roman" w:hAnsiTheme="minorHAnsi" w:cstheme="minorHAnsi"/>
                <w:sz w:val="20"/>
                <w:szCs w:val="20"/>
                <w:lang w:eastAsia="en-AU"/>
              </w:rPr>
              <w:t xml:space="preserve"> IMR</w:t>
            </w:r>
          </w:p>
        </w:tc>
        <w:tc>
          <w:tcPr>
            <w:tcW w:w="1276" w:type="dxa"/>
            <w:tcBorders>
              <w:top w:val="nil"/>
            </w:tcBorders>
            <w:shd w:val="clear" w:color="auto" w:fill="F2F2F2" w:themeFill="background1" w:themeFillShade="F2"/>
            <w:noWrap/>
            <w:hideMark/>
          </w:tcPr>
          <w:p w14:paraId="2B8EB16D" w14:textId="0D7EE1EF"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3</w:t>
            </w:r>
          </w:p>
        </w:tc>
        <w:tc>
          <w:tcPr>
            <w:tcW w:w="1134" w:type="dxa"/>
            <w:tcBorders>
              <w:top w:val="nil"/>
            </w:tcBorders>
            <w:shd w:val="clear" w:color="auto" w:fill="F2F2F2" w:themeFill="background1" w:themeFillShade="F2"/>
            <w:noWrap/>
            <w:hideMark/>
          </w:tcPr>
          <w:p w14:paraId="1C396789" w14:textId="533156F6"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4</w:t>
            </w:r>
          </w:p>
        </w:tc>
        <w:tc>
          <w:tcPr>
            <w:tcW w:w="1276" w:type="dxa"/>
            <w:tcBorders>
              <w:top w:val="nil"/>
            </w:tcBorders>
            <w:shd w:val="clear" w:color="auto" w:fill="F2F2F2" w:themeFill="background1" w:themeFillShade="F2"/>
            <w:noWrap/>
            <w:hideMark/>
          </w:tcPr>
          <w:p w14:paraId="6145AA71" w14:textId="48EFBCBD"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2</w:t>
            </w:r>
          </w:p>
        </w:tc>
      </w:tr>
      <w:tr w:rsidR="00A916BA" w:rsidRPr="00A916BA" w14:paraId="0851FB64" w14:textId="77777777" w:rsidTr="0022531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il"/>
            </w:tcBorders>
            <w:shd w:val="clear" w:color="auto" w:fill="E0F3EF" w:themeFill="accent1" w:themeFillTint="33"/>
            <w:vAlign w:val="bottom"/>
          </w:tcPr>
          <w:p w14:paraId="36BF6F75" w14:textId="3FD4C835" w:rsidR="00CE4353" w:rsidRPr="00A916BA" w:rsidRDefault="00CE4353" w:rsidP="005C2FFF">
            <w:pPr>
              <w:suppressAutoHyphens w:val="0"/>
              <w:spacing w:before="0" w:after="0" w:line="240" w:lineRule="auto"/>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b/>
                <w:bCs/>
                <w:sz w:val="20"/>
                <w:szCs w:val="20"/>
                <w:lang w:val="en-AU" w:eastAsia="en-AU"/>
              </w:rPr>
              <w:t>Samoa Economic Infrastructure Program</w:t>
            </w:r>
          </w:p>
        </w:tc>
        <w:tc>
          <w:tcPr>
            <w:tcW w:w="1276" w:type="dxa"/>
            <w:tcBorders>
              <w:top w:val="none" w:sz="0" w:space="0" w:color="auto"/>
              <w:bottom w:val="nil"/>
            </w:tcBorders>
            <w:shd w:val="clear" w:color="auto" w:fill="E0F3EF" w:themeFill="accent1" w:themeFillTint="33"/>
          </w:tcPr>
          <w:p w14:paraId="6923A169" w14:textId="7866BD62"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AU"/>
              </w:rPr>
            </w:pPr>
            <w:r w:rsidRPr="00A916BA">
              <w:rPr>
                <w:rFonts w:asciiTheme="minorHAnsi" w:eastAsia="Times New Roman" w:hAnsiTheme="minorHAnsi" w:cstheme="minorHAnsi"/>
                <w:sz w:val="20"/>
                <w:szCs w:val="20"/>
                <w:lang w:val="en-AU" w:eastAsia="en-AU"/>
              </w:rPr>
              <w:t>2022</w:t>
            </w:r>
            <w:r w:rsidR="00B271E8">
              <w:rPr>
                <w:rFonts w:asciiTheme="minorHAnsi" w:eastAsia="Times New Roman" w:hAnsiTheme="minorHAnsi" w:cstheme="minorHAnsi"/>
                <w:sz w:val="20"/>
                <w:szCs w:val="20"/>
                <w:lang w:val="en-AU" w:eastAsia="en-AU"/>
              </w:rPr>
              <w:t xml:space="preserve"> FIMR</w:t>
            </w:r>
          </w:p>
        </w:tc>
        <w:tc>
          <w:tcPr>
            <w:tcW w:w="1276" w:type="dxa"/>
            <w:tcBorders>
              <w:top w:val="none" w:sz="0" w:space="0" w:color="auto"/>
              <w:bottom w:val="nil"/>
            </w:tcBorders>
            <w:shd w:val="clear" w:color="auto" w:fill="E0F3EF" w:themeFill="accent1" w:themeFillTint="33"/>
            <w:noWrap/>
          </w:tcPr>
          <w:p w14:paraId="16F4250B" w14:textId="29541BE4"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3</w:t>
            </w:r>
          </w:p>
        </w:tc>
        <w:tc>
          <w:tcPr>
            <w:tcW w:w="1134" w:type="dxa"/>
            <w:tcBorders>
              <w:top w:val="none" w:sz="0" w:space="0" w:color="auto"/>
              <w:bottom w:val="nil"/>
            </w:tcBorders>
            <w:shd w:val="clear" w:color="auto" w:fill="E0F3EF" w:themeFill="accent1" w:themeFillTint="33"/>
            <w:noWrap/>
          </w:tcPr>
          <w:p w14:paraId="2F3DE00D" w14:textId="1ABECAAE"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3</w:t>
            </w:r>
          </w:p>
        </w:tc>
        <w:tc>
          <w:tcPr>
            <w:tcW w:w="1276" w:type="dxa"/>
            <w:tcBorders>
              <w:top w:val="none" w:sz="0" w:space="0" w:color="auto"/>
              <w:bottom w:val="nil"/>
            </w:tcBorders>
            <w:shd w:val="clear" w:color="auto" w:fill="E0F3EF" w:themeFill="accent1" w:themeFillTint="33"/>
            <w:noWrap/>
          </w:tcPr>
          <w:p w14:paraId="73C93061" w14:textId="24722850"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3</w:t>
            </w:r>
          </w:p>
        </w:tc>
      </w:tr>
      <w:tr w:rsidR="00A916BA" w:rsidRPr="00A916BA" w14:paraId="5D16904F" w14:textId="77777777" w:rsidTr="0022531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il"/>
            </w:tcBorders>
            <w:shd w:val="clear" w:color="auto" w:fill="E0F3EF" w:themeFill="accent1" w:themeFillTint="33"/>
          </w:tcPr>
          <w:p w14:paraId="08AA42C5" w14:textId="7299527F" w:rsidR="00CE4353" w:rsidRPr="00A916BA" w:rsidRDefault="00CE4353" w:rsidP="00CE4353">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 xml:space="preserve">Investment duration: 2012-22; Budget: $18.7m </w:t>
            </w:r>
          </w:p>
        </w:tc>
        <w:tc>
          <w:tcPr>
            <w:tcW w:w="1276" w:type="dxa"/>
            <w:tcBorders>
              <w:top w:val="nil"/>
            </w:tcBorders>
            <w:shd w:val="clear" w:color="auto" w:fill="E0F3EF" w:themeFill="accent1" w:themeFillTint="33"/>
          </w:tcPr>
          <w:p w14:paraId="06D032F9" w14:textId="33B603B0"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AU"/>
              </w:rPr>
            </w:pPr>
            <w:r w:rsidRPr="00A916BA">
              <w:rPr>
                <w:rFonts w:asciiTheme="minorHAnsi" w:eastAsia="Times New Roman" w:hAnsiTheme="minorHAnsi" w:cstheme="minorHAnsi"/>
                <w:sz w:val="20"/>
                <w:szCs w:val="20"/>
                <w:lang w:val="en-AU" w:eastAsia="en-AU"/>
              </w:rPr>
              <w:t>2021</w:t>
            </w:r>
            <w:r w:rsidR="00B271E8">
              <w:rPr>
                <w:rFonts w:asciiTheme="minorHAnsi" w:eastAsia="Times New Roman" w:hAnsiTheme="minorHAnsi" w:cstheme="minorHAnsi"/>
                <w:sz w:val="20"/>
                <w:szCs w:val="20"/>
                <w:lang w:val="en-AU" w:eastAsia="en-AU"/>
              </w:rPr>
              <w:t xml:space="preserve"> IMR</w:t>
            </w:r>
          </w:p>
        </w:tc>
        <w:tc>
          <w:tcPr>
            <w:tcW w:w="1276" w:type="dxa"/>
            <w:tcBorders>
              <w:top w:val="nil"/>
            </w:tcBorders>
            <w:shd w:val="clear" w:color="auto" w:fill="E0F3EF" w:themeFill="accent1" w:themeFillTint="33"/>
            <w:noWrap/>
          </w:tcPr>
          <w:p w14:paraId="7C401ECB" w14:textId="0DE7073D"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4</w:t>
            </w:r>
          </w:p>
        </w:tc>
        <w:tc>
          <w:tcPr>
            <w:tcW w:w="1134" w:type="dxa"/>
            <w:tcBorders>
              <w:top w:val="nil"/>
            </w:tcBorders>
            <w:shd w:val="clear" w:color="auto" w:fill="E0F3EF" w:themeFill="accent1" w:themeFillTint="33"/>
            <w:noWrap/>
          </w:tcPr>
          <w:p w14:paraId="42EA559F" w14:textId="730D6EC6"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3</w:t>
            </w:r>
          </w:p>
        </w:tc>
        <w:tc>
          <w:tcPr>
            <w:tcW w:w="1276" w:type="dxa"/>
            <w:tcBorders>
              <w:top w:val="nil"/>
            </w:tcBorders>
            <w:shd w:val="clear" w:color="auto" w:fill="E0F3EF" w:themeFill="accent1" w:themeFillTint="33"/>
            <w:noWrap/>
          </w:tcPr>
          <w:p w14:paraId="32E3829D" w14:textId="655F83EF"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1</w:t>
            </w:r>
          </w:p>
        </w:tc>
      </w:tr>
      <w:tr w:rsidR="00A916BA" w:rsidRPr="00A916BA" w14:paraId="6F283444" w14:textId="77777777" w:rsidTr="0022531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il"/>
            </w:tcBorders>
            <w:shd w:val="clear" w:color="auto" w:fill="F2F2F2" w:themeFill="background1" w:themeFillShade="F2"/>
            <w:vAlign w:val="bottom"/>
          </w:tcPr>
          <w:p w14:paraId="5E872003" w14:textId="15DD4561" w:rsidR="00CE4353" w:rsidRPr="00A916BA" w:rsidRDefault="00CE4353" w:rsidP="005C2FFF">
            <w:pPr>
              <w:suppressAutoHyphens w:val="0"/>
              <w:spacing w:before="0" w:after="0" w:line="240" w:lineRule="auto"/>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b/>
                <w:bCs/>
                <w:sz w:val="20"/>
                <w:szCs w:val="20"/>
                <w:lang w:eastAsia="en-AU"/>
              </w:rPr>
              <w:t>Samoa Governance Support Program</w:t>
            </w:r>
          </w:p>
        </w:tc>
        <w:tc>
          <w:tcPr>
            <w:tcW w:w="1276" w:type="dxa"/>
            <w:tcBorders>
              <w:top w:val="none" w:sz="0" w:space="0" w:color="auto"/>
              <w:bottom w:val="nil"/>
            </w:tcBorders>
            <w:shd w:val="clear" w:color="auto" w:fill="F2F2F2" w:themeFill="background1" w:themeFillShade="F2"/>
          </w:tcPr>
          <w:p w14:paraId="00E4085B" w14:textId="0F51119D"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eastAsia="en-AU"/>
              </w:rPr>
              <w:t>2022</w:t>
            </w:r>
            <w:r w:rsidR="00B271E8">
              <w:rPr>
                <w:rFonts w:asciiTheme="minorHAnsi" w:eastAsia="Times New Roman" w:hAnsiTheme="minorHAnsi" w:cstheme="minorHAnsi"/>
                <w:sz w:val="20"/>
                <w:szCs w:val="20"/>
                <w:lang w:eastAsia="en-AU"/>
              </w:rPr>
              <w:t xml:space="preserve"> IMR</w:t>
            </w:r>
          </w:p>
        </w:tc>
        <w:tc>
          <w:tcPr>
            <w:tcW w:w="1276" w:type="dxa"/>
            <w:tcBorders>
              <w:top w:val="none" w:sz="0" w:space="0" w:color="auto"/>
              <w:bottom w:val="nil"/>
            </w:tcBorders>
            <w:shd w:val="clear" w:color="auto" w:fill="F2F2F2" w:themeFill="background1" w:themeFillShade="F2"/>
            <w:noWrap/>
          </w:tcPr>
          <w:p w14:paraId="472148CD" w14:textId="3C9F241B"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3</w:t>
            </w:r>
          </w:p>
        </w:tc>
        <w:tc>
          <w:tcPr>
            <w:tcW w:w="1134" w:type="dxa"/>
            <w:tcBorders>
              <w:top w:val="none" w:sz="0" w:space="0" w:color="auto"/>
              <w:bottom w:val="nil"/>
            </w:tcBorders>
            <w:shd w:val="clear" w:color="auto" w:fill="F2F2F2" w:themeFill="background1" w:themeFillShade="F2"/>
            <w:noWrap/>
          </w:tcPr>
          <w:p w14:paraId="62F2ADB9" w14:textId="4038E62B"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3</w:t>
            </w:r>
          </w:p>
        </w:tc>
        <w:tc>
          <w:tcPr>
            <w:tcW w:w="1276" w:type="dxa"/>
            <w:tcBorders>
              <w:top w:val="none" w:sz="0" w:space="0" w:color="auto"/>
              <w:bottom w:val="nil"/>
            </w:tcBorders>
            <w:shd w:val="clear" w:color="auto" w:fill="F2F2F2" w:themeFill="background1" w:themeFillShade="F2"/>
            <w:noWrap/>
          </w:tcPr>
          <w:p w14:paraId="12FF81EE" w14:textId="2335A985" w:rsidR="00CE4353" w:rsidRPr="00A916BA" w:rsidRDefault="008238B0"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2</w:t>
            </w:r>
          </w:p>
        </w:tc>
      </w:tr>
      <w:tr w:rsidR="00A916BA" w:rsidRPr="00A916BA" w14:paraId="3D1C47EB" w14:textId="77777777" w:rsidTr="0022531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il"/>
              <w:bottom w:val="none" w:sz="0" w:space="0" w:color="auto"/>
            </w:tcBorders>
            <w:shd w:val="clear" w:color="auto" w:fill="F2F2F2" w:themeFill="background1" w:themeFillShade="F2"/>
          </w:tcPr>
          <w:p w14:paraId="0B9CC39D" w14:textId="04DA1D88" w:rsidR="00CE4353" w:rsidRPr="00A916BA" w:rsidRDefault="00CE4353" w:rsidP="00CE4353">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 xml:space="preserve">Investment duration: 2018-22; Budget: $9.45m </w:t>
            </w:r>
          </w:p>
        </w:tc>
        <w:tc>
          <w:tcPr>
            <w:tcW w:w="1276" w:type="dxa"/>
            <w:tcBorders>
              <w:top w:val="nil"/>
              <w:bottom w:val="none" w:sz="0" w:space="0" w:color="auto"/>
            </w:tcBorders>
            <w:shd w:val="clear" w:color="auto" w:fill="F2F2F2" w:themeFill="background1" w:themeFillShade="F2"/>
          </w:tcPr>
          <w:p w14:paraId="18091915" w14:textId="6F5D0483"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eastAsia="en-AU"/>
              </w:rPr>
              <w:t>2021</w:t>
            </w:r>
            <w:r w:rsidR="00B271E8">
              <w:rPr>
                <w:rFonts w:asciiTheme="minorHAnsi" w:eastAsia="Times New Roman" w:hAnsiTheme="minorHAnsi" w:cstheme="minorHAnsi"/>
                <w:sz w:val="20"/>
                <w:szCs w:val="20"/>
                <w:lang w:eastAsia="en-AU"/>
              </w:rPr>
              <w:t xml:space="preserve"> FIMR</w:t>
            </w:r>
          </w:p>
        </w:tc>
        <w:tc>
          <w:tcPr>
            <w:tcW w:w="1276" w:type="dxa"/>
            <w:tcBorders>
              <w:top w:val="nil"/>
              <w:bottom w:val="none" w:sz="0" w:space="0" w:color="auto"/>
            </w:tcBorders>
            <w:shd w:val="clear" w:color="auto" w:fill="F2F2F2" w:themeFill="background1" w:themeFillShade="F2"/>
            <w:noWrap/>
          </w:tcPr>
          <w:p w14:paraId="3013F333" w14:textId="5AE880D9"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3</w:t>
            </w:r>
          </w:p>
        </w:tc>
        <w:tc>
          <w:tcPr>
            <w:tcW w:w="1134" w:type="dxa"/>
            <w:tcBorders>
              <w:top w:val="nil"/>
              <w:bottom w:val="none" w:sz="0" w:space="0" w:color="auto"/>
            </w:tcBorders>
            <w:shd w:val="clear" w:color="auto" w:fill="F2F2F2" w:themeFill="background1" w:themeFillShade="F2"/>
            <w:noWrap/>
          </w:tcPr>
          <w:p w14:paraId="0865CAB1" w14:textId="24A3E318"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3</w:t>
            </w:r>
          </w:p>
        </w:tc>
        <w:tc>
          <w:tcPr>
            <w:tcW w:w="1276" w:type="dxa"/>
            <w:tcBorders>
              <w:top w:val="nil"/>
              <w:bottom w:val="none" w:sz="0" w:space="0" w:color="auto"/>
            </w:tcBorders>
            <w:shd w:val="clear" w:color="auto" w:fill="F2F2F2" w:themeFill="background1" w:themeFillShade="F2"/>
            <w:noWrap/>
          </w:tcPr>
          <w:p w14:paraId="441D8FA3" w14:textId="3E4BD687" w:rsidR="00CE4353" w:rsidRPr="00A916BA" w:rsidRDefault="00CE4353" w:rsidP="00CE43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916BA">
              <w:rPr>
                <w:rFonts w:asciiTheme="minorHAnsi" w:eastAsia="Times New Roman" w:hAnsiTheme="minorHAnsi" w:cstheme="minorHAnsi"/>
                <w:sz w:val="20"/>
                <w:szCs w:val="20"/>
                <w:lang w:val="en-AU" w:eastAsia="en-AU"/>
              </w:rPr>
              <w:t>3</w:t>
            </w:r>
          </w:p>
        </w:tc>
      </w:tr>
    </w:tbl>
    <w:bookmarkEnd w:id="2"/>
    <w:p w14:paraId="17600418" w14:textId="5EA41F23" w:rsidR="00681633" w:rsidRPr="00A916BA" w:rsidRDefault="00681633" w:rsidP="007A4493">
      <w:pPr>
        <w:spacing w:before="240" w:after="0" w:line="240" w:lineRule="auto"/>
        <w:jc w:val="both"/>
        <w:rPr>
          <w:rFonts w:eastAsia="Times New Roman" w:cstheme="minorHAnsi"/>
          <w:sz w:val="17"/>
          <w:szCs w:val="17"/>
        </w:rPr>
      </w:pPr>
      <w:r w:rsidRPr="00A916BA">
        <w:rPr>
          <w:rFonts w:eastAsia="Times New Roman" w:cstheme="minorHAnsi"/>
          <w:b/>
          <w:sz w:val="17"/>
          <w:szCs w:val="17"/>
        </w:rPr>
        <w:t>Definitions of rating scale</w:t>
      </w:r>
      <w:r w:rsidRPr="00A916BA">
        <w:rPr>
          <w:rFonts w:eastAsia="Times New Roman" w:cstheme="minorHAnsi"/>
          <w:sz w:val="17"/>
          <w:szCs w:val="17"/>
        </w:rPr>
        <w:t>:</w:t>
      </w:r>
      <w:r w:rsidRPr="00A916BA">
        <w:rPr>
          <w:rFonts w:eastAsia="Times New Roman" w:cstheme="minorHAnsi"/>
          <w:sz w:val="17"/>
          <w:szCs w:val="17"/>
        </w:rPr>
        <w:tab/>
      </w:r>
    </w:p>
    <w:p w14:paraId="5989C7B0" w14:textId="77777777" w:rsidR="00681633" w:rsidRPr="00A916BA" w:rsidRDefault="00681633" w:rsidP="00681633">
      <w:pPr>
        <w:spacing w:before="20" w:after="20" w:line="180" w:lineRule="atLeast"/>
        <w:jc w:val="both"/>
        <w:rPr>
          <w:rFonts w:eastAsia="Times New Roman" w:cstheme="minorHAnsi"/>
          <w:sz w:val="17"/>
          <w:szCs w:val="17"/>
        </w:rPr>
      </w:pPr>
      <w:r w:rsidRPr="00A916BA">
        <w:rPr>
          <w:rFonts w:eastAsia="Times New Roman" w:cstheme="minorHAnsi"/>
          <w:sz w:val="17"/>
          <w:szCs w:val="17"/>
          <w:u w:val="single"/>
        </w:rPr>
        <w:t>Satisfactory (4, 5 and 6)</w:t>
      </w:r>
    </w:p>
    <w:p w14:paraId="15BE82E8" w14:textId="77777777" w:rsidR="00681633" w:rsidRPr="00A916BA" w:rsidRDefault="00681633" w:rsidP="00681633">
      <w:pPr>
        <w:spacing w:line="240" w:lineRule="auto"/>
        <w:rPr>
          <w:rFonts w:cstheme="minorHAnsi"/>
          <w:sz w:val="16"/>
          <w:szCs w:val="16"/>
        </w:rPr>
      </w:pPr>
      <w:r w:rsidRPr="00A916BA">
        <w:rPr>
          <w:rFonts w:cstheme="minorHAnsi"/>
          <w:sz w:val="16"/>
          <w:szCs w:val="16"/>
        </w:rPr>
        <w:t xml:space="preserve">6 = Very good; satisfies criteria in all areas. </w:t>
      </w:r>
      <w:r w:rsidRPr="00A916BA">
        <w:rPr>
          <w:rFonts w:cstheme="minorHAnsi"/>
          <w:sz w:val="16"/>
          <w:szCs w:val="16"/>
        </w:rPr>
        <w:br/>
        <w:t>5 = Good; satisfies criteria in almost all areas.</w:t>
      </w:r>
      <w:r w:rsidRPr="00A916BA">
        <w:rPr>
          <w:rFonts w:cstheme="minorHAnsi"/>
          <w:sz w:val="16"/>
          <w:szCs w:val="16"/>
        </w:rPr>
        <w:br/>
        <w:t>4 = Adequate; on balance, satisfies criteria; does not fail in any major area.</w:t>
      </w:r>
    </w:p>
    <w:p w14:paraId="48B0BB33" w14:textId="77777777" w:rsidR="00681633" w:rsidRPr="00A916BA" w:rsidRDefault="00681633" w:rsidP="00681633">
      <w:pPr>
        <w:spacing w:line="240" w:lineRule="auto"/>
        <w:rPr>
          <w:rFonts w:cstheme="minorHAnsi"/>
          <w:sz w:val="16"/>
          <w:szCs w:val="16"/>
          <w:u w:val="single"/>
        </w:rPr>
      </w:pPr>
      <w:r w:rsidRPr="00A916BA">
        <w:rPr>
          <w:rFonts w:cstheme="minorHAnsi"/>
          <w:sz w:val="16"/>
          <w:szCs w:val="16"/>
          <w:u w:val="single"/>
        </w:rPr>
        <w:t>Less than satisfactory (1, 2 and 3)</w:t>
      </w:r>
    </w:p>
    <w:p w14:paraId="4DC45723" w14:textId="62D36230" w:rsidR="00681633" w:rsidRPr="00003AC7" w:rsidRDefault="00681633">
      <w:pPr>
        <w:spacing w:before="0" w:after="0" w:line="240" w:lineRule="auto"/>
        <w:rPr>
          <w:rFonts w:cstheme="minorHAnsi"/>
          <w:color w:val="auto"/>
        </w:rPr>
      </w:pPr>
      <w:r w:rsidRPr="00A916BA">
        <w:rPr>
          <w:rFonts w:cstheme="minorHAnsi"/>
          <w:sz w:val="16"/>
          <w:szCs w:val="16"/>
        </w:rPr>
        <w:t>3 = Less than adequate; on balance does not satisfy criteria and/or fails in at least one major area.</w:t>
      </w:r>
      <w:r w:rsidRPr="00A916BA">
        <w:rPr>
          <w:rFonts w:cstheme="minorHAnsi"/>
          <w:sz w:val="16"/>
          <w:szCs w:val="16"/>
        </w:rPr>
        <w:br/>
        <w:t>2 = Poor; does not satisfy criteria in major areas.</w:t>
      </w:r>
      <w:r w:rsidRPr="00A916BA">
        <w:rPr>
          <w:rFonts w:cstheme="minorHAnsi"/>
          <w:sz w:val="16"/>
          <w:szCs w:val="16"/>
        </w:rPr>
        <w:br/>
        <w:t xml:space="preserve">1 = Very poor; does not satisfy criteria in many major </w:t>
      </w:r>
      <w:proofErr w:type="gramStart"/>
      <w:r w:rsidRPr="00A916BA">
        <w:rPr>
          <w:rFonts w:cstheme="minorHAnsi"/>
          <w:sz w:val="16"/>
          <w:szCs w:val="16"/>
        </w:rPr>
        <w:t>area</w:t>
      </w:r>
      <w:proofErr w:type="gramEnd"/>
      <w:r w:rsidRPr="00A916BA">
        <w:rPr>
          <w:rFonts w:cstheme="minorHAnsi"/>
        </w:rPr>
        <w:t>.</w:t>
      </w:r>
      <w:r w:rsidRPr="00003AC7">
        <w:rPr>
          <w:rFonts w:cstheme="minorHAnsi"/>
          <w:color w:val="auto"/>
        </w:rPr>
        <w:br/>
      </w:r>
    </w:p>
    <w:sectPr w:rsidR="00681633" w:rsidRPr="00003AC7"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E30F6" w14:textId="77777777" w:rsidR="00130A22" w:rsidRDefault="00130A22" w:rsidP="00D37B04">
      <w:r>
        <w:separator/>
      </w:r>
    </w:p>
  </w:endnote>
  <w:endnote w:type="continuationSeparator" w:id="0">
    <w:p w14:paraId="396F09CE" w14:textId="77777777" w:rsidR="00130A22" w:rsidRDefault="00130A22"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0BB5A1F" w14:textId="48DF557C" w:rsidR="0005564F" w:rsidRDefault="0005564F">
        <w:pPr>
          <w:pStyle w:val="Footer"/>
          <w:jc w:val="center"/>
          <w:rPr>
            <w:color w:val="auto"/>
          </w:rPr>
        </w:pPr>
        <w:r>
          <w:rPr>
            <w:noProof/>
            <w:color w:val="auto"/>
          </w:rPr>
          <w:drawing>
            <wp:anchor distT="0" distB="0" distL="114300" distR="114300" simplePos="0" relativeHeight="251658240" behindDoc="1" locked="0" layoutInCell="1" allowOverlap="1" wp14:anchorId="0A9940EE" wp14:editId="4060A275">
              <wp:simplePos x="0" y="0"/>
              <wp:positionH relativeFrom="margin">
                <wp:align>left</wp:align>
              </wp:positionH>
              <wp:positionV relativeFrom="paragraph">
                <wp:posOffset>5163</wp:posOffset>
              </wp:positionV>
              <wp:extent cx="6629948" cy="357173"/>
              <wp:effectExtent l="0" t="0" r="0"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1D3DDD" w:rsidRPr="0042526D" w:rsidRDefault="001D3DDD">
        <w:pPr>
          <w:pStyle w:val="Footer"/>
          <w:jc w:val="cen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sidRPr="0042526D">
          <w:rPr>
            <w:noProof/>
            <w:color w:val="auto"/>
            <w:sz w:val="20"/>
            <w:szCs w:val="20"/>
          </w:rPr>
          <w:t>2</w:t>
        </w:r>
        <w:r w:rsidRPr="0042526D">
          <w:rPr>
            <w:noProof/>
            <w:color w:val="auto"/>
            <w:sz w:val="20"/>
            <w:szCs w:val="20"/>
          </w:rPr>
          <w:fldChar w:fldCharType="end"/>
        </w:r>
      </w:p>
      <w:p w14:paraId="1E51B8D5" w14:textId="59F3CE97" w:rsidR="001D3DDD" w:rsidRPr="001D3DDD" w:rsidRDefault="00B326A8"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3D2DE" w14:textId="77777777" w:rsidR="00130A22" w:rsidRPr="008C5A0E" w:rsidRDefault="00130A22" w:rsidP="00D37B04">
      <w:pPr>
        <w:pStyle w:val="Footer"/>
      </w:pPr>
    </w:p>
  </w:footnote>
  <w:footnote w:type="continuationSeparator" w:id="0">
    <w:p w14:paraId="35B8A425" w14:textId="77777777" w:rsidR="00130A22" w:rsidRDefault="00130A22"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7E92" w14:textId="07889561" w:rsidR="009131E9" w:rsidRDefault="009131E9" w:rsidP="007A4493">
    <w:pPr>
      <w:pStyle w:val="Header"/>
      <w:ind w:left="0"/>
    </w:pPr>
    <w:r w:rsidRPr="00A12B40">
      <w:rPr>
        <w:i/>
        <w:noProof/>
        <w:lang w:val="en-AU" w:eastAsia="en-AU"/>
      </w:rPr>
      <w:drawing>
        <wp:inline distT="0" distB="0" distL="0" distR="0" wp14:anchorId="7248A92F" wp14:editId="7CBD7E78">
          <wp:extent cx="6718853" cy="707390"/>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6" name="Picture 6"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919EA"/>
    <w:multiLevelType w:val="hybridMultilevel"/>
    <w:tmpl w:val="9634CCDC"/>
    <w:lvl w:ilvl="0" w:tplc="20500622">
      <w:start w:val="27"/>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4E53F7"/>
    <w:multiLevelType w:val="hybridMultilevel"/>
    <w:tmpl w:val="A59827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220D78"/>
    <w:multiLevelType w:val="multilevel"/>
    <w:tmpl w:val="E7B6C3B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172F227E"/>
    <w:multiLevelType w:val="hybridMultilevel"/>
    <w:tmpl w:val="C96E10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6F0D1D"/>
    <w:multiLevelType w:val="multilevel"/>
    <w:tmpl w:val="8F867866"/>
    <w:name w:val="StandardBulletedList"/>
    <w:styleLink w:val="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05C7B75"/>
    <w:multiLevelType w:val="hybridMultilevel"/>
    <w:tmpl w:val="F11EC5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8F132CE"/>
    <w:multiLevelType w:val="multilevel"/>
    <w:tmpl w:val="3B7A10DE"/>
    <w:numStyleLink w:val="BulletsList"/>
  </w:abstractNum>
  <w:abstractNum w:abstractNumId="13"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490944"/>
    <w:multiLevelType w:val="hybridMultilevel"/>
    <w:tmpl w:val="0AB29DF4"/>
    <w:lvl w:ilvl="0" w:tplc="F1782FBE">
      <w:start w:val="1"/>
      <w:numFmt w:val="decimal"/>
      <w:lvlText w:val="%1."/>
      <w:lvlJc w:val="left"/>
      <w:pPr>
        <w:ind w:left="720" w:hanging="360"/>
      </w:pPr>
      <w:rPr>
        <w:rFonts w:asciiTheme="minorHAnsi" w:eastAsiaTheme="minorHAnsi" w:hAnsiTheme="minorHAnsi" w:cstheme="minorBidi"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8"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9"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F71E4C"/>
    <w:multiLevelType w:val="multilevel"/>
    <w:tmpl w:val="0CF679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0473B8"/>
    <w:multiLevelType w:val="hybridMultilevel"/>
    <w:tmpl w:val="6272393A"/>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7"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FD78BC"/>
    <w:multiLevelType w:val="multilevel"/>
    <w:tmpl w:val="48B26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130EC9"/>
    <w:multiLevelType w:val="hybridMultilevel"/>
    <w:tmpl w:val="EEACDFA0"/>
    <w:lvl w:ilvl="0" w:tplc="0C090001">
      <w:start w:val="1"/>
      <w:numFmt w:val="bullet"/>
      <w:lvlText w:val=""/>
      <w:lvlJc w:val="left"/>
      <w:pPr>
        <w:ind w:left="456" w:hanging="360"/>
      </w:pPr>
      <w:rPr>
        <w:rFonts w:ascii="Symbol" w:hAnsi="Symbol" w:hint="default"/>
      </w:rPr>
    </w:lvl>
    <w:lvl w:ilvl="1" w:tplc="0C090003" w:tentative="1">
      <w:start w:val="1"/>
      <w:numFmt w:val="bullet"/>
      <w:lvlText w:val="o"/>
      <w:lvlJc w:val="left"/>
      <w:pPr>
        <w:ind w:left="1176" w:hanging="360"/>
      </w:pPr>
      <w:rPr>
        <w:rFonts w:ascii="Courier New" w:hAnsi="Courier New" w:cs="Courier New" w:hint="default"/>
      </w:rPr>
    </w:lvl>
    <w:lvl w:ilvl="2" w:tplc="0C090005" w:tentative="1">
      <w:start w:val="1"/>
      <w:numFmt w:val="bullet"/>
      <w:lvlText w:val=""/>
      <w:lvlJc w:val="left"/>
      <w:pPr>
        <w:ind w:left="1896" w:hanging="360"/>
      </w:pPr>
      <w:rPr>
        <w:rFonts w:ascii="Wingdings" w:hAnsi="Wingdings" w:hint="default"/>
      </w:rPr>
    </w:lvl>
    <w:lvl w:ilvl="3" w:tplc="0C090001" w:tentative="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3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7B943528"/>
    <w:multiLevelType w:val="hybridMultilevel"/>
    <w:tmpl w:val="1EC85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3"/>
  </w:num>
  <w:num w:numId="3">
    <w:abstractNumId w:val="10"/>
  </w:num>
  <w:num w:numId="4">
    <w:abstractNumId w:val="20"/>
  </w:num>
  <w:num w:numId="5">
    <w:abstractNumId w:val="23"/>
  </w:num>
  <w:num w:numId="6">
    <w:abstractNumId w:val="10"/>
  </w:num>
  <w:num w:numId="7">
    <w:abstractNumId w:val="3"/>
  </w:num>
  <w:num w:numId="8">
    <w:abstractNumId w:val="6"/>
  </w:num>
  <w:num w:numId="9">
    <w:abstractNumId w:val="35"/>
  </w:num>
  <w:num w:numId="10">
    <w:abstractNumId w:val="12"/>
  </w:num>
  <w:num w:numId="11">
    <w:abstractNumId w:val="18"/>
  </w:num>
  <w:num w:numId="12">
    <w:abstractNumId w:val="19"/>
  </w:num>
  <w:num w:numId="13">
    <w:abstractNumId w:val="0"/>
  </w:num>
  <w:num w:numId="14">
    <w:abstractNumId w:val="17"/>
  </w:num>
  <w:num w:numId="15">
    <w:abstractNumId w:val="21"/>
  </w:num>
  <w:num w:numId="16">
    <w:abstractNumId w:val="27"/>
  </w:num>
  <w:num w:numId="17">
    <w:abstractNumId w:val="8"/>
  </w:num>
  <w:num w:numId="18">
    <w:abstractNumId w:val="22"/>
  </w:num>
  <w:num w:numId="19">
    <w:abstractNumId w:val="33"/>
  </w:num>
  <w:num w:numId="20">
    <w:abstractNumId w:val="15"/>
  </w:num>
  <w:num w:numId="21">
    <w:abstractNumId w:val="31"/>
  </w:num>
  <w:num w:numId="22">
    <w:abstractNumId w:val="13"/>
  </w:num>
  <w:num w:numId="23">
    <w:abstractNumId w:val="4"/>
  </w:num>
  <w:num w:numId="24">
    <w:abstractNumId w:val="29"/>
  </w:num>
  <w:num w:numId="25">
    <w:abstractNumId w:val="37"/>
  </w:num>
  <w:num w:numId="26">
    <w:abstractNumId w:val="16"/>
  </w:num>
  <w:num w:numId="27">
    <w:abstractNumId w:val="24"/>
  </w:num>
  <w:num w:numId="28">
    <w:abstractNumId w:val="28"/>
  </w:num>
  <w:num w:numId="29">
    <w:abstractNumId w:val="9"/>
  </w:num>
  <w:num w:numId="3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2"/>
  </w:num>
  <w:num w:numId="34">
    <w:abstractNumId w:val="14"/>
  </w:num>
  <w:num w:numId="35">
    <w:abstractNumId w:val="2"/>
  </w:num>
  <w:num w:numId="36">
    <w:abstractNumId w:val="25"/>
  </w:num>
  <w:num w:numId="37">
    <w:abstractNumId w:val="1"/>
  </w:num>
  <w:num w:numId="38">
    <w:abstractNumId w:val="26"/>
  </w:num>
  <w:num w:numId="39">
    <w:abstractNumId w:val="11"/>
  </w:num>
  <w:num w:numId="40">
    <w:abstractNumId w:val="7"/>
  </w:num>
  <w:num w:numId="41">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0CCF"/>
    <w:rsid w:val="00001DA8"/>
    <w:rsid w:val="000020C1"/>
    <w:rsid w:val="00003AC7"/>
    <w:rsid w:val="00010006"/>
    <w:rsid w:val="000100B1"/>
    <w:rsid w:val="00010C68"/>
    <w:rsid w:val="00011235"/>
    <w:rsid w:val="00011EE7"/>
    <w:rsid w:val="00015AB7"/>
    <w:rsid w:val="00015DC0"/>
    <w:rsid w:val="000168A1"/>
    <w:rsid w:val="0002080A"/>
    <w:rsid w:val="00020E63"/>
    <w:rsid w:val="000269BB"/>
    <w:rsid w:val="0002782F"/>
    <w:rsid w:val="00031486"/>
    <w:rsid w:val="000314BA"/>
    <w:rsid w:val="00032DD9"/>
    <w:rsid w:val="000330E1"/>
    <w:rsid w:val="0003447C"/>
    <w:rsid w:val="00035BBF"/>
    <w:rsid w:val="00035CBC"/>
    <w:rsid w:val="000375CF"/>
    <w:rsid w:val="000417C3"/>
    <w:rsid w:val="00041CA8"/>
    <w:rsid w:val="000444F3"/>
    <w:rsid w:val="00044AD7"/>
    <w:rsid w:val="00050806"/>
    <w:rsid w:val="00051F3B"/>
    <w:rsid w:val="0005417C"/>
    <w:rsid w:val="000546D9"/>
    <w:rsid w:val="00054E4D"/>
    <w:rsid w:val="0005564F"/>
    <w:rsid w:val="00055880"/>
    <w:rsid w:val="00056F24"/>
    <w:rsid w:val="00060073"/>
    <w:rsid w:val="000616C6"/>
    <w:rsid w:val="00061D55"/>
    <w:rsid w:val="0006395C"/>
    <w:rsid w:val="0007468E"/>
    <w:rsid w:val="00075D07"/>
    <w:rsid w:val="00077393"/>
    <w:rsid w:val="00080A6C"/>
    <w:rsid w:val="000811CA"/>
    <w:rsid w:val="000822AD"/>
    <w:rsid w:val="00082C04"/>
    <w:rsid w:val="000854FD"/>
    <w:rsid w:val="0009676B"/>
    <w:rsid w:val="000A39DD"/>
    <w:rsid w:val="000A407E"/>
    <w:rsid w:val="000A4C19"/>
    <w:rsid w:val="000A5D98"/>
    <w:rsid w:val="000A6BEB"/>
    <w:rsid w:val="000B37F5"/>
    <w:rsid w:val="000B40E9"/>
    <w:rsid w:val="000B5DA7"/>
    <w:rsid w:val="000B6007"/>
    <w:rsid w:val="000B78E6"/>
    <w:rsid w:val="000B7FF4"/>
    <w:rsid w:val="000C3A4C"/>
    <w:rsid w:val="000C4411"/>
    <w:rsid w:val="000C64FC"/>
    <w:rsid w:val="000D003A"/>
    <w:rsid w:val="000D1E8E"/>
    <w:rsid w:val="000D2896"/>
    <w:rsid w:val="000D66D6"/>
    <w:rsid w:val="000D71B7"/>
    <w:rsid w:val="000E066D"/>
    <w:rsid w:val="000E1045"/>
    <w:rsid w:val="000E1AFA"/>
    <w:rsid w:val="000E5677"/>
    <w:rsid w:val="000E58BF"/>
    <w:rsid w:val="000E6C44"/>
    <w:rsid w:val="000F1286"/>
    <w:rsid w:val="000F2600"/>
    <w:rsid w:val="000F7326"/>
    <w:rsid w:val="000F7504"/>
    <w:rsid w:val="000F78C9"/>
    <w:rsid w:val="001069CC"/>
    <w:rsid w:val="00107404"/>
    <w:rsid w:val="00107E4D"/>
    <w:rsid w:val="00113288"/>
    <w:rsid w:val="0011475A"/>
    <w:rsid w:val="00116E9F"/>
    <w:rsid w:val="00117619"/>
    <w:rsid w:val="001203A0"/>
    <w:rsid w:val="00120B01"/>
    <w:rsid w:val="001214BE"/>
    <w:rsid w:val="0012165D"/>
    <w:rsid w:val="00121DDD"/>
    <w:rsid w:val="001227F1"/>
    <w:rsid w:val="001233C1"/>
    <w:rsid w:val="00123867"/>
    <w:rsid w:val="0012777F"/>
    <w:rsid w:val="00130651"/>
    <w:rsid w:val="00130A22"/>
    <w:rsid w:val="00130D83"/>
    <w:rsid w:val="00130F01"/>
    <w:rsid w:val="0013101C"/>
    <w:rsid w:val="001328F2"/>
    <w:rsid w:val="0013334D"/>
    <w:rsid w:val="0013385F"/>
    <w:rsid w:val="00134AEA"/>
    <w:rsid w:val="00135C38"/>
    <w:rsid w:val="00137C6B"/>
    <w:rsid w:val="00137F4E"/>
    <w:rsid w:val="00141203"/>
    <w:rsid w:val="0014542A"/>
    <w:rsid w:val="001461D6"/>
    <w:rsid w:val="00146E07"/>
    <w:rsid w:val="0015102C"/>
    <w:rsid w:val="00152247"/>
    <w:rsid w:val="001541EA"/>
    <w:rsid w:val="0016223D"/>
    <w:rsid w:val="00163DB1"/>
    <w:rsid w:val="00166032"/>
    <w:rsid w:val="001662F8"/>
    <w:rsid w:val="001700A5"/>
    <w:rsid w:val="00170ECF"/>
    <w:rsid w:val="001751DA"/>
    <w:rsid w:val="00177132"/>
    <w:rsid w:val="0018080D"/>
    <w:rsid w:val="001841C8"/>
    <w:rsid w:val="00186B4B"/>
    <w:rsid w:val="00187DE0"/>
    <w:rsid w:val="00193C49"/>
    <w:rsid w:val="00194D1D"/>
    <w:rsid w:val="001A2653"/>
    <w:rsid w:val="001A51EE"/>
    <w:rsid w:val="001A5CF2"/>
    <w:rsid w:val="001A7815"/>
    <w:rsid w:val="001B1C4A"/>
    <w:rsid w:val="001B4D98"/>
    <w:rsid w:val="001B7775"/>
    <w:rsid w:val="001B78DA"/>
    <w:rsid w:val="001C14F4"/>
    <w:rsid w:val="001C1F11"/>
    <w:rsid w:val="001C483F"/>
    <w:rsid w:val="001C72C5"/>
    <w:rsid w:val="001C753D"/>
    <w:rsid w:val="001D1A8F"/>
    <w:rsid w:val="001D3C98"/>
    <w:rsid w:val="001D3DDD"/>
    <w:rsid w:val="001D4091"/>
    <w:rsid w:val="001D41D9"/>
    <w:rsid w:val="001D4AC8"/>
    <w:rsid w:val="001D663E"/>
    <w:rsid w:val="001E03BE"/>
    <w:rsid w:val="001E1DC0"/>
    <w:rsid w:val="001E357F"/>
    <w:rsid w:val="001E563B"/>
    <w:rsid w:val="001E6D20"/>
    <w:rsid w:val="001F16E7"/>
    <w:rsid w:val="001F390D"/>
    <w:rsid w:val="001F5D35"/>
    <w:rsid w:val="001F63EC"/>
    <w:rsid w:val="001F7A8B"/>
    <w:rsid w:val="001F7F4D"/>
    <w:rsid w:val="002006EA"/>
    <w:rsid w:val="00204D5E"/>
    <w:rsid w:val="00211706"/>
    <w:rsid w:val="002144E1"/>
    <w:rsid w:val="002160F6"/>
    <w:rsid w:val="00216593"/>
    <w:rsid w:val="00216699"/>
    <w:rsid w:val="00216C55"/>
    <w:rsid w:val="00217A42"/>
    <w:rsid w:val="002231BD"/>
    <w:rsid w:val="0022531C"/>
    <w:rsid w:val="002267BC"/>
    <w:rsid w:val="002270F7"/>
    <w:rsid w:val="0022790D"/>
    <w:rsid w:val="0023108F"/>
    <w:rsid w:val="00232174"/>
    <w:rsid w:val="00232470"/>
    <w:rsid w:val="0023290B"/>
    <w:rsid w:val="00232C33"/>
    <w:rsid w:val="002345AA"/>
    <w:rsid w:val="00235B36"/>
    <w:rsid w:val="00237800"/>
    <w:rsid w:val="00237D8D"/>
    <w:rsid w:val="002404E8"/>
    <w:rsid w:val="00244229"/>
    <w:rsid w:val="002443C7"/>
    <w:rsid w:val="00244C4B"/>
    <w:rsid w:val="00247365"/>
    <w:rsid w:val="00250C7E"/>
    <w:rsid w:val="00251E9D"/>
    <w:rsid w:val="00253605"/>
    <w:rsid w:val="00255F45"/>
    <w:rsid w:val="00260A77"/>
    <w:rsid w:val="0026145E"/>
    <w:rsid w:val="00261565"/>
    <w:rsid w:val="00261FF3"/>
    <w:rsid w:val="00270C70"/>
    <w:rsid w:val="002716E6"/>
    <w:rsid w:val="002721B5"/>
    <w:rsid w:val="002725B4"/>
    <w:rsid w:val="00272957"/>
    <w:rsid w:val="0028358C"/>
    <w:rsid w:val="0028602A"/>
    <w:rsid w:val="002937D2"/>
    <w:rsid w:val="002945C4"/>
    <w:rsid w:val="0029663F"/>
    <w:rsid w:val="00297258"/>
    <w:rsid w:val="002973CF"/>
    <w:rsid w:val="00297FD1"/>
    <w:rsid w:val="002B3381"/>
    <w:rsid w:val="002B5E10"/>
    <w:rsid w:val="002C0527"/>
    <w:rsid w:val="002C0C3D"/>
    <w:rsid w:val="002C1238"/>
    <w:rsid w:val="002C793D"/>
    <w:rsid w:val="002D05BE"/>
    <w:rsid w:val="002D0D06"/>
    <w:rsid w:val="002D0F6B"/>
    <w:rsid w:val="002D107B"/>
    <w:rsid w:val="002D1654"/>
    <w:rsid w:val="002D25D9"/>
    <w:rsid w:val="002D35C9"/>
    <w:rsid w:val="002D4108"/>
    <w:rsid w:val="002D41A9"/>
    <w:rsid w:val="002D430F"/>
    <w:rsid w:val="002D5B25"/>
    <w:rsid w:val="002D5FFC"/>
    <w:rsid w:val="002D626F"/>
    <w:rsid w:val="002E2AF4"/>
    <w:rsid w:val="002E38B2"/>
    <w:rsid w:val="002E500A"/>
    <w:rsid w:val="002E665F"/>
    <w:rsid w:val="002F03FB"/>
    <w:rsid w:val="002F0903"/>
    <w:rsid w:val="002F4D59"/>
    <w:rsid w:val="002F4F2B"/>
    <w:rsid w:val="002F5367"/>
    <w:rsid w:val="002F5F91"/>
    <w:rsid w:val="002F6581"/>
    <w:rsid w:val="002F67AE"/>
    <w:rsid w:val="002F69B8"/>
    <w:rsid w:val="003002C0"/>
    <w:rsid w:val="00301144"/>
    <w:rsid w:val="003031C6"/>
    <w:rsid w:val="00304984"/>
    <w:rsid w:val="00311946"/>
    <w:rsid w:val="00312BF8"/>
    <w:rsid w:val="003148B7"/>
    <w:rsid w:val="003158C3"/>
    <w:rsid w:val="00320DC8"/>
    <w:rsid w:val="00325031"/>
    <w:rsid w:val="003274CD"/>
    <w:rsid w:val="00330EE8"/>
    <w:rsid w:val="00333501"/>
    <w:rsid w:val="003354B8"/>
    <w:rsid w:val="003369E4"/>
    <w:rsid w:val="003406AF"/>
    <w:rsid w:val="003457C4"/>
    <w:rsid w:val="00346041"/>
    <w:rsid w:val="00346992"/>
    <w:rsid w:val="00346F56"/>
    <w:rsid w:val="0035119D"/>
    <w:rsid w:val="00351A19"/>
    <w:rsid w:val="003535F8"/>
    <w:rsid w:val="00354641"/>
    <w:rsid w:val="00354E7F"/>
    <w:rsid w:val="0035532B"/>
    <w:rsid w:val="003601F4"/>
    <w:rsid w:val="003622C1"/>
    <w:rsid w:val="00363275"/>
    <w:rsid w:val="00363A9F"/>
    <w:rsid w:val="003664FE"/>
    <w:rsid w:val="00374E55"/>
    <w:rsid w:val="00375D23"/>
    <w:rsid w:val="003806FE"/>
    <w:rsid w:val="00382CE7"/>
    <w:rsid w:val="00384D2A"/>
    <w:rsid w:val="00387EC8"/>
    <w:rsid w:val="0039215F"/>
    <w:rsid w:val="0039344A"/>
    <w:rsid w:val="003B1AD0"/>
    <w:rsid w:val="003B3091"/>
    <w:rsid w:val="003B390D"/>
    <w:rsid w:val="003B4A7E"/>
    <w:rsid w:val="003B4F12"/>
    <w:rsid w:val="003B5132"/>
    <w:rsid w:val="003C028C"/>
    <w:rsid w:val="003C1EF5"/>
    <w:rsid w:val="003C426B"/>
    <w:rsid w:val="003C52FB"/>
    <w:rsid w:val="003C6C4F"/>
    <w:rsid w:val="003C7D0E"/>
    <w:rsid w:val="003D095C"/>
    <w:rsid w:val="003D0CC5"/>
    <w:rsid w:val="003D1253"/>
    <w:rsid w:val="003E03B8"/>
    <w:rsid w:val="003E0545"/>
    <w:rsid w:val="003E07EB"/>
    <w:rsid w:val="003E1FB9"/>
    <w:rsid w:val="003E24BA"/>
    <w:rsid w:val="003E5DC9"/>
    <w:rsid w:val="003E6717"/>
    <w:rsid w:val="003F2041"/>
    <w:rsid w:val="003F4679"/>
    <w:rsid w:val="003F4D22"/>
    <w:rsid w:val="003F7D26"/>
    <w:rsid w:val="004007ED"/>
    <w:rsid w:val="00400D50"/>
    <w:rsid w:val="00401EC9"/>
    <w:rsid w:val="00402ACC"/>
    <w:rsid w:val="00403FD8"/>
    <w:rsid w:val="0040419E"/>
    <w:rsid w:val="00404443"/>
    <w:rsid w:val="00404602"/>
    <w:rsid w:val="00406AF4"/>
    <w:rsid w:val="004120EC"/>
    <w:rsid w:val="0041267F"/>
    <w:rsid w:val="00414AD9"/>
    <w:rsid w:val="00415C34"/>
    <w:rsid w:val="00417150"/>
    <w:rsid w:val="004218BC"/>
    <w:rsid w:val="00422ED9"/>
    <w:rsid w:val="00423DB9"/>
    <w:rsid w:val="00423DE0"/>
    <w:rsid w:val="00423F31"/>
    <w:rsid w:val="0042526D"/>
    <w:rsid w:val="00425730"/>
    <w:rsid w:val="00425C8E"/>
    <w:rsid w:val="00426340"/>
    <w:rsid w:val="004303AA"/>
    <w:rsid w:val="00431899"/>
    <w:rsid w:val="004437C9"/>
    <w:rsid w:val="00445137"/>
    <w:rsid w:val="00446F46"/>
    <w:rsid w:val="00447717"/>
    <w:rsid w:val="00450381"/>
    <w:rsid w:val="004521D0"/>
    <w:rsid w:val="004529F1"/>
    <w:rsid w:val="00453889"/>
    <w:rsid w:val="00453B1A"/>
    <w:rsid w:val="00454A8A"/>
    <w:rsid w:val="004565E3"/>
    <w:rsid w:val="0045710A"/>
    <w:rsid w:val="00461A51"/>
    <w:rsid w:val="00462A57"/>
    <w:rsid w:val="00466536"/>
    <w:rsid w:val="004708FA"/>
    <w:rsid w:val="004728DD"/>
    <w:rsid w:val="00473F2D"/>
    <w:rsid w:val="00473F39"/>
    <w:rsid w:val="00474037"/>
    <w:rsid w:val="00475782"/>
    <w:rsid w:val="00475F3F"/>
    <w:rsid w:val="004807D6"/>
    <w:rsid w:val="00482AE8"/>
    <w:rsid w:val="0048643C"/>
    <w:rsid w:val="00486804"/>
    <w:rsid w:val="00487549"/>
    <w:rsid w:val="004879FD"/>
    <w:rsid w:val="00493F17"/>
    <w:rsid w:val="00494242"/>
    <w:rsid w:val="004950F4"/>
    <w:rsid w:val="00496766"/>
    <w:rsid w:val="004A41B8"/>
    <w:rsid w:val="004A4E91"/>
    <w:rsid w:val="004A5A1A"/>
    <w:rsid w:val="004B3775"/>
    <w:rsid w:val="004C37BE"/>
    <w:rsid w:val="004C70E4"/>
    <w:rsid w:val="004D0BA0"/>
    <w:rsid w:val="004D73B8"/>
    <w:rsid w:val="004D7F36"/>
    <w:rsid w:val="004E0002"/>
    <w:rsid w:val="004E058F"/>
    <w:rsid w:val="004E1033"/>
    <w:rsid w:val="004E3B87"/>
    <w:rsid w:val="004E549D"/>
    <w:rsid w:val="004E558F"/>
    <w:rsid w:val="004F5615"/>
    <w:rsid w:val="004F63BA"/>
    <w:rsid w:val="004F7C0F"/>
    <w:rsid w:val="00502041"/>
    <w:rsid w:val="00503EB4"/>
    <w:rsid w:val="00505721"/>
    <w:rsid w:val="0050592F"/>
    <w:rsid w:val="005102AC"/>
    <w:rsid w:val="00510921"/>
    <w:rsid w:val="00510AD3"/>
    <w:rsid w:val="0051269C"/>
    <w:rsid w:val="00513348"/>
    <w:rsid w:val="00513AD8"/>
    <w:rsid w:val="00516D46"/>
    <w:rsid w:val="00517DD0"/>
    <w:rsid w:val="005204D2"/>
    <w:rsid w:val="00522396"/>
    <w:rsid w:val="00525F4C"/>
    <w:rsid w:val="00526423"/>
    <w:rsid w:val="00527AD8"/>
    <w:rsid w:val="005303B9"/>
    <w:rsid w:val="0053159D"/>
    <w:rsid w:val="00531B69"/>
    <w:rsid w:val="00533B5D"/>
    <w:rsid w:val="00534D96"/>
    <w:rsid w:val="00536343"/>
    <w:rsid w:val="00536BAB"/>
    <w:rsid w:val="00540A22"/>
    <w:rsid w:val="00541F22"/>
    <w:rsid w:val="00546877"/>
    <w:rsid w:val="005474FC"/>
    <w:rsid w:val="00553079"/>
    <w:rsid w:val="0055356D"/>
    <w:rsid w:val="00554E37"/>
    <w:rsid w:val="00556916"/>
    <w:rsid w:val="005579C6"/>
    <w:rsid w:val="00560E83"/>
    <w:rsid w:val="0057085A"/>
    <w:rsid w:val="00571315"/>
    <w:rsid w:val="005736BB"/>
    <w:rsid w:val="00577815"/>
    <w:rsid w:val="005822D6"/>
    <w:rsid w:val="00582751"/>
    <w:rsid w:val="005838FD"/>
    <w:rsid w:val="005839E5"/>
    <w:rsid w:val="0058714A"/>
    <w:rsid w:val="00597FA0"/>
    <w:rsid w:val="005A053D"/>
    <w:rsid w:val="005A0FE3"/>
    <w:rsid w:val="005A20F6"/>
    <w:rsid w:val="005A257E"/>
    <w:rsid w:val="005A390C"/>
    <w:rsid w:val="005A5C68"/>
    <w:rsid w:val="005B0888"/>
    <w:rsid w:val="005B3C97"/>
    <w:rsid w:val="005B4B74"/>
    <w:rsid w:val="005B7577"/>
    <w:rsid w:val="005C2EC9"/>
    <w:rsid w:val="005C2FFF"/>
    <w:rsid w:val="005C532B"/>
    <w:rsid w:val="005C6046"/>
    <w:rsid w:val="005D3655"/>
    <w:rsid w:val="005D5489"/>
    <w:rsid w:val="005D69AA"/>
    <w:rsid w:val="005D7F03"/>
    <w:rsid w:val="005E0058"/>
    <w:rsid w:val="005E04D1"/>
    <w:rsid w:val="005E2C29"/>
    <w:rsid w:val="005E4830"/>
    <w:rsid w:val="005E5524"/>
    <w:rsid w:val="005E73CC"/>
    <w:rsid w:val="005F176A"/>
    <w:rsid w:val="005F18BD"/>
    <w:rsid w:val="005F2F66"/>
    <w:rsid w:val="006031AC"/>
    <w:rsid w:val="00603321"/>
    <w:rsid w:val="0060342A"/>
    <w:rsid w:val="0060558D"/>
    <w:rsid w:val="0061227F"/>
    <w:rsid w:val="00613875"/>
    <w:rsid w:val="00614B9D"/>
    <w:rsid w:val="00616A58"/>
    <w:rsid w:val="00620A3D"/>
    <w:rsid w:val="0062130C"/>
    <w:rsid w:val="00622B86"/>
    <w:rsid w:val="00623BA1"/>
    <w:rsid w:val="00623D13"/>
    <w:rsid w:val="00626DF6"/>
    <w:rsid w:val="006271F6"/>
    <w:rsid w:val="00630092"/>
    <w:rsid w:val="006346BC"/>
    <w:rsid w:val="006362FF"/>
    <w:rsid w:val="006378FE"/>
    <w:rsid w:val="0064042C"/>
    <w:rsid w:val="006408FF"/>
    <w:rsid w:val="0064487D"/>
    <w:rsid w:val="00645A38"/>
    <w:rsid w:val="006466A4"/>
    <w:rsid w:val="00650D52"/>
    <w:rsid w:val="00651312"/>
    <w:rsid w:val="0065649B"/>
    <w:rsid w:val="006565DD"/>
    <w:rsid w:val="0065784B"/>
    <w:rsid w:val="0066203A"/>
    <w:rsid w:val="0066222D"/>
    <w:rsid w:val="00664B36"/>
    <w:rsid w:val="006651C3"/>
    <w:rsid w:val="0066652A"/>
    <w:rsid w:val="00667014"/>
    <w:rsid w:val="006719C3"/>
    <w:rsid w:val="0067374D"/>
    <w:rsid w:val="006745FC"/>
    <w:rsid w:val="006750D9"/>
    <w:rsid w:val="00677DD7"/>
    <w:rsid w:val="00680115"/>
    <w:rsid w:val="00680407"/>
    <w:rsid w:val="006804E5"/>
    <w:rsid w:val="00680522"/>
    <w:rsid w:val="00681633"/>
    <w:rsid w:val="00682167"/>
    <w:rsid w:val="00682843"/>
    <w:rsid w:val="00685BA6"/>
    <w:rsid w:val="00685BCD"/>
    <w:rsid w:val="006902D0"/>
    <w:rsid w:val="00690AE1"/>
    <w:rsid w:val="006937CD"/>
    <w:rsid w:val="006A4A36"/>
    <w:rsid w:val="006A67AE"/>
    <w:rsid w:val="006A6F52"/>
    <w:rsid w:val="006A791A"/>
    <w:rsid w:val="006B0064"/>
    <w:rsid w:val="006B1F40"/>
    <w:rsid w:val="006B34C9"/>
    <w:rsid w:val="006B3E95"/>
    <w:rsid w:val="006B51B2"/>
    <w:rsid w:val="006B6F6D"/>
    <w:rsid w:val="006C09AF"/>
    <w:rsid w:val="006C0B06"/>
    <w:rsid w:val="006C3BBD"/>
    <w:rsid w:val="006C42AF"/>
    <w:rsid w:val="006C4C8D"/>
    <w:rsid w:val="006C565B"/>
    <w:rsid w:val="006C6498"/>
    <w:rsid w:val="006D15F1"/>
    <w:rsid w:val="006D5A56"/>
    <w:rsid w:val="006D78EE"/>
    <w:rsid w:val="006E0FDF"/>
    <w:rsid w:val="006E4323"/>
    <w:rsid w:val="006F08D8"/>
    <w:rsid w:val="006F1EB1"/>
    <w:rsid w:val="006F2F17"/>
    <w:rsid w:val="006F3537"/>
    <w:rsid w:val="006F59F1"/>
    <w:rsid w:val="006F5EB4"/>
    <w:rsid w:val="006F6620"/>
    <w:rsid w:val="006F6BA7"/>
    <w:rsid w:val="00704782"/>
    <w:rsid w:val="00704A4C"/>
    <w:rsid w:val="00706136"/>
    <w:rsid w:val="007075DF"/>
    <w:rsid w:val="00707969"/>
    <w:rsid w:val="00711850"/>
    <w:rsid w:val="00711D8E"/>
    <w:rsid w:val="00712672"/>
    <w:rsid w:val="00712B0C"/>
    <w:rsid w:val="007140C4"/>
    <w:rsid w:val="007178C4"/>
    <w:rsid w:val="00722BCD"/>
    <w:rsid w:val="007230C1"/>
    <w:rsid w:val="007271D0"/>
    <w:rsid w:val="00727E09"/>
    <w:rsid w:val="00731D22"/>
    <w:rsid w:val="00734991"/>
    <w:rsid w:val="00734AB2"/>
    <w:rsid w:val="00734AF8"/>
    <w:rsid w:val="00734E3F"/>
    <w:rsid w:val="00736985"/>
    <w:rsid w:val="0074015F"/>
    <w:rsid w:val="00741AD3"/>
    <w:rsid w:val="00745DF5"/>
    <w:rsid w:val="0074634B"/>
    <w:rsid w:val="00751718"/>
    <w:rsid w:val="00754DA3"/>
    <w:rsid w:val="00755EBA"/>
    <w:rsid w:val="0076250F"/>
    <w:rsid w:val="00764D5B"/>
    <w:rsid w:val="0077324F"/>
    <w:rsid w:val="007733DC"/>
    <w:rsid w:val="0077460F"/>
    <w:rsid w:val="00777454"/>
    <w:rsid w:val="00780FA5"/>
    <w:rsid w:val="00781DDA"/>
    <w:rsid w:val="00782A84"/>
    <w:rsid w:val="007864CF"/>
    <w:rsid w:val="00794D99"/>
    <w:rsid w:val="00796F1C"/>
    <w:rsid w:val="007A4493"/>
    <w:rsid w:val="007A4DF5"/>
    <w:rsid w:val="007A53B4"/>
    <w:rsid w:val="007A7922"/>
    <w:rsid w:val="007B0C6B"/>
    <w:rsid w:val="007B3BC3"/>
    <w:rsid w:val="007B53DB"/>
    <w:rsid w:val="007B53F9"/>
    <w:rsid w:val="007B6200"/>
    <w:rsid w:val="007B76F4"/>
    <w:rsid w:val="007B7A08"/>
    <w:rsid w:val="007C19B3"/>
    <w:rsid w:val="007C35DE"/>
    <w:rsid w:val="007C39B4"/>
    <w:rsid w:val="007C4D69"/>
    <w:rsid w:val="007C648E"/>
    <w:rsid w:val="007C735B"/>
    <w:rsid w:val="007D1231"/>
    <w:rsid w:val="007D3348"/>
    <w:rsid w:val="007E2771"/>
    <w:rsid w:val="007E2FC6"/>
    <w:rsid w:val="007E5361"/>
    <w:rsid w:val="007E556D"/>
    <w:rsid w:val="007E7BC7"/>
    <w:rsid w:val="007F0B38"/>
    <w:rsid w:val="007F2D3D"/>
    <w:rsid w:val="007F3395"/>
    <w:rsid w:val="007F5C0B"/>
    <w:rsid w:val="007F646C"/>
    <w:rsid w:val="00801B9F"/>
    <w:rsid w:val="0080204D"/>
    <w:rsid w:val="008027DE"/>
    <w:rsid w:val="00805A86"/>
    <w:rsid w:val="00811DE5"/>
    <w:rsid w:val="00813EA6"/>
    <w:rsid w:val="0082053C"/>
    <w:rsid w:val="00822F43"/>
    <w:rsid w:val="008238B0"/>
    <w:rsid w:val="00824CA6"/>
    <w:rsid w:val="008278C2"/>
    <w:rsid w:val="00830866"/>
    <w:rsid w:val="00830E78"/>
    <w:rsid w:val="00832C59"/>
    <w:rsid w:val="00836224"/>
    <w:rsid w:val="00836B54"/>
    <w:rsid w:val="0084191E"/>
    <w:rsid w:val="00843B76"/>
    <w:rsid w:val="00844737"/>
    <w:rsid w:val="00845304"/>
    <w:rsid w:val="008455F2"/>
    <w:rsid w:val="008475F0"/>
    <w:rsid w:val="0085034A"/>
    <w:rsid w:val="008509B7"/>
    <w:rsid w:val="008515AF"/>
    <w:rsid w:val="00852C32"/>
    <w:rsid w:val="00854F69"/>
    <w:rsid w:val="008557A7"/>
    <w:rsid w:val="00855D43"/>
    <w:rsid w:val="00856BFE"/>
    <w:rsid w:val="00857312"/>
    <w:rsid w:val="00860698"/>
    <w:rsid w:val="00862BCF"/>
    <w:rsid w:val="008640FD"/>
    <w:rsid w:val="0086493B"/>
    <w:rsid w:val="00865DE2"/>
    <w:rsid w:val="0086769E"/>
    <w:rsid w:val="00870928"/>
    <w:rsid w:val="008740B3"/>
    <w:rsid w:val="00875BEE"/>
    <w:rsid w:val="00876B47"/>
    <w:rsid w:val="00877620"/>
    <w:rsid w:val="00881605"/>
    <w:rsid w:val="00886086"/>
    <w:rsid w:val="00887404"/>
    <w:rsid w:val="008901F5"/>
    <w:rsid w:val="00893C6A"/>
    <w:rsid w:val="0089405C"/>
    <w:rsid w:val="00894FEB"/>
    <w:rsid w:val="00897FA2"/>
    <w:rsid w:val="008A12BA"/>
    <w:rsid w:val="008A1503"/>
    <w:rsid w:val="008A1C0E"/>
    <w:rsid w:val="008A2E35"/>
    <w:rsid w:val="008A5AFE"/>
    <w:rsid w:val="008A6BB7"/>
    <w:rsid w:val="008A745C"/>
    <w:rsid w:val="008A7B6F"/>
    <w:rsid w:val="008B5227"/>
    <w:rsid w:val="008B602A"/>
    <w:rsid w:val="008B7A02"/>
    <w:rsid w:val="008B7FBC"/>
    <w:rsid w:val="008C1A18"/>
    <w:rsid w:val="008C1F60"/>
    <w:rsid w:val="008C1F6E"/>
    <w:rsid w:val="008C3B88"/>
    <w:rsid w:val="008C478C"/>
    <w:rsid w:val="008C5A0E"/>
    <w:rsid w:val="008C6149"/>
    <w:rsid w:val="008C708C"/>
    <w:rsid w:val="008D0B39"/>
    <w:rsid w:val="008D2720"/>
    <w:rsid w:val="008D29F7"/>
    <w:rsid w:val="008D372C"/>
    <w:rsid w:val="008E4A4F"/>
    <w:rsid w:val="008E4B49"/>
    <w:rsid w:val="008E4BCA"/>
    <w:rsid w:val="008E7A6E"/>
    <w:rsid w:val="008F16F2"/>
    <w:rsid w:val="008F20FF"/>
    <w:rsid w:val="008F3504"/>
    <w:rsid w:val="008F4CB9"/>
    <w:rsid w:val="008F6625"/>
    <w:rsid w:val="00903B84"/>
    <w:rsid w:val="00910ACE"/>
    <w:rsid w:val="00912E27"/>
    <w:rsid w:val="009131E9"/>
    <w:rsid w:val="00913875"/>
    <w:rsid w:val="00913D52"/>
    <w:rsid w:val="00916582"/>
    <w:rsid w:val="00917A7A"/>
    <w:rsid w:val="009202F7"/>
    <w:rsid w:val="00920854"/>
    <w:rsid w:val="009254D2"/>
    <w:rsid w:val="00930BB5"/>
    <w:rsid w:val="0093173D"/>
    <w:rsid w:val="00932D9E"/>
    <w:rsid w:val="009346D4"/>
    <w:rsid w:val="00937065"/>
    <w:rsid w:val="00937866"/>
    <w:rsid w:val="00943730"/>
    <w:rsid w:val="009505AE"/>
    <w:rsid w:val="00950D65"/>
    <w:rsid w:val="00951140"/>
    <w:rsid w:val="00952815"/>
    <w:rsid w:val="009543B9"/>
    <w:rsid w:val="00975CA5"/>
    <w:rsid w:val="00975F10"/>
    <w:rsid w:val="009774B4"/>
    <w:rsid w:val="00980C7A"/>
    <w:rsid w:val="00986590"/>
    <w:rsid w:val="0098743F"/>
    <w:rsid w:val="00991579"/>
    <w:rsid w:val="00992A74"/>
    <w:rsid w:val="00992C76"/>
    <w:rsid w:val="009961E6"/>
    <w:rsid w:val="009969D6"/>
    <w:rsid w:val="009976E5"/>
    <w:rsid w:val="009A112B"/>
    <w:rsid w:val="009A2619"/>
    <w:rsid w:val="009A58FC"/>
    <w:rsid w:val="009A6093"/>
    <w:rsid w:val="009A6103"/>
    <w:rsid w:val="009A744E"/>
    <w:rsid w:val="009B394F"/>
    <w:rsid w:val="009B4D3B"/>
    <w:rsid w:val="009C18DB"/>
    <w:rsid w:val="009D1AFF"/>
    <w:rsid w:val="009D1F71"/>
    <w:rsid w:val="009D3438"/>
    <w:rsid w:val="009D5001"/>
    <w:rsid w:val="009D7407"/>
    <w:rsid w:val="009E0866"/>
    <w:rsid w:val="009E092D"/>
    <w:rsid w:val="009E273C"/>
    <w:rsid w:val="009E40E5"/>
    <w:rsid w:val="009E5403"/>
    <w:rsid w:val="009E5E53"/>
    <w:rsid w:val="009E661D"/>
    <w:rsid w:val="009E68FD"/>
    <w:rsid w:val="009E6F19"/>
    <w:rsid w:val="009E7E90"/>
    <w:rsid w:val="009F0877"/>
    <w:rsid w:val="009F115B"/>
    <w:rsid w:val="009F1350"/>
    <w:rsid w:val="009F28D3"/>
    <w:rsid w:val="009F4D28"/>
    <w:rsid w:val="009F6423"/>
    <w:rsid w:val="009F6B9B"/>
    <w:rsid w:val="009F7660"/>
    <w:rsid w:val="00A02FD1"/>
    <w:rsid w:val="00A04C11"/>
    <w:rsid w:val="00A063C8"/>
    <w:rsid w:val="00A07A86"/>
    <w:rsid w:val="00A107B9"/>
    <w:rsid w:val="00A12B40"/>
    <w:rsid w:val="00A143DF"/>
    <w:rsid w:val="00A148F8"/>
    <w:rsid w:val="00A15083"/>
    <w:rsid w:val="00A17461"/>
    <w:rsid w:val="00A20058"/>
    <w:rsid w:val="00A206DF"/>
    <w:rsid w:val="00A220A5"/>
    <w:rsid w:val="00A22A9B"/>
    <w:rsid w:val="00A22CD1"/>
    <w:rsid w:val="00A22F54"/>
    <w:rsid w:val="00A237B8"/>
    <w:rsid w:val="00A23C94"/>
    <w:rsid w:val="00A24A62"/>
    <w:rsid w:val="00A25322"/>
    <w:rsid w:val="00A31C9F"/>
    <w:rsid w:val="00A4144F"/>
    <w:rsid w:val="00A46B28"/>
    <w:rsid w:val="00A47135"/>
    <w:rsid w:val="00A51888"/>
    <w:rsid w:val="00A5559C"/>
    <w:rsid w:val="00A56651"/>
    <w:rsid w:val="00A61B4D"/>
    <w:rsid w:val="00A62802"/>
    <w:rsid w:val="00A67E24"/>
    <w:rsid w:val="00A70B96"/>
    <w:rsid w:val="00A71167"/>
    <w:rsid w:val="00A72201"/>
    <w:rsid w:val="00A74099"/>
    <w:rsid w:val="00A74192"/>
    <w:rsid w:val="00A75B84"/>
    <w:rsid w:val="00A80123"/>
    <w:rsid w:val="00A80305"/>
    <w:rsid w:val="00A80F95"/>
    <w:rsid w:val="00A854F9"/>
    <w:rsid w:val="00A868CB"/>
    <w:rsid w:val="00A87012"/>
    <w:rsid w:val="00A916BA"/>
    <w:rsid w:val="00A96364"/>
    <w:rsid w:val="00A97244"/>
    <w:rsid w:val="00A97BF1"/>
    <w:rsid w:val="00AA298A"/>
    <w:rsid w:val="00AA2CC2"/>
    <w:rsid w:val="00AA2E47"/>
    <w:rsid w:val="00AA3AA8"/>
    <w:rsid w:val="00AA75FB"/>
    <w:rsid w:val="00AB0C05"/>
    <w:rsid w:val="00AB4795"/>
    <w:rsid w:val="00AB5D49"/>
    <w:rsid w:val="00AB6642"/>
    <w:rsid w:val="00AB6748"/>
    <w:rsid w:val="00AB6BD2"/>
    <w:rsid w:val="00AC107C"/>
    <w:rsid w:val="00AC164A"/>
    <w:rsid w:val="00AC17C8"/>
    <w:rsid w:val="00AC3944"/>
    <w:rsid w:val="00AC551D"/>
    <w:rsid w:val="00AC62B5"/>
    <w:rsid w:val="00AD19F7"/>
    <w:rsid w:val="00AD1F13"/>
    <w:rsid w:val="00AD2C2E"/>
    <w:rsid w:val="00AD3CF3"/>
    <w:rsid w:val="00AE1CE4"/>
    <w:rsid w:val="00AE263D"/>
    <w:rsid w:val="00AE2B7B"/>
    <w:rsid w:val="00AE448A"/>
    <w:rsid w:val="00AE74DA"/>
    <w:rsid w:val="00AE7AB3"/>
    <w:rsid w:val="00AF18F4"/>
    <w:rsid w:val="00AF2050"/>
    <w:rsid w:val="00AF39F7"/>
    <w:rsid w:val="00AF4A1C"/>
    <w:rsid w:val="00AF50D7"/>
    <w:rsid w:val="00AF7ECC"/>
    <w:rsid w:val="00B00BF4"/>
    <w:rsid w:val="00B02B2A"/>
    <w:rsid w:val="00B03CA8"/>
    <w:rsid w:val="00B05B87"/>
    <w:rsid w:val="00B07C66"/>
    <w:rsid w:val="00B10886"/>
    <w:rsid w:val="00B10F53"/>
    <w:rsid w:val="00B12991"/>
    <w:rsid w:val="00B14FB5"/>
    <w:rsid w:val="00B15107"/>
    <w:rsid w:val="00B16EF6"/>
    <w:rsid w:val="00B16F52"/>
    <w:rsid w:val="00B225D9"/>
    <w:rsid w:val="00B22F0E"/>
    <w:rsid w:val="00B249EC"/>
    <w:rsid w:val="00B26D9F"/>
    <w:rsid w:val="00B271E8"/>
    <w:rsid w:val="00B3034A"/>
    <w:rsid w:val="00B326A8"/>
    <w:rsid w:val="00B33C0A"/>
    <w:rsid w:val="00B34763"/>
    <w:rsid w:val="00B34973"/>
    <w:rsid w:val="00B3572B"/>
    <w:rsid w:val="00B362A2"/>
    <w:rsid w:val="00B401AF"/>
    <w:rsid w:val="00B42B9B"/>
    <w:rsid w:val="00B454E4"/>
    <w:rsid w:val="00B50ED0"/>
    <w:rsid w:val="00B51C2F"/>
    <w:rsid w:val="00B55E19"/>
    <w:rsid w:val="00B56CF0"/>
    <w:rsid w:val="00B56E71"/>
    <w:rsid w:val="00B579A6"/>
    <w:rsid w:val="00B63910"/>
    <w:rsid w:val="00B664A8"/>
    <w:rsid w:val="00B66D3E"/>
    <w:rsid w:val="00B67B0D"/>
    <w:rsid w:val="00B71AD8"/>
    <w:rsid w:val="00B76EBB"/>
    <w:rsid w:val="00B77E4F"/>
    <w:rsid w:val="00B832D1"/>
    <w:rsid w:val="00B83A88"/>
    <w:rsid w:val="00B84B3C"/>
    <w:rsid w:val="00B857E1"/>
    <w:rsid w:val="00B8599B"/>
    <w:rsid w:val="00B86990"/>
    <w:rsid w:val="00B91FE7"/>
    <w:rsid w:val="00B9239B"/>
    <w:rsid w:val="00B929BE"/>
    <w:rsid w:val="00B94758"/>
    <w:rsid w:val="00B962AB"/>
    <w:rsid w:val="00BA17F0"/>
    <w:rsid w:val="00BA1B89"/>
    <w:rsid w:val="00BA3126"/>
    <w:rsid w:val="00BA4B6D"/>
    <w:rsid w:val="00BB26C5"/>
    <w:rsid w:val="00BB2F84"/>
    <w:rsid w:val="00BB3FD0"/>
    <w:rsid w:val="00BB4CC4"/>
    <w:rsid w:val="00BB66EF"/>
    <w:rsid w:val="00BC13CD"/>
    <w:rsid w:val="00BC1FED"/>
    <w:rsid w:val="00BC4CF7"/>
    <w:rsid w:val="00BC63A8"/>
    <w:rsid w:val="00BD0F5C"/>
    <w:rsid w:val="00BD1A96"/>
    <w:rsid w:val="00BD406C"/>
    <w:rsid w:val="00BD5777"/>
    <w:rsid w:val="00BD6304"/>
    <w:rsid w:val="00BD710C"/>
    <w:rsid w:val="00BE05A5"/>
    <w:rsid w:val="00BE12B6"/>
    <w:rsid w:val="00BE1910"/>
    <w:rsid w:val="00BE2F61"/>
    <w:rsid w:val="00BE79AF"/>
    <w:rsid w:val="00BF1579"/>
    <w:rsid w:val="00BF4DE6"/>
    <w:rsid w:val="00BF6703"/>
    <w:rsid w:val="00BF7EE8"/>
    <w:rsid w:val="00C04D72"/>
    <w:rsid w:val="00C067D6"/>
    <w:rsid w:val="00C06B13"/>
    <w:rsid w:val="00C10731"/>
    <w:rsid w:val="00C11B50"/>
    <w:rsid w:val="00C14C8C"/>
    <w:rsid w:val="00C16142"/>
    <w:rsid w:val="00C16A47"/>
    <w:rsid w:val="00C20177"/>
    <w:rsid w:val="00C22FD5"/>
    <w:rsid w:val="00C27D25"/>
    <w:rsid w:val="00C30803"/>
    <w:rsid w:val="00C35791"/>
    <w:rsid w:val="00C37697"/>
    <w:rsid w:val="00C40D4D"/>
    <w:rsid w:val="00C42541"/>
    <w:rsid w:val="00C42CDE"/>
    <w:rsid w:val="00C45941"/>
    <w:rsid w:val="00C50B58"/>
    <w:rsid w:val="00C5182A"/>
    <w:rsid w:val="00C52463"/>
    <w:rsid w:val="00C528DF"/>
    <w:rsid w:val="00C52B3D"/>
    <w:rsid w:val="00C55983"/>
    <w:rsid w:val="00C61649"/>
    <w:rsid w:val="00C61935"/>
    <w:rsid w:val="00C63EE9"/>
    <w:rsid w:val="00C656A0"/>
    <w:rsid w:val="00C673C9"/>
    <w:rsid w:val="00C7133C"/>
    <w:rsid w:val="00C7515E"/>
    <w:rsid w:val="00C77173"/>
    <w:rsid w:val="00C80F99"/>
    <w:rsid w:val="00C8362A"/>
    <w:rsid w:val="00C83F4E"/>
    <w:rsid w:val="00C843FE"/>
    <w:rsid w:val="00C84C30"/>
    <w:rsid w:val="00C85282"/>
    <w:rsid w:val="00C87B9B"/>
    <w:rsid w:val="00C908C7"/>
    <w:rsid w:val="00C92805"/>
    <w:rsid w:val="00C94929"/>
    <w:rsid w:val="00CA16F3"/>
    <w:rsid w:val="00CA188D"/>
    <w:rsid w:val="00CA3078"/>
    <w:rsid w:val="00CA3403"/>
    <w:rsid w:val="00CA37B1"/>
    <w:rsid w:val="00CA3FD8"/>
    <w:rsid w:val="00CA5021"/>
    <w:rsid w:val="00CA575B"/>
    <w:rsid w:val="00CB1488"/>
    <w:rsid w:val="00CB1959"/>
    <w:rsid w:val="00CB1E68"/>
    <w:rsid w:val="00CB40BD"/>
    <w:rsid w:val="00CB5F86"/>
    <w:rsid w:val="00CC0FD1"/>
    <w:rsid w:val="00CC1A53"/>
    <w:rsid w:val="00CC1D45"/>
    <w:rsid w:val="00CC66B8"/>
    <w:rsid w:val="00CC741B"/>
    <w:rsid w:val="00CC7424"/>
    <w:rsid w:val="00CC7ABF"/>
    <w:rsid w:val="00CC7AC1"/>
    <w:rsid w:val="00CD0E4B"/>
    <w:rsid w:val="00CD1DA5"/>
    <w:rsid w:val="00CD3F5D"/>
    <w:rsid w:val="00CD4AD4"/>
    <w:rsid w:val="00CD555D"/>
    <w:rsid w:val="00CD6866"/>
    <w:rsid w:val="00CE1FFE"/>
    <w:rsid w:val="00CE2CF5"/>
    <w:rsid w:val="00CE4353"/>
    <w:rsid w:val="00CE4C89"/>
    <w:rsid w:val="00CF07BA"/>
    <w:rsid w:val="00CF21A3"/>
    <w:rsid w:val="00D0296C"/>
    <w:rsid w:val="00D04C04"/>
    <w:rsid w:val="00D05E55"/>
    <w:rsid w:val="00D1231A"/>
    <w:rsid w:val="00D12D16"/>
    <w:rsid w:val="00D20823"/>
    <w:rsid w:val="00D20A30"/>
    <w:rsid w:val="00D20BC2"/>
    <w:rsid w:val="00D20BC7"/>
    <w:rsid w:val="00D25528"/>
    <w:rsid w:val="00D2641E"/>
    <w:rsid w:val="00D3068D"/>
    <w:rsid w:val="00D3170B"/>
    <w:rsid w:val="00D325F2"/>
    <w:rsid w:val="00D32D6F"/>
    <w:rsid w:val="00D32E9D"/>
    <w:rsid w:val="00D34D5D"/>
    <w:rsid w:val="00D36971"/>
    <w:rsid w:val="00D37220"/>
    <w:rsid w:val="00D37B04"/>
    <w:rsid w:val="00D40260"/>
    <w:rsid w:val="00D45555"/>
    <w:rsid w:val="00D4628C"/>
    <w:rsid w:val="00D479B5"/>
    <w:rsid w:val="00D52175"/>
    <w:rsid w:val="00D540C6"/>
    <w:rsid w:val="00D56557"/>
    <w:rsid w:val="00D63387"/>
    <w:rsid w:val="00D64A40"/>
    <w:rsid w:val="00D64BD1"/>
    <w:rsid w:val="00D71180"/>
    <w:rsid w:val="00D71F34"/>
    <w:rsid w:val="00D7310B"/>
    <w:rsid w:val="00D75454"/>
    <w:rsid w:val="00D809E4"/>
    <w:rsid w:val="00D83E2E"/>
    <w:rsid w:val="00D845B6"/>
    <w:rsid w:val="00D85F0B"/>
    <w:rsid w:val="00D864C1"/>
    <w:rsid w:val="00D90B37"/>
    <w:rsid w:val="00D914E4"/>
    <w:rsid w:val="00D92254"/>
    <w:rsid w:val="00D924D3"/>
    <w:rsid w:val="00D9388F"/>
    <w:rsid w:val="00D94837"/>
    <w:rsid w:val="00D96BC0"/>
    <w:rsid w:val="00DA18FE"/>
    <w:rsid w:val="00DA1B52"/>
    <w:rsid w:val="00DA1D08"/>
    <w:rsid w:val="00DA2045"/>
    <w:rsid w:val="00DA28EE"/>
    <w:rsid w:val="00DA4B3C"/>
    <w:rsid w:val="00DA5F83"/>
    <w:rsid w:val="00DC0996"/>
    <w:rsid w:val="00DC0BCB"/>
    <w:rsid w:val="00DC234E"/>
    <w:rsid w:val="00DC238C"/>
    <w:rsid w:val="00DC5A4E"/>
    <w:rsid w:val="00DC6470"/>
    <w:rsid w:val="00DC6D78"/>
    <w:rsid w:val="00DD0CB3"/>
    <w:rsid w:val="00DD3E88"/>
    <w:rsid w:val="00DD596B"/>
    <w:rsid w:val="00DE084C"/>
    <w:rsid w:val="00DE268D"/>
    <w:rsid w:val="00DE36D1"/>
    <w:rsid w:val="00DE4417"/>
    <w:rsid w:val="00DE7133"/>
    <w:rsid w:val="00DF2254"/>
    <w:rsid w:val="00DF383A"/>
    <w:rsid w:val="00DF4D25"/>
    <w:rsid w:val="00DF68CF"/>
    <w:rsid w:val="00DF70B0"/>
    <w:rsid w:val="00DF74B6"/>
    <w:rsid w:val="00DF7D0F"/>
    <w:rsid w:val="00E0138E"/>
    <w:rsid w:val="00E0497E"/>
    <w:rsid w:val="00E055AB"/>
    <w:rsid w:val="00E07A4F"/>
    <w:rsid w:val="00E14736"/>
    <w:rsid w:val="00E14E3E"/>
    <w:rsid w:val="00E14E55"/>
    <w:rsid w:val="00E14F51"/>
    <w:rsid w:val="00E15A6C"/>
    <w:rsid w:val="00E1666D"/>
    <w:rsid w:val="00E16D5F"/>
    <w:rsid w:val="00E16E0A"/>
    <w:rsid w:val="00E20945"/>
    <w:rsid w:val="00E2161E"/>
    <w:rsid w:val="00E221FA"/>
    <w:rsid w:val="00E24D6C"/>
    <w:rsid w:val="00E25BD6"/>
    <w:rsid w:val="00E305B4"/>
    <w:rsid w:val="00E3076E"/>
    <w:rsid w:val="00E32094"/>
    <w:rsid w:val="00E3490E"/>
    <w:rsid w:val="00E357B7"/>
    <w:rsid w:val="00E36779"/>
    <w:rsid w:val="00E40E8B"/>
    <w:rsid w:val="00E410F8"/>
    <w:rsid w:val="00E42990"/>
    <w:rsid w:val="00E42E50"/>
    <w:rsid w:val="00E4423B"/>
    <w:rsid w:val="00E4584F"/>
    <w:rsid w:val="00E47491"/>
    <w:rsid w:val="00E532A8"/>
    <w:rsid w:val="00E53800"/>
    <w:rsid w:val="00E6081F"/>
    <w:rsid w:val="00E614AA"/>
    <w:rsid w:val="00E62322"/>
    <w:rsid w:val="00E624EC"/>
    <w:rsid w:val="00E673F5"/>
    <w:rsid w:val="00E70C37"/>
    <w:rsid w:val="00E7256E"/>
    <w:rsid w:val="00E752EE"/>
    <w:rsid w:val="00E8296D"/>
    <w:rsid w:val="00E8457B"/>
    <w:rsid w:val="00E861B4"/>
    <w:rsid w:val="00E86912"/>
    <w:rsid w:val="00E93074"/>
    <w:rsid w:val="00E944AA"/>
    <w:rsid w:val="00E94659"/>
    <w:rsid w:val="00EA04B2"/>
    <w:rsid w:val="00EA20F3"/>
    <w:rsid w:val="00EA2B70"/>
    <w:rsid w:val="00EA36D9"/>
    <w:rsid w:val="00EB2E3C"/>
    <w:rsid w:val="00EB6C04"/>
    <w:rsid w:val="00EB794E"/>
    <w:rsid w:val="00EC0BA6"/>
    <w:rsid w:val="00EC2B54"/>
    <w:rsid w:val="00EC406D"/>
    <w:rsid w:val="00EC608A"/>
    <w:rsid w:val="00EC6D38"/>
    <w:rsid w:val="00EC7BCD"/>
    <w:rsid w:val="00ED179A"/>
    <w:rsid w:val="00ED18EE"/>
    <w:rsid w:val="00ED21C4"/>
    <w:rsid w:val="00ED2831"/>
    <w:rsid w:val="00ED3B2D"/>
    <w:rsid w:val="00ED43D1"/>
    <w:rsid w:val="00ED6E38"/>
    <w:rsid w:val="00ED74C6"/>
    <w:rsid w:val="00EE0466"/>
    <w:rsid w:val="00EE149B"/>
    <w:rsid w:val="00EE16EC"/>
    <w:rsid w:val="00EE1CFF"/>
    <w:rsid w:val="00EE4EE1"/>
    <w:rsid w:val="00EE5552"/>
    <w:rsid w:val="00EF4574"/>
    <w:rsid w:val="00F003E0"/>
    <w:rsid w:val="00F01921"/>
    <w:rsid w:val="00F06982"/>
    <w:rsid w:val="00F0745C"/>
    <w:rsid w:val="00F13069"/>
    <w:rsid w:val="00F13373"/>
    <w:rsid w:val="00F17F09"/>
    <w:rsid w:val="00F20898"/>
    <w:rsid w:val="00F22228"/>
    <w:rsid w:val="00F239BE"/>
    <w:rsid w:val="00F258BF"/>
    <w:rsid w:val="00F25A93"/>
    <w:rsid w:val="00F2684E"/>
    <w:rsid w:val="00F27235"/>
    <w:rsid w:val="00F32F70"/>
    <w:rsid w:val="00F36FEA"/>
    <w:rsid w:val="00F45486"/>
    <w:rsid w:val="00F47942"/>
    <w:rsid w:val="00F47B6A"/>
    <w:rsid w:val="00F53309"/>
    <w:rsid w:val="00F53E91"/>
    <w:rsid w:val="00F5404C"/>
    <w:rsid w:val="00F556F3"/>
    <w:rsid w:val="00F55791"/>
    <w:rsid w:val="00F577A1"/>
    <w:rsid w:val="00F6245D"/>
    <w:rsid w:val="00F62CA7"/>
    <w:rsid w:val="00F639CB"/>
    <w:rsid w:val="00F64397"/>
    <w:rsid w:val="00F650C7"/>
    <w:rsid w:val="00F67120"/>
    <w:rsid w:val="00F67C6A"/>
    <w:rsid w:val="00F70504"/>
    <w:rsid w:val="00F707E0"/>
    <w:rsid w:val="00F71371"/>
    <w:rsid w:val="00F71CB4"/>
    <w:rsid w:val="00F729EF"/>
    <w:rsid w:val="00F746B7"/>
    <w:rsid w:val="00F760AE"/>
    <w:rsid w:val="00F77CAE"/>
    <w:rsid w:val="00F82271"/>
    <w:rsid w:val="00F83428"/>
    <w:rsid w:val="00F8380D"/>
    <w:rsid w:val="00F84EC5"/>
    <w:rsid w:val="00F86E9D"/>
    <w:rsid w:val="00F875A8"/>
    <w:rsid w:val="00F90B17"/>
    <w:rsid w:val="00F937EF"/>
    <w:rsid w:val="00F96BB9"/>
    <w:rsid w:val="00F970E6"/>
    <w:rsid w:val="00F975C0"/>
    <w:rsid w:val="00FA4D1A"/>
    <w:rsid w:val="00FA5EFD"/>
    <w:rsid w:val="00FB419A"/>
    <w:rsid w:val="00FC1216"/>
    <w:rsid w:val="00FC163D"/>
    <w:rsid w:val="00FC3BEF"/>
    <w:rsid w:val="00FC5365"/>
    <w:rsid w:val="00FC54D7"/>
    <w:rsid w:val="00FD1850"/>
    <w:rsid w:val="00FD710F"/>
    <w:rsid w:val="00FE6D51"/>
    <w:rsid w:val="00FE6F2A"/>
    <w:rsid w:val="00FF0590"/>
    <w:rsid w:val="00FF4137"/>
    <w:rsid w:val="00FF5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D914E4"/>
    <w:pPr>
      <w:spacing w:before="240" w:after="120" w:line="240" w:lineRule="auto"/>
      <w:outlineLvl w:val="1"/>
    </w:pPr>
    <w:rPr>
      <w:rFonts w:asciiTheme="minorHAnsi" w:hAnsiTheme="minorHAnsi" w:cstheme="minorHAnsi"/>
      <w:bCs w:val="0"/>
      <w:sz w:val="22"/>
      <w:szCs w:val="26"/>
    </w:rPr>
  </w:style>
  <w:style w:type="paragraph" w:styleId="Heading3">
    <w:name w:val="heading 3"/>
    <w:basedOn w:val="Heading2"/>
    <w:next w:val="Normal"/>
    <w:link w:val="Heading3Char"/>
    <w:autoRedefine/>
    <w:uiPriority w:val="9"/>
    <w:unhideWhenUsed/>
    <w:qFormat/>
    <w:rsid w:val="00903B84"/>
    <w:pPr>
      <w:spacing w:before="120" w:after="60"/>
      <w:contextualSpacing w:val="0"/>
      <w:outlineLvl w:val="2"/>
    </w:pPr>
    <w:rPr>
      <w:bCs/>
      <w:iCs/>
      <w:caps w:val="0"/>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D914E4"/>
    <w:rPr>
      <w:rFonts w:eastAsiaTheme="majorEastAsia" w:cstheme="minorHAnsi"/>
      <w:b/>
      <w:caps/>
      <w:color w:val="495965" w:themeColor="text2"/>
      <w:szCs w:val="26"/>
      <w:lang w:val="en-GB"/>
    </w:rPr>
  </w:style>
  <w:style w:type="character" w:customStyle="1" w:styleId="Heading3Char">
    <w:name w:val="Heading 3 Char"/>
    <w:basedOn w:val="DefaultParagraphFont"/>
    <w:link w:val="Heading3"/>
    <w:uiPriority w:val="9"/>
    <w:rsid w:val="00903B84"/>
    <w:rPr>
      <w:rFonts w:eastAsiaTheme="majorEastAsia" w:cstheme="minorHAnsi"/>
      <w:b/>
      <w:bCs/>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link w:val="Bullet1Char"/>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customStyle="1" w:styleId="Bullet">
    <w:name w:val="Bullet"/>
    <w:aliases w:val="Body,Bullet + line,b,b + line,b1,level 1,bulleted,BodyNum,Bullet Char1,Bullet Char1 Char Char Char Char,b1 Char Char Char,Bullet Char1 Char Char Char Char Char,Bullet Char1 Char Char Char"/>
    <w:basedOn w:val="Normal"/>
    <w:rsid w:val="007B0C6B"/>
    <w:pPr>
      <w:numPr>
        <w:numId w:val="29"/>
      </w:numPr>
      <w:suppressAutoHyphens w:val="0"/>
      <w:spacing w:before="0" w:after="200" w:line="276" w:lineRule="auto"/>
    </w:pPr>
    <w:rPr>
      <w:rFonts w:ascii="Calibri" w:hAnsi="Calibri" w:cs="Calibri"/>
      <w:color w:val="auto"/>
      <w:lang w:val="en-AU"/>
    </w:rPr>
  </w:style>
  <w:style w:type="paragraph" w:customStyle="1" w:styleId="Dash">
    <w:name w:val="Dash"/>
    <w:basedOn w:val="Normal"/>
    <w:rsid w:val="007B0C6B"/>
    <w:pPr>
      <w:numPr>
        <w:ilvl w:val="1"/>
        <w:numId w:val="29"/>
      </w:numPr>
      <w:suppressAutoHyphens w:val="0"/>
      <w:spacing w:before="0" w:after="120" w:line="240" w:lineRule="auto"/>
    </w:pPr>
    <w:rPr>
      <w:rFonts w:ascii="Calibri" w:hAnsi="Calibri" w:cs="Calibri"/>
      <w:color w:val="auto"/>
      <w:lang w:val="en-AU" w:eastAsia="en-AU"/>
    </w:rPr>
  </w:style>
  <w:style w:type="paragraph" w:customStyle="1" w:styleId="DoubleDot">
    <w:name w:val="Double Dot"/>
    <w:basedOn w:val="Normal"/>
    <w:rsid w:val="007B0C6B"/>
    <w:pPr>
      <w:numPr>
        <w:ilvl w:val="2"/>
        <w:numId w:val="29"/>
      </w:numPr>
      <w:suppressAutoHyphens w:val="0"/>
      <w:spacing w:before="0" w:after="120" w:line="240" w:lineRule="auto"/>
    </w:pPr>
    <w:rPr>
      <w:rFonts w:ascii="Calibri" w:hAnsi="Calibri" w:cs="Calibri"/>
      <w:color w:val="auto"/>
      <w:lang w:val="en-AU" w:eastAsia="en-AU"/>
    </w:rPr>
  </w:style>
  <w:style w:type="numbering" w:customStyle="1" w:styleId="BulletedList">
    <w:name w:val="Bulleted List"/>
    <w:uiPriority w:val="99"/>
    <w:rsid w:val="007B0C6B"/>
    <w:pPr>
      <w:numPr>
        <w:numId w:val="29"/>
      </w:numPr>
    </w:pPr>
  </w:style>
  <w:style w:type="character" w:customStyle="1" w:styleId="Bullet1Char">
    <w:name w:val="Bullet 1 Char"/>
    <w:aliases w:val="3 Char,Bullet Points Char,CAB - List Bullet Char,Colorful List - Accent 11 Char,Indicator Text Char,Issue Action POC Char,List Bullet Cab Char,List Paragraph Char Char Char Char,List Paragraph12 Char,No Spacing1 Char,Numbered Para 1 Char"/>
    <w:basedOn w:val="DefaultParagraphFont"/>
    <w:link w:val="Bullet1"/>
    <w:qFormat/>
    <w:locked/>
    <w:rsid w:val="000168A1"/>
    <w:rPr>
      <w:color w:val="495965" w:themeColor="text2"/>
      <w:lang w:val="en-GB"/>
    </w:rPr>
  </w:style>
  <w:style w:type="paragraph" w:styleId="Revision">
    <w:name w:val="Revision"/>
    <w:hidden/>
    <w:uiPriority w:val="99"/>
    <w:semiHidden/>
    <w:rsid w:val="001D41D9"/>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146628005">
      <w:bodyDiv w:val="1"/>
      <w:marLeft w:val="0"/>
      <w:marRight w:val="0"/>
      <w:marTop w:val="0"/>
      <w:marBottom w:val="0"/>
      <w:divBdr>
        <w:top w:val="none" w:sz="0" w:space="0" w:color="auto"/>
        <w:left w:val="none" w:sz="0" w:space="0" w:color="auto"/>
        <w:bottom w:val="none" w:sz="0" w:space="0" w:color="auto"/>
        <w:right w:val="none" w:sz="0" w:space="0" w:color="auto"/>
      </w:divBdr>
    </w:div>
    <w:div w:id="209462535">
      <w:bodyDiv w:val="1"/>
      <w:marLeft w:val="0"/>
      <w:marRight w:val="0"/>
      <w:marTop w:val="0"/>
      <w:marBottom w:val="0"/>
      <w:divBdr>
        <w:top w:val="none" w:sz="0" w:space="0" w:color="auto"/>
        <w:left w:val="none" w:sz="0" w:space="0" w:color="auto"/>
        <w:bottom w:val="none" w:sz="0" w:space="0" w:color="auto"/>
        <w:right w:val="none" w:sz="0" w:space="0" w:color="auto"/>
      </w:divBdr>
    </w:div>
    <w:div w:id="229269614">
      <w:bodyDiv w:val="1"/>
      <w:marLeft w:val="0"/>
      <w:marRight w:val="0"/>
      <w:marTop w:val="0"/>
      <w:marBottom w:val="0"/>
      <w:divBdr>
        <w:top w:val="none" w:sz="0" w:space="0" w:color="auto"/>
        <w:left w:val="none" w:sz="0" w:space="0" w:color="auto"/>
        <w:bottom w:val="none" w:sz="0" w:space="0" w:color="auto"/>
        <w:right w:val="none" w:sz="0" w:space="0" w:color="auto"/>
      </w:divBdr>
    </w:div>
    <w:div w:id="255987807">
      <w:bodyDiv w:val="1"/>
      <w:marLeft w:val="0"/>
      <w:marRight w:val="0"/>
      <w:marTop w:val="0"/>
      <w:marBottom w:val="0"/>
      <w:divBdr>
        <w:top w:val="none" w:sz="0" w:space="0" w:color="auto"/>
        <w:left w:val="none" w:sz="0" w:space="0" w:color="auto"/>
        <w:bottom w:val="none" w:sz="0" w:space="0" w:color="auto"/>
        <w:right w:val="none" w:sz="0" w:space="0" w:color="auto"/>
      </w:divBdr>
    </w:div>
    <w:div w:id="501354413">
      <w:bodyDiv w:val="1"/>
      <w:marLeft w:val="0"/>
      <w:marRight w:val="0"/>
      <w:marTop w:val="0"/>
      <w:marBottom w:val="0"/>
      <w:divBdr>
        <w:top w:val="none" w:sz="0" w:space="0" w:color="auto"/>
        <w:left w:val="none" w:sz="0" w:space="0" w:color="auto"/>
        <w:bottom w:val="none" w:sz="0" w:space="0" w:color="auto"/>
        <w:right w:val="none" w:sz="0" w:space="0" w:color="auto"/>
      </w:divBdr>
    </w:div>
    <w:div w:id="522980327">
      <w:bodyDiv w:val="1"/>
      <w:marLeft w:val="0"/>
      <w:marRight w:val="0"/>
      <w:marTop w:val="0"/>
      <w:marBottom w:val="0"/>
      <w:divBdr>
        <w:top w:val="none" w:sz="0" w:space="0" w:color="auto"/>
        <w:left w:val="none" w:sz="0" w:space="0" w:color="auto"/>
        <w:bottom w:val="none" w:sz="0" w:space="0" w:color="auto"/>
        <w:right w:val="none" w:sz="0" w:space="0" w:color="auto"/>
      </w:divBdr>
    </w:div>
    <w:div w:id="576743428">
      <w:bodyDiv w:val="1"/>
      <w:marLeft w:val="0"/>
      <w:marRight w:val="0"/>
      <w:marTop w:val="0"/>
      <w:marBottom w:val="0"/>
      <w:divBdr>
        <w:top w:val="none" w:sz="0" w:space="0" w:color="auto"/>
        <w:left w:val="none" w:sz="0" w:space="0" w:color="auto"/>
        <w:bottom w:val="none" w:sz="0" w:space="0" w:color="auto"/>
        <w:right w:val="none" w:sz="0" w:space="0" w:color="auto"/>
      </w:divBdr>
    </w:div>
    <w:div w:id="612176448">
      <w:bodyDiv w:val="1"/>
      <w:marLeft w:val="0"/>
      <w:marRight w:val="0"/>
      <w:marTop w:val="0"/>
      <w:marBottom w:val="0"/>
      <w:divBdr>
        <w:top w:val="none" w:sz="0" w:space="0" w:color="auto"/>
        <w:left w:val="none" w:sz="0" w:space="0" w:color="auto"/>
        <w:bottom w:val="none" w:sz="0" w:space="0" w:color="auto"/>
        <w:right w:val="none" w:sz="0" w:space="0" w:color="auto"/>
      </w:divBdr>
    </w:div>
    <w:div w:id="671682588">
      <w:bodyDiv w:val="1"/>
      <w:marLeft w:val="0"/>
      <w:marRight w:val="0"/>
      <w:marTop w:val="0"/>
      <w:marBottom w:val="0"/>
      <w:divBdr>
        <w:top w:val="none" w:sz="0" w:space="0" w:color="auto"/>
        <w:left w:val="none" w:sz="0" w:space="0" w:color="auto"/>
        <w:bottom w:val="none" w:sz="0" w:space="0" w:color="auto"/>
        <w:right w:val="none" w:sz="0" w:space="0" w:color="auto"/>
      </w:divBdr>
    </w:div>
    <w:div w:id="1082407581">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0934918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214357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3136</Words>
  <Characters>18364</Characters>
  <Application>Microsoft Office Word</Application>
  <DocSecurity>0</DocSecurity>
  <Lines>391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2022-12-20T07:50:00Z</dcterms:created>
  <dcterms:modified xsi:type="dcterms:W3CDTF">2022-12-20T07:50:00Z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63FA5E0138FE4A06847B5F31F02136CD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2022-12-20T07:50:29Z</vt:lpwstr>
  </property>
  <property fmtid="{D5CDD505-2E9C-101B-9397-08002B2CF9AE}" pid="13" name="PM_ProtectiveMarkingImage_Header">
    <vt:lpwstr>C:\Program Files (x86)\Common Files\janusNET Shared\janusSEAL\Images\DocumentSlashBlue.png</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4C1E053A41981F4D7ECA232F044BAAA8</vt:lpwstr>
  </property>
  <property fmtid="{D5CDD505-2E9C-101B-9397-08002B2CF9AE}" pid="21" name="PM_Hash_Salt">
    <vt:lpwstr>971294145FF1E995C5A39379F6A44AF1</vt:lpwstr>
  </property>
  <property fmtid="{D5CDD505-2E9C-101B-9397-08002B2CF9AE}" pid="22" name="PM_Hash_SHA1">
    <vt:lpwstr>38E112B7FC0296EAD1A3705947A60BCF74470C90</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290C9CFCFE70E139C4500567FB5830ACF9049F26A1998DDACA65669D45D5D2AD</vt:lpwstr>
  </property>
  <property fmtid="{D5CDD505-2E9C-101B-9397-08002B2CF9AE}" pid="27" name="PM_OriginatorDomainName_SHA256">
    <vt:lpwstr>6F3591835F3B2A8A025B00B5BA6418010DA3A17C9C26EA9C049FFD28039489A2</vt:lpwstr>
  </property>
  <property fmtid="{D5CDD505-2E9C-101B-9397-08002B2CF9AE}" pid="28" name="PMUuid">
    <vt:lpwstr>ABBFF5E2-9674-55C9-B08D-C9980002FD58</vt:lpwstr>
  </property>
  <property fmtid="{D5CDD505-2E9C-101B-9397-08002B2CF9AE}" pid="29" name="PMUuidVer">
    <vt:lpwstr>2022.1</vt:lpwstr>
  </property>
</Properties>
</file>