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EB4AE2" w14:textId="7A59FD78" w:rsidR="009A744E" w:rsidRDefault="002E500A" w:rsidP="00B42D44">
      <w:pPr>
        <w:pStyle w:val="Heading1"/>
        <w:spacing w:after="0" w:line="240" w:lineRule="auto"/>
      </w:pPr>
      <w:r w:rsidRPr="002E500A">
        <w:t>202</w:t>
      </w:r>
      <w:r w:rsidR="009543B9">
        <w:t>1</w:t>
      </w:r>
      <w:r w:rsidRPr="002E500A">
        <w:t>-2</w:t>
      </w:r>
      <w:r w:rsidR="009543B9">
        <w:t>2</w:t>
      </w:r>
      <w:r w:rsidRPr="002E500A">
        <w:t xml:space="preserve"> </w:t>
      </w:r>
      <w:r w:rsidR="00546DE4">
        <w:t xml:space="preserve">SOUTH ASIA REGIONAL </w:t>
      </w:r>
      <w:r w:rsidR="001F7F4D" w:rsidRPr="002E500A">
        <w:t>D</w:t>
      </w:r>
      <w:r w:rsidR="00382CE7">
        <w:t>evelopment</w:t>
      </w:r>
      <w:r w:rsidR="001F7F4D" w:rsidRPr="002E500A">
        <w:t xml:space="preserve"> </w:t>
      </w:r>
      <w:r w:rsidRPr="002E500A">
        <w:t>P</w:t>
      </w:r>
      <w:r w:rsidR="00382CE7">
        <w:t xml:space="preserve">rogram </w:t>
      </w:r>
      <w:r w:rsidRPr="00F1646E">
        <w:t>P</w:t>
      </w:r>
      <w:r w:rsidR="00382CE7" w:rsidRPr="00F1646E">
        <w:t>rogress</w:t>
      </w:r>
      <w:r w:rsidRPr="00F1646E">
        <w:t xml:space="preserve"> R</w:t>
      </w:r>
      <w:r w:rsidR="00382CE7" w:rsidRPr="00F1646E">
        <w:t>eport</w:t>
      </w:r>
    </w:p>
    <w:p w14:paraId="04DE3B41" w14:textId="7575588F" w:rsidR="00B42D44" w:rsidRPr="00B42D44" w:rsidRDefault="00B42D44" w:rsidP="00B42D44">
      <w:pPr>
        <w:pBdr>
          <w:top w:val="single" w:sz="4" w:space="1" w:color="65C5B4" w:themeColor="accent1"/>
          <w:left w:val="single" w:sz="4" w:space="4" w:color="65C5B4" w:themeColor="accent1"/>
          <w:bottom w:val="single" w:sz="4" w:space="1" w:color="65C5B4" w:themeColor="accent1"/>
          <w:right w:val="single" w:sz="4" w:space="4" w:color="65C5B4" w:themeColor="accent1"/>
        </w:pBdr>
        <w:spacing w:before="0" w:after="0" w:line="240" w:lineRule="auto"/>
      </w:pPr>
      <w:bookmarkStart w:id="0" w:name="_Hlk114824706"/>
      <w:bookmarkStart w:id="1" w:name="_Hlk114824707"/>
      <w:bookmarkStart w:id="2" w:name="_Hlk115096464"/>
      <w:bookmarkStart w:id="3" w:name="_Hlk115096465"/>
      <w:r w:rsidRPr="00015DC0">
        <w:t xml:space="preserve">The COVID-19 Development Response Plan for </w:t>
      </w:r>
      <w:r>
        <w:t>South Asia Regional</w:t>
      </w:r>
      <w:r w:rsidRPr="00015DC0">
        <w:t xml:space="preserve"> </w:t>
      </w:r>
      <w:r>
        <w:t>has been extended through 2022-23</w:t>
      </w:r>
      <w:r w:rsidRPr="00015DC0">
        <w:t>.</w:t>
      </w:r>
      <w:r w:rsidRPr="007C4D69">
        <w:t xml:space="preserve"> </w:t>
      </w:r>
      <w:r>
        <w:br/>
        <w:t>In 2022-23, the South Asia Regional</w:t>
      </w:r>
      <w:r w:rsidRPr="00015DC0">
        <w:t xml:space="preserve"> </w:t>
      </w:r>
      <w:r>
        <w:t xml:space="preserve">program will have a stronger focus on trade facilitation and infrastructure investments in energy, </w:t>
      </w:r>
      <w:proofErr w:type="gramStart"/>
      <w:r>
        <w:t>transport</w:t>
      </w:r>
      <w:proofErr w:type="gramEnd"/>
      <w:r>
        <w:t xml:space="preserve"> and water security in support of sustainable and inclusive trade and cooperation within the region.</w:t>
      </w:r>
      <w:bookmarkEnd w:id="0"/>
      <w:bookmarkEnd w:id="1"/>
      <w:bookmarkEnd w:id="2"/>
      <w:bookmarkEnd w:id="3"/>
    </w:p>
    <w:tbl>
      <w:tblPr>
        <w:tblStyle w:val="GridTable4-Accent1"/>
        <w:tblpPr w:leftFromText="180" w:rightFromText="180" w:vertAnchor="text" w:horzAnchor="margin" w:tblpX="-10" w:tblpY="28"/>
        <w:tblW w:w="4735"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Program Budget"/>
        <w:tblDescription w:val="Amount of Program budget allocation for 2020-21 for Bilateral, Regional, Global and Other Government Department ODA"/>
      </w:tblPr>
      <w:tblGrid>
        <w:gridCol w:w="2617"/>
        <w:gridCol w:w="2118"/>
      </w:tblGrid>
      <w:tr w:rsidR="00B42D44" w:rsidRPr="00F1646E" w14:paraId="6B616B30" w14:textId="77777777" w:rsidTr="00C651B6">
        <w:trPr>
          <w:cnfStyle w:val="100000000000" w:firstRow="1" w:lastRow="0" w:firstColumn="0" w:lastColumn="0" w:oddVBand="0" w:evenVBand="0" w:oddHBand="0" w:evenHBand="0" w:firstRowFirstColumn="0" w:firstRowLastColumn="0" w:lastRowFirstColumn="0" w:lastRowLastColumn="0"/>
          <w:trHeight w:val="868"/>
          <w:tblHeader/>
        </w:trPr>
        <w:tc>
          <w:tcPr>
            <w:cnfStyle w:val="001000000000" w:firstRow="0" w:lastRow="0" w:firstColumn="1" w:lastColumn="0" w:oddVBand="0" w:evenVBand="0" w:oddHBand="0" w:evenHBand="0" w:firstRowFirstColumn="0" w:firstRowLastColumn="0" w:lastRowFirstColumn="0" w:lastRowLastColumn="0"/>
            <w:tcW w:w="2617"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225EC960" w14:textId="77777777" w:rsidR="00B42D44" w:rsidRPr="00F1646E" w:rsidRDefault="00B42D44" w:rsidP="00163B5B">
            <w:pPr>
              <w:widowControl w:val="0"/>
              <w:spacing w:before="60" w:after="120" w:line="260" w:lineRule="exact"/>
              <w:rPr>
                <w:b w:val="0"/>
                <w:bCs w:val="0"/>
                <w:sz w:val="20"/>
                <w:szCs w:val="20"/>
              </w:rPr>
            </w:pPr>
            <w:r w:rsidRPr="00F1646E">
              <w:rPr>
                <w:sz w:val="20"/>
                <w:szCs w:val="20"/>
              </w:rPr>
              <w:t>Program Budget</w:t>
            </w:r>
          </w:p>
        </w:tc>
        <w:tc>
          <w:tcPr>
            <w:tcW w:w="2118" w:type="dxa"/>
            <w:tcBorders>
              <w:top w:val="none" w:sz="0" w:space="0" w:color="auto"/>
              <w:left w:val="none" w:sz="0" w:space="0" w:color="auto"/>
              <w:bottom w:val="none" w:sz="0" w:space="0" w:color="auto"/>
              <w:right w:val="none" w:sz="0" w:space="0" w:color="auto"/>
            </w:tcBorders>
            <w:shd w:val="clear" w:color="auto" w:fill="A2DCD1" w:themeFill="accent1" w:themeFillTint="99"/>
            <w:vAlign w:val="center"/>
          </w:tcPr>
          <w:p w14:paraId="2960386D" w14:textId="77777777" w:rsidR="00B42D44" w:rsidRPr="00F1646E" w:rsidRDefault="00B42D44" w:rsidP="00163B5B">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F1646E">
              <w:rPr>
                <w:sz w:val="20"/>
                <w:szCs w:val="20"/>
              </w:rPr>
              <w:t>2021-22 Budget Estimate $m*</w:t>
            </w:r>
          </w:p>
        </w:tc>
      </w:tr>
      <w:tr w:rsidR="00B42D44" w:rsidRPr="00F1646E" w14:paraId="26D52438" w14:textId="77777777" w:rsidTr="00C651B6">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26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1359F61E" w14:textId="77777777" w:rsidR="00B42D44" w:rsidRPr="00F1646E" w:rsidRDefault="00B42D44" w:rsidP="00163B5B">
            <w:pPr>
              <w:widowControl w:val="0"/>
              <w:spacing w:before="60" w:after="120" w:line="260" w:lineRule="exact"/>
              <w:rPr>
                <w:sz w:val="20"/>
                <w:szCs w:val="20"/>
              </w:rPr>
            </w:pPr>
            <w:r w:rsidRPr="00F1646E">
              <w:rPr>
                <w:sz w:val="20"/>
                <w:szCs w:val="20"/>
              </w:rPr>
              <w:t>Bilateral</w:t>
            </w:r>
          </w:p>
        </w:tc>
        <w:tc>
          <w:tcPr>
            <w:tcW w:w="21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7D43A31A" w14:textId="77777777" w:rsidR="00B42D44" w:rsidRPr="00F1646E" w:rsidRDefault="00B42D44" w:rsidP="00163B5B">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0.7</w:t>
            </w:r>
          </w:p>
        </w:tc>
      </w:tr>
      <w:tr w:rsidR="00B42D44" w:rsidRPr="00F1646E" w14:paraId="48A61F52" w14:textId="77777777" w:rsidTr="00C651B6">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261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9DB30EA" w14:textId="77777777" w:rsidR="00B42D44" w:rsidRPr="00F1646E" w:rsidRDefault="00B42D44" w:rsidP="00163B5B">
            <w:pPr>
              <w:widowControl w:val="0"/>
              <w:spacing w:before="60" w:after="120" w:line="260" w:lineRule="exact"/>
              <w:rPr>
                <w:sz w:val="20"/>
                <w:szCs w:val="20"/>
              </w:rPr>
            </w:pPr>
            <w:r w:rsidRPr="00F1646E">
              <w:rPr>
                <w:sz w:val="20"/>
                <w:szCs w:val="20"/>
              </w:rPr>
              <w:t>Regional</w:t>
            </w:r>
          </w:p>
        </w:tc>
        <w:tc>
          <w:tcPr>
            <w:tcW w:w="211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8F0602B" w14:textId="77777777" w:rsidR="00B42D44" w:rsidRPr="00F1646E" w:rsidRDefault="00B42D44" w:rsidP="00163B5B">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25.4</w:t>
            </w:r>
          </w:p>
        </w:tc>
      </w:tr>
      <w:tr w:rsidR="00B42D44" w:rsidRPr="00F1646E" w14:paraId="5757840E" w14:textId="77777777" w:rsidTr="00C651B6">
        <w:trPr>
          <w:cnfStyle w:val="100000000000" w:firstRow="1" w:lastRow="0" w:firstColumn="0" w:lastColumn="0" w:oddVBand="0" w:evenVBand="0" w:oddHBand="0" w:evenHBand="0" w:firstRowFirstColumn="0" w:firstRowLastColumn="0" w:lastRowFirstColumn="0" w:lastRowLastColumn="0"/>
          <w:trHeight w:val="547"/>
          <w:tblHeader/>
        </w:trPr>
        <w:tc>
          <w:tcPr>
            <w:cnfStyle w:val="001000000000" w:firstRow="0" w:lastRow="0" w:firstColumn="1" w:lastColumn="0" w:oddVBand="0" w:evenVBand="0" w:oddHBand="0" w:evenHBand="0" w:firstRowFirstColumn="0" w:firstRowLastColumn="0" w:lastRowFirstColumn="0" w:lastRowLastColumn="0"/>
            <w:tcW w:w="26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80C747E" w14:textId="77777777" w:rsidR="00B42D44" w:rsidRPr="00F1646E" w:rsidRDefault="00B42D44" w:rsidP="00163B5B">
            <w:pPr>
              <w:widowControl w:val="0"/>
              <w:spacing w:before="60" w:after="120" w:line="260" w:lineRule="exact"/>
              <w:rPr>
                <w:sz w:val="20"/>
                <w:szCs w:val="20"/>
              </w:rPr>
            </w:pPr>
            <w:r w:rsidRPr="00F1646E">
              <w:rPr>
                <w:sz w:val="20"/>
                <w:szCs w:val="20"/>
              </w:rPr>
              <w:t>Global</w:t>
            </w:r>
          </w:p>
        </w:tc>
        <w:tc>
          <w:tcPr>
            <w:tcW w:w="21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00DDC83D" w14:textId="77777777" w:rsidR="00B42D44" w:rsidRPr="00F1646E" w:rsidRDefault="00B42D44" w:rsidP="00163B5B">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4.2</w:t>
            </w:r>
          </w:p>
        </w:tc>
      </w:tr>
      <w:tr w:rsidR="00B42D44" w:rsidRPr="00F1646E" w14:paraId="024159F7" w14:textId="77777777" w:rsidTr="00C651B6">
        <w:trPr>
          <w:cnfStyle w:val="100000000000" w:firstRow="1" w:lastRow="0" w:firstColumn="0" w:lastColumn="0" w:oddVBand="0" w:evenVBand="0" w:oddHBand="0" w:evenHBand="0" w:firstRowFirstColumn="0" w:firstRowLastColumn="0" w:lastRowFirstColumn="0" w:lastRowLastColumn="0"/>
          <w:trHeight w:val="560"/>
          <w:tblHeader/>
        </w:trPr>
        <w:tc>
          <w:tcPr>
            <w:cnfStyle w:val="001000000000" w:firstRow="0" w:lastRow="0" w:firstColumn="1" w:lastColumn="0" w:oddVBand="0" w:evenVBand="0" w:oddHBand="0" w:evenHBand="0" w:firstRowFirstColumn="0" w:firstRowLastColumn="0" w:lastRowFirstColumn="0" w:lastRowLastColumn="0"/>
            <w:tcW w:w="261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371FA42" w14:textId="77777777" w:rsidR="00B42D44" w:rsidRPr="00F1646E" w:rsidRDefault="00B42D44" w:rsidP="00163B5B">
            <w:pPr>
              <w:widowControl w:val="0"/>
              <w:spacing w:before="60" w:after="120" w:line="260" w:lineRule="exact"/>
              <w:rPr>
                <w:sz w:val="20"/>
                <w:szCs w:val="20"/>
              </w:rPr>
            </w:pPr>
            <w:r w:rsidRPr="00F1646E">
              <w:rPr>
                <w:sz w:val="20"/>
                <w:szCs w:val="20"/>
              </w:rPr>
              <w:t>Other Govt. Departments</w:t>
            </w:r>
          </w:p>
        </w:tc>
        <w:tc>
          <w:tcPr>
            <w:tcW w:w="2118"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69A8DDE" w14:textId="77777777" w:rsidR="00B42D44" w:rsidRPr="00F1646E" w:rsidRDefault="00B42D44" w:rsidP="00163B5B">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 xml:space="preserve"> 0.8</w:t>
            </w:r>
          </w:p>
        </w:tc>
      </w:tr>
      <w:tr w:rsidR="00B42D44" w:rsidRPr="00F1646E" w14:paraId="52AB06BC" w14:textId="77777777" w:rsidTr="00C651B6">
        <w:trPr>
          <w:cnfStyle w:val="100000000000" w:firstRow="1" w:lastRow="0" w:firstColumn="0" w:lastColumn="0" w:oddVBand="0" w:evenVBand="0" w:oddHBand="0" w:evenHBand="0" w:firstRowFirstColumn="0" w:firstRowLastColumn="0" w:lastRowFirstColumn="0" w:lastRowLastColumn="0"/>
          <w:trHeight w:val="528"/>
          <w:tblHeader/>
        </w:trPr>
        <w:tc>
          <w:tcPr>
            <w:cnfStyle w:val="001000000000" w:firstRow="0" w:lastRow="0" w:firstColumn="1" w:lastColumn="0" w:oddVBand="0" w:evenVBand="0" w:oddHBand="0" w:evenHBand="0" w:firstRowFirstColumn="0" w:firstRowLastColumn="0" w:lastRowFirstColumn="0" w:lastRowLastColumn="0"/>
            <w:tcW w:w="2617"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02503D1" w14:textId="77777777" w:rsidR="00B42D44" w:rsidRPr="00F1646E" w:rsidRDefault="00B42D44" w:rsidP="00163B5B">
            <w:pPr>
              <w:widowControl w:val="0"/>
              <w:spacing w:before="60" w:after="120" w:line="260" w:lineRule="exact"/>
              <w:rPr>
                <w:sz w:val="20"/>
                <w:szCs w:val="20"/>
              </w:rPr>
            </w:pPr>
            <w:r w:rsidRPr="00F1646E">
              <w:rPr>
                <w:sz w:val="20"/>
                <w:szCs w:val="20"/>
              </w:rPr>
              <w:t>Total ODA</w:t>
            </w:r>
          </w:p>
        </w:tc>
        <w:tc>
          <w:tcPr>
            <w:tcW w:w="2118"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7102D6A" w14:textId="77777777" w:rsidR="00B42D44" w:rsidRPr="00F1646E" w:rsidRDefault="00B42D44" w:rsidP="00163B5B">
            <w:pPr>
              <w:widowControl w:val="0"/>
              <w:spacing w:before="60" w:after="120" w:line="260" w:lineRule="exact"/>
              <w:jc w:val="center"/>
              <w:cnfStyle w:val="100000000000" w:firstRow="1" w:lastRow="0" w:firstColumn="0" w:lastColumn="0" w:oddVBand="0" w:evenVBand="0" w:oddHBand="0" w:evenHBand="0" w:firstRowFirstColumn="0" w:firstRowLastColumn="0" w:lastRowFirstColumn="0" w:lastRowLastColumn="0"/>
            </w:pPr>
            <w:r>
              <w:t>31.1</w:t>
            </w:r>
          </w:p>
        </w:tc>
      </w:tr>
    </w:tbl>
    <w:p w14:paraId="3EDC8A44" w14:textId="3AC30823" w:rsidR="007B53F9" w:rsidRPr="00F1646E" w:rsidRDefault="00B42D44" w:rsidP="0038456B">
      <w:pPr>
        <w:widowControl w:val="0"/>
        <w:spacing w:before="0" w:after="0" w:line="240" w:lineRule="auto"/>
      </w:pPr>
      <w:r>
        <w:rPr>
          <w:noProof/>
        </w:rPr>
        <w:drawing>
          <wp:inline distT="0" distB="0" distL="0" distR="0" wp14:anchorId="0A83A414" wp14:editId="59AEF586">
            <wp:extent cx="3476625" cy="2376427"/>
            <wp:effectExtent l="0" t="0" r="0" b="5080"/>
            <wp:docPr id="3" name="Picture 3" descr="The South and West Regional Development Program by Sector Group 2021-22 Budget Estimate&#10;Economic Infrastructure and Services 18%&#10;Agriculture, Trade and other Production Sectors 50%&#10;Governance 8%&#10;Education 18%&#10;Health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South and West Regional Development Program by Sector Group 2021-22 Budget Estimate&#10;Economic Infrastructure and Services 18%&#10;Agriculture, Trade and other Production Sectors 50%&#10;Governance 8%&#10;Education 18%&#10;Health 6%&#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02772" cy="2394300"/>
                    </a:xfrm>
                    <a:prstGeom prst="rect">
                      <a:avLst/>
                    </a:prstGeom>
                    <a:noFill/>
                    <a:ln>
                      <a:noFill/>
                    </a:ln>
                  </pic:spPr>
                </pic:pic>
              </a:graphicData>
            </a:graphic>
          </wp:inline>
        </w:drawing>
      </w:r>
      <w:r w:rsidR="00CA5021" w:rsidRPr="00F1646E">
        <w:rPr>
          <w:i/>
          <w:iCs/>
          <w:sz w:val="18"/>
          <w:szCs w:val="18"/>
        </w:rPr>
        <w:t xml:space="preserve">*Actual expenditure is expected to be available in </w:t>
      </w:r>
      <w:r w:rsidR="00A17461" w:rsidRPr="00F1646E">
        <w:rPr>
          <w:i/>
          <w:iCs/>
          <w:sz w:val="18"/>
          <w:szCs w:val="18"/>
        </w:rPr>
        <w:t>early 2023</w:t>
      </w:r>
      <w:r w:rsidR="000B40E9" w:rsidRPr="00F1646E">
        <w:rPr>
          <w:i/>
          <w:iCs/>
          <w:sz w:val="18"/>
          <w:szCs w:val="18"/>
        </w:rPr>
        <w:t>.</w:t>
      </w:r>
      <w:r w:rsidR="006A1D66" w:rsidRPr="006A1D66">
        <w:rPr>
          <w:i/>
          <w:iCs/>
          <w:sz w:val="18"/>
          <w:szCs w:val="18"/>
        </w:rPr>
        <w:t xml:space="preserve"> </w:t>
      </w:r>
      <w:r w:rsidR="006A1D66" w:rsidRPr="005D314B">
        <w:rPr>
          <w:i/>
          <w:iCs/>
          <w:sz w:val="18"/>
          <w:szCs w:val="18"/>
        </w:rPr>
        <w:t>Due to rounding, totals may not match the sum of components.</w:t>
      </w:r>
    </w:p>
    <w:p w14:paraId="2F65107B" w14:textId="14F3012E" w:rsidR="00915556" w:rsidRPr="00CB5512" w:rsidRDefault="00915556" w:rsidP="0038456B">
      <w:pPr>
        <w:spacing w:before="0" w:after="0" w:line="240" w:lineRule="auto"/>
        <w:rPr>
          <w:b/>
          <w:bCs/>
          <w:i/>
          <w:iCs/>
          <w:sz w:val="20"/>
          <w:szCs w:val="20"/>
        </w:rPr>
      </w:pPr>
      <w:r w:rsidRPr="00CB5512">
        <w:rPr>
          <w:b/>
          <w:bCs/>
          <w:i/>
          <w:iCs/>
          <w:sz w:val="20"/>
          <w:szCs w:val="20"/>
        </w:rPr>
        <w:t xml:space="preserve">Our development program to </w:t>
      </w:r>
      <w:r w:rsidR="00996A5E">
        <w:rPr>
          <w:b/>
          <w:bCs/>
          <w:i/>
          <w:iCs/>
          <w:sz w:val="20"/>
          <w:szCs w:val="20"/>
        </w:rPr>
        <w:t xml:space="preserve">the </w:t>
      </w:r>
      <w:r>
        <w:rPr>
          <w:b/>
          <w:bCs/>
          <w:i/>
          <w:iCs/>
          <w:sz w:val="20"/>
          <w:szCs w:val="20"/>
        </w:rPr>
        <w:t>South Asia</w:t>
      </w:r>
      <w:r w:rsidRPr="00CB5512">
        <w:rPr>
          <w:b/>
          <w:bCs/>
          <w:i/>
          <w:iCs/>
          <w:sz w:val="20"/>
          <w:szCs w:val="20"/>
        </w:rPr>
        <w:t xml:space="preserve"> </w:t>
      </w:r>
      <w:r w:rsidR="00996A5E">
        <w:rPr>
          <w:b/>
          <w:bCs/>
          <w:i/>
          <w:iCs/>
          <w:sz w:val="20"/>
          <w:szCs w:val="20"/>
        </w:rPr>
        <w:t xml:space="preserve">region </w:t>
      </w:r>
      <w:r w:rsidRPr="00CB5512">
        <w:rPr>
          <w:b/>
          <w:bCs/>
          <w:i/>
          <w:iCs/>
          <w:sz w:val="20"/>
          <w:szCs w:val="20"/>
        </w:rPr>
        <w:t>contributes towards achieving the following Sustainable Development Goals:</w:t>
      </w:r>
    </w:p>
    <w:p w14:paraId="6BE09466" w14:textId="0C4295EF" w:rsidR="003806FE" w:rsidRPr="001B0C64" w:rsidRDefault="00B42D44" w:rsidP="00C651B6">
      <w:pPr>
        <w:spacing w:line="260" w:lineRule="auto"/>
      </w:pPr>
      <w:r w:rsidRPr="00B42D44">
        <w:rPr>
          <w:noProof/>
        </w:rPr>
        <w:drawing>
          <wp:inline distT="0" distB="0" distL="0" distR="0" wp14:anchorId="48036F8E" wp14:editId="0C7D9B4F">
            <wp:extent cx="6696075" cy="533400"/>
            <wp:effectExtent l="0" t="0" r="0" b="0"/>
            <wp:docPr id="4" name="Picture 4" descr="Sustainable Development Goal 1- No Poverty&#10;Sustainable Development Goal 2-Zero Hunger&#10;Sustainable Development Goal 5-Gender Equality&#10;Sustainable Development Goal 6-Clean water and Sanitation&#10;Sustainable Development Goal 7- Affordable and Clean Energy&#10;Sustainable Development Goal 8- Decent Work and Economic Growth&#10;Sustainable Development Goal 9- Industry, Innovation and Infrastructure&#10;Sustainable Development Goal 13- Climate Action&#10;Sustainable Development Goal 17- Partnerships to achieve the Goal&#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ustainable Development Goal 1- No Poverty&#10;Sustainable Development Goal 2-Zero Hunger&#10;Sustainable Development Goal 5-Gender Equality&#10;Sustainable Development Goal 6-Clean water and Sanitation&#10;Sustainable Development Goal 7- Affordable and Clean Energy&#10;Sustainable Development Goal 8- Decent Work and Economic Growth&#10;Sustainable Development Goal 9- Industry, Innovation and Infrastructure&#10;Sustainable Development Goal 13- Climate Action&#10;Sustainable Development Goal 17- Partnerships to achieve the Goal&#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96075" cy="533400"/>
                    </a:xfrm>
                    <a:prstGeom prst="rect">
                      <a:avLst/>
                    </a:prstGeom>
                    <a:noFill/>
                    <a:ln>
                      <a:noFill/>
                    </a:ln>
                  </pic:spPr>
                </pic:pic>
              </a:graphicData>
            </a:graphic>
          </wp:inline>
        </w:drawing>
      </w:r>
      <w:r w:rsidR="003806FE" w:rsidRPr="001B0C64">
        <w:t xml:space="preserve">The </w:t>
      </w:r>
      <w:r w:rsidR="003806FE" w:rsidRPr="001B0C64">
        <w:rPr>
          <w:iCs/>
        </w:rPr>
        <w:t>202</w:t>
      </w:r>
      <w:r w:rsidR="00ED6E38" w:rsidRPr="001B0C64">
        <w:rPr>
          <w:iCs/>
        </w:rPr>
        <w:t>1</w:t>
      </w:r>
      <w:r w:rsidR="003806FE" w:rsidRPr="001B0C64">
        <w:rPr>
          <w:iCs/>
        </w:rPr>
        <w:t>-2</w:t>
      </w:r>
      <w:r w:rsidR="00ED6E38" w:rsidRPr="001B0C64">
        <w:rPr>
          <w:iCs/>
        </w:rPr>
        <w:t>2</w:t>
      </w:r>
      <w:r w:rsidR="003806FE" w:rsidRPr="001B0C64">
        <w:rPr>
          <w:iCs/>
        </w:rPr>
        <w:t xml:space="preserve"> </w:t>
      </w:r>
      <w:r w:rsidR="007C3135" w:rsidRPr="001B0C64">
        <w:rPr>
          <w:iCs/>
        </w:rPr>
        <w:t xml:space="preserve">South Asia Regional </w:t>
      </w:r>
      <w:r w:rsidR="003806FE" w:rsidRPr="001B0C64">
        <w:rPr>
          <w:iCs/>
        </w:rPr>
        <w:t xml:space="preserve">Development Program Progress Report summarises </w:t>
      </w:r>
      <w:r w:rsidR="00404443" w:rsidRPr="001B0C64">
        <w:rPr>
          <w:iCs/>
        </w:rPr>
        <w:t xml:space="preserve">progress </w:t>
      </w:r>
      <w:r w:rsidR="00E3330D">
        <w:rPr>
          <w:iCs/>
        </w:rPr>
        <w:t>with</w:t>
      </w:r>
      <w:r w:rsidR="00404443" w:rsidRPr="001B0C64">
        <w:rPr>
          <w:iCs/>
        </w:rPr>
        <w:t xml:space="preserve"> implementation of the Australia</w:t>
      </w:r>
      <w:r w:rsidR="00404443" w:rsidRPr="001B0C64">
        <w:t xml:space="preserve"> – </w:t>
      </w:r>
      <w:r w:rsidR="007C3135" w:rsidRPr="001B0C64">
        <w:t xml:space="preserve">South Asia Regional </w:t>
      </w:r>
      <w:r w:rsidR="00404443" w:rsidRPr="001B0C64">
        <w:t xml:space="preserve">COVID-19 </w:t>
      </w:r>
      <w:r w:rsidR="00B66D3E" w:rsidRPr="001B0C64">
        <w:t xml:space="preserve">Development </w:t>
      </w:r>
      <w:r w:rsidR="00404443" w:rsidRPr="001B0C64">
        <w:t xml:space="preserve">Response Plan and </w:t>
      </w:r>
      <w:r w:rsidR="003806FE" w:rsidRPr="001B0C64">
        <w:t>highlights</w:t>
      </w:r>
      <w:r w:rsidR="00A92472" w:rsidRPr="001B0C64">
        <w:t xml:space="preserve"> program results</w:t>
      </w:r>
      <w:r w:rsidR="00404443" w:rsidRPr="001B0C64">
        <w:t>.</w:t>
      </w:r>
      <w:r w:rsidR="000D003A" w:rsidRPr="001B0C64">
        <w:t xml:space="preserve"> </w:t>
      </w:r>
    </w:p>
    <w:p w14:paraId="12F182A4" w14:textId="3E942CCB" w:rsidR="00C84C30" w:rsidRPr="001B0C64" w:rsidRDefault="00C84C30" w:rsidP="00C651B6">
      <w:pPr>
        <w:pStyle w:val="Heading2"/>
        <w:spacing w:before="120" w:after="60" w:line="260" w:lineRule="auto"/>
        <w:contextualSpacing w:val="0"/>
      </w:pPr>
      <w:r w:rsidRPr="001B0C64">
        <w:t xml:space="preserve">CONTEXT </w:t>
      </w:r>
    </w:p>
    <w:p w14:paraId="5FCE2031" w14:textId="3FA94996" w:rsidR="005E34FD" w:rsidRPr="001B0C64" w:rsidRDefault="00805A17" w:rsidP="00C651B6">
      <w:pPr>
        <w:suppressAutoHyphens w:val="0"/>
        <w:spacing w:line="260" w:lineRule="auto"/>
      </w:pPr>
      <w:r w:rsidRPr="001B0C64">
        <w:t>The COVID</w:t>
      </w:r>
      <w:r w:rsidR="005F44F4" w:rsidRPr="001B0C64">
        <w:t xml:space="preserve">-19 </w:t>
      </w:r>
      <w:r w:rsidR="00514B1E" w:rsidRPr="001B0C64">
        <w:t xml:space="preserve">pandemic </w:t>
      </w:r>
      <w:r w:rsidR="0055085D" w:rsidRPr="001B0C64">
        <w:t xml:space="preserve">severely affected </w:t>
      </w:r>
      <w:r w:rsidR="005F44F4" w:rsidRPr="001B0C64">
        <w:t>South Asia</w:t>
      </w:r>
      <w:r w:rsidR="00E300CD" w:rsidRPr="001B0C64">
        <w:t xml:space="preserve"> </w:t>
      </w:r>
      <w:r w:rsidR="00C2687C" w:rsidRPr="001B0C64">
        <w:t xml:space="preserve">during 2021-22, particularly </w:t>
      </w:r>
      <w:r w:rsidR="006F681B" w:rsidRPr="001B0C64">
        <w:t xml:space="preserve">in </w:t>
      </w:r>
      <w:r w:rsidR="00C2687C" w:rsidRPr="001B0C64">
        <w:t>India</w:t>
      </w:r>
      <w:r w:rsidR="00514B1E" w:rsidRPr="001B0C64">
        <w:t>. B</w:t>
      </w:r>
      <w:r w:rsidR="0055085D" w:rsidRPr="001B0C64">
        <w:t xml:space="preserve">y </w:t>
      </w:r>
      <w:r w:rsidR="001B2BF7" w:rsidRPr="001B0C64">
        <w:t xml:space="preserve">June </w:t>
      </w:r>
      <w:r w:rsidR="00C2687C" w:rsidRPr="001B0C64">
        <w:t>202</w:t>
      </w:r>
      <w:r w:rsidR="001B2BF7" w:rsidRPr="001B0C64">
        <w:t>2</w:t>
      </w:r>
      <w:r w:rsidR="00C2687C" w:rsidRPr="001B0C64">
        <w:t xml:space="preserve">, cases </w:t>
      </w:r>
      <w:r w:rsidR="00F162A4" w:rsidRPr="001B0C64">
        <w:t xml:space="preserve">in the region </w:t>
      </w:r>
      <w:r w:rsidR="00C2687C" w:rsidRPr="001B0C64">
        <w:t xml:space="preserve">exceeded </w:t>
      </w:r>
      <w:r w:rsidR="001B2BF7" w:rsidRPr="001B0C64">
        <w:t>53</w:t>
      </w:r>
      <w:r w:rsidR="00C2687C" w:rsidRPr="001B0C64">
        <w:t xml:space="preserve"> million, </w:t>
      </w:r>
      <w:r w:rsidR="001B2BF7" w:rsidRPr="001B0C64">
        <w:t>with 42 million in India</w:t>
      </w:r>
      <w:r w:rsidR="00C96164" w:rsidRPr="001B0C64">
        <w:t xml:space="preserve"> alone</w:t>
      </w:r>
      <w:r w:rsidR="00C2687C" w:rsidRPr="001B0C64">
        <w:t xml:space="preserve">. </w:t>
      </w:r>
      <w:r w:rsidR="001B2BF7" w:rsidRPr="001B0C64">
        <w:t xml:space="preserve">By June 2022, </w:t>
      </w:r>
      <w:r w:rsidR="0055085D" w:rsidRPr="001B0C64">
        <w:t>India had fully vaccinated</w:t>
      </w:r>
      <w:r w:rsidR="00514B1E" w:rsidRPr="001B0C64">
        <w:t xml:space="preserve"> </w:t>
      </w:r>
      <w:r w:rsidR="001B2BF7" w:rsidRPr="001B0C64">
        <w:t>900 million people</w:t>
      </w:r>
      <w:r w:rsidR="005F44F4" w:rsidRPr="001B0C64">
        <w:t xml:space="preserve"> </w:t>
      </w:r>
      <w:r w:rsidR="001B2BF7" w:rsidRPr="001B0C64">
        <w:t>in accordance with</w:t>
      </w:r>
      <w:r w:rsidRPr="001B0C64">
        <w:t xml:space="preserve"> its </w:t>
      </w:r>
      <w:r w:rsidR="00BB2B64" w:rsidRPr="001B0C64">
        <w:t xml:space="preserve">national </w:t>
      </w:r>
      <w:r w:rsidR="001B2BF7" w:rsidRPr="001B0C64">
        <w:t xml:space="preserve">vaccine protocol, </w:t>
      </w:r>
      <w:r w:rsidR="00BB2B64" w:rsidRPr="001B0C64">
        <w:t xml:space="preserve">and </w:t>
      </w:r>
      <w:r w:rsidR="0063771D" w:rsidRPr="001B0C64">
        <w:t xml:space="preserve">the </w:t>
      </w:r>
      <w:r w:rsidR="00BB2B64" w:rsidRPr="001B0C64">
        <w:t xml:space="preserve">vaccination </w:t>
      </w:r>
      <w:r w:rsidR="00B05A81" w:rsidRPr="001B0C64">
        <w:t>ra</w:t>
      </w:r>
      <w:r w:rsidR="001814C5" w:rsidRPr="001B0C64">
        <w:t>te</w:t>
      </w:r>
      <w:r w:rsidR="00B05A81" w:rsidRPr="001B0C64">
        <w:t xml:space="preserve"> in </w:t>
      </w:r>
      <w:r w:rsidR="001F06B8" w:rsidRPr="001B0C64">
        <w:t xml:space="preserve">the region </w:t>
      </w:r>
      <w:r w:rsidR="001814C5" w:rsidRPr="001B0C64">
        <w:t>rang</w:t>
      </w:r>
      <w:r w:rsidR="00BB2B64" w:rsidRPr="001B0C64">
        <w:t>ed</w:t>
      </w:r>
      <w:r w:rsidR="001814C5" w:rsidRPr="001B0C64">
        <w:t xml:space="preserve"> from 61.8 per</w:t>
      </w:r>
      <w:r w:rsidR="00400209" w:rsidRPr="001B0C64">
        <w:t xml:space="preserve"> </w:t>
      </w:r>
      <w:r w:rsidR="001814C5" w:rsidRPr="001B0C64">
        <w:t>cent in India to 88.9 per</w:t>
      </w:r>
      <w:r w:rsidR="00400209" w:rsidRPr="001B0C64">
        <w:t xml:space="preserve"> </w:t>
      </w:r>
      <w:r w:rsidR="001814C5" w:rsidRPr="001B0C64">
        <w:t>cent in Bhutan.</w:t>
      </w:r>
      <w:r w:rsidR="001B2BF7" w:rsidRPr="001B0C64">
        <w:t xml:space="preserve"> </w:t>
      </w:r>
      <w:r w:rsidR="0051179B" w:rsidRPr="001B0C64">
        <w:t xml:space="preserve">Management of the pandemic and </w:t>
      </w:r>
      <w:r w:rsidR="0055085D" w:rsidRPr="001B0C64">
        <w:t>provi</w:t>
      </w:r>
      <w:r w:rsidR="00515EA0" w:rsidRPr="001B0C64">
        <w:t>sion of</w:t>
      </w:r>
      <w:r w:rsidR="0055085D" w:rsidRPr="001B0C64">
        <w:t xml:space="preserve"> </w:t>
      </w:r>
      <w:r w:rsidR="0051179B" w:rsidRPr="001B0C64">
        <w:t xml:space="preserve">essential services </w:t>
      </w:r>
      <w:r w:rsidR="00654966" w:rsidRPr="001B0C64">
        <w:t xml:space="preserve">remained </w:t>
      </w:r>
      <w:r w:rsidR="0051179B" w:rsidRPr="001B0C64">
        <w:t>challenging in South Asia</w:t>
      </w:r>
      <w:r w:rsidR="00515EA0" w:rsidRPr="001B0C64">
        <w:t xml:space="preserve"> throughout 2021-22</w:t>
      </w:r>
      <w:r w:rsidR="00654966" w:rsidRPr="001B0C64">
        <w:t>.</w:t>
      </w:r>
      <w:r w:rsidR="0051179B" w:rsidRPr="001B0C64">
        <w:t xml:space="preserve"> </w:t>
      </w:r>
      <w:r w:rsidR="0055085D" w:rsidRPr="001B0C64">
        <w:t>A</w:t>
      </w:r>
      <w:r w:rsidR="00D878C5" w:rsidRPr="001B0C64">
        <w:t xml:space="preserve"> June 2022</w:t>
      </w:r>
      <w:r w:rsidR="0051179B" w:rsidRPr="001B0C64">
        <w:t xml:space="preserve"> Lancet study </w:t>
      </w:r>
      <w:r w:rsidRPr="001B0C64">
        <w:t xml:space="preserve">that included </w:t>
      </w:r>
      <w:r w:rsidR="0051179B" w:rsidRPr="001B0C64">
        <w:t xml:space="preserve">Bhutan, </w:t>
      </w:r>
      <w:r w:rsidR="00295B17" w:rsidRPr="001B0C64">
        <w:t xml:space="preserve">India, </w:t>
      </w:r>
      <w:proofErr w:type="gramStart"/>
      <w:r w:rsidR="00295B17" w:rsidRPr="001B0C64">
        <w:t>Nepal</w:t>
      </w:r>
      <w:proofErr w:type="gramEnd"/>
      <w:r w:rsidR="00295B17" w:rsidRPr="001B0C64">
        <w:t xml:space="preserve"> and </w:t>
      </w:r>
      <w:r w:rsidR="0051179B" w:rsidRPr="001B0C64">
        <w:t>Sri Lanka</w:t>
      </w:r>
      <w:r w:rsidR="00A92472" w:rsidRPr="001B0C64">
        <w:t>,</w:t>
      </w:r>
      <w:r w:rsidR="0051179B" w:rsidRPr="001B0C64">
        <w:t xml:space="preserve"> </w:t>
      </w:r>
      <w:r w:rsidRPr="001B0C64">
        <w:t xml:space="preserve">among </w:t>
      </w:r>
      <w:r w:rsidR="006F681B" w:rsidRPr="001B0C64">
        <w:t xml:space="preserve">the </w:t>
      </w:r>
      <w:r w:rsidRPr="001B0C64">
        <w:t>countries assessed</w:t>
      </w:r>
      <w:r w:rsidR="00F162A4" w:rsidRPr="001B0C64">
        <w:t>,</w:t>
      </w:r>
      <w:r w:rsidRPr="001B0C64">
        <w:t xml:space="preserve"> found</w:t>
      </w:r>
      <w:r w:rsidR="00654966" w:rsidRPr="001B0C64">
        <w:t xml:space="preserve"> that </w:t>
      </w:r>
      <w:r w:rsidR="00654966" w:rsidRPr="001B0C64">
        <w:rPr>
          <w:b/>
          <w:bCs/>
        </w:rPr>
        <w:t xml:space="preserve">responding to the pandemic had </w:t>
      </w:r>
      <w:r w:rsidRPr="001B0C64">
        <w:rPr>
          <w:b/>
          <w:bCs/>
        </w:rPr>
        <w:t>disrupted</w:t>
      </w:r>
      <w:r w:rsidR="0051179B" w:rsidRPr="001B0C64">
        <w:rPr>
          <w:b/>
          <w:bCs/>
        </w:rPr>
        <w:t xml:space="preserve"> prevention</w:t>
      </w:r>
      <w:r w:rsidR="00B05A81" w:rsidRPr="001B0C64">
        <w:rPr>
          <w:b/>
          <w:bCs/>
        </w:rPr>
        <w:t xml:space="preserve"> </w:t>
      </w:r>
      <w:r w:rsidR="0051179B" w:rsidRPr="001B0C64">
        <w:rPr>
          <w:b/>
          <w:bCs/>
        </w:rPr>
        <w:t xml:space="preserve">and management of </w:t>
      </w:r>
      <w:r w:rsidR="00C75730" w:rsidRPr="001B0C64">
        <w:rPr>
          <w:b/>
          <w:bCs/>
        </w:rPr>
        <w:t>tuberculosis (</w:t>
      </w:r>
      <w:r w:rsidR="0051179B" w:rsidRPr="001B0C64">
        <w:rPr>
          <w:b/>
          <w:bCs/>
        </w:rPr>
        <w:t>TB</w:t>
      </w:r>
      <w:r w:rsidR="00C75730" w:rsidRPr="001B0C64">
        <w:rPr>
          <w:b/>
          <w:bCs/>
        </w:rPr>
        <w:t>)</w:t>
      </w:r>
      <w:r w:rsidR="0051179B" w:rsidRPr="001B0C64">
        <w:rPr>
          <w:b/>
          <w:bCs/>
        </w:rPr>
        <w:t xml:space="preserve">, </w:t>
      </w:r>
      <w:r w:rsidRPr="001B0C64">
        <w:rPr>
          <w:b/>
          <w:bCs/>
        </w:rPr>
        <w:t>HIV</w:t>
      </w:r>
      <w:r w:rsidR="0051179B" w:rsidRPr="001B0C64">
        <w:rPr>
          <w:b/>
          <w:bCs/>
        </w:rPr>
        <w:t xml:space="preserve"> and dengue fever</w:t>
      </w:r>
      <w:r w:rsidR="00B05A81" w:rsidRPr="001B0C64">
        <w:t xml:space="preserve"> </w:t>
      </w:r>
      <w:r w:rsidR="00C61D33" w:rsidRPr="001B0C64">
        <w:t xml:space="preserve">with </w:t>
      </w:r>
      <w:r w:rsidR="0051179B" w:rsidRPr="001B0C64">
        <w:t>potential to set back gains in infectio</w:t>
      </w:r>
      <w:r w:rsidR="00CD2EBB" w:rsidRPr="001B0C64">
        <w:t>u</w:t>
      </w:r>
      <w:r w:rsidR="0051179B" w:rsidRPr="001B0C64">
        <w:t>s disease control.</w:t>
      </w:r>
      <w:r w:rsidR="00C2687C" w:rsidRPr="001B0C64">
        <w:t xml:space="preserve"> </w:t>
      </w:r>
    </w:p>
    <w:p w14:paraId="08E70180" w14:textId="2278AC17" w:rsidR="00EE64B0" w:rsidRPr="001B0C64" w:rsidRDefault="303290BF" w:rsidP="00C651B6">
      <w:pPr>
        <w:pStyle w:val="Bullet1"/>
        <w:numPr>
          <w:ilvl w:val="0"/>
          <w:numId w:val="0"/>
        </w:numPr>
        <w:spacing w:before="120" w:line="260" w:lineRule="auto"/>
      </w:pPr>
      <w:r w:rsidRPr="001B0C64">
        <w:rPr>
          <w:b/>
          <w:bCs/>
        </w:rPr>
        <w:t>E</w:t>
      </w:r>
      <w:r w:rsidR="293BBDE6" w:rsidRPr="001B0C64">
        <w:rPr>
          <w:b/>
          <w:bCs/>
        </w:rPr>
        <w:t xml:space="preserve">conomic </w:t>
      </w:r>
      <w:r w:rsidR="6689477D" w:rsidRPr="001B0C64">
        <w:rPr>
          <w:b/>
          <w:bCs/>
        </w:rPr>
        <w:t xml:space="preserve">recovery </w:t>
      </w:r>
      <w:r w:rsidR="293BBDE6" w:rsidRPr="001B0C64">
        <w:rPr>
          <w:b/>
          <w:bCs/>
        </w:rPr>
        <w:t>from the pandemic</w:t>
      </w:r>
      <w:r w:rsidR="497BE611" w:rsidRPr="001B0C64">
        <w:rPr>
          <w:b/>
          <w:bCs/>
        </w:rPr>
        <w:t xml:space="preserve"> </w:t>
      </w:r>
      <w:r w:rsidR="7FADFD89" w:rsidRPr="001B0C64">
        <w:rPr>
          <w:b/>
          <w:bCs/>
        </w:rPr>
        <w:t xml:space="preserve">is </w:t>
      </w:r>
      <w:r w:rsidR="27A26595" w:rsidRPr="001B0C64">
        <w:rPr>
          <w:b/>
          <w:bCs/>
        </w:rPr>
        <w:t>fragile and uneven</w:t>
      </w:r>
      <w:r w:rsidRPr="001B0C64">
        <w:t xml:space="preserve"> with </w:t>
      </w:r>
      <w:r w:rsidR="7FADFD89" w:rsidRPr="001B0C64">
        <w:t xml:space="preserve">the </w:t>
      </w:r>
      <w:r w:rsidR="3D5016C2" w:rsidRPr="001B0C64">
        <w:t xml:space="preserve">region </w:t>
      </w:r>
      <w:r w:rsidR="6689477D" w:rsidRPr="001B0C64">
        <w:t>experienc</w:t>
      </w:r>
      <w:r w:rsidRPr="001B0C64">
        <w:t>ing</w:t>
      </w:r>
      <w:r w:rsidR="27A26595" w:rsidRPr="001B0C64">
        <w:t xml:space="preserve"> lower investment, </w:t>
      </w:r>
      <w:r w:rsidR="283827E3" w:rsidRPr="001B0C64">
        <w:t xml:space="preserve">supply </w:t>
      </w:r>
      <w:r w:rsidR="0F8DCA72" w:rsidRPr="001B0C64">
        <w:t xml:space="preserve">chain </w:t>
      </w:r>
      <w:r w:rsidR="283827E3" w:rsidRPr="001B0C64">
        <w:t>disruption</w:t>
      </w:r>
      <w:r w:rsidR="27A26595" w:rsidRPr="001B0C64">
        <w:t xml:space="preserve">, </w:t>
      </w:r>
      <w:r w:rsidRPr="001B0C64">
        <w:t>reduced</w:t>
      </w:r>
      <w:r w:rsidR="27A26595" w:rsidRPr="001B0C64">
        <w:t xml:space="preserve"> capital </w:t>
      </w:r>
      <w:r w:rsidR="283827E3" w:rsidRPr="001B0C64">
        <w:t>accumulation, and</w:t>
      </w:r>
      <w:r w:rsidR="2F611BC9" w:rsidRPr="001B0C64">
        <w:t xml:space="preserve"> </w:t>
      </w:r>
      <w:r w:rsidR="283827E3" w:rsidRPr="001B0C64">
        <w:t>increase</w:t>
      </w:r>
      <w:r w:rsidR="497BE611" w:rsidRPr="001B0C64">
        <w:t>d</w:t>
      </w:r>
      <w:r w:rsidR="283827E3" w:rsidRPr="001B0C64">
        <w:t xml:space="preserve"> </w:t>
      </w:r>
      <w:r w:rsidR="2F611BC9" w:rsidRPr="001B0C64">
        <w:t>debt</w:t>
      </w:r>
      <w:r w:rsidR="3B39F75E" w:rsidRPr="001B0C64">
        <w:t>. Rising inflation</w:t>
      </w:r>
      <w:r w:rsidR="2F611BC9" w:rsidRPr="001B0C64">
        <w:t xml:space="preserve"> </w:t>
      </w:r>
      <w:r w:rsidR="3B39F75E" w:rsidRPr="001B0C64">
        <w:t xml:space="preserve">in </w:t>
      </w:r>
      <w:r w:rsidR="6689477D" w:rsidRPr="001B0C64">
        <w:t>South</w:t>
      </w:r>
      <w:r w:rsidR="3B39F75E" w:rsidRPr="001B0C64">
        <w:t xml:space="preserve"> </w:t>
      </w:r>
      <w:r w:rsidR="6689477D" w:rsidRPr="001B0C64">
        <w:t>A</w:t>
      </w:r>
      <w:r w:rsidR="3B39F75E" w:rsidRPr="001B0C64">
        <w:t>sia and globally</w:t>
      </w:r>
      <w:r w:rsidR="293BBDE6" w:rsidRPr="001B0C64">
        <w:t>,</w:t>
      </w:r>
      <w:r w:rsidR="3B39F75E" w:rsidRPr="001B0C64">
        <w:t xml:space="preserve"> </w:t>
      </w:r>
      <w:r w:rsidRPr="001B0C64">
        <w:t xml:space="preserve">has </w:t>
      </w:r>
      <w:r w:rsidR="3B39F75E" w:rsidRPr="001B0C64">
        <w:t>lower</w:t>
      </w:r>
      <w:r w:rsidR="27E255B0" w:rsidRPr="001B0C64">
        <w:t>ed</w:t>
      </w:r>
      <w:r w:rsidR="3B39F75E" w:rsidRPr="001B0C64">
        <w:t xml:space="preserve"> purchasing </w:t>
      </w:r>
      <w:r w:rsidR="00267640" w:rsidRPr="001B0C64">
        <w:t>power</w:t>
      </w:r>
      <w:r w:rsidR="74A6A0A7" w:rsidRPr="001B0C64">
        <w:t>, disproportionately a</w:t>
      </w:r>
      <w:r w:rsidR="00267640" w:rsidRPr="001B0C64">
        <w:t>ffecting the poor</w:t>
      </w:r>
      <w:r w:rsidR="27E255B0" w:rsidRPr="001B0C64">
        <w:t xml:space="preserve">. </w:t>
      </w:r>
      <w:bookmarkStart w:id="4" w:name="_Hlk115273844"/>
      <w:r w:rsidR="00267640" w:rsidRPr="001B0C64">
        <w:t xml:space="preserve">India and Bhutan </w:t>
      </w:r>
      <w:r w:rsidR="27E255B0" w:rsidRPr="001B0C64">
        <w:t xml:space="preserve">were </w:t>
      </w:r>
      <w:r w:rsidR="6689477D" w:rsidRPr="001B0C64">
        <w:t>particularly</w:t>
      </w:r>
      <w:r w:rsidR="00267640" w:rsidRPr="001B0C64">
        <w:t xml:space="preserve"> affected</w:t>
      </w:r>
      <w:r w:rsidR="74A6A0A7" w:rsidRPr="001B0C64">
        <w:t xml:space="preserve"> </w:t>
      </w:r>
      <w:r w:rsidR="283827E3" w:rsidRPr="001B0C64">
        <w:t xml:space="preserve">with </w:t>
      </w:r>
      <w:r w:rsidR="74A6A0A7" w:rsidRPr="001B0C64">
        <w:t xml:space="preserve">estimated </w:t>
      </w:r>
      <w:r w:rsidR="00267640" w:rsidRPr="001B0C64">
        <w:t xml:space="preserve">negative growth of </w:t>
      </w:r>
      <w:r w:rsidR="00A92472" w:rsidRPr="001B0C64">
        <w:t xml:space="preserve">– </w:t>
      </w:r>
      <w:r w:rsidR="00267640" w:rsidRPr="001B0C64">
        <w:t>7.3</w:t>
      </w:r>
      <w:r w:rsidR="3E26D8EB" w:rsidRPr="001B0C64">
        <w:t xml:space="preserve"> per</w:t>
      </w:r>
      <w:r w:rsidR="00400209" w:rsidRPr="001B0C64">
        <w:t xml:space="preserve"> </w:t>
      </w:r>
      <w:r w:rsidR="3E26D8EB" w:rsidRPr="001B0C64">
        <w:t>cent</w:t>
      </w:r>
      <w:r w:rsidR="00267640" w:rsidRPr="001B0C64">
        <w:t xml:space="preserve"> and </w:t>
      </w:r>
      <w:r w:rsidR="00A92472" w:rsidRPr="001B0C64">
        <w:t xml:space="preserve">– </w:t>
      </w:r>
      <w:r w:rsidR="00267640" w:rsidRPr="001B0C64">
        <w:t>3.7</w:t>
      </w:r>
      <w:r w:rsidR="3E26D8EB" w:rsidRPr="001B0C64">
        <w:t xml:space="preserve"> per</w:t>
      </w:r>
      <w:r w:rsidR="00400209" w:rsidRPr="001B0C64">
        <w:t xml:space="preserve"> </w:t>
      </w:r>
      <w:r w:rsidR="3E26D8EB" w:rsidRPr="001B0C64">
        <w:t>cent</w:t>
      </w:r>
      <w:r w:rsidR="00267640" w:rsidRPr="001B0C64">
        <w:t xml:space="preserve"> in 202</w:t>
      </w:r>
      <w:r w:rsidR="7301429C" w:rsidRPr="001B0C64">
        <w:t>0</w:t>
      </w:r>
      <w:r w:rsidR="37BAD247" w:rsidRPr="001B0C64">
        <w:t>-2</w:t>
      </w:r>
      <w:bookmarkEnd w:id="4"/>
      <w:r w:rsidR="7301429C" w:rsidRPr="001B0C64">
        <w:t>1</w:t>
      </w:r>
      <w:r w:rsidR="0F8DCA72" w:rsidRPr="001B0C64">
        <w:t xml:space="preserve"> respectively</w:t>
      </w:r>
      <w:r w:rsidR="00267640" w:rsidRPr="001B0C64">
        <w:t xml:space="preserve">. </w:t>
      </w:r>
      <w:r w:rsidR="0170D258" w:rsidRPr="001B0C64">
        <w:t xml:space="preserve">However, </w:t>
      </w:r>
      <w:r w:rsidR="56710853" w:rsidRPr="001B0C64">
        <w:t>India’s economy is forecast to grow by 8</w:t>
      </w:r>
      <w:r w:rsidR="3E26D8EB" w:rsidRPr="001B0C64">
        <w:t xml:space="preserve"> per</w:t>
      </w:r>
      <w:r w:rsidR="00400209" w:rsidRPr="001B0C64">
        <w:t xml:space="preserve"> </w:t>
      </w:r>
      <w:r w:rsidR="3E26D8EB" w:rsidRPr="001B0C64">
        <w:t xml:space="preserve">cent </w:t>
      </w:r>
      <w:r w:rsidR="56710853" w:rsidRPr="001B0C64">
        <w:t>in 2022-23</w:t>
      </w:r>
      <w:r w:rsidR="0170D258" w:rsidRPr="001B0C64">
        <w:t xml:space="preserve">, while </w:t>
      </w:r>
      <w:r w:rsidR="283827E3" w:rsidRPr="001B0C64">
        <w:t xml:space="preserve">Bangladesh is forecast to grow by 6.9 </w:t>
      </w:r>
      <w:r w:rsidR="3E26D8EB" w:rsidRPr="001B0C64">
        <w:t>per</w:t>
      </w:r>
      <w:r w:rsidR="00400209" w:rsidRPr="001B0C64">
        <w:t xml:space="preserve"> </w:t>
      </w:r>
      <w:r w:rsidR="3E26D8EB" w:rsidRPr="001B0C64">
        <w:t>cent d</w:t>
      </w:r>
      <w:r w:rsidR="283827E3" w:rsidRPr="001B0C64">
        <w:t xml:space="preserve">ue to </w:t>
      </w:r>
      <w:r w:rsidR="56710853" w:rsidRPr="001B0C64">
        <w:t>continued recovery in exports and consumption</w:t>
      </w:r>
      <w:r w:rsidR="283827E3" w:rsidRPr="001B0C64">
        <w:t>.</w:t>
      </w:r>
      <w:r w:rsidR="56710853" w:rsidRPr="001B0C64">
        <w:t xml:space="preserve"> </w:t>
      </w:r>
      <w:r w:rsidR="369FE1DB" w:rsidRPr="001B0C64">
        <w:t>Despite</w:t>
      </w:r>
      <w:r w:rsidR="00267640" w:rsidRPr="001B0C64">
        <w:t xml:space="preserve"> th</w:t>
      </w:r>
      <w:r w:rsidR="504AAB41" w:rsidRPr="001B0C64">
        <w:t xml:space="preserve">is growth, </w:t>
      </w:r>
      <w:r w:rsidR="0F8DCA72" w:rsidRPr="001B0C64">
        <w:t xml:space="preserve">economic </w:t>
      </w:r>
      <w:r w:rsidR="00267640" w:rsidRPr="001B0C64">
        <w:t xml:space="preserve">output in 2023 is expected </w:t>
      </w:r>
      <w:r w:rsidR="3D5016C2" w:rsidRPr="001B0C64">
        <w:t xml:space="preserve">to be </w:t>
      </w:r>
      <w:r w:rsidR="00267640" w:rsidRPr="001B0C64">
        <w:t>a</w:t>
      </w:r>
      <w:r w:rsidR="1C3B48A4" w:rsidRPr="001B0C64">
        <w:t>bout</w:t>
      </w:r>
      <w:r w:rsidR="00267640" w:rsidRPr="001B0C64">
        <w:t xml:space="preserve"> 8</w:t>
      </w:r>
      <w:r w:rsidR="3E26D8EB" w:rsidRPr="001B0C64">
        <w:t xml:space="preserve"> per</w:t>
      </w:r>
      <w:r w:rsidR="00400209" w:rsidRPr="001B0C64">
        <w:t xml:space="preserve"> </w:t>
      </w:r>
      <w:r w:rsidR="3E26D8EB" w:rsidRPr="001B0C64">
        <w:t>cent</w:t>
      </w:r>
      <w:r w:rsidR="00267640" w:rsidRPr="001B0C64">
        <w:t xml:space="preserve"> </w:t>
      </w:r>
      <w:r w:rsidR="283827E3" w:rsidRPr="001B0C64">
        <w:t>less</w:t>
      </w:r>
      <w:r w:rsidR="00267640" w:rsidRPr="001B0C64">
        <w:t xml:space="preserve"> than </w:t>
      </w:r>
      <w:r w:rsidR="3D5016C2" w:rsidRPr="001B0C64">
        <w:t xml:space="preserve">had been projected </w:t>
      </w:r>
      <w:r w:rsidR="1C3B48A4" w:rsidRPr="001B0C64">
        <w:t xml:space="preserve">before the </w:t>
      </w:r>
      <w:r w:rsidR="00267640" w:rsidRPr="001B0C64">
        <w:t>pandemic</w:t>
      </w:r>
      <w:r w:rsidR="6689477D" w:rsidRPr="001B0C64">
        <w:t xml:space="preserve">. </w:t>
      </w:r>
      <w:r w:rsidR="0F6BA3DC" w:rsidRPr="001B0C64">
        <w:t xml:space="preserve">It is estimated that </w:t>
      </w:r>
      <w:r w:rsidR="6689477D" w:rsidRPr="001B0C64">
        <w:t xml:space="preserve">South Asia </w:t>
      </w:r>
      <w:r w:rsidR="095A07B7" w:rsidRPr="001B0C64">
        <w:t xml:space="preserve">will need </w:t>
      </w:r>
      <w:r w:rsidR="293BBDE6" w:rsidRPr="001B0C64">
        <w:t xml:space="preserve">an additional </w:t>
      </w:r>
      <w:r w:rsidR="6689477D" w:rsidRPr="001B0C64">
        <w:t xml:space="preserve">250 million jobs </w:t>
      </w:r>
      <w:r w:rsidR="504AAB41" w:rsidRPr="001B0C64">
        <w:t xml:space="preserve">by 2030 </w:t>
      </w:r>
      <w:r w:rsidR="6689477D" w:rsidRPr="001B0C64">
        <w:t xml:space="preserve">to </w:t>
      </w:r>
      <w:r w:rsidR="504AAB41" w:rsidRPr="001B0C64">
        <w:t>manage</w:t>
      </w:r>
      <w:r w:rsidR="6689477D" w:rsidRPr="001B0C64">
        <w:t xml:space="preserve"> </w:t>
      </w:r>
      <w:r w:rsidR="293BBDE6" w:rsidRPr="001B0C64">
        <w:t xml:space="preserve">pandemic </w:t>
      </w:r>
      <w:r w:rsidR="6689477D" w:rsidRPr="001B0C64">
        <w:t xml:space="preserve">losses and </w:t>
      </w:r>
      <w:r w:rsidR="0F6BA3DC" w:rsidRPr="001B0C64">
        <w:t xml:space="preserve">to </w:t>
      </w:r>
      <w:r w:rsidR="6689477D" w:rsidRPr="001B0C64">
        <w:t>absorb</w:t>
      </w:r>
      <w:r w:rsidR="504AAB41" w:rsidRPr="001B0C64">
        <w:t xml:space="preserve"> </w:t>
      </w:r>
      <w:r w:rsidR="6689477D" w:rsidRPr="001B0C64">
        <w:t xml:space="preserve">new </w:t>
      </w:r>
      <w:r w:rsidR="504AAB41" w:rsidRPr="001B0C64">
        <w:t xml:space="preserve">labour </w:t>
      </w:r>
      <w:r w:rsidR="6689477D" w:rsidRPr="001B0C64">
        <w:t>entrants.</w:t>
      </w:r>
    </w:p>
    <w:p w14:paraId="3848B768" w14:textId="0965291D" w:rsidR="00B67349" w:rsidRPr="001B0C64" w:rsidRDefault="7FADFD89" w:rsidP="00C651B6">
      <w:pPr>
        <w:pStyle w:val="Bullet1"/>
        <w:numPr>
          <w:ilvl w:val="0"/>
          <w:numId w:val="0"/>
        </w:numPr>
        <w:spacing w:before="120" w:line="260" w:lineRule="auto"/>
      </w:pPr>
      <w:r w:rsidRPr="001B0C64">
        <w:lastRenderedPageBreak/>
        <w:t>Notwithstanding the COVID</w:t>
      </w:r>
      <w:r w:rsidR="0F8DCA72" w:rsidRPr="001B0C64">
        <w:t>-19</w:t>
      </w:r>
      <w:r w:rsidRPr="001B0C64">
        <w:t xml:space="preserve"> related health and economic challenges, t</w:t>
      </w:r>
      <w:r w:rsidR="552E45E1" w:rsidRPr="001B0C64">
        <w:t xml:space="preserve">he overall political environment for sub-regional cooperation remains positive as countries in the Bangladesh, Bhutan, India, Nepal (BBIN) sub-region of South Asia recognise the potential of regional trade to progress their epidemic recovery plans.  </w:t>
      </w:r>
    </w:p>
    <w:p w14:paraId="22900C6A" w14:textId="2A9A20EC" w:rsidR="00EC608A" w:rsidRPr="001B0C64" w:rsidRDefault="00FC1216" w:rsidP="00C651B6">
      <w:pPr>
        <w:pStyle w:val="Heading2"/>
        <w:spacing w:before="120" w:after="60" w:line="260" w:lineRule="auto"/>
        <w:contextualSpacing w:val="0"/>
      </w:pPr>
      <w:r w:rsidRPr="001B0C64">
        <w:t>AUSTRALIA’S RESPONS</w:t>
      </w:r>
      <w:r w:rsidR="00193C49" w:rsidRPr="001B0C64">
        <w:t xml:space="preserve">E </w:t>
      </w:r>
      <w:r w:rsidR="00A46B28" w:rsidRPr="001B0C64">
        <w:t>and</w:t>
      </w:r>
      <w:r w:rsidR="00193C49" w:rsidRPr="001B0C64">
        <w:t xml:space="preserve"> PROGRAM HIGHLIGHTS</w:t>
      </w:r>
    </w:p>
    <w:p w14:paraId="5BA278CB" w14:textId="77777777" w:rsidR="00915556" w:rsidRPr="001B0C64" w:rsidRDefault="00915556" w:rsidP="00C651B6">
      <w:pPr>
        <w:pStyle w:val="Bullet1"/>
        <w:numPr>
          <w:ilvl w:val="0"/>
          <w:numId w:val="0"/>
        </w:numPr>
        <w:spacing w:before="120" w:line="260" w:lineRule="auto"/>
      </w:pPr>
      <w:r w:rsidRPr="001B0C64">
        <w:t xml:space="preserve">In 2021-22, Australia’s South Asia Regional Development Program supported longer-term pandemic recovery and ongoing development efforts. We worked with development partners, including the World Bank and the International Finance Corporation (IFC), to support the region’s vulnerable communities, women, people with disabilities and marginalised groups. This included through </w:t>
      </w:r>
      <w:r w:rsidRPr="001B0C64">
        <w:rPr>
          <w:b/>
          <w:bCs/>
        </w:rPr>
        <w:t>water and sanitation initiatives, assisting returning migrants displaced by COVID-19, supporting women entrepreneurs, and providing technical assistance for a range of infrastructure initiatives in transport and energy.</w:t>
      </w:r>
      <w:r w:rsidRPr="001B0C64">
        <w:t xml:space="preserve"> These efforts assisted in economic recovery from COVID-19 and enabled increased intra-regional trade and cooperation. </w:t>
      </w:r>
    </w:p>
    <w:p w14:paraId="757316D6" w14:textId="601EDE93" w:rsidR="004B3038" w:rsidRPr="001B0C64" w:rsidRDefault="004B3038" w:rsidP="00C651B6">
      <w:pPr>
        <w:pStyle w:val="Heading3"/>
        <w:spacing w:before="120" w:after="60" w:line="260" w:lineRule="auto"/>
      </w:pPr>
      <w:r w:rsidRPr="001B0C64">
        <w:t>Health Security</w:t>
      </w:r>
    </w:p>
    <w:p w14:paraId="1B4D9149" w14:textId="08BF17FD" w:rsidR="004B3038" w:rsidRPr="001B0C64" w:rsidRDefault="004B3038" w:rsidP="00C651B6">
      <w:pPr>
        <w:spacing w:line="260" w:lineRule="auto"/>
      </w:pPr>
      <w:r w:rsidRPr="001B0C64">
        <w:t>Australia</w:t>
      </w:r>
      <w:r w:rsidR="00EE57BD" w:rsidRPr="001B0C64">
        <w:t>,</w:t>
      </w:r>
      <w:r w:rsidRPr="001B0C64">
        <w:t xml:space="preserve"> </w:t>
      </w:r>
      <w:r w:rsidR="00EE57BD" w:rsidRPr="001B0C64">
        <w:t xml:space="preserve">through </w:t>
      </w:r>
      <w:r w:rsidR="00914840" w:rsidRPr="001B0C64">
        <w:t xml:space="preserve">either its </w:t>
      </w:r>
      <w:r w:rsidR="00EE57BD" w:rsidRPr="001B0C64">
        <w:t xml:space="preserve">bilateral </w:t>
      </w:r>
      <w:r w:rsidR="0017344B" w:rsidRPr="001B0C64">
        <w:t>initiatives</w:t>
      </w:r>
      <w:r w:rsidR="00914840" w:rsidRPr="001B0C64">
        <w:t xml:space="preserve">, or </w:t>
      </w:r>
      <w:r w:rsidR="00EE57BD" w:rsidRPr="001B0C64">
        <w:t>its contribution to multilateral organisations</w:t>
      </w:r>
      <w:r w:rsidR="0017344B" w:rsidRPr="001B0C64">
        <w:t>,</w:t>
      </w:r>
      <w:r w:rsidR="00EE57BD" w:rsidRPr="001B0C64">
        <w:t xml:space="preserve"> supported</w:t>
      </w:r>
      <w:r w:rsidRPr="001B0C64">
        <w:t xml:space="preserve"> the South Asia region’s immediate health needs, </w:t>
      </w:r>
      <w:r w:rsidR="00EE57BD" w:rsidRPr="001B0C64">
        <w:t xml:space="preserve">both to address </w:t>
      </w:r>
      <w:r w:rsidRPr="001B0C64">
        <w:t>COVID-</w:t>
      </w:r>
      <w:r w:rsidR="00EE57BD" w:rsidRPr="001B0C64">
        <w:t>19</w:t>
      </w:r>
      <w:r w:rsidR="00914840" w:rsidRPr="001B0C64">
        <w:t xml:space="preserve"> or in </w:t>
      </w:r>
      <w:r w:rsidRPr="001B0C64">
        <w:t xml:space="preserve">longer term </w:t>
      </w:r>
      <w:r w:rsidR="0077721F" w:rsidRPr="001B0C64">
        <w:t>assistance</w:t>
      </w:r>
      <w:r w:rsidRPr="001B0C64">
        <w:t xml:space="preserve"> for health security.</w:t>
      </w:r>
    </w:p>
    <w:p w14:paraId="1F974B3B" w14:textId="4D462D23" w:rsidR="00CD2EBB" w:rsidRPr="001B0C64" w:rsidRDefault="00CD2EBB" w:rsidP="00C651B6">
      <w:pPr>
        <w:spacing w:line="260" w:lineRule="auto"/>
      </w:pPr>
      <w:bookmarkStart w:id="5" w:name="_Hlk114217108"/>
      <w:r w:rsidRPr="001B0C64">
        <w:t xml:space="preserve">The Indo-Pacific Sexual and Reproductive Health and </w:t>
      </w:r>
      <w:r w:rsidR="00E5040E" w:rsidRPr="001B0C64">
        <w:t>Rights</w:t>
      </w:r>
      <w:r w:rsidRPr="001B0C64">
        <w:t xml:space="preserve"> (SRHR) COVID-19 Response (C-Surge) </w:t>
      </w:r>
      <w:r w:rsidR="00453433" w:rsidRPr="001B0C64">
        <w:t>provide</w:t>
      </w:r>
      <w:r w:rsidR="00914840" w:rsidRPr="001B0C64">
        <w:t>s</w:t>
      </w:r>
      <w:r w:rsidR="00453433" w:rsidRPr="001B0C64">
        <w:t xml:space="preserve"> </w:t>
      </w:r>
      <w:r w:rsidRPr="001B0C64">
        <w:t xml:space="preserve">sexual and reproductive health </w:t>
      </w:r>
      <w:r w:rsidR="00E5040E" w:rsidRPr="001B0C64">
        <w:t>services</w:t>
      </w:r>
      <w:r w:rsidRPr="001B0C64">
        <w:t xml:space="preserve"> and information</w:t>
      </w:r>
      <w:r w:rsidR="00914840" w:rsidRPr="001B0C64">
        <w:t xml:space="preserve"> in 22 countries</w:t>
      </w:r>
      <w:r w:rsidR="268A8AD9" w:rsidRPr="001B0C64">
        <w:t xml:space="preserve"> in the Indo-Pacific</w:t>
      </w:r>
      <w:r w:rsidR="00914840" w:rsidRPr="001B0C64">
        <w:t xml:space="preserve"> </w:t>
      </w:r>
      <w:r w:rsidR="00EA2C69" w:rsidRPr="001B0C64">
        <w:t xml:space="preserve">including Bangladesh, Bhutan, </w:t>
      </w:r>
      <w:r w:rsidR="00E5040E" w:rsidRPr="001B0C64">
        <w:t>Maldives</w:t>
      </w:r>
      <w:r w:rsidR="00EA2C69" w:rsidRPr="001B0C64">
        <w:t xml:space="preserve">, Nepal, </w:t>
      </w:r>
      <w:r w:rsidR="00451074" w:rsidRPr="001B0C64">
        <w:t>Pakistan,</w:t>
      </w:r>
      <w:r w:rsidR="00EA2C69" w:rsidRPr="001B0C64">
        <w:t xml:space="preserve"> and Sri Lanka. In 2021</w:t>
      </w:r>
      <w:r w:rsidR="00515EA0" w:rsidRPr="001B0C64">
        <w:t>-</w:t>
      </w:r>
      <w:r w:rsidR="00EA2C69" w:rsidRPr="001B0C64">
        <w:t>22</w:t>
      </w:r>
      <w:r w:rsidR="00515EA0" w:rsidRPr="001B0C64">
        <w:t>,</w:t>
      </w:r>
      <w:r w:rsidR="00EA2C69" w:rsidRPr="001B0C64">
        <w:t xml:space="preserve"> </w:t>
      </w:r>
      <w:r w:rsidR="00911423" w:rsidRPr="001B0C64">
        <w:rPr>
          <w:b/>
          <w:bCs/>
        </w:rPr>
        <w:t xml:space="preserve">4,601,687 sexual and reproductive health </w:t>
      </w:r>
      <w:r w:rsidR="00E5040E" w:rsidRPr="001B0C64">
        <w:rPr>
          <w:b/>
          <w:bCs/>
        </w:rPr>
        <w:t>services</w:t>
      </w:r>
      <w:r w:rsidR="00EA2C69" w:rsidRPr="001B0C64">
        <w:rPr>
          <w:b/>
          <w:bCs/>
        </w:rPr>
        <w:t xml:space="preserve"> were delivered to </w:t>
      </w:r>
      <w:r w:rsidR="00911423" w:rsidRPr="001B0C64">
        <w:rPr>
          <w:b/>
          <w:bCs/>
        </w:rPr>
        <w:t xml:space="preserve">1,304,458 </w:t>
      </w:r>
      <w:r w:rsidR="00E5040E" w:rsidRPr="001B0C64">
        <w:rPr>
          <w:b/>
          <w:bCs/>
        </w:rPr>
        <w:t>client</w:t>
      </w:r>
      <w:r w:rsidR="00911423" w:rsidRPr="001B0C64">
        <w:rPr>
          <w:b/>
          <w:bCs/>
        </w:rPr>
        <w:t>s in South Asia</w:t>
      </w:r>
      <w:r w:rsidR="0063771D" w:rsidRPr="001B0C64">
        <w:t xml:space="preserve">, </w:t>
      </w:r>
      <w:bookmarkStart w:id="6" w:name="_Hlk114221305"/>
      <w:r w:rsidR="001C3700" w:rsidRPr="001B0C64">
        <w:t>and</w:t>
      </w:r>
      <w:r w:rsidR="5CB7DC15" w:rsidRPr="001B0C64">
        <w:t xml:space="preserve"> SRHR</w:t>
      </w:r>
      <w:r w:rsidR="00550F71" w:rsidRPr="001B0C64">
        <w:t xml:space="preserve"> </w:t>
      </w:r>
      <w:r w:rsidR="00E5040E" w:rsidRPr="001B0C64">
        <w:t xml:space="preserve">information </w:t>
      </w:r>
      <w:r w:rsidR="001C3700" w:rsidRPr="001B0C64">
        <w:t xml:space="preserve">was provided </w:t>
      </w:r>
      <w:r w:rsidR="00E5040E" w:rsidRPr="001B0C64">
        <w:t>through digital platforms</w:t>
      </w:r>
      <w:bookmarkEnd w:id="6"/>
      <w:r w:rsidR="00E5040E" w:rsidRPr="001B0C64">
        <w:t xml:space="preserve">.  </w:t>
      </w:r>
    </w:p>
    <w:bookmarkEnd w:id="5"/>
    <w:p w14:paraId="3D0C3783" w14:textId="21F7C86B" w:rsidR="001E0CF1" w:rsidRPr="001B0C64" w:rsidRDefault="00D15BA5" w:rsidP="00C651B6">
      <w:pPr>
        <w:spacing w:line="260" w:lineRule="auto"/>
      </w:pPr>
      <w:r w:rsidRPr="001B0C64">
        <w:t>In 2021-2</w:t>
      </w:r>
      <w:r w:rsidR="00C61D33" w:rsidRPr="001B0C64">
        <w:t>2</w:t>
      </w:r>
      <w:r w:rsidRPr="001B0C64">
        <w:t>, Australia</w:t>
      </w:r>
      <w:r w:rsidR="00C61D33" w:rsidRPr="001B0C64">
        <w:t xml:space="preserve"> supported the</w:t>
      </w:r>
      <w:r w:rsidRPr="001B0C64">
        <w:t xml:space="preserve"> Asia-Pacific Leaders Malaria Alliance (APLMA) and the Asia-Pacific Malaria Elimination Network (APMEN) </w:t>
      </w:r>
      <w:r w:rsidR="00BF63EF" w:rsidRPr="001B0C64">
        <w:t xml:space="preserve">to undertake </w:t>
      </w:r>
      <w:r w:rsidR="001E0CF1" w:rsidRPr="001B0C64">
        <w:t xml:space="preserve">a research study on community engagement in two villages in Mugu and </w:t>
      </w:r>
      <w:proofErr w:type="spellStart"/>
      <w:r w:rsidR="001E0CF1" w:rsidRPr="001B0C64">
        <w:t>Bajura</w:t>
      </w:r>
      <w:proofErr w:type="spellEnd"/>
      <w:r w:rsidR="001E0CF1" w:rsidRPr="001B0C64">
        <w:t xml:space="preserve"> districts of Nepal </w:t>
      </w:r>
      <w:r w:rsidR="001C3700" w:rsidRPr="001B0C64">
        <w:t xml:space="preserve">that </w:t>
      </w:r>
      <w:r w:rsidR="001E0CF1" w:rsidRPr="001B0C64">
        <w:t xml:space="preserve">complement the National Malaria Elimination Program. </w:t>
      </w:r>
      <w:r w:rsidR="00540228" w:rsidRPr="001B0C64">
        <w:t>Similarly, Australian</w:t>
      </w:r>
      <w:r w:rsidR="001E0CF1" w:rsidRPr="001B0C64">
        <w:t xml:space="preserve"> support enabled a surveillance expert </w:t>
      </w:r>
      <w:r w:rsidR="00EA4300" w:rsidRPr="001B0C64">
        <w:t>to be</w:t>
      </w:r>
      <w:r w:rsidR="001E0CF1" w:rsidRPr="001B0C64">
        <w:t xml:space="preserve"> embedded in the Indian National Vector Borne Disease Control Program to </w:t>
      </w:r>
      <w:r w:rsidR="6D9F858A" w:rsidRPr="001B0C64">
        <w:t>support</w:t>
      </w:r>
      <w:r w:rsidR="001E0CF1" w:rsidRPr="001B0C64">
        <w:t xml:space="preserve"> </w:t>
      </w:r>
      <w:r w:rsidR="4FAE33EC" w:rsidRPr="001B0C64">
        <w:t xml:space="preserve">the </w:t>
      </w:r>
      <w:r w:rsidR="001E0CF1" w:rsidRPr="001B0C64">
        <w:t>develop</w:t>
      </w:r>
      <w:r w:rsidR="19AA6DF4" w:rsidRPr="001B0C64">
        <w:t>ment of</w:t>
      </w:r>
      <w:r w:rsidR="001E0CF1" w:rsidRPr="001B0C64">
        <w:t xml:space="preserve"> </w:t>
      </w:r>
      <w:r w:rsidR="001E0CF1" w:rsidRPr="001B0C64">
        <w:rPr>
          <w:b/>
          <w:bCs/>
        </w:rPr>
        <w:t>cross-border malaria control and elimination strategies for the India-Bhutan and India-Nepal border regions</w:t>
      </w:r>
      <w:r w:rsidR="001E0CF1" w:rsidRPr="001B0C64">
        <w:t>.</w:t>
      </w:r>
    </w:p>
    <w:p w14:paraId="3DB49595" w14:textId="01C7C23F" w:rsidR="00A72D4B" w:rsidRPr="001B0C64" w:rsidRDefault="2ED38595" w:rsidP="00C651B6">
      <w:pPr>
        <w:spacing w:line="260" w:lineRule="auto"/>
        <w:rPr>
          <w:rFonts w:ascii="Calibri" w:eastAsia="Calibri" w:hAnsi="Calibri" w:cs="Calibri"/>
        </w:rPr>
      </w:pPr>
      <w:r w:rsidRPr="001B0C64">
        <w:t>Maintaining broader health security beyond COVID-19 remained a priority for Australia</w:t>
      </w:r>
      <w:r w:rsidRPr="001B0C64">
        <w:rPr>
          <w:rFonts w:cstheme="minorHAnsi"/>
        </w:rPr>
        <w:t xml:space="preserve">. </w:t>
      </w:r>
      <w:r w:rsidR="0D5E54C7" w:rsidRPr="001B0C64">
        <w:rPr>
          <w:rFonts w:eastAsia="Calibri" w:cstheme="minorHAnsi"/>
        </w:rPr>
        <w:t xml:space="preserve">Through our funding to Gavi, the Vaccine Alliance, Australia supported </w:t>
      </w:r>
      <w:r w:rsidR="0D5E54C7" w:rsidRPr="001B0C64">
        <w:rPr>
          <w:rFonts w:eastAsia="Calibri" w:cstheme="minorHAnsi"/>
          <w:b/>
          <w:bCs/>
        </w:rPr>
        <w:t>routine immunisation in Bangladesh, Nepal, Pakistan and India</w:t>
      </w:r>
      <w:r w:rsidR="0D5E54C7" w:rsidRPr="001B0C64">
        <w:rPr>
          <w:rFonts w:eastAsia="Calibri" w:cstheme="minorHAnsi"/>
        </w:rPr>
        <w:t xml:space="preserve"> and access to COVID-19 vaccines in Bangladesh, Bhutan, India, Nepal, Pakistan, and Sri Lanka through the COVAX Advance Market Commitment</w:t>
      </w:r>
      <w:r w:rsidR="0D5E54C7" w:rsidRPr="001B0C64">
        <w:rPr>
          <w:rFonts w:ascii="Calibri" w:eastAsia="Calibri" w:hAnsi="Calibri" w:cs="Calibri"/>
          <w:i/>
          <w:iCs/>
        </w:rPr>
        <w:t>.</w:t>
      </w:r>
      <w:r w:rsidR="699C8F64" w:rsidRPr="001B0C64">
        <w:t xml:space="preserve"> </w:t>
      </w:r>
      <w:r w:rsidR="6C630464" w:rsidRPr="001B0C64">
        <w:rPr>
          <w:rFonts w:eastAsia="Calibri" w:cstheme="minorHAnsi"/>
        </w:rPr>
        <w:t xml:space="preserve">We are a longstanding partner with the Global Polio Eradication Initiative (GPEI), and Australia’s ongoing investment has contributed to </w:t>
      </w:r>
      <w:r w:rsidR="6C630464" w:rsidRPr="001B0C64">
        <w:rPr>
          <w:rFonts w:eastAsia="Calibri" w:cstheme="minorHAnsi"/>
          <w:b/>
          <w:bCs/>
        </w:rPr>
        <w:t>polio eradication and health emergency response efforts in Pakistan</w:t>
      </w:r>
      <w:r w:rsidR="6C630464" w:rsidRPr="001B0C64">
        <w:rPr>
          <w:rFonts w:eastAsia="Calibri" w:cstheme="minorHAnsi"/>
        </w:rPr>
        <w:t xml:space="preserve"> which, like Afghanistan, is one of two remaining polio endemic countries globally. GPEI supported Pakistan’s COVID-19 response by optimising polio infrastructure and personnel for COVID-19. In October 2022, Australia pledged $43.55 million to GPEI over five years to implement the Polio Eradication Strategy (2022-2026) and our renewed commitment will support GPEI’s capacity to sustain regular immunisation campaigns in Pakistan until 2025.</w:t>
      </w:r>
      <w:r w:rsidR="6C630464" w:rsidRPr="001B0C64">
        <w:rPr>
          <w:rFonts w:ascii="Calibri" w:eastAsia="Calibri" w:hAnsi="Calibri" w:cs="Calibri"/>
        </w:rPr>
        <w:t xml:space="preserve">  </w:t>
      </w:r>
    </w:p>
    <w:p w14:paraId="1E39C377" w14:textId="439C8602" w:rsidR="00CA17C4" w:rsidRPr="001B0C64" w:rsidRDefault="00CC79E9" w:rsidP="00C651B6">
      <w:pPr>
        <w:spacing w:line="260" w:lineRule="auto"/>
        <w:rPr>
          <w:b/>
          <w:bCs/>
        </w:rPr>
      </w:pPr>
      <w:r w:rsidRPr="001B0C64">
        <w:t xml:space="preserve">The fight against </w:t>
      </w:r>
      <w:r w:rsidR="00C75730" w:rsidRPr="001B0C64">
        <w:t>HIV</w:t>
      </w:r>
      <w:r w:rsidRPr="001B0C64">
        <w:t xml:space="preserve">, TB and </w:t>
      </w:r>
      <w:r w:rsidR="0063771D" w:rsidRPr="001B0C64">
        <w:t>m</w:t>
      </w:r>
      <w:r w:rsidRPr="001B0C64">
        <w:t xml:space="preserve">alaria </w:t>
      </w:r>
      <w:r w:rsidR="00D15BA5" w:rsidRPr="001B0C64">
        <w:t>be</w:t>
      </w:r>
      <w:r w:rsidR="00A603D1" w:rsidRPr="001B0C64">
        <w:t>nef</w:t>
      </w:r>
      <w:r w:rsidR="00D15BA5" w:rsidRPr="001B0C64">
        <w:t xml:space="preserve">ited from </w:t>
      </w:r>
      <w:r w:rsidRPr="001B0C64">
        <w:t>Australia</w:t>
      </w:r>
      <w:r w:rsidR="00D15BA5" w:rsidRPr="001B0C64">
        <w:t xml:space="preserve">’s contribution of </w:t>
      </w:r>
      <w:r w:rsidRPr="001B0C64">
        <w:t xml:space="preserve">$242 million to the Global Fund </w:t>
      </w:r>
      <w:r w:rsidR="00A603D1" w:rsidRPr="001B0C64">
        <w:t xml:space="preserve">(GFATM) </w:t>
      </w:r>
      <w:r w:rsidRPr="001B0C64">
        <w:t xml:space="preserve">for 2020-2022.  </w:t>
      </w:r>
      <w:r w:rsidR="00550F71" w:rsidRPr="001B0C64">
        <w:t>In 2020-22</w:t>
      </w:r>
      <w:r w:rsidR="00C75730" w:rsidRPr="001B0C64">
        <w:t>,</w:t>
      </w:r>
      <w:r w:rsidR="00550F71" w:rsidRPr="001B0C64">
        <w:t xml:space="preserve"> the GFATM allocated US$2.1 billion to South Asia</w:t>
      </w:r>
      <w:r w:rsidR="00C75730" w:rsidRPr="001B0C64">
        <w:t>,</w:t>
      </w:r>
      <w:r w:rsidR="00550F71" w:rsidRPr="001B0C64">
        <w:t xml:space="preserve"> which is </w:t>
      </w:r>
      <w:r w:rsidR="00C75730" w:rsidRPr="001B0C64">
        <w:t>nine</w:t>
      </w:r>
      <w:r w:rsidR="006B2FAC" w:rsidRPr="001B0C64">
        <w:t xml:space="preserve"> per</w:t>
      </w:r>
      <w:r w:rsidR="00400209" w:rsidRPr="001B0C64">
        <w:t xml:space="preserve"> </w:t>
      </w:r>
      <w:r w:rsidR="006B2FAC" w:rsidRPr="001B0C64">
        <w:t>cent</w:t>
      </w:r>
      <w:r w:rsidR="00550F71" w:rsidRPr="001B0C64">
        <w:t xml:space="preserve"> of its portfolio. </w:t>
      </w:r>
      <w:r w:rsidR="00BF63EF" w:rsidRPr="001B0C64">
        <w:t>In 2021</w:t>
      </w:r>
      <w:r w:rsidR="006941FB" w:rsidRPr="001B0C64">
        <w:t xml:space="preserve"> </w:t>
      </w:r>
      <w:r w:rsidR="00A603D1" w:rsidRPr="001B0C64">
        <w:t xml:space="preserve">the GFATM delivered </w:t>
      </w:r>
      <w:r w:rsidR="00914840" w:rsidRPr="001B0C64">
        <w:rPr>
          <w:b/>
          <w:bCs/>
        </w:rPr>
        <w:t xml:space="preserve">HIV related </w:t>
      </w:r>
      <w:r w:rsidR="006B2FAC" w:rsidRPr="001B0C64">
        <w:rPr>
          <w:b/>
          <w:bCs/>
        </w:rPr>
        <w:t>a</w:t>
      </w:r>
      <w:r w:rsidR="00A603D1" w:rsidRPr="001B0C64">
        <w:rPr>
          <w:b/>
          <w:bCs/>
        </w:rPr>
        <w:t>nti-retroviral treatment to 1,660,360 people; TB treatment to 2,583,950 people</w:t>
      </w:r>
      <w:r w:rsidR="00914840" w:rsidRPr="001B0C64">
        <w:rPr>
          <w:b/>
          <w:bCs/>
        </w:rPr>
        <w:t xml:space="preserve">, </w:t>
      </w:r>
      <w:r w:rsidR="00A603D1" w:rsidRPr="001B0C64">
        <w:rPr>
          <w:b/>
          <w:bCs/>
        </w:rPr>
        <w:t>and distributed 17,439,500 mosquito nets</w:t>
      </w:r>
      <w:r w:rsidR="00476ADB" w:rsidRPr="001B0C64">
        <w:rPr>
          <w:b/>
          <w:bCs/>
        </w:rPr>
        <w:t xml:space="preserve"> in Bangladesh, Bhutan, India, Nepal, Pakistan, and Sri </w:t>
      </w:r>
      <w:r w:rsidR="006941FB" w:rsidRPr="001B0C64">
        <w:rPr>
          <w:b/>
          <w:bCs/>
        </w:rPr>
        <w:t>Lanka.</w:t>
      </w:r>
      <w:r w:rsidR="00A603D1" w:rsidRPr="001B0C64">
        <w:rPr>
          <w:b/>
          <w:bCs/>
        </w:rPr>
        <w:t xml:space="preserve"> </w:t>
      </w:r>
      <w:r w:rsidR="0077721F" w:rsidRPr="001B0C64">
        <w:t>South Asia cont</w:t>
      </w:r>
      <w:r w:rsidR="00550F71" w:rsidRPr="001B0C64">
        <w:t>inues</w:t>
      </w:r>
      <w:r w:rsidR="0077721F" w:rsidRPr="001B0C64">
        <w:t xml:space="preserve"> to bear the largest burden of TB across the globe. Australia’s $18.75 million (2018-2023) contribution to the Tuberculosis Alliance (TBA) is </w:t>
      </w:r>
      <w:r w:rsidR="004D4CCF" w:rsidRPr="001B0C64">
        <w:t xml:space="preserve">contributing </w:t>
      </w:r>
      <w:r w:rsidR="0077721F" w:rsidRPr="001B0C64">
        <w:t xml:space="preserve">to </w:t>
      </w:r>
      <w:r w:rsidR="0077721F" w:rsidRPr="001B0C64">
        <w:rPr>
          <w:b/>
          <w:bCs/>
        </w:rPr>
        <w:t>develop</w:t>
      </w:r>
      <w:r w:rsidR="004D4CCF" w:rsidRPr="001B0C64">
        <w:rPr>
          <w:b/>
          <w:bCs/>
        </w:rPr>
        <w:t>ment of</w:t>
      </w:r>
      <w:r w:rsidR="00803F9E" w:rsidRPr="001B0C64">
        <w:rPr>
          <w:b/>
          <w:bCs/>
        </w:rPr>
        <w:t xml:space="preserve"> </w:t>
      </w:r>
      <w:r w:rsidR="0077721F" w:rsidRPr="001B0C64">
        <w:rPr>
          <w:b/>
          <w:bCs/>
        </w:rPr>
        <w:t>new</w:t>
      </w:r>
      <w:r w:rsidR="009F0096" w:rsidRPr="001B0C64">
        <w:rPr>
          <w:b/>
          <w:bCs/>
        </w:rPr>
        <w:t xml:space="preserve"> TB</w:t>
      </w:r>
      <w:r w:rsidR="0077721F" w:rsidRPr="001B0C64">
        <w:rPr>
          <w:b/>
          <w:bCs/>
        </w:rPr>
        <w:t xml:space="preserve"> </w:t>
      </w:r>
      <w:r w:rsidR="006B2FAC" w:rsidRPr="001B0C64">
        <w:rPr>
          <w:b/>
          <w:bCs/>
        </w:rPr>
        <w:t>treatment</w:t>
      </w:r>
      <w:r w:rsidR="0077721F" w:rsidRPr="001B0C64">
        <w:rPr>
          <w:b/>
          <w:bCs/>
        </w:rPr>
        <w:t>s.</w:t>
      </w:r>
      <w:r w:rsidR="0077721F" w:rsidRPr="001B0C64">
        <w:t xml:space="preserve">  </w:t>
      </w:r>
    </w:p>
    <w:p w14:paraId="2D264C83" w14:textId="2F9457C1" w:rsidR="00C75730" w:rsidRPr="001B0C64" w:rsidRDefault="00297FD1" w:rsidP="00C651B6">
      <w:pPr>
        <w:pStyle w:val="Heading3"/>
        <w:spacing w:before="120" w:after="60" w:line="260" w:lineRule="auto"/>
      </w:pPr>
      <w:r w:rsidRPr="001B0C64">
        <w:t>Stability</w:t>
      </w:r>
    </w:p>
    <w:p w14:paraId="4874F1A6" w14:textId="4E04C75A" w:rsidR="00C75730" w:rsidRPr="001B0C64" w:rsidRDefault="00B67349" w:rsidP="00C651B6">
      <w:pPr>
        <w:spacing w:line="260" w:lineRule="auto"/>
      </w:pPr>
      <w:r w:rsidRPr="001B0C64">
        <w:t>The South Asia Regional Trade Facilitation Program (SARTFP) support</w:t>
      </w:r>
      <w:r w:rsidR="00EE64B0" w:rsidRPr="001B0C64">
        <w:t>ed</w:t>
      </w:r>
      <w:r w:rsidRPr="001B0C64">
        <w:t xml:space="preserve"> Bangladesh and Nepal</w:t>
      </w:r>
      <w:r w:rsidR="006B2FAC" w:rsidRPr="001B0C64">
        <w:t xml:space="preserve">’s </w:t>
      </w:r>
      <w:r w:rsidRPr="001B0C64">
        <w:rPr>
          <w:b/>
          <w:bCs/>
        </w:rPr>
        <w:t xml:space="preserve">reintegration of migrants </w:t>
      </w:r>
      <w:r w:rsidR="00914840" w:rsidRPr="001B0C64">
        <w:t xml:space="preserve">who returned </w:t>
      </w:r>
      <w:r w:rsidRPr="001B0C64">
        <w:t xml:space="preserve">due to the pandemic. It examined the debt burdens caused by </w:t>
      </w:r>
      <w:r w:rsidR="006B2FAC" w:rsidRPr="001B0C64">
        <w:t xml:space="preserve">this </w:t>
      </w:r>
      <w:r w:rsidRPr="001B0C64">
        <w:t>early return</w:t>
      </w:r>
      <w:r w:rsidR="006B2FAC" w:rsidRPr="001B0C64">
        <w:t xml:space="preserve">, </w:t>
      </w:r>
      <w:r w:rsidRPr="001B0C64">
        <w:t>design</w:t>
      </w:r>
      <w:r w:rsidR="00EE64B0" w:rsidRPr="001B0C64">
        <w:t>ed</w:t>
      </w:r>
      <w:r w:rsidRPr="001B0C64">
        <w:t xml:space="preserve"> new government programs</w:t>
      </w:r>
      <w:r w:rsidR="006B2FAC" w:rsidRPr="001B0C64">
        <w:t>,</w:t>
      </w:r>
      <w:r w:rsidRPr="001B0C64">
        <w:t xml:space="preserve"> and facilitated knowledge exchange on social protection. SARTFP prepared two technical notes </w:t>
      </w:r>
      <w:r w:rsidR="006B2FAC" w:rsidRPr="001B0C64">
        <w:lastRenderedPageBreak/>
        <w:t xml:space="preserve">on </w:t>
      </w:r>
      <w:r w:rsidRPr="001B0C64">
        <w:t xml:space="preserve">aspects of the </w:t>
      </w:r>
      <w:r w:rsidRPr="001B0C64">
        <w:rPr>
          <w:b/>
          <w:bCs/>
        </w:rPr>
        <w:t>service delivery chain implementation plans</w:t>
      </w:r>
      <w:r w:rsidRPr="001B0C64">
        <w:t xml:space="preserve"> </w:t>
      </w:r>
      <w:r w:rsidR="006B2FAC" w:rsidRPr="001B0C64">
        <w:t>for</w:t>
      </w:r>
      <w:r w:rsidRPr="001B0C64">
        <w:t xml:space="preserve"> the World Bank COVID-</w:t>
      </w:r>
      <w:r w:rsidR="00C75730" w:rsidRPr="001B0C64">
        <w:t>19</w:t>
      </w:r>
      <w:r w:rsidR="00EE64B0" w:rsidRPr="001B0C64">
        <w:t xml:space="preserve"> </w:t>
      </w:r>
      <w:r w:rsidRPr="001B0C64">
        <w:t>recovery operation in Bangladesh, the Recovery and Advancement of Informal Sector Employment (RAISE)</w:t>
      </w:r>
      <w:r w:rsidR="00C96164" w:rsidRPr="001B0C64">
        <w:t xml:space="preserve"> program</w:t>
      </w:r>
      <w:r w:rsidRPr="001B0C64">
        <w:t xml:space="preserve"> (US$200 million).  </w:t>
      </w:r>
    </w:p>
    <w:p w14:paraId="60EF2A03" w14:textId="6823025A" w:rsidR="00D356AB" w:rsidRPr="001B0C64" w:rsidRDefault="00550F71" w:rsidP="00C651B6">
      <w:pPr>
        <w:spacing w:line="260" w:lineRule="auto"/>
      </w:pPr>
      <w:r w:rsidRPr="001B0C64">
        <w:t>In the last year</w:t>
      </w:r>
      <w:r w:rsidR="00A92472" w:rsidRPr="001B0C64">
        <w:t xml:space="preserve"> </w:t>
      </w:r>
      <w:r w:rsidR="00EE64B0" w:rsidRPr="001B0C64">
        <w:rPr>
          <w:b/>
          <w:bCs/>
        </w:rPr>
        <w:t>99 per</w:t>
      </w:r>
      <w:r w:rsidR="00400209" w:rsidRPr="001B0C64">
        <w:rPr>
          <w:b/>
          <w:bCs/>
        </w:rPr>
        <w:t xml:space="preserve"> </w:t>
      </w:r>
      <w:r w:rsidR="00EE64B0" w:rsidRPr="001B0C64">
        <w:rPr>
          <w:b/>
          <w:bCs/>
        </w:rPr>
        <w:t xml:space="preserve">cent of </w:t>
      </w:r>
      <w:r w:rsidR="001F06B8" w:rsidRPr="001B0C64">
        <w:rPr>
          <w:b/>
          <w:bCs/>
        </w:rPr>
        <w:t xml:space="preserve">Australia Award Scholars </w:t>
      </w:r>
      <w:r w:rsidR="00EE64B0" w:rsidRPr="001B0C64">
        <w:rPr>
          <w:b/>
          <w:bCs/>
        </w:rPr>
        <w:t>who were due to graduate did so</w:t>
      </w:r>
      <w:r w:rsidR="00EE64B0" w:rsidRPr="001B0C64">
        <w:t xml:space="preserve">. </w:t>
      </w:r>
      <w:r w:rsidR="001F06B8" w:rsidRPr="001B0C64">
        <w:t>Due to COVID-19</w:t>
      </w:r>
      <w:r w:rsidR="0063771D" w:rsidRPr="001B0C64">
        <w:t xml:space="preserve"> </w:t>
      </w:r>
      <w:r w:rsidR="001F06B8" w:rsidRPr="001B0C64">
        <w:t xml:space="preserve">travel restrictions, </w:t>
      </w:r>
      <w:r w:rsidR="00451074" w:rsidRPr="001B0C64">
        <w:t>several</w:t>
      </w:r>
      <w:r w:rsidR="001F06B8" w:rsidRPr="001B0C64">
        <w:t xml:space="preserve"> scholars extended their stay in Australia</w:t>
      </w:r>
      <w:r w:rsidR="00EE64B0" w:rsidRPr="001B0C64">
        <w:t xml:space="preserve">, </w:t>
      </w:r>
      <w:r w:rsidR="00301BAC" w:rsidRPr="001B0C64">
        <w:t>but</w:t>
      </w:r>
      <w:r w:rsidR="001F06B8" w:rsidRPr="001B0C64">
        <w:t xml:space="preserve"> returned home after border restrictions and flight issues eased. The 2022 </w:t>
      </w:r>
      <w:r w:rsidR="00EE64B0" w:rsidRPr="001B0C64">
        <w:t>Australia Awards</w:t>
      </w:r>
      <w:r w:rsidR="00AC4BE5" w:rsidRPr="001B0C64">
        <w:t xml:space="preserve"> intake </w:t>
      </w:r>
      <w:r w:rsidR="006B2FAC" w:rsidRPr="001B0C64">
        <w:t>was</w:t>
      </w:r>
      <w:r w:rsidR="001F06B8" w:rsidRPr="001B0C64">
        <w:t xml:space="preserve"> 128 scholars</w:t>
      </w:r>
      <w:r w:rsidR="00C75730" w:rsidRPr="001B0C64">
        <w:t>,</w:t>
      </w:r>
      <w:r w:rsidR="006B2FAC" w:rsidRPr="001B0C64">
        <w:t xml:space="preserve"> </w:t>
      </w:r>
      <w:r w:rsidR="00762194" w:rsidRPr="001B0C64">
        <w:t>includ</w:t>
      </w:r>
      <w:r w:rsidR="00C75730" w:rsidRPr="001B0C64">
        <w:t>ing</w:t>
      </w:r>
      <w:r w:rsidR="00762194" w:rsidRPr="001B0C64">
        <w:t xml:space="preserve"> 69</w:t>
      </w:r>
      <w:r w:rsidR="001F06B8" w:rsidRPr="001B0C64">
        <w:t xml:space="preserve"> women (54 per cent) and</w:t>
      </w:r>
      <w:r w:rsidR="00C75730" w:rsidRPr="001B0C64">
        <w:t xml:space="preserve"> eight people living with a disability</w:t>
      </w:r>
      <w:r w:rsidR="001F06B8" w:rsidRPr="001B0C64">
        <w:t xml:space="preserve"> (6 per cent). In the reporting period, six short courses and six </w:t>
      </w:r>
      <w:r w:rsidR="00301BAC" w:rsidRPr="001B0C64">
        <w:t>Australian</w:t>
      </w:r>
      <w:r w:rsidR="001F06B8" w:rsidRPr="001B0C64">
        <w:t xml:space="preserve"> Professional Opportunities were delivered for a total of 215 </w:t>
      </w:r>
      <w:r w:rsidR="00301BAC" w:rsidRPr="001B0C64">
        <w:t>recipients</w:t>
      </w:r>
      <w:r w:rsidR="001F06B8" w:rsidRPr="001B0C64">
        <w:t xml:space="preserve"> (</w:t>
      </w:r>
      <w:r w:rsidR="00301BAC" w:rsidRPr="001B0C64">
        <w:t>116 women).</w:t>
      </w:r>
      <w:r w:rsidR="001F06B8" w:rsidRPr="001B0C64">
        <w:t xml:space="preserve"> </w:t>
      </w:r>
    </w:p>
    <w:p w14:paraId="6597ADF4" w14:textId="7181A8F9" w:rsidR="001211B0" w:rsidRPr="001B0C64" w:rsidRDefault="001211B0" w:rsidP="00C651B6">
      <w:pPr>
        <w:spacing w:line="260" w:lineRule="auto"/>
        <w:rPr>
          <w:lang w:val="en-AU"/>
        </w:rPr>
      </w:pPr>
      <w:bookmarkStart w:id="7" w:name="_Hlk113461080"/>
      <w:r w:rsidRPr="001B0C64">
        <w:t>In 2021-22, the South Asia Regional Water Security Initiative (SAWASI) engag</w:t>
      </w:r>
      <w:r w:rsidR="00EA4300" w:rsidRPr="001B0C64">
        <w:t>ed</w:t>
      </w:r>
      <w:r w:rsidRPr="001B0C64">
        <w:t xml:space="preserve"> with communities and local governments </w:t>
      </w:r>
      <w:r w:rsidR="00EA4300" w:rsidRPr="001B0C64">
        <w:t xml:space="preserve">through </w:t>
      </w:r>
      <w:r w:rsidRPr="001B0C64">
        <w:rPr>
          <w:b/>
          <w:bCs/>
        </w:rPr>
        <w:t>demonstration projects in India and Pakistan</w:t>
      </w:r>
      <w:r w:rsidR="00EA4300" w:rsidRPr="001B0C64">
        <w:rPr>
          <w:b/>
          <w:bCs/>
        </w:rPr>
        <w:t xml:space="preserve"> </w:t>
      </w:r>
      <w:r w:rsidRPr="001B0C64">
        <w:rPr>
          <w:b/>
          <w:bCs/>
        </w:rPr>
        <w:t>prioritising safe and reliable access to water for vulnerable or disadvantaged communities.</w:t>
      </w:r>
      <w:r w:rsidRPr="001B0C64">
        <w:t xml:space="preserve"> Additionally, Australia </w:t>
      </w:r>
      <w:r w:rsidR="006941FB" w:rsidRPr="001B0C64">
        <w:t>provided</w:t>
      </w:r>
      <w:r w:rsidRPr="001B0C64">
        <w:t xml:space="preserve"> </w:t>
      </w:r>
      <w:r w:rsidRPr="001B0C64">
        <w:rPr>
          <w:b/>
          <w:bCs/>
        </w:rPr>
        <w:t>demand-driven technical assistance</w:t>
      </w:r>
      <w:r w:rsidRPr="001B0C64">
        <w:t xml:space="preserve"> to the Governments of Pakistan and India to support flood prevention and management; and city water actions plans.   </w:t>
      </w:r>
    </w:p>
    <w:p w14:paraId="661ADBF3" w14:textId="7D487DFA" w:rsidR="00656C20" w:rsidRPr="001B0C64" w:rsidRDefault="00656C20" w:rsidP="00C651B6">
      <w:pPr>
        <w:spacing w:line="260" w:lineRule="auto"/>
        <w:rPr>
          <w:lang w:val="en-AU"/>
        </w:rPr>
      </w:pPr>
      <w:r w:rsidRPr="001B0C64">
        <w:t>In 2021-22, the Australian Water Partnership (AWP</w:t>
      </w:r>
      <w:r w:rsidR="00B67349" w:rsidRPr="001B0C64">
        <w:t>)</w:t>
      </w:r>
      <w:r w:rsidR="00762194" w:rsidRPr="001B0C64">
        <w:t>,</w:t>
      </w:r>
      <w:r w:rsidR="00B67349" w:rsidRPr="001B0C64">
        <w:rPr>
          <w:b/>
          <w:bCs/>
        </w:rPr>
        <w:t xml:space="preserve"> </w:t>
      </w:r>
      <w:r w:rsidR="00DE5096" w:rsidRPr="001B0C64">
        <w:t>through</w:t>
      </w:r>
      <w:r w:rsidR="001211B0" w:rsidRPr="001B0C64">
        <w:t xml:space="preserve"> the International Centre for Integrated Mountain Development,</w:t>
      </w:r>
      <w:r w:rsidRPr="001B0C64">
        <w:t xml:space="preserve"> strengthen</w:t>
      </w:r>
      <w:r w:rsidR="001211B0" w:rsidRPr="001B0C64">
        <w:t>ed</w:t>
      </w:r>
      <w:r w:rsidRPr="001B0C64">
        <w:t xml:space="preserve"> water management, </w:t>
      </w:r>
      <w:r w:rsidRPr="001B0C64">
        <w:rPr>
          <w:b/>
          <w:bCs/>
        </w:rPr>
        <w:t>supported river basin governance and inter-basin cooperation between eight countries of the Hindu Kush Himalaya region</w:t>
      </w:r>
      <w:r w:rsidRPr="001B0C64">
        <w:t>. </w:t>
      </w:r>
      <w:r w:rsidR="00CD2097" w:rsidRPr="001B0C64">
        <w:t>Additionally, t</w:t>
      </w:r>
      <w:r w:rsidR="001211B0" w:rsidRPr="001B0C64">
        <w:t xml:space="preserve">he </w:t>
      </w:r>
      <w:r w:rsidRPr="001B0C64">
        <w:t>Water for Women Fund provided</w:t>
      </w:r>
      <w:r w:rsidR="00EA4300" w:rsidRPr="001B0C64">
        <w:t xml:space="preserve"> </w:t>
      </w:r>
      <w:r w:rsidR="00AC4BE5" w:rsidRPr="001B0C64">
        <w:rPr>
          <w:b/>
          <w:bCs/>
        </w:rPr>
        <w:t xml:space="preserve">water, </w:t>
      </w:r>
      <w:proofErr w:type="gramStart"/>
      <w:r w:rsidR="00AC4BE5" w:rsidRPr="001B0C64">
        <w:rPr>
          <w:b/>
          <w:bCs/>
        </w:rPr>
        <w:t>sanitation</w:t>
      </w:r>
      <w:proofErr w:type="gramEnd"/>
      <w:r w:rsidR="00AC4BE5" w:rsidRPr="001B0C64">
        <w:rPr>
          <w:b/>
          <w:bCs/>
        </w:rPr>
        <w:t xml:space="preserve"> and hygiene (</w:t>
      </w:r>
      <w:r w:rsidRPr="001B0C64">
        <w:rPr>
          <w:b/>
          <w:bCs/>
        </w:rPr>
        <w:t>WASH</w:t>
      </w:r>
      <w:r w:rsidR="00AC4BE5" w:rsidRPr="001B0C64">
        <w:rPr>
          <w:b/>
          <w:bCs/>
        </w:rPr>
        <w:t>)</w:t>
      </w:r>
      <w:r w:rsidRPr="001B0C64">
        <w:rPr>
          <w:b/>
          <w:bCs/>
        </w:rPr>
        <w:t xml:space="preserve"> services to 532,821 people in </w:t>
      </w:r>
      <w:r w:rsidR="00DE5096" w:rsidRPr="001B0C64">
        <w:rPr>
          <w:b/>
          <w:bCs/>
        </w:rPr>
        <w:t>Bangladesh, Bhutan, India, Nepal, and Pakistan</w:t>
      </w:r>
      <w:r w:rsidR="00B67349" w:rsidRPr="001B0C64">
        <w:t xml:space="preserve">; </w:t>
      </w:r>
      <w:r w:rsidR="000C26FF" w:rsidRPr="001B0C64">
        <w:t xml:space="preserve">in addition, services were provided in 191 schools and 117 health care facilities; </w:t>
      </w:r>
      <w:r w:rsidR="007C57DD" w:rsidRPr="001B0C64">
        <w:t xml:space="preserve">and </w:t>
      </w:r>
      <w:r w:rsidRPr="001B0C64">
        <w:t xml:space="preserve">1,028 women </w:t>
      </w:r>
      <w:r w:rsidR="007C57DD" w:rsidRPr="001B0C64">
        <w:t>were supported in</w:t>
      </w:r>
      <w:r w:rsidRPr="001B0C64">
        <w:t xml:space="preserve"> </w:t>
      </w:r>
      <w:r w:rsidR="00B67349" w:rsidRPr="001B0C64">
        <w:t xml:space="preserve">WASH related </w:t>
      </w:r>
      <w:r w:rsidRPr="001B0C64">
        <w:t>leadership roles.</w:t>
      </w:r>
    </w:p>
    <w:bookmarkEnd w:id="7"/>
    <w:p w14:paraId="4B29BBC0" w14:textId="6B3F6C4E" w:rsidR="006B3693" w:rsidRPr="001B0C64" w:rsidRDefault="006B3693" w:rsidP="00C651B6">
      <w:pPr>
        <w:spacing w:line="260" w:lineRule="auto"/>
      </w:pPr>
      <w:r w:rsidRPr="001B0C64">
        <w:t xml:space="preserve">Australia Assists continued to provide </w:t>
      </w:r>
      <w:r w:rsidR="00B93A0B" w:rsidRPr="001B0C64">
        <w:t xml:space="preserve">technical expertise to governments </w:t>
      </w:r>
      <w:r w:rsidR="00EE2966" w:rsidRPr="001B0C64">
        <w:t>in</w:t>
      </w:r>
      <w:r w:rsidR="00B93A0B" w:rsidRPr="001B0C64">
        <w:t xml:space="preserve"> </w:t>
      </w:r>
      <w:r w:rsidR="007C57DD" w:rsidRPr="001B0C64">
        <w:t xml:space="preserve">India and Bangladesh </w:t>
      </w:r>
      <w:r w:rsidR="00EE2966" w:rsidRPr="001B0C64">
        <w:t>with 11 individuals deployed (55</w:t>
      </w:r>
      <w:r w:rsidR="00B93A0B" w:rsidRPr="001B0C64">
        <w:t xml:space="preserve"> per cent female) for a total of </w:t>
      </w:r>
      <w:r w:rsidR="00EE2966" w:rsidRPr="001B0C64">
        <w:t>70.8 cum</w:t>
      </w:r>
      <w:r w:rsidR="00B93A0B" w:rsidRPr="001B0C64">
        <w:t>ulative months</w:t>
      </w:r>
      <w:r w:rsidR="007C57DD" w:rsidRPr="001B0C64">
        <w:t xml:space="preserve"> in 2021-22</w:t>
      </w:r>
      <w:r w:rsidR="00B93A0B" w:rsidRPr="001B0C64">
        <w:t xml:space="preserve">. </w:t>
      </w:r>
      <w:r w:rsidR="00BA4B5F" w:rsidRPr="001B0C64">
        <w:t>Assignments</w:t>
      </w:r>
      <w:r w:rsidR="00B93A0B" w:rsidRPr="001B0C64">
        <w:t xml:space="preserve"> included </w:t>
      </w:r>
      <w:r w:rsidR="00BA4B5F" w:rsidRPr="001B0C64">
        <w:rPr>
          <w:b/>
          <w:bCs/>
        </w:rPr>
        <w:t>disaster</w:t>
      </w:r>
      <w:r w:rsidR="00B93A0B" w:rsidRPr="001B0C64">
        <w:rPr>
          <w:b/>
          <w:bCs/>
        </w:rPr>
        <w:t xml:space="preserve"> risk reduction</w:t>
      </w:r>
      <w:r w:rsidR="00EE2966" w:rsidRPr="001B0C64">
        <w:rPr>
          <w:b/>
          <w:bCs/>
        </w:rPr>
        <w:t xml:space="preserve"> and resilient infrastructure, strengthen</w:t>
      </w:r>
      <w:r w:rsidR="00CD2097" w:rsidRPr="001B0C64">
        <w:rPr>
          <w:b/>
          <w:bCs/>
        </w:rPr>
        <w:t>ing</w:t>
      </w:r>
      <w:r w:rsidR="00EE2966" w:rsidRPr="001B0C64">
        <w:rPr>
          <w:b/>
          <w:bCs/>
        </w:rPr>
        <w:t xml:space="preserve"> government social workers’ case management skills</w:t>
      </w:r>
      <w:r w:rsidR="00EE2966" w:rsidRPr="001B0C64">
        <w:t>, assist</w:t>
      </w:r>
      <w:r w:rsidR="00CD2097" w:rsidRPr="001B0C64">
        <w:t>ing</w:t>
      </w:r>
      <w:r w:rsidR="00EE2966" w:rsidRPr="001B0C64">
        <w:t xml:space="preserve"> </w:t>
      </w:r>
      <w:r w:rsidR="00463D1A" w:rsidRPr="001B0C64">
        <w:t xml:space="preserve">the UN High Commissioner for Refugees’ </w:t>
      </w:r>
      <w:r w:rsidR="00EE2966" w:rsidRPr="001B0C64">
        <w:t xml:space="preserve">refugee programs in Bangladesh, </w:t>
      </w:r>
      <w:r w:rsidR="00B93A0B" w:rsidRPr="001B0C64">
        <w:t>and flood management.</w:t>
      </w:r>
    </w:p>
    <w:p w14:paraId="0B17EEFD" w14:textId="6A5D46A9" w:rsidR="008C1F60" w:rsidRPr="001B0C64" w:rsidRDefault="00297FD1" w:rsidP="00C651B6">
      <w:pPr>
        <w:pStyle w:val="Heading3"/>
        <w:spacing w:before="120" w:after="60" w:line="260" w:lineRule="auto"/>
      </w:pPr>
      <w:r w:rsidRPr="001B0C64">
        <w:t>Economic recovery</w:t>
      </w:r>
    </w:p>
    <w:p w14:paraId="4FF16793" w14:textId="7B2AD874" w:rsidR="008A6BB7" w:rsidRPr="001B0C64" w:rsidRDefault="00B93A0B" w:rsidP="00C651B6">
      <w:pPr>
        <w:pStyle w:val="Bullet1"/>
        <w:numPr>
          <w:ilvl w:val="0"/>
          <w:numId w:val="0"/>
        </w:numPr>
        <w:spacing w:before="120" w:line="260" w:lineRule="auto"/>
      </w:pPr>
      <w:r w:rsidRPr="001B0C64">
        <w:t xml:space="preserve">Australia </w:t>
      </w:r>
      <w:r w:rsidR="00A43310" w:rsidRPr="001B0C64">
        <w:t>w</w:t>
      </w:r>
      <w:r w:rsidR="00540228" w:rsidRPr="001B0C64">
        <w:t>ork</w:t>
      </w:r>
      <w:r w:rsidR="005D0B11" w:rsidRPr="001B0C64">
        <w:t>ed</w:t>
      </w:r>
      <w:r w:rsidR="00540228" w:rsidRPr="001B0C64">
        <w:t xml:space="preserve"> </w:t>
      </w:r>
      <w:r w:rsidRPr="001B0C64">
        <w:t xml:space="preserve">with </w:t>
      </w:r>
      <w:r w:rsidR="00A43310" w:rsidRPr="001B0C64">
        <w:t xml:space="preserve">South Asian </w:t>
      </w:r>
      <w:r w:rsidR="00540228" w:rsidRPr="001B0C64">
        <w:t>g</w:t>
      </w:r>
      <w:r w:rsidRPr="001B0C64">
        <w:t xml:space="preserve">overnments </w:t>
      </w:r>
      <w:r w:rsidR="00A43310" w:rsidRPr="001B0C64">
        <w:t>t</w:t>
      </w:r>
      <w:r w:rsidRPr="001B0C64">
        <w:t xml:space="preserve">o </w:t>
      </w:r>
      <w:r w:rsidR="005D0B11" w:rsidRPr="001B0C64">
        <w:rPr>
          <w:b/>
          <w:bCs/>
        </w:rPr>
        <w:t>reduce</w:t>
      </w:r>
      <w:r w:rsidRPr="001B0C64">
        <w:rPr>
          <w:b/>
          <w:bCs/>
        </w:rPr>
        <w:t xml:space="preserve"> barriers to </w:t>
      </w:r>
      <w:r w:rsidR="00451074" w:rsidRPr="001B0C64">
        <w:rPr>
          <w:b/>
          <w:bCs/>
        </w:rPr>
        <w:t>trade and</w:t>
      </w:r>
      <w:r w:rsidRPr="001B0C64">
        <w:rPr>
          <w:b/>
          <w:bCs/>
        </w:rPr>
        <w:t xml:space="preserve"> prepare quality transport and energy infrastructure investments</w:t>
      </w:r>
      <w:r w:rsidRPr="001B0C64">
        <w:t xml:space="preserve"> that involve</w:t>
      </w:r>
      <w:r w:rsidR="00540228" w:rsidRPr="001B0C64">
        <w:t xml:space="preserve"> both the public and </w:t>
      </w:r>
      <w:r w:rsidRPr="001B0C64">
        <w:t>private sector and have lasting economic impact</w:t>
      </w:r>
      <w:r w:rsidR="00C96164" w:rsidRPr="001B0C64">
        <w:t>, and to facilitate intra-regional trade</w:t>
      </w:r>
      <w:r w:rsidRPr="001B0C64">
        <w:t>.</w:t>
      </w:r>
    </w:p>
    <w:p w14:paraId="6B53B9D7" w14:textId="266FDA14" w:rsidR="00B93A0B" w:rsidRPr="001B0C64" w:rsidRDefault="00B93A0B" w:rsidP="00C651B6">
      <w:pPr>
        <w:pStyle w:val="Bullet1"/>
        <w:numPr>
          <w:ilvl w:val="0"/>
          <w:numId w:val="0"/>
        </w:numPr>
        <w:spacing w:before="120" w:line="260" w:lineRule="auto"/>
      </w:pPr>
      <w:r w:rsidRPr="001B0C64">
        <w:t>In 202</w:t>
      </w:r>
      <w:r w:rsidR="00540228" w:rsidRPr="001B0C64">
        <w:t>1</w:t>
      </w:r>
      <w:r w:rsidRPr="001B0C64">
        <w:t>-2</w:t>
      </w:r>
      <w:r w:rsidR="00540228" w:rsidRPr="001B0C64">
        <w:t>2,</w:t>
      </w:r>
      <w:r w:rsidRPr="001B0C64">
        <w:t xml:space="preserve"> the South Asia </w:t>
      </w:r>
      <w:r w:rsidR="00A50A43" w:rsidRPr="001B0C64">
        <w:t xml:space="preserve">Regional Infrastructure Connectivity (SARIC) </w:t>
      </w:r>
      <w:r w:rsidR="00017E13" w:rsidRPr="001B0C64">
        <w:t>p</w:t>
      </w:r>
      <w:r w:rsidR="00A50A43" w:rsidRPr="001B0C64">
        <w:t xml:space="preserve">rogram, </w:t>
      </w:r>
      <w:r w:rsidR="00913062" w:rsidRPr="001B0C64">
        <w:t>with W</w:t>
      </w:r>
      <w:r w:rsidR="00BA4B5F" w:rsidRPr="001B0C64">
        <w:t>orld</w:t>
      </w:r>
      <w:r w:rsidR="00A50A43" w:rsidRPr="001B0C64">
        <w:t xml:space="preserve"> Bank and</w:t>
      </w:r>
      <w:r w:rsidR="000877F0" w:rsidRPr="001B0C64">
        <w:t xml:space="preserve"> IFC</w:t>
      </w:r>
      <w:r w:rsidR="00913062" w:rsidRPr="001B0C64">
        <w:t xml:space="preserve"> partners</w:t>
      </w:r>
      <w:r w:rsidR="00A50A43" w:rsidRPr="001B0C64">
        <w:t xml:space="preserve">, </w:t>
      </w:r>
      <w:r w:rsidR="00540228" w:rsidRPr="001B0C64">
        <w:t xml:space="preserve">commenced </w:t>
      </w:r>
      <w:r w:rsidR="00A50A43" w:rsidRPr="001B0C64">
        <w:t xml:space="preserve">projects to improve </w:t>
      </w:r>
      <w:r w:rsidR="005D0B11" w:rsidRPr="001B0C64">
        <w:t xml:space="preserve">transport and </w:t>
      </w:r>
      <w:r w:rsidR="00B67349" w:rsidRPr="001B0C64">
        <w:t xml:space="preserve">energy </w:t>
      </w:r>
      <w:r w:rsidR="005D0B11" w:rsidRPr="001B0C64">
        <w:t>infrastructure</w:t>
      </w:r>
      <w:r w:rsidR="00A50A43" w:rsidRPr="001B0C64">
        <w:t xml:space="preserve">. </w:t>
      </w:r>
      <w:bookmarkStart w:id="8" w:name="_Hlk115273473"/>
      <w:r w:rsidR="00B67349" w:rsidRPr="001B0C64">
        <w:t>The</w:t>
      </w:r>
      <w:r w:rsidR="00293CB3" w:rsidRPr="001B0C64">
        <w:t xml:space="preserve"> </w:t>
      </w:r>
      <w:r w:rsidR="00BD47FD" w:rsidRPr="001B0C64">
        <w:t xml:space="preserve">Nepal Civil Aviation </w:t>
      </w:r>
      <w:r w:rsidR="00E7493B" w:rsidRPr="001B0C64">
        <w:t>Project</w:t>
      </w:r>
      <w:r w:rsidR="00BD47FD" w:rsidRPr="001B0C64">
        <w:t xml:space="preserve"> </w:t>
      </w:r>
      <w:r w:rsidR="00EC1BCB" w:rsidRPr="001B0C64">
        <w:t xml:space="preserve">is </w:t>
      </w:r>
      <w:r w:rsidR="00EC1BCB" w:rsidRPr="001B0C64">
        <w:rPr>
          <w:b/>
          <w:bCs/>
        </w:rPr>
        <w:t xml:space="preserve">enhancing </w:t>
      </w:r>
      <w:r w:rsidR="00BD47FD" w:rsidRPr="001B0C64">
        <w:rPr>
          <w:b/>
          <w:bCs/>
        </w:rPr>
        <w:t>airport efficiency, aviation safety, essential air services, and development planning for several new airports</w:t>
      </w:r>
      <w:bookmarkEnd w:id="8"/>
      <w:r w:rsidR="00293CB3" w:rsidRPr="001B0C64">
        <w:t xml:space="preserve">. The IFC </w:t>
      </w:r>
      <w:r w:rsidR="003C6DA1" w:rsidRPr="001B0C64">
        <w:t>completed a</w:t>
      </w:r>
      <w:r w:rsidR="00913062" w:rsidRPr="001B0C64">
        <w:t xml:space="preserve"> range of critical </w:t>
      </w:r>
      <w:r w:rsidR="00293CB3" w:rsidRPr="001B0C64">
        <w:rPr>
          <w:b/>
          <w:bCs/>
        </w:rPr>
        <w:t xml:space="preserve">preliminary </w:t>
      </w:r>
      <w:r w:rsidR="00913062" w:rsidRPr="001B0C64">
        <w:rPr>
          <w:b/>
          <w:bCs/>
        </w:rPr>
        <w:t xml:space="preserve">studies </w:t>
      </w:r>
      <w:r w:rsidR="00293CB3" w:rsidRPr="001B0C64">
        <w:rPr>
          <w:b/>
          <w:bCs/>
        </w:rPr>
        <w:t xml:space="preserve">for the privately financed upgrade of the Chattogram port in Bangladesh </w:t>
      </w:r>
      <w:r w:rsidR="00913062" w:rsidRPr="001B0C64">
        <w:rPr>
          <w:b/>
          <w:bCs/>
        </w:rPr>
        <w:t xml:space="preserve">including </w:t>
      </w:r>
      <w:r w:rsidR="00C96164" w:rsidRPr="001B0C64">
        <w:rPr>
          <w:b/>
          <w:bCs/>
        </w:rPr>
        <w:t>e</w:t>
      </w:r>
      <w:r w:rsidR="003C6DA1" w:rsidRPr="001B0C64">
        <w:rPr>
          <w:b/>
          <w:bCs/>
        </w:rPr>
        <w:t xml:space="preserve">nvironment and </w:t>
      </w:r>
      <w:r w:rsidR="00C96164" w:rsidRPr="001B0C64">
        <w:rPr>
          <w:b/>
          <w:bCs/>
        </w:rPr>
        <w:t>s</w:t>
      </w:r>
      <w:r w:rsidR="003C6DA1" w:rsidRPr="001B0C64">
        <w:rPr>
          <w:b/>
          <w:bCs/>
        </w:rPr>
        <w:t>afeguards</w:t>
      </w:r>
      <w:r w:rsidR="00762194" w:rsidRPr="001B0C64">
        <w:t>,</w:t>
      </w:r>
      <w:r w:rsidR="00913062" w:rsidRPr="001B0C64">
        <w:t xml:space="preserve"> </w:t>
      </w:r>
      <w:r w:rsidR="003C6DA1" w:rsidRPr="001B0C64">
        <w:t>critical habitat screening</w:t>
      </w:r>
      <w:r w:rsidR="00762194" w:rsidRPr="001B0C64">
        <w:t>,</w:t>
      </w:r>
      <w:r w:rsidR="003C6DA1" w:rsidRPr="001B0C64">
        <w:t xml:space="preserve"> land acquisition and livelihoods</w:t>
      </w:r>
      <w:r w:rsidR="00762194" w:rsidRPr="001B0C64">
        <w:t>,</w:t>
      </w:r>
      <w:r w:rsidR="003C6DA1" w:rsidRPr="001B0C64">
        <w:t xml:space="preserve"> shoreline change modelling</w:t>
      </w:r>
      <w:r w:rsidR="00762194" w:rsidRPr="001B0C64">
        <w:t>,</w:t>
      </w:r>
      <w:r w:rsidR="00913062" w:rsidRPr="001B0C64">
        <w:t xml:space="preserve"> </w:t>
      </w:r>
      <w:r w:rsidR="003C6DA1" w:rsidRPr="001B0C64">
        <w:t xml:space="preserve">impacts </w:t>
      </w:r>
      <w:r w:rsidR="00913062" w:rsidRPr="001B0C64">
        <w:t>on biodiversity</w:t>
      </w:r>
      <w:r w:rsidR="00762194" w:rsidRPr="001B0C64">
        <w:t>,</w:t>
      </w:r>
      <w:r w:rsidR="00913062" w:rsidRPr="001B0C64">
        <w:t xml:space="preserve"> </w:t>
      </w:r>
      <w:r w:rsidR="003C6DA1" w:rsidRPr="001B0C64">
        <w:t>dredging impact</w:t>
      </w:r>
      <w:r w:rsidR="00762194" w:rsidRPr="001B0C64">
        <w:t>,</w:t>
      </w:r>
      <w:r w:rsidR="003C6DA1" w:rsidRPr="001B0C64">
        <w:t xml:space="preserve"> and climate change resilience</w:t>
      </w:r>
      <w:r w:rsidR="00BD47FD" w:rsidRPr="001B0C64">
        <w:t xml:space="preserve">. SARIC’s Training and Networking </w:t>
      </w:r>
      <w:r w:rsidR="00293CB3" w:rsidRPr="001B0C64">
        <w:t>team</w:t>
      </w:r>
      <w:r w:rsidR="00BD47FD" w:rsidRPr="001B0C64">
        <w:t xml:space="preserve"> developed policies, </w:t>
      </w:r>
      <w:r w:rsidR="00451074" w:rsidRPr="001B0C64">
        <w:t>processes,</w:t>
      </w:r>
      <w:r w:rsidR="00BD47FD" w:rsidRPr="001B0C64">
        <w:t xml:space="preserve"> and approaches</w:t>
      </w:r>
      <w:r w:rsidR="00CD2097" w:rsidRPr="001B0C64">
        <w:t>.</w:t>
      </w:r>
      <w:r w:rsidR="00BD47FD" w:rsidRPr="001B0C64">
        <w:t xml:space="preserve"> </w:t>
      </w:r>
      <w:r w:rsidR="00CD2097" w:rsidRPr="001B0C64">
        <w:t>I</w:t>
      </w:r>
      <w:r w:rsidR="00BD47FD" w:rsidRPr="001B0C64">
        <w:t xml:space="preserve">t will mobilise its first cohort of trainees in </w:t>
      </w:r>
      <w:r w:rsidR="009E6E56">
        <w:t>early 2023</w:t>
      </w:r>
      <w:r w:rsidR="00BD47FD" w:rsidRPr="001B0C64">
        <w:t xml:space="preserve">. </w:t>
      </w:r>
    </w:p>
    <w:p w14:paraId="52D2C71E" w14:textId="2EF2FDB7" w:rsidR="0076289C" w:rsidRDefault="00467C3D" w:rsidP="00C651B6">
      <w:pPr>
        <w:pStyle w:val="Bullet1"/>
        <w:numPr>
          <w:ilvl w:val="0"/>
          <w:numId w:val="0"/>
        </w:numPr>
        <w:spacing w:before="120" w:line="260" w:lineRule="auto"/>
        <w:rPr>
          <w:rFonts w:asciiTheme="majorHAnsi" w:eastAsiaTheme="majorEastAsia" w:hAnsiTheme="majorHAnsi" w:cstheme="majorBidi"/>
          <w:b/>
          <w:caps/>
          <w:szCs w:val="26"/>
        </w:rPr>
      </w:pPr>
      <w:r w:rsidRPr="001B0C64">
        <w:t>SARTFP continued to identif</w:t>
      </w:r>
      <w:r w:rsidR="00C96164" w:rsidRPr="001B0C64">
        <w:t>y</w:t>
      </w:r>
      <w:r w:rsidRPr="001B0C64">
        <w:t xml:space="preserve"> barriers to regional integration and trade</w:t>
      </w:r>
      <w:r w:rsidR="00CD2097" w:rsidRPr="001B0C64">
        <w:t>,</w:t>
      </w:r>
      <w:r w:rsidRPr="001B0C64">
        <w:t xml:space="preserve"> and gender-sensitive outcomes. </w:t>
      </w:r>
      <w:r w:rsidR="00F1348C" w:rsidRPr="001B0C64">
        <w:t xml:space="preserve">It recognised </w:t>
      </w:r>
      <w:r w:rsidRPr="001B0C64">
        <w:t xml:space="preserve">that </w:t>
      </w:r>
      <w:r w:rsidRPr="001B0C64">
        <w:rPr>
          <w:b/>
          <w:bCs/>
        </w:rPr>
        <w:t xml:space="preserve">preserving cross-border connectivity is vital for post-pandemic recovery and for building resilience to </w:t>
      </w:r>
      <w:r w:rsidR="00F1348C" w:rsidRPr="001B0C64">
        <w:rPr>
          <w:b/>
          <w:bCs/>
        </w:rPr>
        <w:t xml:space="preserve">meet </w:t>
      </w:r>
      <w:r w:rsidRPr="001B0C64">
        <w:rPr>
          <w:b/>
          <w:bCs/>
        </w:rPr>
        <w:t>future pandemics and crises</w:t>
      </w:r>
      <w:r w:rsidR="00F1348C" w:rsidRPr="001B0C64">
        <w:t xml:space="preserve">. In response, </w:t>
      </w:r>
      <w:r w:rsidRPr="001B0C64">
        <w:t xml:space="preserve">SARTFP repositioned </w:t>
      </w:r>
      <w:r w:rsidR="003C6DA1" w:rsidRPr="001B0C64">
        <w:t>to</w:t>
      </w:r>
      <w:r w:rsidRPr="001B0C64">
        <w:t xml:space="preserve"> include new activities to support country-led responses and recovery efforts from the COVID-19 pandemic, as well as to identify specific issues of vulnera</w:t>
      </w:r>
      <w:r w:rsidR="003C6DA1" w:rsidRPr="001B0C64">
        <w:t xml:space="preserve">bility faced by women, small </w:t>
      </w:r>
      <w:r w:rsidR="00451074" w:rsidRPr="001B0C64">
        <w:t>businesses,</w:t>
      </w:r>
      <w:r w:rsidR="003C6DA1" w:rsidRPr="001B0C64">
        <w:t xml:space="preserve"> and households from loss of livelihoods. </w:t>
      </w:r>
      <w:r w:rsidR="00C96164" w:rsidRPr="001B0C64">
        <w:t>In 2021, SARTFP activities contributed to implementation of $1.76 billion of World Bank investment in South Asia</w:t>
      </w:r>
      <w:r w:rsidR="00C96164">
        <w:t>.</w:t>
      </w:r>
      <w:r w:rsidR="0076289C">
        <w:br w:type="page"/>
      </w:r>
    </w:p>
    <w:p w14:paraId="12E24BAE" w14:textId="44DE1837" w:rsidR="00BC1FED" w:rsidRPr="001B0C64" w:rsidRDefault="00121DDD" w:rsidP="0076289C">
      <w:pPr>
        <w:pStyle w:val="Heading2"/>
      </w:pPr>
      <w:r w:rsidRPr="001B0C64">
        <w:lastRenderedPageBreak/>
        <w:t>Annex 1</w:t>
      </w:r>
      <w:r w:rsidR="001F7F4D" w:rsidRPr="001B0C64">
        <w:t xml:space="preserve">: </w:t>
      </w:r>
      <w:r w:rsidR="00540A22" w:rsidRPr="001B0C64">
        <w:t xml:space="preserve">Progress against </w:t>
      </w:r>
      <w:r w:rsidR="008A1503" w:rsidRPr="001B0C64">
        <w:t xml:space="preserve">COVID-19 </w:t>
      </w:r>
      <w:r w:rsidR="008C1A18" w:rsidRPr="001B0C64">
        <w:t xml:space="preserve">development </w:t>
      </w:r>
      <w:r w:rsidR="008A1503" w:rsidRPr="001B0C64">
        <w:t xml:space="preserve">Response plan </w:t>
      </w:r>
      <w:r w:rsidR="00E1666D" w:rsidRPr="001B0C64">
        <w:t>results indicators</w:t>
      </w:r>
    </w:p>
    <w:p w14:paraId="53E0B1CB" w14:textId="4861D448" w:rsidR="00AE2B7B" w:rsidRPr="001B0C64" w:rsidRDefault="00AE2B7B" w:rsidP="00B42D44">
      <w:pPr>
        <w:pStyle w:val="Heading3"/>
      </w:pPr>
      <w:r w:rsidRPr="001B0C64">
        <w:t>Health Security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health security"/>
      </w:tblPr>
      <w:tblGrid>
        <w:gridCol w:w="4390"/>
        <w:gridCol w:w="6146"/>
      </w:tblGrid>
      <w:tr w:rsidR="001B0C64" w:rsidRPr="001B0C64" w14:paraId="228F7F02" w14:textId="77777777" w:rsidTr="007A4493">
        <w:trPr>
          <w:tblHeader/>
        </w:trPr>
        <w:tc>
          <w:tcPr>
            <w:tcW w:w="4390" w:type="dxa"/>
            <w:shd w:val="clear" w:color="auto" w:fill="A2DCD1" w:themeFill="accent1" w:themeFillTint="99"/>
          </w:tcPr>
          <w:p w14:paraId="7116F4F5" w14:textId="2BCC79D7" w:rsidR="004F5615" w:rsidRPr="001B0C64" w:rsidRDefault="00A96364" w:rsidP="00CA5021">
            <w:pPr>
              <w:spacing w:before="0" w:after="0" w:line="240" w:lineRule="auto"/>
              <w:jc w:val="center"/>
              <w:rPr>
                <w:b/>
                <w:sz w:val="20"/>
                <w:szCs w:val="20"/>
              </w:rPr>
            </w:pPr>
            <w:r w:rsidRPr="001B0C64">
              <w:rPr>
                <w:b/>
                <w:sz w:val="20"/>
                <w:szCs w:val="20"/>
              </w:rPr>
              <w:t xml:space="preserve">Key Results </w:t>
            </w:r>
            <w:r w:rsidR="00E1666D" w:rsidRPr="001B0C64">
              <w:rPr>
                <w:b/>
                <w:sz w:val="20"/>
                <w:szCs w:val="20"/>
              </w:rPr>
              <w:t>Indicators</w:t>
            </w:r>
          </w:p>
        </w:tc>
        <w:tc>
          <w:tcPr>
            <w:tcW w:w="6146" w:type="dxa"/>
            <w:shd w:val="clear" w:color="auto" w:fill="A2DCD1" w:themeFill="accent1" w:themeFillTint="99"/>
          </w:tcPr>
          <w:p w14:paraId="18C04122" w14:textId="30B10914" w:rsidR="004F5615" w:rsidRPr="001B0C64" w:rsidRDefault="00AD19F7" w:rsidP="00CA5021">
            <w:pPr>
              <w:spacing w:before="0" w:after="0"/>
              <w:ind w:left="100"/>
              <w:jc w:val="center"/>
              <w:rPr>
                <w:sz w:val="20"/>
                <w:szCs w:val="20"/>
              </w:rPr>
            </w:pPr>
            <w:r w:rsidRPr="001B0C64">
              <w:rPr>
                <w:b/>
                <w:sz w:val="20"/>
                <w:szCs w:val="20"/>
              </w:rPr>
              <w:t>Progress/Result</w:t>
            </w:r>
          </w:p>
        </w:tc>
      </w:tr>
      <w:tr w:rsidR="001B0C64" w:rsidRPr="001B0C64" w14:paraId="5D4066B5" w14:textId="77777777" w:rsidTr="007A4493">
        <w:trPr>
          <w:tblHeader/>
        </w:trPr>
        <w:tc>
          <w:tcPr>
            <w:tcW w:w="4390" w:type="dxa"/>
          </w:tcPr>
          <w:p w14:paraId="354112BD" w14:textId="500C1B17" w:rsidR="00877620" w:rsidRPr="001B0C64" w:rsidRDefault="00426FF7" w:rsidP="00CA5021">
            <w:pPr>
              <w:spacing w:before="0" w:after="0"/>
              <w:rPr>
                <w:sz w:val="20"/>
                <w:szCs w:val="20"/>
              </w:rPr>
            </w:pPr>
            <w:r w:rsidRPr="001B0C64">
              <w:rPr>
                <w:sz w:val="20"/>
                <w:szCs w:val="20"/>
              </w:rPr>
              <w:t>Number of people immunised with Australia’s support</w:t>
            </w:r>
          </w:p>
        </w:tc>
        <w:tc>
          <w:tcPr>
            <w:tcW w:w="6146" w:type="dxa"/>
          </w:tcPr>
          <w:p w14:paraId="1C78B18E" w14:textId="15A2A0C5" w:rsidR="00877620" w:rsidRPr="001B0C64" w:rsidRDefault="00051176" w:rsidP="00877620">
            <w:pPr>
              <w:spacing w:before="0" w:after="0"/>
              <w:rPr>
                <w:sz w:val="20"/>
                <w:szCs w:val="20"/>
              </w:rPr>
            </w:pPr>
            <w:r w:rsidRPr="001B0C64">
              <w:rPr>
                <w:sz w:val="20"/>
                <w:szCs w:val="20"/>
              </w:rPr>
              <w:t xml:space="preserve">COVAX delivered </w:t>
            </w:r>
            <w:r w:rsidR="00027430" w:rsidRPr="001B0C64">
              <w:rPr>
                <w:sz w:val="20"/>
                <w:szCs w:val="20"/>
              </w:rPr>
              <w:t>4,327,052 C</w:t>
            </w:r>
            <w:r w:rsidRPr="001B0C64">
              <w:rPr>
                <w:sz w:val="20"/>
                <w:szCs w:val="20"/>
              </w:rPr>
              <w:t xml:space="preserve">OVID-19 vaccines to </w:t>
            </w:r>
            <w:r w:rsidR="00027430" w:rsidRPr="001B0C64">
              <w:rPr>
                <w:sz w:val="20"/>
                <w:szCs w:val="20"/>
              </w:rPr>
              <w:t xml:space="preserve">eligible </w:t>
            </w:r>
            <w:r w:rsidRPr="001B0C64">
              <w:rPr>
                <w:sz w:val="20"/>
                <w:szCs w:val="20"/>
              </w:rPr>
              <w:t xml:space="preserve">countries in South Asia. </w:t>
            </w:r>
            <w:r w:rsidR="00027430" w:rsidRPr="001B0C64">
              <w:rPr>
                <w:sz w:val="20"/>
                <w:szCs w:val="20"/>
              </w:rPr>
              <w:t xml:space="preserve">Australia supported </w:t>
            </w:r>
            <w:r w:rsidR="00720715" w:rsidRPr="001B0C64">
              <w:rPr>
                <w:sz w:val="20"/>
                <w:szCs w:val="20"/>
              </w:rPr>
              <w:t>the GAVI program in</w:t>
            </w:r>
            <w:r w:rsidRPr="001B0C64">
              <w:rPr>
                <w:sz w:val="20"/>
                <w:szCs w:val="20"/>
              </w:rPr>
              <w:t xml:space="preserve"> South Asia</w:t>
            </w:r>
            <w:r w:rsidR="00720715" w:rsidRPr="001B0C64">
              <w:rPr>
                <w:sz w:val="20"/>
                <w:szCs w:val="20"/>
              </w:rPr>
              <w:t xml:space="preserve"> which delivered $90,101,876 worth of vaccinations and capacity building in 2021 in Bangladesh, India, Nepal, and Pakistan</w:t>
            </w:r>
            <w:r w:rsidRPr="001B0C64">
              <w:rPr>
                <w:sz w:val="20"/>
                <w:szCs w:val="20"/>
              </w:rPr>
              <w:t>.</w:t>
            </w:r>
          </w:p>
        </w:tc>
      </w:tr>
      <w:tr w:rsidR="001B0C64" w:rsidRPr="001B0C64" w14:paraId="4AD746D8" w14:textId="77777777" w:rsidTr="007A4493">
        <w:trPr>
          <w:tblHeader/>
        </w:trPr>
        <w:tc>
          <w:tcPr>
            <w:tcW w:w="4390" w:type="dxa"/>
          </w:tcPr>
          <w:p w14:paraId="0AB10A98" w14:textId="52A099A0" w:rsidR="00CA5021" w:rsidRPr="001B0C64" w:rsidRDefault="00426FF7" w:rsidP="00CA5021">
            <w:pPr>
              <w:spacing w:before="0" w:after="0"/>
              <w:rPr>
                <w:sz w:val="20"/>
                <w:szCs w:val="20"/>
              </w:rPr>
            </w:pPr>
            <w:r w:rsidRPr="001B0C64">
              <w:rPr>
                <w:sz w:val="20"/>
                <w:szCs w:val="20"/>
              </w:rPr>
              <w:t>Number of people provided with emergency health assistance</w:t>
            </w:r>
          </w:p>
        </w:tc>
        <w:tc>
          <w:tcPr>
            <w:tcW w:w="6146" w:type="dxa"/>
          </w:tcPr>
          <w:p w14:paraId="44F01EB8" w14:textId="5178C4B2" w:rsidR="00CA5021" w:rsidRPr="001B0C64" w:rsidRDefault="00720715" w:rsidP="00720715">
            <w:pPr>
              <w:spacing w:before="0" w:after="0"/>
              <w:rPr>
                <w:sz w:val="20"/>
                <w:szCs w:val="20"/>
              </w:rPr>
            </w:pPr>
            <w:r w:rsidRPr="001B0C64">
              <w:rPr>
                <w:sz w:val="20"/>
                <w:szCs w:val="20"/>
              </w:rPr>
              <w:t>In 2021 the Global Fund for AIDS, Tuberculosis and Malaria (Australia is a significant funder) delivered HIV antiretroviral treatment to 1,660,360 people; TB treatment to 2,583,950 people; and distributed 17,439,500 mosquito nets in Bangladesh, Bhutan, India, Nepal, Pakistan, and Sri Lanka.</w:t>
            </w:r>
          </w:p>
        </w:tc>
      </w:tr>
      <w:tr w:rsidR="001B0C64" w:rsidRPr="001B0C64" w14:paraId="561E10FB" w14:textId="77777777" w:rsidTr="007A4493">
        <w:trPr>
          <w:tblHeader/>
        </w:trPr>
        <w:tc>
          <w:tcPr>
            <w:tcW w:w="4390" w:type="dxa"/>
          </w:tcPr>
          <w:p w14:paraId="3FC5A9AE" w14:textId="08788BD1" w:rsidR="00CA5021" w:rsidRPr="001B0C64" w:rsidRDefault="00426FF7" w:rsidP="00CA5021">
            <w:pPr>
              <w:spacing w:before="0" w:after="0"/>
              <w:rPr>
                <w:sz w:val="20"/>
                <w:szCs w:val="20"/>
              </w:rPr>
            </w:pPr>
            <w:r w:rsidRPr="001B0C64">
              <w:rPr>
                <w:sz w:val="20"/>
                <w:szCs w:val="20"/>
              </w:rPr>
              <w:t>Number of people provided with sexual and reproductive health services</w:t>
            </w:r>
          </w:p>
        </w:tc>
        <w:tc>
          <w:tcPr>
            <w:tcW w:w="6146" w:type="dxa"/>
          </w:tcPr>
          <w:p w14:paraId="1D0B508E" w14:textId="0796B866" w:rsidR="00CA5021" w:rsidRPr="001B0C64" w:rsidRDefault="00A16B91" w:rsidP="00A35989">
            <w:pPr>
              <w:spacing w:before="0" w:after="0"/>
              <w:rPr>
                <w:sz w:val="20"/>
                <w:szCs w:val="20"/>
              </w:rPr>
            </w:pPr>
            <w:r w:rsidRPr="001B0C64">
              <w:rPr>
                <w:sz w:val="20"/>
                <w:szCs w:val="20"/>
              </w:rPr>
              <w:t xml:space="preserve">The Indo-Pacific Sexual and Reproductive Health and Rights </w:t>
            </w:r>
            <w:r w:rsidR="00295B17" w:rsidRPr="001B0C64">
              <w:rPr>
                <w:sz w:val="20"/>
                <w:szCs w:val="20"/>
              </w:rPr>
              <w:t>program</w:t>
            </w:r>
            <w:r w:rsidR="00A33672" w:rsidRPr="001B0C64">
              <w:rPr>
                <w:sz w:val="20"/>
                <w:szCs w:val="20"/>
              </w:rPr>
              <w:t xml:space="preserve"> </w:t>
            </w:r>
            <w:r w:rsidR="00196CBB" w:rsidRPr="001B0C64">
              <w:rPr>
                <w:sz w:val="20"/>
                <w:szCs w:val="20"/>
              </w:rPr>
              <w:t xml:space="preserve">provided 4,601,687 sexual and reproductive health services </w:t>
            </w:r>
            <w:r w:rsidR="00A33672" w:rsidRPr="001B0C64">
              <w:rPr>
                <w:sz w:val="20"/>
                <w:szCs w:val="20"/>
              </w:rPr>
              <w:t>for</w:t>
            </w:r>
            <w:r w:rsidR="00196CBB" w:rsidRPr="001B0C64">
              <w:rPr>
                <w:sz w:val="20"/>
                <w:szCs w:val="20"/>
              </w:rPr>
              <w:t xml:space="preserve"> 1,304,458 </w:t>
            </w:r>
            <w:r w:rsidR="00A33672" w:rsidRPr="001B0C64">
              <w:rPr>
                <w:sz w:val="20"/>
                <w:szCs w:val="20"/>
              </w:rPr>
              <w:t xml:space="preserve">people across </w:t>
            </w:r>
            <w:r w:rsidR="00196CBB" w:rsidRPr="001B0C64">
              <w:rPr>
                <w:sz w:val="20"/>
                <w:szCs w:val="20"/>
              </w:rPr>
              <w:t xml:space="preserve">Bangladesh, Bhutan, Maldives, Nepal, </w:t>
            </w:r>
            <w:proofErr w:type="gramStart"/>
            <w:r w:rsidR="00196CBB" w:rsidRPr="001B0C64">
              <w:rPr>
                <w:sz w:val="20"/>
                <w:szCs w:val="20"/>
              </w:rPr>
              <w:t>Pakistan</w:t>
            </w:r>
            <w:proofErr w:type="gramEnd"/>
            <w:r w:rsidR="00196CBB" w:rsidRPr="001B0C64">
              <w:rPr>
                <w:sz w:val="20"/>
                <w:szCs w:val="20"/>
              </w:rPr>
              <w:t xml:space="preserve"> and Sri Lanka.</w:t>
            </w:r>
          </w:p>
        </w:tc>
      </w:tr>
    </w:tbl>
    <w:p w14:paraId="08BBE344" w14:textId="6BCC6A36" w:rsidR="00AE2B7B" w:rsidRPr="001B0C64" w:rsidRDefault="00AE2B7B" w:rsidP="00B42D44">
      <w:pPr>
        <w:pStyle w:val="Heading3"/>
      </w:pPr>
      <w:r w:rsidRPr="001B0C64">
        <w:t>Stability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Stability "/>
      </w:tblPr>
      <w:tblGrid>
        <w:gridCol w:w="4390"/>
        <w:gridCol w:w="6146"/>
      </w:tblGrid>
      <w:tr w:rsidR="00CA5021" w14:paraId="14EF210E" w14:textId="77777777" w:rsidTr="007A4493">
        <w:trPr>
          <w:tblHeader/>
        </w:trPr>
        <w:tc>
          <w:tcPr>
            <w:tcW w:w="4390" w:type="dxa"/>
            <w:shd w:val="clear" w:color="auto" w:fill="A2DCD1" w:themeFill="accent1" w:themeFillTint="99"/>
            <w:vAlign w:val="bottom"/>
          </w:tcPr>
          <w:p w14:paraId="47014330" w14:textId="7A7E2C4C" w:rsidR="00CA5021" w:rsidRPr="005736BB" w:rsidRDefault="00A96364" w:rsidP="00CA5021">
            <w:pPr>
              <w:widowControl w:val="0"/>
              <w:spacing w:before="0" w:after="0" w:line="240" w:lineRule="auto"/>
              <w:jc w:val="center"/>
              <w:rPr>
                <w:sz w:val="20"/>
                <w:szCs w:val="20"/>
              </w:rPr>
            </w:pPr>
            <w:r w:rsidRPr="005736BB">
              <w:rPr>
                <w:b/>
                <w:sz w:val="20"/>
                <w:szCs w:val="20"/>
              </w:rPr>
              <w:t>Key Results</w:t>
            </w:r>
            <w:r w:rsidR="00CA5021" w:rsidRPr="005736BB">
              <w:rPr>
                <w:b/>
                <w:sz w:val="20"/>
                <w:szCs w:val="20"/>
              </w:rPr>
              <w:t xml:space="preserve"> Indicator</w:t>
            </w:r>
            <w:r w:rsidRPr="005736BB">
              <w:rPr>
                <w:b/>
                <w:sz w:val="20"/>
                <w:szCs w:val="20"/>
              </w:rPr>
              <w:t>s</w:t>
            </w:r>
          </w:p>
        </w:tc>
        <w:tc>
          <w:tcPr>
            <w:tcW w:w="6146" w:type="dxa"/>
            <w:shd w:val="clear" w:color="auto" w:fill="A2DCD1" w:themeFill="accent1" w:themeFillTint="99"/>
            <w:vAlign w:val="bottom"/>
          </w:tcPr>
          <w:p w14:paraId="167B5817" w14:textId="6DB7E03D"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93A8551" w14:textId="77777777" w:rsidTr="007A4493">
        <w:trPr>
          <w:tblHeader/>
        </w:trPr>
        <w:tc>
          <w:tcPr>
            <w:tcW w:w="4390" w:type="dxa"/>
          </w:tcPr>
          <w:p w14:paraId="2AA59D1C" w14:textId="0897CCB3" w:rsidR="00CA5021" w:rsidRPr="0038456B" w:rsidRDefault="00426FF7" w:rsidP="00CA5021">
            <w:pPr>
              <w:spacing w:before="0" w:after="0"/>
              <w:rPr>
                <w:sz w:val="20"/>
                <w:szCs w:val="20"/>
              </w:rPr>
            </w:pPr>
            <w:r w:rsidRPr="0038456B">
              <w:rPr>
                <w:sz w:val="20"/>
                <w:szCs w:val="20"/>
              </w:rPr>
              <w:t xml:space="preserve">Four communities implementing </w:t>
            </w:r>
            <w:r w:rsidR="0035533D" w:rsidRPr="0038456B">
              <w:rPr>
                <w:sz w:val="20"/>
                <w:szCs w:val="20"/>
              </w:rPr>
              <w:t>climate</w:t>
            </w:r>
            <w:r w:rsidRPr="0038456B">
              <w:rPr>
                <w:sz w:val="20"/>
                <w:szCs w:val="20"/>
              </w:rPr>
              <w:t xml:space="preserve">-sensitive approaches </w:t>
            </w:r>
            <w:r w:rsidR="0035533D" w:rsidRPr="0038456B">
              <w:rPr>
                <w:sz w:val="20"/>
                <w:szCs w:val="20"/>
              </w:rPr>
              <w:t>to urban water management</w:t>
            </w:r>
          </w:p>
        </w:tc>
        <w:tc>
          <w:tcPr>
            <w:tcW w:w="6146" w:type="dxa"/>
          </w:tcPr>
          <w:p w14:paraId="2E8902BB" w14:textId="211EC273" w:rsidR="00A625F9" w:rsidRPr="0038456B" w:rsidRDefault="00C36AA9" w:rsidP="00C36AA9">
            <w:pPr>
              <w:spacing w:before="0" w:after="0"/>
              <w:rPr>
                <w:sz w:val="20"/>
                <w:szCs w:val="20"/>
              </w:rPr>
            </w:pPr>
            <w:r w:rsidRPr="0038456B">
              <w:rPr>
                <w:sz w:val="20"/>
                <w:szCs w:val="20"/>
              </w:rPr>
              <w:t>In its first year,</w:t>
            </w:r>
            <w:r w:rsidR="009F0096" w:rsidRPr="0038456B">
              <w:rPr>
                <w:sz w:val="20"/>
                <w:szCs w:val="20"/>
              </w:rPr>
              <w:t xml:space="preserve"> South Asia Regional Water Security Initiative (SAWASI) </w:t>
            </w:r>
            <w:r w:rsidR="00C56A5C" w:rsidRPr="0038456B">
              <w:rPr>
                <w:sz w:val="20"/>
                <w:szCs w:val="20"/>
              </w:rPr>
              <w:t xml:space="preserve">commenced </w:t>
            </w:r>
            <w:r w:rsidRPr="0038456B">
              <w:rPr>
                <w:sz w:val="20"/>
                <w:szCs w:val="20"/>
              </w:rPr>
              <w:t xml:space="preserve">implementation </w:t>
            </w:r>
            <w:r w:rsidR="00A33672" w:rsidRPr="0038456B">
              <w:rPr>
                <w:sz w:val="20"/>
                <w:szCs w:val="20"/>
              </w:rPr>
              <w:t xml:space="preserve">of </w:t>
            </w:r>
            <w:r w:rsidR="00196CBB" w:rsidRPr="0038456B">
              <w:rPr>
                <w:sz w:val="20"/>
                <w:szCs w:val="20"/>
              </w:rPr>
              <w:t>water sensitive cities demonstration projects across four communities in India and Pakistan</w:t>
            </w:r>
            <w:r w:rsidR="00B7214E" w:rsidRPr="0038456B">
              <w:rPr>
                <w:sz w:val="20"/>
                <w:szCs w:val="20"/>
              </w:rPr>
              <w:t xml:space="preserve"> that </w:t>
            </w:r>
            <w:r w:rsidR="00C56A5C" w:rsidRPr="0038456B">
              <w:rPr>
                <w:sz w:val="20"/>
                <w:szCs w:val="20"/>
              </w:rPr>
              <w:t>p</w:t>
            </w:r>
            <w:r w:rsidR="00B7214E" w:rsidRPr="0038456B">
              <w:rPr>
                <w:sz w:val="20"/>
                <w:szCs w:val="20"/>
              </w:rPr>
              <w:t>rioritis</w:t>
            </w:r>
            <w:r w:rsidR="00C56A5C" w:rsidRPr="0038456B">
              <w:rPr>
                <w:sz w:val="20"/>
                <w:szCs w:val="20"/>
              </w:rPr>
              <w:t>e</w:t>
            </w:r>
            <w:r w:rsidR="00B7214E" w:rsidRPr="0038456B">
              <w:rPr>
                <w:sz w:val="20"/>
                <w:szCs w:val="20"/>
              </w:rPr>
              <w:t xml:space="preserve"> safe and reliable access to water for disadvantaged or vulnerable communities.</w:t>
            </w:r>
          </w:p>
        </w:tc>
      </w:tr>
      <w:tr w:rsidR="00CA5021" w14:paraId="0556A95D" w14:textId="77777777" w:rsidTr="00A35989">
        <w:trPr>
          <w:tblHeader/>
        </w:trPr>
        <w:tc>
          <w:tcPr>
            <w:tcW w:w="4390" w:type="dxa"/>
          </w:tcPr>
          <w:p w14:paraId="62F5276A" w14:textId="78FD66BD" w:rsidR="00CA5021" w:rsidRPr="0038456B" w:rsidRDefault="0035533D" w:rsidP="00CA5021">
            <w:pPr>
              <w:spacing w:before="0" w:after="0"/>
              <w:rPr>
                <w:sz w:val="20"/>
                <w:szCs w:val="20"/>
              </w:rPr>
            </w:pPr>
            <w:r w:rsidRPr="0038456B">
              <w:rPr>
                <w:sz w:val="20"/>
                <w:szCs w:val="20"/>
              </w:rPr>
              <w:t>Evidence of women and girls, and those with disabilities, are participating in planning processes in support of improved access to water and sanitation services</w:t>
            </w:r>
          </w:p>
        </w:tc>
        <w:tc>
          <w:tcPr>
            <w:tcW w:w="6146" w:type="dxa"/>
          </w:tcPr>
          <w:p w14:paraId="71F5FF79" w14:textId="6C7CC27B" w:rsidR="00A625F9" w:rsidRPr="0038456B" w:rsidRDefault="00A625F9" w:rsidP="00C36AA9">
            <w:pPr>
              <w:spacing w:before="0" w:after="0"/>
              <w:rPr>
                <w:sz w:val="20"/>
                <w:szCs w:val="20"/>
              </w:rPr>
            </w:pPr>
            <w:r w:rsidRPr="0038456B">
              <w:rPr>
                <w:sz w:val="20"/>
                <w:szCs w:val="20"/>
              </w:rPr>
              <w:t>The Water for Women program supported</w:t>
            </w:r>
            <w:r w:rsidR="00B7214E" w:rsidRPr="0038456B">
              <w:rPr>
                <w:sz w:val="20"/>
                <w:szCs w:val="20"/>
              </w:rPr>
              <w:t xml:space="preserve"> projects in Bangladesh, Bhutan, India, </w:t>
            </w:r>
            <w:r w:rsidR="00F01A78" w:rsidRPr="0038456B">
              <w:rPr>
                <w:sz w:val="20"/>
                <w:szCs w:val="20"/>
              </w:rPr>
              <w:t>Nepal,</w:t>
            </w:r>
            <w:r w:rsidR="00B7214E" w:rsidRPr="0038456B">
              <w:rPr>
                <w:sz w:val="20"/>
                <w:szCs w:val="20"/>
              </w:rPr>
              <w:t xml:space="preserve"> and Pakistan</w:t>
            </w:r>
            <w:r w:rsidR="00A33672" w:rsidRPr="0038456B">
              <w:rPr>
                <w:sz w:val="20"/>
                <w:szCs w:val="20"/>
              </w:rPr>
              <w:t xml:space="preserve">, providing </w:t>
            </w:r>
            <w:r w:rsidR="00B7214E" w:rsidRPr="0038456B">
              <w:rPr>
                <w:sz w:val="20"/>
                <w:szCs w:val="20"/>
              </w:rPr>
              <w:t xml:space="preserve">access to water, </w:t>
            </w:r>
            <w:proofErr w:type="gramStart"/>
            <w:r w:rsidR="00B7214E" w:rsidRPr="0038456B">
              <w:rPr>
                <w:sz w:val="20"/>
                <w:szCs w:val="20"/>
              </w:rPr>
              <w:t>sanitation</w:t>
            </w:r>
            <w:proofErr w:type="gramEnd"/>
            <w:r w:rsidR="00B7214E" w:rsidRPr="0038456B">
              <w:rPr>
                <w:sz w:val="20"/>
                <w:szCs w:val="20"/>
              </w:rPr>
              <w:t xml:space="preserve"> and hygiene services to 532,821 people in 2021.</w:t>
            </w:r>
          </w:p>
        </w:tc>
      </w:tr>
      <w:tr w:rsidR="00CA5021" w14:paraId="5DF0BAD4" w14:textId="77777777" w:rsidTr="007A4493">
        <w:trPr>
          <w:tblHeader/>
        </w:trPr>
        <w:tc>
          <w:tcPr>
            <w:tcW w:w="4390" w:type="dxa"/>
          </w:tcPr>
          <w:p w14:paraId="28B74F83" w14:textId="77777777" w:rsidR="00A625F9" w:rsidRPr="0038456B" w:rsidRDefault="00A625F9" w:rsidP="00A625F9">
            <w:pPr>
              <w:spacing w:before="0" w:after="0"/>
              <w:rPr>
                <w:sz w:val="20"/>
                <w:szCs w:val="20"/>
              </w:rPr>
            </w:pPr>
            <w:r w:rsidRPr="0038456B">
              <w:rPr>
                <w:sz w:val="20"/>
                <w:szCs w:val="20"/>
              </w:rPr>
              <w:t>New or improved social protection programs</w:t>
            </w:r>
          </w:p>
          <w:p w14:paraId="476782F7" w14:textId="4767CA34" w:rsidR="00CA5021" w:rsidRPr="0038456B" w:rsidRDefault="00CA5021" w:rsidP="00CA5021">
            <w:pPr>
              <w:spacing w:before="0" w:after="0"/>
              <w:rPr>
                <w:sz w:val="20"/>
                <w:szCs w:val="20"/>
              </w:rPr>
            </w:pPr>
          </w:p>
        </w:tc>
        <w:tc>
          <w:tcPr>
            <w:tcW w:w="6146" w:type="dxa"/>
          </w:tcPr>
          <w:p w14:paraId="69182282" w14:textId="5FC06114" w:rsidR="00051176" w:rsidRPr="0038456B" w:rsidRDefault="00463D1A" w:rsidP="00C36AA9">
            <w:pPr>
              <w:spacing w:before="0" w:after="0"/>
              <w:rPr>
                <w:sz w:val="20"/>
                <w:szCs w:val="20"/>
              </w:rPr>
            </w:pPr>
            <w:r w:rsidRPr="0038456B">
              <w:rPr>
                <w:sz w:val="20"/>
                <w:szCs w:val="20"/>
              </w:rPr>
              <w:t>The South Asia Regional Trade Facilitation Program</w:t>
            </w:r>
            <w:r w:rsidRPr="00B424B6">
              <w:t xml:space="preserve"> </w:t>
            </w:r>
            <w:r w:rsidR="00F01A78" w:rsidRPr="0038456B">
              <w:rPr>
                <w:sz w:val="20"/>
                <w:szCs w:val="20"/>
              </w:rPr>
              <w:t xml:space="preserve">supported Bangladesh and Nepal </w:t>
            </w:r>
            <w:r w:rsidR="00C36AA9" w:rsidRPr="0038456B">
              <w:rPr>
                <w:sz w:val="20"/>
                <w:szCs w:val="20"/>
              </w:rPr>
              <w:t xml:space="preserve">to </w:t>
            </w:r>
            <w:r w:rsidR="00F01A78" w:rsidRPr="0038456B">
              <w:rPr>
                <w:sz w:val="20"/>
                <w:szCs w:val="20"/>
              </w:rPr>
              <w:t>reintegrat</w:t>
            </w:r>
            <w:r w:rsidR="009E0766" w:rsidRPr="0038456B">
              <w:rPr>
                <w:sz w:val="20"/>
                <w:szCs w:val="20"/>
              </w:rPr>
              <w:t>e</w:t>
            </w:r>
            <w:r w:rsidR="00F01A78" w:rsidRPr="0038456B">
              <w:rPr>
                <w:sz w:val="20"/>
                <w:szCs w:val="20"/>
              </w:rPr>
              <w:t xml:space="preserve"> returned </w:t>
            </w:r>
            <w:r w:rsidR="009E0766" w:rsidRPr="0038456B">
              <w:rPr>
                <w:sz w:val="20"/>
                <w:szCs w:val="20"/>
              </w:rPr>
              <w:t>overseas</w:t>
            </w:r>
            <w:r w:rsidR="00F01A78" w:rsidRPr="0038456B">
              <w:rPr>
                <w:sz w:val="20"/>
                <w:szCs w:val="20"/>
              </w:rPr>
              <w:t xml:space="preserve"> workers</w:t>
            </w:r>
            <w:r w:rsidR="00295B17" w:rsidRPr="0038456B">
              <w:rPr>
                <w:sz w:val="20"/>
                <w:szCs w:val="20"/>
              </w:rPr>
              <w:t xml:space="preserve"> and address </w:t>
            </w:r>
            <w:r w:rsidR="00F01A78" w:rsidRPr="0038456B">
              <w:rPr>
                <w:sz w:val="20"/>
                <w:szCs w:val="20"/>
              </w:rPr>
              <w:t>debt burden caused by return</w:t>
            </w:r>
            <w:r w:rsidR="00A33672" w:rsidRPr="0038456B">
              <w:rPr>
                <w:sz w:val="20"/>
                <w:szCs w:val="20"/>
              </w:rPr>
              <w:t>;</w:t>
            </w:r>
            <w:r w:rsidR="00F01A78" w:rsidRPr="0038456B">
              <w:rPr>
                <w:sz w:val="20"/>
                <w:szCs w:val="20"/>
              </w:rPr>
              <w:t xml:space="preserve"> the design of new government programs</w:t>
            </w:r>
            <w:r w:rsidR="00A33672" w:rsidRPr="0038456B">
              <w:rPr>
                <w:sz w:val="20"/>
                <w:szCs w:val="20"/>
              </w:rPr>
              <w:t>;</w:t>
            </w:r>
            <w:r w:rsidR="00F01A78" w:rsidRPr="0038456B">
              <w:rPr>
                <w:sz w:val="20"/>
                <w:szCs w:val="20"/>
              </w:rPr>
              <w:t xml:space="preserve"> and facilitated knowledge exchange on social protection</w:t>
            </w:r>
            <w:r w:rsidR="007636D8" w:rsidRPr="0038456B">
              <w:rPr>
                <w:sz w:val="20"/>
                <w:szCs w:val="20"/>
              </w:rPr>
              <w:t xml:space="preserve"> to support immediate needs and employability</w:t>
            </w:r>
            <w:r w:rsidR="00F01A78" w:rsidRPr="0038456B">
              <w:rPr>
                <w:sz w:val="20"/>
                <w:szCs w:val="20"/>
              </w:rPr>
              <w:t xml:space="preserve">. </w:t>
            </w:r>
            <w:r w:rsidR="009E0766" w:rsidRPr="0038456B">
              <w:rPr>
                <w:sz w:val="20"/>
                <w:szCs w:val="20"/>
              </w:rPr>
              <w:t>It</w:t>
            </w:r>
            <w:r w:rsidR="00F01A78" w:rsidRPr="0038456B">
              <w:rPr>
                <w:sz w:val="20"/>
                <w:szCs w:val="20"/>
              </w:rPr>
              <w:t xml:space="preserve"> prepared two technical notes </w:t>
            </w:r>
            <w:r w:rsidR="009E0766" w:rsidRPr="0038456B">
              <w:rPr>
                <w:sz w:val="20"/>
                <w:szCs w:val="20"/>
              </w:rPr>
              <w:t xml:space="preserve">on </w:t>
            </w:r>
            <w:r w:rsidR="00F01A78" w:rsidRPr="0038456B">
              <w:rPr>
                <w:sz w:val="20"/>
                <w:szCs w:val="20"/>
              </w:rPr>
              <w:t>the service delivery chain of implementation plans of the World Bank COVID-</w:t>
            </w:r>
            <w:r w:rsidR="00C36AA9" w:rsidRPr="0038456B">
              <w:rPr>
                <w:sz w:val="20"/>
                <w:szCs w:val="20"/>
              </w:rPr>
              <w:t>19-</w:t>
            </w:r>
            <w:r w:rsidR="00F01A78" w:rsidRPr="0038456B">
              <w:rPr>
                <w:sz w:val="20"/>
                <w:szCs w:val="20"/>
              </w:rPr>
              <w:t>recovery lending operation in Bangladesh</w:t>
            </w:r>
            <w:r w:rsidR="00A33672" w:rsidRPr="0038456B">
              <w:rPr>
                <w:sz w:val="20"/>
                <w:szCs w:val="20"/>
              </w:rPr>
              <w:t>.</w:t>
            </w:r>
            <w:r w:rsidR="00F01A78" w:rsidRPr="0038456B">
              <w:rPr>
                <w:sz w:val="20"/>
                <w:szCs w:val="20"/>
              </w:rPr>
              <w:t xml:space="preserve">  </w:t>
            </w:r>
          </w:p>
        </w:tc>
      </w:tr>
      <w:tr w:rsidR="00CA5021" w14:paraId="7E704FEB" w14:textId="77777777" w:rsidTr="007A4493">
        <w:trPr>
          <w:tblHeader/>
        </w:trPr>
        <w:tc>
          <w:tcPr>
            <w:tcW w:w="4390" w:type="dxa"/>
          </w:tcPr>
          <w:p w14:paraId="1CC2F0CD" w14:textId="46192E0B" w:rsidR="00A625F9" w:rsidRPr="0038456B" w:rsidRDefault="00A625F9" w:rsidP="00CA5021">
            <w:pPr>
              <w:spacing w:before="0" w:after="0"/>
              <w:rPr>
                <w:sz w:val="20"/>
                <w:szCs w:val="20"/>
              </w:rPr>
            </w:pPr>
            <w:r w:rsidRPr="0038456B">
              <w:rPr>
                <w:sz w:val="20"/>
                <w:szCs w:val="20"/>
              </w:rPr>
              <w:t>Improved urban water resource governance at the community level for four communities</w:t>
            </w:r>
          </w:p>
        </w:tc>
        <w:tc>
          <w:tcPr>
            <w:tcW w:w="6146" w:type="dxa"/>
          </w:tcPr>
          <w:p w14:paraId="7D9CAB9B" w14:textId="62336531" w:rsidR="00CA5021" w:rsidRPr="0038456B" w:rsidRDefault="00051176" w:rsidP="00C36AA9">
            <w:pPr>
              <w:spacing w:before="0" w:after="0"/>
              <w:rPr>
                <w:sz w:val="20"/>
                <w:szCs w:val="20"/>
              </w:rPr>
            </w:pPr>
            <w:r w:rsidRPr="0038456B">
              <w:rPr>
                <w:sz w:val="20"/>
                <w:szCs w:val="20"/>
              </w:rPr>
              <w:t xml:space="preserve">The SAWASI </w:t>
            </w:r>
            <w:r w:rsidR="00C56A5C" w:rsidRPr="0038456B">
              <w:rPr>
                <w:sz w:val="20"/>
                <w:szCs w:val="20"/>
              </w:rPr>
              <w:t xml:space="preserve">engagement with the four </w:t>
            </w:r>
            <w:r w:rsidR="00A35989" w:rsidRPr="0038456B">
              <w:rPr>
                <w:sz w:val="20"/>
                <w:szCs w:val="20"/>
              </w:rPr>
              <w:t>communities has</w:t>
            </w:r>
            <w:r w:rsidR="00C56A5C" w:rsidRPr="0038456B">
              <w:rPr>
                <w:sz w:val="20"/>
                <w:szCs w:val="20"/>
              </w:rPr>
              <w:t xml:space="preserve"> progressed </w:t>
            </w:r>
            <w:r w:rsidR="00A35989" w:rsidRPr="0038456B">
              <w:rPr>
                <w:sz w:val="20"/>
                <w:szCs w:val="20"/>
              </w:rPr>
              <w:t xml:space="preserve">well </w:t>
            </w:r>
            <w:r w:rsidR="00C56A5C" w:rsidRPr="0038456B">
              <w:rPr>
                <w:sz w:val="20"/>
                <w:szCs w:val="20"/>
              </w:rPr>
              <w:t xml:space="preserve">in Pakistan and more slowly in India </w:t>
            </w:r>
            <w:r w:rsidR="00A35989" w:rsidRPr="0038456B">
              <w:rPr>
                <w:sz w:val="20"/>
                <w:szCs w:val="20"/>
              </w:rPr>
              <w:t xml:space="preserve">in a year complicated by </w:t>
            </w:r>
            <w:r w:rsidR="00C56A5C" w:rsidRPr="0038456B">
              <w:rPr>
                <w:sz w:val="20"/>
                <w:szCs w:val="20"/>
              </w:rPr>
              <w:t>COVID</w:t>
            </w:r>
            <w:r w:rsidR="00A35989" w:rsidRPr="0038456B">
              <w:rPr>
                <w:sz w:val="20"/>
                <w:szCs w:val="20"/>
              </w:rPr>
              <w:t>-</w:t>
            </w:r>
            <w:r w:rsidR="00C56A5C" w:rsidRPr="0038456B">
              <w:rPr>
                <w:sz w:val="20"/>
                <w:szCs w:val="20"/>
              </w:rPr>
              <w:t>19 relate</w:t>
            </w:r>
            <w:r w:rsidR="00C36AA9" w:rsidRPr="0038456B">
              <w:rPr>
                <w:sz w:val="20"/>
                <w:szCs w:val="20"/>
              </w:rPr>
              <w:t>d</w:t>
            </w:r>
            <w:r w:rsidR="00C56A5C" w:rsidRPr="0038456B">
              <w:rPr>
                <w:sz w:val="20"/>
                <w:szCs w:val="20"/>
              </w:rPr>
              <w:t xml:space="preserve"> delays, and slower partner government engagement in India</w:t>
            </w:r>
            <w:r w:rsidR="00C36AA9" w:rsidRPr="0038456B">
              <w:rPr>
                <w:sz w:val="20"/>
                <w:szCs w:val="20"/>
              </w:rPr>
              <w:t>.</w:t>
            </w:r>
            <w:r w:rsidR="00A35989" w:rsidRPr="0038456B">
              <w:rPr>
                <w:sz w:val="20"/>
                <w:szCs w:val="20"/>
              </w:rPr>
              <w:t xml:space="preserve"> </w:t>
            </w:r>
            <w:r w:rsidR="00C36AA9" w:rsidRPr="0038456B">
              <w:rPr>
                <w:sz w:val="20"/>
                <w:szCs w:val="20"/>
              </w:rPr>
              <w:t>H</w:t>
            </w:r>
            <w:r w:rsidR="00A35989" w:rsidRPr="0038456B">
              <w:rPr>
                <w:sz w:val="20"/>
                <w:szCs w:val="20"/>
              </w:rPr>
              <w:t>owever</w:t>
            </w:r>
            <w:r w:rsidR="00C36AA9" w:rsidRPr="0038456B">
              <w:rPr>
                <w:sz w:val="20"/>
                <w:szCs w:val="20"/>
              </w:rPr>
              <w:t>,</w:t>
            </w:r>
            <w:r w:rsidR="00A35989" w:rsidRPr="0038456B">
              <w:rPr>
                <w:sz w:val="20"/>
                <w:szCs w:val="20"/>
              </w:rPr>
              <w:t xml:space="preserve"> necessary arrangements were in place by the end of the review year.</w:t>
            </w:r>
          </w:p>
        </w:tc>
      </w:tr>
    </w:tbl>
    <w:p w14:paraId="5B4D2264" w14:textId="77777777" w:rsidR="00152CBF" w:rsidRDefault="00152CBF">
      <w:pPr>
        <w:suppressAutoHyphens w:val="0"/>
        <w:spacing w:before="0" w:after="120" w:line="440" w:lineRule="atLeast"/>
        <w:rPr>
          <w:rFonts w:eastAsiaTheme="majorEastAsia" w:cstheme="minorHAnsi"/>
          <w:b/>
          <w:bCs/>
          <w:iCs/>
        </w:rPr>
      </w:pPr>
      <w:r>
        <w:br w:type="page"/>
      </w:r>
    </w:p>
    <w:p w14:paraId="3F2619AB" w14:textId="2812261E" w:rsidR="00AE2B7B" w:rsidRPr="00AE2B7B" w:rsidRDefault="00AE2B7B" w:rsidP="00B42D44">
      <w:pPr>
        <w:pStyle w:val="Heading3"/>
      </w:pPr>
      <w:r w:rsidRPr="00AE2B7B">
        <w:lastRenderedPageBreak/>
        <w:t>Economic Recovery</w:t>
      </w:r>
    </w:p>
    <w:tbl>
      <w:tblPr>
        <w:tblStyle w:val="TableGrid"/>
        <w:tblW w:w="0" w:type="auto"/>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CellMar>
          <w:top w:w="85" w:type="dxa"/>
          <w:left w:w="57" w:type="dxa"/>
          <w:bottom w:w="57" w:type="dxa"/>
          <w:right w:w="57" w:type="dxa"/>
        </w:tblCellMar>
        <w:tblLook w:val="04A0" w:firstRow="1" w:lastRow="0" w:firstColumn="1" w:lastColumn="0" w:noHBand="0" w:noVBand="1"/>
        <w:tblCaption w:val="Progress against performance indicators"/>
        <w:tblDescription w:val="This table shows the progress made against key indicators for economic recovery"/>
      </w:tblPr>
      <w:tblGrid>
        <w:gridCol w:w="4390"/>
        <w:gridCol w:w="6146"/>
      </w:tblGrid>
      <w:tr w:rsidR="00CA5021" w14:paraId="6541DEB5" w14:textId="77777777" w:rsidTr="001B0C64">
        <w:tc>
          <w:tcPr>
            <w:tcW w:w="4390" w:type="dxa"/>
            <w:shd w:val="clear" w:color="auto" w:fill="A2DCD1" w:themeFill="accent1" w:themeFillTint="99"/>
            <w:vAlign w:val="bottom"/>
          </w:tcPr>
          <w:p w14:paraId="7B68B645" w14:textId="39A83BEA" w:rsidR="00CA5021" w:rsidRPr="005736BB" w:rsidRDefault="00A96364" w:rsidP="00CA5021">
            <w:pPr>
              <w:widowControl w:val="0"/>
              <w:spacing w:before="0" w:after="0" w:line="240" w:lineRule="auto"/>
              <w:jc w:val="center"/>
              <w:rPr>
                <w:sz w:val="20"/>
                <w:szCs w:val="20"/>
              </w:rPr>
            </w:pPr>
            <w:bookmarkStart w:id="9" w:name="_Hlk115270182"/>
            <w:r w:rsidRPr="005736BB">
              <w:rPr>
                <w:b/>
                <w:sz w:val="20"/>
                <w:szCs w:val="20"/>
              </w:rPr>
              <w:t xml:space="preserve">Key Results </w:t>
            </w:r>
            <w:r w:rsidR="00CA5021" w:rsidRPr="005736BB">
              <w:rPr>
                <w:b/>
                <w:sz w:val="20"/>
                <w:szCs w:val="20"/>
              </w:rPr>
              <w:t>Indicator</w:t>
            </w:r>
            <w:r w:rsidRPr="005736BB">
              <w:rPr>
                <w:b/>
                <w:sz w:val="20"/>
                <w:szCs w:val="20"/>
              </w:rPr>
              <w:t>s</w:t>
            </w:r>
          </w:p>
        </w:tc>
        <w:tc>
          <w:tcPr>
            <w:tcW w:w="6146" w:type="dxa"/>
            <w:shd w:val="clear" w:color="auto" w:fill="A2DCD1" w:themeFill="accent1" w:themeFillTint="99"/>
            <w:vAlign w:val="bottom"/>
          </w:tcPr>
          <w:p w14:paraId="7B256934" w14:textId="69DE6F90" w:rsidR="00CA5021" w:rsidRPr="005736BB" w:rsidRDefault="00AD19F7" w:rsidP="00CA5021">
            <w:pPr>
              <w:widowControl w:val="0"/>
              <w:spacing w:before="0" w:after="0" w:line="240" w:lineRule="auto"/>
              <w:jc w:val="center"/>
              <w:rPr>
                <w:sz w:val="20"/>
                <w:szCs w:val="20"/>
              </w:rPr>
            </w:pPr>
            <w:r w:rsidRPr="005736BB">
              <w:rPr>
                <w:b/>
                <w:sz w:val="20"/>
                <w:szCs w:val="20"/>
              </w:rPr>
              <w:t>Progress/Result</w:t>
            </w:r>
          </w:p>
        </w:tc>
      </w:tr>
      <w:tr w:rsidR="00CA5021" w14:paraId="564E6F58" w14:textId="77777777" w:rsidTr="007A4493">
        <w:trPr>
          <w:tblHeader/>
        </w:trPr>
        <w:tc>
          <w:tcPr>
            <w:tcW w:w="4390" w:type="dxa"/>
          </w:tcPr>
          <w:p w14:paraId="234C1CE4" w14:textId="177E315A" w:rsidR="00CA5021" w:rsidRPr="0038456B" w:rsidRDefault="0035533D" w:rsidP="00CA5021">
            <w:pPr>
              <w:spacing w:before="0" w:after="0"/>
              <w:rPr>
                <w:sz w:val="20"/>
                <w:szCs w:val="20"/>
              </w:rPr>
            </w:pPr>
            <w:r w:rsidRPr="0038456B">
              <w:rPr>
                <w:sz w:val="20"/>
                <w:szCs w:val="20"/>
              </w:rPr>
              <w:t>Increased projects reported by IFC and WB approved for financing that enhance low carbon and climate resilience energy and transport infrastructure</w:t>
            </w:r>
          </w:p>
        </w:tc>
        <w:tc>
          <w:tcPr>
            <w:tcW w:w="6146" w:type="dxa"/>
          </w:tcPr>
          <w:p w14:paraId="5A50515E" w14:textId="72593712" w:rsidR="00CA5021" w:rsidRPr="0038456B" w:rsidRDefault="009F0096" w:rsidP="00CA5021">
            <w:pPr>
              <w:spacing w:before="0" w:after="0"/>
              <w:ind w:left="97"/>
              <w:rPr>
                <w:sz w:val="20"/>
                <w:szCs w:val="20"/>
              </w:rPr>
            </w:pPr>
            <w:r w:rsidRPr="0038456B">
              <w:rPr>
                <w:sz w:val="20"/>
                <w:szCs w:val="20"/>
              </w:rPr>
              <w:t xml:space="preserve">The South Asia Regional Infrastructure Connectivity (SARIC) </w:t>
            </w:r>
            <w:r w:rsidR="0035533D" w:rsidRPr="0038456B">
              <w:rPr>
                <w:sz w:val="20"/>
                <w:szCs w:val="20"/>
              </w:rPr>
              <w:t>co</w:t>
            </w:r>
            <w:r w:rsidR="007636D8" w:rsidRPr="0038456B">
              <w:rPr>
                <w:sz w:val="20"/>
                <w:szCs w:val="20"/>
              </w:rPr>
              <w:t>mpleted designs and preparatory arrangements for four</w:t>
            </w:r>
            <w:r w:rsidR="0035533D" w:rsidRPr="0038456B">
              <w:rPr>
                <w:sz w:val="20"/>
                <w:szCs w:val="20"/>
              </w:rPr>
              <w:t xml:space="preserve"> World Bank and IFC projects in </w:t>
            </w:r>
            <w:r w:rsidR="007636D8" w:rsidRPr="0038456B">
              <w:rPr>
                <w:sz w:val="20"/>
                <w:szCs w:val="20"/>
              </w:rPr>
              <w:t xml:space="preserve">India, Nepal, </w:t>
            </w:r>
            <w:proofErr w:type="gramStart"/>
            <w:r w:rsidR="0035533D" w:rsidRPr="0038456B">
              <w:rPr>
                <w:sz w:val="20"/>
                <w:szCs w:val="20"/>
              </w:rPr>
              <w:t>Bhutan</w:t>
            </w:r>
            <w:proofErr w:type="gramEnd"/>
            <w:r w:rsidR="0035533D" w:rsidRPr="0038456B">
              <w:rPr>
                <w:sz w:val="20"/>
                <w:szCs w:val="20"/>
              </w:rPr>
              <w:t xml:space="preserve"> and Bangladesh</w:t>
            </w:r>
            <w:r w:rsidR="007636D8" w:rsidRPr="0038456B">
              <w:rPr>
                <w:sz w:val="20"/>
                <w:szCs w:val="20"/>
              </w:rPr>
              <w:t xml:space="preserve"> with implementation underway </w:t>
            </w:r>
            <w:r w:rsidR="00A33672" w:rsidRPr="0038456B">
              <w:rPr>
                <w:sz w:val="20"/>
                <w:szCs w:val="20"/>
              </w:rPr>
              <w:t xml:space="preserve">for </w:t>
            </w:r>
            <w:r w:rsidR="007636D8" w:rsidRPr="0038456B">
              <w:rPr>
                <w:sz w:val="20"/>
                <w:szCs w:val="20"/>
              </w:rPr>
              <w:t>the Nepal Civil Aviation Project</w:t>
            </w:r>
            <w:r w:rsidR="00352C1E" w:rsidRPr="0038456B">
              <w:rPr>
                <w:sz w:val="20"/>
                <w:szCs w:val="20"/>
              </w:rPr>
              <w:t xml:space="preserve"> (World Bank)</w:t>
            </w:r>
            <w:r w:rsidR="007636D8" w:rsidRPr="0038456B">
              <w:rPr>
                <w:sz w:val="20"/>
                <w:szCs w:val="20"/>
              </w:rPr>
              <w:t xml:space="preserve"> and the Chattogram Port Upgrade Project in Bangladesh</w:t>
            </w:r>
            <w:r w:rsidR="00352C1E" w:rsidRPr="0038456B">
              <w:rPr>
                <w:sz w:val="20"/>
                <w:szCs w:val="20"/>
              </w:rPr>
              <w:t xml:space="preserve"> (IFC), and the Sustainable Hydropower Development Project in Bhutan (World Bank)</w:t>
            </w:r>
            <w:r w:rsidR="007636D8" w:rsidRPr="0038456B">
              <w:rPr>
                <w:sz w:val="20"/>
                <w:szCs w:val="20"/>
              </w:rPr>
              <w:t>.</w:t>
            </w:r>
          </w:p>
        </w:tc>
      </w:tr>
      <w:tr w:rsidR="00CA5021" w14:paraId="1EAE2D66" w14:textId="77777777" w:rsidTr="007A4493">
        <w:trPr>
          <w:tblHeader/>
        </w:trPr>
        <w:tc>
          <w:tcPr>
            <w:tcW w:w="4390" w:type="dxa"/>
          </w:tcPr>
          <w:p w14:paraId="65838CB2" w14:textId="2B485C97" w:rsidR="00CA5021" w:rsidRPr="0038456B" w:rsidRDefault="0035533D" w:rsidP="00CA5021">
            <w:pPr>
              <w:spacing w:before="0" w:after="0"/>
              <w:rPr>
                <w:sz w:val="20"/>
                <w:szCs w:val="20"/>
              </w:rPr>
            </w:pPr>
            <w:r w:rsidRPr="0038456B">
              <w:rPr>
                <w:sz w:val="20"/>
                <w:szCs w:val="20"/>
              </w:rPr>
              <w:t>Value of World Bank linked investment in energy and transport</w:t>
            </w:r>
          </w:p>
        </w:tc>
        <w:tc>
          <w:tcPr>
            <w:tcW w:w="6146" w:type="dxa"/>
          </w:tcPr>
          <w:p w14:paraId="02B96D99" w14:textId="39D22C9C" w:rsidR="00CA5021" w:rsidRPr="0038456B" w:rsidRDefault="0035533D" w:rsidP="00CA5021">
            <w:pPr>
              <w:spacing w:before="0" w:after="0"/>
              <w:ind w:left="97"/>
              <w:rPr>
                <w:sz w:val="20"/>
                <w:szCs w:val="20"/>
              </w:rPr>
            </w:pPr>
            <w:r w:rsidRPr="0038456B">
              <w:rPr>
                <w:sz w:val="20"/>
                <w:szCs w:val="20"/>
              </w:rPr>
              <w:t>SARIC support</w:t>
            </w:r>
            <w:r w:rsidR="00C36AA9" w:rsidRPr="0038456B">
              <w:rPr>
                <w:sz w:val="20"/>
                <w:szCs w:val="20"/>
              </w:rPr>
              <w:t>ed</w:t>
            </w:r>
            <w:r w:rsidRPr="0038456B">
              <w:rPr>
                <w:sz w:val="20"/>
                <w:szCs w:val="20"/>
              </w:rPr>
              <w:t xml:space="preserve"> the preparation of </w:t>
            </w:r>
            <w:r w:rsidR="00A625F9" w:rsidRPr="0038456B">
              <w:rPr>
                <w:sz w:val="20"/>
                <w:szCs w:val="20"/>
              </w:rPr>
              <w:t>infrastructure</w:t>
            </w:r>
            <w:r w:rsidRPr="0038456B">
              <w:rPr>
                <w:sz w:val="20"/>
                <w:szCs w:val="20"/>
              </w:rPr>
              <w:t xml:space="preserve"> pipeline</w:t>
            </w:r>
            <w:r w:rsidR="00A625F9" w:rsidRPr="0038456B">
              <w:rPr>
                <w:sz w:val="20"/>
                <w:szCs w:val="20"/>
              </w:rPr>
              <w:t>s.  Following completion of the SARIC activities, the World Bank intend</w:t>
            </w:r>
            <w:r w:rsidR="00701661" w:rsidRPr="0038456B">
              <w:rPr>
                <w:sz w:val="20"/>
                <w:szCs w:val="20"/>
              </w:rPr>
              <w:t>s</w:t>
            </w:r>
            <w:r w:rsidR="00A625F9" w:rsidRPr="0038456B">
              <w:rPr>
                <w:sz w:val="20"/>
                <w:szCs w:val="20"/>
              </w:rPr>
              <w:t xml:space="preserve"> to </w:t>
            </w:r>
            <w:r w:rsidR="00352C1E" w:rsidRPr="0038456B">
              <w:rPr>
                <w:sz w:val="20"/>
                <w:szCs w:val="20"/>
              </w:rPr>
              <w:t xml:space="preserve">consider </w:t>
            </w:r>
            <w:r w:rsidR="00A625F9" w:rsidRPr="0038456B">
              <w:rPr>
                <w:sz w:val="20"/>
                <w:szCs w:val="20"/>
              </w:rPr>
              <w:t>provid</w:t>
            </w:r>
            <w:r w:rsidR="00352C1E" w:rsidRPr="0038456B">
              <w:rPr>
                <w:sz w:val="20"/>
                <w:szCs w:val="20"/>
              </w:rPr>
              <w:t>ing</w:t>
            </w:r>
            <w:r w:rsidR="00A625F9" w:rsidRPr="0038456B">
              <w:rPr>
                <w:sz w:val="20"/>
                <w:szCs w:val="20"/>
              </w:rPr>
              <w:t xml:space="preserve"> investments to allow host governments to implement these pipelines.  </w:t>
            </w:r>
          </w:p>
        </w:tc>
      </w:tr>
      <w:tr w:rsidR="00CA5021" w14:paraId="4DF45926" w14:textId="77777777" w:rsidTr="007A4493">
        <w:trPr>
          <w:tblHeader/>
        </w:trPr>
        <w:tc>
          <w:tcPr>
            <w:tcW w:w="4390" w:type="dxa"/>
          </w:tcPr>
          <w:p w14:paraId="0B1E2DC4" w14:textId="503DE5BF" w:rsidR="00CA5021" w:rsidRPr="0038456B" w:rsidRDefault="0035533D" w:rsidP="00CA5021">
            <w:pPr>
              <w:spacing w:before="0" w:after="0"/>
              <w:rPr>
                <w:sz w:val="20"/>
                <w:szCs w:val="20"/>
              </w:rPr>
            </w:pPr>
            <w:r w:rsidRPr="0038456B">
              <w:rPr>
                <w:sz w:val="20"/>
                <w:szCs w:val="20"/>
              </w:rPr>
              <w:t>Value of private financing facilitated</w:t>
            </w:r>
          </w:p>
        </w:tc>
        <w:tc>
          <w:tcPr>
            <w:tcW w:w="6146" w:type="dxa"/>
          </w:tcPr>
          <w:p w14:paraId="1FCE71E6" w14:textId="46AA2FC5" w:rsidR="00CA5021" w:rsidRPr="0038456B" w:rsidRDefault="00A625F9" w:rsidP="00CA5021">
            <w:pPr>
              <w:spacing w:before="0" w:after="0"/>
              <w:ind w:left="97"/>
              <w:rPr>
                <w:sz w:val="20"/>
                <w:szCs w:val="20"/>
              </w:rPr>
            </w:pPr>
            <w:r w:rsidRPr="0038456B">
              <w:rPr>
                <w:sz w:val="20"/>
                <w:szCs w:val="20"/>
              </w:rPr>
              <w:t>SARIC support</w:t>
            </w:r>
            <w:r w:rsidR="00C36AA9" w:rsidRPr="0038456B">
              <w:rPr>
                <w:sz w:val="20"/>
                <w:szCs w:val="20"/>
              </w:rPr>
              <w:t>ed</w:t>
            </w:r>
            <w:r w:rsidRPr="0038456B">
              <w:rPr>
                <w:sz w:val="20"/>
                <w:szCs w:val="20"/>
              </w:rPr>
              <w:t xml:space="preserve"> the preparation of infrastructure pipelines.  Following completion of the SARIC activities, the IFC intend</w:t>
            </w:r>
            <w:r w:rsidR="00701661" w:rsidRPr="0038456B">
              <w:rPr>
                <w:sz w:val="20"/>
                <w:szCs w:val="20"/>
              </w:rPr>
              <w:t>s</w:t>
            </w:r>
            <w:r w:rsidRPr="0038456B">
              <w:rPr>
                <w:sz w:val="20"/>
                <w:szCs w:val="20"/>
              </w:rPr>
              <w:t xml:space="preserve"> to facilitate private sector investments to allow companies to participate in the implementation of these pipelines.  </w:t>
            </w:r>
          </w:p>
        </w:tc>
      </w:tr>
      <w:tr w:rsidR="00CA5021" w14:paraId="51A15CF9" w14:textId="77777777" w:rsidTr="007A4493">
        <w:trPr>
          <w:tblHeader/>
        </w:trPr>
        <w:tc>
          <w:tcPr>
            <w:tcW w:w="4390" w:type="dxa"/>
          </w:tcPr>
          <w:p w14:paraId="3C75C9F9" w14:textId="0410A99A" w:rsidR="00CA5021" w:rsidRPr="0038456B" w:rsidRDefault="0035533D" w:rsidP="00CA5021">
            <w:pPr>
              <w:spacing w:before="0" w:after="0"/>
              <w:rPr>
                <w:sz w:val="20"/>
                <w:szCs w:val="20"/>
              </w:rPr>
            </w:pPr>
            <w:r w:rsidRPr="0038456B">
              <w:rPr>
                <w:sz w:val="20"/>
                <w:szCs w:val="20"/>
              </w:rPr>
              <w:t>Projects reported by IFC and WB to be at implementation plan or post-concept stage</w:t>
            </w:r>
          </w:p>
        </w:tc>
        <w:tc>
          <w:tcPr>
            <w:tcW w:w="6146" w:type="dxa"/>
          </w:tcPr>
          <w:p w14:paraId="0DD22350" w14:textId="4691375C" w:rsidR="00CA5021" w:rsidRPr="0038456B" w:rsidRDefault="00A625F9" w:rsidP="00CA5021">
            <w:pPr>
              <w:spacing w:before="0" w:after="0"/>
              <w:ind w:left="97"/>
              <w:rPr>
                <w:sz w:val="20"/>
                <w:szCs w:val="20"/>
              </w:rPr>
            </w:pPr>
            <w:r w:rsidRPr="0038456B">
              <w:rPr>
                <w:sz w:val="20"/>
                <w:szCs w:val="20"/>
              </w:rPr>
              <w:t>SARIC support</w:t>
            </w:r>
            <w:r w:rsidR="00C36AA9" w:rsidRPr="0038456B">
              <w:rPr>
                <w:sz w:val="20"/>
                <w:szCs w:val="20"/>
              </w:rPr>
              <w:t>ed</w:t>
            </w:r>
            <w:r w:rsidRPr="0038456B">
              <w:rPr>
                <w:sz w:val="20"/>
                <w:szCs w:val="20"/>
              </w:rPr>
              <w:t xml:space="preserve"> the preparation of infrastructure pipelines. </w:t>
            </w:r>
            <w:r w:rsidR="007636D8" w:rsidRPr="0038456B">
              <w:rPr>
                <w:sz w:val="20"/>
                <w:szCs w:val="20"/>
              </w:rPr>
              <w:t xml:space="preserve">By the </w:t>
            </w:r>
            <w:r w:rsidR="004B580D" w:rsidRPr="0038456B">
              <w:rPr>
                <w:sz w:val="20"/>
                <w:szCs w:val="20"/>
              </w:rPr>
              <w:t>end</w:t>
            </w:r>
            <w:r w:rsidR="007636D8" w:rsidRPr="0038456B">
              <w:rPr>
                <w:sz w:val="20"/>
                <w:szCs w:val="20"/>
              </w:rPr>
              <w:t xml:space="preserve"> of the reporting period the World Bank had completed </w:t>
            </w:r>
            <w:r w:rsidR="004B580D" w:rsidRPr="0038456B">
              <w:rPr>
                <w:sz w:val="20"/>
                <w:szCs w:val="20"/>
              </w:rPr>
              <w:t>concept</w:t>
            </w:r>
            <w:r w:rsidR="007636D8" w:rsidRPr="0038456B">
              <w:rPr>
                <w:sz w:val="20"/>
                <w:szCs w:val="20"/>
              </w:rPr>
              <w:t xml:space="preserve"> and design for the Nepal Civil Aviation Project and the Bhutan </w:t>
            </w:r>
            <w:r w:rsidR="00352C1E" w:rsidRPr="0038456B">
              <w:rPr>
                <w:sz w:val="20"/>
                <w:szCs w:val="20"/>
              </w:rPr>
              <w:t xml:space="preserve">Sustainable </w:t>
            </w:r>
            <w:r w:rsidR="007636D8" w:rsidRPr="0038456B">
              <w:rPr>
                <w:sz w:val="20"/>
                <w:szCs w:val="20"/>
              </w:rPr>
              <w:t xml:space="preserve">Hydro-Power </w:t>
            </w:r>
            <w:r w:rsidR="00352C1E" w:rsidRPr="0038456B">
              <w:rPr>
                <w:sz w:val="20"/>
                <w:szCs w:val="20"/>
              </w:rPr>
              <w:t xml:space="preserve">Development </w:t>
            </w:r>
            <w:r w:rsidR="007636D8" w:rsidRPr="0038456B">
              <w:rPr>
                <w:sz w:val="20"/>
                <w:szCs w:val="20"/>
              </w:rPr>
              <w:t xml:space="preserve">Project and the IFC had </w:t>
            </w:r>
            <w:r w:rsidR="004B580D" w:rsidRPr="0038456B">
              <w:rPr>
                <w:sz w:val="20"/>
                <w:szCs w:val="20"/>
              </w:rPr>
              <w:t xml:space="preserve">similarly </w:t>
            </w:r>
            <w:r w:rsidR="007636D8" w:rsidRPr="0038456B">
              <w:rPr>
                <w:sz w:val="20"/>
                <w:szCs w:val="20"/>
              </w:rPr>
              <w:t>completed</w:t>
            </w:r>
            <w:r w:rsidR="00295B17" w:rsidRPr="0038456B">
              <w:rPr>
                <w:sz w:val="20"/>
                <w:szCs w:val="20"/>
              </w:rPr>
              <w:t xml:space="preserve"> the early-stage environment and social work on </w:t>
            </w:r>
            <w:r w:rsidR="007636D8" w:rsidRPr="0038456B">
              <w:rPr>
                <w:sz w:val="20"/>
                <w:szCs w:val="20"/>
              </w:rPr>
              <w:t xml:space="preserve">the Chattogram Port Upgrade Project and South Asia Power Project (involving </w:t>
            </w:r>
            <w:r w:rsidR="004B580D" w:rsidRPr="0038456B">
              <w:rPr>
                <w:sz w:val="20"/>
                <w:szCs w:val="20"/>
              </w:rPr>
              <w:t xml:space="preserve">Bangladesh, </w:t>
            </w:r>
            <w:proofErr w:type="gramStart"/>
            <w:r w:rsidR="004B580D" w:rsidRPr="0038456B">
              <w:rPr>
                <w:sz w:val="20"/>
                <w:szCs w:val="20"/>
              </w:rPr>
              <w:t>Nepal</w:t>
            </w:r>
            <w:proofErr w:type="gramEnd"/>
            <w:r w:rsidR="004B580D" w:rsidRPr="0038456B">
              <w:rPr>
                <w:sz w:val="20"/>
                <w:szCs w:val="20"/>
              </w:rPr>
              <w:t xml:space="preserve"> and India).</w:t>
            </w:r>
          </w:p>
        </w:tc>
      </w:tr>
      <w:bookmarkEnd w:id="9"/>
    </w:tbl>
    <w:p w14:paraId="2F13E6BA" w14:textId="77777777" w:rsidR="008A6BB7" w:rsidRDefault="008A6BB7" w:rsidP="0076289C">
      <w:pPr>
        <w:pStyle w:val="Heading2"/>
        <w:sectPr w:rsidR="008A6BB7" w:rsidSect="0038456B">
          <w:headerReference w:type="default" r:id="rId10"/>
          <w:footerReference w:type="default" r:id="rId11"/>
          <w:headerReference w:type="first" r:id="rId12"/>
          <w:pgSz w:w="11906" w:h="16838" w:code="9"/>
          <w:pgMar w:top="1559" w:right="680" w:bottom="1276" w:left="680" w:header="567" w:footer="340" w:gutter="0"/>
          <w:cols w:space="397"/>
          <w:docGrid w:linePitch="360"/>
        </w:sectPr>
      </w:pPr>
    </w:p>
    <w:p w14:paraId="06ABEE3D" w14:textId="62B75A66" w:rsidR="00D1231A" w:rsidRDefault="00121DDD" w:rsidP="0076289C">
      <w:pPr>
        <w:pStyle w:val="Heading2"/>
      </w:pPr>
      <w:r>
        <w:lastRenderedPageBreak/>
        <w:t>Annex 2</w:t>
      </w:r>
      <w:r w:rsidR="00D1231A" w:rsidRPr="00D1231A">
        <w:t xml:space="preserve">: </w:t>
      </w:r>
      <w:r w:rsidR="00D1231A">
        <w:t>I</w:t>
      </w:r>
      <w:r w:rsidR="00D1231A" w:rsidRPr="00D1231A">
        <w:t>nvestment Performance</w:t>
      </w:r>
      <w:r w:rsidR="000F78C9">
        <w:t xml:space="preserve"> ratings</w:t>
      </w:r>
    </w:p>
    <w:tbl>
      <w:tblPr>
        <w:tblStyle w:val="DFATTable1"/>
        <w:tblW w:w="10627" w:type="dxa"/>
        <w:tblBorders>
          <w:top w:val="single" w:sz="4" w:space="0" w:color="65C5B4" w:themeColor="accent1"/>
          <w:left w:val="single" w:sz="4" w:space="0" w:color="65C5B4" w:themeColor="accent1"/>
          <w:bottom w:val="single" w:sz="4" w:space="0" w:color="65C5B4" w:themeColor="accent1"/>
          <w:right w:val="single" w:sz="4" w:space="0" w:color="65C5B4" w:themeColor="accent1"/>
          <w:insideH w:val="single" w:sz="4" w:space="0" w:color="65C5B4" w:themeColor="accent1"/>
          <w:insideV w:val="single" w:sz="4" w:space="0" w:color="65C5B4" w:themeColor="accent1"/>
        </w:tblBorders>
        <w:tblLayout w:type="fixed"/>
        <w:tblLook w:val="04A0" w:firstRow="1" w:lastRow="0" w:firstColumn="1" w:lastColumn="0" w:noHBand="0" w:noVBand="1"/>
        <w:tblCaption w:val="Supporting Investment Performance"/>
        <w:tblDescription w:val="Development Program Investment details, name, duration, budget and performance ratings for 2020 and 2021 for Effectiveness, Efficiency, Gender Equality; Risk and Safeguards "/>
      </w:tblPr>
      <w:tblGrid>
        <w:gridCol w:w="5382"/>
        <w:gridCol w:w="1276"/>
        <w:gridCol w:w="1417"/>
        <w:gridCol w:w="1276"/>
        <w:gridCol w:w="1276"/>
      </w:tblGrid>
      <w:tr w:rsidR="0066537D" w:rsidRPr="00AF18F4" w14:paraId="69FD1E5F" w14:textId="77777777" w:rsidTr="00152CBF">
        <w:trPr>
          <w:cnfStyle w:val="100000000000" w:firstRow="1" w:lastRow="0" w:firstColumn="0" w:lastColumn="0" w:oddVBand="0" w:evenVBand="0" w:oddHBand="0" w:evenHBand="0" w:firstRowFirstColumn="0" w:firstRowLastColumn="0" w:lastRowFirstColumn="0" w:lastRowLastColumn="0"/>
          <w:trHeight w:hRule="exact" w:val="692"/>
          <w:tblHeader/>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tcBorders>
            <w:shd w:val="clear" w:color="auto" w:fill="A2DCD1" w:themeFill="accent1" w:themeFillTint="99"/>
            <w:noWrap/>
            <w:vAlign w:val="center"/>
            <w:hideMark/>
          </w:tcPr>
          <w:p w14:paraId="287BF78E" w14:textId="77777777" w:rsidR="00AC551D" w:rsidRPr="005736BB" w:rsidRDefault="00AC551D" w:rsidP="00AF18F4">
            <w:pPr>
              <w:suppressAutoHyphens w:val="0"/>
              <w:spacing w:before="0" w:after="0" w:line="240" w:lineRule="auto"/>
              <w:jc w:val="center"/>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Investment Details</w:t>
            </w:r>
          </w:p>
        </w:tc>
        <w:tc>
          <w:tcPr>
            <w:tcW w:w="1276" w:type="dxa"/>
            <w:tcBorders>
              <w:top w:val="none" w:sz="0" w:space="0" w:color="auto"/>
            </w:tcBorders>
            <w:shd w:val="clear" w:color="auto" w:fill="A2DCD1" w:themeFill="accent1" w:themeFillTint="99"/>
            <w:noWrap/>
            <w:vAlign w:val="center"/>
            <w:hideMark/>
          </w:tcPr>
          <w:p w14:paraId="36D4C187" w14:textId="77777777" w:rsidR="00AC551D" w:rsidRPr="005736BB"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Year</w:t>
            </w:r>
          </w:p>
        </w:tc>
        <w:tc>
          <w:tcPr>
            <w:tcW w:w="1417" w:type="dxa"/>
            <w:tcBorders>
              <w:top w:val="none" w:sz="0" w:space="0" w:color="auto"/>
            </w:tcBorders>
            <w:shd w:val="clear" w:color="auto" w:fill="A2DCD1" w:themeFill="accent1" w:themeFillTint="99"/>
            <w:noWrap/>
            <w:vAlign w:val="center"/>
            <w:hideMark/>
          </w:tcPr>
          <w:p w14:paraId="1B1121B3"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Effectiveness</w:t>
            </w:r>
          </w:p>
        </w:tc>
        <w:tc>
          <w:tcPr>
            <w:tcW w:w="1276" w:type="dxa"/>
            <w:tcBorders>
              <w:top w:val="none" w:sz="0" w:space="0" w:color="auto"/>
            </w:tcBorders>
            <w:shd w:val="clear" w:color="auto" w:fill="A2DCD1" w:themeFill="accent1" w:themeFillTint="99"/>
            <w:noWrap/>
            <w:vAlign w:val="center"/>
            <w:hideMark/>
          </w:tcPr>
          <w:p w14:paraId="7B4698B4" w14:textId="77777777"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Efficiency</w:t>
            </w:r>
          </w:p>
        </w:tc>
        <w:tc>
          <w:tcPr>
            <w:tcW w:w="1276" w:type="dxa"/>
            <w:tcBorders>
              <w:top w:val="none" w:sz="0" w:space="0" w:color="auto"/>
            </w:tcBorders>
            <w:shd w:val="clear" w:color="auto" w:fill="A2DCD1" w:themeFill="accent1" w:themeFillTint="99"/>
            <w:noWrap/>
            <w:vAlign w:val="center"/>
            <w:hideMark/>
          </w:tcPr>
          <w:p w14:paraId="5E5D38EF" w14:textId="4CC6B5C6" w:rsidR="00AC551D" w:rsidRPr="005736BB" w:rsidRDefault="00AC551D" w:rsidP="00CA5021">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bCs/>
                <w:color w:val="404040"/>
                <w:sz w:val="20"/>
                <w:szCs w:val="20"/>
                <w:lang w:val="en-AU" w:eastAsia="en-AU"/>
              </w:rPr>
            </w:pPr>
            <w:r w:rsidRPr="005736BB">
              <w:rPr>
                <w:rFonts w:asciiTheme="minorHAnsi" w:eastAsia="Times New Roman" w:hAnsiTheme="minorHAnsi" w:cstheme="minorHAnsi"/>
                <w:b/>
                <w:bCs/>
                <w:color w:val="404040"/>
                <w:sz w:val="20"/>
                <w:szCs w:val="20"/>
                <w:lang w:val="en-AU" w:eastAsia="en-AU"/>
              </w:rPr>
              <w:t>Gender Equality</w:t>
            </w:r>
          </w:p>
        </w:tc>
      </w:tr>
      <w:tr w:rsidR="0066537D" w:rsidRPr="00AF18F4" w14:paraId="1867487D"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il"/>
            </w:tcBorders>
            <w:shd w:val="clear" w:color="auto" w:fill="F2F2F2" w:themeFill="background1" w:themeFillShade="F2"/>
            <w:vAlign w:val="center"/>
            <w:hideMark/>
          </w:tcPr>
          <w:p w14:paraId="2E831155" w14:textId="58B2098D" w:rsidR="00AC551D" w:rsidRPr="00CA5021" w:rsidRDefault="00B9155F"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Trade Facilitation and Infrastructure</w:t>
            </w:r>
          </w:p>
        </w:tc>
        <w:tc>
          <w:tcPr>
            <w:tcW w:w="1276" w:type="dxa"/>
            <w:tcBorders>
              <w:top w:val="none" w:sz="0" w:space="0" w:color="auto"/>
              <w:bottom w:val="nil"/>
            </w:tcBorders>
            <w:shd w:val="clear" w:color="auto" w:fill="F2F2F2" w:themeFill="background1" w:themeFillShade="F2"/>
            <w:vAlign w:val="center"/>
            <w:hideMark/>
          </w:tcPr>
          <w:p w14:paraId="753CB627" w14:textId="0949A42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417" w:type="dxa"/>
            <w:tcBorders>
              <w:top w:val="none" w:sz="0" w:space="0" w:color="auto"/>
              <w:bottom w:val="nil"/>
            </w:tcBorders>
            <w:shd w:val="clear" w:color="auto" w:fill="F2F2F2" w:themeFill="background1" w:themeFillShade="F2"/>
            <w:noWrap/>
            <w:vAlign w:val="center"/>
            <w:hideMark/>
          </w:tcPr>
          <w:p w14:paraId="3524F2ED" w14:textId="77777777"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eastAsia="en-AU"/>
              </w:rPr>
              <w:t>4</w:t>
            </w:r>
          </w:p>
        </w:tc>
        <w:tc>
          <w:tcPr>
            <w:tcW w:w="1276" w:type="dxa"/>
            <w:tcBorders>
              <w:top w:val="none" w:sz="0" w:space="0" w:color="auto"/>
              <w:bottom w:val="nil"/>
            </w:tcBorders>
            <w:shd w:val="clear" w:color="auto" w:fill="F2F2F2" w:themeFill="background1" w:themeFillShade="F2"/>
            <w:noWrap/>
            <w:vAlign w:val="center"/>
            <w:hideMark/>
          </w:tcPr>
          <w:p w14:paraId="65883235" w14:textId="51C90266" w:rsidR="00AC551D" w:rsidRPr="00051176"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eastAsia="Times New Roman" w:cstheme="minorHAnsi"/>
                <w:color w:val="000000"/>
                <w:sz w:val="20"/>
                <w:szCs w:val="20"/>
                <w:lang w:eastAsia="en-AU"/>
              </w:rPr>
              <w:t>4</w:t>
            </w:r>
          </w:p>
        </w:tc>
        <w:tc>
          <w:tcPr>
            <w:tcW w:w="1276" w:type="dxa"/>
            <w:tcBorders>
              <w:top w:val="none" w:sz="0" w:space="0" w:color="auto"/>
              <w:bottom w:val="nil"/>
            </w:tcBorders>
            <w:shd w:val="clear" w:color="auto" w:fill="F2F2F2" w:themeFill="background1" w:themeFillShade="F2"/>
            <w:noWrap/>
            <w:vAlign w:val="center"/>
            <w:hideMark/>
          </w:tcPr>
          <w:p w14:paraId="34FAF95D" w14:textId="276DF360" w:rsidR="00AC551D" w:rsidRPr="00051176"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eastAsia="Times New Roman" w:cstheme="minorHAnsi"/>
                <w:color w:val="000000"/>
                <w:sz w:val="20"/>
                <w:szCs w:val="20"/>
                <w:lang w:eastAsia="en-AU"/>
              </w:rPr>
              <w:t>4</w:t>
            </w:r>
          </w:p>
        </w:tc>
      </w:tr>
      <w:tr w:rsidR="0066537D" w:rsidRPr="00AF18F4" w14:paraId="3F9940CA"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il"/>
            </w:tcBorders>
            <w:shd w:val="clear" w:color="auto" w:fill="F2F2F2" w:themeFill="background1" w:themeFillShade="F2"/>
            <w:vAlign w:val="center"/>
            <w:hideMark/>
          </w:tcPr>
          <w:p w14:paraId="4D54A0A0" w14:textId="5E7AD222" w:rsidR="00AC551D" w:rsidRPr="00CA5021" w:rsidRDefault="007178C4"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 xml:space="preserve">uration: </w:t>
            </w:r>
            <w:r w:rsidR="00AC551D" w:rsidRPr="00163DB1">
              <w:rPr>
                <w:rFonts w:asciiTheme="minorHAnsi" w:eastAsia="Times New Roman" w:hAnsiTheme="minorHAnsi" w:cstheme="minorHAnsi"/>
                <w:color w:val="404040"/>
                <w:sz w:val="20"/>
                <w:szCs w:val="20"/>
                <w:lang w:val="en-AU" w:eastAsia="en-AU"/>
              </w:rPr>
              <w:t>20</w:t>
            </w:r>
            <w:r w:rsidR="00B9155F">
              <w:rPr>
                <w:rFonts w:asciiTheme="minorHAnsi" w:eastAsia="Times New Roman" w:hAnsiTheme="minorHAnsi" w:cstheme="minorHAnsi"/>
                <w:color w:val="404040"/>
                <w:sz w:val="20"/>
                <w:szCs w:val="20"/>
                <w:lang w:val="en-AU" w:eastAsia="en-AU"/>
              </w:rPr>
              <w:t>13</w:t>
            </w:r>
            <w:r w:rsidR="00AC551D" w:rsidRPr="00163DB1">
              <w:rPr>
                <w:rFonts w:asciiTheme="minorHAnsi" w:eastAsia="Times New Roman" w:hAnsiTheme="minorHAnsi" w:cstheme="minorHAnsi"/>
                <w:color w:val="404040"/>
                <w:sz w:val="20"/>
                <w:szCs w:val="20"/>
                <w:lang w:val="en-AU" w:eastAsia="en-AU"/>
              </w:rPr>
              <w:t>-</w:t>
            </w:r>
            <w:r w:rsidR="00B9155F" w:rsidRPr="00163DB1">
              <w:rPr>
                <w:rFonts w:asciiTheme="minorHAnsi" w:eastAsia="Times New Roman" w:hAnsiTheme="minorHAnsi" w:cstheme="minorHAnsi"/>
                <w:color w:val="404040"/>
                <w:sz w:val="20"/>
                <w:szCs w:val="20"/>
                <w:lang w:val="en-AU" w:eastAsia="en-AU"/>
              </w:rPr>
              <w:t>2</w:t>
            </w:r>
            <w:r w:rsidR="00B9155F">
              <w:rPr>
                <w:rFonts w:asciiTheme="minorHAnsi" w:eastAsia="Times New Roman" w:hAnsiTheme="minorHAnsi" w:cstheme="minorHAnsi"/>
                <w:color w:val="404040"/>
                <w:sz w:val="20"/>
                <w:szCs w:val="20"/>
                <w:lang w:val="en-AU" w:eastAsia="en-AU"/>
              </w:rPr>
              <w:t>3</w:t>
            </w:r>
            <w:r w:rsidR="00B9155F" w:rsidRPr="00163DB1">
              <w:rPr>
                <w:rFonts w:asciiTheme="minorHAnsi" w:eastAsia="Times New Roman" w:hAnsiTheme="minorHAnsi" w:cstheme="minorHAnsi"/>
                <w:color w:val="404040"/>
                <w:sz w:val="20"/>
                <w:szCs w:val="20"/>
                <w:lang w:val="en-AU" w:eastAsia="en-AU"/>
              </w:rPr>
              <w:t>; Budget</w:t>
            </w:r>
            <w:r w:rsidR="00AC551D" w:rsidRPr="00163DB1">
              <w:rPr>
                <w:rFonts w:asciiTheme="minorHAnsi" w:eastAsia="Times New Roman" w:hAnsiTheme="minorHAnsi" w:cstheme="minorHAnsi"/>
                <w:color w:val="404040"/>
                <w:sz w:val="20"/>
                <w:szCs w:val="20"/>
                <w:lang w:val="en-AU" w:eastAsia="en-AU"/>
              </w:rPr>
              <w:t>: $</w:t>
            </w:r>
            <w:r w:rsidR="00B9155F">
              <w:rPr>
                <w:rFonts w:asciiTheme="minorHAnsi" w:eastAsia="Times New Roman" w:hAnsiTheme="minorHAnsi" w:cstheme="minorHAnsi"/>
                <w:color w:val="404040"/>
                <w:sz w:val="20"/>
                <w:szCs w:val="20"/>
                <w:lang w:val="en-AU" w:eastAsia="en-AU"/>
              </w:rPr>
              <w:t>39.3</w:t>
            </w:r>
            <w:r w:rsidR="00AC551D" w:rsidRPr="00163DB1">
              <w:rPr>
                <w:rFonts w:asciiTheme="minorHAnsi" w:eastAsia="Times New Roman" w:hAnsiTheme="minorHAnsi" w:cstheme="minorHAnsi"/>
                <w:color w:val="404040"/>
                <w:sz w:val="20"/>
                <w:szCs w:val="20"/>
                <w:lang w:val="en-AU" w:eastAsia="en-AU"/>
              </w:rPr>
              <w:t>m</w:t>
            </w:r>
            <w:r w:rsidR="00AC551D" w:rsidRPr="00CA5021">
              <w:rPr>
                <w:rFonts w:asciiTheme="minorHAnsi" w:eastAsia="Times New Roman" w:hAnsiTheme="minorHAnsi" w:cstheme="minorHAnsi"/>
                <w:color w:val="404040"/>
                <w:sz w:val="20"/>
                <w:szCs w:val="20"/>
                <w:lang w:val="en-AU" w:eastAsia="en-AU"/>
              </w:rPr>
              <w:t xml:space="preserve"> </w:t>
            </w:r>
          </w:p>
        </w:tc>
        <w:tc>
          <w:tcPr>
            <w:tcW w:w="1276" w:type="dxa"/>
            <w:tcBorders>
              <w:top w:val="nil"/>
            </w:tcBorders>
            <w:shd w:val="clear" w:color="auto" w:fill="F2F2F2" w:themeFill="background1" w:themeFillShade="F2"/>
            <w:vAlign w:val="center"/>
            <w:hideMark/>
          </w:tcPr>
          <w:p w14:paraId="42A30353" w14:textId="692A36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417" w:type="dxa"/>
            <w:tcBorders>
              <w:top w:val="nil"/>
            </w:tcBorders>
            <w:shd w:val="clear" w:color="auto" w:fill="F2F2F2" w:themeFill="background1" w:themeFillShade="F2"/>
            <w:noWrap/>
            <w:vAlign w:val="center"/>
            <w:hideMark/>
          </w:tcPr>
          <w:p w14:paraId="02C361E5" w14:textId="100D3CDA" w:rsidR="00AC551D" w:rsidRPr="00CA5021" w:rsidRDefault="000D5650"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276" w:type="dxa"/>
            <w:tcBorders>
              <w:top w:val="nil"/>
            </w:tcBorders>
            <w:shd w:val="clear" w:color="auto" w:fill="F2F2F2" w:themeFill="background1" w:themeFillShade="F2"/>
            <w:noWrap/>
            <w:vAlign w:val="center"/>
            <w:hideMark/>
          </w:tcPr>
          <w:p w14:paraId="1C8F4065" w14:textId="28BBF999" w:rsidR="00AC551D" w:rsidRPr="00CA5021" w:rsidRDefault="00B9155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276" w:type="dxa"/>
            <w:tcBorders>
              <w:top w:val="nil"/>
            </w:tcBorders>
            <w:shd w:val="clear" w:color="auto" w:fill="F2F2F2" w:themeFill="background1" w:themeFillShade="F2"/>
            <w:noWrap/>
            <w:vAlign w:val="center"/>
            <w:hideMark/>
          </w:tcPr>
          <w:p w14:paraId="3EA630FF" w14:textId="4E632258" w:rsidR="00AC551D" w:rsidRPr="00CA5021" w:rsidRDefault="00B9155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66537D" w:rsidRPr="00AF18F4" w14:paraId="664415AC"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il"/>
            </w:tcBorders>
            <w:shd w:val="clear" w:color="auto" w:fill="E0F3EF" w:themeFill="accent1" w:themeFillTint="33"/>
            <w:noWrap/>
            <w:vAlign w:val="center"/>
            <w:hideMark/>
          </w:tcPr>
          <w:p w14:paraId="75576776" w14:textId="41253FD6" w:rsidR="00AC551D" w:rsidRPr="00CA5021" w:rsidRDefault="00B9155F"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South Asia Regional Infrastructure Connectivity</w:t>
            </w:r>
          </w:p>
        </w:tc>
        <w:tc>
          <w:tcPr>
            <w:tcW w:w="1276" w:type="dxa"/>
            <w:tcBorders>
              <w:top w:val="none" w:sz="0" w:space="0" w:color="auto"/>
              <w:bottom w:val="nil"/>
            </w:tcBorders>
            <w:shd w:val="clear" w:color="auto" w:fill="E0F3EF" w:themeFill="accent1" w:themeFillTint="33"/>
            <w:vAlign w:val="center"/>
            <w:hideMark/>
          </w:tcPr>
          <w:p w14:paraId="35291127" w14:textId="138100B1"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2</w:t>
            </w:r>
          </w:p>
        </w:tc>
        <w:tc>
          <w:tcPr>
            <w:tcW w:w="1417" w:type="dxa"/>
            <w:tcBorders>
              <w:top w:val="none" w:sz="0" w:space="0" w:color="auto"/>
              <w:bottom w:val="nil"/>
            </w:tcBorders>
            <w:shd w:val="clear" w:color="auto" w:fill="E0F3EF" w:themeFill="accent1" w:themeFillTint="33"/>
            <w:noWrap/>
            <w:vAlign w:val="center"/>
            <w:hideMark/>
          </w:tcPr>
          <w:p w14:paraId="0383E59B" w14:textId="77777777"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eastAsia="en-AU"/>
              </w:rPr>
              <w:t>3</w:t>
            </w:r>
          </w:p>
        </w:tc>
        <w:tc>
          <w:tcPr>
            <w:tcW w:w="1276" w:type="dxa"/>
            <w:tcBorders>
              <w:top w:val="none" w:sz="0" w:space="0" w:color="auto"/>
              <w:bottom w:val="nil"/>
            </w:tcBorders>
            <w:shd w:val="clear" w:color="auto" w:fill="E0F3EF" w:themeFill="accent1" w:themeFillTint="33"/>
            <w:noWrap/>
            <w:vAlign w:val="center"/>
            <w:hideMark/>
          </w:tcPr>
          <w:p w14:paraId="760C1604" w14:textId="401E7F12" w:rsidR="00AC551D" w:rsidRPr="00051176"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eastAsia="Times New Roman" w:cstheme="minorHAnsi"/>
                <w:color w:val="000000"/>
                <w:sz w:val="20"/>
                <w:szCs w:val="20"/>
                <w:lang w:eastAsia="en-AU"/>
              </w:rPr>
              <w:t>3</w:t>
            </w:r>
          </w:p>
        </w:tc>
        <w:tc>
          <w:tcPr>
            <w:tcW w:w="1276" w:type="dxa"/>
            <w:tcBorders>
              <w:top w:val="none" w:sz="0" w:space="0" w:color="auto"/>
              <w:bottom w:val="nil"/>
            </w:tcBorders>
            <w:shd w:val="clear" w:color="auto" w:fill="E0F3EF" w:themeFill="accent1" w:themeFillTint="33"/>
            <w:noWrap/>
            <w:vAlign w:val="center"/>
            <w:hideMark/>
          </w:tcPr>
          <w:p w14:paraId="48B585D3" w14:textId="77777777"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eastAsia="en-AU"/>
              </w:rPr>
              <w:t>3</w:t>
            </w:r>
          </w:p>
        </w:tc>
      </w:tr>
      <w:tr w:rsidR="0066537D" w:rsidRPr="00AF18F4" w14:paraId="5EA4A873"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il"/>
            </w:tcBorders>
            <w:shd w:val="clear" w:color="auto" w:fill="E0F3EF" w:themeFill="accent1" w:themeFillTint="33"/>
            <w:vAlign w:val="center"/>
            <w:hideMark/>
          </w:tcPr>
          <w:p w14:paraId="5D004B83" w14:textId="38A3C982" w:rsidR="00AC551D" w:rsidRPr="00CA5021" w:rsidRDefault="00FC5365" w:rsidP="00AF18F4">
            <w:pPr>
              <w:suppressAutoHyphens w:val="0"/>
              <w:spacing w:before="0" w:after="0" w:line="240" w:lineRule="auto"/>
              <w:ind w:firstLineChars="100" w:firstLine="200"/>
              <w:rPr>
                <w:rFonts w:asciiTheme="minorHAnsi" w:eastAsia="Times New Roman" w:hAnsiTheme="minorHAnsi" w:cstheme="minorHAnsi"/>
                <w:color w:val="404040"/>
                <w:sz w:val="20"/>
                <w:szCs w:val="20"/>
                <w:lang w:val="en-AU" w:eastAsia="en-AU"/>
              </w:rPr>
            </w:pPr>
            <w:r>
              <w:rPr>
                <w:rFonts w:asciiTheme="minorHAnsi" w:eastAsia="Times New Roman" w:hAnsiTheme="minorHAnsi" w:cstheme="minorHAnsi"/>
                <w:color w:val="404040"/>
                <w:sz w:val="20"/>
                <w:szCs w:val="20"/>
                <w:lang w:val="en-AU" w:eastAsia="en-AU"/>
              </w:rPr>
              <w:t>Investment d</w:t>
            </w:r>
            <w:r w:rsidR="00AC551D" w:rsidRPr="00CA5021">
              <w:rPr>
                <w:rFonts w:asciiTheme="minorHAnsi" w:eastAsia="Times New Roman" w:hAnsiTheme="minorHAnsi" w:cstheme="minorHAnsi"/>
                <w:color w:val="404040"/>
                <w:sz w:val="20"/>
                <w:szCs w:val="20"/>
                <w:lang w:val="en-AU" w:eastAsia="en-AU"/>
              </w:rPr>
              <w:t>uration: 201</w:t>
            </w:r>
            <w:r w:rsidR="00B9155F">
              <w:rPr>
                <w:rFonts w:asciiTheme="minorHAnsi" w:eastAsia="Times New Roman" w:hAnsiTheme="minorHAnsi" w:cstheme="minorHAnsi"/>
                <w:color w:val="404040"/>
                <w:sz w:val="20"/>
                <w:szCs w:val="20"/>
                <w:lang w:val="en-AU" w:eastAsia="en-AU"/>
              </w:rPr>
              <w:t>9</w:t>
            </w:r>
            <w:r w:rsidR="00AC551D" w:rsidRPr="00CA5021">
              <w:rPr>
                <w:rFonts w:asciiTheme="minorHAnsi" w:eastAsia="Times New Roman" w:hAnsiTheme="minorHAnsi" w:cstheme="minorHAnsi"/>
                <w:color w:val="404040"/>
                <w:sz w:val="20"/>
                <w:szCs w:val="20"/>
                <w:lang w:val="en-AU" w:eastAsia="en-AU"/>
              </w:rPr>
              <w:t>-</w:t>
            </w:r>
            <w:r w:rsidR="00B9155F" w:rsidRPr="00CA5021">
              <w:rPr>
                <w:rFonts w:asciiTheme="minorHAnsi" w:eastAsia="Times New Roman" w:hAnsiTheme="minorHAnsi" w:cstheme="minorHAnsi"/>
                <w:color w:val="404040"/>
                <w:sz w:val="20"/>
                <w:szCs w:val="20"/>
                <w:lang w:val="en-AU" w:eastAsia="en-AU"/>
              </w:rPr>
              <w:t>2</w:t>
            </w:r>
            <w:r w:rsidR="00B9155F">
              <w:rPr>
                <w:rFonts w:asciiTheme="minorHAnsi" w:eastAsia="Times New Roman" w:hAnsiTheme="minorHAnsi" w:cstheme="minorHAnsi"/>
                <w:color w:val="404040"/>
                <w:sz w:val="20"/>
                <w:szCs w:val="20"/>
                <w:lang w:val="en-AU" w:eastAsia="en-AU"/>
              </w:rPr>
              <w:t>5</w:t>
            </w:r>
            <w:r w:rsidR="00B9155F" w:rsidRPr="00CA5021">
              <w:rPr>
                <w:rFonts w:asciiTheme="minorHAnsi" w:eastAsia="Times New Roman" w:hAnsiTheme="minorHAnsi" w:cstheme="minorHAnsi"/>
                <w:color w:val="404040"/>
                <w:sz w:val="20"/>
                <w:szCs w:val="20"/>
                <w:lang w:val="en-AU" w:eastAsia="en-AU"/>
              </w:rPr>
              <w:t>; Budget</w:t>
            </w:r>
            <w:r w:rsidR="00AC551D" w:rsidRPr="00CA5021">
              <w:rPr>
                <w:rFonts w:asciiTheme="minorHAnsi" w:eastAsia="Times New Roman" w:hAnsiTheme="minorHAnsi" w:cstheme="minorHAnsi"/>
                <w:color w:val="404040"/>
                <w:sz w:val="20"/>
                <w:szCs w:val="20"/>
                <w:lang w:val="en-AU" w:eastAsia="en-AU"/>
              </w:rPr>
              <w:t>: $</w:t>
            </w:r>
            <w:r w:rsidR="00B9155F">
              <w:rPr>
                <w:rFonts w:asciiTheme="minorHAnsi" w:eastAsia="Times New Roman" w:hAnsiTheme="minorHAnsi" w:cstheme="minorHAnsi"/>
                <w:color w:val="404040"/>
                <w:sz w:val="20"/>
                <w:szCs w:val="20"/>
                <w:lang w:val="en-AU" w:eastAsia="en-AU"/>
              </w:rPr>
              <w:t>32.0</w:t>
            </w:r>
            <w:r w:rsidR="00AC551D" w:rsidRPr="00CA5021">
              <w:rPr>
                <w:rFonts w:asciiTheme="minorHAnsi" w:eastAsia="Times New Roman" w:hAnsiTheme="minorHAnsi" w:cstheme="minorHAnsi"/>
                <w:color w:val="404040"/>
                <w:sz w:val="20"/>
                <w:szCs w:val="20"/>
                <w:lang w:val="en-AU" w:eastAsia="en-AU"/>
              </w:rPr>
              <w:t xml:space="preserve">m </w:t>
            </w:r>
          </w:p>
        </w:tc>
        <w:tc>
          <w:tcPr>
            <w:tcW w:w="1276" w:type="dxa"/>
            <w:tcBorders>
              <w:top w:val="nil"/>
            </w:tcBorders>
            <w:shd w:val="clear" w:color="auto" w:fill="E0F3EF" w:themeFill="accent1" w:themeFillTint="33"/>
            <w:vAlign w:val="center"/>
            <w:hideMark/>
          </w:tcPr>
          <w:p w14:paraId="6F5DCD3C" w14:textId="5704385A"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202</w:t>
            </w:r>
            <w:r w:rsidR="00A22CD1">
              <w:rPr>
                <w:rFonts w:asciiTheme="minorHAnsi" w:eastAsia="Times New Roman" w:hAnsiTheme="minorHAnsi" w:cstheme="minorHAnsi"/>
                <w:color w:val="000000"/>
                <w:sz w:val="20"/>
                <w:szCs w:val="20"/>
                <w:lang w:eastAsia="en-AU"/>
              </w:rPr>
              <w:t>1</w:t>
            </w:r>
          </w:p>
        </w:tc>
        <w:tc>
          <w:tcPr>
            <w:tcW w:w="1417" w:type="dxa"/>
            <w:tcBorders>
              <w:top w:val="nil"/>
            </w:tcBorders>
            <w:shd w:val="clear" w:color="auto" w:fill="E0F3EF" w:themeFill="accent1" w:themeFillTint="33"/>
            <w:noWrap/>
            <w:vAlign w:val="center"/>
            <w:hideMark/>
          </w:tcPr>
          <w:p w14:paraId="7C975F2B"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c>
          <w:tcPr>
            <w:tcW w:w="1276" w:type="dxa"/>
            <w:tcBorders>
              <w:top w:val="nil"/>
            </w:tcBorders>
            <w:shd w:val="clear" w:color="auto" w:fill="E0F3EF" w:themeFill="accent1" w:themeFillTint="33"/>
            <w:noWrap/>
            <w:vAlign w:val="center"/>
            <w:hideMark/>
          </w:tcPr>
          <w:p w14:paraId="562AF5DF" w14:textId="625C0CB5" w:rsidR="00AC551D" w:rsidRPr="00CA5021" w:rsidRDefault="00B9155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276" w:type="dxa"/>
            <w:tcBorders>
              <w:top w:val="nil"/>
            </w:tcBorders>
            <w:shd w:val="clear" w:color="auto" w:fill="E0F3EF" w:themeFill="accent1" w:themeFillTint="33"/>
            <w:noWrap/>
            <w:vAlign w:val="center"/>
            <w:hideMark/>
          </w:tcPr>
          <w:p w14:paraId="49275297" w14:textId="20594044" w:rsidR="00AC551D" w:rsidRPr="00CA5021" w:rsidRDefault="00B9155F"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r>
      <w:tr w:rsidR="0066537D" w:rsidRPr="00AF18F4" w14:paraId="7C3C602D"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il"/>
            </w:tcBorders>
            <w:shd w:val="clear" w:color="auto" w:fill="F2F2F2" w:themeFill="background1" w:themeFillShade="F2"/>
            <w:noWrap/>
            <w:vAlign w:val="center"/>
            <w:hideMark/>
          </w:tcPr>
          <w:p w14:paraId="6DDF2B53" w14:textId="199A8A22" w:rsidR="00AC551D" w:rsidRPr="00CA5021" w:rsidRDefault="00B9155F"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Australia Awards in South Asia and Mongolia</w:t>
            </w:r>
          </w:p>
        </w:tc>
        <w:tc>
          <w:tcPr>
            <w:tcW w:w="1276" w:type="dxa"/>
            <w:tcBorders>
              <w:top w:val="none" w:sz="0" w:space="0" w:color="auto"/>
              <w:bottom w:val="nil"/>
            </w:tcBorders>
            <w:shd w:val="clear" w:color="auto" w:fill="F2F2F2" w:themeFill="background1" w:themeFillShade="F2"/>
            <w:vAlign w:val="center"/>
            <w:hideMark/>
          </w:tcPr>
          <w:p w14:paraId="258E1068" w14:textId="57F2BB6C"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417" w:type="dxa"/>
            <w:tcBorders>
              <w:top w:val="none" w:sz="0" w:space="0" w:color="auto"/>
              <w:bottom w:val="nil"/>
            </w:tcBorders>
            <w:shd w:val="clear" w:color="auto" w:fill="F2F2F2" w:themeFill="background1" w:themeFillShade="F2"/>
            <w:noWrap/>
            <w:vAlign w:val="center"/>
            <w:hideMark/>
          </w:tcPr>
          <w:p w14:paraId="561825FE" w14:textId="1DFE3D46" w:rsidR="00AC551D" w:rsidRPr="00CA5021"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276" w:type="dxa"/>
            <w:tcBorders>
              <w:top w:val="none" w:sz="0" w:space="0" w:color="auto"/>
              <w:bottom w:val="nil"/>
            </w:tcBorders>
            <w:shd w:val="clear" w:color="auto" w:fill="F2F2F2" w:themeFill="background1" w:themeFillShade="F2"/>
            <w:noWrap/>
            <w:vAlign w:val="center"/>
            <w:hideMark/>
          </w:tcPr>
          <w:p w14:paraId="777674A9" w14:textId="3D815F00" w:rsidR="00AC551D" w:rsidRPr="00CA5021"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5</w:t>
            </w:r>
          </w:p>
        </w:tc>
        <w:tc>
          <w:tcPr>
            <w:tcW w:w="1276" w:type="dxa"/>
            <w:tcBorders>
              <w:top w:val="none" w:sz="0" w:space="0" w:color="auto"/>
              <w:bottom w:val="nil"/>
            </w:tcBorders>
            <w:shd w:val="clear" w:color="auto" w:fill="F2F2F2" w:themeFill="background1" w:themeFillShade="F2"/>
            <w:noWrap/>
            <w:vAlign w:val="center"/>
            <w:hideMark/>
          </w:tcPr>
          <w:p w14:paraId="16666D1C" w14:textId="77777777"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eastAsia="en-AU"/>
              </w:rPr>
              <w:t>4</w:t>
            </w:r>
          </w:p>
        </w:tc>
      </w:tr>
      <w:tr w:rsidR="0066537D" w:rsidRPr="00AF18F4" w14:paraId="173568D7"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il"/>
            </w:tcBorders>
            <w:shd w:val="clear" w:color="auto" w:fill="F2F2F2" w:themeFill="background1" w:themeFillShade="F2"/>
            <w:vAlign w:val="center"/>
            <w:hideMark/>
          </w:tcPr>
          <w:p w14:paraId="3342A73E" w14:textId="36D319B7" w:rsidR="00AC551D" w:rsidRPr="00051176" w:rsidRDefault="00281CEC" w:rsidP="00AF18F4">
            <w:pPr>
              <w:suppressAutoHyphens w:val="0"/>
              <w:spacing w:before="0" w:after="0" w:line="240" w:lineRule="auto"/>
              <w:ind w:firstLineChars="100" w:firstLine="200"/>
              <w:rPr>
                <w:rFonts w:asciiTheme="minorHAnsi" w:eastAsia="Times New Roman" w:hAnsiTheme="minorHAnsi" w:cstheme="minorHAnsi"/>
                <w:color w:val="404040"/>
                <w:sz w:val="20"/>
                <w:szCs w:val="20"/>
                <w:highlight w:val="yellow"/>
                <w:lang w:val="en-AU" w:eastAsia="en-AU"/>
              </w:rPr>
            </w:pPr>
            <w:r w:rsidRPr="00281CEC">
              <w:rPr>
                <w:rFonts w:asciiTheme="minorHAnsi" w:eastAsia="Times New Roman" w:hAnsiTheme="minorHAnsi" w:cstheme="minorHAnsi"/>
                <w:color w:val="404040"/>
                <w:sz w:val="20"/>
                <w:szCs w:val="20"/>
                <w:lang w:val="en-AU" w:eastAsia="en-AU"/>
              </w:rPr>
              <w:t>Investment duration:2019-28: Budget: $39.4m</w:t>
            </w:r>
          </w:p>
        </w:tc>
        <w:tc>
          <w:tcPr>
            <w:tcW w:w="1276" w:type="dxa"/>
            <w:tcBorders>
              <w:top w:val="nil"/>
            </w:tcBorders>
            <w:shd w:val="clear" w:color="auto" w:fill="F2F2F2" w:themeFill="background1" w:themeFillShade="F2"/>
            <w:vAlign w:val="center"/>
            <w:hideMark/>
          </w:tcPr>
          <w:p w14:paraId="1F16C9F8" w14:textId="160CF933"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val="en-AU" w:eastAsia="en-AU"/>
              </w:rPr>
              <w:t>202</w:t>
            </w:r>
            <w:r w:rsidR="00A22CD1" w:rsidRPr="00051176">
              <w:rPr>
                <w:rFonts w:eastAsia="Times New Roman" w:cstheme="minorHAnsi"/>
                <w:color w:val="000000"/>
                <w:sz w:val="20"/>
                <w:szCs w:val="20"/>
                <w:lang w:val="en-AU" w:eastAsia="en-AU"/>
              </w:rPr>
              <w:t>1</w:t>
            </w:r>
          </w:p>
        </w:tc>
        <w:tc>
          <w:tcPr>
            <w:tcW w:w="1417" w:type="dxa"/>
            <w:tcBorders>
              <w:top w:val="nil"/>
            </w:tcBorders>
            <w:shd w:val="clear" w:color="auto" w:fill="F2F2F2" w:themeFill="background1" w:themeFillShade="F2"/>
            <w:noWrap/>
            <w:vAlign w:val="center"/>
            <w:hideMark/>
          </w:tcPr>
          <w:p w14:paraId="484EFDC5" w14:textId="1514AD64"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eastAsia="en-AU"/>
              </w:rPr>
              <w:t>n/a</w:t>
            </w:r>
          </w:p>
        </w:tc>
        <w:tc>
          <w:tcPr>
            <w:tcW w:w="1276" w:type="dxa"/>
            <w:tcBorders>
              <w:top w:val="nil"/>
            </w:tcBorders>
            <w:shd w:val="clear" w:color="auto" w:fill="F2F2F2" w:themeFill="background1" w:themeFillShade="F2"/>
            <w:noWrap/>
            <w:vAlign w:val="center"/>
            <w:hideMark/>
          </w:tcPr>
          <w:p w14:paraId="196A3DC5" w14:textId="554CA43A"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eastAsia="en-AU"/>
              </w:rPr>
              <w:t>n/a</w:t>
            </w:r>
          </w:p>
        </w:tc>
        <w:tc>
          <w:tcPr>
            <w:tcW w:w="1276" w:type="dxa"/>
            <w:tcBorders>
              <w:top w:val="nil"/>
            </w:tcBorders>
            <w:shd w:val="clear" w:color="auto" w:fill="F2F2F2" w:themeFill="background1" w:themeFillShade="F2"/>
            <w:noWrap/>
            <w:vAlign w:val="center"/>
            <w:hideMark/>
          </w:tcPr>
          <w:p w14:paraId="1BD061D2" w14:textId="77777777"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eastAsia="en-AU"/>
              </w:rPr>
              <w:t>n/a</w:t>
            </w:r>
          </w:p>
        </w:tc>
      </w:tr>
      <w:tr w:rsidR="0066537D" w:rsidRPr="00AF18F4" w14:paraId="433D367E"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il"/>
            </w:tcBorders>
            <w:shd w:val="clear" w:color="auto" w:fill="E0F3EF" w:themeFill="accent1" w:themeFillTint="33"/>
            <w:noWrap/>
            <w:vAlign w:val="center"/>
            <w:hideMark/>
          </w:tcPr>
          <w:p w14:paraId="7703CD34" w14:textId="4D0ED7DF" w:rsidR="00AC551D" w:rsidRPr="00CA5021" w:rsidRDefault="00B9155F" w:rsidP="00AF18F4">
            <w:pPr>
              <w:suppressAutoHyphens w:val="0"/>
              <w:spacing w:before="0" w:after="0" w:line="240" w:lineRule="auto"/>
              <w:rPr>
                <w:rFonts w:asciiTheme="minorHAnsi" w:eastAsia="Times New Roman" w:hAnsiTheme="minorHAnsi" w:cstheme="minorHAnsi"/>
                <w:b/>
                <w:bCs/>
                <w:color w:val="404040"/>
                <w:sz w:val="20"/>
                <w:szCs w:val="20"/>
                <w:lang w:val="en-AU" w:eastAsia="en-AU"/>
              </w:rPr>
            </w:pPr>
            <w:r>
              <w:rPr>
                <w:rFonts w:asciiTheme="minorHAnsi" w:eastAsia="Times New Roman" w:hAnsiTheme="minorHAnsi" w:cstheme="minorHAnsi"/>
                <w:b/>
                <w:bCs/>
                <w:color w:val="404040"/>
                <w:sz w:val="20"/>
                <w:szCs w:val="20"/>
                <w:lang w:eastAsia="en-AU"/>
              </w:rPr>
              <w:t>South Asia Water Security Initiative</w:t>
            </w:r>
          </w:p>
        </w:tc>
        <w:tc>
          <w:tcPr>
            <w:tcW w:w="1276" w:type="dxa"/>
            <w:tcBorders>
              <w:top w:val="none" w:sz="0" w:space="0" w:color="auto"/>
              <w:bottom w:val="nil"/>
            </w:tcBorders>
            <w:shd w:val="clear" w:color="auto" w:fill="E0F3EF" w:themeFill="accent1" w:themeFillTint="33"/>
            <w:vAlign w:val="center"/>
            <w:hideMark/>
          </w:tcPr>
          <w:p w14:paraId="67E44092" w14:textId="0AC0E0A3" w:rsidR="00AC551D" w:rsidRPr="00CA5021"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CA5021">
              <w:rPr>
                <w:rFonts w:asciiTheme="minorHAnsi" w:eastAsia="Times New Roman" w:hAnsiTheme="minorHAnsi" w:cstheme="minorHAnsi"/>
                <w:color w:val="000000"/>
                <w:sz w:val="20"/>
                <w:szCs w:val="20"/>
                <w:lang w:val="en-AU" w:eastAsia="en-AU"/>
              </w:rPr>
              <w:t>202</w:t>
            </w:r>
            <w:r w:rsidR="00A22CD1">
              <w:rPr>
                <w:rFonts w:asciiTheme="minorHAnsi" w:eastAsia="Times New Roman" w:hAnsiTheme="minorHAnsi" w:cstheme="minorHAnsi"/>
                <w:color w:val="000000"/>
                <w:sz w:val="20"/>
                <w:szCs w:val="20"/>
                <w:lang w:val="en-AU" w:eastAsia="en-AU"/>
              </w:rPr>
              <w:t>2</w:t>
            </w:r>
          </w:p>
        </w:tc>
        <w:tc>
          <w:tcPr>
            <w:tcW w:w="1417" w:type="dxa"/>
            <w:tcBorders>
              <w:top w:val="none" w:sz="0" w:space="0" w:color="auto"/>
              <w:bottom w:val="nil"/>
            </w:tcBorders>
            <w:shd w:val="clear" w:color="auto" w:fill="E0F3EF" w:themeFill="accent1" w:themeFillTint="33"/>
            <w:noWrap/>
            <w:vAlign w:val="center"/>
            <w:hideMark/>
          </w:tcPr>
          <w:p w14:paraId="3A8E0478" w14:textId="27266229" w:rsidR="00AC551D" w:rsidRPr="00CA5021"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4</w:t>
            </w:r>
          </w:p>
        </w:tc>
        <w:tc>
          <w:tcPr>
            <w:tcW w:w="1276" w:type="dxa"/>
            <w:tcBorders>
              <w:top w:val="none" w:sz="0" w:space="0" w:color="auto"/>
              <w:bottom w:val="nil"/>
            </w:tcBorders>
            <w:shd w:val="clear" w:color="auto" w:fill="E0F3EF" w:themeFill="accent1" w:themeFillTint="33"/>
            <w:noWrap/>
            <w:vAlign w:val="center"/>
            <w:hideMark/>
          </w:tcPr>
          <w:p w14:paraId="754E4ADA" w14:textId="06908C99" w:rsidR="00AC551D" w:rsidRPr="00CA5021"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c>
          <w:tcPr>
            <w:tcW w:w="1276" w:type="dxa"/>
            <w:tcBorders>
              <w:top w:val="none" w:sz="0" w:space="0" w:color="auto"/>
              <w:bottom w:val="nil"/>
            </w:tcBorders>
            <w:shd w:val="clear" w:color="auto" w:fill="E0F3EF" w:themeFill="accent1" w:themeFillTint="33"/>
            <w:noWrap/>
            <w:vAlign w:val="center"/>
            <w:hideMark/>
          </w:tcPr>
          <w:p w14:paraId="579A968A" w14:textId="726E8AEB" w:rsidR="00AC551D" w:rsidRPr="00CA5021"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asciiTheme="minorHAnsi" w:eastAsia="Times New Roman" w:hAnsiTheme="minorHAnsi" w:cstheme="minorHAnsi"/>
                <w:color w:val="000000"/>
                <w:sz w:val="20"/>
                <w:szCs w:val="20"/>
                <w:lang w:eastAsia="en-AU"/>
              </w:rPr>
              <w:t>3</w:t>
            </w:r>
          </w:p>
        </w:tc>
      </w:tr>
      <w:tr w:rsidR="0066537D" w:rsidRPr="00AF18F4" w14:paraId="2F1DE13E" w14:textId="77777777" w:rsidTr="00B42D44">
        <w:trPr>
          <w:cnfStyle w:val="100000000000" w:firstRow="1" w:lastRow="0" w:firstColumn="0" w:lastColumn="0" w:oddVBand="0" w:evenVBand="0" w:oddHBand="0" w:evenHBand="0" w:firstRowFirstColumn="0" w:firstRowLastColumn="0" w:lastRowFirstColumn="0" w:lastRowLastColumn="0"/>
          <w:trHeight w:hRule="exact" w:val="284"/>
          <w:tblHeader/>
        </w:trPr>
        <w:tc>
          <w:tcPr>
            <w:cnfStyle w:val="001000000000" w:firstRow="0" w:lastRow="0" w:firstColumn="1" w:lastColumn="0" w:oddVBand="0" w:evenVBand="0" w:oddHBand="0" w:evenHBand="0" w:firstRowFirstColumn="0" w:firstRowLastColumn="0" w:lastRowFirstColumn="0" w:lastRowLastColumn="0"/>
            <w:tcW w:w="5382" w:type="dxa"/>
            <w:tcBorders>
              <w:top w:val="nil"/>
              <w:bottom w:val="none" w:sz="0" w:space="0" w:color="auto"/>
            </w:tcBorders>
            <w:shd w:val="clear" w:color="auto" w:fill="E0F3EF" w:themeFill="accent1" w:themeFillTint="33"/>
            <w:vAlign w:val="center"/>
            <w:hideMark/>
          </w:tcPr>
          <w:p w14:paraId="1E605139" w14:textId="01C731AA" w:rsidR="00AC551D" w:rsidRPr="00051176" w:rsidRDefault="00281CEC" w:rsidP="00AF18F4">
            <w:pPr>
              <w:suppressAutoHyphens w:val="0"/>
              <w:spacing w:before="0" w:after="0" w:line="240" w:lineRule="auto"/>
              <w:ind w:firstLineChars="100" w:firstLine="200"/>
              <w:rPr>
                <w:rFonts w:asciiTheme="minorHAnsi" w:eastAsia="Times New Roman" w:hAnsiTheme="minorHAnsi" w:cstheme="minorHAnsi"/>
                <w:color w:val="404040"/>
                <w:sz w:val="20"/>
                <w:szCs w:val="20"/>
                <w:highlight w:val="yellow"/>
                <w:lang w:val="en-AU" w:eastAsia="en-AU"/>
              </w:rPr>
            </w:pPr>
            <w:r w:rsidRPr="00281CEC">
              <w:rPr>
                <w:rFonts w:asciiTheme="minorHAnsi" w:eastAsia="Times New Roman" w:hAnsiTheme="minorHAnsi" w:cstheme="minorHAnsi"/>
                <w:color w:val="404040"/>
                <w:sz w:val="20"/>
                <w:szCs w:val="20"/>
                <w:lang w:val="en-AU" w:eastAsia="en-AU"/>
              </w:rPr>
              <w:t>Investment duration: 2019-25: Budget: $22.0m</w:t>
            </w:r>
          </w:p>
        </w:tc>
        <w:tc>
          <w:tcPr>
            <w:tcW w:w="1276" w:type="dxa"/>
            <w:tcBorders>
              <w:top w:val="nil"/>
              <w:bottom w:val="none" w:sz="0" w:space="0" w:color="auto"/>
            </w:tcBorders>
            <w:shd w:val="clear" w:color="auto" w:fill="E0F3EF" w:themeFill="accent1" w:themeFillTint="33"/>
            <w:vAlign w:val="center"/>
            <w:hideMark/>
          </w:tcPr>
          <w:p w14:paraId="7018BC30" w14:textId="24768F27" w:rsidR="00AC551D" w:rsidRPr="00051176" w:rsidRDefault="00AC551D"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sidRPr="00051176">
              <w:rPr>
                <w:rFonts w:eastAsia="Times New Roman" w:cstheme="minorHAnsi"/>
                <w:color w:val="000000"/>
                <w:sz w:val="20"/>
                <w:szCs w:val="20"/>
                <w:lang w:val="en-AU" w:eastAsia="en-AU"/>
              </w:rPr>
              <w:t>202</w:t>
            </w:r>
            <w:r w:rsidR="00A22CD1" w:rsidRPr="00051176">
              <w:rPr>
                <w:rFonts w:eastAsia="Times New Roman" w:cstheme="minorHAnsi"/>
                <w:color w:val="000000"/>
                <w:sz w:val="20"/>
                <w:szCs w:val="20"/>
                <w:lang w:val="en-AU" w:eastAsia="en-AU"/>
              </w:rPr>
              <w:t>1</w:t>
            </w:r>
          </w:p>
        </w:tc>
        <w:tc>
          <w:tcPr>
            <w:tcW w:w="1417" w:type="dxa"/>
            <w:tcBorders>
              <w:top w:val="nil"/>
              <w:bottom w:val="none" w:sz="0" w:space="0" w:color="auto"/>
            </w:tcBorders>
            <w:shd w:val="clear" w:color="auto" w:fill="E0F3EF" w:themeFill="accent1" w:themeFillTint="33"/>
            <w:noWrap/>
            <w:vAlign w:val="center"/>
            <w:hideMark/>
          </w:tcPr>
          <w:p w14:paraId="7FF87E63" w14:textId="15D44233" w:rsidR="00AC551D" w:rsidRPr="00051176"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eastAsia="Times New Roman" w:cstheme="minorHAnsi"/>
                <w:color w:val="000000"/>
                <w:sz w:val="20"/>
                <w:szCs w:val="20"/>
                <w:lang w:eastAsia="en-AU"/>
              </w:rPr>
              <w:t>n/a</w:t>
            </w:r>
          </w:p>
        </w:tc>
        <w:tc>
          <w:tcPr>
            <w:tcW w:w="1276" w:type="dxa"/>
            <w:tcBorders>
              <w:top w:val="nil"/>
              <w:bottom w:val="none" w:sz="0" w:space="0" w:color="auto"/>
            </w:tcBorders>
            <w:shd w:val="clear" w:color="auto" w:fill="E0F3EF" w:themeFill="accent1" w:themeFillTint="33"/>
            <w:noWrap/>
            <w:vAlign w:val="center"/>
            <w:hideMark/>
          </w:tcPr>
          <w:p w14:paraId="7B158D07" w14:textId="0AFC5681" w:rsidR="00AC551D" w:rsidRPr="00051176"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eastAsia="Times New Roman" w:cstheme="minorHAnsi"/>
                <w:color w:val="000000"/>
                <w:sz w:val="20"/>
                <w:szCs w:val="20"/>
                <w:lang w:eastAsia="en-AU"/>
              </w:rPr>
              <w:t>n/a</w:t>
            </w:r>
          </w:p>
        </w:tc>
        <w:tc>
          <w:tcPr>
            <w:tcW w:w="1276" w:type="dxa"/>
            <w:tcBorders>
              <w:top w:val="nil"/>
              <w:bottom w:val="none" w:sz="0" w:space="0" w:color="auto"/>
            </w:tcBorders>
            <w:shd w:val="clear" w:color="auto" w:fill="E0F3EF" w:themeFill="accent1" w:themeFillTint="33"/>
            <w:noWrap/>
            <w:vAlign w:val="center"/>
            <w:hideMark/>
          </w:tcPr>
          <w:p w14:paraId="04D0497F" w14:textId="0D8F3A47" w:rsidR="00AC551D" w:rsidRPr="00051176" w:rsidRDefault="00281CEC" w:rsidP="00AF18F4">
            <w:pPr>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 w:val="20"/>
                <w:szCs w:val="20"/>
                <w:lang w:val="en-AU" w:eastAsia="en-AU"/>
              </w:rPr>
            </w:pPr>
            <w:r>
              <w:rPr>
                <w:rFonts w:eastAsia="Times New Roman" w:cstheme="minorHAnsi"/>
                <w:color w:val="000000"/>
                <w:sz w:val="20"/>
                <w:szCs w:val="20"/>
                <w:lang w:eastAsia="en-AU"/>
              </w:rPr>
              <w:t>n/a</w:t>
            </w:r>
          </w:p>
        </w:tc>
      </w:tr>
    </w:tbl>
    <w:p w14:paraId="17600418" w14:textId="5EA41F23" w:rsidR="00681633" w:rsidRDefault="00681633" w:rsidP="007A4493">
      <w:pPr>
        <w:spacing w:before="240" w:after="0" w:line="240" w:lineRule="auto"/>
        <w:jc w:val="both"/>
        <w:rPr>
          <w:rFonts w:eastAsia="Times New Roman"/>
          <w:sz w:val="17"/>
          <w:szCs w:val="17"/>
        </w:rPr>
      </w:pPr>
      <w:r w:rsidRPr="00A05FF5">
        <w:rPr>
          <w:rFonts w:eastAsia="Times New Roman"/>
          <w:b/>
          <w:sz w:val="17"/>
          <w:szCs w:val="17"/>
        </w:rPr>
        <w:t>Definitions of rating scale</w:t>
      </w:r>
      <w:r w:rsidRPr="00A05FF5">
        <w:rPr>
          <w:rFonts w:eastAsia="Times New Roman"/>
          <w:sz w:val="17"/>
          <w:szCs w:val="17"/>
        </w:rPr>
        <w:t>:</w:t>
      </w:r>
      <w:r w:rsidRPr="00A05FF5">
        <w:rPr>
          <w:rFonts w:eastAsia="Times New Roman"/>
          <w:sz w:val="17"/>
          <w:szCs w:val="17"/>
        </w:rPr>
        <w:tab/>
      </w:r>
    </w:p>
    <w:p w14:paraId="5989C7B0" w14:textId="77777777" w:rsidR="00681633" w:rsidRPr="00787267" w:rsidRDefault="00681633" w:rsidP="00681633">
      <w:pPr>
        <w:spacing w:before="20" w:after="20" w:line="180" w:lineRule="atLeast"/>
        <w:jc w:val="both"/>
        <w:rPr>
          <w:rFonts w:eastAsia="Times New Roman"/>
          <w:sz w:val="17"/>
          <w:szCs w:val="17"/>
        </w:rPr>
      </w:pPr>
      <w:r w:rsidRPr="00787267">
        <w:rPr>
          <w:rFonts w:eastAsia="Times New Roman"/>
          <w:sz w:val="17"/>
          <w:szCs w:val="17"/>
          <w:u w:val="single"/>
        </w:rPr>
        <w:t>Satisfactory (4, 5 and 6)</w:t>
      </w:r>
    </w:p>
    <w:p w14:paraId="15BE82E8" w14:textId="77777777" w:rsidR="00681633" w:rsidRPr="00787267" w:rsidRDefault="00681633" w:rsidP="00681633">
      <w:pPr>
        <w:spacing w:line="240" w:lineRule="auto"/>
        <w:rPr>
          <w:sz w:val="16"/>
          <w:szCs w:val="16"/>
        </w:rPr>
      </w:pPr>
      <w:r w:rsidRPr="00787267">
        <w:rPr>
          <w:sz w:val="16"/>
          <w:szCs w:val="16"/>
        </w:rPr>
        <w:t xml:space="preserve">6 = Very good; satisfies criteria in all areas. </w:t>
      </w:r>
      <w:r>
        <w:rPr>
          <w:sz w:val="16"/>
          <w:szCs w:val="16"/>
        </w:rPr>
        <w:br/>
      </w:r>
      <w:r w:rsidRPr="00787267">
        <w:rPr>
          <w:sz w:val="16"/>
          <w:szCs w:val="16"/>
        </w:rPr>
        <w:t>5 = Good; satisfies criteria in almost all areas.</w:t>
      </w:r>
      <w:r>
        <w:rPr>
          <w:sz w:val="16"/>
          <w:szCs w:val="16"/>
        </w:rPr>
        <w:br/>
      </w:r>
      <w:r w:rsidRPr="00787267">
        <w:rPr>
          <w:sz w:val="16"/>
          <w:szCs w:val="16"/>
        </w:rPr>
        <w:t>4 = Adequate; on balance, satisfies criteria; does not fail in any major area.</w:t>
      </w:r>
    </w:p>
    <w:p w14:paraId="48B0BB33" w14:textId="77777777" w:rsidR="00681633" w:rsidRPr="00787267" w:rsidRDefault="00681633" w:rsidP="00681633">
      <w:pPr>
        <w:spacing w:line="240" w:lineRule="auto"/>
        <w:rPr>
          <w:sz w:val="16"/>
          <w:szCs w:val="16"/>
          <w:u w:val="single"/>
        </w:rPr>
      </w:pPr>
      <w:r w:rsidRPr="00787267">
        <w:rPr>
          <w:sz w:val="16"/>
          <w:szCs w:val="16"/>
          <w:u w:val="single"/>
        </w:rPr>
        <w:t>Less than satisfactory (1, 2 and 3)</w:t>
      </w:r>
    </w:p>
    <w:p w14:paraId="4DC45723" w14:textId="62D36230" w:rsidR="00681633" w:rsidRDefault="00681633" w:rsidP="008A6BB7">
      <w:pPr>
        <w:spacing w:before="0" w:after="0" w:line="240" w:lineRule="auto"/>
      </w:pPr>
      <w:r w:rsidRPr="00787267">
        <w:rPr>
          <w:sz w:val="16"/>
          <w:szCs w:val="16"/>
        </w:rPr>
        <w:t>3 = Less than adequate; on balance does not satisfy criteria and/or fails in at least one major area.</w:t>
      </w:r>
      <w:r>
        <w:rPr>
          <w:sz w:val="16"/>
          <w:szCs w:val="16"/>
        </w:rPr>
        <w:br/>
      </w:r>
      <w:r w:rsidRPr="00787267">
        <w:rPr>
          <w:sz w:val="16"/>
          <w:szCs w:val="16"/>
        </w:rPr>
        <w:t>2 = Poor; does not sa</w:t>
      </w:r>
      <w:r>
        <w:rPr>
          <w:sz w:val="16"/>
          <w:szCs w:val="16"/>
        </w:rPr>
        <w:t>tisfy criteria in major areas.</w:t>
      </w:r>
      <w:r>
        <w:rPr>
          <w:sz w:val="16"/>
          <w:szCs w:val="16"/>
        </w:rPr>
        <w:br/>
      </w:r>
      <w:r w:rsidRPr="00787267">
        <w:rPr>
          <w:sz w:val="16"/>
          <w:szCs w:val="16"/>
        </w:rPr>
        <w:t xml:space="preserve">1 = Very poor; does not satisfy criteria in many major </w:t>
      </w:r>
      <w:proofErr w:type="gramStart"/>
      <w:r w:rsidRPr="00787267">
        <w:rPr>
          <w:sz w:val="16"/>
          <w:szCs w:val="16"/>
        </w:rPr>
        <w:t>area</w:t>
      </w:r>
      <w:proofErr w:type="gramEnd"/>
      <w:r w:rsidRPr="00A05FF5">
        <w:t>.</w:t>
      </w:r>
      <w:r>
        <w:br/>
      </w:r>
    </w:p>
    <w:sectPr w:rsidR="00681633" w:rsidSect="00363A9F">
      <w:pgSz w:w="11906" w:h="16838" w:code="9"/>
      <w:pgMar w:top="1559" w:right="680" w:bottom="1418" w:left="680" w:header="567" w:footer="567"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9B2FE" w14:textId="77777777" w:rsidR="003C28E2" w:rsidRDefault="003C28E2" w:rsidP="00D37B04">
      <w:r>
        <w:separator/>
      </w:r>
    </w:p>
  </w:endnote>
  <w:endnote w:type="continuationSeparator" w:id="0">
    <w:p w14:paraId="795FA6C2" w14:textId="77777777" w:rsidR="003C28E2" w:rsidRDefault="003C28E2" w:rsidP="00D37B04">
      <w:r>
        <w:continuationSeparator/>
      </w:r>
    </w:p>
  </w:endnote>
  <w:endnote w:type="continuationNotice" w:id="1">
    <w:p w14:paraId="7D0D5628" w14:textId="77777777" w:rsidR="003C28E2" w:rsidRDefault="003C28E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161368827"/>
      <w:docPartObj>
        <w:docPartGallery w:val="Page Numbers (Bottom of Page)"/>
        <w:docPartUnique/>
      </w:docPartObj>
    </w:sdtPr>
    <w:sdtEndPr>
      <w:rPr>
        <w:noProof/>
      </w:rPr>
    </w:sdtEndPr>
    <w:sdtContent>
      <w:p w14:paraId="10BB5A1F" w14:textId="1817AA30" w:rsidR="0005564F" w:rsidRDefault="0005564F">
        <w:pPr>
          <w:pStyle w:val="Footer"/>
          <w:jc w:val="center"/>
          <w:rPr>
            <w:color w:val="auto"/>
          </w:rPr>
        </w:pPr>
        <w:r>
          <w:rPr>
            <w:noProof/>
            <w:color w:val="auto"/>
          </w:rPr>
          <w:drawing>
            <wp:anchor distT="0" distB="0" distL="114300" distR="114300" simplePos="0" relativeHeight="251658240" behindDoc="1" locked="0" layoutInCell="1" allowOverlap="1" wp14:anchorId="0A9940EE" wp14:editId="4060A275">
              <wp:simplePos x="0" y="0"/>
              <wp:positionH relativeFrom="margin">
                <wp:align>left</wp:align>
              </wp:positionH>
              <wp:positionV relativeFrom="paragraph">
                <wp:posOffset>5163</wp:posOffset>
              </wp:positionV>
              <wp:extent cx="6629948" cy="357173"/>
              <wp:effectExtent l="0" t="0" r="0" b="508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Picture 28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29948" cy="357173"/>
                      </a:xfrm>
                      <a:prstGeom prst="rect">
                        <a:avLst/>
                      </a:prstGeom>
                    </pic:spPr>
                  </pic:pic>
                </a:graphicData>
              </a:graphic>
              <wp14:sizeRelH relativeFrom="margin">
                <wp14:pctWidth>0</wp14:pctWidth>
              </wp14:sizeRelH>
              <wp14:sizeRelV relativeFrom="margin">
                <wp14:pctHeight>0</wp14:pctHeight>
              </wp14:sizeRelV>
            </wp:anchor>
          </w:drawing>
        </w:r>
      </w:p>
      <w:p w14:paraId="3F66EFC2" w14:textId="15A3A4C4" w:rsidR="001D3DDD" w:rsidRPr="0042526D" w:rsidRDefault="001D3DDD">
        <w:pPr>
          <w:pStyle w:val="Footer"/>
          <w:jc w:val="center"/>
          <w:rPr>
            <w:noProof/>
            <w:color w:val="auto"/>
            <w:sz w:val="20"/>
            <w:szCs w:val="20"/>
          </w:rPr>
        </w:pPr>
        <w:r w:rsidRPr="0042526D">
          <w:rPr>
            <w:color w:val="auto"/>
            <w:sz w:val="20"/>
            <w:szCs w:val="20"/>
          </w:rPr>
          <w:fldChar w:fldCharType="begin"/>
        </w:r>
        <w:r w:rsidRPr="0042526D">
          <w:rPr>
            <w:color w:val="auto"/>
            <w:sz w:val="20"/>
            <w:szCs w:val="20"/>
          </w:rPr>
          <w:instrText xml:space="preserve"> PAGE   \* MERGEFORMAT </w:instrText>
        </w:r>
        <w:r w:rsidRPr="0042526D">
          <w:rPr>
            <w:color w:val="auto"/>
            <w:sz w:val="20"/>
            <w:szCs w:val="20"/>
          </w:rPr>
          <w:fldChar w:fldCharType="separate"/>
        </w:r>
        <w:r w:rsidRPr="0042526D">
          <w:rPr>
            <w:noProof/>
            <w:color w:val="auto"/>
            <w:sz w:val="20"/>
            <w:szCs w:val="20"/>
          </w:rPr>
          <w:t>2</w:t>
        </w:r>
        <w:r w:rsidRPr="0042526D">
          <w:rPr>
            <w:noProof/>
            <w:color w:val="auto"/>
            <w:sz w:val="20"/>
            <w:szCs w:val="20"/>
          </w:rPr>
          <w:fldChar w:fldCharType="end"/>
        </w:r>
      </w:p>
      <w:p w14:paraId="1E51B8D5" w14:textId="59F3CE97" w:rsidR="001D3DDD" w:rsidRPr="001D3DDD" w:rsidRDefault="00BE25F0" w:rsidP="0005564F">
        <w:pPr>
          <w:pStyle w:val="Footer"/>
          <w:spacing w:line="240" w:lineRule="auto"/>
          <w:jc w:val="center"/>
          <w:rPr>
            <w:color w:val="auto"/>
          </w:rPr>
        </w:pPr>
      </w:p>
    </w:sdtContent>
  </w:sdt>
  <w:p w14:paraId="3A729F02" w14:textId="519EAB54" w:rsidR="009131E9" w:rsidRDefault="009131E9" w:rsidP="009131E9">
    <w:pPr>
      <w:pStyle w:val="Footer"/>
      <w:spacing w:line="240" w:lineRule="auto"/>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1287C" w14:textId="77777777" w:rsidR="003C28E2" w:rsidRPr="008C5A0E" w:rsidRDefault="003C28E2" w:rsidP="00D37B04">
      <w:pPr>
        <w:pStyle w:val="Footer"/>
      </w:pPr>
    </w:p>
  </w:footnote>
  <w:footnote w:type="continuationSeparator" w:id="0">
    <w:p w14:paraId="7B993830" w14:textId="77777777" w:rsidR="003C28E2" w:rsidRDefault="003C28E2" w:rsidP="00D37B04">
      <w:r>
        <w:continuationSeparator/>
      </w:r>
    </w:p>
  </w:footnote>
  <w:footnote w:type="continuationNotice" w:id="1">
    <w:p w14:paraId="60D0DCA2" w14:textId="77777777" w:rsidR="003C28E2" w:rsidRDefault="003C28E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17E92" w14:textId="79E02A1E" w:rsidR="009131E9" w:rsidRDefault="009131E9" w:rsidP="007A4493">
    <w:pPr>
      <w:pStyle w:val="Header"/>
      <w:ind w:left="0"/>
    </w:pPr>
    <w:r w:rsidRPr="00A12B40">
      <w:rPr>
        <w:i/>
        <w:noProof/>
        <w:lang w:val="en-AU" w:eastAsia="en-AU"/>
      </w:rPr>
      <w:drawing>
        <wp:inline distT="0" distB="0" distL="0" distR="0" wp14:anchorId="7248A92F" wp14:editId="7CBD7E78">
          <wp:extent cx="6718853" cy="707390"/>
          <wp:effectExtent l="0" t="0" r="635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803267" cy="71627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F2A5E" w14:textId="483FCFE4" w:rsidR="00920854" w:rsidRDefault="009131E9" w:rsidP="001F7F4D">
    <w:pPr>
      <w:pStyle w:val="Header"/>
      <w:spacing w:after="240"/>
      <w:ind w:left="0"/>
    </w:pPr>
    <w:r>
      <w:rPr>
        <w:noProof/>
      </w:rPr>
      <w:drawing>
        <wp:inline distT="0" distB="0" distL="0" distR="0" wp14:anchorId="53173A37" wp14:editId="3D212865">
          <wp:extent cx="6696075" cy="1247775"/>
          <wp:effectExtent l="0" t="0" r="9525" b="9525"/>
          <wp:docPr id="24" name="Picture 24" descr="Australian Government DFAT logo and Australian A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Picture 195" descr="Australian Government DFAT logo and Australian Ai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6075" cy="1247775"/>
                  </a:xfrm>
                  <a:prstGeom prst="rect">
                    <a:avLst/>
                  </a:prstGeom>
                  <a:noFill/>
                  <a:ln>
                    <a:noFill/>
                  </a:ln>
                </pic:spPr>
              </pic:pic>
            </a:graphicData>
          </a:graphic>
        </wp:inline>
      </w:drawing>
    </w:r>
  </w:p>
  <w:p w14:paraId="21592AB9" w14:textId="77777777" w:rsidR="00920854" w:rsidRPr="00943730" w:rsidRDefault="00920854" w:rsidP="008C6149">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0DF06AC3"/>
    <w:multiLevelType w:val="hybridMultilevel"/>
    <w:tmpl w:val="CFC098A4"/>
    <w:lvl w:ilvl="0" w:tplc="B7968C8E">
      <w:numFmt w:val="bullet"/>
      <w:lvlText w:val="-"/>
      <w:lvlJc w:val="left"/>
      <w:pPr>
        <w:ind w:left="1080" w:hanging="72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1F0548BC"/>
    <w:multiLevelType w:val="hybridMultilevel"/>
    <w:tmpl w:val="26D04D08"/>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3498ECFB"/>
    <w:multiLevelType w:val="hybridMultilevel"/>
    <w:tmpl w:val="67B2A91C"/>
    <w:lvl w:ilvl="0" w:tplc="1FA69696">
      <w:start w:val="1"/>
      <w:numFmt w:val="bullet"/>
      <w:lvlText w:val=""/>
      <w:lvlJc w:val="left"/>
      <w:pPr>
        <w:ind w:left="720" w:hanging="360"/>
      </w:pPr>
      <w:rPr>
        <w:rFonts w:ascii="Symbol" w:hAnsi="Symbol" w:hint="default"/>
      </w:rPr>
    </w:lvl>
    <w:lvl w:ilvl="1" w:tplc="6F2EBBB8">
      <w:start w:val="1"/>
      <w:numFmt w:val="bullet"/>
      <w:lvlText w:val="o"/>
      <w:lvlJc w:val="left"/>
      <w:pPr>
        <w:ind w:left="1440" w:hanging="360"/>
      </w:pPr>
      <w:rPr>
        <w:rFonts w:ascii="Courier New" w:hAnsi="Courier New" w:hint="default"/>
      </w:rPr>
    </w:lvl>
    <w:lvl w:ilvl="2" w:tplc="1C36A848">
      <w:start w:val="1"/>
      <w:numFmt w:val="bullet"/>
      <w:lvlText w:val=""/>
      <w:lvlJc w:val="left"/>
      <w:pPr>
        <w:ind w:left="2160" w:hanging="360"/>
      </w:pPr>
      <w:rPr>
        <w:rFonts w:ascii="Wingdings" w:hAnsi="Wingdings" w:hint="default"/>
      </w:rPr>
    </w:lvl>
    <w:lvl w:ilvl="3" w:tplc="5FD297E0">
      <w:start w:val="1"/>
      <w:numFmt w:val="bullet"/>
      <w:lvlText w:val=""/>
      <w:lvlJc w:val="left"/>
      <w:pPr>
        <w:ind w:left="2880" w:hanging="360"/>
      </w:pPr>
      <w:rPr>
        <w:rFonts w:ascii="Symbol" w:hAnsi="Symbol" w:hint="default"/>
      </w:rPr>
    </w:lvl>
    <w:lvl w:ilvl="4" w:tplc="F70062A0">
      <w:start w:val="1"/>
      <w:numFmt w:val="bullet"/>
      <w:lvlText w:val="o"/>
      <w:lvlJc w:val="left"/>
      <w:pPr>
        <w:ind w:left="3600" w:hanging="360"/>
      </w:pPr>
      <w:rPr>
        <w:rFonts w:ascii="Courier New" w:hAnsi="Courier New" w:hint="default"/>
      </w:rPr>
    </w:lvl>
    <w:lvl w:ilvl="5" w:tplc="1826C9E8">
      <w:start w:val="1"/>
      <w:numFmt w:val="bullet"/>
      <w:lvlText w:val=""/>
      <w:lvlJc w:val="left"/>
      <w:pPr>
        <w:ind w:left="4320" w:hanging="360"/>
      </w:pPr>
      <w:rPr>
        <w:rFonts w:ascii="Wingdings" w:hAnsi="Wingdings" w:hint="default"/>
      </w:rPr>
    </w:lvl>
    <w:lvl w:ilvl="6" w:tplc="796A372E">
      <w:start w:val="1"/>
      <w:numFmt w:val="bullet"/>
      <w:lvlText w:val=""/>
      <w:lvlJc w:val="left"/>
      <w:pPr>
        <w:ind w:left="5040" w:hanging="360"/>
      </w:pPr>
      <w:rPr>
        <w:rFonts w:ascii="Symbol" w:hAnsi="Symbol" w:hint="default"/>
      </w:rPr>
    </w:lvl>
    <w:lvl w:ilvl="7" w:tplc="330807C0">
      <w:start w:val="1"/>
      <w:numFmt w:val="bullet"/>
      <w:lvlText w:val="o"/>
      <w:lvlJc w:val="left"/>
      <w:pPr>
        <w:ind w:left="5760" w:hanging="360"/>
      </w:pPr>
      <w:rPr>
        <w:rFonts w:ascii="Courier New" w:hAnsi="Courier New" w:hint="default"/>
      </w:rPr>
    </w:lvl>
    <w:lvl w:ilvl="8" w:tplc="A22E33F8">
      <w:start w:val="1"/>
      <w:numFmt w:val="bullet"/>
      <w:lvlText w:val=""/>
      <w:lvlJc w:val="left"/>
      <w:pPr>
        <w:ind w:left="6480" w:hanging="360"/>
      </w:pPr>
      <w:rPr>
        <w:rFonts w:ascii="Wingdings" w:hAnsi="Wingdings" w:hint="default"/>
      </w:rPr>
    </w:lvl>
  </w:abstractNum>
  <w:abstractNum w:abstractNumId="7" w15:restartNumberingAfterBreak="0">
    <w:nsid w:val="38F132CE"/>
    <w:multiLevelType w:val="multilevel"/>
    <w:tmpl w:val="3B7A10DE"/>
    <w:numStyleLink w:val="BulletsList"/>
  </w:abstractNum>
  <w:abstractNum w:abstractNumId="8" w15:restartNumberingAfterBreak="0">
    <w:nsid w:val="3A854A3D"/>
    <w:multiLevelType w:val="hybridMultilevel"/>
    <w:tmpl w:val="B8BED28E"/>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6DF0A07"/>
    <w:multiLevelType w:val="hybridMultilevel"/>
    <w:tmpl w:val="B7E0A20E"/>
    <w:lvl w:ilvl="0" w:tplc="C2B656C8">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12" w15:restartNumberingAfterBreak="0">
    <w:nsid w:val="508669A6"/>
    <w:multiLevelType w:val="hybridMultilevel"/>
    <w:tmpl w:val="96EC6980"/>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3" w15:restartNumberingAfterBreak="0">
    <w:nsid w:val="51100950"/>
    <w:multiLevelType w:val="hybridMultilevel"/>
    <w:tmpl w:val="0686927C"/>
    <w:lvl w:ilvl="0" w:tplc="0C090001">
      <w:start w:val="1"/>
      <w:numFmt w:val="bullet"/>
      <w:lvlText w:val=""/>
      <w:lvlJc w:val="left"/>
      <w:pPr>
        <w:ind w:left="5464"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5" w15:restartNumberingAfterBreak="0">
    <w:nsid w:val="5BD54DA3"/>
    <w:multiLevelType w:val="hybridMultilevel"/>
    <w:tmpl w:val="4A145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D667C"/>
    <w:multiLevelType w:val="hybridMultilevel"/>
    <w:tmpl w:val="ED2C4C28"/>
    <w:lvl w:ilvl="0" w:tplc="C28AABD2">
      <w:start w:val="1"/>
      <w:numFmt w:val="bullet"/>
      <w:lvlText w:val="•"/>
      <w:lvlJc w:val="left"/>
      <w:pPr>
        <w:ind w:left="816" w:hanging="360"/>
      </w:pPr>
      <w:rPr>
        <w:rFonts w:ascii="Arial" w:hAnsi="Aria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60DC3033"/>
    <w:multiLevelType w:val="hybridMultilevel"/>
    <w:tmpl w:val="9D040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5F81736"/>
    <w:multiLevelType w:val="hybridMultilevel"/>
    <w:tmpl w:val="5FA847FC"/>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0679BB"/>
    <w:multiLevelType w:val="hybridMultilevel"/>
    <w:tmpl w:val="805829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6CAC5D79"/>
    <w:multiLevelType w:val="hybridMultilevel"/>
    <w:tmpl w:val="D714D16E"/>
    <w:lvl w:ilvl="0" w:tplc="DF22A0BC">
      <w:start w:val="202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73166602"/>
    <w:multiLevelType w:val="hybridMultilevel"/>
    <w:tmpl w:val="71381298"/>
    <w:lvl w:ilvl="0" w:tplc="59463C12">
      <w:start w:val="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4BE7A65"/>
    <w:multiLevelType w:val="hybridMultilevel"/>
    <w:tmpl w:val="A4D4C220"/>
    <w:lvl w:ilvl="0" w:tplc="C28AABD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7D0D33EF"/>
    <w:multiLevelType w:val="hybridMultilevel"/>
    <w:tmpl w:val="0AC2FD7E"/>
    <w:lvl w:ilvl="0" w:tplc="84F409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6"/>
  </w:num>
  <w:num w:numId="2">
    <w:abstractNumId w:val="22"/>
  </w:num>
  <w:num w:numId="3">
    <w:abstractNumId w:val="1"/>
  </w:num>
  <w:num w:numId="4">
    <w:abstractNumId w:val="5"/>
  </w:num>
  <w:num w:numId="5">
    <w:abstractNumId w:val="14"/>
  </w:num>
  <w:num w:numId="6">
    <w:abstractNumId w:val="17"/>
  </w:num>
  <w:num w:numId="7">
    <w:abstractNumId w:val="5"/>
  </w:num>
  <w:num w:numId="8">
    <w:abstractNumId w:val="1"/>
  </w:num>
  <w:num w:numId="9">
    <w:abstractNumId w:val="3"/>
  </w:num>
  <w:num w:numId="10">
    <w:abstractNumId w:val="25"/>
  </w:num>
  <w:num w:numId="11">
    <w:abstractNumId w:val="7"/>
  </w:num>
  <w:num w:numId="12">
    <w:abstractNumId w:val="12"/>
  </w:num>
  <w:num w:numId="13">
    <w:abstractNumId w:val="13"/>
  </w:num>
  <w:num w:numId="14">
    <w:abstractNumId w:val="0"/>
  </w:num>
  <w:num w:numId="15">
    <w:abstractNumId w:val="11"/>
  </w:num>
  <w:num w:numId="16">
    <w:abstractNumId w:val="15"/>
  </w:num>
  <w:num w:numId="17">
    <w:abstractNumId w:val="19"/>
  </w:num>
  <w:num w:numId="18">
    <w:abstractNumId w:val="4"/>
  </w:num>
  <w:num w:numId="19">
    <w:abstractNumId w:val="16"/>
  </w:num>
  <w:num w:numId="20">
    <w:abstractNumId w:val="24"/>
  </w:num>
  <w:num w:numId="21">
    <w:abstractNumId w:val="9"/>
  </w:num>
  <w:num w:numId="22">
    <w:abstractNumId w:val="23"/>
  </w:num>
  <w:num w:numId="23">
    <w:abstractNumId w:val="8"/>
  </w:num>
  <w:num w:numId="24">
    <w:abstractNumId w:val="2"/>
  </w:num>
  <w:num w:numId="25">
    <w:abstractNumId w:val="21"/>
  </w:num>
  <w:num w:numId="26">
    <w:abstractNumId w:val="26"/>
  </w:num>
  <w:num w:numId="27">
    <w:abstractNumId w:val="10"/>
  </w:num>
  <w:num w:numId="28">
    <w:abstractNumId w:val="18"/>
  </w:num>
  <w:num w:numId="29">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DA8"/>
    <w:rsid w:val="000020C1"/>
    <w:rsid w:val="00010006"/>
    <w:rsid w:val="00011235"/>
    <w:rsid w:val="00015AB7"/>
    <w:rsid w:val="00015DC0"/>
    <w:rsid w:val="00017E13"/>
    <w:rsid w:val="0002080A"/>
    <w:rsid w:val="00027430"/>
    <w:rsid w:val="0002782F"/>
    <w:rsid w:val="00031486"/>
    <w:rsid w:val="000314BA"/>
    <w:rsid w:val="00035BBF"/>
    <w:rsid w:val="00035CBC"/>
    <w:rsid w:val="000417C3"/>
    <w:rsid w:val="00041CA8"/>
    <w:rsid w:val="000444F3"/>
    <w:rsid w:val="00050806"/>
    <w:rsid w:val="00051176"/>
    <w:rsid w:val="00051544"/>
    <w:rsid w:val="00051F3B"/>
    <w:rsid w:val="0005417C"/>
    <w:rsid w:val="000546D9"/>
    <w:rsid w:val="00054E4D"/>
    <w:rsid w:val="00054F2A"/>
    <w:rsid w:val="0005564F"/>
    <w:rsid w:val="00055880"/>
    <w:rsid w:val="00056F24"/>
    <w:rsid w:val="00060073"/>
    <w:rsid w:val="000616C6"/>
    <w:rsid w:val="000617A9"/>
    <w:rsid w:val="00064898"/>
    <w:rsid w:val="000667EB"/>
    <w:rsid w:val="0007195D"/>
    <w:rsid w:val="000737AC"/>
    <w:rsid w:val="000822AD"/>
    <w:rsid w:val="000854FD"/>
    <w:rsid w:val="000877F0"/>
    <w:rsid w:val="00093587"/>
    <w:rsid w:val="0009676B"/>
    <w:rsid w:val="000A39DD"/>
    <w:rsid w:val="000A407E"/>
    <w:rsid w:val="000B37F5"/>
    <w:rsid w:val="000B40E9"/>
    <w:rsid w:val="000B5DA7"/>
    <w:rsid w:val="000B78E6"/>
    <w:rsid w:val="000C26FF"/>
    <w:rsid w:val="000C3A4C"/>
    <w:rsid w:val="000C4411"/>
    <w:rsid w:val="000C6F74"/>
    <w:rsid w:val="000D003A"/>
    <w:rsid w:val="000D2896"/>
    <w:rsid w:val="000D5650"/>
    <w:rsid w:val="000D66D6"/>
    <w:rsid w:val="000E1045"/>
    <w:rsid w:val="000E58BF"/>
    <w:rsid w:val="000E6C44"/>
    <w:rsid w:val="000F1286"/>
    <w:rsid w:val="000F2600"/>
    <w:rsid w:val="000F78C9"/>
    <w:rsid w:val="00113288"/>
    <w:rsid w:val="0011475A"/>
    <w:rsid w:val="00116E9F"/>
    <w:rsid w:val="001203A0"/>
    <w:rsid w:val="001211B0"/>
    <w:rsid w:val="001214BE"/>
    <w:rsid w:val="0012165D"/>
    <w:rsid w:val="00121DDD"/>
    <w:rsid w:val="001227F1"/>
    <w:rsid w:val="0013101C"/>
    <w:rsid w:val="0013385F"/>
    <w:rsid w:val="00134AEA"/>
    <w:rsid w:val="00137F4E"/>
    <w:rsid w:val="001461D6"/>
    <w:rsid w:val="00146E07"/>
    <w:rsid w:val="00152CBF"/>
    <w:rsid w:val="001541EA"/>
    <w:rsid w:val="0016223D"/>
    <w:rsid w:val="00163B5B"/>
    <w:rsid w:val="00163DB1"/>
    <w:rsid w:val="00166032"/>
    <w:rsid w:val="001662F8"/>
    <w:rsid w:val="00166494"/>
    <w:rsid w:val="0017344B"/>
    <w:rsid w:val="00175B2D"/>
    <w:rsid w:val="001814C5"/>
    <w:rsid w:val="001841C8"/>
    <w:rsid w:val="00186B4B"/>
    <w:rsid w:val="00193C49"/>
    <w:rsid w:val="00196CBB"/>
    <w:rsid w:val="001976CF"/>
    <w:rsid w:val="001A51EE"/>
    <w:rsid w:val="001A7815"/>
    <w:rsid w:val="001A7CC0"/>
    <w:rsid w:val="001B0C64"/>
    <w:rsid w:val="001B2BF7"/>
    <w:rsid w:val="001B78DA"/>
    <w:rsid w:val="001C14F4"/>
    <w:rsid w:val="001C1F11"/>
    <w:rsid w:val="001C3700"/>
    <w:rsid w:val="001C483F"/>
    <w:rsid w:val="001C72C5"/>
    <w:rsid w:val="001D1A8F"/>
    <w:rsid w:val="001D3C98"/>
    <w:rsid w:val="001D3DDD"/>
    <w:rsid w:val="001D4091"/>
    <w:rsid w:val="001D663E"/>
    <w:rsid w:val="001E03BE"/>
    <w:rsid w:val="001E0CF1"/>
    <w:rsid w:val="001E1DC0"/>
    <w:rsid w:val="001E563B"/>
    <w:rsid w:val="001E6D20"/>
    <w:rsid w:val="001F06B8"/>
    <w:rsid w:val="001F16E7"/>
    <w:rsid w:val="001F4A3D"/>
    <w:rsid w:val="001F63EC"/>
    <w:rsid w:val="001F7A8B"/>
    <w:rsid w:val="001F7F4D"/>
    <w:rsid w:val="00216C55"/>
    <w:rsid w:val="002231BD"/>
    <w:rsid w:val="002270F7"/>
    <w:rsid w:val="0022790D"/>
    <w:rsid w:val="002404E8"/>
    <w:rsid w:val="00244229"/>
    <w:rsid w:val="002443C7"/>
    <w:rsid w:val="00247365"/>
    <w:rsid w:val="00255F45"/>
    <w:rsid w:val="00261565"/>
    <w:rsid w:val="00267640"/>
    <w:rsid w:val="00270C70"/>
    <w:rsid w:val="002721B5"/>
    <w:rsid w:val="00281CEC"/>
    <w:rsid w:val="00283B4D"/>
    <w:rsid w:val="0028602A"/>
    <w:rsid w:val="00293CB3"/>
    <w:rsid w:val="002945C4"/>
    <w:rsid w:val="00295B17"/>
    <w:rsid w:val="0029663F"/>
    <w:rsid w:val="00297258"/>
    <w:rsid w:val="00297FD1"/>
    <w:rsid w:val="002A551F"/>
    <w:rsid w:val="002B3381"/>
    <w:rsid w:val="002B5E10"/>
    <w:rsid w:val="002C793D"/>
    <w:rsid w:val="002D0A57"/>
    <w:rsid w:val="002D233A"/>
    <w:rsid w:val="002D25D9"/>
    <w:rsid w:val="002D352A"/>
    <w:rsid w:val="002D35C9"/>
    <w:rsid w:val="002D4108"/>
    <w:rsid w:val="002D430F"/>
    <w:rsid w:val="002D5B25"/>
    <w:rsid w:val="002D626F"/>
    <w:rsid w:val="002E2AF4"/>
    <w:rsid w:val="002E38B2"/>
    <w:rsid w:val="002E500A"/>
    <w:rsid w:val="002E67DC"/>
    <w:rsid w:val="002F03FB"/>
    <w:rsid w:val="002F0903"/>
    <w:rsid w:val="002F4F2B"/>
    <w:rsid w:val="002F6581"/>
    <w:rsid w:val="002F67AE"/>
    <w:rsid w:val="003002C0"/>
    <w:rsid w:val="00301144"/>
    <w:rsid w:val="00301BAC"/>
    <w:rsid w:val="003031C6"/>
    <w:rsid w:val="00304984"/>
    <w:rsid w:val="00307805"/>
    <w:rsid w:val="00311946"/>
    <w:rsid w:val="00312BF8"/>
    <w:rsid w:val="003148B7"/>
    <w:rsid w:val="003158C3"/>
    <w:rsid w:val="00320DC8"/>
    <w:rsid w:val="003274CD"/>
    <w:rsid w:val="003315EA"/>
    <w:rsid w:val="00331853"/>
    <w:rsid w:val="00333501"/>
    <w:rsid w:val="003406AF"/>
    <w:rsid w:val="003457C4"/>
    <w:rsid w:val="0035119D"/>
    <w:rsid w:val="003517A9"/>
    <w:rsid w:val="00352C1E"/>
    <w:rsid w:val="003535F8"/>
    <w:rsid w:val="00354641"/>
    <w:rsid w:val="0035532B"/>
    <w:rsid w:val="0035533D"/>
    <w:rsid w:val="003622C1"/>
    <w:rsid w:val="00363A9F"/>
    <w:rsid w:val="003664FE"/>
    <w:rsid w:val="003677D0"/>
    <w:rsid w:val="00375D23"/>
    <w:rsid w:val="003806FE"/>
    <w:rsid w:val="00382CE7"/>
    <w:rsid w:val="0038357A"/>
    <w:rsid w:val="0038456B"/>
    <w:rsid w:val="00384D2A"/>
    <w:rsid w:val="00387EC8"/>
    <w:rsid w:val="0039215F"/>
    <w:rsid w:val="0039344A"/>
    <w:rsid w:val="003A344A"/>
    <w:rsid w:val="003B3091"/>
    <w:rsid w:val="003B4F12"/>
    <w:rsid w:val="003B5132"/>
    <w:rsid w:val="003C28E2"/>
    <w:rsid w:val="003C6C4F"/>
    <w:rsid w:val="003C6DA1"/>
    <w:rsid w:val="003C7D0E"/>
    <w:rsid w:val="003D1253"/>
    <w:rsid w:val="003D4639"/>
    <w:rsid w:val="003E03B8"/>
    <w:rsid w:val="003E0545"/>
    <w:rsid w:val="003E24BA"/>
    <w:rsid w:val="003F2041"/>
    <w:rsid w:val="003F4679"/>
    <w:rsid w:val="003F754F"/>
    <w:rsid w:val="003F7D26"/>
    <w:rsid w:val="00400209"/>
    <w:rsid w:val="004007ED"/>
    <w:rsid w:val="00400D50"/>
    <w:rsid w:val="00402ACC"/>
    <w:rsid w:val="00403FD8"/>
    <w:rsid w:val="00404443"/>
    <w:rsid w:val="00404602"/>
    <w:rsid w:val="004120EC"/>
    <w:rsid w:val="0041267F"/>
    <w:rsid w:val="00414AD9"/>
    <w:rsid w:val="00423DB9"/>
    <w:rsid w:val="00423DE0"/>
    <w:rsid w:val="00423F31"/>
    <w:rsid w:val="0042526D"/>
    <w:rsid w:val="00426340"/>
    <w:rsid w:val="00426FF7"/>
    <w:rsid w:val="004303AA"/>
    <w:rsid w:val="00431899"/>
    <w:rsid w:val="00435CB5"/>
    <w:rsid w:val="0044238E"/>
    <w:rsid w:val="00446F46"/>
    <w:rsid w:val="00450381"/>
    <w:rsid w:val="00451074"/>
    <w:rsid w:val="004529F1"/>
    <w:rsid w:val="00453433"/>
    <w:rsid w:val="00453B1A"/>
    <w:rsid w:val="00453CBE"/>
    <w:rsid w:val="00462A57"/>
    <w:rsid w:val="00463D1A"/>
    <w:rsid w:val="00467C3D"/>
    <w:rsid w:val="004708FA"/>
    <w:rsid w:val="004728DD"/>
    <w:rsid w:val="00473F2D"/>
    <w:rsid w:val="00473F39"/>
    <w:rsid w:val="00474037"/>
    <w:rsid w:val="00475782"/>
    <w:rsid w:val="00476ADB"/>
    <w:rsid w:val="00482AE8"/>
    <w:rsid w:val="00486804"/>
    <w:rsid w:val="00487549"/>
    <w:rsid w:val="00493F17"/>
    <w:rsid w:val="00494242"/>
    <w:rsid w:val="00496766"/>
    <w:rsid w:val="004A41B8"/>
    <w:rsid w:val="004B3038"/>
    <w:rsid w:val="004B3775"/>
    <w:rsid w:val="004B580D"/>
    <w:rsid w:val="004C2438"/>
    <w:rsid w:val="004D0BA0"/>
    <w:rsid w:val="004D4CCF"/>
    <w:rsid w:val="004D7F36"/>
    <w:rsid w:val="004E058F"/>
    <w:rsid w:val="004E3B87"/>
    <w:rsid w:val="004E549D"/>
    <w:rsid w:val="004F5615"/>
    <w:rsid w:val="00502041"/>
    <w:rsid w:val="00503EB4"/>
    <w:rsid w:val="0050592F"/>
    <w:rsid w:val="00510921"/>
    <w:rsid w:val="00510AD3"/>
    <w:rsid w:val="0051179B"/>
    <w:rsid w:val="00513348"/>
    <w:rsid w:val="00513AD8"/>
    <w:rsid w:val="00514B1E"/>
    <w:rsid w:val="00515EA0"/>
    <w:rsid w:val="00517DD0"/>
    <w:rsid w:val="005204D2"/>
    <w:rsid w:val="00521E23"/>
    <w:rsid w:val="00522396"/>
    <w:rsid w:val="00527AD8"/>
    <w:rsid w:val="005303B9"/>
    <w:rsid w:val="0053159D"/>
    <w:rsid w:val="00531B69"/>
    <w:rsid w:val="00533B5D"/>
    <w:rsid w:val="00534D96"/>
    <w:rsid w:val="00536343"/>
    <w:rsid w:val="00536BAB"/>
    <w:rsid w:val="00540228"/>
    <w:rsid w:val="00540A22"/>
    <w:rsid w:val="00546877"/>
    <w:rsid w:val="00546DE4"/>
    <w:rsid w:val="005474FC"/>
    <w:rsid w:val="0055085D"/>
    <w:rsid w:val="00550F71"/>
    <w:rsid w:val="00553079"/>
    <w:rsid w:val="005579C6"/>
    <w:rsid w:val="00560E83"/>
    <w:rsid w:val="005736BB"/>
    <w:rsid w:val="00573C30"/>
    <w:rsid w:val="00577815"/>
    <w:rsid w:val="005805E0"/>
    <w:rsid w:val="005822D6"/>
    <w:rsid w:val="005838FD"/>
    <w:rsid w:val="005839E5"/>
    <w:rsid w:val="005A20F6"/>
    <w:rsid w:val="005A257E"/>
    <w:rsid w:val="005A5763"/>
    <w:rsid w:val="005B7577"/>
    <w:rsid w:val="005C2EC9"/>
    <w:rsid w:val="005C532B"/>
    <w:rsid w:val="005D0B11"/>
    <w:rsid w:val="005D3655"/>
    <w:rsid w:val="005D5489"/>
    <w:rsid w:val="005D69AA"/>
    <w:rsid w:val="005D7F03"/>
    <w:rsid w:val="005E0058"/>
    <w:rsid w:val="005E34FD"/>
    <w:rsid w:val="005E4830"/>
    <w:rsid w:val="005E5524"/>
    <w:rsid w:val="005E73CC"/>
    <w:rsid w:val="005F2F66"/>
    <w:rsid w:val="005F44F4"/>
    <w:rsid w:val="005F7E8E"/>
    <w:rsid w:val="006023E6"/>
    <w:rsid w:val="006031AC"/>
    <w:rsid w:val="00603321"/>
    <w:rsid w:val="00616A58"/>
    <w:rsid w:val="00620A3D"/>
    <w:rsid w:val="00622B86"/>
    <w:rsid w:val="00623BA1"/>
    <w:rsid w:val="00624D67"/>
    <w:rsid w:val="00630092"/>
    <w:rsid w:val="006346BC"/>
    <w:rsid w:val="00634B8F"/>
    <w:rsid w:val="006362FF"/>
    <w:rsid w:val="0063771D"/>
    <w:rsid w:val="006378FE"/>
    <w:rsid w:val="006408FF"/>
    <w:rsid w:val="00644479"/>
    <w:rsid w:val="00654966"/>
    <w:rsid w:val="0065649B"/>
    <w:rsid w:val="00656C20"/>
    <w:rsid w:val="0066203A"/>
    <w:rsid w:val="0066537D"/>
    <w:rsid w:val="0066652A"/>
    <w:rsid w:val="006719C3"/>
    <w:rsid w:val="006745FC"/>
    <w:rsid w:val="006750D9"/>
    <w:rsid w:val="00677DD7"/>
    <w:rsid w:val="00680115"/>
    <w:rsid w:val="00680522"/>
    <w:rsid w:val="00681633"/>
    <w:rsid w:val="00682167"/>
    <w:rsid w:val="0068793A"/>
    <w:rsid w:val="00690AE1"/>
    <w:rsid w:val="006941FB"/>
    <w:rsid w:val="006A1D66"/>
    <w:rsid w:val="006A48A5"/>
    <w:rsid w:val="006A6F52"/>
    <w:rsid w:val="006A791A"/>
    <w:rsid w:val="006B0064"/>
    <w:rsid w:val="006B2FAC"/>
    <w:rsid w:val="006B3693"/>
    <w:rsid w:val="006B3E95"/>
    <w:rsid w:val="006B51B2"/>
    <w:rsid w:val="006B6AD6"/>
    <w:rsid w:val="006B6F6D"/>
    <w:rsid w:val="006C0B06"/>
    <w:rsid w:val="006C2802"/>
    <w:rsid w:val="006C3BBD"/>
    <w:rsid w:val="006C42AF"/>
    <w:rsid w:val="006C565B"/>
    <w:rsid w:val="006C6498"/>
    <w:rsid w:val="006D15F1"/>
    <w:rsid w:val="006D1B68"/>
    <w:rsid w:val="006D5A56"/>
    <w:rsid w:val="006E4323"/>
    <w:rsid w:val="006E4583"/>
    <w:rsid w:val="006E6E3E"/>
    <w:rsid w:val="006F59F1"/>
    <w:rsid w:val="006F681B"/>
    <w:rsid w:val="006F6BA7"/>
    <w:rsid w:val="00701661"/>
    <w:rsid w:val="00706136"/>
    <w:rsid w:val="007075DF"/>
    <w:rsid w:val="00711D8E"/>
    <w:rsid w:val="00712672"/>
    <w:rsid w:val="007178C4"/>
    <w:rsid w:val="00720715"/>
    <w:rsid w:val="00727E09"/>
    <w:rsid w:val="00734E3F"/>
    <w:rsid w:val="00736985"/>
    <w:rsid w:val="00737159"/>
    <w:rsid w:val="00745DF5"/>
    <w:rsid w:val="00751718"/>
    <w:rsid w:val="00762194"/>
    <w:rsid w:val="0076250F"/>
    <w:rsid w:val="0076289C"/>
    <w:rsid w:val="007636D8"/>
    <w:rsid w:val="0077324F"/>
    <w:rsid w:val="007733DC"/>
    <w:rsid w:val="0077721F"/>
    <w:rsid w:val="00780FA5"/>
    <w:rsid w:val="007864CF"/>
    <w:rsid w:val="0078686B"/>
    <w:rsid w:val="00794D99"/>
    <w:rsid w:val="00796F1C"/>
    <w:rsid w:val="007A2287"/>
    <w:rsid w:val="007A4493"/>
    <w:rsid w:val="007A4DF5"/>
    <w:rsid w:val="007B53DB"/>
    <w:rsid w:val="007B53F9"/>
    <w:rsid w:val="007B6200"/>
    <w:rsid w:val="007B6D55"/>
    <w:rsid w:val="007C19B3"/>
    <w:rsid w:val="007C2572"/>
    <w:rsid w:val="007C3135"/>
    <w:rsid w:val="007C35DE"/>
    <w:rsid w:val="007C4D69"/>
    <w:rsid w:val="007C57DD"/>
    <w:rsid w:val="007C735B"/>
    <w:rsid w:val="007C7E8E"/>
    <w:rsid w:val="007D6288"/>
    <w:rsid w:val="007E3BDB"/>
    <w:rsid w:val="007E5361"/>
    <w:rsid w:val="007E556D"/>
    <w:rsid w:val="007E7BC7"/>
    <w:rsid w:val="007F0CFB"/>
    <w:rsid w:val="007F3395"/>
    <w:rsid w:val="007F5C0B"/>
    <w:rsid w:val="007F646C"/>
    <w:rsid w:val="00801B9F"/>
    <w:rsid w:val="0080204D"/>
    <w:rsid w:val="00803F9E"/>
    <w:rsid w:val="00805A17"/>
    <w:rsid w:val="00813EA6"/>
    <w:rsid w:val="0082053C"/>
    <w:rsid w:val="00822F43"/>
    <w:rsid w:val="0083064A"/>
    <w:rsid w:val="00830866"/>
    <w:rsid w:val="008328F5"/>
    <w:rsid w:val="00836A30"/>
    <w:rsid w:val="00836B54"/>
    <w:rsid w:val="0084191E"/>
    <w:rsid w:val="00841999"/>
    <w:rsid w:val="00843B76"/>
    <w:rsid w:val="00844737"/>
    <w:rsid w:val="008475F0"/>
    <w:rsid w:val="008515AF"/>
    <w:rsid w:val="00852C32"/>
    <w:rsid w:val="00854F69"/>
    <w:rsid w:val="008557A7"/>
    <w:rsid w:val="00856BFE"/>
    <w:rsid w:val="00857312"/>
    <w:rsid w:val="00860698"/>
    <w:rsid w:val="00862BCF"/>
    <w:rsid w:val="00865DE2"/>
    <w:rsid w:val="00870928"/>
    <w:rsid w:val="008740B3"/>
    <w:rsid w:val="00876B47"/>
    <w:rsid w:val="00877620"/>
    <w:rsid w:val="00881605"/>
    <w:rsid w:val="00887404"/>
    <w:rsid w:val="0089405C"/>
    <w:rsid w:val="00894FEB"/>
    <w:rsid w:val="0089505D"/>
    <w:rsid w:val="00897FA2"/>
    <w:rsid w:val="008A1503"/>
    <w:rsid w:val="008A1611"/>
    <w:rsid w:val="008A5AFE"/>
    <w:rsid w:val="008A6BB7"/>
    <w:rsid w:val="008A745C"/>
    <w:rsid w:val="008A7B6F"/>
    <w:rsid w:val="008C1A18"/>
    <w:rsid w:val="008C1F60"/>
    <w:rsid w:val="008C478C"/>
    <w:rsid w:val="008C5A0E"/>
    <w:rsid w:val="008C6149"/>
    <w:rsid w:val="008C708C"/>
    <w:rsid w:val="008D6DBF"/>
    <w:rsid w:val="008E4B49"/>
    <w:rsid w:val="008E4BCA"/>
    <w:rsid w:val="008E7A6E"/>
    <w:rsid w:val="008F6625"/>
    <w:rsid w:val="00911423"/>
    <w:rsid w:val="00913062"/>
    <w:rsid w:val="009131E9"/>
    <w:rsid w:val="00913875"/>
    <w:rsid w:val="00914840"/>
    <w:rsid w:val="00915556"/>
    <w:rsid w:val="00916582"/>
    <w:rsid w:val="00917A7A"/>
    <w:rsid w:val="00920854"/>
    <w:rsid w:val="0093173D"/>
    <w:rsid w:val="00937866"/>
    <w:rsid w:val="00943730"/>
    <w:rsid w:val="009505AE"/>
    <w:rsid w:val="00950D65"/>
    <w:rsid w:val="00952815"/>
    <w:rsid w:val="009543B9"/>
    <w:rsid w:val="00963AA3"/>
    <w:rsid w:val="00965F8E"/>
    <w:rsid w:val="00975CA5"/>
    <w:rsid w:val="009774B4"/>
    <w:rsid w:val="009800AF"/>
    <w:rsid w:val="00982E24"/>
    <w:rsid w:val="00986590"/>
    <w:rsid w:val="00986B38"/>
    <w:rsid w:val="00991579"/>
    <w:rsid w:val="00992C76"/>
    <w:rsid w:val="009969D6"/>
    <w:rsid w:val="00996A5E"/>
    <w:rsid w:val="009A112B"/>
    <w:rsid w:val="009A2619"/>
    <w:rsid w:val="009A58FC"/>
    <w:rsid w:val="009A744E"/>
    <w:rsid w:val="009B183F"/>
    <w:rsid w:val="009B394F"/>
    <w:rsid w:val="009B4D3B"/>
    <w:rsid w:val="009C18DB"/>
    <w:rsid w:val="009C450A"/>
    <w:rsid w:val="009C45E0"/>
    <w:rsid w:val="009D1F71"/>
    <w:rsid w:val="009D3438"/>
    <w:rsid w:val="009D51A9"/>
    <w:rsid w:val="009D5683"/>
    <w:rsid w:val="009D7407"/>
    <w:rsid w:val="009E0766"/>
    <w:rsid w:val="009E0866"/>
    <w:rsid w:val="009E1396"/>
    <w:rsid w:val="009E273C"/>
    <w:rsid w:val="009E3356"/>
    <w:rsid w:val="009E6E56"/>
    <w:rsid w:val="009F0096"/>
    <w:rsid w:val="009F1350"/>
    <w:rsid w:val="009F6063"/>
    <w:rsid w:val="009F61E8"/>
    <w:rsid w:val="009F6423"/>
    <w:rsid w:val="00A068D8"/>
    <w:rsid w:val="00A07A86"/>
    <w:rsid w:val="00A107B9"/>
    <w:rsid w:val="00A12B40"/>
    <w:rsid w:val="00A141D1"/>
    <w:rsid w:val="00A16B91"/>
    <w:rsid w:val="00A17461"/>
    <w:rsid w:val="00A22CD1"/>
    <w:rsid w:val="00A237B8"/>
    <w:rsid w:val="00A24A62"/>
    <w:rsid w:val="00A25F8D"/>
    <w:rsid w:val="00A31C9F"/>
    <w:rsid w:val="00A33672"/>
    <w:rsid w:val="00A35989"/>
    <w:rsid w:val="00A4144F"/>
    <w:rsid w:val="00A4183A"/>
    <w:rsid w:val="00A43310"/>
    <w:rsid w:val="00A46B28"/>
    <w:rsid w:val="00A47135"/>
    <w:rsid w:val="00A50A43"/>
    <w:rsid w:val="00A5390E"/>
    <w:rsid w:val="00A603D1"/>
    <w:rsid w:val="00A61B4D"/>
    <w:rsid w:val="00A61E6A"/>
    <w:rsid w:val="00A625F9"/>
    <w:rsid w:val="00A71167"/>
    <w:rsid w:val="00A72201"/>
    <w:rsid w:val="00A72D4B"/>
    <w:rsid w:val="00A74192"/>
    <w:rsid w:val="00A75B84"/>
    <w:rsid w:val="00A80123"/>
    <w:rsid w:val="00A80305"/>
    <w:rsid w:val="00A80F95"/>
    <w:rsid w:val="00A854F9"/>
    <w:rsid w:val="00A868CB"/>
    <w:rsid w:val="00A92472"/>
    <w:rsid w:val="00A96364"/>
    <w:rsid w:val="00A965A9"/>
    <w:rsid w:val="00A97244"/>
    <w:rsid w:val="00A97BF1"/>
    <w:rsid w:val="00AA298A"/>
    <w:rsid w:val="00AA3AA8"/>
    <w:rsid w:val="00AB1792"/>
    <w:rsid w:val="00AB4795"/>
    <w:rsid w:val="00AB5D49"/>
    <w:rsid w:val="00AB6748"/>
    <w:rsid w:val="00AB6BD2"/>
    <w:rsid w:val="00AC107C"/>
    <w:rsid w:val="00AC164A"/>
    <w:rsid w:val="00AC3944"/>
    <w:rsid w:val="00AC4BE5"/>
    <w:rsid w:val="00AC551D"/>
    <w:rsid w:val="00AD19F7"/>
    <w:rsid w:val="00AD2C2E"/>
    <w:rsid w:val="00AE2B7B"/>
    <w:rsid w:val="00AE448A"/>
    <w:rsid w:val="00AE74DA"/>
    <w:rsid w:val="00AE7AB3"/>
    <w:rsid w:val="00AF18F4"/>
    <w:rsid w:val="00AF2050"/>
    <w:rsid w:val="00AF26E3"/>
    <w:rsid w:val="00AF4A1C"/>
    <w:rsid w:val="00AF7ECC"/>
    <w:rsid w:val="00B00BF4"/>
    <w:rsid w:val="00B02B2A"/>
    <w:rsid w:val="00B03CA8"/>
    <w:rsid w:val="00B05A81"/>
    <w:rsid w:val="00B05B87"/>
    <w:rsid w:val="00B06069"/>
    <w:rsid w:val="00B105FB"/>
    <w:rsid w:val="00B12991"/>
    <w:rsid w:val="00B146F5"/>
    <w:rsid w:val="00B16EF6"/>
    <w:rsid w:val="00B22F0E"/>
    <w:rsid w:val="00B249EC"/>
    <w:rsid w:val="00B33C0A"/>
    <w:rsid w:val="00B34763"/>
    <w:rsid w:val="00B401AF"/>
    <w:rsid w:val="00B42D44"/>
    <w:rsid w:val="00B4792E"/>
    <w:rsid w:val="00B50ED0"/>
    <w:rsid w:val="00B51C2F"/>
    <w:rsid w:val="00B55E19"/>
    <w:rsid w:val="00B56E71"/>
    <w:rsid w:val="00B579A6"/>
    <w:rsid w:val="00B664A8"/>
    <w:rsid w:val="00B66D3E"/>
    <w:rsid w:val="00B67349"/>
    <w:rsid w:val="00B71AD8"/>
    <w:rsid w:val="00B7214E"/>
    <w:rsid w:val="00B84B3C"/>
    <w:rsid w:val="00B857E1"/>
    <w:rsid w:val="00B8599B"/>
    <w:rsid w:val="00B86990"/>
    <w:rsid w:val="00B9155F"/>
    <w:rsid w:val="00B91FE7"/>
    <w:rsid w:val="00B929BE"/>
    <w:rsid w:val="00B93A0B"/>
    <w:rsid w:val="00B94758"/>
    <w:rsid w:val="00BA1B89"/>
    <w:rsid w:val="00BA4B5F"/>
    <w:rsid w:val="00BA4B6D"/>
    <w:rsid w:val="00BB26C5"/>
    <w:rsid w:val="00BB2B64"/>
    <w:rsid w:val="00BB2F84"/>
    <w:rsid w:val="00BB3FD0"/>
    <w:rsid w:val="00BC1FED"/>
    <w:rsid w:val="00BC1FEE"/>
    <w:rsid w:val="00BC63A8"/>
    <w:rsid w:val="00BD0F5C"/>
    <w:rsid w:val="00BD47FD"/>
    <w:rsid w:val="00BD6304"/>
    <w:rsid w:val="00BD710C"/>
    <w:rsid w:val="00BE12B6"/>
    <w:rsid w:val="00BE25F0"/>
    <w:rsid w:val="00BF1579"/>
    <w:rsid w:val="00BF1C87"/>
    <w:rsid w:val="00BF4DE6"/>
    <w:rsid w:val="00BF63EF"/>
    <w:rsid w:val="00BF6703"/>
    <w:rsid w:val="00C04D72"/>
    <w:rsid w:val="00C06B13"/>
    <w:rsid w:val="00C16A47"/>
    <w:rsid w:val="00C224CD"/>
    <w:rsid w:val="00C2687C"/>
    <w:rsid w:val="00C27D25"/>
    <w:rsid w:val="00C34D85"/>
    <w:rsid w:val="00C35791"/>
    <w:rsid w:val="00C35BDC"/>
    <w:rsid w:val="00C36AA9"/>
    <w:rsid w:val="00C37697"/>
    <w:rsid w:val="00C42541"/>
    <w:rsid w:val="00C42CDE"/>
    <w:rsid w:val="00C45941"/>
    <w:rsid w:val="00C50B58"/>
    <w:rsid w:val="00C5182A"/>
    <w:rsid w:val="00C52463"/>
    <w:rsid w:val="00C52B3D"/>
    <w:rsid w:val="00C55983"/>
    <w:rsid w:val="00C56A5C"/>
    <w:rsid w:val="00C61649"/>
    <w:rsid w:val="00C61935"/>
    <w:rsid w:val="00C61D33"/>
    <w:rsid w:val="00C63EE9"/>
    <w:rsid w:val="00C651B6"/>
    <w:rsid w:val="00C75730"/>
    <w:rsid w:val="00C80F99"/>
    <w:rsid w:val="00C83F4E"/>
    <w:rsid w:val="00C84C30"/>
    <w:rsid w:val="00C87B9B"/>
    <w:rsid w:val="00C908C7"/>
    <w:rsid w:val="00C9264E"/>
    <w:rsid w:val="00C92805"/>
    <w:rsid w:val="00C96164"/>
    <w:rsid w:val="00CA16F3"/>
    <w:rsid w:val="00CA17C4"/>
    <w:rsid w:val="00CA3403"/>
    <w:rsid w:val="00CA37B1"/>
    <w:rsid w:val="00CA3FD8"/>
    <w:rsid w:val="00CA5021"/>
    <w:rsid w:val="00CA575B"/>
    <w:rsid w:val="00CB1488"/>
    <w:rsid w:val="00CB1959"/>
    <w:rsid w:val="00CB40BD"/>
    <w:rsid w:val="00CC0FD1"/>
    <w:rsid w:val="00CC1D45"/>
    <w:rsid w:val="00CC741B"/>
    <w:rsid w:val="00CC79E9"/>
    <w:rsid w:val="00CC7AC1"/>
    <w:rsid w:val="00CD0E4B"/>
    <w:rsid w:val="00CD2097"/>
    <w:rsid w:val="00CD2EBB"/>
    <w:rsid w:val="00CD3F5D"/>
    <w:rsid w:val="00CD4AD4"/>
    <w:rsid w:val="00CE2CF5"/>
    <w:rsid w:val="00CE4C89"/>
    <w:rsid w:val="00CF07BA"/>
    <w:rsid w:val="00CF21A3"/>
    <w:rsid w:val="00CF4A8A"/>
    <w:rsid w:val="00D00757"/>
    <w:rsid w:val="00D0296C"/>
    <w:rsid w:val="00D05E55"/>
    <w:rsid w:val="00D1231A"/>
    <w:rsid w:val="00D15BA5"/>
    <w:rsid w:val="00D167B7"/>
    <w:rsid w:val="00D20A30"/>
    <w:rsid w:val="00D20BC7"/>
    <w:rsid w:val="00D2641E"/>
    <w:rsid w:val="00D3068D"/>
    <w:rsid w:val="00D3170B"/>
    <w:rsid w:val="00D32D6F"/>
    <w:rsid w:val="00D34D5D"/>
    <w:rsid w:val="00D356AB"/>
    <w:rsid w:val="00D37B04"/>
    <w:rsid w:val="00D45555"/>
    <w:rsid w:val="00D4628C"/>
    <w:rsid w:val="00D479B5"/>
    <w:rsid w:val="00D52A37"/>
    <w:rsid w:val="00D540C6"/>
    <w:rsid w:val="00D56455"/>
    <w:rsid w:val="00D64BD1"/>
    <w:rsid w:val="00D71F34"/>
    <w:rsid w:val="00D7310B"/>
    <w:rsid w:val="00D85F0B"/>
    <w:rsid w:val="00D878C5"/>
    <w:rsid w:val="00D90B37"/>
    <w:rsid w:val="00D92254"/>
    <w:rsid w:val="00D924D3"/>
    <w:rsid w:val="00D959B5"/>
    <w:rsid w:val="00D9677C"/>
    <w:rsid w:val="00DA1B52"/>
    <w:rsid w:val="00DA2A5D"/>
    <w:rsid w:val="00DA4B3C"/>
    <w:rsid w:val="00DA666A"/>
    <w:rsid w:val="00DC0996"/>
    <w:rsid w:val="00DC238C"/>
    <w:rsid w:val="00DC50D5"/>
    <w:rsid w:val="00DC5A4E"/>
    <w:rsid w:val="00DC6D78"/>
    <w:rsid w:val="00DD3E88"/>
    <w:rsid w:val="00DE084C"/>
    <w:rsid w:val="00DE5096"/>
    <w:rsid w:val="00DF2254"/>
    <w:rsid w:val="00DF68CF"/>
    <w:rsid w:val="00E0138E"/>
    <w:rsid w:val="00E0497E"/>
    <w:rsid w:val="00E055AB"/>
    <w:rsid w:val="00E105A6"/>
    <w:rsid w:val="00E14E3E"/>
    <w:rsid w:val="00E14E55"/>
    <w:rsid w:val="00E14F51"/>
    <w:rsid w:val="00E15A6C"/>
    <w:rsid w:val="00E1666D"/>
    <w:rsid w:val="00E16D5F"/>
    <w:rsid w:val="00E20945"/>
    <w:rsid w:val="00E221FA"/>
    <w:rsid w:val="00E22EF6"/>
    <w:rsid w:val="00E300CD"/>
    <w:rsid w:val="00E3076E"/>
    <w:rsid w:val="00E30B81"/>
    <w:rsid w:val="00E32094"/>
    <w:rsid w:val="00E3330D"/>
    <w:rsid w:val="00E357B7"/>
    <w:rsid w:val="00E40E8B"/>
    <w:rsid w:val="00E410F8"/>
    <w:rsid w:val="00E42990"/>
    <w:rsid w:val="00E42E50"/>
    <w:rsid w:val="00E4584F"/>
    <w:rsid w:val="00E46FB7"/>
    <w:rsid w:val="00E5040E"/>
    <w:rsid w:val="00E532A8"/>
    <w:rsid w:val="00E53800"/>
    <w:rsid w:val="00E575DC"/>
    <w:rsid w:val="00E6081F"/>
    <w:rsid w:val="00E614AA"/>
    <w:rsid w:val="00E624EC"/>
    <w:rsid w:val="00E70C37"/>
    <w:rsid w:val="00E73B3E"/>
    <w:rsid w:val="00E7493B"/>
    <w:rsid w:val="00E8296D"/>
    <w:rsid w:val="00E8457B"/>
    <w:rsid w:val="00E944AA"/>
    <w:rsid w:val="00EA04B2"/>
    <w:rsid w:val="00EA20F3"/>
    <w:rsid w:val="00EA2C69"/>
    <w:rsid w:val="00EA36D9"/>
    <w:rsid w:val="00EA4300"/>
    <w:rsid w:val="00EA5B07"/>
    <w:rsid w:val="00EA6C85"/>
    <w:rsid w:val="00EB5AF1"/>
    <w:rsid w:val="00EC1BCB"/>
    <w:rsid w:val="00EC2B54"/>
    <w:rsid w:val="00EC608A"/>
    <w:rsid w:val="00EC6D38"/>
    <w:rsid w:val="00ED179A"/>
    <w:rsid w:val="00ED18EE"/>
    <w:rsid w:val="00ED2831"/>
    <w:rsid w:val="00ED3B2D"/>
    <w:rsid w:val="00ED43D1"/>
    <w:rsid w:val="00ED6E38"/>
    <w:rsid w:val="00EE0466"/>
    <w:rsid w:val="00EE04BF"/>
    <w:rsid w:val="00EE1CFF"/>
    <w:rsid w:val="00EE2966"/>
    <w:rsid w:val="00EE4EE1"/>
    <w:rsid w:val="00EE57BD"/>
    <w:rsid w:val="00EE64B0"/>
    <w:rsid w:val="00EF4574"/>
    <w:rsid w:val="00F003E0"/>
    <w:rsid w:val="00F01921"/>
    <w:rsid w:val="00F01A78"/>
    <w:rsid w:val="00F048E3"/>
    <w:rsid w:val="00F06982"/>
    <w:rsid w:val="00F13373"/>
    <w:rsid w:val="00F1348C"/>
    <w:rsid w:val="00F162A4"/>
    <w:rsid w:val="00F1646E"/>
    <w:rsid w:val="00F20898"/>
    <w:rsid w:val="00F23A94"/>
    <w:rsid w:val="00F258BF"/>
    <w:rsid w:val="00F25A93"/>
    <w:rsid w:val="00F2684E"/>
    <w:rsid w:val="00F27235"/>
    <w:rsid w:val="00F30C5A"/>
    <w:rsid w:val="00F32F70"/>
    <w:rsid w:val="00F45486"/>
    <w:rsid w:val="00F47942"/>
    <w:rsid w:val="00F53309"/>
    <w:rsid w:val="00F53E91"/>
    <w:rsid w:val="00F5404C"/>
    <w:rsid w:val="00F55791"/>
    <w:rsid w:val="00F64397"/>
    <w:rsid w:val="00F650C7"/>
    <w:rsid w:val="00F67C6A"/>
    <w:rsid w:val="00F70504"/>
    <w:rsid w:val="00F707E0"/>
    <w:rsid w:val="00F71CB4"/>
    <w:rsid w:val="00F729EF"/>
    <w:rsid w:val="00F732F5"/>
    <w:rsid w:val="00F746B7"/>
    <w:rsid w:val="00F760AE"/>
    <w:rsid w:val="00F77CAE"/>
    <w:rsid w:val="00F82271"/>
    <w:rsid w:val="00F83428"/>
    <w:rsid w:val="00F841BD"/>
    <w:rsid w:val="00F875A8"/>
    <w:rsid w:val="00F90B17"/>
    <w:rsid w:val="00F96BB9"/>
    <w:rsid w:val="00F97016"/>
    <w:rsid w:val="00F975C0"/>
    <w:rsid w:val="00FA4D1A"/>
    <w:rsid w:val="00FA5EFD"/>
    <w:rsid w:val="00FC1216"/>
    <w:rsid w:val="00FC5365"/>
    <w:rsid w:val="00FD1850"/>
    <w:rsid w:val="00FD365C"/>
    <w:rsid w:val="00FD710F"/>
    <w:rsid w:val="00FE6D51"/>
    <w:rsid w:val="00FE6F2A"/>
    <w:rsid w:val="00FF0590"/>
    <w:rsid w:val="00FF551B"/>
    <w:rsid w:val="0170D258"/>
    <w:rsid w:val="095A07B7"/>
    <w:rsid w:val="0AE51915"/>
    <w:rsid w:val="0D5E54C7"/>
    <w:rsid w:val="0F6BA3DC"/>
    <w:rsid w:val="0F8DCA72"/>
    <w:rsid w:val="11A6155E"/>
    <w:rsid w:val="1355771B"/>
    <w:rsid w:val="1655582E"/>
    <w:rsid w:val="19AA6DF4"/>
    <w:rsid w:val="1B79C681"/>
    <w:rsid w:val="1C3B48A4"/>
    <w:rsid w:val="216EAD26"/>
    <w:rsid w:val="268A8AD9"/>
    <w:rsid w:val="27A26595"/>
    <w:rsid w:val="27E255B0"/>
    <w:rsid w:val="2809C733"/>
    <w:rsid w:val="283827E3"/>
    <w:rsid w:val="283927FE"/>
    <w:rsid w:val="293BBDE6"/>
    <w:rsid w:val="2ED38595"/>
    <w:rsid w:val="2F611BC9"/>
    <w:rsid w:val="303290BF"/>
    <w:rsid w:val="30E8FB7D"/>
    <w:rsid w:val="311FEC3F"/>
    <w:rsid w:val="35465183"/>
    <w:rsid w:val="369FE1DB"/>
    <w:rsid w:val="37BAD247"/>
    <w:rsid w:val="3B39F75E"/>
    <w:rsid w:val="3D5016C2"/>
    <w:rsid w:val="3E26D8EB"/>
    <w:rsid w:val="40210374"/>
    <w:rsid w:val="46D88547"/>
    <w:rsid w:val="48685EE6"/>
    <w:rsid w:val="497BE611"/>
    <w:rsid w:val="4A469CFF"/>
    <w:rsid w:val="4FAE33EC"/>
    <w:rsid w:val="504AAB41"/>
    <w:rsid w:val="504D105F"/>
    <w:rsid w:val="552E45E1"/>
    <w:rsid w:val="56710853"/>
    <w:rsid w:val="59E03729"/>
    <w:rsid w:val="5CB7DC15"/>
    <w:rsid w:val="61DBF450"/>
    <w:rsid w:val="633A1412"/>
    <w:rsid w:val="6689477D"/>
    <w:rsid w:val="67989432"/>
    <w:rsid w:val="68D33EFF"/>
    <w:rsid w:val="699C8F64"/>
    <w:rsid w:val="6C630464"/>
    <w:rsid w:val="6D9F858A"/>
    <w:rsid w:val="701E2229"/>
    <w:rsid w:val="7301429C"/>
    <w:rsid w:val="74A6A0A7"/>
    <w:rsid w:val="79B67BC9"/>
    <w:rsid w:val="7AA7FDC3"/>
    <w:rsid w:val="7F8A1750"/>
    <w:rsid w:val="7FADF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4297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76289C"/>
    <w:pPr>
      <w:spacing w:before="240" w:after="120" w:line="240" w:lineRule="auto"/>
      <w:outlineLvl w:val="1"/>
    </w:pPr>
    <w:rPr>
      <w:bCs w:val="0"/>
      <w:sz w:val="22"/>
      <w:szCs w:val="26"/>
    </w:rPr>
  </w:style>
  <w:style w:type="paragraph" w:styleId="Heading3">
    <w:name w:val="heading 3"/>
    <w:basedOn w:val="Heading2"/>
    <w:next w:val="Normal"/>
    <w:link w:val="Heading3Char"/>
    <w:autoRedefine/>
    <w:uiPriority w:val="9"/>
    <w:unhideWhenUsed/>
    <w:qFormat/>
    <w:rsid w:val="00B42D44"/>
    <w:pPr>
      <w:spacing w:after="240"/>
      <w:outlineLvl w:val="2"/>
    </w:pPr>
    <w:rPr>
      <w:rFonts w:asciiTheme="minorHAnsi" w:hAnsiTheme="minorHAnsi" w:cstheme="minorHAnsi"/>
      <w:bCs/>
      <w:iCs/>
      <w:caps w:val="0"/>
      <w:szCs w:val="22"/>
    </w:rPr>
  </w:style>
  <w:style w:type="paragraph" w:styleId="Heading4">
    <w:name w:val="heading 4"/>
    <w:basedOn w:val="Heading3"/>
    <w:next w:val="Normal"/>
    <w:link w:val="Heading4Char"/>
    <w:uiPriority w:val="9"/>
    <w:unhideWhenUsed/>
    <w:qFormat/>
    <w:rsid w:val="00A4144F"/>
    <w:pPr>
      <w:spacing w:line="280" w:lineRule="atLeast"/>
      <w:outlineLvl w:val="3"/>
    </w:pPr>
    <w:rPr>
      <w:iCs w:val="0"/>
    </w:rPr>
  </w:style>
  <w:style w:type="paragraph" w:styleId="Heading5">
    <w:name w:val="heading 5"/>
    <w:basedOn w:val="Heading4"/>
    <w:next w:val="Normal"/>
    <w:link w:val="Heading5Char"/>
    <w:uiPriority w:val="9"/>
    <w:unhideWhenUsed/>
    <w:qFormat/>
    <w:rsid w:val="00B71AD8"/>
    <w:pPr>
      <w:spacing w:line="200" w:lineRule="atLeast"/>
      <w:outlineLvl w:val="4"/>
    </w:pPr>
    <w:rPr>
      <w:b w:val="0"/>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76289C"/>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B42D44"/>
    <w:rPr>
      <w:rFonts w:eastAsiaTheme="majorEastAsia" w:cstheme="minorHAnsi"/>
      <w:b/>
      <w:bCs/>
      <w:iCs/>
      <w:color w:val="495965" w:themeColor="text2"/>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11"/>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8"/>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after="60"/>
    </w:pPr>
    <w:rPr>
      <w:bCs/>
    </w:rPr>
  </w:style>
  <w:style w:type="paragraph" w:customStyle="1" w:styleId="Heading3Numbered">
    <w:name w:val="Heading 3 Numbered"/>
    <w:basedOn w:val="Heading3"/>
    <w:next w:val="Normal"/>
    <w:qFormat/>
    <w:rsid w:val="00ED2831"/>
    <w:pPr>
      <w:numPr>
        <w:ilvl w:val="2"/>
        <w:numId w:val="7"/>
      </w:numPr>
      <w:spacing w:before="300" w:after="60"/>
    </w:pPr>
  </w:style>
  <w:style w:type="numbering" w:customStyle="1" w:styleId="BulletsList">
    <w:name w:val="Bullets List"/>
    <w:uiPriority w:val="99"/>
    <w:rsid w:val="00B71AD8"/>
    <w:pPr>
      <w:numPr>
        <w:numId w:val="2"/>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4"/>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5"/>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6"/>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9"/>
      </w:numPr>
      <w:ind w:left="454" w:hanging="170"/>
    </w:pPr>
  </w:style>
  <w:style w:type="paragraph" w:customStyle="1" w:styleId="Box2Bullet">
    <w:name w:val="Box 2 Bullet"/>
    <w:basedOn w:val="Box2Text"/>
    <w:qFormat/>
    <w:rsid w:val="00C42541"/>
    <w:pPr>
      <w:numPr>
        <w:numId w:val="10"/>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table" w:styleId="GridTable4-Accent1">
    <w:name w:val="Grid Table 4 Accent 1"/>
    <w:basedOn w:val="TableNormal"/>
    <w:uiPriority w:val="49"/>
    <w:locked/>
    <w:rsid w:val="00DC238C"/>
    <w:pPr>
      <w:spacing w:after="0" w:line="240" w:lineRule="auto"/>
    </w:pPr>
    <w:tblPr>
      <w:tblStyleRowBandSize w:val="1"/>
      <w:tblStyleColBandSize w:val="1"/>
      <w:tblBorders>
        <w:top w:val="single" w:sz="4" w:space="0" w:color="A2DCD1" w:themeColor="accent1" w:themeTint="99"/>
        <w:left w:val="single" w:sz="4" w:space="0" w:color="A2DCD1" w:themeColor="accent1" w:themeTint="99"/>
        <w:bottom w:val="single" w:sz="4" w:space="0" w:color="A2DCD1" w:themeColor="accent1" w:themeTint="99"/>
        <w:right w:val="single" w:sz="4" w:space="0" w:color="A2DCD1" w:themeColor="accent1" w:themeTint="99"/>
        <w:insideH w:val="single" w:sz="4" w:space="0" w:color="A2DCD1" w:themeColor="accent1" w:themeTint="99"/>
        <w:insideV w:val="single" w:sz="4" w:space="0" w:color="A2DCD1" w:themeColor="accent1" w:themeTint="99"/>
      </w:tblBorders>
    </w:tblPr>
    <w:tblStylePr w:type="firstRow">
      <w:rPr>
        <w:b/>
        <w:bCs/>
        <w:color w:val="FFFFFF" w:themeColor="background1"/>
      </w:rPr>
      <w:tblPr/>
      <w:tcPr>
        <w:tcBorders>
          <w:top w:val="single" w:sz="4" w:space="0" w:color="65C5B4" w:themeColor="accent1"/>
          <w:left w:val="single" w:sz="4" w:space="0" w:color="65C5B4" w:themeColor="accent1"/>
          <w:bottom w:val="single" w:sz="4" w:space="0" w:color="65C5B4" w:themeColor="accent1"/>
          <w:right w:val="single" w:sz="4" w:space="0" w:color="65C5B4" w:themeColor="accent1"/>
          <w:insideH w:val="nil"/>
          <w:insideV w:val="nil"/>
        </w:tcBorders>
        <w:shd w:val="clear" w:color="auto" w:fill="65C5B4" w:themeFill="accent1"/>
      </w:tcPr>
    </w:tblStylePr>
    <w:tblStylePr w:type="lastRow">
      <w:rPr>
        <w:b/>
        <w:bCs/>
      </w:rPr>
      <w:tblPr/>
      <w:tcPr>
        <w:tcBorders>
          <w:top w:val="double" w:sz="4" w:space="0" w:color="65C5B4" w:themeColor="accent1"/>
        </w:tcBorders>
      </w:tcPr>
    </w:tblStylePr>
    <w:tblStylePr w:type="firstCol">
      <w:rPr>
        <w:b/>
        <w:bCs/>
      </w:rPr>
    </w:tblStylePr>
    <w:tblStylePr w:type="lastCol">
      <w:rPr>
        <w:b/>
        <w:bCs/>
      </w:rPr>
    </w:tblStylePr>
    <w:tblStylePr w:type="band1Vert">
      <w:tblPr/>
      <w:tcPr>
        <w:shd w:val="clear" w:color="auto" w:fill="E0F3EF" w:themeFill="accent1" w:themeFillTint="33"/>
      </w:tcPr>
    </w:tblStylePr>
    <w:tblStylePr w:type="band1Horz">
      <w:tblPr/>
      <w:tcPr>
        <w:shd w:val="clear" w:color="auto" w:fill="E0F3EF" w:themeFill="accent1" w:themeFillTint="33"/>
      </w:tcPr>
    </w:tblStylePr>
  </w:style>
  <w:style w:type="table" w:customStyle="1" w:styleId="APPR">
    <w:name w:val="APPR"/>
    <w:basedOn w:val="TableNormal"/>
    <w:uiPriority w:val="99"/>
    <w:rsid w:val="00681633"/>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HTMLPreformatted">
    <w:name w:val="HTML Preformatted"/>
    <w:basedOn w:val="Normal"/>
    <w:link w:val="HTMLPreformattedChar"/>
    <w:uiPriority w:val="99"/>
    <w:semiHidden/>
    <w:unhideWhenUsed/>
    <w:locked/>
    <w:rsid w:val="008C1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semiHidden/>
    <w:rsid w:val="008C1F60"/>
    <w:rPr>
      <w:rFonts w:ascii="Courier New" w:eastAsia="Times New Roman" w:hAnsi="Courier New" w:cs="Courier New"/>
      <w:sz w:val="20"/>
      <w:szCs w:val="20"/>
      <w:lang w:eastAsia="en-AU"/>
    </w:rPr>
  </w:style>
  <w:style w:type="character" w:customStyle="1" w:styleId="y2iqfc">
    <w:name w:val="y2iqfc"/>
    <w:basedOn w:val="DefaultParagraphFont"/>
    <w:rsid w:val="008C1F60"/>
  </w:style>
  <w:style w:type="character" w:styleId="UnresolvedMention">
    <w:name w:val="Unresolved Mention"/>
    <w:basedOn w:val="DefaultParagraphFont"/>
    <w:uiPriority w:val="99"/>
    <w:semiHidden/>
    <w:unhideWhenUsed/>
    <w:rsid w:val="00844737"/>
    <w:rPr>
      <w:color w:val="605E5C"/>
      <w:shd w:val="clear" w:color="auto" w:fill="E1DFDD"/>
    </w:rPr>
  </w:style>
  <w:style w:type="character" w:styleId="FollowedHyperlink">
    <w:name w:val="FollowedHyperlink"/>
    <w:basedOn w:val="DefaultParagraphFont"/>
    <w:uiPriority w:val="99"/>
    <w:semiHidden/>
    <w:unhideWhenUsed/>
    <w:rsid w:val="00FD710F"/>
    <w:rPr>
      <w:color w:val="800080" w:themeColor="followedHyperlink"/>
      <w:u w:val="single"/>
    </w:rPr>
  </w:style>
  <w:style w:type="paragraph" w:styleId="Revision">
    <w:name w:val="Revision"/>
    <w:hidden/>
    <w:uiPriority w:val="99"/>
    <w:semiHidden/>
    <w:rsid w:val="0076289C"/>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5653">
      <w:bodyDiv w:val="1"/>
      <w:marLeft w:val="0"/>
      <w:marRight w:val="0"/>
      <w:marTop w:val="0"/>
      <w:marBottom w:val="0"/>
      <w:divBdr>
        <w:top w:val="none" w:sz="0" w:space="0" w:color="auto"/>
        <w:left w:val="none" w:sz="0" w:space="0" w:color="auto"/>
        <w:bottom w:val="none" w:sz="0" w:space="0" w:color="auto"/>
        <w:right w:val="none" w:sz="0" w:space="0" w:color="auto"/>
      </w:divBdr>
    </w:div>
    <w:div w:id="86273484">
      <w:bodyDiv w:val="1"/>
      <w:marLeft w:val="0"/>
      <w:marRight w:val="0"/>
      <w:marTop w:val="0"/>
      <w:marBottom w:val="0"/>
      <w:divBdr>
        <w:top w:val="none" w:sz="0" w:space="0" w:color="auto"/>
        <w:left w:val="none" w:sz="0" w:space="0" w:color="auto"/>
        <w:bottom w:val="none" w:sz="0" w:space="0" w:color="auto"/>
        <w:right w:val="none" w:sz="0" w:space="0" w:color="auto"/>
      </w:divBdr>
    </w:div>
    <w:div w:id="141391885">
      <w:bodyDiv w:val="1"/>
      <w:marLeft w:val="0"/>
      <w:marRight w:val="0"/>
      <w:marTop w:val="0"/>
      <w:marBottom w:val="0"/>
      <w:divBdr>
        <w:top w:val="none" w:sz="0" w:space="0" w:color="auto"/>
        <w:left w:val="none" w:sz="0" w:space="0" w:color="auto"/>
        <w:bottom w:val="none" w:sz="0" w:space="0" w:color="auto"/>
        <w:right w:val="none" w:sz="0" w:space="0" w:color="auto"/>
      </w:divBdr>
    </w:div>
    <w:div w:id="618267863">
      <w:bodyDiv w:val="1"/>
      <w:marLeft w:val="0"/>
      <w:marRight w:val="0"/>
      <w:marTop w:val="0"/>
      <w:marBottom w:val="0"/>
      <w:divBdr>
        <w:top w:val="none" w:sz="0" w:space="0" w:color="auto"/>
        <w:left w:val="none" w:sz="0" w:space="0" w:color="auto"/>
        <w:bottom w:val="none" w:sz="0" w:space="0" w:color="auto"/>
        <w:right w:val="none" w:sz="0" w:space="0" w:color="auto"/>
      </w:divBdr>
    </w:div>
    <w:div w:id="807549660">
      <w:bodyDiv w:val="1"/>
      <w:marLeft w:val="0"/>
      <w:marRight w:val="0"/>
      <w:marTop w:val="0"/>
      <w:marBottom w:val="0"/>
      <w:divBdr>
        <w:top w:val="none" w:sz="0" w:space="0" w:color="auto"/>
        <w:left w:val="none" w:sz="0" w:space="0" w:color="auto"/>
        <w:bottom w:val="none" w:sz="0" w:space="0" w:color="auto"/>
        <w:right w:val="none" w:sz="0" w:space="0" w:color="auto"/>
      </w:divBdr>
    </w:div>
    <w:div w:id="1208830816">
      <w:bodyDiv w:val="1"/>
      <w:marLeft w:val="0"/>
      <w:marRight w:val="0"/>
      <w:marTop w:val="0"/>
      <w:marBottom w:val="0"/>
      <w:divBdr>
        <w:top w:val="none" w:sz="0" w:space="0" w:color="auto"/>
        <w:left w:val="none" w:sz="0" w:space="0" w:color="auto"/>
        <w:bottom w:val="none" w:sz="0" w:space="0" w:color="auto"/>
        <w:right w:val="none" w:sz="0" w:space="0" w:color="auto"/>
      </w:divBdr>
    </w:div>
    <w:div w:id="1384406400">
      <w:bodyDiv w:val="1"/>
      <w:marLeft w:val="0"/>
      <w:marRight w:val="0"/>
      <w:marTop w:val="0"/>
      <w:marBottom w:val="0"/>
      <w:divBdr>
        <w:top w:val="none" w:sz="0" w:space="0" w:color="auto"/>
        <w:left w:val="none" w:sz="0" w:space="0" w:color="auto"/>
        <w:bottom w:val="none" w:sz="0" w:space="0" w:color="auto"/>
        <w:right w:val="none" w:sz="0" w:space="0" w:color="auto"/>
      </w:divBdr>
    </w:div>
    <w:div w:id="1394888277">
      <w:bodyDiv w:val="1"/>
      <w:marLeft w:val="0"/>
      <w:marRight w:val="0"/>
      <w:marTop w:val="0"/>
      <w:marBottom w:val="0"/>
      <w:divBdr>
        <w:top w:val="none" w:sz="0" w:space="0" w:color="auto"/>
        <w:left w:val="none" w:sz="0" w:space="0" w:color="auto"/>
        <w:bottom w:val="none" w:sz="0" w:space="0" w:color="auto"/>
        <w:right w:val="none" w:sz="0" w:space="0" w:color="auto"/>
      </w:divBdr>
    </w:div>
    <w:div w:id="1406344680">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 w:id="186485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9D400-8AF7-4434-87B4-1127DA622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2339</Words>
  <Characters>14111</Characters>
  <Application>Microsoft Office Word</Application>
  <DocSecurity>0</DocSecurity>
  <Lines>267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2022-12-20T07:58:00Z</dcterms:created>
  <dcterms:modified xsi:type="dcterms:W3CDTF">2022-12-20T07:58:00Z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inimumSecurityClassification">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63FA5E0138FE4A06847B5F31F02136CD</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2022-12-20T07:58:21Z</vt:lpwstr>
  </property>
  <property fmtid="{D5CDD505-2E9C-101B-9397-08002B2CF9AE}" pid="13" name="PM_ProtectiveMarkingImage_Header">
    <vt:lpwstr>C:\Program Files (x86)\Common Files\janusNET Shared\janusSEAL\Images\DocumentSlashBlue.png</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Hash_Version">
    <vt:lpwstr>2018.0</vt:lpwstr>
  </property>
  <property fmtid="{D5CDD505-2E9C-101B-9397-08002B2CF9AE}" pid="20" name="PM_Hash_Salt_Prev">
    <vt:lpwstr>CE235853CDC7BAB48769D2255BD59FC3</vt:lpwstr>
  </property>
  <property fmtid="{D5CDD505-2E9C-101B-9397-08002B2CF9AE}" pid="21" name="PM_Hash_Salt">
    <vt:lpwstr>8A9F4EE9F6BBFF1E3C173B213AAD643A</vt:lpwstr>
  </property>
  <property fmtid="{D5CDD505-2E9C-101B-9397-08002B2CF9AE}" pid="22" name="PM_Hash_SHA1">
    <vt:lpwstr>C602D638684D2C65C1AA9E263893857FF4A40C8B</vt:lpwstr>
  </property>
  <property fmtid="{D5CDD505-2E9C-101B-9397-08002B2CF9AE}" pid="23" name="PM_SecurityClassification_Prev">
    <vt:lpwstr>OFFICIAL</vt:lpwstr>
  </property>
  <property fmtid="{D5CDD505-2E9C-101B-9397-08002B2CF9AE}" pid="24" name="PM_Qualifier_Prev">
    <vt:lpwstr/>
  </property>
  <property fmtid="{D5CDD505-2E9C-101B-9397-08002B2CF9AE}" pid="25" name="PM_Display">
    <vt:lpwstr>OFFICIAL</vt:lpwstr>
  </property>
  <property fmtid="{D5CDD505-2E9C-101B-9397-08002B2CF9AE}" pid="26" name="PM_OriginatorUserAccountName_SHA256">
    <vt:lpwstr>290C9CFCFE70E139C4500567FB5830ACF9049F26A1998DDACA65669D45D5D2AD</vt:lpwstr>
  </property>
  <property fmtid="{D5CDD505-2E9C-101B-9397-08002B2CF9AE}" pid="27" name="PM_OriginatorDomainName_SHA256">
    <vt:lpwstr>6F3591835F3B2A8A025B00B5BA6418010DA3A17C9C26EA9C049FFD28039489A2</vt:lpwstr>
  </property>
  <property fmtid="{D5CDD505-2E9C-101B-9397-08002B2CF9AE}" pid="28" name="PMUuid">
    <vt:lpwstr>ABBFF5E2-9674-55C9-B08D-C9980002FD58</vt:lpwstr>
  </property>
  <property fmtid="{D5CDD505-2E9C-101B-9397-08002B2CF9AE}" pid="29" name="PMUuidVer">
    <vt:lpwstr>2022.1</vt:lpwstr>
  </property>
</Properties>
</file>