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7E97" w14:textId="5DB3F13C" w:rsidR="00252B8B" w:rsidRPr="009F1080" w:rsidRDefault="00252B8B" w:rsidP="00252B8B">
      <w:pPr>
        <w:spacing w:after="0" w:line="240" w:lineRule="auto"/>
        <w:rPr>
          <w:rFonts w:ascii="Times New Roman" w:eastAsia="Times New Roman" w:hAnsi="Times New Roman" w:cs="Times New Roman"/>
          <w:sz w:val="24"/>
          <w:szCs w:val="24"/>
          <w:lang w:eastAsia="en-AU"/>
        </w:rPr>
      </w:pPr>
      <w:r w:rsidRPr="009F1080">
        <w:rPr>
          <w:rFonts w:asciiTheme="majorHAnsi" w:eastAsiaTheme="majorEastAsia" w:hAnsiTheme="majorHAnsi" w:cstheme="majorBidi"/>
          <w:b/>
          <w:bCs/>
          <w:color w:val="000000" w:themeColor="text1"/>
          <w:sz w:val="56"/>
          <w:szCs w:val="56"/>
          <w:lang w:eastAsia="en-AU"/>
        </w:rPr>
        <w:t>Partnerships for Recovery –</w:t>
      </w:r>
      <w:r>
        <w:rPr>
          <w:rFonts w:asciiTheme="majorHAnsi" w:eastAsiaTheme="majorEastAsia" w:hAnsiTheme="majorHAnsi" w:cstheme="majorBidi"/>
          <w:b/>
          <w:bCs/>
          <w:color w:val="000000" w:themeColor="text1"/>
          <w:sz w:val="56"/>
          <w:szCs w:val="56"/>
          <w:lang w:eastAsia="en-AU"/>
        </w:rPr>
        <w:t xml:space="preserve"> Health Security</w:t>
      </w:r>
      <w:r w:rsidRPr="009F1080">
        <w:rPr>
          <w:rFonts w:eastAsia="Gill Sans MT" w:hAnsi="Calibri" w:cs="Times New Roman"/>
          <w:b/>
          <w:bCs/>
          <w:color w:val="000000" w:themeColor="text1"/>
          <w:kern w:val="24"/>
          <w:sz w:val="64"/>
          <w:szCs w:val="64"/>
          <w:lang w:val="en-GB" w:eastAsia="en-AU"/>
        </w:rPr>
        <w:br/>
      </w:r>
      <w:r w:rsidRPr="009F1080">
        <w:rPr>
          <w:rFonts w:asciiTheme="majorHAnsi" w:eastAsiaTheme="majorEastAsia" w:hAnsiTheme="majorHAnsi" w:cstheme="majorHAnsi"/>
          <w:color w:val="000000" w:themeColor="text1"/>
          <w:sz w:val="36"/>
          <w:szCs w:val="36"/>
        </w:rPr>
        <w:t xml:space="preserve">Development results delivered by Australia: </w:t>
      </w:r>
      <w:r w:rsidRPr="009F1080">
        <w:rPr>
          <w:rFonts w:asciiTheme="majorHAnsi" w:eastAsia="Gill Sans MT" w:hAnsiTheme="majorHAnsi" w:cstheme="majorHAnsi"/>
          <w:color w:val="000000"/>
          <w:kern w:val="24"/>
          <w:sz w:val="36"/>
          <w:szCs w:val="36"/>
          <w:lang w:val="en-GB"/>
        </w:rPr>
        <w:t>1 July 202</w:t>
      </w:r>
      <w:r>
        <w:rPr>
          <w:rFonts w:asciiTheme="majorHAnsi" w:eastAsia="Gill Sans MT" w:hAnsiTheme="majorHAnsi" w:cstheme="majorHAnsi"/>
          <w:color w:val="000000"/>
          <w:kern w:val="24"/>
          <w:sz w:val="36"/>
          <w:szCs w:val="36"/>
          <w:lang w:val="en-GB"/>
        </w:rPr>
        <w:t>1</w:t>
      </w:r>
      <w:r w:rsidRPr="009F1080">
        <w:rPr>
          <w:rFonts w:asciiTheme="majorHAnsi" w:eastAsia="Gill Sans MT" w:hAnsiTheme="majorHAnsi" w:cstheme="majorHAnsi"/>
          <w:color w:val="000000"/>
          <w:kern w:val="24"/>
          <w:sz w:val="36"/>
          <w:szCs w:val="36"/>
          <w:lang w:val="en-GB"/>
        </w:rPr>
        <w:t xml:space="preserve"> to 30 June 202</w:t>
      </w:r>
      <w:r>
        <w:rPr>
          <w:rFonts w:asciiTheme="majorHAnsi" w:eastAsia="Gill Sans MT" w:hAnsiTheme="majorHAnsi" w:cstheme="majorHAnsi"/>
          <w:color w:val="000000"/>
          <w:kern w:val="24"/>
          <w:sz w:val="36"/>
          <w:szCs w:val="36"/>
          <w:lang w:val="en-GB"/>
        </w:rPr>
        <w:t>2</w:t>
      </w:r>
    </w:p>
    <w:p w14:paraId="2946D495" w14:textId="77777777" w:rsidR="00252B8B" w:rsidRPr="00122087" w:rsidRDefault="00252B8B" w:rsidP="00252B8B">
      <w:pPr>
        <w:spacing w:after="0" w:line="240" w:lineRule="auto"/>
        <w:contextualSpacing/>
        <w:rPr>
          <w:sz w:val="24"/>
          <w:szCs w:val="24"/>
        </w:rPr>
      </w:pPr>
      <w:r w:rsidRPr="002E5130">
        <w:rPr>
          <w:sz w:val="24"/>
          <w:szCs w:val="24"/>
        </w:rPr>
        <w:t>Australia continued to play a critical role in health security for our region by delivering 109.2 million new or improved medical products such as therapeutics, diagnostics, vaccines a</w:t>
      </w:r>
      <w:r w:rsidRPr="00996D9F">
        <w:rPr>
          <w:sz w:val="24"/>
          <w:szCs w:val="24"/>
        </w:rPr>
        <w:t>nd additional equipment to partner countries. We work</w:t>
      </w:r>
      <w:r>
        <w:rPr>
          <w:sz w:val="24"/>
          <w:szCs w:val="24"/>
        </w:rPr>
        <w:t>ed</w:t>
      </w:r>
      <w:r w:rsidRPr="00996D9F">
        <w:rPr>
          <w:sz w:val="24"/>
          <w:szCs w:val="24"/>
        </w:rPr>
        <w:t xml:space="preserve"> closely with partner countries to prevent and build capacity to respond to outbreaks of COVID-19 while maintaining essential services, including routine immunisation, sexual and reproductiv</w:t>
      </w:r>
      <w:r w:rsidRPr="00122087">
        <w:rPr>
          <w:sz w:val="24"/>
          <w:szCs w:val="24"/>
        </w:rPr>
        <w:t>e health and rights, and chronic disease prevention and care. For example, Australia assisted many countries in the Pacific to effectively respond to their first COVID-19 outbreaks by providing technical expertise and health worker training, assisting with vaccination certification and testing, and supporting cold chain infrastructure. Australia provide</w:t>
      </w:r>
      <w:r>
        <w:rPr>
          <w:sz w:val="24"/>
          <w:szCs w:val="24"/>
        </w:rPr>
        <w:t>d</w:t>
      </w:r>
      <w:r w:rsidRPr="00122087">
        <w:rPr>
          <w:sz w:val="24"/>
          <w:szCs w:val="24"/>
        </w:rPr>
        <w:t xml:space="preserve"> access to safe and effective vaccines, providing over 39 million COVID-19 vaccine doses to countries in the Pacific and Southeast Asia in 2021-22 through Australia’s regional Vaccine Access and Health Security Initiative ($87.8 million in 2021–22) and commitments to the Quad Vaccine Partnership ($100 million in 2021–22).</w:t>
      </w:r>
    </w:p>
    <w:p w14:paraId="1D561366" w14:textId="77777777" w:rsidR="00252B8B" w:rsidRPr="00122087" w:rsidRDefault="00252B8B" w:rsidP="00252B8B">
      <w:pPr>
        <w:spacing w:after="0" w:line="240" w:lineRule="auto"/>
        <w:contextualSpacing/>
        <w:rPr>
          <w:sz w:val="24"/>
          <w:szCs w:val="24"/>
        </w:rPr>
      </w:pPr>
    </w:p>
    <w:p w14:paraId="0A32FD89" w14:textId="77777777" w:rsidR="00252B8B" w:rsidRPr="00252B8B" w:rsidRDefault="00252B8B" w:rsidP="00252B8B">
      <w:pPr>
        <w:spacing w:after="0" w:line="240" w:lineRule="auto"/>
        <w:contextualSpacing/>
        <w:rPr>
          <w:b/>
          <w:bCs/>
          <w:sz w:val="28"/>
          <w:szCs w:val="28"/>
        </w:rPr>
      </w:pPr>
      <w:r w:rsidRPr="00252B8B">
        <w:rPr>
          <w:b/>
          <w:bCs/>
          <w:sz w:val="28"/>
          <w:szCs w:val="28"/>
        </w:rPr>
        <w:t>Medical Products</w:t>
      </w:r>
    </w:p>
    <w:p w14:paraId="61351D33"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Therapeutics (COVID-19) – 24,909</w:t>
      </w:r>
    </w:p>
    <w:p w14:paraId="4DAE22B7"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Therapeutics (Non-COVID-19) – 40,850</w:t>
      </w:r>
    </w:p>
    <w:p w14:paraId="2C76A39E"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Diagnostics (COVID-19) – 1,093,861</w:t>
      </w:r>
    </w:p>
    <w:p w14:paraId="5E6FB5C5"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Diagnostics (Non-COVID-19) – 35,865</w:t>
      </w:r>
    </w:p>
    <w:p w14:paraId="7E9D2A71"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Vaccines (COVID-19) – 56,362,950</w:t>
      </w:r>
    </w:p>
    <w:p w14:paraId="6E72361F"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Vaccines (Non-COVID-19) – 10,000</w:t>
      </w:r>
    </w:p>
    <w:p w14:paraId="2E9333E1"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 xml:space="preserve">Additional Equipment (COVID-19) – 51,646,677 </w:t>
      </w:r>
    </w:p>
    <w:p w14:paraId="603A18E0"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Additional Equipment (Non-COVID-19) – 25,277</w:t>
      </w:r>
    </w:p>
    <w:p w14:paraId="2FD936EC"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TOTAL: Number of new or improved therapeutics, diagnostics, vaccines and additional equipment to which Australia has contributed that are accessible in partner countries in 2021-22 – 109,240,388</w:t>
      </w:r>
    </w:p>
    <w:p w14:paraId="3B1CC4A4" w14:textId="77777777" w:rsidR="00252B8B" w:rsidRPr="00122087" w:rsidRDefault="00252B8B" w:rsidP="00252B8B">
      <w:pPr>
        <w:spacing w:after="0" w:line="240" w:lineRule="auto"/>
        <w:contextualSpacing/>
        <w:rPr>
          <w:sz w:val="24"/>
          <w:szCs w:val="24"/>
        </w:rPr>
      </w:pPr>
    </w:p>
    <w:p w14:paraId="59B0974D" w14:textId="77777777" w:rsidR="00252B8B" w:rsidRPr="00252B8B" w:rsidRDefault="00252B8B" w:rsidP="00252B8B">
      <w:pPr>
        <w:spacing w:after="0" w:line="240" w:lineRule="auto"/>
        <w:contextualSpacing/>
        <w:rPr>
          <w:b/>
          <w:bCs/>
          <w:sz w:val="28"/>
          <w:szCs w:val="28"/>
        </w:rPr>
      </w:pPr>
      <w:r w:rsidRPr="00252B8B">
        <w:rPr>
          <w:b/>
          <w:bCs/>
          <w:sz w:val="28"/>
          <w:szCs w:val="28"/>
        </w:rPr>
        <w:t>Immunisation</w:t>
      </w:r>
    </w:p>
    <w:p w14:paraId="66A94900"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Primary vaccination courses against COVID-19 - 28,181,475*</w:t>
      </w:r>
    </w:p>
    <w:p w14:paraId="076271A6"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GAVI-supported child immunisation programs – 1,766,400</w:t>
      </w:r>
    </w:p>
    <w:p w14:paraId="66AEAF51" w14:textId="77777777" w:rsidR="00252B8B" w:rsidRPr="00252B8B" w:rsidRDefault="00252B8B" w:rsidP="00252B8B">
      <w:pPr>
        <w:spacing w:after="0" w:line="240" w:lineRule="auto"/>
        <w:contextualSpacing/>
        <w:rPr>
          <w:color w:val="000000" w:themeColor="text1"/>
          <w:sz w:val="24"/>
          <w:szCs w:val="24"/>
        </w:rPr>
      </w:pPr>
      <w:r w:rsidRPr="00252B8B">
        <w:rPr>
          <w:color w:val="000000" w:themeColor="text1"/>
          <w:sz w:val="24"/>
          <w:szCs w:val="24"/>
        </w:rPr>
        <w:t>Other ad hoc campaigns – 376,826</w:t>
      </w:r>
    </w:p>
    <w:p w14:paraId="5688913D" w14:textId="77777777" w:rsidR="00252B8B" w:rsidRPr="00122087" w:rsidRDefault="00252B8B" w:rsidP="00252B8B">
      <w:pPr>
        <w:spacing w:after="0" w:line="240" w:lineRule="auto"/>
        <w:contextualSpacing/>
        <w:rPr>
          <w:sz w:val="18"/>
          <w:szCs w:val="18"/>
        </w:rPr>
      </w:pPr>
      <w:r w:rsidRPr="00122087">
        <w:rPr>
          <w:b/>
          <w:bCs/>
          <w:sz w:val="18"/>
          <w:szCs w:val="18"/>
        </w:rPr>
        <w:t xml:space="preserve">* </w:t>
      </w:r>
      <w:proofErr w:type="gramStart"/>
      <w:r w:rsidRPr="00122087">
        <w:rPr>
          <w:b/>
          <w:bCs/>
          <w:sz w:val="18"/>
          <w:szCs w:val="18"/>
        </w:rPr>
        <w:t>this</w:t>
      </w:r>
      <w:proofErr w:type="gramEnd"/>
      <w:r w:rsidRPr="00122087">
        <w:rPr>
          <w:b/>
          <w:bCs/>
          <w:sz w:val="18"/>
          <w:szCs w:val="18"/>
        </w:rPr>
        <w:t xml:space="preserve"> represents two COVID-19 vaccine doses per person</w:t>
      </w:r>
    </w:p>
    <w:p w14:paraId="5038B0B1" w14:textId="77777777" w:rsidR="00252B8B" w:rsidRPr="002E5130" w:rsidRDefault="00252B8B" w:rsidP="00252B8B">
      <w:pPr>
        <w:spacing w:after="0" w:line="240" w:lineRule="auto"/>
        <w:contextualSpacing/>
        <w:rPr>
          <w:b/>
          <w:bCs/>
          <w:sz w:val="24"/>
          <w:szCs w:val="24"/>
        </w:rPr>
      </w:pPr>
    </w:p>
    <w:p w14:paraId="29DF66D8" w14:textId="77777777" w:rsidR="00252B8B" w:rsidRPr="00252B8B" w:rsidRDefault="00252B8B" w:rsidP="00252B8B">
      <w:pPr>
        <w:spacing w:after="0" w:line="240" w:lineRule="auto"/>
        <w:contextualSpacing/>
        <w:rPr>
          <w:b/>
          <w:bCs/>
          <w:sz w:val="28"/>
          <w:szCs w:val="28"/>
        </w:rPr>
      </w:pPr>
      <w:r w:rsidRPr="00252B8B">
        <w:rPr>
          <w:b/>
          <w:bCs/>
          <w:sz w:val="28"/>
          <w:szCs w:val="28"/>
        </w:rPr>
        <w:t>Sexual and Reproductive Health</w:t>
      </w:r>
    </w:p>
    <w:p w14:paraId="7A793F90" w14:textId="77777777" w:rsidR="00252B8B" w:rsidRPr="00252B8B" w:rsidRDefault="00252B8B" w:rsidP="00252B8B">
      <w:pPr>
        <w:pStyle w:val="NormalWeb"/>
        <w:spacing w:before="0" w:beforeAutospacing="0" w:after="0" w:afterAutospacing="0"/>
        <w:contextualSpacing/>
        <w:rPr>
          <w:rFonts w:ascii="Calibri" w:eastAsiaTheme="minorEastAsia" w:hAnsi="Calibri"/>
          <w:color w:val="000000" w:themeColor="text1"/>
          <w:kern w:val="24"/>
        </w:rPr>
      </w:pPr>
      <w:r w:rsidRPr="00252B8B">
        <w:rPr>
          <w:rFonts w:ascii="Calibri" w:eastAsiaTheme="minorEastAsia" w:hAnsi="Calibri"/>
          <w:color w:val="000000" w:themeColor="text1"/>
          <w:kern w:val="24"/>
        </w:rPr>
        <w:t>Contraceptive protection from unplanned pregnancies made available through Australian support (Couple Years of Protection) – 3.03 million</w:t>
      </w:r>
    </w:p>
    <w:p w14:paraId="18886203" w14:textId="77777777" w:rsidR="00252B8B" w:rsidRPr="00122087" w:rsidRDefault="00252B8B" w:rsidP="00252B8B">
      <w:pPr>
        <w:pStyle w:val="NormalWeb"/>
        <w:spacing w:before="0" w:beforeAutospacing="0" w:after="0" w:afterAutospacing="0"/>
        <w:contextualSpacing/>
        <w:rPr>
          <w:rFonts w:ascii="Calibri" w:eastAsiaTheme="minorEastAsia" w:hAnsi="Calibri"/>
          <w:color w:val="000000"/>
          <w:kern w:val="24"/>
        </w:rPr>
      </w:pPr>
    </w:p>
    <w:p w14:paraId="4324D9BE" w14:textId="77777777" w:rsidR="00252B8B" w:rsidRPr="00252B8B" w:rsidRDefault="00252B8B" w:rsidP="00252B8B">
      <w:pPr>
        <w:pStyle w:val="NormalWeb"/>
        <w:contextualSpacing/>
        <w:rPr>
          <w:rFonts w:ascii="Calibri" w:eastAsiaTheme="minorEastAsia" w:hAnsi="Calibri"/>
          <w:color w:val="000000"/>
          <w:kern w:val="24"/>
        </w:rPr>
      </w:pPr>
      <w:r w:rsidRPr="00252B8B">
        <w:rPr>
          <w:rFonts w:ascii="Calibri" w:eastAsiaTheme="minorEastAsia" w:hAnsi="Calibri"/>
          <w:b/>
          <w:bCs/>
          <w:color w:val="000000"/>
          <w:kern w:val="24"/>
        </w:rPr>
        <w:t xml:space="preserve">PNG Australia Transition to Health </w:t>
      </w:r>
    </w:p>
    <w:p w14:paraId="77C220E4" w14:textId="77777777" w:rsidR="00252B8B" w:rsidRPr="00122087" w:rsidRDefault="00252B8B" w:rsidP="00252B8B">
      <w:pPr>
        <w:pStyle w:val="NormalWeb"/>
        <w:spacing w:before="0" w:beforeAutospacing="0" w:after="0" w:afterAutospacing="0"/>
        <w:contextualSpacing/>
        <w:rPr>
          <w:rFonts w:ascii="Calibri" w:eastAsiaTheme="minorEastAsia" w:hAnsi="Calibri"/>
          <w:color w:val="000000"/>
          <w:kern w:val="24"/>
        </w:rPr>
      </w:pPr>
      <w:r w:rsidRPr="00122087">
        <w:rPr>
          <w:rFonts w:ascii="Calibri" w:eastAsiaTheme="minorEastAsia" w:hAnsi="Calibri"/>
          <w:color w:val="000000"/>
          <w:kern w:val="24"/>
        </w:rPr>
        <w:lastRenderedPageBreak/>
        <w:t xml:space="preserve">Australia, via Marie Stopes Papua New Guinea (MSPNG) and local NGO, Susu Mamas, exceeded its sexual and reproductive health targets despite disruptions to the health sector caused by outbreaks of COVID-19. It delivered family planning services for 31,218 people (almost double from 2020); and increased its antenatal care (providing support for 1920 pregnant women) and maternal and child health outreach visits. </w:t>
      </w:r>
    </w:p>
    <w:p w14:paraId="6D74C6FB" w14:textId="77777777" w:rsidR="00252B8B" w:rsidRPr="00122087" w:rsidRDefault="00252B8B" w:rsidP="00252B8B">
      <w:pPr>
        <w:pStyle w:val="NormalWeb"/>
        <w:spacing w:before="0" w:beforeAutospacing="0" w:after="0" w:afterAutospacing="0"/>
        <w:contextualSpacing/>
        <w:rPr>
          <w:rFonts w:ascii="Calibri" w:eastAsiaTheme="minorEastAsia" w:hAnsi="Calibri"/>
          <w:color w:val="000000"/>
          <w:kern w:val="24"/>
        </w:rPr>
      </w:pPr>
    </w:p>
    <w:p w14:paraId="34028AA3" w14:textId="77777777" w:rsidR="00252B8B" w:rsidRPr="00252B8B" w:rsidRDefault="00252B8B" w:rsidP="00252B8B">
      <w:pPr>
        <w:pStyle w:val="NormalWeb"/>
        <w:spacing w:before="0" w:beforeAutospacing="0" w:after="0" w:afterAutospacing="0"/>
        <w:contextualSpacing/>
        <w:rPr>
          <w:rFonts w:ascii="Calibri" w:eastAsiaTheme="minorEastAsia" w:hAnsi="Calibri"/>
          <w:b/>
          <w:bCs/>
          <w:color w:val="000000"/>
          <w:kern w:val="24"/>
          <w:sz w:val="28"/>
          <w:szCs w:val="28"/>
        </w:rPr>
      </w:pPr>
      <w:r w:rsidRPr="00252B8B">
        <w:rPr>
          <w:rFonts w:ascii="Calibri" w:eastAsiaTheme="minorEastAsia" w:hAnsi="Calibri"/>
          <w:b/>
          <w:bCs/>
          <w:color w:val="000000"/>
          <w:kern w:val="24"/>
          <w:sz w:val="28"/>
          <w:szCs w:val="28"/>
        </w:rPr>
        <w:t>Emergency Assistance</w:t>
      </w:r>
    </w:p>
    <w:p w14:paraId="608D6801" w14:textId="77777777" w:rsidR="00252B8B" w:rsidRPr="00252B8B" w:rsidRDefault="00252B8B" w:rsidP="00252B8B">
      <w:pPr>
        <w:pStyle w:val="NormalWeb"/>
        <w:spacing w:before="0" w:beforeAutospacing="0" w:after="0" w:afterAutospacing="0"/>
        <w:contextualSpacing/>
        <w:rPr>
          <w:color w:val="000000" w:themeColor="text1"/>
        </w:rPr>
      </w:pPr>
      <w:r w:rsidRPr="00252B8B">
        <w:rPr>
          <w:rFonts w:ascii="Calibri" w:eastAsiaTheme="minorEastAsia" w:hAnsi="Calibri"/>
          <w:color w:val="000000" w:themeColor="text1"/>
          <w:kern w:val="24"/>
        </w:rPr>
        <w:t>Vulnerable women, men, girls and boys provided with emergency assistance in conflict and crisis situations – 23.31 million</w:t>
      </w:r>
    </w:p>
    <w:p w14:paraId="2BDBD192" w14:textId="77777777" w:rsidR="00252B8B" w:rsidRPr="00122087" w:rsidRDefault="00252B8B" w:rsidP="00252B8B">
      <w:pPr>
        <w:spacing w:after="0" w:line="240" w:lineRule="auto"/>
        <w:contextualSpacing/>
        <w:rPr>
          <w:b/>
          <w:bCs/>
          <w:sz w:val="24"/>
          <w:szCs w:val="24"/>
        </w:rPr>
      </w:pPr>
      <w:r w:rsidRPr="00122087">
        <w:rPr>
          <w:b/>
          <w:bCs/>
          <w:sz w:val="24"/>
          <w:szCs w:val="24"/>
        </w:rPr>
        <w:t xml:space="preserve"> </w:t>
      </w:r>
    </w:p>
    <w:p w14:paraId="2B039466" w14:textId="77777777" w:rsidR="00252B8B" w:rsidRPr="00122087" w:rsidRDefault="00252B8B" w:rsidP="00252B8B">
      <w:pPr>
        <w:spacing w:after="0" w:line="240" w:lineRule="auto"/>
        <w:contextualSpacing/>
        <w:rPr>
          <w:b/>
          <w:bCs/>
          <w:sz w:val="24"/>
          <w:szCs w:val="24"/>
        </w:rPr>
      </w:pPr>
      <w:r w:rsidRPr="00122087">
        <w:rPr>
          <w:b/>
          <w:bCs/>
          <w:sz w:val="24"/>
          <w:szCs w:val="24"/>
        </w:rPr>
        <w:t>Myanmar –</w:t>
      </w:r>
      <w:r>
        <w:rPr>
          <w:b/>
          <w:bCs/>
          <w:sz w:val="24"/>
          <w:szCs w:val="24"/>
        </w:rPr>
        <w:t xml:space="preserve"> </w:t>
      </w:r>
      <w:r w:rsidRPr="00122087">
        <w:rPr>
          <w:b/>
          <w:bCs/>
          <w:sz w:val="24"/>
          <w:szCs w:val="24"/>
        </w:rPr>
        <w:t xml:space="preserve">Emergency Support Provides Basic Needs </w:t>
      </w:r>
    </w:p>
    <w:p w14:paraId="4360D609" w14:textId="77777777" w:rsidR="00252B8B" w:rsidRPr="00122087" w:rsidRDefault="00252B8B" w:rsidP="00252B8B">
      <w:pPr>
        <w:spacing w:after="0" w:line="240" w:lineRule="auto"/>
        <w:contextualSpacing/>
        <w:rPr>
          <w:sz w:val="24"/>
          <w:szCs w:val="24"/>
        </w:rPr>
      </w:pPr>
      <w:r w:rsidRPr="00122087">
        <w:rPr>
          <w:sz w:val="24"/>
          <w:szCs w:val="24"/>
        </w:rPr>
        <w:t>Australia supported conflict</w:t>
      </w:r>
      <w:r>
        <w:rPr>
          <w:sz w:val="24"/>
          <w:szCs w:val="24"/>
        </w:rPr>
        <w:t>-</w:t>
      </w:r>
      <w:r w:rsidRPr="00122087">
        <w:rPr>
          <w:sz w:val="24"/>
          <w:szCs w:val="24"/>
        </w:rPr>
        <w:t xml:space="preserve"> and crisis</w:t>
      </w:r>
      <w:r>
        <w:rPr>
          <w:sz w:val="24"/>
          <w:szCs w:val="24"/>
        </w:rPr>
        <w:t>-</w:t>
      </w:r>
      <w:r w:rsidRPr="00122087">
        <w:rPr>
          <w:sz w:val="24"/>
          <w:szCs w:val="24"/>
        </w:rPr>
        <w:t>affected communities in Myanmar to meet their basic food, health, education</w:t>
      </w:r>
      <w:r>
        <w:rPr>
          <w:sz w:val="24"/>
          <w:szCs w:val="24"/>
        </w:rPr>
        <w:t>,</w:t>
      </w:r>
      <w:r w:rsidRPr="00122087">
        <w:rPr>
          <w:sz w:val="24"/>
          <w:szCs w:val="24"/>
        </w:rPr>
        <w:t xml:space="preserve"> and water and sanitation needs. Through our humanitarian partners, Australia provided almost 20,000 people with emergency shelter and almost 80,000 people with healthcare. Around 30,000 children were provided with basic education and almost 115,000 people received food assistance. Integration of water, sanitation and hygiene (WASH), and health services helped to reduce the risk of COVID-19 transmission among vulnerable communities.</w:t>
      </w:r>
    </w:p>
    <w:p w14:paraId="74FFEDF5" w14:textId="77777777" w:rsidR="00252B8B" w:rsidRPr="00122087" w:rsidRDefault="00252B8B" w:rsidP="00252B8B">
      <w:pPr>
        <w:spacing w:after="0" w:line="240" w:lineRule="auto"/>
        <w:contextualSpacing/>
        <w:rPr>
          <w:sz w:val="24"/>
          <w:szCs w:val="24"/>
        </w:rPr>
      </w:pPr>
    </w:p>
    <w:p w14:paraId="1958D647" w14:textId="77777777" w:rsidR="00252B8B" w:rsidRPr="00252B8B" w:rsidRDefault="00252B8B" w:rsidP="00252B8B">
      <w:pPr>
        <w:spacing w:after="0" w:line="240" w:lineRule="auto"/>
        <w:contextualSpacing/>
        <w:rPr>
          <w:b/>
          <w:bCs/>
          <w:sz w:val="28"/>
          <w:szCs w:val="28"/>
        </w:rPr>
      </w:pPr>
      <w:r w:rsidRPr="00252B8B">
        <w:rPr>
          <w:b/>
          <w:bCs/>
          <w:sz w:val="28"/>
          <w:szCs w:val="28"/>
        </w:rPr>
        <w:t>Health Systems and Preparedness</w:t>
      </w:r>
    </w:p>
    <w:p w14:paraId="00212874" w14:textId="18886768" w:rsidR="00252B8B" w:rsidRDefault="00252B8B" w:rsidP="00252B8B">
      <w:pPr>
        <w:pStyle w:val="NormalWeb"/>
        <w:spacing w:before="0" w:beforeAutospacing="0" w:after="0" w:afterAutospacing="0"/>
        <w:contextualSpacing/>
        <w:rPr>
          <w:rFonts w:asciiTheme="minorHAnsi" w:eastAsiaTheme="minorEastAsia" w:hAnsi="Calibri" w:cstheme="minorBidi"/>
          <w:color w:val="000000" w:themeColor="text1"/>
          <w:kern w:val="24"/>
        </w:rPr>
      </w:pPr>
      <w:r w:rsidRPr="00252B8B">
        <w:rPr>
          <w:rFonts w:asciiTheme="minorHAnsi" w:eastAsiaTheme="minorEastAsia" w:hAnsi="Calibri" w:cstheme="minorBidi"/>
          <w:color w:val="000000" w:themeColor="text1"/>
          <w:kern w:val="24"/>
        </w:rPr>
        <w:t xml:space="preserve">Australia has supported </w:t>
      </w:r>
      <w:r w:rsidRPr="00252B8B">
        <w:rPr>
          <w:rFonts w:asciiTheme="minorHAnsi" w:eastAsiaTheme="minorEastAsia" w:hAnsi="Calibri" w:cstheme="minorBidi"/>
          <w:b/>
          <w:bCs/>
          <w:color w:val="000000" w:themeColor="text1"/>
          <w:kern w:val="24"/>
          <w:u w:val="single"/>
        </w:rPr>
        <w:t>49</w:t>
      </w:r>
      <w:r w:rsidRPr="00252B8B">
        <w:rPr>
          <w:rFonts w:asciiTheme="minorHAnsi" w:eastAsiaTheme="minorEastAsia" w:hAnsi="Calibri" w:cstheme="minorBidi"/>
          <w:b/>
          <w:bCs/>
          <w:color w:val="000000" w:themeColor="text1"/>
          <w:kern w:val="24"/>
        </w:rPr>
        <w:t xml:space="preserve"> </w:t>
      </w:r>
      <w:r w:rsidRPr="00252B8B">
        <w:rPr>
          <w:rFonts w:asciiTheme="minorHAnsi" w:eastAsiaTheme="minorEastAsia" w:hAnsi="Calibri" w:cstheme="minorBidi"/>
          <w:color w:val="000000" w:themeColor="text1"/>
          <w:kern w:val="24"/>
        </w:rPr>
        <w:t>countries to strengthen health systems including preparedness for health emergencies.</w:t>
      </w:r>
    </w:p>
    <w:p w14:paraId="43F3CF88" w14:textId="59B4FED7" w:rsidR="00252B8B" w:rsidRDefault="00252B8B" w:rsidP="00252B8B">
      <w:pPr>
        <w:pStyle w:val="NormalWeb"/>
        <w:spacing w:before="0" w:beforeAutospacing="0" w:after="0" w:afterAutospacing="0"/>
        <w:contextualSpacing/>
        <w:rPr>
          <w:rFonts w:asciiTheme="minorHAnsi" w:eastAsiaTheme="minorEastAsia" w:hAnsi="Calibri" w:cstheme="minorBidi"/>
          <w:color w:val="000000" w:themeColor="text1"/>
          <w:kern w:val="24"/>
        </w:rPr>
      </w:pPr>
    </w:p>
    <w:p w14:paraId="0FA1528E" w14:textId="2CFD744E" w:rsidR="00252B8B" w:rsidRPr="00252B8B" w:rsidRDefault="00252B8B" w:rsidP="00252B8B">
      <w:pPr>
        <w:pStyle w:val="NormalWeb"/>
        <w:spacing w:before="0" w:beforeAutospacing="0" w:after="0" w:afterAutospacing="0"/>
        <w:contextualSpacing/>
        <w:rPr>
          <w:rFonts w:asciiTheme="minorHAnsi" w:eastAsiaTheme="minorEastAsia" w:hAnsiTheme="minorHAnsi" w:cstheme="minorHAnsi"/>
          <w:b/>
          <w:bCs/>
          <w:color w:val="000000" w:themeColor="text1"/>
          <w:kern w:val="24"/>
        </w:rPr>
      </w:pPr>
      <w:r w:rsidRPr="00252B8B">
        <w:rPr>
          <w:rFonts w:asciiTheme="minorHAnsi" w:eastAsiaTheme="minorEastAsia" w:hAnsiTheme="minorHAnsi" w:cstheme="minorHAnsi"/>
          <w:b/>
          <w:bCs/>
          <w:color w:val="000000" w:themeColor="text1"/>
          <w:kern w:val="24"/>
        </w:rPr>
        <w:t xml:space="preserve">Vanuatu - </w:t>
      </w:r>
      <w:r w:rsidRPr="00252B8B">
        <w:rPr>
          <w:rFonts w:asciiTheme="minorHAnsi" w:eastAsiaTheme="minorEastAsia" w:hAnsiTheme="minorHAnsi" w:cstheme="minorHAnsi"/>
          <w:b/>
          <w:bCs/>
          <w:color w:val="000000" w:themeColor="text1"/>
          <w:kern w:val="24"/>
        </w:rPr>
        <w:t>Strengthening public health responses</w:t>
      </w:r>
    </w:p>
    <w:p w14:paraId="4102C26F" w14:textId="77777777" w:rsidR="00252B8B" w:rsidRPr="002E5130" w:rsidRDefault="00252B8B" w:rsidP="00252B8B">
      <w:pPr>
        <w:pStyle w:val="NormalWeb"/>
        <w:spacing w:before="0" w:beforeAutospacing="0" w:after="0" w:afterAutospacing="0"/>
        <w:contextualSpacing/>
        <w:rPr>
          <w:rFonts w:asciiTheme="minorHAnsi" w:hAnsiTheme="minorHAnsi" w:cstheme="minorHAnsi"/>
        </w:rPr>
      </w:pPr>
      <w:r w:rsidRPr="00122087">
        <w:rPr>
          <w:rFonts w:asciiTheme="minorHAnsi" w:hAnsiTheme="minorHAnsi" w:cstheme="minorHAnsi"/>
        </w:rPr>
        <w:t>In 2021, Australia supported Vanuatu's Ministry of Health to develop and launch the Vanuatu Outbreak Alert System (VOAS), a critical surveillance and communications tool to guide transparent and evidence-based public health policy responses. The Vanuatu Government used the VOAS to respond to a nationwide COVID-19 outbreak that commenced in March 2022.</w:t>
      </w:r>
    </w:p>
    <w:p w14:paraId="21EA00F4" w14:textId="77777777" w:rsidR="00252B8B" w:rsidRPr="00122087" w:rsidRDefault="00252B8B" w:rsidP="00252B8B">
      <w:pPr>
        <w:pStyle w:val="NormalWeb"/>
        <w:spacing w:before="0" w:beforeAutospacing="0" w:after="0" w:afterAutospacing="0"/>
        <w:contextualSpacing/>
        <w:rPr>
          <w:rFonts w:asciiTheme="minorHAnsi" w:hAnsiTheme="minorHAnsi" w:cstheme="minorHAnsi"/>
        </w:rPr>
      </w:pPr>
    </w:p>
    <w:p w14:paraId="2933684F" w14:textId="65A95AEB" w:rsidR="00252B8B" w:rsidRPr="00252B8B" w:rsidRDefault="00252B8B" w:rsidP="00252B8B">
      <w:pPr>
        <w:pStyle w:val="NormalWeb"/>
        <w:spacing w:before="0" w:beforeAutospacing="0" w:after="0" w:afterAutospacing="0"/>
        <w:contextualSpacing/>
        <w:rPr>
          <w:rFonts w:asciiTheme="minorHAnsi" w:hAnsiTheme="minorHAnsi" w:cstheme="minorHAnsi"/>
          <w:b/>
          <w:bCs/>
        </w:rPr>
      </w:pPr>
      <w:r w:rsidRPr="00252B8B">
        <w:rPr>
          <w:rFonts w:asciiTheme="minorHAnsi" w:hAnsiTheme="minorHAnsi" w:cstheme="minorHAnsi"/>
          <w:b/>
          <w:bCs/>
        </w:rPr>
        <w:t>Philippines</w:t>
      </w:r>
      <w:r w:rsidRPr="00252B8B">
        <w:rPr>
          <w:rFonts w:asciiTheme="minorHAnsi" w:hAnsiTheme="minorHAnsi" w:cstheme="minorHAnsi"/>
          <w:b/>
          <w:bCs/>
        </w:rPr>
        <w:t xml:space="preserve"> - </w:t>
      </w:r>
      <w:r w:rsidRPr="00252B8B">
        <w:rPr>
          <w:rFonts w:asciiTheme="minorHAnsi" w:hAnsiTheme="minorHAnsi" w:cstheme="minorHAnsi"/>
          <w:b/>
          <w:bCs/>
        </w:rPr>
        <w:t>Improved Medical Waste Management</w:t>
      </w:r>
    </w:p>
    <w:p w14:paraId="47CD547D" w14:textId="77777777" w:rsidR="00252B8B" w:rsidRPr="00122087" w:rsidRDefault="00252B8B" w:rsidP="00252B8B">
      <w:pPr>
        <w:pStyle w:val="NormalWeb"/>
        <w:spacing w:before="0" w:beforeAutospacing="0" w:after="0" w:afterAutospacing="0"/>
        <w:contextualSpacing/>
        <w:rPr>
          <w:rFonts w:asciiTheme="minorHAnsi" w:hAnsiTheme="minorHAnsi" w:cstheme="minorHAnsi"/>
        </w:rPr>
      </w:pPr>
      <w:r w:rsidRPr="00122087">
        <w:rPr>
          <w:rFonts w:asciiTheme="minorHAnsi" w:hAnsiTheme="minorHAnsi" w:cstheme="minorHAnsi"/>
        </w:rPr>
        <w:t>Australia helped the Philippine Department of Health to improve its medical waste management practices to prevent the spread of COVID-19 through support for the development of the department’s COVID-19 waste management guide, which is now being used in Philippine healthcare facilities throughout the country.</w:t>
      </w:r>
    </w:p>
    <w:p w14:paraId="2B2F2889" w14:textId="3F1173BD" w:rsidR="00252B8B" w:rsidRDefault="00252B8B" w:rsidP="00252B8B">
      <w:pPr>
        <w:pStyle w:val="NormalWeb"/>
        <w:spacing w:before="0" w:beforeAutospacing="0" w:after="0" w:afterAutospacing="0"/>
        <w:contextualSpacing/>
        <w:rPr>
          <w:rFonts w:asciiTheme="minorHAnsi" w:eastAsiaTheme="minorEastAsia" w:hAnsi="Calibri" w:cstheme="minorBidi"/>
          <w:color w:val="000000" w:themeColor="text1"/>
          <w:kern w:val="24"/>
        </w:rPr>
      </w:pPr>
    </w:p>
    <w:p w14:paraId="1B91F107" w14:textId="6DCF4898" w:rsidR="00252B8B" w:rsidRPr="00252B8B" w:rsidRDefault="00252B8B" w:rsidP="00252B8B">
      <w:pPr>
        <w:pStyle w:val="NormalWeb"/>
        <w:spacing w:before="0" w:beforeAutospacing="0" w:after="0" w:afterAutospacing="0"/>
        <w:contextualSpacing/>
        <w:rPr>
          <w:rFonts w:asciiTheme="minorHAnsi" w:eastAsiaTheme="minorEastAsia" w:hAnsiTheme="minorHAnsi" w:cstheme="minorHAnsi"/>
          <w:b/>
          <w:bCs/>
          <w:color w:val="000000" w:themeColor="text1"/>
          <w:kern w:val="24"/>
        </w:rPr>
      </w:pPr>
      <w:r w:rsidRPr="00252B8B">
        <w:rPr>
          <w:rFonts w:asciiTheme="minorHAnsi" w:hAnsiTheme="minorHAnsi" w:cstheme="minorHAnsi"/>
          <w:b/>
          <w:bCs/>
        </w:rPr>
        <w:t>Indonesia</w:t>
      </w:r>
      <w:r w:rsidRPr="00252B8B">
        <w:rPr>
          <w:rFonts w:asciiTheme="minorHAnsi" w:hAnsiTheme="minorHAnsi" w:cstheme="minorHAnsi"/>
          <w:b/>
          <w:bCs/>
        </w:rPr>
        <w:t xml:space="preserve"> - </w:t>
      </w:r>
      <w:r w:rsidRPr="00252B8B">
        <w:rPr>
          <w:rFonts w:asciiTheme="minorHAnsi" w:hAnsiTheme="minorHAnsi" w:cstheme="minorHAnsi"/>
          <w:b/>
          <w:bCs/>
        </w:rPr>
        <w:t>Improving health system preparedness</w:t>
      </w:r>
    </w:p>
    <w:p w14:paraId="651C4B39" w14:textId="77777777" w:rsidR="00252B8B" w:rsidRPr="00122087" w:rsidRDefault="00252B8B" w:rsidP="00252B8B">
      <w:pPr>
        <w:spacing w:after="0" w:line="240" w:lineRule="auto"/>
        <w:contextualSpacing/>
        <w:rPr>
          <w:sz w:val="24"/>
          <w:szCs w:val="24"/>
        </w:rPr>
      </w:pPr>
      <w:r w:rsidRPr="00122087">
        <w:rPr>
          <w:sz w:val="24"/>
          <w:szCs w:val="24"/>
        </w:rPr>
        <w:t xml:space="preserve">Australia, via the </w:t>
      </w:r>
      <w:r w:rsidRPr="00CD6E95">
        <w:rPr>
          <w:rFonts w:cstheme="minorHAnsi"/>
          <w:sz w:val="24"/>
          <w:szCs w:val="24"/>
          <w:shd w:val="clear" w:color="auto" w:fill="FFFFFF"/>
        </w:rPr>
        <w:t>Commonwealth Scientific and Industrial Research Organisation</w:t>
      </w:r>
      <w:r>
        <w:rPr>
          <w:rFonts w:cstheme="minorHAnsi"/>
          <w:color w:val="4D5156"/>
          <w:sz w:val="24"/>
          <w:szCs w:val="24"/>
          <w:shd w:val="clear" w:color="auto" w:fill="FFFFFF"/>
        </w:rPr>
        <w:t>,</w:t>
      </w:r>
      <w:r w:rsidRPr="00122087">
        <w:rPr>
          <w:b/>
          <w:bCs/>
          <w:sz w:val="24"/>
          <w:szCs w:val="24"/>
        </w:rPr>
        <w:t xml:space="preserve"> </w:t>
      </w:r>
      <w:r w:rsidRPr="00122087">
        <w:rPr>
          <w:sz w:val="24"/>
          <w:szCs w:val="24"/>
        </w:rPr>
        <w:t xml:space="preserve">supported Indonesia's Ministry of Health to increase Indonesia’s preparedness to respond to health threats via the development of an Indonesia prototype whole genomic sequencing (WGS) analytical tool. The tool has accelerated Indonesia's ability to sequence pathogens and </w:t>
      </w:r>
      <w:r>
        <w:rPr>
          <w:sz w:val="24"/>
          <w:szCs w:val="24"/>
        </w:rPr>
        <w:t xml:space="preserve">improved tracking infectious disease variants. </w:t>
      </w:r>
      <w:r w:rsidRPr="00122087">
        <w:rPr>
          <w:sz w:val="24"/>
          <w:szCs w:val="24"/>
        </w:rPr>
        <w:t xml:space="preserve">It has potential to </w:t>
      </w:r>
      <w:r>
        <w:rPr>
          <w:sz w:val="24"/>
          <w:szCs w:val="24"/>
        </w:rPr>
        <w:t xml:space="preserve">strengthen Indonesia’s national health response systems. </w:t>
      </w:r>
    </w:p>
    <w:p w14:paraId="097EA62C" w14:textId="53C71CAB" w:rsidR="00252B8B" w:rsidRDefault="00252B8B" w:rsidP="00252B8B">
      <w:pPr>
        <w:spacing w:after="0" w:line="240" w:lineRule="auto"/>
        <w:contextualSpacing/>
        <w:rPr>
          <w:sz w:val="24"/>
          <w:szCs w:val="24"/>
        </w:rPr>
      </w:pPr>
    </w:p>
    <w:p w14:paraId="18A3AFDA" w14:textId="0D6D1153" w:rsidR="00252B8B" w:rsidRPr="00252B8B" w:rsidRDefault="00252B8B" w:rsidP="00252B8B">
      <w:pPr>
        <w:spacing w:after="0" w:line="240" w:lineRule="auto"/>
        <w:contextualSpacing/>
        <w:rPr>
          <w:b/>
          <w:bCs/>
          <w:sz w:val="24"/>
          <w:szCs w:val="24"/>
        </w:rPr>
      </w:pPr>
      <w:r w:rsidRPr="00252B8B">
        <w:rPr>
          <w:b/>
          <w:bCs/>
          <w:sz w:val="24"/>
          <w:szCs w:val="24"/>
        </w:rPr>
        <w:t>Kiribati</w:t>
      </w:r>
      <w:r w:rsidRPr="00252B8B">
        <w:rPr>
          <w:b/>
          <w:bCs/>
          <w:sz w:val="24"/>
          <w:szCs w:val="24"/>
        </w:rPr>
        <w:t xml:space="preserve"> - </w:t>
      </w:r>
      <w:r w:rsidRPr="00252B8B">
        <w:rPr>
          <w:b/>
          <w:bCs/>
          <w:sz w:val="24"/>
          <w:szCs w:val="24"/>
        </w:rPr>
        <w:t>Strengthening Kiribati’s management of communicable disease</w:t>
      </w:r>
    </w:p>
    <w:p w14:paraId="140299EA" w14:textId="77777777" w:rsidR="00252B8B" w:rsidRDefault="00252B8B" w:rsidP="00252B8B">
      <w:pPr>
        <w:rPr>
          <w:rFonts w:ascii="Calibri" w:hAnsi="Calibri" w:cs="Calibri"/>
          <w:b/>
          <w:bCs/>
          <w:sz w:val="24"/>
          <w:szCs w:val="24"/>
        </w:rPr>
      </w:pPr>
      <w:r w:rsidRPr="00122087">
        <w:rPr>
          <w:sz w:val="24"/>
          <w:szCs w:val="24"/>
          <w:lang w:eastAsia="en-AU"/>
        </w:rPr>
        <w:t xml:space="preserve">Australia supported Kiribati’s Ministry of Health and Medical Services </w:t>
      </w:r>
      <w:r w:rsidRPr="002E5130">
        <w:rPr>
          <w:color w:val="000000"/>
          <w:sz w:val="24"/>
          <w:szCs w:val="24"/>
          <w:lang w:eastAsia="en-AU"/>
        </w:rPr>
        <w:t xml:space="preserve">to improve management of priority communicable diseases, including tuberculosis, leprosy and </w:t>
      </w:r>
      <w:r w:rsidRPr="002E5130">
        <w:rPr>
          <w:color w:val="000000"/>
          <w:sz w:val="24"/>
          <w:szCs w:val="24"/>
          <w:lang w:eastAsia="en-AU"/>
        </w:rPr>
        <w:lastRenderedPageBreak/>
        <w:t xml:space="preserve">hepatitis, despite the impact of COVID-19 on health systems. </w:t>
      </w:r>
      <w:r w:rsidRPr="00122087">
        <w:rPr>
          <w:sz w:val="24"/>
          <w:szCs w:val="24"/>
          <w:lang w:eastAsia="en-AU"/>
        </w:rPr>
        <w:t xml:space="preserve">Health </w:t>
      </w:r>
      <w:r w:rsidRPr="00122087">
        <w:rPr>
          <w:strike/>
          <w:sz w:val="24"/>
          <w:szCs w:val="24"/>
          <w:lang w:eastAsia="en-AU"/>
        </w:rPr>
        <w:t>s</w:t>
      </w:r>
      <w:r w:rsidRPr="00122087">
        <w:rPr>
          <w:sz w:val="24"/>
          <w:szCs w:val="24"/>
          <w:lang w:eastAsia="en-AU"/>
        </w:rPr>
        <w:t xml:space="preserve">oftware improvements </w:t>
      </w:r>
      <w:r w:rsidRPr="00122087">
        <w:rPr>
          <w:color w:val="000000"/>
          <w:sz w:val="24"/>
          <w:szCs w:val="24"/>
          <w:lang w:eastAsia="en-AU"/>
        </w:rPr>
        <w:t xml:space="preserve">allowed more people to be reached with </w:t>
      </w:r>
      <w:r w:rsidRPr="00122087">
        <w:rPr>
          <w:sz w:val="24"/>
          <w:szCs w:val="24"/>
          <w:lang w:eastAsia="en-AU"/>
        </w:rPr>
        <w:t xml:space="preserve">vital </w:t>
      </w:r>
      <w:r w:rsidRPr="00122087">
        <w:rPr>
          <w:color w:val="000000"/>
          <w:sz w:val="24"/>
          <w:szCs w:val="24"/>
          <w:lang w:eastAsia="en-AU"/>
        </w:rPr>
        <w:t>health information, and resolved shortages caused by pandemic-induced supply chain disruptions through sourcing and delivering emergency pharmaceutical supplies.</w:t>
      </w:r>
    </w:p>
    <w:p w14:paraId="42D75357" w14:textId="77777777" w:rsidR="00252B8B" w:rsidRPr="002F0C2D" w:rsidRDefault="00252B8B" w:rsidP="00252B8B">
      <w:pPr>
        <w:spacing w:after="0" w:line="240" w:lineRule="auto"/>
        <w:contextualSpacing/>
        <w:rPr>
          <w:sz w:val="24"/>
          <w:szCs w:val="24"/>
        </w:rPr>
      </w:pPr>
    </w:p>
    <w:p w14:paraId="59A50652" w14:textId="77777777" w:rsidR="00252B8B" w:rsidRPr="002F0C2D" w:rsidRDefault="00252B8B" w:rsidP="00252B8B">
      <w:pPr>
        <w:spacing w:after="0" w:line="240" w:lineRule="auto"/>
        <w:contextualSpacing/>
        <w:rPr>
          <w:b/>
          <w:bCs/>
          <w:sz w:val="24"/>
          <w:szCs w:val="24"/>
        </w:rPr>
      </w:pPr>
      <w:r w:rsidRPr="002F0C2D">
        <w:rPr>
          <w:b/>
          <w:bCs/>
          <w:sz w:val="24"/>
          <w:szCs w:val="24"/>
        </w:rPr>
        <w:t>Infectious Disease Outbreak</w:t>
      </w:r>
    </w:p>
    <w:p w14:paraId="2AF07033" w14:textId="77777777" w:rsidR="00252B8B" w:rsidRPr="00252B8B" w:rsidRDefault="00252B8B" w:rsidP="00252B8B">
      <w:pPr>
        <w:pStyle w:val="NormalWeb"/>
        <w:spacing w:before="0" w:beforeAutospacing="0" w:after="0" w:afterAutospacing="0"/>
        <w:contextualSpacing/>
        <w:rPr>
          <w:rFonts w:asciiTheme="minorHAnsi" w:eastAsiaTheme="minorEastAsia" w:hAnsi="Calibri" w:cstheme="minorBidi"/>
          <w:color w:val="000000" w:themeColor="text1"/>
          <w:kern w:val="24"/>
        </w:rPr>
      </w:pPr>
      <w:r w:rsidRPr="00252B8B">
        <w:rPr>
          <w:rFonts w:asciiTheme="minorHAnsi" w:eastAsiaTheme="minorEastAsia" w:hAnsi="Calibri" w:cstheme="minorBidi"/>
          <w:color w:val="000000" w:themeColor="text1"/>
          <w:kern w:val="24"/>
        </w:rPr>
        <w:t xml:space="preserve">Australia has assisted </w:t>
      </w:r>
      <w:r w:rsidRPr="00252B8B">
        <w:rPr>
          <w:rFonts w:asciiTheme="minorHAnsi" w:eastAsiaTheme="minorEastAsia" w:hAnsi="Calibri" w:cstheme="minorBidi"/>
          <w:b/>
          <w:bCs/>
          <w:color w:val="000000" w:themeColor="text1"/>
          <w:kern w:val="24"/>
          <w:u w:val="single"/>
        </w:rPr>
        <w:t>40</w:t>
      </w:r>
      <w:r w:rsidRPr="00252B8B">
        <w:rPr>
          <w:rFonts w:asciiTheme="minorHAnsi" w:eastAsiaTheme="minorEastAsia" w:hAnsi="Calibri" w:cstheme="minorBidi"/>
          <w:color w:val="000000" w:themeColor="text1"/>
          <w:kern w:val="24"/>
        </w:rPr>
        <w:t xml:space="preserve"> countries improve responses to health security threats.</w:t>
      </w:r>
    </w:p>
    <w:p w14:paraId="469470C2" w14:textId="77777777" w:rsidR="0098500A" w:rsidRDefault="0098500A" w:rsidP="00252B8B">
      <w:pPr>
        <w:pStyle w:val="NormalWeb"/>
        <w:spacing w:before="0" w:beforeAutospacing="0" w:after="0" w:afterAutospacing="0"/>
        <w:contextualSpacing/>
        <w:rPr>
          <w:rFonts w:asciiTheme="minorHAnsi" w:hAnsiTheme="minorHAnsi" w:cstheme="minorHAnsi"/>
        </w:rPr>
      </w:pPr>
    </w:p>
    <w:p w14:paraId="650D2A65" w14:textId="58E0E3EA" w:rsidR="00252B8B" w:rsidRPr="0098500A" w:rsidRDefault="0098500A" w:rsidP="00252B8B">
      <w:pPr>
        <w:pStyle w:val="NormalWeb"/>
        <w:spacing w:before="0" w:beforeAutospacing="0" w:after="0" w:afterAutospacing="0"/>
        <w:contextualSpacing/>
        <w:rPr>
          <w:rFonts w:asciiTheme="minorHAnsi" w:eastAsiaTheme="minorEastAsia" w:hAnsiTheme="minorHAnsi" w:cstheme="minorHAnsi"/>
          <w:b/>
          <w:bCs/>
          <w:color w:val="000000" w:themeColor="text1"/>
          <w:kern w:val="24"/>
        </w:rPr>
      </w:pPr>
      <w:r w:rsidRPr="0098500A">
        <w:rPr>
          <w:rFonts w:asciiTheme="minorHAnsi" w:hAnsiTheme="minorHAnsi" w:cstheme="minorHAnsi"/>
          <w:b/>
          <w:bCs/>
        </w:rPr>
        <w:t>Vietnam</w:t>
      </w:r>
      <w:r w:rsidRPr="0098500A">
        <w:rPr>
          <w:rFonts w:asciiTheme="minorHAnsi" w:hAnsiTheme="minorHAnsi" w:cstheme="minorHAnsi"/>
          <w:b/>
          <w:bCs/>
        </w:rPr>
        <w:t xml:space="preserve"> - </w:t>
      </w:r>
      <w:r w:rsidRPr="0098500A">
        <w:rPr>
          <w:rFonts w:asciiTheme="minorHAnsi" w:hAnsiTheme="minorHAnsi" w:cstheme="minorHAnsi"/>
          <w:b/>
          <w:bCs/>
        </w:rPr>
        <w:t>Strengthening Infectious Disease Management</w:t>
      </w:r>
    </w:p>
    <w:p w14:paraId="593264E2" w14:textId="77777777" w:rsidR="00252B8B" w:rsidRPr="00122087" w:rsidRDefault="00252B8B" w:rsidP="00252B8B">
      <w:pPr>
        <w:pStyle w:val="NormalWeb"/>
        <w:spacing w:before="0" w:beforeAutospacing="0" w:after="0" w:afterAutospacing="0"/>
        <w:contextualSpacing/>
        <w:rPr>
          <w:rFonts w:asciiTheme="minorHAnsi" w:hAnsiTheme="minorHAnsi" w:cstheme="minorHAnsi"/>
        </w:rPr>
      </w:pPr>
      <w:r w:rsidRPr="002E5130">
        <w:rPr>
          <w:rFonts w:asciiTheme="minorHAnsi" w:hAnsiTheme="minorHAnsi" w:cstheme="minorHAnsi"/>
        </w:rPr>
        <w:t>Australia’s work with the University of Sydney and the Woolcock Institute is helping stop the spread of antimicrobial resistant infectious diseases in Vietnam. Australia supported the production of new guidelines for treating infectious diseases within community-level hospitals in Vietnam and modelling the Omicron wave in Vietnam, which informed manag</w:t>
      </w:r>
      <w:r w:rsidRPr="00122087">
        <w:rPr>
          <w:rFonts w:asciiTheme="minorHAnsi" w:hAnsiTheme="minorHAnsi" w:cstheme="minorHAnsi"/>
        </w:rPr>
        <w:t>ement of the COVID-19 response in Vietnam’s two largest cities.</w:t>
      </w:r>
    </w:p>
    <w:p w14:paraId="157A16FD" w14:textId="77777777" w:rsidR="0098500A" w:rsidRDefault="0098500A" w:rsidP="00252B8B">
      <w:pPr>
        <w:spacing w:after="0" w:line="240" w:lineRule="auto"/>
        <w:contextualSpacing/>
        <w:rPr>
          <w:sz w:val="24"/>
          <w:szCs w:val="24"/>
        </w:rPr>
      </w:pPr>
    </w:p>
    <w:p w14:paraId="7D5526FA" w14:textId="2831B1AE" w:rsidR="00252B8B" w:rsidRPr="0098500A" w:rsidRDefault="0098500A" w:rsidP="00252B8B">
      <w:pPr>
        <w:spacing w:after="0" w:line="240" w:lineRule="auto"/>
        <w:contextualSpacing/>
        <w:rPr>
          <w:b/>
          <w:bCs/>
          <w:sz w:val="24"/>
          <w:szCs w:val="24"/>
        </w:rPr>
      </w:pPr>
      <w:r w:rsidRPr="0098500A">
        <w:rPr>
          <w:b/>
          <w:bCs/>
          <w:sz w:val="24"/>
          <w:szCs w:val="24"/>
        </w:rPr>
        <w:t>Timor-Leste</w:t>
      </w:r>
      <w:r w:rsidRPr="0098500A">
        <w:rPr>
          <w:b/>
          <w:bCs/>
          <w:sz w:val="24"/>
          <w:szCs w:val="24"/>
        </w:rPr>
        <w:t xml:space="preserve"> - </w:t>
      </w:r>
      <w:r w:rsidRPr="0098500A">
        <w:rPr>
          <w:b/>
          <w:bCs/>
          <w:sz w:val="24"/>
          <w:szCs w:val="24"/>
        </w:rPr>
        <w:t>Improving Diagnosis and Response</w:t>
      </w:r>
    </w:p>
    <w:p w14:paraId="2E366A8E" w14:textId="77777777" w:rsidR="00252B8B" w:rsidRPr="00122087" w:rsidRDefault="00252B8B" w:rsidP="00252B8B">
      <w:pPr>
        <w:rPr>
          <w:color w:val="000000" w:themeColor="text1"/>
          <w:sz w:val="24"/>
          <w:szCs w:val="24"/>
        </w:rPr>
      </w:pPr>
      <w:bookmarkStart w:id="0" w:name="_Hlk118447433"/>
      <w:r w:rsidRPr="00122087">
        <w:rPr>
          <w:color w:val="000000" w:themeColor="text1"/>
          <w:sz w:val="24"/>
          <w:szCs w:val="24"/>
        </w:rPr>
        <w:t>Australia</w:t>
      </w:r>
      <w:r>
        <w:rPr>
          <w:color w:val="000000" w:themeColor="text1"/>
          <w:sz w:val="24"/>
          <w:szCs w:val="24"/>
        </w:rPr>
        <w:t>,</w:t>
      </w:r>
      <w:r w:rsidRPr="00122087">
        <w:rPr>
          <w:color w:val="000000" w:themeColor="text1"/>
          <w:sz w:val="24"/>
          <w:szCs w:val="24"/>
        </w:rPr>
        <w:t xml:space="preserve"> through the Menzies School of Health Research,</w:t>
      </w:r>
      <w:r w:rsidRPr="00122087">
        <w:rPr>
          <w:color w:val="000000" w:themeColor="text1"/>
        </w:rPr>
        <w:t xml:space="preserve"> </w:t>
      </w:r>
      <w:r w:rsidRPr="00122087">
        <w:rPr>
          <w:color w:val="000000" w:themeColor="text1"/>
          <w:sz w:val="24"/>
          <w:szCs w:val="24"/>
        </w:rPr>
        <w:t>worked with the Ministry of Health in Timor-Leste to strengthen laboratory capacity to respond to infectious diseases, including COVID-19. Australia's support in establishing infectious disease laboratory diagnostic capabilities including for COVID-19 in all 13 municipalities helped the Timorese to process up to 2,000 tests per day at the peak of the second wave of COVID-19 transmission</w:t>
      </w:r>
      <w:r>
        <w:rPr>
          <w:color w:val="000000" w:themeColor="text1"/>
          <w:sz w:val="24"/>
          <w:szCs w:val="24"/>
        </w:rPr>
        <w:t>,</w:t>
      </w:r>
      <w:r w:rsidRPr="00122087">
        <w:rPr>
          <w:color w:val="000000" w:themeColor="text1"/>
          <w:sz w:val="24"/>
          <w:szCs w:val="24"/>
        </w:rPr>
        <w:t xml:space="preserve"> which started in August 2021</w:t>
      </w:r>
      <w:bookmarkEnd w:id="0"/>
      <w:r w:rsidRPr="00122087">
        <w:rPr>
          <w:color w:val="000000" w:themeColor="text1"/>
          <w:sz w:val="24"/>
          <w:szCs w:val="24"/>
        </w:rPr>
        <w:t>.</w:t>
      </w:r>
    </w:p>
    <w:p w14:paraId="78A28F6A" w14:textId="36999461" w:rsidR="00252B8B" w:rsidRPr="0098500A" w:rsidRDefault="0098500A" w:rsidP="00252B8B">
      <w:pPr>
        <w:spacing w:after="0" w:line="240" w:lineRule="auto"/>
        <w:contextualSpacing/>
        <w:rPr>
          <w:b/>
          <w:bCs/>
          <w:sz w:val="24"/>
          <w:szCs w:val="24"/>
        </w:rPr>
      </w:pPr>
      <w:r w:rsidRPr="0098500A">
        <w:rPr>
          <w:b/>
          <w:bCs/>
          <w:sz w:val="24"/>
          <w:szCs w:val="24"/>
        </w:rPr>
        <w:t>Papua New Guinea</w:t>
      </w:r>
      <w:r w:rsidRPr="0098500A">
        <w:rPr>
          <w:b/>
          <w:bCs/>
          <w:sz w:val="24"/>
          <w:szCs w:val="24"/>
        </w:rPr>
        <w:t xml:space="preserve"> - </w:t>
      </w:r>
      <w:r w:rsidRPr="0098500A">
        <w:rPr>
          <w:b/>
          <w:bCs/>
          <w:sz w:val="24"/>
          <w:szCs w:val="24"/>
        </w:rPr>
        <w:t>Improved Health Emergency Response and Preparedness</w:t>
      </w:r>
    </w:p>
    <w:p w14:paraId="2F3FF46F" w14:textId="31E4380F" w:rsidR="00BA62F9" w:rsidRPr="0098500A" w:rsidRDefault="00252B8B">
      <w:pPr>
        <w:rPr>
          <w:rFonts w:ascii="Calibri" w:hAnsi="Calibri" w:cs="Calibri"/>
          <w:sz w:val="24"/>
          <w:szCs w:val="24"/>
        </w:rPr>
      </w:pPr>
      <w:r w:rsidRPr="00122087">
        <w:rPr>
          <w:sz w:val="24"/>
          <w:szCs w:val="24"/>
        </w:rPr>
        <w:t>Australia, through the World Health Organisation, improved the health emergency preparedness and response capacities of PNG. Australia supported training in field epidemiology with graduates deployed in rapid response teams to investigate COVID-19 cases. These graduates also played key roles in provincial emergency response operations, ongoing disease surveillance and reporting. The structures and systems established for COVID-19 surveillance have been expanded to monitor other diseases in several provinces.</w:t>
      </w:r>
    </w:p>
    <w:sectPr w:rsidR="00BA62F9" w:rsidRPr="009850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5232" w14:textId="77777777" w:rsidR="0098500A" w:rsidRDefault="0098500A" w:rsidP="0098500A">
      <w:pPr>
        <w:spacing w:after="0" w:line="240" w:lineRule="auto"/>
      </w:pPr>
      <w:r>
        <w:separator/>
      </w:r>
    </w:p>
  </w:endnote>
  <w:endnote w:type="continuationSeparator" w:id="0">
    <w:p w14:paraId="48DCF8FE" w14:textId="77777777" w:rsidR="0098500A" w:rsidRDefault="0098500A" w:rsidP="0098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9DD5" w14:textId="77777777" w:rsidR="0098500A" w:rsidRDefault="0098500A" w:rsidP="0098500A">
      <w:pPr>
        <w:spacing w:after="0" w:line="240" w:lineRule="auto"/>
      </w:pPr>
      <w:r>
        <w:separator/>
      </w:r>
    </w:p>
  </w:footnote>
  <w:footnote w:type="continuationSeparator" w:id="0">
    <w:p w14:paraId="4E0FCC2B" w14:textId="77777777" w:rsidR="0098500A" w:rsidRDefault="0098500A" w:rsidP="00985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8B"/>
    <w:rsid w:val="00252B8B"/>
    <w:rsid w:val="008F0039"/>
    <w:rsid w:val="0098500A"/>
    <w:rsid w:val="00D91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65CC"/>
  <w15:chartTrackingRefBased/>
  <w15:docId w15:val="{FDE7244A-1653-4ABF-96D9-08838A6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B8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5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927</Words>
  <Characters>6029</Characters>
  <Application>Microsoft Office Word</Application>
  <DocSecurity>0</DocSecurity>
  <Lines>118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Malone</dc:creator>
  <cp:keywords>[SEC=OFFICIAL]</cp:keywords>
  <dc:description/>
  <cp:lastModifiedBy>Tammy Malone</cp:lastModifiedBy>
  <cp:revision>1</cp:revision>
  <dcterms:created xsi:type="dcterms:W3CDTF">2022-12-20T02:03:00Z</dcterms:created>
  <dcterms:modified xsi:type="dcterms:W3CDTF">2022-12-20T05:41:00Z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1BE805FAB8214EA691A453A786AADFA5</vt:lpwstr>
  </property>
  <property fmtid="{D5CDD505-2E9C-101B-9397-08002B2CF9AE}" pid="9" name="PM_ProtectiveMarkingValue_Footer">
    <vt:lpwstr>OFFICIAL</vt:lpwstr>
  </property>
  <property fmtid="{D5CDD505-2E9C-101B-9397-08002B2CF9AE}" pid="10" name="PM_Originator_Hash_SHA1">
    <vt:lpwstr>F985B1933BBA1A9E9DB2E945C0193297DC29BB89</vt:lpwstr>
  </property>
  <property fmtid="{D5CDD505-2E9C-101B-9397-08002B2CF9AE}" pid="11" name="PM_OriginationTimeStamp">
    <vt:lpwstr>2022-12-20T05:40:55Z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EC8220501726503916B9E0BD5E1AEAED</vt:lpwstr>
  </property>
  <property fmtid="{D5CDD505-2E9C-101B-9397-08002B2CF9AE}" pid="23" name="PM_Hash_Salt">
    <vt:lpwstr>EC8220501726503916B9E0BD5E1AEAED</vt:lpwstr>
  </property>
  <property fmtid="{D5CDD505-2E9C-101B-9397-08002B2CF9AE}" pid="24" name="PM_Hash_SHA1">
    <vt:lpwstr>A044301F0592CC77C466C2D00090B634C222FA66</vt:lpwstr>
  </property>
  <property fmtid="{D5CDD505-2E9C-101B-9397-08002B2CF9AE}" pid="25" name="PM_OriginatorUserAccountName_SHA256">
    <vt:lpwstr>B9398A389B5E660B8C0B78D87531E561FE64DAA263A191B15BB8A88933DE8D94</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