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539F" w14:textId="10004518" w:rsidR="009F1080" w:rsidRPr="009F1080" w:rsidRDefault="009F1080" w:rsidP="009F1080">
      <w:pPr>
        <w:spacing w:after="0" w:line="240" w:lineRule="auto"/>
        <w:rPr>
          <w:rFonts w:ascii="Times New Roman" w:eastAsia="Times New Roman" w:hAnsi="Times New Roman" w:cs="Times New Roman"/>
          <w:sz w:val="24"/>
          <w:szCs w:val="24"/>
          <w:lang w:eastAsia="en-AU"/>
        </w:rPr>
      </w:pPr>
      <w:r w:rsidRPr="009F1080">
        <w:rPr>
          <w:rFonts w:asciiTheme="majorHAnsi" w:eastAsiaTheme="majorEastAsia" w:hAnsiTheme="majorHAnsi" w:cstheme="majorBidi"/>
          <w:b/>
          <w:bCs/>
          <w:color w:val="000000" w:themeColor="text1"/>
          <w:sz w:val="56"/>
          <w:szCs w:val="56"/>
          <w:lang w:eastAsia="en-AU"/>
        </w:rPr>
        <w:t>Partnerships for Recovery – Stability</w:t>
      </w:r>
      <w:r w:rsidRPr="009F1080">
        <w:rPr>
          <w:rFonts w:eastAsia="Gill Sans MT" w:hAnsi="Calibri" w:cs="Times New Roman"/>
          <w:b/>
          <w:bCs/>
          <w:color w:val="000000" w:themeColor="text1"/>
          <w:kern w:val="24"/>
          <w:sz w:val="64"/>
          <w:szCs w:val="64"/>
          <w:lang w:val="en-GB" w:eastAsia="en-AU"/>
        </w:rPr>
        <w:br/>
      </w:r>
      <w:r w:rsidRPr="009F1080">
        <w:rPr>
          <w:rFonts w:asciiTheme="majorHAnsi" w:eastAsiaTheme="majorEastAsia" w:hAnsiTheme="majorHAnsi" w:cstheme="majorHAnsi"/>
          <w:color w:val="000000" w:themeColor="text1"/>
          <w:sz w:val="36"/>
          <w:szCs w:val="36"/>
        </w:rPr>
        <w:t xml:space="preserve">Development results delivered by Australia: </w:t>
      </w:r>
      <w:r w:rsidRPr="009F1080">
        <w:rPr>
          <w:rFonts w:asciiTheme="majorHAnsi" w:eastAsia="Gill Sans MT" w:hAnsiTheme="majorHAnsi" w:cstheme="majorHAnsi"/>
          <w:color w:val="000000"/>
          <w:kern w:val="24"/>
          <w:sz w:val="36"/>
          <w:szCs w:val="36"/>
          <w:lang w:val="en-GB"/>
        </w:rPr>
        <w:t>1 July 202</w:t>
      </w:r>
      <w:r>
        <w:rPr>
          <w:rFonts w:asciiTheme="majorHAnsi" w:eastAsia="Gill Sans MT" w:hAnsiTheme="majorHAnsi" w:cstheme="majorHAnsi"/>
          <w:color w:val="000000"/>
          <w:kern w:val="24"/>
          <w:sz w:val="36"/>
          <w:szCs w:val="36"/>
          <w:lang w:val="en-GB"/>
        </w:rPr>
        <w:t>1</w:t>
      </w:r>
      <w:r w:rsidRPr="009F1080">
        <w:rPr>
          <w:rFonts w:asciiTheme="majorHAnsi" w:eastAsia="Gill Sans MT" w:hAnsiTheme="majorHAnsi" w:cstheme="majorHAnsi"/>
          <w:color w:val="000000"/>
          <w:kern w:val="24"/>
          <w:sz w:val="36"/>
          <w:szCs w:val="36"/>
          <w:lang w:val="en-GB"/>
        </w:rPr>
        <w:t xml:space="preserve"> to 30 June 202</w:t>
      </w:r>
      <w:r>
        <w:rPr>
          <w:rFonts w:asciiTheme="majorHAnsi" w:eastAsia="Gill Sans MT" w:hAnsiTheme="majorHAnsi" w:cstheme="majorHAnsi"/>
          <w:color w:val="000000"/>
          <w:kern w:val="24"/>
          <w:sz w:val="36"/>
          <w:szCs w:val="36"/>
          <w:lang w:val="en-GB"/>
        </w:rPr>
        <w:t>2</w:t>
      </w:r>
    </w:p>
    <w:p w14:paraId="7C7549DF" w14:textId="77777777" w:rsidR="009F1080" w:rsidRPr="002E14DD" w:rsidRDefault="009F1080" w:rsidP="009F1080">
      <w:pPr>
        <w:spacing w:after="0" w:line="240" w:lineRule="auto"/>
        <w:rPr>
          <w:rFonts w:ascii="Times New Roman" w:eastAsia="Times New Roman" w:hAnsi="Times New Roman" w:cs="Times New Roman"/>
          <w:sz w:val="24"/>
          <w:szCs w:val="24"/>
          <w:lang w:eastAsia="en-AU"/>
        </w:rPr>
      </w:pPr>
      <w:r w:rsidRPr="00122087">
        <w:rPr>
          <w:rFonts w:ascii="Calibri" w:eastAsia="Calibri" w:hAnsi="Calibri" w:cs="Times New Roman"/>
          <w:kern w:val="24"/>
          <w:sz w:val="24"/>
          <w:szCs w:val="24"/>
          <w:lang w:eastAsia="en-AU"/>
        </w:rPr>
        <w:t xml:space="preserve">During 2021-22, Australia supported countries </w:t>
      </w:r>
      <w:r>
        <w:rPr>
          <w:rFonts w:ascii="Calibri" w:eastAsia="Calibri" w:hAnsi="Calibri" w:cs="Times New Roman"/>
          <w:kern w:val="24"/>
          <w:sz w:val="24"/>
          <w:szCs w:val="24"/>
          <w:lang w:eastAsia="en-AU"/>
        </w:rPr>
        <w:t>across</w:t>
      </w:r>
      <w:r w:rsidRPr="00122087">
        <w:rPr>
          <w:rFonts w:ascii="Calibri" w:eastAsia="Calibri" w:hAnsi="Calibri" w:cs="Times New Roman"/>
          <w:kern w:val="24"/>
          <w:sz w:val="24"/>
          <w:szCs w:val="24"/>
          <w:lang w:eastAsia="en-AU"/>
        </w:rPr>
        <w:t xml:space="preserve"> the region to roll out social protection programs focused on early childhood to improve nutrition, health, education and poverty outcomes. In the Pacific, Australia</w:t>
      </w:r>
      <w:r>
        <w:rPr>
          <w:rFonts w:ascii="Calibri" w:eastAsia="Calibri" w:hAnsi="Calibri" w:cs="Times New Roman"/>
          <w:kern w:val="24"/>
          <w:sz w:val="24"/>
          <w:szCs w:val="24"/>
          <w:lang w:eastAsia="en-AU"/>
        </w:rPr>
        <w:t>’s</w:t>
      </w:r>
      <w:r w:rsidRPr="00122087">
        <w:rPr>
          <w:rFonts w:ascii="Calibri" w:eastAsia="Calibri" w:hAnsi="Calibri" w:cs="Times New Roman"/>
          <w:kern w:val="24"/>
          <w:sz w:val="24"/>
          <w:szCs w:val="24"/>
          <w:lang w:eastAsia="en-AU"/>
        </w:rPr>
        <w:t xml:space="preserve"> support to strengthen social protection systems</w:t>
      </w:r>
      <w:r>
        <w:rPr>
          <w:rFonts w:ascii="Calibri" w:eastAsia="Calibri" w:hAnsi="Calibri" w:cs="Times New Roman"/>
          <w:kern w:val="24"/>
          <w:sz w:val="24"/>
          <w:szCs w:val="24"/>
          <w:lang w:eastAsia="en-AU"/>
        </w:rPr>
        <w:t xml:space="preserve"> has helped</w:t>
      </w:r>
      <w:r w:rsidRPr="00122087">
        <w:rPr>
          <w:rFonts w:ascii="Calibri" w:eastAsia="Calibri" w:hAnsi="Calibri" w:cs="Times New Roman"/>
          <w:kern w:val="24"/>
          <w:sz w:val="24"/>
          <w:szCs w:val="24"/>
          <w:lang w:eastAsia="en-AU"/>
        </w:rPr>
        <w:t xml:space="preserve"> reduc</w:t>
      </w:r>
      <w:r>
        <w:rPr>
          <w:rFonts w:ascii="Calibri" w:eastAsia="Calibri" w:hAnsi="Calibri" w:cs="Times New Roman"/>
          <w:kern w:val="24"/>
          <w:sz w:val="24"/>
          <w:szCs w:val="24"/>
          <w:lang w:eastAsia="en-AU"/>
        </w:rPr>
        <w:t>e</w:t>
      </w:r>
      <w:r w:rsidRPr="00122087">
        <w:rPr>
          <w:rFonts w:ascii="Calibri" w:eastAsia="Calibri" w:hAnsi="Calibri" w:cs="Times New Roman"/>
          <w:kern w:val="24"/>
          <w:sz w:val="24"/>
          <w:szCs w:val="24"/>
          <w:lang w:eastAsia="en-AU"/>
        </w:rPr>
        <w:t xml:space="preserve"> hardship, build resilience</w:t>
      </w:r>
      <w:r>
        <w:rPr>
          <w:rFonts w:ascii="Calibri" w:eastAsia="Calibri" w:hAnsi="Calibri" w:cs="Times New Roman"/>
          <w:kern w:val="24"/>
          <w:sz w:val="24"/>
          <w:szCs w:val="24"/>
          <w:lang w:eastAsia="en-AU"/>
        </w:rPr>
        <w:t xml:space="preserve">, drive </w:t>
      </w:r>
      <w:r w:rsidRPr="00122087">
        <w:rPr>
          <w:rFonts w:ascii="Calibri" w:eastAsia="Calibri" w:hAnsi="Calibri" w:cs="Times New Roman"/>
          <w:kern w:val="24"/>
          <w:sz w:val="24"/>
          <w:szCs w:val="24"/>
          <w:lang w:eastAsia="en-AU"/>
        </w:rPr>
        <w:t>inclusive economic recovery</w:t>
      </w:r>
      <w:r>
        <w:rPr>
          <w:rFonts w:ascii="Calibri" w:eastAsia="Calibri" w:hAnsi="Calibri" w:cs="Times New Roman"/>
          <w:kern w:val="24"/>
          <w:sz w:val="24"/>
          <w:szCs w:val="24"/>
          <w:lang w:eastAsia="en-AU"/>
        </w:rPr>
        <w:t>,</w:t>
      </w:r>
      <w:r w:rsidRPr="00122087">
        <w:rPr>
          <w:rFonts w:ascii="Calibri" w:eastAsia="Calibri" w:hAnsi="Calibri" w:cs="Times New Roman"/>
          <w:kern w:val="24"/>
          <w:sz w:val="24"/>
          <w:szCs w:val="24"/>
          <w:lang w:eastAsia="en-AU"/>
        </w:rPr>
        <w:t xml:space="preserve"> </w:t>
      </w:r>
      <w:r>
        <w:rPr>
          <w:rFonts w:ascii="Calibri" w:eastAsia="Calibri" w:hAnsi="Calibri" w:cs="Times New Roman"/>
          <w:kern w:val="24"/>
          <w:sz w:val="24"/>
          <w:szCs w:val="24"/>
          <w:lang w:eastAsia="en-AU"/>
        </w:rPr>
        <w:t xml:space="preserve">and respond to </w:t>
      </w:r>
      <w:r w:rsidRPr="00122087">
        <w:rPr>
          <w:rFonts w:ascii="Calibri" w:eastAsia="Calibri" w:hAnsi="Calibri" w:cs="Times New Roman"/>
          <w:kern w:val="24"/>
          <w:sz w:val="24"/>
          <w:szCs w:val="24"/>
          <w:lang w:eastAsia="en-AU"/>
        </w:rPr>
        <w:t>the rising food and commodity price crisis. Over the last 12 months Australia’s support has helped 53 countries to improve food security and 41 countries to strengthen the</w:t>
      </w:r>
      <w:r>
        <w:rPr>
          <w:rFonts w:ascii="Calibri" w:eastAsia="Calibri" w:hAnsi="Calibri" w:cs="Times New Roman"/>
          <w:kern w:val="24"/>
          <w:sz w:val="24"/>
          <w:szCs w:val="24"/>
          <w:lang w:eastAsia="en-AU"/>
        </w:rPr>
        <w:t>ir</w:t>
      </w:r>
      <w:r w:rsidRPr="00122087">
        <w:rPr>
          <w:rFonts w:ascii="Calibri" w:eastAsia="Calibri" w:hAnsi="Calibri" w:cs="Times New Roman"/>
          <w:kern w:val="24"/>
          <w:sz w:val="24"/>
          <w:szCs w:val="24"/>
          <w:lang w:eastAsia="en-AU"/>
        </w:rPr>
        <w:t xml:space="preserve"> governance systems</w:t>
      </w:r>
      <w:r>
        <w:rPr>
          <w:rFonts w:ascii="Calibri" w:eastAsia="Calibri" w:hAnsi="Calibri" w:cs="Times New Roman"/>
          <w:kern w:val="24"/>
          <w:sz w:val="24"/>
          <w:szCs w:val="24"/>
          <w:lang w:eastAsia="en-AU"/>
        </w:rPr>
        <w:t>,</w:t>
      </w:r>
      <w:r w:rsidRPr="00122087">
        <w:rPr>
          <w:rFonts w:ascii="Calibri" w:eastAsia="Calibri" w:hAnsi="Calibri" w:cs="Times New Roman"/>
          <w:kern w:val="24"/>
          <w:sz w:val="24"/>
          <w:szCs w:val="24"/>
          <w:lang w:eastAsia="en-AU"/>
        </w:rPr>
        <w:t xml:space="preserve"> including via support for education.</w:t>
      </w:r>
      <w:r>
        <w:rPr>
          <w:rFonts w:ascii="Calibri" w:eastAsia="Calibri" w:hAnsi="Calibri" w:cs="Times New Roman"/>
          <w:kern w:val="24"/>
          <w:sz w:val="24"/>
          <w:szCs w:val="24"/>
          <w:lang w:eastAsia="en-AU"/>
        </w:rPr>
        <w:t xml:space="preserve"> These efforts help support ongoing stability in our region.</w:t>
      </w:r>
    </w:p>
    <w:p w14:paraId="3A9FE593" w14:textId="77777777" w:rsidR="009F1080" w:rsidRDefault="009F1080" w:rsidP="009F1080">
      <w:pPr>
        <w:spacing w:after="0" w:line="240" w:lineRule="auto"/>
        <w:contextualSpacing/>
        <w:rPr>
          <w:sz w:val="24"/>
          <w:szCs w:val="24"/>
        </w:rPr>
      </w:pPr>
    </w:p>
    <w:p w14:paraId="23371218" w14:textId="77777777" w:rsidR="009F1080" w:rsidRPr="00977720" w:rsidRDefault="009F1080" w:rsidP="009F1080">
      <w:pPr>
        <w:pStyle w:val="NormalWeb"/>
        <w:spacing w:before="0" w:beforeAutospacing="0" w:after="0" w:afterAutospacing="0"/>
        <w:contextualSpacing/>
        <w:rPr>
          <w:rFonts w:asciiTheme="minorHAnsi" w:eastAsiaTheme="minorEastAsia" w:hAnsi="Calibri" w:cstheme="minorBidi"/>
          <w:color w:val="000000" w:themeColor="dark1"/>
          <w:kern w:val="24"/>
        </w:rPr>
      </w:pPr>
      <w:r w:rsidRPr="009F1080">
        <w:rPr>
          <w:rFonts w:asciiTheme="minorHAnsi" w:hAnsiTheme="minorHAnsi" w:cstheme="minorHAnsi"/>
          <w:b/>
          <w:bCs/>
          <w:sz w:val="28"/>
          <w:szCs w:val="28"/>
        </w:rPr>
        <w:t>Social Protection Measures</w:t>
      </w:r>
      <w:r w:rsidRPr="00977720">
        <w:rPr>
          <w:b/>
          <w:bCs/>
        </w:rPr>
        <w:br/>
      </w:r>
      <w:r w:rsidRPr="009F1080">
        <w:rPr>
          <w:rFonts w:asciiTheme="minorHAnsi" w:eastAsiaTheme="minorEastAsia" w:hAnsi="Calibri" w:cstheme="minorBidi"/>
          <w:color w:val="000000" w:themeColor="text1"/>
          <w:kern w:val="24"/>
        </w:rPr>
        <w:t>People reached with new or improved social protection programs including remote communities – 157.9 million</w:t>
      </w:r>
    </w:p>
    <w:p w14:paraId="01BE023A" w14:textId="77777777" w:rsidR="009F1080" w:rsidRDefault="009F1080" w:rsidP="009F1080">
      <w:pPr>
        <w:spacing w:after="0" w:line="240" w:lineRule="auto"/>
        <w:contextualSpacing/>
        <w:rPr>
          <w:rFonts w:ascii="Calibri" w:eastAsia="Calibri" w:hAnsi="Calibri" w:cs="Calibri"/>
          <w:sz w:val="24"/>
          <w:szCs w:val="24"/>
          <w:lang w:eastAsia="en-AU"/>
        </w:rPr>
      </w:pPr>
    </w:p>
    <w:p w14:paraId="12BDE675" w14:textId="5877A9E8" w:rsidR="009F1080" w:rsidRPr="00122087" w:rsidRDefault="009F1080" w:rsidP="009F1080">
      <w:pPr>
        <w:spacing w:after="0" w:line="240" w:lineRule="auto"/>
        <w:contextualSpacing/>
        <w:rPr>
          <w:rFonts w:ascii="Calibri" w:eastAsia="Calibri" w:hAnsi="Calibri" w:cs="Calibri"/>
          <w:sz w:val="24"/>
          <w:szCs w:val="24"/>
          <w:lang w:eastAsia="en-AU"/>
        </w:rPr>
      </w:pPr>
      <w:r>
        <w:rPr>
          <w:rFonts w:ascii="Calibri" w:eastAsia="Calibri" w:hAnsi="Calibri" w:cs="Calibri"/>
          <w:sz w:val="24"/>
          <w:szCs w:val="24"/>
          <w:lang w:eastAsia="en-AU"/>
        </w:rPr>
        <w:t xml:space="preserve">In Cambodia, </w:t>
      </w:r>
      <w:r w:rsidRPr="00122087">
        <w:rPr>
          <w:rFonts w:ascii="Calibri" w:eastAsia="Calibri" w:hAnsi="Calibri" w:cs="Calibri"/>
          <w:sz w:val="24"/>
          <w:szCs w:val="24"/>
          <w:lang w:eastAsia="en-AU"/>
        </w:rPr>
        <w:t xml:space="preserve">Australia’s support </w:t>
      </w:r>
      <w:r>
        <w:rPr>
          <w:rFonts w:ascii="Calibri" w:eastAsia="Calibri" w:hAnsi="Calibri" w:cs="Calibri"/>
          <w:sz w:val="24"/>
          <w:szCs w:val="24"/>
          <w:lang w:eastAsia="en-AU"/>
        </w:rPr>
        <w:t xml:space="preserve">to </w:t>
      </w:r>
      <w:r w:rsidRPr="00122087">
        <w:rPr>
          <w:rFonts w:ascii="Calibri" w:eastAsia="Calibri" w:hAnsi="Calibri" w:cs="Calibri"/>
          <w:sz w:val="24"/>
          <w:szCs w:val="24"/>
          <w:lang w:eastAsia="en-AU"/>
        </w:rPr>
        <w:t>develop a national poverty database enabled the rapid roll out of a large scale, unconditional cash transfer (a first in Cambodia) to more than 2.7 million Cambodians living in poverty during the COVID-19 pandemic. This has helped to reduce the socio-economic impacts of COVID-19 on Cambodia's most vulnerable.</w:t>
      </w:r>
    </w:p>
    <w:p w14:paraId="1A3ED1C6" w14:textId="77777777" w:rsidR="009F1080" w:rsidRPr="002E5130" w:rsidRDefault="009F1080" w:rsidP="009F1080">
      <w:pPr>
        <w:pStyle w:val="NormalWeb"/>
        <w:spacing w:before="0" w:beforeAutospacing="0" w:after="0" w:afterAutospacing="0"/>
        <w:contextualSpacing/>
      </w:pPr>
    </w:p>
    <w:p w14:paraId="77026667" w14:textId="77777777" w:rsidR="009F1080" w:rsidRPr="00257098" w:rsidRDefault="009F1080" w:rsidP="009F1080">
      <w:pPr>
        <w:spacing w:after="0" w:line="240" w:lineRule="auto"/>
        <w:contextualSpacing/>
        <w:rPr>
          <w:rFonts w:ascii="Calibri" w:eastAsia="Calibri" w:hAnsi="Calibri"/>
          <w:color w:val="000000"/>
          <w:kern w:val="24"/>
          <w:sz w:val="18"/>
          <w:szCs w:val="18"/>
        </w:rPr>
      </w:pPr>
      <w:r w:rsidRPr="009F1080">
        <w:rPr>
          <w:b/>
          <w:bCs/>
          <w:sz w:val="28"/>
          <w:szCs w:val="28"/>
        </w:rPr>
        <w:t>Violence Against Women</w:t>
      </w:r>
      <w:r w:rsidRPr="00122087">
        <w:rPr>
          <w:sz w:val="24"/>
          <w:szCs w:val="24"/>
        </w:rPr>
        <w:br/>
      </w:r>
      <w:r w:rsidRPr="009F1080">
        <w:rPr>
          <w:rFonts w:ascii="Calibri" w:eastAsia="Calibri" w:hAnsi="Calibri"/>
          <w:color w:val="000000" w:themeColor="text1"/>
          <w:kern w:val="24"/>
          <w:sz w:val="24"/>
          <w:szCs w:val="24"/>
        </w:rPr>
        <w:t>Number of services provided to women and girl survivors of violence such as counselling – 212,688*</w:t>
      </w:r>
      <w:r>
        <w:rPr>
          <w:rFonts w:ascii="Calibri" w:eastAsia="Calibri" w:hAnsi="Calibri"/>
          <w:color w:val="00B050"/>
          <w:kern w:val="24"/>
          <w:sz w:val="18"/>
          <w:szCs w:val="18"/>
        </w:rPr>
        <w:br/>
      </w:r>
      <w:r w:rsidRPr="009F1080">
        <w:rPr>
          <w:rFonts w:ascii="Calibri" w:eastAsia="Calibri" w:hAnsi="Calibri"/>
          <w:color w:val="000000" w:themeColor="text1"/>
          <w:kern w:val="24"/>
          <w:sz w:val="18"/>
          <w:szCs w:val="18"/>
        </w:rPr>
        <w:t xml:space="preserve">* </w:t>
      </w:r>
      <w:r w:rsidRPr="009F1080">
        <w:rPr>
          <w:rFonts w:ascii="Calibri" w:eastAsia="Calibri" w:hAnsi="Calibri"/>
          <w:i/>
          <w:iCs/>
          <w:color w:val="000000" w:themeColor="text1"/>
          <w:kern w:val="24"/>
          <w:sz w:val="16"/>
          <w:szCs w:val="16"/>
        </w:rPr>
        <w:t>Note, this indicator has been updated since 2020-21 to reflect ‘No. of services provided’, in line with recommended practices relating to women and girl survivors of violence.</w:t>
      </w:r>
    </w:p>
    <w:p w14:paraId="321F7694" w14:textId="77777777" w:rsidR="009F1080" w:rsidRPr="00122087" w:rsidRDefault="009F1080" w:rsidP="009F1080">
      <w:pPr>
        <w:spacing w:after="0" w:line="240" w:lineRule="auto"/>
        <w:contextualSpacing/>
        <w:rPr>
          <w:rFonts w:ascii="Calibri" w:eastAsia="Calibri" w:hAnsi="Calibri"/>
          <w:b/>
          <w:bCs/>
          <w:color w:val="000000"/>
          <w:kern w:val="24"/>
          <w:sz w:val="24"/>
          <w:szCs w:val="24"/>
        </w:rPr>
      </w:pPr>
    </w:p>
    <w:p w14:paraId="7C14DAA9" w14:textId="77777777" w:rsidR="009F1080" w:rsidRPr="00FE3A79" w:rsidRDefault="009F1080" w:rsidP="009F1080">
      <w:pPr>
        <w:spacing w:after="0" w:line="240" w:lineRule="auto"/>
        <w:contextualSpacing/>
        <w:rPr>
          <w:rFonts w:ascii="Calibri" w:eastAsia="Calibri" w:hAnsi="Calibri"/>
          <w:color w:val="000000"/>
          <w:kern w:val="24"/>
          <w:sz w:val="28"/>
          <w:szCs w:val="28"/>
        </w:rPr>
      </w:pPr>
      <w:r w:rsidRPr="00FE3A79">
        <w:rPr>
          <w:rFonts w:ascii="Calibri" w:eastAsia="Calibri" w:hAnsi="Calibri"/>
          <w:b/>
          <w:bCs/>
          <w:color w:val="000000"/>
          <w:kern w:val="24"/>
          <w:sz w:val="28"/>
          <w:szCs w:val="28"/>
        </w:rPr>
        <w:t>School enrolments</w:t>
      </w:r>
    </w:p>
    <w:p w14:paraId="47158FDD" w14:textId="5C477642" w:rsidR="009F1080" w:rsidRDefault="009F1080" w:rsidP="009F1080">
      <w:pPr>
        <w:pStyle w:val="NormalWeb"/>
        <w:spacing w:before="0" w:beforeAutospacing="0" w:after="0" w:afterAutospacing="0"/>
        <w:contextualSpacing/>
        <w:rPr>
          <w:rFonts w:asciiTheme="minorHAnsi" w:eastAsia="Calibri" w:hAnsiTheme="minorHAnsi" w:cstheme="minorHAnsi"/>
          <w:color w:val="000000" w:themeColor="text1"/>
          <w:kern w:val="24"/>
        </w:rPr>
      </w:pPr>
      <w:r w:rsidRPr="009F1080">
        <w:rPr>
          <w:rFonts w:asciiTheme="minorHAnsi" w:eastAsiaTheme="minorEastAsia" w:hAnsiTheme="minorHAnsi" w:cstheme="minorHAnsi"/>
          <w:color w:val="000000" w:themeColor="text1"/>
          <w:kern w:val="24"/>
        </w:rPr>
        <w:t xml:space="preserve">The number of boys and girls enrolled in school - </w:t>
      </w:r>
      <w:r w:rsidRPr="009F1080">
        <w:rPr>
          <w:rFonts w:asciiTheme="minorHAnsi" w:eastAsia="Calibri" w:hAnsiTheme="minorHAnsi" w:cstheme="minorHAnsi"/>
          <w:color w:val="000000" w:themeColor="text1"/>
          <w:kern w:val="24"/>
        </w:rPr>
        <w:t>1,000,253</w:t>
      </w:r>
    </w:p>
    <w:p w14:paraId="3C90B2AB" w14:textId="77777777" w:rsidR="009F1080" w:rsidRPr="009F1080" w:rsidRDefault="009F1080" w:rsidP="009F1080">
      <w:pPr>
        <w:pStyle w:val="NormalWeb"/>
        <w:spacing w:before="0" w:beforeAutospacing="0" w:after="0" w:afterAutospacing="0"/>
        <w:contextualSpacing/>
        <w:rPr>
          <w:rFonts w:asciiTheme="minorHAnsi" w:eastAsia="Calibri" w:hAnsiTheme="minorHAnsi" w:cstheme="minorHAnsi"/>
          <w:color w:val="000000" w:themeColor="text1"/>
          <w:kern w:val="24"/>
        </w:rPr>
      </w:pPr>
    </w:p>
    <w:p w14:paraId="213CDE8A" w14:textId="77777777" w:rsidR="009F1080" w:rsidRPr="00122087" w:rsidRDefault="009F1080" w:rsidP="009F1080">
      <w:pPr>
        <w:pStyle w:val="NormalWeb"/>
        <w:spacing w:before="0" w:beforeAutospacing="0" w:after="0" w:afterAutospacing="0"/>
        <w:contextualSpacing/>
        <w:rPr>
          <w:rFonts w:asciiTheme="minorHAnsi" w:hAnsiTheme="minorHAnsi" w:cstheme="minorHAnsi"/>
        </w:rPr>
      </w:pPr>
      <w:r w:rsidRPr="00122087">
        <w:rPr>
          <w:rFonts w:asciiTheme="minorHAnsi" w:hAnsiTheme="minorHAnsi" w:cstheme="minorHAnsi"/>
        </w:rPr>
        <w:t xml:space="preserve">Australia, through Save the Children, helped to build a more resilient education system and </w:t>
      </w:r>
      <w:r>
        <w:rPr>
          <w:rFonts w:asciiTheme="minorHAnsi" w:hAnsiTheme="minorHAnsi" w:cstheme="minorHAnsi"/>
        </w:rPr>
        <w:t xml:space="preserve">support </w:t>
      </w:r>
      <w:r w:rsidRPr="00122087">
        <w:rPr>
          <w:rFonts w:asciiTheme="minorHAnsi" w:hAnsiTheme="minorHAnsi" w:cstheme="minorHAnsi"/>
        </w:rPr>
        <w:t>ongoing schooling in Tonga. Australia supported students' home learning when Tonga went into its first protracted COVID-19 lockdown in early 2022 while still suffering from the aftermath of a devastating tsunami. Thanks to Australia, 20,279 students and their caregivers accessed remote learning resources during lockdown and 362 teachers developed new skills to support them.</w:t>
      </w:r>
    </w:p>
    <w:p w14:paraId="37321206" w14:textId="77777777" w:rsidR="009F1080" w:rsidRPr="00122087" w:rsidRDefault="009F1080" w:rsidP="009F1080">
      <w:pPr>
        <w:pStyle w:val="NormalWeb"/>
        <w:spacing w:before="0" w:beforeAutospacing="0" w:after="0" w:afterAutospacing="0"/>
        <w:contextualSpacing/>
        <w:rPr>
          <w:rFonts w:ascii="Calibri" w:eastAsia="Calibri" w:hAnsi="Calibri"/>
          <w:color w:val="000000" w:themeColor="dark1"/>
          <w:kern w:val="24"/>
        </w:rPr>
      </w:pPr>
    </w:p>
    <w:p w14:paraId="16EA4B5F" w14:textId="77777777" w:rsidR="009F1080" w:rsidRPr="00FE3A79" w:rsidRDefault="009F1080" w:rsidP="009F1080">
      <w:pPr>
        <w:pStyle w:val="NormalWeb"/>
        <w:spacing w:before="0" w:beforeAutospacing="0" w:after="0" w:afterAutospacing="0"/>
        <w:contextualSpacing/>
        <w:rPr>
          <w:rFonts w:ascii="Calibri" w:eastAsia="Calibri" w:hAnsi="Calibri"/>
          <w:color w:val="000000" w:themeColor="dark1"/>
          <w:kern w:val="24"/>
          <w:sz w:val="28"/>
          <w:szCs w:val="28"/>
        </w:rPr>
      </w:pPr>
      <w:r w:rsidRPr="00FE3A79">
        <w:rPr>
          <w:rFonts w:ascii="Calibri" w:eastAsia="Calibri" w:hAnsi="Calibri"/>
          <w:b/>
          <w:bCs/>
          <w:color w:val="000000" w:themeColor="dark1"/>
          <w:kern w:val="24"/>
          <w:sz w:val="28"/>
          <w:szCs w:val="28"/>
        </w:rPr>
        <w:t>Improved Governance</w:t>
      </w:r>
    </w:p>
    <w:p w14:paraId="355A3129" w14:textId="16232B28" w:rsidR="009F1080" w:rsidRDefault="009F1080" w:rsidP="009F1080">
      <w:pPr>
        <w:pStyle w:val="NormalWeb"/>
        <w:spacing w:before="0" w:beforeAutospacing="0" w:after="0" w:afterAutospacing="0"/>
        <w:contextualSpacing/>
        <w:rPr>
          <w:rFonts w:asciiTheme="minorHAnsi" w:eastAsiaTheme="minorEastAsia" w:hAnsi="Calibri" w:cstheme="minorBidi"/>
          <w:color w:val="000000" w:themeColor="text1"/>
          <w:kern w:val="24"/>
        </w:rPr>
      </w:pPr>
      <w:r w:rsidRPr="009F1080">
        <w:rPr>
          <w:rFonts w:asciiTheme="minorHAnsi" w:eastAsiaTheme="minorEastAsia" w:hAnsi="Calibri" w:cstheme="minorBidi"/>
          <w:color w:val="000000" w:themeColor="text1"/>
          <w:kern w:val="24"/>
        </w:rPr>
        <w:t xml:space="preserve">Australia has supported </w:t>
      </w:r>
      <w:r w:rsidRPr="009F1080">
        <w:rPr>
          <w:rFonts w:asciiTheme="minorHAnsi" w:eastAsiaTheme="minorEastAsia" w:hAnsi="Calibri" w:cstheme="minorBidi"/>
          <w:b/>
          <w:bCs/>
          <w:color w:val="000000" w:themeColor="text1"/>
          <w:kern w:val="24"/>
          <w:u w:val="single"/>
        </w:rPr>
        <w:t>41</w:t>
      </w:r>
      <w:r w:rsidRPr="009F1080">
        <w:rPr>
          <w:rFonts w:asciiTheme="minorHAnsi" w:eastAsiaTheme="minorEastAsia" w:hAnsi="Calibri" w:cstheme="minorBidi"/>
          <w:b/>
          <w:bCs/>
          <w:color w:val="000000" w:themeColor="text1"/>
          <w:kern w:val="24"/>
        </w:rPr>
        <w:t xml:space="preserve"> </w:t>
      </w:r>
      <w:r w:rsidRPr="009F1080">
        <w:rPr>
          <w:rFonts w:asciiTheme="minorHAnsi" w:eastAsiaTheme="minorEastAsia" w:hAnsi="Calibri" w:cstheme="minorBidi"/>
          <w:color w:val="000000" w:themeColor="text1"/>
          <w:kern w:val="24"/>
        </w:rPr>
        <w:t>countries in the last 12 months to strengthen their governance systems.</w:t>
      </w:r>
    </w:p>
    <w:p w14:paraId="5E3B599F" w14:textId="6B56B574" w:rsidR="009F1080" w:rsidRDefault="009F1080" w:rsidP="009F1080">
      <w:pPr>
        <w:pStyle w:val="NormalWeb"/>
        <w:spacing w:before="0" w:beforeAutospacing="0" w:after="0" w:afterAutospacing="0"/>
        <w:contextualSpacing/>
        <w:rPr>
          <w:rFonts w:asciiTheme="minorHAnsi" w:eastAsiaTheme="minorEastAsia" w:hAnsi="Calibri" w:cstheme="minorBidi"/>
          <w:color w:val="000000" w:themeColor="text1"/>
          <w:kern w:val="24"/>
        </w:rPr>
      </w:pPr>
    </w:p>
    <w:p w14:paraId="787C0B37" w14:textId="776722A6" w:rsidR="009F1080" w:rsidRPr="009F1080" w:rsidRDefault="009F1080" w:rsidP="009F1080">
      <w:pPr>
        <w:pStyle w:val="NormalWeb"/>
        <w:spacing w:before="0" w:beforeAutospacing="0" w:after="0" w:afterAutospacing="0"/>
        <w:contextualSpacing/>
        <w:rPr>
          <w:rFonts w:asciiTheme="minorHAnsi" w:eastAsiaTheme="minorEastAsia" w:hAnsiTheme="minorHAnsi" w:cstheme="minorHAnsi"/>
          <w:b/>
          <w:bCs/>
          <w:color w:val="000000" w:themeColor="text1"/>
          <w:kern w:val="24"/>
        </w:rPr>
      </w:pPr>
      <w:r w:rsidRPr="009F1080">
        <w:rPr>
          <w:rFonts w:asciiTheme="minorHAnsi" w:eastAsiaTheme="minorEastAsia" w:hAnsiTheme="minorHAnsi" w:cstheme="minorHAnsi"/>
          <w:b/>
          <w:bCs/>
          <w:color w:val="000000" w:themeColor="text1"/>
          <w:kern w:val="24"/>
        </w:rPr>
        <w:t xml:space="preserve">Pacific island countries - </w:t>
      </w:r>
      <w:r w:rsidRPr="009F1080">
        <w:rPr>
          <w:rFonts w:asciiTheme="minorHAnsi" w:hAnsiTheme="minorHAnsi" w:cstheme="minorHAnsi"/>
          <w:b/>
          <w:bCs/>
        </w:rPr>
        <w:t>Working with partners to build resilient maritime boundaries in the Blue Pacific</w:t>
      </w:r>
    </w:p>
    <w:p w14:paraId="5CE6D583" w14:textId="0A509759" w:rsidR="009F1080" w:rsidRPr="00122087" w:rsidRDefault="009F1080" w:rsidP="009F1080">
      <w:pPr>
        <w:pStyle w:val="NormalWeb"/>
        <w:spacing w:before="0" w:beforeAutospacing="0" w:after="0" w:afterAutospacing="0"/>
        <w:contextualSpacing/>
        <w:rPr>
          <w:rFonts w:asciiTheme="minorHAnsi" w:hAnsiTheme="minorHAnsi" w:cstheme="minorHAnsi"/>
        </w:rPr>
      </w:pPr>
      <w:r w:rsidRPr="00122087">
        <w:rPr>
          <w:rFonts w:asciiTheme="minorHAnsi" w:hAnsiTheme="minorHAnsi" w:cstheme="minorHAnsi"/>
        </w:rPr>
        <w:t>Australia worked closely with the Pacific Community</w:t>
      </w:r>
      <w:r w:rsidRPr="00122087" w:rsidDel="008F6926">
        <w:rPr>
          <w:rFonts w:asciiTheme="minorHAnsi" w:hAnsiTheme="minorHAnsi" w:cstheme="minorHAnsi"/>
        </w:rPr>
        <w:t xml:space="preserve"> </w:t>
      </w:r>
      <w:r w:rsidRPr="00122087">
        <w:rPr>
          <w:rFonts w:asciiTheme="minorHAnsi" w:hAnsiTheme="minorHAnsi" w:cstheme="minorHAnsi"/>
        </w:rPr>
        <w:t xml:space="preserve">to </w:t>
      </w:r>
      <w:r>
        <w:rPr>
          <w:rFonts w:asciiTheme="minorHAnsi" w:hAnsiTheme="minorHAnsi" w:cstheme="minorHAnsi"/>
        </w:rPr>
        <w:t xml:space="preserve">help </w:t>
      </w:r>
      <w:r w:rsidRPr="00122087">
        <w:rPr>
          <w:rFonts w:asciiTheme="minorHAnsi" w:hAnsiTheme="minorHAnsi" w:cstheme="minorHAnsi"/>
        </w:rPr>
        <w:t xml:space="preserve">address the complex issues </w:t>
      </w:r>
      <w:r>
        <w:rPr>
          <w:rFonts w:asciiTheme="minorHAnsi" w:hAnsiTheme="minorHAnsi" w:cstheme="minorHAnsi"/>
        </w:rPr>
        <w:t>associated with</w:t>
      </w:r>
      <w:r w:rsidRPr="00122087">
        <w:rPr>
          <w:rFonts w:asciiTheme="minorHAnsi" w:hAnsiTheme="minorHAnsi" w:cstheme="minorHAnsi"/>
        </w:rPr>
        <w:t xml:space="preserve"> climate change impacts on Pacific states’ maritime zones. This project </w:t>
      </w:r>
      <w:r w:rsidRPr="00122087">
        <w:rPr>
          <w:rFonts w:asciiTheme="minorHAnsi" w:hAnsiTheme="minorHAnsi" w:cstheme="minorHAnsi"/>
        </w:rPr>
        <w:lastRenderedPageBreak/>
        <w:t xml:space="preserve">finalised an assessment to identify critical baselines for establishing maritime boundaries in the Pacific. This will inform additional in-depth assessments of climate change impacts and </w:t>
      </w:r>
      <w:r>
        <w:rPr>
          <w:rFonts w:asciiTheme="minorHAnsi" w:hAnsiTheme="minorHAnsi" w:cstheme="minorHAnsi"/>
        </w:rPr>
        <w:t xml:space="preserve">will also assist </w:t>
      </w:r>
      <w:r w:rsidRPr="00122087">
        <w:rPr>
          <w:rFonts w:asciiTheme="minorHAnsi" w:hAnsiTheme="minorHAnsi" w:cstheme="minorHAnsi"/>
        </w:rPr>
        <w:t>consider</w:t>
      </w:r>
      <w:r>
        <w:rPr>
          <w:rFonts w:asciiTheme="minorHAnsi" w:hAnsiTheme="minorHAnsi" w:cstheme="minorHAnsi"/>
        </w:rPr>
        <w:t>ation</w:t>
      </w:r>
      <w:r w:rsidRPr="00122087">
        <w:rPr>
          <w:rFonts w:asciiTheme="minorHAnsi" w:hAnsiTheme="minorHAnsi" w:cstheme="minorHAnsi"/>
        </w:rPr>
        <w:t xml:space="preserve"> and implement</w:t>
      </w:r>
      <w:r>
        <w:rPr>
          <w:rFonts w:asciiTheme="minorHAnsi" w:hAnsiTheme="minorHAnsi" w:cstheme="minorHAnsi"/>
        </w:rPr>
        <w:t xml:space="preserve">ation of </w:t>
      </w:r>
      <w:r w:rsidRPr="00122087">
        <w:rPr>
          <w:rFonts w:asciiTheme="minorHAnsi" w:hAnsiTheme="minorHAnsi" w:cstheme="minorHAnsi"/>
        </w:rPr>
        <w:t>appropriate solutions and policy responses.</w:t>
      </w:r>
      <w:r>
        <w:rPr>
          <w:rFonts w:asciiTheme="minorHAnsi" w:hAnsiTheme="minorHAnsi" w:cstheme="minorHAnsi"/>
        </w:rPr>
        <w:br/>
      </w:r>
    </w:p>
    <w:p w14:paraId="1E99F36F" w14:textId="03FDD838" w:rsidR="009F1080" w:rsidRPr="009F1080" w:rsidRDefault="009F1080" w:rsidP="009F1080">
      <w:pPr>
        <w:pStyle w:val="NormalWeb"/>
        <w:spacing w:before="0" w:beforeAutospacing="0" w:after="0" w:afterAutospacing="0"/>
        <w:contextualSpacing/>
        <w:rPr>
          <w:rFonts w:asciiTheme="minorHAnsi" w:hAnsiTheme="minorHAnsi" w:cstheme="minorHAnsi"/>
          <w:b/>
          <w:bCs/>
        </w:rPr>
      </w:pPr>
      <w:r w:rsidRPr="009F1080">
        <w:rPr>
          <w:rFonts w:asciiTheme="minorHAnsi" w:hAnsiTheme="minorHAnsi" w:cstheme="minorHAnsi"/>
          <w:b/>
          <w:bCs/>
        </w:rPr>
        <w:t>Pacific</w:t>
      </w:r>
      <w:r w:rsidRPr="009F1080">
        <w:rPr>
          <w:rFonts w:asciiTheme="minorHAnsi" w:hAnsiTheme="minorHAnsi" w:cstheme="minorHAnsi"/>
          <w:b/>
          <w:bCs/>
        </w:rPr>
        <w:t xml:space="preserve"> - </w:t>
      </w:r>
      <w:r w:rsidRPr="009F1080">
        <w:rPr>
          <w:rFonts w:asciiTheme="minorHAnsi" w:hAnsiTheme="minorHAnsi" w:cstheme="minorHAnsi"/>
          <w:b/>
          <w:bCs/>
        </w:rPr>
        <w:t>Strengthening access to justice for women and children</w:t>
      </w:r>
    </w:p>
    <w:p w14:paraId="131CB1EF" w14:textId="77777777" w:rsidR="009F1080" w:rsidRDefault="009F1080" w:rsidP="009F1080">
      <w:pPr>
        <w:pStyle w:val="NormalWeb"/>
        <w:contextualSpacing/>
        <w:rPr>
          <w:rFonts w:asciiTheme="minorHAnsi" w:hAnsiTheme="minorHAnsi" w:cstheme="minorHAnsi"/>
        </w:rPr>
      </w:pPr>
      <w:r w:rsidRPr="00122087">
        <w:rPr>
          <w:rFonts w:asciiTheme="minorHAnsi" w:hAnsiTheme="minorHAnsi" w:cstheme="minorHAnsi"/>
        </w:rPr>
        <w:t>The Australian</w:t>
      </w:r>
      <w:r w:rsidRPr="00122087">
        <w:rPr>
          <w:rFonts w:asciiTheme="minorHAnsi" w:hAnsiTheme="minorHAnsi" w:cstheme="minorHAnsi"/>
          <w:b/>
          <w:bCs/>
        </w:rPr>
        <w:t xml:space="preserve"> Attorney-General’s Department</w:t>
      </w:r>
      <w:r w:rsidRPr="00122087">
        <w:rPr>
          <w:rFonts w:asciiTheme="minorHAnsi" w:hAnsiTheme="minorHAnsi" w:cstheme="minorHAnsi"/>
        </w:rPr>
        <w:t>, working through the Pacific Islands Law Officers’ Network, has streng</w:t>
      </w:r>
      <w:r w:rsidRPr="002E5130">
        <w:rPr>
          <w:rFonts w:asciiTheme="minorHAnsi" w:hAnsiTheme="minorHAnsi" w:cstheme="minorHAnsi"/>
        </w:rPr>
        <w:t>thened access to justice for women and child survivors of sexual and gender-based vio</w:t>
      </w:r>
      <w:r w:rsidRPr="00996D9F">
        <w:rPr>
          <w:rFonts w:asciiTheme="minorHAnsi" w:hAnsiTheme="minorHAnsi" w:cstheme="minorHAnsi"/>
        </w:rPr>
        <w:t>lence by drafting model provisions with accompanying explanatory text</w:t>
      </w:r>
      <w:r>
        <w:rPr>
          <w:rFonts w:asciiTheme="minorHAnsi" w:hAnsiTheme="minorHAnsi" w:cstheme="minorHAnsi"/>
        </w:rPr>
        <w:t>,</w:t>
      </w:r>
      <w:r w:rsidRPr="00996D9F">
        <w:rPr>
          <w:rFonts w:asciiTheme="minorHAnsi" w:hAnsiTheme="minorHAnsi" w:cstheme="minorHAnsi"/>
        </w:rPr>
        <w:t xml:space="preserve"> for special measures to be used in court for vulnerable witnesses. Through regional webinars showcasing their use, this has encouraged Pacific prosecutors to increase efforts to better s</w:t>
      </w:r>
      <w:r w:rsidRPr="00122087">
        <w:rPr>
          <w:rFonts w:asciiTheme="minorHAnsi" w:hAnsiTheme="minorHAnsi" w:cstheme="minorHAnsi"/>
        </w:rPr>
        <w:t xml:space="preserve">upport vulnerable witnesses and </w:t>
      </w:r>
      <w:r>
        <w:rPr>
          <w:rFonts w:asciiTheme="minorHAnsi" w:hAnsiTheme="minorHAnsi" w:cstheme="minorHAnsi"/>
        </w:rPr>
        <w:t>advance</w:t>
      </w:r>
      <w:r w:rsidRPr="00122087">
        <w:rPr>
          <w:rFonts w:asciiTheme="minorHAnsi" w:hAnsiTheme="minorHAnsi" w:cstheme="minorHAnsi"/>
        </w:rPr>
        <w:t xml:space="preserve"> Pacific law reform.</w:t>
      </w:r>
    </w:p>
    <w:p w14:paraId="4EE2D1AD" w14:textId="77777777" w:rsidR="009F1080" w:rsidRDefault="009F1080" w:rsidP="009F1080">
      <w:pPr>
        <w:pStyle w:val="NormalWeb"/>
        <w:contextualSpacing/>
        <w:rPr>
          <w:rFonts w:asciiTheme="minorHAnsi" w:hAnsiTheme="minorHAnsi" w:cstheme="minorHAnsi"/>
        </w:rPr>
      </w:pPr>
    </w:p>
    <w:p w14:paraId="0B43CCCA" w14:textId="10B97990" w:rsidR="009F1080" w:rsidRPr="007077AB" w:rsidRDefault="009F1080" w:rsidP="009F1080">
      <w:pPr>
        <w:pStyle w:val="NormalWeb"/>
        <w:contextualSpacing/>
      </w:pPr>
      <w:r w:rsidRPr="009F1080">
        <w:rPr>
          <w:rFonts w:asciiTheme="minorHAnsi" w:hAnsiTheme="minorHAnsi" w:cstheme="minorHAnsi"/>
          <w:b/>
          <w:bCs/>
        </w:rPr>
        <w:t xml:space="preserve">Vanuatu </w:t>
      </w:r>
      <w:r w:rsidRPr="009F1080">
        <w:rPr>
          <w:rFonts w:asciiTheme="minorHAnsi" w:hAnsiTheme="minorHAnsi" w:cstheme="minorHAnsi"/>
          <w:b/>
          <w:bCs/>
        </w:rPr>
        <w:t xml:space="preserve">- </w:t>
      </w:r>
      <w:r w:rsidRPr="009F1080">
        <w:rPr>
          <w:rFonts w:asciiTheme="minorHAnsi" w:hAnsiTheme="minorHAnsi" w:cstheme="minorHAnsi"/>
          <w:b/>
          <w:bCs/>
        </w:rPr>
        <w:t>Improved access to justice and policing for women and girls</w:t>
      </w:r>
      <w:r>
        <w:rPr>
          <w:rFonts w:asciiTheme="minorHAnsi" w:hAnsiTheme="minorHAnsi" w:cstheme="minorHAnsi"/>
          <w:b/>
          <w:bCs/>
        </w:rPr>
        <w:br/>
      </w:r>
      <w:r w:rsidRPr="009F1080">
        <w:rPr>
          <w:rFonts w:asciiTheme="minorHAnsi" w:hAnsiTheme="minorHAnsi" w:cstheme="minorHAnsi"/>
        </w:rPr>
        <w:t>Australia has strengthened the skills of more than 700 policing and justice officials in Vanuatu by building capacity in key areas including leadership, crime prevention and family protection legislation. This has increased the reach of the Vanuatu Police Force and is improving access to justice and policing services for women, children, youth, and vulnerable groups.</w:t>
      </w:r>
    </w:p>
    <w:p w14:paraId="43140B45" w14:textId="77777777" w:rsidR="009F1080" w:rsidRPr="00122087" w:rsidRDefault="009F1080" w:rsidP="009F1080">
      <w:pPr>
        <w:pStyle w:val="NormalWeb"/>
        <w:spacing w:before="0" w:beforeAutospacing="0" w:after="0" w:afterAutospacing="0"/>
        <w:contextualSpacing/>
      </w:pPr>
    </w:p>
    <w:p w14:paraId="73011E25" w14:textId="77777777" w:rsidR="009F1080" w:rsidRPr="00FE3A79" w:rsidRDefault="009F1080" w:rsidP="009F1080">
      <w:pPr>
        <w:pStyle w:val="NormalWeb"/>
        <w:spacing w:before="0" w:beforeAutospacing="0" w:after="0" w:afterAutospacing="0"/>
        <w:contextualSpacing/>
        <w:rPr>
          <w:rFonts w:ascii="Calibri" w:eastAsia="Calibri" w:hAnsi="Calibri"/>
          <w:color w:val="000000" w:themeColor="text1"/>
          <w:kern w:val="24"/>
          <w:sz w:val="28"/>
          <w:szCs w:val="28"/>
        </w:rPr>
      </w:pPr>
      <w:r w:rsidRPr="00FE3A79">
        <w:rPr>
          <w:rFonts w:ascii="Calibri" w:eastAsia="Calibri" w:hAnsi="Calibri"/>
          <w:b/>
          <w:bCs/>
          <w:color w:val="000000" w:themeColor="text1"/>
          <w:kern w:val="24"/>
          <w:sz w:val="28"/>
          <w:szCs w:val="28"/>
        </w:rPr>
        <w:t>Food Security</w:t>
      </w:r>
    </w:p>
    <w:p w14:paraId="0CEE679B" w14:textId="77777777" w:rsidR="009F1080" w:rsidRPr="009F1080" w:rsidRDefault="009F1080" w:rsidP="009F1080">
      <w:pPr>
        <w:pStyle w:val="NormalWeb"/>
        <w:spacing w:before="0" w:beforeAutospacing="0" w:after="0" w:afterAutospacing="0"/>
        <w:contextualSpacing/>
        <w:rPr>
          <w:color w:val="000000" w:themeColor="text1"/>
        </w:rPr>
      </w:pPr>
      <w:r w:rsidRPr="009F1080">
        <w:rPr>
          <w:rFonts w:asciiTheme="minorHAnsi" w:eastAsiaTheme="minorEastAsia" w:hAnsi="Calibri" w:cstheme="minorBidi"/>
          <w:color w:val="000000" w:themeColor="text1"/>
          <w:kern w:val="24"/>
        </w:rPr>
        <w:t>Australia has supported</w:t>
      </w:r>
      <w:r w:rsidRPr="009F1080">
        <w:rPr>
          <w:rFonts w:asciiTheme="minorHAnsi" w:eastAsiaTheme="minorEastAsia" w:hAnsi="Calibri" w:cstheme="minorBidi"/>
          <w:b/>
          <w:bCs/>
          <w:color w:val="000000" w:themeColor="text1"/>
          <w:kern w:val="24"/>
        </w:rPr>
        <w:t xml:space="preserve"> </w:t>
      </w:r>
      <w:r w:rsidRPr="009F1080">
        <w:rPr>
          <w:rFonts w:asciiTheme="minorHAnsi" w:eastAsiaTheme="minorEastAsia" w:hAnsi="Calibri" w:cstheme="minorBidi"/>
          <w:b/>
          <w:bCs/>
          <w:color w:val="000000" w:themeColor="text1"/>
          <w:kern w:val="24"/>
          <w:u w:val="single"/>
        </w:rPr>
        <w:t>53</w:t>
      </w:r>
      <w:r w:rsidRPr="009F1080">
        <w:rPr>
          <w:rFonts w:asciiTheme="minorHAnsi" w:eastAsiaTheme="minorEastAsia" w:hAnsi="Calibri" w:cstheme="minorBidi"/>
          <w:b/>
          <w:bCs/>
          <w:color w:val="000000" w:themeColor="text1"/>
          <w:kern w:val="24"/>
        </w:rPr>
        <w:t xml:space="preserve"> </w:t>
      </w:r>
      <w:r w:rsidRPr="009F1080">
        <w:rPr>
          <w:rFonts w:asciiTheme="minorHAnsi" w:eastAsiaTheme="minorEastAsia" w:hAnsi="Calibri" w:cstheme="minorBidi"/>
          <w:color w:val="000000" w:themeColor="text1"/>
          <w:kern w:val="24"/>
        </w:rPr>
        <w:t>countries in the last 12 months with policy, technical advice and support to build food security capacity.</w:t>
      </w:r>
    </w:p>
    <w:p w14:paraId="31096A05" w14:textId="2AA18F98" w:rsidR="009F1080" w:rsidRDefault="009F1080" w:rsidP="009F1080">
      <w:pPr>
        <w:spacing w:after="0" w:line="240" w:lineRule="auto"/>
        <w:contextualSpacing/>
        <w:rPr>
          <w:sz w:val="24"/>
          <w:szCs w:val="24"/>
        </w:rPr>
      </w:pPr>
    </w:p>
    <w:p w14:paraId="130E8513" w14:textId="363BF5B7" w:rsidR="009F1080" w:rsidRPr="009F1080" w:rsidRDefault="009F1080" w:rsidP="009F1080">
      <w:pPr>
        <w:spacing w:after="0" w:line="240" w:lineRule="auto"/>
        <w:contextualSpacing/>
        <w:rPr>
          <w:b/>
          <w:bCs/>
          <w:sz w:val="24"/>
          <w:szCs w:val="24"/>
        </w:rPr>
      </w:pPr>
      <w:r w:rsidRPr="009F1080">
        <w:rPr>
          <w:b/>
          <w:bCs/>
          <w:sz w:val="24"/>
          <w:szCs w:val="24"/>
        </w:rPr>
        <w:t xml:space="preserve">Timor-Leste, PNG - </w:t>
      </w:r>
      <w:r w:rsidRPr="009F1080">
        <w:rPr>
          <w:rFonts w:eastAsiaTheme="minorEastAsia" w:hAnsi="Calibri"/>
          <w:b/>
          <w:bCs/>
          <w:color w:val="000000" w:themeColor="text1"/>
          <w:kern w:val="24"/>
          <w:sz w:val="24"/>
          <w:szCs w:val="24"/>
        </w:rPr>
        <w:t>Supporting our neighbours manage the outbreak of African Swine Fever</w:t>
      </w:r>
    </w:p>
    <w:p w14:paraId="35D028D1" w14:textId="15721937" w:rsidR="009F1080" w:rsidRDefault="009F1080" w:rsidP="009F1080">
      <w:pPr>
        <w:rPr>
          <w:sz w:val="24"/>
          <w:szCs w:val="24"/>
        </w:rPr>
      </w:pPr>
      <w:bookmarkStart w:id="0" w:name="_Hlk118208279"/>
      <w:r w:rsidRPr="00122087">
        <w:rPr>
          <w:sz w:val="24"/>
          <w:szCs w:val="24"/>
        </w:rPr>
        <w:t xml:space="preserve">Australia’s support to Timor-Leste and PNG to respond and recover from biosecurity threats such as African Swine Fever (ASF) has been critical </w:t>
      </w:r>
      <w:r>
        <w:rPr>
          <w:sz w:val="24"/>
          <w:szCs w:val="24"/>
        </w:rPr>
        <w:t>to</w:t>
      </w:r>
      <w:r w:rsidRPr="00122087">
        <w:rPr>
          <w:sz w:val="24"/>
          <w:szCs w:val="24"/>
        </w:rPr>
        <w:t xml:space="preserve"> maintaining regional food security and economic resilience. Australia’s support has contained ASF in Timor-Leste (70 percent of households have pigs) and enhanced the government’s ability to quickly respond to animal disease outbreaks</w:t>
      </w:r>
      <w:r>
        <w:rPr>
          <w:sz w:val="24"/>
          <w:szCs w:val="24"/>
        </w:rPr>
        <w:t>,</w:t>
      </w:r>
      <w:r w:rsidRPr="00122087">
        <w:rPr>
          <w:sz w:val="24"/>
          <w:szCs w:val="24"/>
        </w:rPr>
        <w:t xml:space="preserve"> through the establishment of a new diagnostics laboratory.</w:t>
      </w:r>
    </w:p>
    <w:p w14:paraId="553E1C1C" w14:textId="1370FCC8" w:rsidR="009F1080" w:rsidRPr="00FE3A79" w:rsidRDefault="009F1080" w:rsidP="009F1080">
      <w:pPr>
        <w:rPr>
          <w:b/>
          <w:bCs/>
          <w:sz w:val="24"/>
          <w:szCs w:val="24"/>
        </w:rPr>
      </w:pPr>
      <w:r w:rsidRPr="00FE3A79">
        <w:rPr>
          <w:rFonts w:eastAsiaTheme="minorEastAsia" w:hAnsi="Calibri"/>
          <w:b/>
          <w:bCs/>
          <w:color w:val="000000" w:themeColor="text1"/>
          <w:kern w:val="24"/>
          <w:sz w:val="24"/>
          <w:szCs w:val="24"/>
        </w:rPr>
        <w:t>Philippines</w:t>
      </w:r>
      <w:r w:rsidRPr="00FE3A79">
        <w:rPr>
          <w:rFonts w:eastAsiaTheme="minorEastAsia" w:hAnsi="Calibri"/>
          <w:b/>
          <w:bCs/>
          <w:color w:val="000000" w:themeColor="text1"/>
          <w:kern w:val="24"/>
          <w:sz w:val="24"/>
          <w:szCs w:val="24"/>
        </w:rPr>
        <w:t xml:space="preserve"> - </w:t>
      </w:r>
      <w:r w:rsidRPr="00FE3A79">
        <w:rPr>
          <w:rFonts w:eastAsiaTheme="minorEastAsia" w:hAnsi="Calibri"/>
          <w:b/>
          <w:bCs/>
          <w:color w:val="000000" w:themeColor="text1"/>
          <w:kern w:val="24"/>
          <w:sz w:val="24"/>
          <w:szCs w:val="24"/>
        </w:rPr>
        <w:t>Improving small holder farmer practises and incomes</w:t>
      </w:r>
    </w:p>
    <w:bookmarkEnd w:id="0"/>
    <w:p w14:paraId="4D6E5713" w14:textId="77777777" w:rsidR="009F1080" w:rsidRPr="00122087" w:rsidRDefault="009F1080" w:rsidP="009F1080">
      <w:pPr>
        <w:spacing w:after="0" w:line="240" w:lineRule="auto"/>
        <w:contextualSpacing/>
        <w:rPr>
          <w:sz w:val="24"/>
          <w:szCs w:val="24"/>
        </w:rPr>
      </w:pPr>
      <w:r w:rsidRPr="002E5130">
        <w:rPr>
          <w:sz w:val="24"/>
          <w:szCs w:val="24"/>
        </w:rPr>
        <w:t xml:space="preserve">Australia, via </w:t>
      </w:r>
      <w:r w:rsidRPr="00996D9F">
        <w:rPr>
          <w:sz w:val="24"/>
          <w:szCs w:val="24"/>
        </w:rPr>
        <w:t>the A</w:t>
      </w:r>
      <w:r w:rsidRPr="00122087">
        <w:rPr>
          <w:sz w:val="24"/>
          <w:szCs w:val="24"/>
        </w:rPr>
        <w:t>ustralian Centre for International Agricultural Research, increased food security and enhanced the livelihoods of smallholder farmers in conflict vulnerable areas of Mindanao through building farmer and service provider capacity, diversified farming and market opportunities. This has contributed to an increase in farmer incomes of up to 80 per cent and improvement in trust and cooperation between previously disparate Christian, Muslim and Indigenous Peoples communities.</w:t>
      </w:r>
    </w:p>
    <w:p w14:paraId="4EAA653B" w14:textId="77777777" w:rsidR="00FE3A79" w:rsidRDefault="00FE3A79" w:rsidP="009F1080">
      <w:pPr>
        <w:spacing w:after="0" w:line="240" w:lineRule="auto"/>
        <w:contextualSpacing/>
        <w:rPr>
          <w:rFonts w:eastAsiaTheme="minorEastAsia" w:hAnsi="Calibri"/>
          <w:color w:val="000000" w:themeColor="text1"/>
          <w:kern w:val="24"/>
        </w:rPr>
      </w:pPr>
    </w:p>
    <w:p w14:paraId="1D0F41FB" w14:textId="309CAD5A" w:rsidR="009F1080" w:rsidRPr="00FE3A79" w:rsidRDefault="00FE3A79" w:rsidP="009F1080">
      <w:pPr>
        <w:spacing w:after="0" w:line="240" w:lineRule="auto"/>
        <w:contextualSpacing/>
        <w:rPr>
          <w:b/>
          <w:bCs/>
          <w:sz w:val="24"/>
          <w:szCs w:val="24"/>
        </w:rPr>
      </w:pPr>
      <w:r w:rsidRPr="00FE3A79">
        <w:rPr>
          <w:rFonts w:eastAsiaTheme="minorEastAsia" w:hAnsi="Calibri"/>
          <w:b/>
          <w:bCs/>
          <w:color w:val="000000" w:themeColor="text1"/>
          <w:kern w:val="24"/>
          <w:sz w:val="24"/>
          <w:szCs w:val="24"/>
        </w:rPr>
        <w:t>Indonesia</w:t>
      </w:r>
      <w:r w:rsidRPr="00FE3A79">
        <w:rPr>
          <w:rFonts w:eastAsiaTheme="minorEastAsia" w:hAnsi="Calibri"/>
          <w:b/>
          <w:bCs/>
          <w:color w:val="000000" w:themeColor="text1"/>
          <w:kern w:val="24"/>
          <w:sz w:val="24"/>
          <w:szCs w:val="24"/>
        </w:rPr>
        <w:t xml:space="preserve"> - </w:t>
      </w:r>
      <w:r w:rsidRPr="00FE3A79">
        <w:rPr>
          <w:b/>
          <w:bCs/>
          <w:sz w:val="24"/>
          <w:szCs w:val="24"/>
        </w:rPr>
        <w:t>Reforming the fertiliser market – a key agricultural input for farmers</w:t>
      </w:r>
    </w:p>
    <w:p w14:paraId="583623E2" w14:textId="77777777" w:rsidR="009F1080" w:rsidRPr="00122087" w:rsidRDefault="009F1080" w:rsidP="009F1080">
      <w:pPr>
        <w:pStyle w:val="NormalWeb"/>
        <w:spacing w:before="0" w:beforeAutospacing="0" w:after="0" w:afterAutospacing="0"/>
        <w:contextualSpacing/>
        <w:rPr>
          <w:rFonts w:asciiTheme="minorHAnsi" w:hAnsiTheme="minorHAnsi" w:cstheme="minorHAnsi"/>
        </w:rPr>
      </w:pPr>
      <w:r w:rsidRPr="00122087">
        <w:rPr>
          <w:rFonts w:asciiTheme="minorHAnsi" w:hAnsiTheme="minorHAnsi" w:cstheme="minorHAnsi"/>
        </w:rPr>
        <w:t>Australia supported improved fertiliser practices and quality in Indonesia - one of the world's largest consumers of fertiliser. Australia helped to improve efficiency in the fertiliser market by tackling supply constraints which impact crop productivity and incomes at the farm level.  Improved practices via a state and commercial partnership have benefited over 70,000 smallholder farmers who have seen at least a 30 percent increase in incomes.</w:t>
      </w:r>
    </w:p>
    <w:p w14:paraId="0EA2BC12" w14:textId="77777777" w:rsidR="009F1080" w:rsidRDefault="009F1080"/>
    <w:sectPr w:rsidR="009F10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7734" w14:textId="77777777" w:rsidR="00FE3A79" w:rsidRDefault="00FE3A79" w:rsidP="00FE3A79">
      <w:pPr>
        <w:spacing w:after="0" w:line="240" w:lineRule="auto"/>
      </w:pPr>
      <w:r>
        <w:separator/>
      </w:r>
    </w:p>
  </w:endnote>
  <w:endnote w:type="continuationSeparator" w:id="0">
    <w:p w14:paraId="0C4863A4" w14:textId="77777777" w:rsidR="00FE3A79" w:rsidRDefault="00FE3A79" w:rsidP="00FE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2EB2" w14:textId="77777777" w:rsidR="00FE3A79" w:rsidRDefault="00FE3A79" w:rsidP="00FE3A79">
      <w:pPr>
        <w:spacing w:after="0" w:line="240" w:lineRule="auto"/>
      </w:pPr>
      <w:r>
        <w:separator/>
      </w:r>
    </w:p>
  </w:footnote>
  <w:footnote w:type="continuationSeparator" w:id="0">
    <w:p w14:paraId="24BACA16" w14:textId="77777777" w:rsidR="00FE3A79" w:rsidRDefault="00FE3A79" w:rsidP="00FE3A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80"/>
    <w:rsid w:val="008F0039"/>
    <w:rsid w:val="009F1080"/>
    <w:rsid w:val="00D9192C"/>
    <w:rsid w:val="00FE3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856E6"/>
  <w15:chartTrackingRefBased/>
  <w15:docId w15:val="{2E72CDB3-19E4-48EC-A76B-858A0FA9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108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9F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802</Words>
  <Characters>4772</Characters>
  <Application>Microsoft Office Word</Application>
  <DocSecurity>0</DocSecurity>
  <Lines>90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Malone</dc:creator>
  <cp:keywords>[SEC=OFFICIAL]</cp:keywords>
  <dc:description/>
  <cp:lastModifiedBy>Tammy Malone</cp:lastModifiedBy>
  <cp:revision>1</cp:revision>
  <dcterms:created xsi:type="dcterms:W3CDTF">2022-12-20T01:50:00Z</dcterms:created>
  <dcterms:modified xsi:type="dcterms:W3CDTF">2022-12-20T02:02:00Z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1E6FF320613742FDA7CC700CA9CC6E2D</vt:lpwstr>
  </property>
  <property fmtid="{D5CDD505-2E9C-101B-9397-08002B2CF9AE}" pid="9" name="PM_ProtectiveMarkingValue_Footer">
    <vt:lpwstr>OFFICIAL</vt:lpwstr>
  </property>
  <property fmtid="{D5CDD505-2E9C-101B-9397-08002B2CF9AE}" pid="10" name="PM_Originator_Hash_SHA1">
    <vt:lpwstr>F985B1933BBA1A9E9DB2E945C0193297DC29BB89</vt:lpwstr>
  </property>
  <property fmtid="{D5CDD505-2E9C-101B-9397-08002B2CF9AE}" pid="11" name="PM_OriginationTimeStamp">
    <vt:lpwstr>2022-12-20T02:01:59Z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8F0AC04EFBCFD94239A4400F4CCD7414</vt:lpwstr>
  </property>
  <property fmtid="{D5CDD505-2E9C-101B-9397-08002B2CF9AE}" pid="23" name="PM_Hash_Salt">
    <vt:lpwstr>8F0AC04EFBCFD94239A4400F4CCD7414</vt:lpwstr>
  </property>
  <property fmtid="{D5CDD505-2E9C-101B-9397-08002B2CF9AE}" pid="24" name="PM_Hash_SHA1">
    <vt:lpwstr>3C2FF217DB6E7341220851E0B4C241DA9A4893A3</vt:lpwstr>
  </property>
  <property fmtid="{D5CDD505-2E9C-101B-9397-08002B2CF9AE}" pid="25" name="PM_OriginatorUserAccountName_SHA256">
    <vt:lpwstr>B9398A389B5E660B8C0B78D87531E561FE64DAA263A191B15BB8A88933DE8D94</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