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B4AE2" w14:textId="1597A4BA" w:rsidR="009A744E" w:rsidRDefault="002E500A" w:rsidP="00D74F17">
      <w:pPr>
        <w:pStyle w:val="Heading1"/>
        <w:spacing w:after="0" w:line="240" w:lineRule="auto"/>
        <w:contextualSpacing w:val="0"/>
      </w:pPr>
      <w:bookmarkStart w:id="0" w:name="_Hlk121231693"/>
      <w:bookmarkEnd w:id="0"/>
      <w:r w:rsidRPr="002E500A">
        <w:t>202</w:t>
      </w:r>
      <w:r w:rsidR="009543B9">
        <w:t>1</w:t>
      </w:r>
      <w:r w:rsidRPr="002E500A">
        <w:t>-2</w:t>
      </w:r>
      <w:r w:rsidR="009543B9">
        <w:t>2</w:t>
      </w:r>
      <w:r w:rsidRPr="002E500A">
        <w:t xml:space="preserve"> </w:t>
      </w:r>
      <w:r w:rsidR="00657C3E">
        <w:t>TONGA</w:t>
      </w:r>
      <w:r w:rsidR="001F7F4D" w:rsidRPr="002E500A">
        <w:t xml:space="preserve"> D</w:t>
      </w:r>
      <w:r w:rsidR="00382CE7">
        <w:t>evelopment</w:t>
      </w:r>
      <w:r w:rsidR="001F7F4D" w:rsidRPr="002E500A">
        <w:t xml:space="preserve"> </w:t>
      </w:r>
      <w:r w:rsidRPr="002E500A">
        <w:t>P</w:t>
      </w:r>
      <w:r w:rsidR="00382CE7">
        <w:t xml:space="preserve">rogram </w:t>
      </w:r>
      <w:r w:rsidRPr="002E500A">
        <w:t>P</w:t>
      </w:r>
      <w:r w:rsidR="00382CE7">
        <w:t>rogress</w:t>
      </w:r>
      <w:r w:rsidRPr="002E500A">
        <w:t xml:space="preserve"> R</w:t>
      </w:r>
      <w:r w:rsidR="00382CE7">
        <w:t>eport</w:t>
      </w:r>
    </w:p>
    <w:p w14:paraId="0FA14DB3" w14:textId="0AD97FCC" w:rsidR="00250957" w:rsidRPr="00E33E2C" w:rsidRDefault="00EC5F34" w:rsidP="00250957">
      <w:pPr>
        <w:pBdr>
          <w:top w:val="single" w:sz="4" w:space="1" w:color="65C5B4" w:themeColor="accent1"/>
          <w:left w:val="single" w:sz="4" w:space="4" w:color="65C5B4" w:themeColor="accent1"/>
          <w:bottom w:val="single" w:sz="4" w:space="1" w:color="65C5B4" w:themeColor="accent1"/>
          <w:right w:val="single" w:sz="4" w:space="4" w:color="65C5B4" w:themeColor="accent1"/>
        </w:pBdr>
        <w:spacing w:before="0" w:after="0" w:line="240" w:lineRule="auto"/>
      </w:pPr>
      <w:r w:rsidRPr="00E33E2C">
        <w:t xml:space="preserve">The COVID-19 Development Response Plan for Tonga has been extended through 2022-23. In 2022-23, Australia will support Tonga’s economic recovery following COVID-19 and the </w:t>
      </w:r>
      <w:proofErr w:type="spellStart"/>
      <w:r w:rsidRPr="00E33E2C">
        <w:t>Hunga</w:t>
      </w:r>
      <w:proofErr w:type="spellEnd"/>
      <w:r w:rsidRPr="00E33E2C">
        <w:t xml:space="preserve"> Tonga-</w:t>
      </w:r>
      <w:proofErr w:type="spellStart"/>
      <w:r w:rsidRPr="00E33E2C">
        <w:t>Hunga</w:t>
      </w:r>
      <w:proofErr w:type="spellEnd"/>
      <w:r w:rsidRPr="00E33E2C">
        <w:t xml:space="preserve"> </w:t>
      </w:r>
      <w:proofErr w:type="spellStart"/>
      <w:r w:rsidRPr="00E33E2C">
        <w:t>Ha’apai</w:t>
      </w:r>
      <w:proofErr w:type="spellEnd"/>
      <w:r w:rsidRPr="00E33E2C">
        <w:t xml:space="preserve"> (HTHH) volcanic eruption and tsunami, including through budget support packages and economic reforms. Health support will focus on primary and community healthcare, non-communicable diseases, and pandemic responses. We will invest in disaster preparedness and climate resilience. Ensuring our program is socially inclusive is a priority. </w:t>
      </w:r>
    </w:p>
    <w:tbl>
      <w:tblPr>
        <w:tblStyle w:val="GridTable4-Accent1"/>
        <w:tblpPr w:leftFromText="180" w:rightFromText="180" w:vertAnchor="text" w:horzAnchor="margin" w:tblpY="28"/>
        <w:tblW w:w="495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ook w:val="04A0" w:firstRow="1" w:lastRow="0" w:firstColumn="1" w:lastColumn="0" w:noHBand="0" w:noVBand="1"/>
        <w:tblCaption w:val="Program Budget"/>
        <w:tblDescription w:val="Amount of Program budget allocation for 2020-21 for Bilateral, Regional, Global and Other Government Department ODA"/>
      </w:tblPr>
      <w:tblGrid>
        <w:gridCol w:w="2666"/>
        <w:gridCol w:w="2291"/>
      </w:tblGrid>
      <w:tr w:rsidR="00250957" w14:paraId="2DDBD3F4" w14:textId="77777777" w:rsidTr="00E33E2C">
        <w:trPr>
          <w:cnfStyle w:val="100000000000" w:firstRow="1" w:lastRow="0" w:firstColumn="0" w:lastColumn="0" w:oddVBand="0" w:evenVBand="0" w:oddHBand="0" w:evenHBand="0" w:firstRowFirstColumn="0" w:firstRowLastColumn="0" w:lastRowFirstColumn="0" w:lastRowLastColumn="0"/>
          <w:trHeight w:val="1237"/>
          <w:tblHeader/>
        </w:trPr>
        <w:tc>
          <w:tcPr>
            <w:cnfStyle w:val="001000000000" w:firstRow="0" w:lastRow="0" w:firstColumn="1" w:lastColumn="0" w:oddVBand="0" w:evenVBand="0" w:oddHBand="0" w:evenHBand="0" w:firstRowFirstColumn="0" w:firstRowLastColumn="0" w:lastRowFirstColumn="0" w:lastRowLastColumn="0"/>
            <w:tcW w:w="2666" w:type="dxa"/>
            <w:tcBorders>
              <w:top w:val="none" w:sz="0" w:space="0" w:color="auto"/>
              <w:left w:val="none" w:sz="0" w:space="0" w:color="auto"/>
              <w:bottom w:val="none" w:sz="0" w:space="0" w:color="auto"/>
              <w:right w:val="none" w:sz="0" w:space="0" w:color="auto"/>
            </w:tcBorders>
            <w:shd w:val="clear" w:color="auto" w:fill="A2DCD1" w:themeFill="accent1" w:themeFillTint="99"/>
            <w:vAlign w:val="center"/>
          </w:tcPr>
          <w:p w14:paraId="39A9A9FF" w14:textId="77777777" w:rsidR="00250957" w:rsidRPr="005736BB" w:rsidRDefault="00250957" w:rsidP="000E3946">
            <w:pPr>
              <w:widowControl w:val="0"/>
              <w:spacing w:before="60" w:after="120" w:line="260" w:lineRule="exact"/>
              <w:rPr>
                <w:b w:val="0"/>
                <w:bCs w:val="0"/>
                <w:sz w:val="20"/>
                <w:szCs w:val="20"/>
              </w:rPr>
            </w:pPr>
            <w:r w:rsidRPr="005736BB">
              <w:rPr>
                <w:sz w:val="20"/>
                <w:szCs w:val="20"/>
              </w:rPr>
              <w:t>Program Budget</w:t>
            </w:r>
          </w:p>
        </w:tc>
        <w:tc>
          <w:tcPr>
            <w:tcW w:w="2291" w:type="dxa"/>
            <w:tcBorders>
              <w:top w:val="none" w:sz="0" w:space="0" w:color="auto"/>
              <w:left w:val="none" w:sz="0" w:space="0" w:color="auto"/>
              <w:bottom w:val="none" w:sz="0" w:space="0" w:color="auto"/>
              <w:right w:val="none" w:sz="0" w:space="0" w:color="auto"/>
            </w:tcBorders>
            <w:shd w:val="clear" w:color="auto" w:fill="A2DCD1" w:themeFill="accent1" w:themeFillTint="99"/>
            <w:vAlign w:val="center"/>
          </w:tcPr>
          <w:p w14:paraId="3CEB6704" w14:textId="77777777" w:rsidR="00250957" w:rsidRPr="005736BB" w:rsidRDefault="00250957" w:rsidP="000E3946">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736BB">
              <w:rPr>
                <w:sz w:val="20"/>
                <w:szCs w:val="20"/>
              </w:rPr>
              <w:t>202</w:t>
            </w:r>
            <w:r>
              <w:rPr>
                <w:sz w:val="20"/>
                <w:szCs w:val="20"/>
              </w:rPr>
              <w:t>1</w:t>
            </w:r>
            <w:r w:rsidRPr="005736BB">
              <w:rPr>
                <w:sz w:val="20"/>
                <w:szCs w:val="20"/>
              </w:rPr>
              <w:t>-2</w:t>
            </w:r>
            <w:r>
              <w:rPr>
                <w:sz w:val="20"/>
                <w:szCs w:val="20"/>
              </w:rPr>
              <w:t>2</w:t>
            </w:r>
            <w:r w:rsidRPr="005736BB">
              <w:rPr>
                <w:sz w:val="20"/>
                <w:szCs w:val="20"/>
              </w:rPr>
              <w:t xml:space="preserve"> Budget Estimate $m</w:t>
            </w:r>
            <w:r>
              <w:rPr>
                <w:sz w:val="20"/>
                <w:szCs w:val="20"/>
              </w:rPr>
              <w:t>*</w:t>
            </w:r>
          </w:p>
        </w:tc>
      </w:tr>
      <w:tr w:rsidR="00250957" w14:paraId="75D0EF15" w14:textId="77777777" w:rsidTr="00E33E2C">
        <w:trPr>
          <w:cnfStyle w:val="100000000000" w:firstRow="1" w:lastRow="0" w:firstColumn="0" w:lastColumn="0" w:oddVBand="0" w:evenVBand="0" w:oddHBand="0" w:evenHBand="0" w:firstRowFirstColumn="0" w:firstRowLastColumn="0" w:lastRowFirstColumn="0" w:lastRowLastColumn="0"/>
          <w:trHeight w:val="443"/>
          <w:tblHeader/>
        </w:trPr>
        <w:tc>
          <w:tcPr>
            <w:cnfStyle w:val="001000000000" w:firstRow="0" w:lastRow="0" w:firstColumn="1" w:lastColumn="0" w:oddVBand="0" w:evenVBand="0" w:oddHBand="0" w:evenHBand="0" w:firstRowFirstColumn="0" w:firstRowLastColumn="0" w:lastRowFirstColumn="0" w:lastRowLastColumn="0"/>
            <w:tcW w:w="2666" w:type="dxa"/>
            <w:tcBorders>
              <w:top w:val="none" w:sz="0" w:space="0" w:color="auto"/>
              <w:left w:val="none" w:sz="0" w:space="0" w:color="auto"/>
              <w:bottom w:val="none" w:sz="0" w:space="0" w:color="auto"/>
              <w:right w:val="none" w:sz="0" w:space="0" w:color="auto"/>
            </w:tcBorders>
            <w:shd w:val="clear" w:color="auto" w:fill="FFFFFF" w:themeFill="background1"/>
          </w:tcPr>
          <w:p w14:paraId="655F06C3" w14:textId="77777777" w:rsidR="00250957" w:rsidRPr="005736BB" w:rsidRDefault="00250957" w:rsidP="000E3946">
            <w:pPr>
              <w:widowControl w:val="0"/>
              <w:spacing w:before="60" w:after="120" w:line="260" w:lineRule="exact"/>
              <w:rPr>
                <w:sz w:val="20"/>
                <w:szCs w:val="20"/>
              </w:rPr>
            </w:pPr>
            <w:r w:rsidRPr="005736BB">
              <w:rPr>
                <w:sz w:val="20"/>
                <w:szCs w:val="20"/>
              </w:rPr>
              <w:t>Bilateral</w:t>
            </w:r>
          </w:p>
        </w:tc>
        <w:tc>
          <w:tcPr>
            <w:tcW w:w="2291" w:type="dxa"/>
            <w:tcBorders>
              <w:top w:val="none" w:sz="0" w:space="0" w:color="auto"/>
              <w:left w:val="none" w:sz="0" w:space="0" w:color="auto"/>
              <w:bottom w:val="none" w:sz="0" w:space="0" w:color="auto"/>
              <w:right w:val="none" w:sz="0" w:space="0" w:color="auto"/>
            </w:tcBorders>
            <w:shd w:val="clear" w:color="auto" w:fill="FFFFFF" w:themeFill="background1"/>
          </w:tcPr>
          <w:p w14:paraId="09935FDA" w14:textId="77777777" w:rsidR="00250957" w:rsidRDefault="00250957" w:rsidP="000E3946">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20.1</w:t>
            </w:r>
          </w:p>
        </w:tc>
      </w:tr>
      <w:tr w:rsidR="00250957" w14:paraId="32B2F834" w14:textId="77777777" w:rsidTr="00E33E2C">
        <w:trPr>
          <w:cnfStyle w:val="100000000000" w:firstRow="1" w:lastRow="0" w:firstColumn="0" w:lastColumn="0" w:oddVBand="0" w:evenVBand="0" w:oddHBand="0" w:evenHBand="0" w:firstRowFirstColumn="0" w:firstRowLastColumn="0" w:lastRowFirstColumn="0" w:lastRowLastColumn="0"/>
          <w:trHeight w:val="443"/>
          <w:tblHeader/>
        </w:trPr>
        <w:tc>
          <w:tcPr>
            <w:cnfStyle w:val="001000000000" w:firstRow="0" w:lastRow="0" w:firstColumn="1" w:lastColumn="0" w:oddVBand="0" w:evenVBand="0" w:oddHBand="0" w:evenHBand="0" w:firstRowFirstColumn="0" w:firstRowLastColumn="0" w:lastRowFirstColumn="0" w:lastRowLastColumn="0"/>
            <w:tcW w:w="2666"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6B70DE01" w14:textId="77777777" w:rsidR="00250957" w:rsidRPr="005736BB" w:rsidRDefault="00250957" w:rsidP="000E3946">
            <w:pPr>
              <w:widowControl w:val="0"/>
              <w:spacing w:before="60" w:after="120" w:line="260" w:lineRule="exact"/>
              <w:rPr>
                <w:sz w:val="20"/>
                <w:szCs w:val="20"/>
              </w:rPr>
            </w:pPr>
            <w:r w:rsidRPr="005736BB">
              <w:rPr>
                <w:sz w:val="20"/>
                <w:szCs w:val="20"/>
              </w:rPr>
              <w:t>Regional</w:t>
            </w:r>
          </w:p>
        </w:tc>
        <w:tc>
          <w:tcPr>
            <w:tcW w:w="2291"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6401C36C" w14:textId="77777777" w:rsidR="00250957" w:rsidRDefault="00250957" w:rsidP="000E3946">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10.0</w:t>
            </w:r>
          </w:p>
        </w:tc>
      </w:tr>
      <w:tr w:rsidR="00250957" w14:paraId="4C605543" w14:textId="77777777" w:rsidTr="00E33E2C">
        <w:trPr>
          <w:cnfStyle w:val="100000000000" w:firstRow="1" w:lastRow="0" w:firstColumn="0" w:lastColumn="0" w:oddVBand="0" w:evenVBand="0" w:oddHBand="0" w:evenHBand="0" w:firstRowFirstColumn="0" w:firstRowLastColumn="0" w:lastRowFirstColumn="0" w:lastRowLastColumn="0"/>
          <w:trHeight w:val="443"/>
          <w:tblHeader/>
        </w:trPr>
        <w:tc>
          <w:tcPr>
            <w:cnfStyle w:val="001000000000" w:firstRow="0" w:lastRow="0" w:firstColumn="1" w:lastColumn="0" w:oddVBand="0" w:evenVBand="0" w:oddHBand="0" w:evenHBand="0" w:firstRowFirstColumn="0" w:firstRowLastColumn="0" w:lastRowFirstColumn="0" w:lastRowLastColumn="0"/>
            <w:tcW w:w="2666" w:type="dxa"/>
            <w:tcBorders>
              <w:top w:val="none" w:sz="0" w:space="0" w:color="auto"/>
              <w:left w:val="none" w:sz="0" w:space="0" w:color="auto"/>
              <w:bottom w:val="none" w:sz="0" w:space="0" w:color="auto"/>
              <w:right w:val="none" w:sz="0" w:space="0" w:color="auto"/>
            </w:tcBorders>
            <w:shd w:val="clear" w:color="auto" w:fill="FFFFFF" w:themeFill="background1"/>
          </w:tcPr>
          <w:p w14:paraId="16E8A0EF" w14:textId="77777777" w:rsidR="00250957" w:rsidRPr="005736BB" w:rsidRDefault="00250957" w:rsidP="000E3946">
            <w:pPr>
              <w:widowControl w:val="0"/>
              <w:spacing w:before="60" w:after="120" w:line="260" w:lineRule="exact"/>
              <w:rPr>
                <w:sz w:val="20"/>
                <w:szCs w:val="20"/>
              </w:rPr>
            </w:pPr>
            <w:r w:rsidRPr="005736BB">
              <w:rPr>
                <w:sz w:val="20"/>
                <w:szCs w:val="20"/>
              </w:rPr>
              <w:t>Global</w:t>
            </w:r>
          </w:p>
        </w:tc>
        <w:tc>
          <w:tcPr>
            <w:tcW w:w="2291" w:type="dxa"/>
            <w:tcBorders>
              <w:top w:val="none" w:sz="0" w:space="0" w:color="auto"/>
              <w:left w:val="none" w:sz="0" w:space="0" w:color="auto"/>
              <w:bottom w:val="none" w:sz="0" w:space="0" w:color="auto"/>
              <w:right w:val="none" w:sz="0" w:space="0" w:color="auto"/>
            </w:tcBorders>
            <w:shd w:val="clear" w:color="auto" w:fill="FFFFFF" w:themeFill="background1"/>
          </w:tcPr>
          <w:p w14:paraId="7572B395" w14:textId="77777777" w:rsidR="00250957" w:rsidRDefault="00250957" w:rsidP="000E3946">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 xml:space="preserve"> 3.8</w:t>
            </w:r>
          </w:p>
        </w:tc>
      </w:tr>
      <w:tr w:rsidR="00250957" w14:paraId="2FDFDF9E" w14:textId="77777777" w:rsidTr="00E33E2C">
        <w:trPr>
          <w:cnfStyle w:val="100000000000" w:firstRow="1" w:lastRow="0" w:firstColumn="0" w:lastColumn="0" w:oddVBand="0" w:evenVBand="0" w:oddHBand="0" w:evenHBand="0" w:firstRowFirstColumn="0" w:firstRowLastColumn="0" w:lastRowFirstColumn="0" w:lastRowLastColumn="0"/>
          <w:trHeight w:val="504"/>
          <w:tblHeader/>
        </w:trPr>
        <w:tc>
          <w:tcPr>
            <w:cnfStyle w:val="001000000000" w:firstRow="0" w:lastRow="0" w:firstColumn="1" w:lastColumn="0" w:oddVBand="0" w:evenVBand="0" w:oddHBand="0" w:evenHBand="0" w:firstRowFirstColumn="0" w:firstRowLastColumn="0" w:lastRowFirstColumn="0" w:lastRowLastColumn="0"/>
            <w:tcW w:w="2666"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26B3C82E" w14:textId="77777777" w:rsidR="00250957" w:rsidRPr="005736BB" w:rsidRDefault="00250957" w:rsidP="000E3946">
            <w:pPr>
              <w:widowControl w:val="0"/>
              <w:spacing w:before="60" w:after="120" w:line="260" w:lineRule="exact"/>
              <w:rPr>
                <w:sz w:val="20"/>
                <w:szCs w:val="20"/>
              </w:rPr>
            </w:pPr>
            <w:r w:rsidRPr="005736BB">
              <w:rPr>
                <w:sz w:val="20"/>
                <w:szCs w:val="20"/>
              </w:rPr>
              <w:t>Other Govt. Departments</w:t>
            </w:r>
          </w:p>
        </w:tc>
        <w:tc>
          <w:tcPr>
            <w:tcW w:w="2291"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5A134235" w14:textId="77777777" w:rsidR="00250957" w:rsidRDefault="00250957" w:rsidP="000E3946">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 xml:space="preserve"> 1.7</w:t>
            </w:r>
          </w:p>
        </w:tc>
      </w:tr>
      <w:tr w:rsidR="00250957" w14:paraId="39D5BCD9" w14:textId="77777777" w:rsidTr="00E33E2C">
        <w:trPr>
          <w:cnfStyle w:val="100000000000" w:firstRow="1" w:lastRow="0" w:firstColumn="0" w:lastColumn="0" w:oddVBand="0" w:evenVBand="0" w:oddHBand="0" w:evenHBand="0" w:firstRowFirstColumn="0" w:firstRowLastColumn="0" w:lastRowFirstColumn="0" w:lastRowLastColumn="0"/>
          <w:trHeight w:val="443"/>
          <w:tblHeader/>
        </w:trPr>
        <w:tc>
          <w:tcPr>
            <w:cnfStyle w:val="001000000000" w:firstRow="0" w:lastRow="0" w:firstColumn="1" w:lastColumn="0" w:oddVBand="0" w:evenVBand="0" w:oddHBand="0" w:evenHBand="0" w:firstRowFirstColumn="0" w:firstRowLastColumn="0" w:lastRowFirstColumn="0" w:lastRowLastColumn="0"/>
            <w:tcW w:w="2666" w:type="dxa"/>
            <w:tcBorders>
              <w:top w:val="none" w:sz="0" w:space="0" w:color="auto"/>
              <w:left w:val="none" w:sz="0" w:space="0" w:color="auto"/>
              <w:bottom w:val="none" w:sz="0" w:space="0" w:color="auto"/>
              <w:right w:val="none" w:sz="0" w:space="0" w:color="auto"/>
            </w:tcBorders>
            <w:shd w:val="clear" w:color="auto" w:fill="FFFFFF" w:themeFill="background1"/>
          </w:tcPr>
          <w:p w14:paraId="3A928D9C" w14:textId="77777777" w:rsidR="00250957" w:rsidRPr="005736BB" w:rsidRDefault="00250957" w:rsidP="000E3946">
            <w:pPr>
              <w:widowControl w:val="0"/>
              <w:spacing w:before="60" w:after="120" w:line="260" w:lineRule="exact"/>
              <w:rPr>
                <w:sz w:val="20"/>
                <w:szCs w:val="20"/>
              </w:rPr>
            </w:pPr>
            <w:r w:rsidRPr="005736BB">
              <w:rPr>
                <w:sz w:val="20"/>
                <w:szCs w:val="20"/>
              </w:rPr>
              <w:t>Total ODA</w:t>
            </w:r>
          </w:p>
        </w:tc>
        <w:tc>
          <w:tcPr>
            <w:tcW w:w="2291" w:type="dxa"/>
            <w:tcBorders>
              <w:top w:val="none" w:sz="0" w:space="0" w:color="auto"/>
              <w:left w:val="none" w:sz="0" w:space="0" w:color="auto"/>
              <w:bottom w:val="none" w:sz="0" w:space="0" w:color="auto"/>
              <w:right w:val="none" w:sz="0" w:space="0" w:color="auto"/>
            </w:tcBorders>
            <w:shd w:val="clear" w:color="auto" w:fill="FFFFFF" w:themeFill="background1"/>
          </w:tcPr>
          <w:p w14:paraId="234F7204" w14:textId="77777777" w:rsidR="00250957" w:rsidRDefault="00250957" w:rsidP="000E3946">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35.6</w:t>
            </w:r>
          </w:p>
        </w:tc>
      </w:tr>
    </w:tbl>
    <w:p w14:paraId="0D2AAFDF" w14:textId="55566586" w:rsidR="00250957" w:rsidRDefault="00F24BD7" w:rsidP="00930DF8">
      <w:pPr>
        <w:widowControl w:val="0"/>
        <w:spacing w:before="0" w:after="0" w:line="240" w:lineRule="auto"/>
        <w:rPr>
          <w:i/>
          <w:iCs/>
          <w:sz w:val="18"/>
          <w:szCs w:val="18"/>
        </w:rPr>
      </w:pPr>
      <w:r>
        <w:rPr>
          <w:noProof/>
        </w:rPr>
        <w:drawing>
          <wp:inline distT="0" distB="0" distL="0" distR="0" wp14:anchorId="56622F6D" wp14:editId="3B05F878">
            <wp:extent cx="3390220" cy="2320096"/>
            <wp:effectExtent l="0" t="0" r="1270" b="4445"/>
            <wp:docPr id="14" name="Picture 14" descr="The Tonga Development Program by Sector Group 2021-22 Budget Estimate&#10;Economic Infrastructure and Services 10%&#10;Agriculture, Trade and other Production Sectors 7%&#10;Governance 35%&#10;Education 15%&#10;Health 21%&#10;Humanitarian 6%&#10;Multisector and General Development Support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he Tonga Development Program by Sector Group 2021-22 Budget Estimate&#10;Economic Infrastructure and Services 10%&#10;Agriculture, Trade and other Production Sectors 7%&#10;Governance 35%&#10;Education 15%&#10;Health 21%&#10;Humanitarian 6%&#10;Multisector and General Development Support 6%&#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9101" cy="2339861"/>
                    </a:xfrm>
                    <a:prstGeom prst="rect">
                      <a:avLst/>
                    </a:prstGeom>
                    <a:noFill/>
                    <a:ln>
                      <a:noFill/>
                    </a:ln>
                  </pic:spPr>
                </pic:pic>
              </a:graphicData>
            </a:graphic>
          </wp:inline>
        </w:drawing>
      </w:r>
    </w:p>
    <w:p w14:paraId="3EDC8A44" w14:textId="72C8672A" w:rsidR="007B53F9" w:rsidRDefault="00CA5021" w:rsidP="00930DF8">
      <w:pPr>
        <w:widowControl w:val="0"/>
        <w:spacing w:before="0" w:after="0" w:line="240" w:lineRule="auto"/>
      </w:pPr>
      <w:r w:rsidRPr="005D69AA">
        <w:rPr>
          <w:i/>
          <w:iCs/>
          <w:sz w:val="18"/>
          <w:szCs w:val="18"/>
        </w:rPr>
        <w:t xml:space="preserve">*Actual expenditure is expected to be available in </w:t>
      </w:r>
      <w:r w:rsidR="00A17461" w:rsidRPr="005D69AA">
        <w:rPr>
          <w:i/>
          <w:iCs/>
          <w:sz w:val="18"/>
          <w:szCs w:val="18"/>
        </w:rPr>
        <w:t>early 2023</w:t>
      </w:r>
      <w:r w:rsidR="000B40E9" w:rsidRPr="005D69AA">
        <w:rPr>
          <w:i/>
          <w:iCs/>
          <w:sz w:val="18"/>
          <w:szCs w:val="18"/>
        </w:rPr>
        <w:t>.</w:t>
      </w:r>
      <w:r w:rsidR="004870F3" w:rsidRPr="004870F3">
        <w:rPr>
          <w:i/>
          <w:iCs/>
          <w:sz w:val="18"/>
          <w:szCs w:val="18"/>
        </w:rPr>
        <w:t xml:space="preserve"> </w:t>
      </w:r>
      <w:r w:rsidR="004870F3">
        <w:rPr>
          <w:i/>
          <w:iCs/>
          <w:sz w:val="18"/>
          <w:szCs w:val="18"/>
        </w:rPr>
        <w:t>Due to rounding, totals may not match the sum of components.</w:t>
      </w:r>
    </w:p>
    <w:p w14:paraId="5FD3FAF2" w14:textId="172CA867" w:rsidR="00EC5F34" w:rsidRPr="00EC5F34" w:rsidRDefault="00930DF8" w:rsidP="00EC5F34">
      <w:pPr>
        <w:spacing w:before="0" w:after="0" w:line="240" w:lineRule="auto"/>
        <w:rPr>
          <w:b/>
          <w:bCs/>
          <w:i/>
          <w:iCs/>
          <w:sz w:val="20"/>
          <w:szCs w:val="20"/>
        </w:rPr>
      </w:pPr>
      <w:r w:rsidRPr="00CB5512">
        <w:rPr>
          <w:b/>
          <w:bCs/>
          <w:i/>
          <w:iCs/>
          <w:sz w:val="20"/>
          <w:szCs w:val="20"/>
        </w:rPr>
        <w:t xml:space="preserve">Our development program to </w:t>
      </w:r>
      <w:r w:rsidR="00714457">
        <w:rPr>
          <w:b/>
          <w:bCs/>
          <w:i/>
          <w:iCs/>
          <w:sz w:val="20"/>
          <w:szCs w:val="20"/>
        </w:rPr>
        <w:t>Tonga</w:t>
      </w:r>
      <w:r w:rsidRPr="00CB5512">
        <w:rPr>
          <w:b/>
          <w:bCs/>
          <w:i/>
          <w:iCs/>
          <w:sz w:val="20"/>
          <w:szCs w:val="20"/>
        </w:rPr>
        <w:t xml:space="preserve"> contributes towards achieving the following Sustainable Development Goals:</w:t>
      </w:r>
    </w:p>
    <w:p w14:paraId="0D21E4D1" w14:textId="5766C17C" w:rsidR="00EC5F34" w:rsidRDefault="00EC5F34" w:rsidP="00E33E2C">
      <w:pPr>
        <w:spacing w:before="0" w:after="0" w:line="240" w:lineRule="auto"/>
        <w:rPr>
          <w:noProof/>
        </w:rPr>
      </w:pPr>
      <w:r w:rsidRPr="00EC5F34">
        <w:rPr>
          <w:noProof/>
        </w:rPr>
        <w:drawing>
          <wp:inline distT="0" distB="0" distL="0" distR="0" wp14:anchorId="2EF6F677" wp14:editId="304DE298">
            <wp:extent cx="6696075" cy="571500"/>
            <wp:effectExtent l="0" t="0" r="0" b="0"/>
            <wp:docPr id="12" name="Picture 12" descr="Sustainable Development Goal 1- No Poverty&#10;Sustainable Development Goal 3-Good Health and Well-being&#10;Sustainable Development Goal 4-Quality Education&#10;Sustainable Development Goal 5-Gender Equality&#10;Sustainable Development Goal 7- Affordable and Clean Energy&#10;Sustainable Development Goal 8- Decent Work and Economic Growth&#10;Sustainable Development Goal 9- Industry, Innovation and Infrastructure&#10;Sustainable Development Goal 10- Reduced Inequality&#10;Sustainable Development Goal 13- Climate Actions&#10;Sustainable Development Goal 17- Partnerships to achieve the Goal&#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ustainable Development Goal 1- No Poverty&#10;Sustainable Development Goal 3-Good Health and Well-being&#10;Sustainable Development Goal 4-Quality Education&#10;Sustainable Development Goal 5-Gender Equality&#10;Sustainable Development Goal 7- Affordable and Clean Energy&#10;Sustainable Development Goal 8- Decent Work and Economic Growth&#10;Sustainable Development Goal 9- Industry, Innovation and Infrastructure&#10;Sustainable Development Goal 10- Reduced Inequality&#10;Sustainable Development Goal 13- Climate Actions&#10;Sustainable Development Goal 17- Partnerships to achieve the Goal&#10;&#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96075" cy="571500"/>
                    </a:xfrm>
                    <a:prstGeom prst="rect">
                      <a:avLst/>
                    </a:prstGeom>
                    <a:noFill/>
                    <a:ln>
                      <a:noFill/>
                    </a:ln>
                  </pic:spPr>
                </pic:pic>
              </a:graphicData>
            </a:graphic>
          </wp:inline>
        </w:drawing>
      </w:r>
    </w:p>
    <w:p w14:paraId="6BE09466" w14:textId="34EE7286" w:rsidR="003806FE" w:rsidRPr="00DC72EF" w:rsidRDefault="003806FE" w:rsidP="005674C6">
      <w:pPr>
        <w:spacing w:line="259" w:lineRule="auto"/>
      </w:pPr>
      <w:r w:rsidRPr="00DC72EF">
        <w:t>The 202</w:t>
      </w:r>
      <w:r w:rsidR="00ED6E38" w:rsidRPr="00DC72EF">
        <w:t>1</w:t>
      </w:r>
      <w:r w:rsidRPr="00DC72EF">
        <w:t>-2</w:t>
      </w:r>
      <w:r w:rsidR="00ED6E38" w:rsidRPr="00DC72EF">
        <w:t>2</w:t>
      </w:r>
      <w:r w:rsidRPr="00DC72EF">
        <w:t xml:space="preserve"> </w:t>
      </w:r>
      <w:r w:rsidR="005A7928" w:rsidRPr="00DC72EF">
        <w:t>Tonga</w:t>
      </w:r>
      <w:r w:rsidRPr="00DC72EF">
        <w:t xml:space="preserve"> Development Program Progress Report summarises </w:t>
      </w:r>
      <w:r w:rsidR="00404443" w:rsidRPr="00DC72EF">
        <w:t xml:space="preserve">progress </w:t>
      </w:r>
      <w:r w:rsidR="00717DC6" w:rsidRPr="00DC72EF">
        <w:t>with implementation of the Australia-Tonga</w:t>
      </w:r>
      <w:r w:rsidR="00891C7B" w:rsidRPr="00DC72EF">
        <w:t xml:space="preserve"> COVID-19 </w:t>
      </w:r>
      <w:r w:rsidR="00717DC6">
        <w:t>Development Response Plan and highlights program results.</w:t>
      </w:r>
      <w:r w:rsidR="00717DC6" w:rsidRPr="00DC72EF" w:rsidDel="00717DC6">
        <w:t xml:space="preserve"> </w:t>
      </w:r>
    </w:p>
    <w:p w14:paraId="12F182A4" w14:textId="2F00DDCD" w:rsidR="00C84C30" w:rsidRPr="00297FD1" w:rsidRDefault="00C84C30" w:rsidP="005674C6">
      <w:pPr>
        <w:pStyle w:val="Heading2"/>
        <w:spacing w:before="120" w:after="60" w:line="259" w:lineRule="auto"/>
        <w:contextualSpacing w:val="0"/>
      </w:pPr>
      <w:r w:rsidRPr="00297FD1">
        <w:t xml:space="preserve">CONTEXT </w:t>
      </w:r>
    </w:p>
    <w:p w14:paraId="349102EF" w14:textId="5915DFB2" w:rsidR="003C09BB" w:rsidRPr="00DC72EF" w:rsidRDefault="00C13D63" w:rsidP="005674C6">
      <w:pPr>
        <w:spacing w:line="259" w:lineRule="auto"/>
      </w:pPr>
      <w:r w:rsidRPr="00DC72EF">
        <w:t xml:space="preserve">Australia’s development assistance </w:t>
      </w:r>
      <w:r w:rsidR="00B576AE" w:rsidRPr="00DC72EF">
        <w:t xml:space="preserve">to Tonga </w:t>
      </w:r>
      <w:r w:rsidRPr="00DC72EF">
        <w:t>supports a shared vision of a prosperous and stable Tonga</w:t>
      </w:r>
      <w:r w:rsidR="007F2A49" w:rsidRPr="00DC72EF">
        <w:t xml:space="preserve"> </w:t>
      </w:r>
      <w:r w:rsidR="0014349A" w:rsidRPr="00DC72EF">
        <w:t xml:space="preserve">and is </w:t>
      </w:r>
      <w:r w:rsidR="005920C3" w:rsidRPr="00DC72EF">
        <w:t xml:space="preserve">assisting </w:t>
      </w:r>
      <w:r w:rsidR="001329DF" w:rsidRPr="00DC72EF">
        <w:t>COVID-19 recovery</w:t>
      </w:r>
      <w:r w:rsidRPr="00DC72EF">
        <w:t xml:space="preserve"> and building resilience in the face of natural </w:t>
      </w:r>
      <w:r w:rsidR="00882D82" w:rsidRPr="00DC72EF">
        <w:t>hazard</w:t>
      </w:r>
      <w:r w:rsidRPr="00DC72EF">
        <w:t>s</w:t>
      </w:r>
      <w:r w:rsidR="003C09BB" w:rsidRPr="00DC72EF">
        <w:t xml:space="preserve">.  </w:t>
      </w:r>
    </w:p>
    <w:p w14:paraId="68E51B9C" w14:textId="0C511E04" w:rsidR="004C22AB" w:rsidRPr="00882D82" w:rsidRDefault="003C09BB" w:rsidP="005674C6">
      <w:pPr>
        <w:spacing w:line="259" w:lineRule="auto"/>
        <w:rPr>
          <w:b/>
          <w:bCs/>
        </w:rPr>
      </w:pPr>
      <w:r w:rsidRPr="00DC72EF">
        <w:t xml:space="preserve">Tonga experienced its first COVID-19 outbreak in February 2022. </w:t>
      </w:r>
      <w:r w:rsidR="00EF6690" w:rsidRPr="00DC72EF">
        <w:t>It</w:t>
      </w:r>
      <w:r w:rsidRPr="00DC72EF">
        <w:t xml:space="preserve"> coincided with the </w:t>
      </w:r>
      <w:r w:rsidR="00A46037" w:rsidRPr="00DC72EF">
        <w:t xml:space="preserve">HTHH </w:t>
      </w:r>
      <w:r w:rsidRPr="00DC72EF">
        <w:t>volcanic eruption</w:t>
      </w:r>
      <w:r w:rsidR="00812C79" w:rsidRPr="00DC72EF">
        <w:t xml:space="preserve"> and</w:t>
      </w:r>
      <w:r w:rsidR="00055F93" w:rsidRPr="00DC72EF">
        <w:t xml:space="preserve"> </w:t>
      </w:r>
      <w:r w:rsidRPr="00DC72EF">
        <w:t xml:space="preserve">tsunami </w:t>
      </w:r>
      <w:r w:rsidR="005509F4" w:rsidRPr="00DC72EF">
        <w:t>response</w:t>
      </w:r>
      <w:r w:rsidRPr="00DC72EF">
        <w:t xml:space="preserve">, and was immediately met with lockdowns, </w:t>
      </w:r>
      <w:r w:rsidR="00EA4790" w:rsidRPr="00DC72EF">
        <w:t>controls on</w:t>
      </w:r>
      <w:r w:rsidRPr="00DC72EF">
        <w:t xml:space="preserve"> inter-island travel, </w:t>
      </w:r>
      <w:proofErr w:type="gramStart"/>
      <w:r w:rsidRPr="00DC72EF">
        <w:t>curfews</w:t>
      </w:r>
      <w:proofErr w:type="gramEnd"/>
      <w:r w:rsidRPr="00DC72EF">
        <w:t xml:space="preserve"> and other measures. Nonetheless, </w:t>
      </w:r>
      <w:r w:rsidR="00863A41" w:rsidRPr="00DC72EF">
        <w:t>COVID-19</w:t>
      </w:r>
      <w:r w:rsidRPr="00DC72EF">
        <w:t xml:space="preserve"> spread to all of Tonga’s four main island groups. The </w:t>
      </w:r>
      <w:r w:rsidRPr="00DC72EF">
        <w:rPr>
          <w:b/>
          <w:bCs/>
        </w:rPr>
        <w:t xml:space="preserve">health system, bolstered by years of Australian-supported pandemic preparedness, coped </w:t>
      </w:r>
      <w:proofErr w:type="gramStart"/>
      <w:r w:rsidRPr="00DC72EF">
        <w:rPr>
          <w:b/>
          <w:bCs/>
        </w:rPr>
        <w:t>well</w:t>
      </w:r>
      <w:proofErr w:type="gramEnd"/>
      <w:r w:rsidRPr="00DC72EF">
        <w:t xml:space="preserve"> and was not overwhelmed. </w:t>
      </w:r>
      <w:r w:rsidR="00962A28" w:rsidRPr="00DC72EF">
        <w:t xml:space="preserve">The health impact was mitigated by Tonga’s highly successful vaccination campaign, also supported by Australia. </w:t>
      </w:r>
      <w:r w:rsidR="00B576AE" w:rsidRPr="00DC72EF">
        <w:t>During 2021-2022, Tonga</w:t>
      </w:r>
      <w:r w:rsidR="00B576AE">
        <w:rPr>
          <w:rFonts w:cstheme="minorHAnsi"/>
          <w:color w:val="auto"/>
        </w:rPr>
        <w:t xml:space="preserve"> faced </w:t>
      </w:r>
      <w:r w:rsidR="00B576AE" w:rsidRPr="00DC72EF">
        <w:rPr>
          <w:b/>
          <w:bCs/>
        </w:rPr>
        <w:t xml:space="preserve">significant economic challenges as it grappled with the impacts of natural </w:t>
      </w:r>
      <w:r w:rsidR="00882D82" w:rsidRPr="00DC72EF">
        <w:rPr>
          <w:b/>
          <w:bCs/>
        </w:rPr>
        <w:t>hazard</w:t>
      </w:r>
      <w:r w:rsidR="00B576AE" w:rsidRPr="00DC72EF">
        <w:rPr>
          <w:b/>
          <w:bCs/>
        </w:rPr>
        <w:t>s and COVID-19.</w:t>
      </w:r>
      <w:r w:rsidR="00B576AE">
        <w:rPr>
          <w:rFonts w:cstheme="minorHAnsi"/>
          <w:color w:val="auto"/>
        </w:rPr>
        <w:t xml:space="preserve"> </w:t>
      </w:r>
      <w:r w:rsidR="00296A53" w:rsidRPr="00DC72EF">
        <w:t xml:space="preserve">In 2021, the economy contracted by 2.7 per cent </w:t>
      </w:r>
      <w:r w:rsidR="00D757AC" w:rsidRPr="00DC72EF">
        <w:t>and</w:t>
      </w:r>
      <w:r w:rsidR="00296A53" w:rsidRPr="00DC72EF">
        <w:t xml:space="preserve"> is expected to contract by a further 2.0 per cent in 2022</w:t>
      </w:r>
      <w:r w:rsidR="00B576AE" w:rsidRPr="00DC72EF">
        <w:t>.</w:t>
      </w:r>
      <w:r w:rsidR="00296A53" w:rsidRPr="00DC72EF">
        <w:t xml:space="preserve"> </w:t>
      </w:r>
      <w:r w:rsidR="00CF1B10" w:rsidRPr="00DC72EF">
        <w:t>The World Bank estimate</w:t>
      </w:r>
      <w:r w:rsidR="00F7730A" w:rsidRPr="00DC72EF">
        <w:t>d</w:t>
      </w:r>
      <w:r w:rsidR="00CF1B10" w:rsidRPr="00DC72EF">
        <w:t xml:space="preserve"> damage from the HTHH disaster </w:t>
      </w:r>
      <w:r w:rsidR="00287B55" w:rsidRPr="00DC72EF">
        <w:t xml:space="preserve">in 2022 </w:t>
      </w:r>
      <w:r w:rsidR="00CF1B10" w:rsidRPr="00DC72EF">
        <w:t xml:space="preserve">at 18.5 per cent of Gross Domestic Product (GDP). If </w:t>
      </w:r>
      <w:r w:rsidR="00D757AC" w:rsidRPr="00DC72EF">
        <w:t>broader</w:t>
      </w:r>
      <w:r w:rsidR="00CF1B10" w:rsidRPr="00DC72EF">
        <w:t xml:space="preserve"> economic losses</w:t>
      </w:r>
      <w:r w:rsidR="00D757AC" w:rsidRPr="00DC72EF">
        <w:t xml:space="preserve"> were included</w:t>
      </w:r>
      <w:r w:rsidR="00CF1B10" w:rsidRPr="00DC72EF">
        <w:t>, this estimate would likely double</w:t>
      </w:r>
      <w:r w:rsidR="00296A53" w:rsidRPr="00D472AD">
        <w:rPr>
          <w:rFonts w:cstheme="minorHAnsi"/>
          <w:color w:val="auto"/>
        </w:rPr>
        <w:t>.</w:t>
      </w:r>
      <w:r w:rsidR="00296A53">
        <w:rPr>
          <w:rFonts w:cstheme="minorHAnsi"/>
          <w:color w:val="auto"/>
        </w:rPr>
        <w:t xml:space="preserve"> </w:t>
      </w:r>
      <w:r w:rsidR="004C22AB" w:rsidRPr="00DC72EF">
        <w:rPr>
          <w:b/>
          <w:bCs/>
        </w:rPr>
        <w:t>Tonga’s tourism industry, which comprised 25</w:t>
      </w:r>
      <w:r w:rsidR="00475F32" w:rsidRPr="00DC72EF">
        <w:rPr>
          <w:b/>
          <w:bCs/>
        </w:rPr>
        <w:t> </w:t>
      </w:r>
      <w:r w:rsidR="004C22AB" w:rsidRPr="00DC72EF">
        <w:rPr>
          <w:b/>
          <w:bCs/>
        </w:rPr>
        <w:t xml:space="preserve">per cent of GDP before the pandemic, was </w:t>
      </w:r>
      <w:r w:rsidR="00FD532B" w:rsidRPr="00DC72EF">
        <w:rPr>
          <w:b/>
          <w:bCs/>
        </w:rPr>
        <w:t xml:space="preserve">decimated </w:t>
      </w:r>
      <w:r w:rsidR="004C22AB" w:rsidRPr="00DC72EF">
        <w:rPr>
          <w:b/>
          <w:bCs/>
        </w:rPr>
        <w:t>by COVID and the HTHH disaster</w:t>
      </w:r>
      <w:r w:rsidR="004C22AB" w:rsidRPr="00882D82">
        <w:rPr>
          <w:rFonts w:cstheme="minorHAnsi"/>
          <w:b/>
          <w:bCs/>
          <w:color w:val="auto"/>
        </w:rPr>
        <w:t xml:space="preserve">. </w:t>
      </w:r>
    </w:p>
    <w:p w14:paraId="1F742AD5" w14:textId="3AFC51F4" w:rsidR="00DF22D4" w:rsidRDefault="00C120DA" w:rsidP="005674C6">
      <w:pPr>
        <w:spacing w:line="259" w:lineRule="auto"/>
        <w:rPr>
          <w:rFonts w:cstheme="minorHAnsi"/>
          <w:color w:val="auto"/>
        </w:rPr>
      </w:pPr>
      <w:r w:rsidRPr="00DC72EF">
        <w:t>Tonga</w:t>
      </w:r>
      <w:r w:rsidR="00E10DEA" w:rsidRPr="00DC72EF">
        <w:t>’s economy</w:t>
      </w:r>
      <w:r w:rsidRPr="00DC72EF">
        <w:t xml:space="preserve"> is highly exposed to </w:t>
      </w:r>
      <w:r w:rsidR="00E10DEA" w:rsidRPr="00DC72EF">
        <w:t xml:space="preserve">global inflationary pressures </w:t>
      </w:r>
      <w:r w:rsidRPr="00DC72EF">
        <w:t xml:space="preserve">due to its </w:t>
      </w:r>
      <w:r w:rsidR="004B1841" w:rsidRPr="00DC72EF">
        <w:t xml:space="preserve">reliance on </w:t>
      </w:r>
      <w:r w:rsidRPr="00DC72EF">
        <w:t>import</w:t>
      </w:r>
      <w:r w:rsidR="004B1841" w:rsidRPr="00DC72EF">
        <w:t>s</w:t>
      </w:r>
      <w:r w:rsidRPr="00DC72EF">
        <w:t xml:space="preserve"> (62.3</w:t>
      </w:r>
      <w:r w:rsidR="00CD3B5E" w:rsidRPr="00DC72EF">
        <w:t> </w:t>
      </w:r>
      <w:r w:rsidRPr="00DC72EF">
        <w:t>per cent of GDP).</w:t>
      </w:r>
      <w:r w:rsidRPr="00D472AD">
        <w:rPr>
          <w:rFonts w:cstheme="minorHAnsi"/>
          <w:color w:val="auto"/>
        </w:rPr>
        <w:t xml:space="preserve"> </w:t>
      </w:r>
      <w:r w:rsidR="004C22AB" w:rsidRPr="00DC72EF">
        <w:rPr>
          <w:b/>
          <w:bCs/>
        </w:rPr>
        <w:t>Rising i</w:t>
      </w:r>
      <w:r w:rsidRPr="00DC72EF">
        <w:rPr>
          <w:b/>
          <w:bCs/>
        </w:rPr>
        <w:t xml:space="preserve">nflation is putting substantial pressure on households, </w:t>
      </w:r>
      <w:proofErr w:type="gramStart"/>
      <w:r w:rsidRPr="00DC72EF">
        <w:rPr>
          <w:b/>
          <w:bCs/>
        </w:rPr>
        <w:t>business</w:t>
      </w:r>
      <w:r w:rsidR="00905A20" w:rsidRPr="00DC72EF">
        <w:rPr>
          <w:b/>
          <w:bCs/>
        </w:rPr>
        <w:t>es</w:t>
      </w:r>
      <w:proofErr w:type="gramEnd"/>
      <w:r w:rsidRPr="00DC72EF">
        <w:rPr>
          <w:b/>
          <w:bCs/>
        </w:rPr>
        <w:t xml:space="preserve"> and government to meet basic needs.</w:t>
      </w:r>
      <w:r w:rsidRPr="00D472AD">
        <w:rPr>
          <w:rFonts w:cstheme="minorHAnsi"/>
          <w:color w:val="auto"/>
        </w:rPr>
        <w:t xml:space="preserve"> </w:t>
      </w:r>
      <w:r w:rsidRPr="00DC72EF">
        <w:t xml:space="preserve">The economy is expected to </w:t>
      </w:r>
      <w:r w:rsidR="009F1295" w:rsidRPr="00DC72EF">
        <w:t>grow</w:t>
      </w:r>
      <w:r w:rsidRPr="00DC72EF">
        <w:t xml:space="preserve"> in 2023, predicated on the full resumption of international travel and inflation tapering </w:t>
      </w:r>
      <w:r w:rsidR="009F1295" w:rsidRPr="00DC72EF">
        <w:t>off</w:t>
      </w:r>
      <w:r w:rsidRPr="00DC72EF">
        <w:t>.</w:t>
      </w:r>
      <w:r w:rsidR="00085017" w:rsidRPr="00DC72EF">
        <w:t xml:space="preserve"> </w:t>
      </w:r>
      <w:r w:rsidR="009F1295" w:rsidRPr="00DC72EF">
        <w:t>In 2021-22</w:t>
      </w:r>
      <w:r w:rsidRPr="00DC72EF">
        <w:t xml:space="preserve">, </w:t>
      </w:r>
      <w:r w:rsidR="00BB4C2D" w:rsidRPr="00DC72EF">
        <w:t>budget support from development partners, including Australia,</w:t>
      </w:r>
      <w:r w:rsidRPr="00DC72EF">
        <w:t xml:space="preserve"> mitigate</w:t>
      </w:r>
      <w:r w:rsidR="00D44DA2" w:rsidRPr="00DC72EF">
        <w:t>d</w:t>
      </w:r>
      <w:r w:rsidRPr="00DC72EF">
        <w:t xml:space="preserve"> the economic and social impacts of</w:t>
      </w:r>
      <w:r w:rsidR="00E10DEA" w:rsidRPr="00DC72EF">
        <w:t xml:space="preserve"> COVID-19 and</w:t>
      </w:r>
      <w:r w:rsidRPr="00DC72EF">
        <w:t xml:space="preserve"> the </w:t>
      </w:r>
      <w:r w:rsidR="004C22AB" w:rsidRPr="00DC72EF">
        <w:t>HTHH disaster</w:t>
      </w:r>
      <w:r w:rsidR="00BB4C2D" w:rsidRPr="00DC72EF">
        <w:t xml:space="preserve"> and enabled</w:t>
      </w:r>
      <w:r w:rsidRPr="00DC72EF">
        <w:t xml:space="preserve"> the government to return a smaller-than-expected deficit of 2.</w:t>
      </w:r>
      <w:r w:rsidR="006105E3" w:rsidRPr="00DC72EF">
        <w:t>1 </w:t>
      </w:r>
      <w:r w:rsidRPr="00DC72EF">
        <w:t>per cent of GDP.</w:t>
      </w:r>
      <w:r w:rsidR="00D94A03">
        <w:rPr>
          <w:rFonts w:cstheme="minorHAnsi"/>
          <w:color w:val="auto"/>
        </w:rPr>
        <w:t xml:space="preserve"> </w:t>
      </w:r>
    </w:p>
    <w:p w14:paraId="5A775ED1" w14:textId="7CE0C69E" w:rsidR="00234422" w:rsidRPr="00DC72EF" w:rsidRDefault="00D94A03" w:rsidP="005674C6">
      <w:pPr>
        <w:spacing w:line="259" w:lineRule="auto"/>
      </w:pPr>
      <w:r w:rsidRPr="00DC72EF">
        <w:rPr>
          <w:b/>
          <w:bCs/>
        </w:rPr>
        <w:lastRenderedPageBreak/>
        <w:t>D</w:t>
      </w:r>
      <w:r w:rsidR="00C120DA" w:rsidRPr="00DC72EF">
        <w:rPr>
          <w:b/>
          <w:bCs/>
        </w:rPr>
        <w:t>eficits are expected to persist and worsen</w:t>
      </w:r>
      <w:r w:rsidR="00C120DA" w:rsidRPr="00D472AD">
        <w:rPr>
          <w:rFonts w:cstheme="minorHAnsi"/>
          <w:color w:val="auto"/>
        </w:rPr>
        <w:t xml:space="preserve">, </w:t>
      </w:r>
      <w:r w:rsidR="00C120DA" w:rsidRPr="00DC72EF">
        <w:t>peaking at 11.3</w:t>
      </w:r>
      <w:r w:rsidR="006105E3" w:rsidRPr="00DC72EF">
        <w:t> </w:t>
      </w:r>
      <w:r w:rsidR="00C120DA" w:rsidRPr="00DC72EF">
        <w:t>per cent of GDP in 2027, to finance pandemic recovery, volcano reconstruction and repay debt.</w:t>
      </w:r>
      <w:r w:rsidR="00B11451" w:rsidRPr="00DC72EF">
        <w:t xml:space="preserve"> </w:t>
      </w:r>
      <w:r w:rsidR="00223BE9" w:rsidRPr="00DC72EF">
        <w:t>The I</w:t>
      </w:r>
      <w:r w:rsidR="00085017" w:rsidRPr="00DC72EF">
        <w:t>nternational Monetary Fund</w:t>
      </w:r>
      <w:r w:rsidR="00223BE9" w:rsidRPr="00DC72EF">
        <w:t xml:space="preserve"> assesses </w:t>
      </w:r>
      <w:r w:rsidR="00B11451" w:rsidRPr="00DC72EF">
        <w:t>Tonga is at high risk of debt distress</w:t>
      </w:r>
      <w:r w:rsidR="00B64D65" w:rsidRPr="00DC72EF">
        <w:t xml:space="preserve"> as it faces</w:t>
      </w:r>
      <w:r w:rsidR="00C120DA" w:rsidRPr="00DC72EF">
        <w:t xml:space="preserve"> looming repayments on China EXIM loans</w:t>
      </w:r>
      <w:r w:rsidR="00975978" w:rsidRPr="00DC72EF">
        <w:t xml:space="preserve"> </w:t>
      </w:r>
      <w:r w:rsidR="00633380" w:rsidRPr="00DC72EF">
        <w:t>from July 2023</w:t>
      </w:r>
      <w:r w:rsidR="00C120DA" w:rsidRPr="00DC72EF">
        <w:t xml:space="preserve">. </w:t>
      </w:r>
      <w:r w:rsidR="00152854" w:rsidRPr="00DC72EF">
        <w:t>T</w:t>
      </w:r>
      <w:r w:rsidR="00C120DA" w:rsidRPr="00DC72EF">
        <w:t xml:space="preserve">he deteriorating fiscal situation has increased </w:t>
      </w:r>
      <w:r w:rsidRPr="00DC72EF">
        <w:t xml:space="preserve">the </w:t>
      </w:r>
      <w:r w:rsidR="00C120DA" w:rsidRPr="00DC72EF">
        <w:t xml:space="preserve">risk of disruptions to essential services and </w:t>
      </w:r>
      <w:r w:rsidR="0017019B" w:rsidRPr="00DC72EF">
        <w:t xml:space="preserve">declining </w:t>
      </w:r>
      <w:r w:rsidR="00C120DA" w:rsidRPr="00DC72EF">
        <w:t xml:space="preserve">living standards, </w:t>
      </w:r>
      <w:r w:rsidR="0017019B" w:rsidRPr="00DC72EF">
        <w:t xml:space="preserve">particularly </w:t>
      </w:r>
      <w:r w:rsidR="00C120DA" w:rsidRPr="00DC72EF">
        <w:t>for the most vulnerable</w:t>
      </w:r>
      <w:r w:rsidR="00E54286" w:rsidRPr="00DC72EF">
        <w:t>.</w:t>
      </w:r>
    </w:p>
    <w:p w14:paraId="22900C6A" w14:textId="2FDF9BC0" w:rsidR="00EC608A" w:rsidRPr="00DC72EF" w:rsidRDefault="00FC1216" w:rsidP="005674C6">
      <w:pPr>
        <w:pStyle w:val="Heading2"/>
        <w:spacing w:before="120" w:after="60" w:line="259" w:lineRule="auto"/>
      </w:pPr>
      <w:r w:rsidRPr="00DC72EF">
        <w:t>AUSTRALIA’S RESPONS</w:t>
      </w:r>
      <w:r w:rsidR="00193C49" w:rsidRPr="00DC72EF">
        <w:t xml:space="preserve">E </w:t>
      </w:r>
      <w:r w:rsidR="00882D82" w:rsidRPr="00DC72EF">
        <w:t>AND</w:t>
      </w:r>
      <w:r w:rsidR="00193C49" w:rsidRPr="00DC72EF">
        <w:t xml:space="preserve"> PROGRAM HIGHLIGHTS</w:t>
      </w:r>
    </w:p>
    <w:p w14:paraId="79BE876C" w14:textId="12DDB376" w:rsidR="00297FD1" w:rsidRPr="00DC72EF" w:rsidRDefault="00297FD1" w:rsidP="005674C6">
      <w:pPr>
        <w:pStyle w:val="Heading3"/>
        <w:spacing w:line="259" w:lineRule="auto"/>
        <w:rPr>
          <w:rFonts w:eastAsiaTheme="minorHAnsi" w:cstheme="minorBidi"/>
          <w:iCs w:val="0"/>
          <w:color w:val="495965" w:themeColor="text2"/>
        </w:rPr>
      </w:pPr>
      <w:r w:rsidRPr="00DC72EF">
        <w:rPr>
          <w:rFonts w:eastAsiaTheme="minorHAnsi" w:cstheme="minorBidi"/>
          <w:iCs w:val="0"/>
          <w:color w:val="495965" w:themeColor="text2"/>
        </w:rPr>
        <w:t>Health Security</w:t>
      </w:r>
    </w:p>
    <w:p w14:paraId="5621A2DC" w14:textId="09BA9446" w:rsidR="00053FFC" w:rsidRPr="00DC72EF" w:rsidRDefault="002213AB" w:rsidP="005674C6">
      <w:pPr>
        <w:spacing w:line="259" w:lineRule="auto"/>
      </w:pPr>
      <w:bookmarkStart w:id="1" w:name="_Hlk84183856"/>
      <w:r w:rsidRPr="00DC72EF">
        <w:rPr>
          <w:b/>
          <w:bCs/>
        </w:rPr>
        <w:t xml:space="preserve">Through </w:t>
      </w:r>
      <w:r w:rsidR="005011FC" w:rsidRPr="00DC72EF">
        <w:rPr>
          <w:b/>
          <w:bCs/>
        </w:rPr>
        <w:t>Australia’s Regional COVID-19 Vaccine Access and Health Security Initiative (</w:t>
      </w:r>
      <w:r w:rsidRPr="00DC72EF">
        <w:rPr>
          <w:b/>
          <w:bCs/>
        </w:rPr>
        <w:t>VAHSI</w:t>
      </w:r>
      <w:r w:rsidR="005011FC" w:rsidRPr="00DC72EF">
        <w:rPr>
          <w:b/>
          <w:bCs/>
        </w:rPr>
        <w:t>)</w:t>
      </w:r>
      <w:r w:rsidRPr="00DC72EF">
        <w:rPr>
          <w:b/>
          <w:bCs/>
        </w:rPr>
        <w:t xml:space="preserve">, </w:t>
      </w:r>
      <w:r w:rsidR="005011FC" w:rsidRPr="00DC72EF">
        <w:rPr>
          <w:b/>
          <w:bCs/>
        </w:rPr>
        <w:t xml:space="preserve">we </w:t>
      </w:r>
      <w:r w:rsidRPr="00DC72EF">
        <w:rPr>
          <w:b/>
          <w:bCs/>
        </w:rPr>
        <w:t>committed to supporting Tonga achieve comprehensive vaccine coverage</w:t>
      </w:r>
      <w:r w:rsidR="007727D1" w:rsidRPr="00DC72EF">
        <w:rPr>
          <w:b/>
          <w:bCs/>
        </w:rPr>
        <w:t xml:space="preserve"> in response to the COVID-19 pandemic</w:t>
      </w:r>
      <w:r w:rsidRPr="00DC72EF">
        <w:rPr>
          <w:b/>
          <w:bCs/>
        </w:rPr>
        <w:t>.</w:t>
      </w:r>
      <w:r w:rsidRPr="00946DB7">
        <w:rPr>
          <w:rFonts w:cstheme="minorHAnsi"/>
          <w:color w:val="auto"/>
        </w:rPr>
        <w:t xml:space="preserve"> </w:t>
      </w:r>
      <w:r w:rsidR="00053FFC" w:rsidRPr="00DC72EF">
        <w:t xml:space="preserve">Australia committed </w:t>
      </w:r>
      <w:r w:rsidR="00085017" w:rsidRPr="00DC72EF">
        <w:t>$</w:t>
      </w:r>
      <w:r w:rsidR="00053FFC" w:rsidRPr="00DC72EF">
        <w:t xml:space="preserve">2.9 million over three </w:t>
      </w:r>
      <w:r w:rsidR="002F3804" w:rsidRPr="00DC72EF">
        <w:t>years </w:t>
      </w:r>
      <w:r w:rsidR="00053FFC" w:rsidRPr="00DC72EF">
        <w:t xml:space="preserve">(2020-23) for COVID-19 vaccine access in Tonga, including delivery support and vaccine procurement. </w:t>
      </w:r>
      <w:r w:rsidR="00CC4A42" w:rsidRPr="00DC72EF">
        <w:t>In 2021-22</w:t>
      </w:r>
      <w:r w:rsidR="002E50DB" w:rsidRPr="00DC72EF">
        <w:t>,</w:t>
      </w:r>
      <w:r w:rsidR="00CC4A42" w:rsidRPr="00DC72EF">
        <w:t xml:space="preserve"> </w:t>
      </w:r>
      <w:r w:rsidR="00053FFC" w:rsidRPr="00DC72EF">
        <w:t xml:space="preserve">Australia </w:t>
      </w:r>
      <w:r w:rsidR="00D44DA2" w:rsidRPr="00DC72EF">
        <w:t>delivered</w:t>
      </w:r>
      <w:r w:rsidR="00053FFC" w:rsidRPr="00DC72EF">
        <w:t xml:space="preserve"> 55,</w:t>
      </w:r>
      <w:r w:rsidR="00792BD1" w:rsidRPr="00DC72EF">
        <w:t>000 </w:t>
      </w:r>
      <w:r w:rsidR="00053FFC" w:rsidRPr="00DC72EF">
        <w:t xml:space="preserve">Pfizer vaccines </w:t>
      </w:r>
      <w:r w:rsidR="00DA7E69" w:rsidRPr="00DC72EF">
        <w:t>(</w:t>
      </w:r>
      <w:r w:rsidR="00053FFC" w:rsidRPr="00DC72EF">
        <w:t xml:space="preserve">procured through </w:t>
      </w:r>
      <w:r w:rsidR="00D44DA2" w:rsidRPr="00DC72EF">
        <w:t>the UN Children’s Fund-</w:t>
      </w:r>
      <w:r w:rsidR="00053FFC" w:rsidRPr="00DC72EF">
        <w:t>UNICEF</w:t>
      </w:r>
      <w:r w:rsidR="00DA7E69" w:rsidRPr="00DC72EF">
        <w:t>)</w:t>
      </w:r>
      <w:r w:rsidR="00DF22D4">
        <w:t xml:space="preserve"> and</w:t>
      </w:r>
      <w:r w:rsidR="00421B55" w:rsidRPr="00DC72EF">
        <w:t xml:space="preserve"> </w:t>
      </w:r>
      <w:r w:rsidR="00053FFC" w:rsidRPr="00DC72EF">
        <w:t>19,000 Australian</w:t>
      </w:r>
      <w:r w:rsidR="005721C9" w:rsidRPr="00DC72EF">
        <w:t>-</w:t>
      </w:r>
      <w:r w:rsidR="00053FFC" w:rsidRPr="00DC72EF">
        <w:t>manufactured AstraZeneca doses</w:t>
      </w:r>
      <w:r w:rsidR="00DF22D4">
        <w:t xml:space="preserve">, as well as </w:t>
      </w:r>
      <w:r w:rsidR="00717DC6" w:rsidRPr="00C551D0">
        <w:t>the associated cold-chain capability</w:t>
      </w:r>
      <w:r w:rsidR="00122F10" w:rsidRPr="00DC72EF">
        <w:t>.</w:t>
      </w:r>
      <w:r w:rsidR="0032548E" w:rsidRPr="00DC72EF">
        <w:t xml:space="preserve"> </w:t>
      </w:r>
      <w:r w:rsidR="005B484C" w:rsidRPr="00DC72EF">
        <w:t>By the end of June 202</w:t>
      </w:r>
      <w:r w:rsidR="004F7227" w:rsidRPr="00DC72EF">
        <w:t>2,</w:t>
      </w:r>
      <w:r w:rsidR="005B484C" w:rsidRPr="00DC72EF">
        <w:t xml:space="preserve"> </w:t>
      </w:r>
      <w:r w:rsidR="00AA13B5" w:rsidRPr="00DC72EF">
        <w:t>98</w:t>
      </w:r>
      <w:r w:rsidR="00BF7B56" w:rsidRPr="00DC72EF">
        <w:t> per cent</w:t>
      </w:r>
      <w:r w:rsidR="00AA13B5" w:rsidRPr="00DC72EF">
        <w:t xml:space="preserve"> of people aged 12 years and </w:t>
      </w:r>
      <w:r w:rsidR="00603087" w:rsidRPr="00DC72EF">
        <w:t>above</w:t>
      </w:r>
      <w:r w:rsidR="00AA13B5" w:rsidRPr="00DC72EF">
        <w:t xml:space="preserve"> had </w:t>
      </w:r>
      <w:r w:rsidR="00E10DEA" w:rsidRPr="00DC72EF">
        <w:t xml:space="preserve">received </w:t>
      </w:r>
      <w:r w:rsidR="00AA13B5" w:rsidRPr="00DC72EF">
        <w:t>one dose, 91</w:t>
      </w:r>
      <w:r w:rsidR="001D338E" w:rsidRPr="00DC72EF">
        <w:t> per</w:t>
      </w:r>
      <w:r w:rsidR="00AF6E5A" w:rsidRPr="00DC72EF">
        <w:t> </w:t>
      </w:r>
      <w:r w:rsidR="001D338E" w:rsidRPr="00DC72EF">
        <w:t>cent</w:t>
      </w:r>
      <w:r w:rsidR="00AA13B5" w:rsidRPr="00DC72EF">
        <w:t xml:space="preserve"> two doses </w:t>
      </w:r>
      <w:r w:rsidR="00E707AE" w:rsidRPr="00DC72EF">
        <w:t>and 58</w:t>
      </w:r>
      <w:r w:rsidR="001D338E" w:rsidRPr="00DC72EF">
        <w:t> per cent</w:t>
      </w:r>
      <w:r w:rsidR="00E707AE" w:rsidRPr="00DC72EF">
        <w:t xml:space="preserve"> of adults had received a booster. </w:t>
      </w:r>
      <w:r w:rsidR="00E10DEA" w:rsidRPr="00DC72EF">
        <w:t>Given</w:t>
      </w:r>
      <w:r w:rsidR="00E707AE" w:rsidRPr="00DC72EF">
        <w:t xml:space="preserve"> high rates of non-communicable diseases </w:t>
      </w:r>
      <w:r w:rsidR="00D55FAA" w:rsidRPr="00DC72EF">
        <w:t xml:space="preserve">(NCDs) </w:t>
      </w:r>
      <w:r w:rsidR="00603087" w:rsidRPr="00DC72EF">
        <w:t>i</w:t>
      </w:r>
      <w:r w:rsidR="00E707AE" w:rsidRPr="00DC72EF">
        <w:t>n Tonga</w:t>
      </w:r>
      <w:r w:rsidR="00BD41FB" w:rsidRPr="00DC72EF">
        <w:t>, the Ministry of Health</w:t>
      </w:r>
      <w:r w:rsidR="00F3443A" w:rsidRPr="00DC72EF">
        <w:t xml:space="preserve"> (MOH)</w:t>
      </w:r>
      <w:r w:rsidR="00BD41FB" w:rsidRPr="00DC72EF">
        <w:t xml:space="preserve"> directly attribute</w:t>
      </w:r>
      <w:r w:rsidR="00493E63" w:rsidRPr="00DC72EF">
        <w:t>d</w:t>
      </w:r>
      <w:r w:rsidR="00BD41FB" w:rsidRPr="00DC72EF">
        <w:t xml:space="preserve"> the high vaccination rates for the mild COVID-19 illnesses experienced</w:t>
      </w:r>
      <w:r w:rsidR="00BE6EB0" w:rsidRPr="00DC72EF">
        <w:t xml:space="preserve"> by most affected Tongans</w:t>
      </w:r>
      <w:r w:rsidR="009D6BB3" w:rsidRPr="00DC72EF">
        <w:t>, which</w:t>
      </w:r>
      <w:r w:rsidR="00BD41FB" w:rsidRPr="00DC72EF">
        <w:t xml:space="preserve"> assisted the health system </w:t>
      </w:r>
      <w:r w:rsidR="00085017" w:rsidRPr="00DC72EF">
        <w:t>to continue to function,</w:t>
      </w:r>
      <w:r w:rsidR="00BD41FB" w:rsidRPr="00DC72EF">
        <w:t xml:space="preserve"> even at peak periods of the pandemic.  </w:t>
      </w:r>
    </w:p>
    <w:p w14:paraId="6371B87F" w14:textId="4A58E14D" w:rsidR="00053FFC" w:rsidRPr="005674C6" w:rsidRDefault="00053FFC" w:rsidP="005674C6">
      <w:pPr>
        <w:spacing w:line="259" w:lineRule="auto"/>
      </w:pPr>
      <w:r w:rsidRPr="00DC72EF">
        <w:t xml:space="preserve">In </w:t>
      </w:r>
      <w:r w:rsidR="00934F8E" w:rsidRPr="00DC72EF">
        <w:t>202</w:t>
      </w:r>
      <w:r w:rsidR="00D04A86" w:rsidRPr="00DC72EF">
        <w:t>1-22</w:t>
      </w:r>
      <w:r w:rsidRPr="00DC72EF">
        <w:t xml:space="preserve">, our </w:t>
      </w:r>
      <w:r w:rsidR="00B67766" w:rsidRPr="00DC72EF">
        <w:t>COVID-19</w:t>
      </w:r>
      <w:r w:rsidRPr="00DC72EF">
        <w:t xml:space="preserve"> support included a public health and epidemiology adviser to plan and support the successful COVID-19 vaccination rollout and COVID-19 surveillance; delivery of 167,880 Rapid Antigen Tests (RATs); 5,130 GeneXpert testing cartridges, and </w:t>
      </w:r>
      <w:r w:rsidR="002766BA" w:rsidRPr="00DC72EF">
        <w:t>over</w:t>
      </w:r>
      <w:r w:rsidR="002766BA">
        <w:rPr>
          <w:rFonts w:cstheme="minorHAnsi"/>
          <w:color w:val="auto"/>
        </w:rPr>
        <w:t xml:space="preserve"> </w:t>
      </w:r>
      <w:r w:rsidR="00523224" w:rsidRPr="00DC72EF">
        <w:rPr>
          <w:b/>
          <w:bCs/>
        </w:rPr>
        <w:t xml:space="preserve">2.5 tonnes of </w:t>
      </w:r>
      <w:r w:rsidRPr="00DC72EF">
        <w:rPr>
          <w:b/>
          <w:bCs/>
        </w:rPr>
        <w:t>personal protective equipment</w:t>
      </w:r>
      <w:r w:rsidRPr="00946DB7">
        <w:rPr>
          <w:rFonts w:cstheme="minorHAnsi"/>
          <w:color w:val="auto"/>
        </w:rPr>
        <w:t xml:space="preserve"> </w:t>
      </w:r>
      <w:r w:rsidR="00003771">
        <w:rPr>
          <w:rFonts w:cstheme="minorHAnsi"/>
          <w:color w:val="auto"/>
        </w:rPr>
        <w:t xml:space="preserve">(PPE) </w:t>
      </w:r>
      <w:r w:rsidR="00B66635">
        <w:rPr>
          <w:rFonts w:cstheme="minorHAnsi"/>
          <w:color w:val="auto"/>
        </w:rPr>
        <w:t xml:space="preserve">and </w:t>
      </w:r>
      <w:r w:rsidR="00B66635" w:rsidRPr="00DC72EF">
        <w:rPr>
          <w:b/>
          <w:bCs/>
        </w:rPr>
        <w:t>five tonnes of clinical equipment</w:t>
      </w:r>
      <w:r w:rsidR="005161DE" w:rsidRPr="00DC72EF">
        <w:rPr>
          <w:b/>
          <w:bCs/>
        </w:rPr>
        <w:t xml:space="preserve">, </w:t>
      </w:r>
      <w:proofErr w:type="gramStart"/>
      <w:r w:rsidR="005161DE" w:rsidRPr="00DC72EF">
        <w:rPr>
          <w:b/>
          <w:bCs/>
        </w:rPr>
        <w:t>consumables</w:t>
      </w:r>
      <w:proofErr w:type="gramEnd"/>
      <w:r w:rsidR="005161DE" w:rsidRPr="00DC72EF">
        <w:rPr>
          <w:b/>
          <w:bCs/>
        </w:rPr>
        <w:t xml:space="preserve"> and medication for the treatment of COVID-19.</w:t>
      </w:r>
      <w:r w:rsidR="00506CB7" w:rsidRPr="00DC72EF">
        <w:rPr>
          <w:b/>
          <w:bCs/>
        </w:rPr>
        <w:t xml:space="preserve"> </w:t>
      </w:r>
      <w:r w:rsidR="00506CB7" w:rsidRPr="00DC72EF">
        <w:t xml:space="preserve">Australia ensured that </w:t>
      </w:r>
      <w:r w:rsidR="00CC53F5" w:rsidRPr="00DC72EF">
        <w:t xml:space="preserve">this clinical equipment, including 74 oxygen concentrators, were prepositioned in Tonga prior to the COVID-19 outbreak. </w:t>
      </w:r>
      <w:r w:rsidRPr="00DC72EF">
        <w:t xml:space="preserve">Australia also contributed to the establishment and strengthening of in-country COVID-19 laboratory diagnosis </w:t>
      </w:r>
      <w:r w:rsidR="005161DE" w:rsidRPr="00DC72EF">
        <w:t xml:space="preserve">(including four </w:t>
      </w:r>
      <w:r w:rsidR="00506CB7" w:rsidRPr="00DC72EF">
        <w:t xml:space="preserve">haematology and biochemistry analysers) </w:t>
      </w:r>
      <w:r w:rsidRPr="00DC72EF">
        <w:t>and upgrading of</w:t>
      </w:r>
      <w:r w:rsidR="00D22924" w:rsidRPr="00DC72EF">
        <w:t xml:space="preserve"> the</w:t>
      </w:r>
      <w:r w:rsidRPr="00DC72EF">
        <w:t xml:space="preserve"> digital health and medical waste management systems.</w:t>
      </w:r>
      <w:r w:rsidR="00D22924" w:rsidRPr="00DC72EF">
        <w:t xml:space="preserve"> When the HTHH disaster and COVID-19 outbreak disrupted procurement and supply chains, Australia </w:t>
      </w:r>
      <w:r w:rsidR="008A323E" w:rsidRPr="00DC72EF">
        <w:t xml:space="preserve">also fully funded the procurement and </w:t>
      </w:r>
      <w:r w:rsidR="008A323E" w:rsidRPr="005674C6">
        <w:t>delivery of essential pharmaceutical supplies for the country.</w:t>
      </w:r>
    </w:p>
    <w:bookmarkEnd w:id="1"/>
    <w:p w14:paraId="6AD34F8D" w14:textId="71DB7830" w:rsidR="00BD0E5D" w:rsidRPr="00DC72EF" w:rsidRDefault="00F3443A" w:rsidP="005674C6">
      <w:pPr>
        <w:pStyle w:val="Bullet1"/>
        <w:numPr>
          <w:ilvl w:val="0"/>
          <w:numId w:val="0"/>
        </w:numPr>
        <w:spacing w:before="120" w:line="259" w:lineRule="auto"/>
      </w:pPr>
      <w:r w:rsidRPr="005674C6">
        <w:rPr>
          <w:rFonts w:cstheme="minorHAnsi"/>
        </w:rPr>
        <w:t xml:space="preserve">During the COVID-19 outbreak peak, </w:t>
      </w:r>
      <w:r w:rsidR="00BD0E5D" w:rsidRPr="005674C6">
        <w:rPr>
          <w:rFonts w:cstheme="minorHAnsi"/>
        </w:rPr>
        <w:t xml:space="preserve">Australia supported </w:t>
      </w:r>
      <w:r w:rsidR="00BD0E5D" w:rsidRPr="005674C6">
        <w:rPr>
          <w:b/>
          <w:bCs/>
        </w:rPr>
        <w:t xml:space="preserve">remote technical assistance between MOH and the Australian Medical </w:t>
      </w:r>
      <w:r w:rsidR="00911D8C" w:rsidRPr="005674C6">
        <w:rPr>
          <w:b/>
          <w:bCs/>
        </w:rPr>
        <w:t xml:space="preserve">Assistance </w:t>
      </w:r>
      <w:r w:rsidR="00BD0E5D" w:rsidRPr="005674C6">
        <w:rPr>
          <w:b/>
          <w:bCs/>
        </w:rPr>
        <w:t>Team (AUSMAT) to discuss clinical and public health management of the pandemic.</w:t>
      </w:r>
      <w:r w:rsidR="00BD0E5D" w:rsidRPr="005674C6">
        <w:rPr>
          <w:rFonts w:cstheme="minorHAnsi"/>
        </w:rPr>
        <w:t xml:space="preserve"> </w:t>
      </w:r>
      <w:r w:rsidR="00BD0E5D" w:rsidRPr="005674C6">
        <w:t xml:space="preserve">Australia continues to fund an in-country Specialist Medical Administrator Consultant to provide MOH with COVID-19 epidemiological support and a Biomedical Engineer </w:t>
      </w:r>
      <w:r w:rsidR="00BD0E5D" w:rsidRPr="00DC72EF">
        <w:t xml:space="preserve">to oversee the maintenance of hospital clinical equipment. </w:t>
      </w:r>
    </w:p>
    <w:p w14:paraId="52CB86BE" w14:textId="101F7778" w:rsidR="00BD0E5D" w:rsidRDefault="00BD0E5D" w:rsidP="005674C6">
      <w:pPr>
        <w:pStyle w:val="Bullet1"/>
        <w:numPr>
          <w:ilvl w:val="0"/>
          <w:numId w:val="0"/>
        </w:numPr>
        <w:spacing w:before="120" w:line="259" w:lineRule="auto"/>
        <w:rPr>
          <w:rFonts w:cstheme="minorHAnsi"/>
          <w:color w:val="auto"/>
        </w:rPr>
      </w:pPr>
      <w:r w:rsidRPr="00DC72EF">
        <w:t>Under the Tonga Health Systems Support Program II (THSSP2),</w:t>
      </w:r>
      <w:r w:rsidRPr="00BD0E5D">
        <w:rPr>
          <w:rFonts w:cstheme="minorHAnsi"/>
          <w:color w:val="auto"/>
        </w:rPr>
        <w:t xml:space="preserve"> </w:t>
      </w:r>
      <w:r w:rsidRPr="00DC72EF">
        <w:rPr>
          <w:b/>
          <w:bCs/>
        </w:rPr>
        <w:t xml:space="preserve">MOH established its public health data management systems </w:t>
      </w:r>
      <w:r w:rsidR="00045A1B" w:rsidRPr="00DC72EF">
        <w:rPr>
          <w:b/>
          <w:bCs/>
        </w:rPr>
        <w:t>(</w:t>
      </w:r>
      <w:r w:rsidRPr="00DC72EF">
        <w:rPr>
          <w:b/>
          <w:bCs/>
        </w:rPr>
        <w:t>DHIS2 – Tupaia</w:t>
      </w:r>
      <w:r w:rsidR="00045A1B" w:rsidRPr="00DC72EF">
        <w:rPr>
          <w:b/>
          <w:bCs/>
        </w:rPr>
        <w:t>)</w:t>
      </w:r>
      <w:r w:rsidRPr="00DC72EF">
        <w:rPr>
          <w:b/>
          <w:bCs/>
        </w:rPr>
        <w:t xml:space="preserve">, </w:t>
      </w:r>
      <w:r w:rsidR="002A19B5" w:rsidRPr="00DC72EF">
        <w:rPr>
          <w:b/>
          <w:bCs/>
        </w:rPr>
        <w:t xml:space="preserve">and </w:t>
      </w:r>
      <w:r w:rsidRPr="00DC72EF">
        <w:rPr>
          <w:b/>
          <w:bCs/>
        </w:rPr>
        <w:t>digitised data across four public health departments.</w:t>
      </w:r>
      <w:r w:rsidRPr="00BD0E5D">
        <w:rPr>
          <w:rFonts w:cstheme="minorHAnsi"/>
          <w:color w:val="auto"/>
        </w:rPr>
        <w:t xml:space="preserve"> </w:t>
      </w:r>
      <w:r w:rsidRPr="00DC72EF">
        <w:t xml:space="preserve">THSSP2 </w:t>
      </w:r>
      <w:r w:rsidR="00E55B76" w:rsidRPr="00DC72EF">
        <w:t xml:space="preserve">also </w:t>
      </w:r>
      <w:r w:rsidR="00AC39C6" w:rsidRPr="00DC72EF">
        <w:t xml:space="preserve">enabled MOH to </w:t>
      </w:r>
      <w:r w:rsidR="00E55B76" w:rsidRPr="00DC72EF">
        <w:t>strengthen</w:t>
      </w:r>
      <w:r w:rsidR="00AC39C6" w:rsidRPr="00DC72EF">
        <w:t xml:space="preserve"> its</w:t>
      </w:r>
      <w:r w:rsidRPr="00DC72EF">
        <w:t xml:space="preserve"> asset management, </w:t>
      </w:r>
      <w:r w:rsidR="00112832" w:rsidRPr="00DC72EF">
        <w:t xml:space="preserve">including by </w:t>
      </w:r>
      <w:r w:rsidR="00A52FE3" w:rsidRPr="00DC72EF">
        <w:t>updating asset re</w:t>
      </w:r>
      <w:r w:rsidR="00112832" w:rsidRPr="00DC72EF">
        <w:t>g</w:t>
      </w:r>
      <w:r w:rsidR="00A52FE3" w:rsidRPr="00DC72EF">
        <w:t>isters</w:t>
      </w:r>
      <w:r w:rsidR="002E4254" w:rsidRPr="00DC72EF">
        <w:t>,</w:t>
      </w:r>
      <w:r w:rsidRPr="00DC72EF">
        <w:t xml:space="preserve"> develop</w:t>
      </w:r>
      <w:r w:rsidR="00112832" w:rsidRPr="00DC72EF">
        <w:t>ing</w:t>
      </w:r>
      <w:r w:rsidR="00D55FAA" w:rsidRPr="00DC72EF">
        <w:t xml:space="preserve"> an</w:t>
      </w:r>
      <w:r w:rsidRPr="00DC72EF">
        <w:t xml:space="preserve"> asset management plan</w:t>
      </w:r>
      <w:r w:rsidR="00112832" w:rsidRPr="00DC72EF">
        <w:t>,</w:t>
      </w:r>
      <w:r w:rsidRPr="00DC72EF">
        <w:t xml:space="preserve"> </w:t>
      </w:r>
      <w:r w:rsidR="002E4254" w:rsidRPr="00DC72EF">
        <w:t xml:space="preserve">and </w:t>
      </w:r>
      <w:r w:rsidRPr="00DC72EF">
        <w:t>conduct</w:t>
      </w:r>
      <w:r w:rsidR="00112832" w:rsidRPr="00DC72EF">
        <w:t>ing</w:t>
      </w:r>
      <w:r w:rsidRPr="00DC72EF">
        <w:t xml:space="preserve"> vital maintenance. THSSP2 supported the Tonga Medical Association to review</w:t>
      </w:r>
      <w:r w:rsidR="00D55FAA" w:rsidRPr="00DC72EF">
        <w:t xml:space="preserve"> and</w:t>
      </w:r>
      <w:r w:rsidRPr="00DC72EF">
        <w:t xml:space="preserve"> strengthen </w:t>
      </w:r>
      <w:proofErr w:type="spellStart"/>
      <w:r w:rsidRPr="00DC72EF">
        <w:t>Vaiola</w:t>
      </w:r>
      <w:proofErr w:type="spellEnd"/>
      <w:r w:rsidRPr="00DC72EF">
        <w:t xml:space="preserve"> </w:t>
      </w:r>
      <w:r w:rsidR="00D304D6" w:rsidRPr="00DC72EF">
        <w:t xml:space="preserve">Hospital’s </w:t>
      </w:r>
      <w:r w:rsidRPr="00DC72EF">
        <w:t xml:space="preserve">model of service delivery to respond to evolving </w:t>
      </w:r>
      <w:r w:rsidR="00D55FAA" w:rsidRPr="00DC72EF">
        <w:t>risks</w:t>
      </w:r>
      <w:r w:rsidRPr="00DC72EF">
        <w:t xml:space="preserve"> such as COVID-19. Despite the January 2022 </w:t>
      </w:r>
      <w:r w:rsidR="00D55FAA" w:rsidRPr="00DC72EF">
        <w:t>HTHH</w:t>
      </w:r>
      <w:r w:rsidRPr="00DC72EF">
        <w:t xml:space="preserve"> </w:t>
      </w:r>
      <w:r w:rsidR="00D55FAA" w:rsidRPr="00DC72EF">
        <w:t>disaster</w:t>
      </w:r>
      <w:r w:rsidRPr="00DC72EF">
        <w:t xml:space="preserve"> and COVID-19 outbreak, Tonga Health finalised the National NCD strategy, developed with Australian funding. The</w:t>
      </w:r>
      <w:r w:rsidRPr="00BD0E5D">
        <w:rPr>
          <w:rFonts w:cstheme="minorHAnsi"/>
          <w:color w:val="auto"/>
        </w:rPr>
        <w:t xml:space="preserve"> </w:t>
      </w:r>
      <w:r w:rsidRPr="00DC72EF">
        <w:rPr>
          <w:b/>
          <w:bCs/>
        </w:rPr>
        <w:t xml:space="preserve">multisectoral National NCD Strategy will guide policy and </w:t>
      </w:r>
      <w:r w:rsidR="00AD4791" w:rsidRPr="00DC72EF">
        <w:rPr>
          <w:b/>
          <w:bCs/>
        </w:rPr>
        <w:t>decision making</w:t>
      </w:r>
      <w:r w:rsidRPr="00DC72EF">
        <w:rPr>
          <w:b/>
          <w:bCs/>
        </w:rPr>
        <w:t xml:space="preserve"> to address Tonga’s health priorit</w:t>
      </w:r>
      <w:r w:rsidR="00591F9E" w:rsidRPr="00DC72EF">
        <w:rPr>
          <w:b/>
          <w:bCs/>
        </w:rPr>
        <w:t>ies</w:t>
      </w:r>
      <w:r w:rsidRPr="00DC72EF">
        <w:rPr>
          <w:b/>
          <w:bCs/>
        </w:rPr>
        <w:t>.</w:t>
      </w:r>
      <w:r w:rsidRPr="00D44DA2">
        <w:rPr>
          <w:rFonts w:cstheme="minorHAnsi"/>
          <w:b/>
          <w:bCs/>
          <w:color w:val="auto"/>
        </w:rPr>
        <w:t xml:space="preserve"> </w:t>
      </w:r>
      <w:r w:rsidRPr="00DC72EF">
        <w:t>Further, THSSP2 continued to support MOH’s health service delivery to the outer islands, through outreach missions in oral health, diabetics and NCD screening, supervision to outer island laboratories</w:t>
      </w:r>
      <w:r w:rsidR="00D55FAA" w:rsidRPr="00DC72EF">
        <w:t xml:space="preserve">, mental </w:t>
      </w:r>
      <w:proofErr w:type="gramStart"/>
      <w:r w:rsidR="00D55FAA" w:rsidRPr="00DC72EF">
        <w:t>health</w:t>
      </w:r>
      <w:proofErr w:type="gramEnd"/>
      <w:r w:rsidR="00D55FAA" w:rsidRPr="00DC72EF">
        <w:t xml:space="preserve"> and rehabilitation</w:t>
      </w:r>
      <w:r w:rsidRPr="00DC72EF">
        <w:t>.</w:t>
      </w:r>
      <w:r w:rsidRPr="00BD0E5D">
        <w:rPr>
          <w:rFonts w:cstheme="minorHAnsi"/>
          <w:color w:val="auto"/>
        </w:rPr>
        <w:t xml:space="preserve"> </w:t>
      </w:r>
    </w:p>
    <w:p w14:paraId="1D48D073" w14:textId="747D4405" w:rsidR="00297FD1" w:rsidRPr="00DC72EF" w:rsidRDefault="00297FD1" w:rsidP="005674C6">
      <w:pPr>
        <w:pStyle w:val="Heading3"/>
        <w:spacing w:line="259" w:lineRule="auto"/>
        <w:rPr>
          <w:rFonts w:eastAsiaTheme="minorHAnsi" w:cstheme="minorBidi"/>
          <w:iCs w:val="0"/>
          <w:color w:val="495965" w:themeColor="text2"/>
        </w:rPr>
      </w:pPr>
      <w:r w:rsidRPr="00DC72EF">
        <w:rPr>
          <w:rFonts w:eastAsiaTheme="minorHAnsi" w:cstheme="minorBidi"/>
          <w:iCs w:val="0"/>
          <w:color w:val="495965" w:themeColor="text2"/>
        </w:rPr>
        <w:t>Stability</w:t>
      </w:r>
    </w:p>
    <w:p w14:paraId="3E95C04F" w14:textId="6571BC34" w:rsidR="00946DB7" w:rsidRPr="00DC72EF" w:rsidRDefault="00946DB7" w:rsidP="005674C6">
      <w:pPr>
        <w:pStyle w:val="Bullet1"/>
        <w:numPr>
          <w:ilvl w:val="0"/>
          <w:numId w:val="0"/>
        </w:numPr>
        <w:spacing w:before="120" w:line="259" w:lineRule="auto"/>
      </w:pPr>
      <w:r w:rsidRPr="00DC72EF">
        <w:t>In</w:t>
      </w:r>
      <w:r w:rsidR="005D5C30" w:rsidRPr="00DC72EF">
        <w:t xml:space="preserve"> 2021-22</w:t>
      </w:r>
      <w:r w:rsidRPr="00DC72EF">
        <w:t>, Australia</w:t>
      </w:r>
      <w:r w:rsidRPr="009300B3">
        <w:rPr>
          <w:rFonts w:cstheme="minorHAnsi"/>
          <w:color w:val="auto"/>
        </w:rPr>
        <w:t xml:space="preserve"> </w:t>
      </w:r>
      <w:r w:rsidR="00D44DA2" w:rsidRPr="00DC72EF">
        <w:rPr>
          <w:b/>
          <w:bCs/>
        </w:rPr>
        <w:t xml:space="preserve">supported </w:t>
      </w:r>
      <w:r w:rsidR="00823603" w:rsidRPr="00DC72EF">
        <w:rPr>
          <w:b/>
          <w:bCs/>
        </w:rPr>
        <w:t xml:space="preserve">the needs of women, </w:t>
      </w:r>
      <w:proofErr w:type="gramStart"/>
      <w:r w:rsidR="00823603" w:rsidRPr="00DC72EF">
        <w:rPr>
          <w:b/>
          <w:bCs/>
        </w:rPr>
        <w:t>children</w:t>
      </w:r>
      <w:proofErr w:type="gramEnd"/>
      <w:r w:rsidR="00823603" w:rsidRPr="00DC72EF">
        <w:rPr>
          <w:b/>
          <w:bCs/>
        </w:rPr>
        <w:t xml:space="preserve"> and people with disabilities </w:t>
      </w:r>
      <w:r w:rsidRPr="00DC72EF">
        <w:rPr>
          <w:b/>
          <w:bCs/>
        </w:rPr>
        <w:t xml:space="preserve">through budget support and </w:t>
      </w:r>
      <w:r w:rsidR="00823603" w:rsidRPr="00DC72EF">
        <w:rPr>
          <w:b/>
          <w:bCs/>
        </w:rPr>
        <w:t xml:space="preserve">the </w:t>
      </w:r>
      <w:r w:rsidRPr="00DC72EF">
        <w:rPr>
          <w:b/>
          <w:bCs/>
        </w:rPr>
        <w:t xml:space="preserve">COVID-19 Response </w:t>
      </w:r>
      <w:r w:rsidR="00D304D6" w:rsidRPr="00DC72EF">
        <w:rPr>
          <w:b/>
          <w:bCs/>
        </w:rPr>
        <w:t>P</w:t>
      </w:r>
      <w:r w:rsidRPr="00DC72EF">
        <w:rPr>
          <w:b/>
          <w:bCs/>
        </w:rPr>
        <w:t>ackage.</w:t>
      </w:r>
      <w:r w:rsidRPr="004C22AB">
        <w:rPr>
          <w:rFonts w:cstheme="minorHAnsi"/>
          <w:color w:val="auto"/>
        </w:rPr>
        <w:t xml:space="preserve"> </w:t>
      </w:r>
      <w:r w:rsidRPr="00DC72EF">
        <w:t xml:space="preserve">Australia's investment </w:t>
      </w:r>
      <w:r w:rsidR="00823603" w:rsidRPr="00DC72EF">
        <w:t xml:space="preserve">supported </w:t>
      </w:r>
      <w:r w:rsidR="00B26CBC" w:rsidRPr="00DC72EF">
        <w:t>the</w:t>
      </w:r>
      <w:r w:rsidRPr="00DC72EF">
        <w:t xml:space="preserve"> integrat</w:t>
      </w:r>
      <w:r w:rsidR="00B26CBC" w:rsidRPr="00DC72EF">
        <w:t>ion of</w:t>
      </w:r>
      <w:r w:rsidRPr="00DC72EF">
        <w:t xml:space="preserve"> gender responsive budgeting in</w:t>
      </w:r>
      <w:r w:rsidR="00B26CBC" w:rsidRPr="00DC72EF">
        <w:t>to</w:t>
      </w:r>
      <w:r w:rsidRPr="00DC72EF">
        <w:t xml:space="preserve"> </w:t>
      </w:r>
      <w:r w:rsidR="00301EE6" w:rsidRPr="00DC72EF">
        <w:t>public financial management</w:t>
      </w:r>
      <w:r w:rsidRPr="00DC72EF">
        <w:t xml:space="preserve"> reform, in line with Tonga's National Women's Empowerment and Gender Equality Strategy.</w:t>
      </w:r>
      <w:r w:rsidR="00897B41" w:rsidRPr="00DC72EF">
        <w:t xml:space="preserve"> Through </w:t>
      </w:r>
      <w:r w:rsidR="00AD4791" w:rsidRPr="00DC72EF">
        <w:t>discussions with Tonga and development partners</w:t>
      </w:r>
      <w:r w:rsidR="00681638" w:rsidRPr="00DC72EF">
        <w:t>, Tonga</w:t>
      </w:r>
      <w:r w:rsidR="00897B41" w:rsidRPr="00DC72EF">
        <w:t xml:space="preserve"> formulated and implemented </w:t>
      </w:r>
      <w:r w:rsidR="009E0D7D" w:rsidRPr="00DC72EF">
        <w:t>its</w:t>
      </w:r>
      <w:r w:rsidR="00897B41" w:rsidRPr="00DC72EF">
        <w:t xml:space="preserve"> policy on </w:t>
      </w:r>
      <w:r w:rsidR="00897B41" w:rsidRPr="00DC72EF">
        <w:lastRenderedPageBreak/>
        <w:t>sexual harassment, which is the first of its kind in Tonga. The Public Service Commission</w:t>
      </w:r>
      <w:r w:rsidR="00C904CC" w:rsidRPr="00DC72EF">
        <w:t xml:space="preserve"> </w:t>
      </w:r>
      <w:r w:rsidR="00897B41" w:rsidRPr="00DC72EF">
        <w:t>le</w:t>
      </w:r>
      <w:r w:rsidR="00016D87" w:rsidRPr="00DC72EF">
        <w:t>d</w:t>
      </w:r>
      <w:r w:rsidR="00897B41" w:rsidRPr="00DC72EF">
        <w:t xml:space="preserve"> implementation and </w:t>
      </w:r>
      <w:r w:rsidR="00016D87" w:rsidRPr="00DC72EF">
        <w:t>conducted</w:t>
      </w:r>
      <w:r w:rsidR="00897B41" w:rsidRPr="00DC72EF">
        <w:t xml:space="preserve"> training across all government ministries and agencies. Australia</w:t>
      </w:r>
      <w:r w:rsidR="00897B41" w:rsidRPr="009300B3">
        <w:rPr>
          <w:rFonts w:cstheme="minorHAnsi"/>
          <w:color w:val="auto"/>
          <w:shd w:val="clear" w:color="auto" w:fill="FFFFFF"/>
        </w:rPr>
        <w:t xml:space="preserve"> </w:t>
      </w:r>
      <w:r w:rsidR="00016D87" w:rsidRPr="00DC72EF">
        <w:rPr>
          <w:b/>
          <w:bCs/>
        </w:rPr>
        <w:t>continued fund</w:t>
      </w:r>
      <w:r w:rsidR="001705E5" w:rsidRPr="00DC72EF">
        <w:rPr>
          <w:b/>
          <w:bCs/>
        </w:rPr>
        <w:t>ing</w:t>
      </w:r>
      <w:r w:rsidR="00897B41" w:rsidRPr="00DC72EF">
        <w:rPr>
          <w:b/>
          <w:bCs/>
        </w:rPr>
        <w:t xml:space="preserve"> </w:t>
      </w:r>
      <w:r w:rsidR="00A75932" w:rsidRPr="00DC72EF">
        <w:rPr>
          <w:b/>
          <w:bCs/>
        </w:rPr>
        <w:t>four</w:t>
      </w:r>
      <w:r w:rsidR="00897B41" w:rsidRPr="00DC72EF">
        <w:rPr>
          <w:b/>
          <w:bCs/>
        </w:rPr>
        <w:t xml:space="preserve"> critical positions for the Women’s Affairs and Gender Equality Division </w:t>
      </w:r>
      <w:r w:rsidR="000B7D78" w:rsidRPr="00DC72EF">
        <w:rPr>
          <w:b/>
          <w:bCs/>
        </w:rPr>
        <w:t>in</w:t>
      </w:r>
      <w:r w:rsidR="00897B41" w:rsidRPr="00DC72EF">
        <w:rPr>
          <w:b/>
          <w:bCs/>
        </w:rPr>
        <w:t xml:space="preserve"> the Ministry of Internal Affairs</w:t>
      </w:r>
      <w:r w:rsidR="00897B41" w:rsidRPr="009300B3">
        <w:rPr>
          <w:rFonts w:cstheme="minorHAnsi"/>
          <w:color w:val="auto"/>
          <w:shd w:val="clear" w:color="auto" w:fill="FFFFFF"/>
        </w:rPr>
        <w:t xml:space="preserve">. </w:t>
      </w:r>
      <w:r w:rsidR="00B34C00" w:rsidRPr="00DC72EF">
        <w:t>These positions (</w:t>
      </w:r>
      <w:r w:rsidR="00897B41" w:rsidRPr="00DC72EF">
        <w:t>monitoring and evaluations officer, Family Protection Act coordinator</w:t>
      </w:r>
      <w:r w:rsidR="00E31467" w:rsidRPr="00DC72EF">
        <w:t xml:space="preserve">, </w:t>
      </w:r>
      <w:r w:rsidR="00897B41" w:rsidRPr="00DC72EF">
        <w:t>a principal policy officer</w:t>
      </w:r>
      <w:r w:rsidR="00E31467" w:rsidRPr="00DC72EF">
        <w:t xml:space="preserve"> and the Safety and Protection Cluster Coordinator</w:t>
      </w:r>
      <w:r w:rsidR="00B34C00" w:rsidRPr="00DC72EF">
        <w:t xml:space="preserve">) are essential for driving policy reforms and service delivery </w:t>
      </w:r>
      <w:r w:rsidR="004E7772" w:rsidRPr="00DC72EF">
        <w:t>for women’s equity</w:t>
      </w:r>
      <w:r w:rsidR="00897B41" w:rsidRPr="00DC72EF">
        <w:t>.</w:t>
      </w:r>
    </w:p>
    <w:p w14:paraId="4900F1A0" w14:textId="3F187693" w:rsidR="000E330B" w:rsidRPr="00DC72EF" w:rsidRDefault="00B322FF" w:rsidP="005674C6">
      <w:pPr>
        <w:pStyle w:val="Bullet1"/>
        <w:numPr>
          <w:ilvl w:val="0"/>
          <w:numId w:val="0"/>
        </w:numPr>
        <w:spacing w:before="120" w:line="259" w:lineRule="auto"/>
      </w:pPr>
      <w:r w:rsidRPr="00DC72EF">
        <w:t xml:space="preserve">Australia’s highly valued </w:t>
      </w:r>
      <w:r w:rsidR="00AF40E6" w:rsidRPr="00DC72EF">
        <w:t xml:space="preserve">Tonga-Australia Police Partnership (led by </w:t>
      </w:r>
      <w:r w:rsidRPr="00DC72EF">
        <w:t>Australian Federal Police</w:t>
      </w:r>
      <w:r w:rsidR="00AF40E6" w:rsidRPr="00DC72EF">
        <w:t>)</w:t>
      </w:r>
      <w:r w:rsidRPr="00DC72EF">
        <w:t xml:space="preserve"> focuses on transnational crime and domestic violence</w:t>
      </w:r>
      <w:r w:rsidR="00911D8C" w:rsidRPr="00DC72EF">
        <w:t xml:space="preserve"> </w:t>
      </w:r>
      <w:r w:rsidR="000F1A82" w:rsidRPr="00DC72EF">
        <w:t xml:space="preserve">and complements </w:t>
      </w:r>
      <w:r w:rsidRPr="00DC72EF">
        <w:t>Australia</w:t>
      </w:r>
      <w:r w:rsidR="00F65010" w:rsidRPr="00DC72EF">
        <w:t>’s</w:t>
      </w:r>
      <w:r w:rsidRPr="00DC72EF">
        <w:t xml:space="preserve"> Defence Cooperation Program.</w:t>
      </w:r>
      <w:r>
        <w:rPr>
          <w:rFonts w:cstheme="minorHAnsi"/>
          <w:color w:val="auto"/>
        </w:rPr>
        <w:t xml:space="preserve"> </w:t>
      </w:r>
      <w:r w:rsidR="000F1A82" w:rsidRPr="00DC72EF">
        <w:rPr>
          <w:b/>
          <w:bCs/>
        </w:rPr>
        <w:t xml:space="preserve">At </w:t>
      </w:r>
      <w:proofErr w:type="spellStart"/>
      <w:r w:rsidR="000F1A82" w:rsidRPr="00DC72EF">
        <w:rPr>
          <w:b/>
          <w:bCs/>
        </w:rPr>
        <w:t>GoT</w:t>
      </w:r>
      <w:r w:rsidR="00850CF1" w:rsidRPr="00DC72EF">
        <w:rPr>
          <w:b/>
          <w:bCs/>
        </w:rPr>
        <w:t>’s</w:t>
      </w:r>
      <w:proofErr w:type="spellEnd"/>
      <w:r w:rsidR="00850CF1" w:rsidRPr="00DC72EF">
        <w:rPr>
          <w:b/>
          <w:bCs/>
        </w:rPr>
        <w:t xml:space="preserve"> request</w:t>
      </w:r>
      <w:r w:rsidR="000F1A82" w:rsidRPr="00DC72EF">
        <w:rPr>
          <w:b/>
          <w:bCs/>
        </w:rPr>
        <w:t>, Australia is partially funding the Police Commissioner position in Tonga</w:t>
      </w:r>
      <w:r w:rsidR="000F1A82">
        <w:rPr>
          <w:rFonts w:cstheme="minorHAnsi"/>
          <w:color w:val="auto"/>
        </w:rPr>
        <w:t xml:space="preserve">, </w:t>
      </w:r>
      <w:r w:rsidR="000F1A82" w:rsidRPr="00DC72EF">
        <w:t xml:space="preserve">with Tonga </w:t>
      </w:r>
      <w:r w:rsidR="00850CF1" w:rsidRPr="00DC72EF">
        <w:t>appointing</w:t>
      </w:r>
      <w:r w:rsidR="000F1A82" w:rsidRPr="00DC72EF">
        <w:t xml:space="preserve"> a</w:t>
      </w:r>
      <w:r w:rsidR="00850CF1" w:rsidRPr="00DC72EF">
        <w:t>n</w:t>
      </w:r>
      <w:r w:rsidR="000F1A82" w:rsidRPr="00DC72EF">
        <w:t xml:space="preserve"> Australian police officer for a multi-year term. </w:t>
      </w:r>
      <w:r w:rsidR="000E330B" w:rsidRPr="00DC72EF">
        <w:t xml:space="preserve">The Tonga Families Free of Violence (FFOV) program </w:t>
      </w:r>
      <w:r w:rsidR="00DA7E69" w:rsidRPr="00DC72EF">
        <w:t>(</w:t>
      </w:r>
      <w:r w:rsidR="00911D8C" w:rsidRPr="00DC72EF">
        <w:t xml:space="preserve">DFAT-funded and </w:t>
      </w:r>
      <w:r w:rsidRPr="00DC72EF">
        <w:t xml:space="preserve">delivered by the </w:t>
      </w:r>
      <w:r w:rsidR="00DA7E69" w:rsidRPr="00DC72EF">
        <w:t xml:space="preserve">Australian Federal Police) </w:t>
      </w:r>
      <w:r w:rsidR="000E330B" w:rsidRPr="00DC72EF">
        <w:t>continued to</w:t>
      </w:r>
      <w:r w:rsidR="000E330B" w:rsidRPr="009300B3">
        <w:rPr>
          <w:color w:val="auto"/>
        </w:rPr>
        <w:t xml:space="preserve"> </w:t>
      </w:r>
      <w:r w:rsidR="000E330B" w:rsidRPr="00DC72EF">
        <w:rPr>
          <w:b/>
          <w:bCs/>
        </w:rPr>
        <w:t>support survivors of family violence to access better quality services and ongoing support</w:t>
      </w:r>
      <w:r w:rsidR="000E330B" w:rsidRPr="00D44DA2">
        <w:rPr>
          <w:b/>
          <w:bCs/>
          <w:color w:val="auto"/>
        </w:rPr>
        <w:t>.</w:t>
      </w:r>
      <w:r w:rsidR="000E330B" w:rsidRPr="009300B3">
        <w:rPr>
          <w:color w:val="auto"/>
        </w:rPr>
        <w:t xml:space="preserve"> </w:t>
      </w:r>
      <w:r w:rsidR="000E330B" w:rsidRPr="00DC72EF">
        <w:t xml:space="preserve">The bilateral law and justice institutional strengthening and capacity development program </w:t>
      </w:r>
      <w:r w:rsidR="00911D8C" w:rsidRPr="00DC72EF">
        <w:rPr>
          <w:b/>
          <w:bCs/>
        </w:rPr>
        <w:t>worked</w:t>
      </w:r>
      <w:r w:rsidR="000E330B" w:rsidRPr="00DC72EF">
        <w:rPr>
          <w:b/>
          <w:bCs/>
        </w:rPr>
        <w:t xml:space="preserve"> across policing and community services agencies and institutions to improve service delivery, particularly to women, children, and diverse groups.</w:t>
      </w:r>
      <w:r w:rsidR="000E330B" w:rsidRPr="009300B3">
        <w:rPr>
          <w:color w:val="auto"/>
        </w:rPr>
        <w:t xml:space="preserve"> </w:t>
      </w:r>
      <w:r w:rsidR="000E330B" w:rsidRPr="00DC72EF">
        <w:t xml:space="preserve">FFOV supported the implementation of the Family Protection Act and achieved the endorsement and signing of 19 organisations across Tonga to the first National Service Delivery Protocol, which mandates appropriate referral pathways for victims of family violence. </w:t>
      </w:r>
    </w:p>
    <w:p w14:paraId="155FF780" w14:textId="77F13568" w:rsidR="00946DB7" w:rsidRPr="00DC72EF" w:rsidRDefault="00946DB7" w:rsidP="005674C6">
      <w:pPr>
        <w:pStyle w:val="Bullet1"/>
        <w:numPr>
          <w:ilvl w:val="0"/>
          <w:numId w:val="0"/>
        </w:numPr>
        <w:spacing w:before="120" w:line="259" w:lineRule="auto"/>
      </w:pPr>
      <w:r w:rsidRPr="00DC72EF">
        <w:t xml:space="preserve">Australia’s </w:t>
      </w:r>
      <w:r w:rsidR="00085017" w:rsidRPr="00DC72EF">
        <w:t>$</w:t>
      </w:r>
      <w:r w:rsidRPr="00DC72EF">
        <w:t>7 million contribution to the (W</w:t>
      </w:r>
      <w:r w:rsidR="007C4B7D" w:rsidRPr="00DC72EF">
        <w:t xml:space="preserve">orld </w:t>
      </w:r>
      <w:r w:rsidRPr="00DC72EF">
        <w:t>B</w:t>
      </w:r>
      <w:r w:rsidR="007C4B7D" w:rsidRPr="00DC72EF">
        <w:t>ank</w:t>
      </w:r>
      <w:r w:rsidRPr="00DC72EF">
        <w:t xml:space="preserve"> and </w:t>
      </w:r>
      <w:proofErr w:type="spellStart"/>
      <w:r w:rsidR="000746D9" w:rsidRPr="00DC72EF">
        <w:t>Go</w:t>
      </w:r>
      <w:r w:rsidR="00B75362" w:rsidRPr="00DC72EF">
        <w:t>T</w:t>
      </w:r>
      <w:proofErr w:type="spellEnd"/>
      <w:r w:rsidR="00911D8C" w:rsidRPr="00DC72EF">
        <w:t>-led</w:t>
      </w:r>
      <w:r w:rsidRPr="00DC72EF">
        <w:t xml:space="preserve">) Tonga Safe and Resilient Schools Project </w:t>
      </w:r>
      <w:r w:rsidR="00911D8C" w:rsidRPr="00DC72EF">
        <w:t>supports</w:t>
      </w:r>
      <w:r w:rsidRPr="009300B3">
        <w:rPr>
          <w:color w:val="auto"/>
        </w:rPr>
        <w:t xml:space="preserve"> </w:t>
      </w:r>
      <w:r w:rsidRPr="00DC72EF">
        <w:rPr>
          <w:b/>
          <w:bCs/>
        </w:rPr>
        <w:t>climate resilience and economic stability</w:t>
      </w:r>
      <w:r w:rsidRPr="009300B3">
        <w:rPr>
          <w:color w:val="auto"/>
        </w:rPr>
        <w:t xml:space="preserve"> </w:t>
      </w:r>
      <w:r w:rsidR="00911D8C" w:rsidRPr="00DC72EF">
        <w:t xml:space="preserve">priorities </w:t>
      </w:r>
      <w:r w:rsidR="00EA1898" w:rsidRPr="00DC72EF">
        <w:t xml:space="preserve">in </w:t>
      </w:r>
      <w:r w:rsidRPr="00DC72EF">
        <w:t xml:space="preserve">the COVID-19 Development Response Plan, and relevant sustainable development goals </w:t>
      </w:r>
      <w:r w:rsidR="00911D8C" w:rsidRPr="00DC72EF">
        <w:t>around</w:t>
      </w:r>
      <w:r w:rsidRPr="00DC72EF">
        <w:t xml:space="preserve"> access to education and water.</w:t>
      </w:r>
    </w:p>
    <w:p w14:paraId="0B17EEFD" w14:textId="35E36651" w:rsidR="008C1F60" w:rsidRPr="00DC72EF" w:rsidRDefault="00297FD1" w:rsidP="005674C6">
      <w:pPr>
        <w:pStyle w:val="Heading3"/>
        <w:spacing w:line="259" w:lineRule="auto"/>
        <w:rPr>
          <w:rFonts w:eastAsiaTheme="minorHAnsi" w:cstheme="minorBidi"/>
          <w:iCs w:val="0"/>
          <w:color w:val="495965" w:themeColor="text2"/>
        </w:rPr>
      </w:pPr>
      <w:r w:rsidRPr="00DC72EF">
        <w:rPr>
          <w:rFonts w:eastAsiaTheme="minorHAnsi" w:cstheme="minorBidi"/>
          <w:iCs w:val="0"/>
          <w:color w:val="495965" w:themeColor="text2"/>
        </w:rPr>
        <w:t>Economic recovery</w:t>
      </w:r>
    </w:p>
    <w:p w14:paraId="035BF873" w14:textId="398583BE" w:rsidR="00101C18" w:rsidRPr="00DC72EF" w:rsidRDefault="00101C18" w:rsidP="005674C6">
      <w:pPr>
        <w:pStyle w:val="Bullet1"/>
        <w:numPr>
          <w:ilvl w:val="0"/>
          <w:numId w:val="0"/>
        </w:numPr>
        <w:spacing w:before="120" w:line="259" w:lineRule="auto"/>
      </w:pPr>
      <w:r w:rsidRPr="00DC72EF">
        <w:t>In 2021-22, Australia delivered $24.2 million in budget support to Tonga to support economic recovery and strengthen public and economic policy.</w:t>
      </w:r>
      <w:r w:rsidR="00035DF9" w:rsidRPr="00DC72EF">
        <w:t xml:space="preserve"> Following the HTHH disaster, Australia delivered significant budget support to assist with Tonga’s recovery and reconstruction, and sustain key government services, including funding for the repair of Tonga’s</w:t>
      </w:r>
      <w:r w:rsidR="00035DF9">
        <w:rPr>
          <w:color w:val="auto"/>
        </w:rPr>
        <w:t xml:space="preserve"> </w:t>
      </w:r>
      <w:r w:rsidR="00035DF9" w:rsidRPr="00DC72EF">
        <w:t xml:space="preserve">international telecommunications cable. </w:t>
      </w:r>
      <w:proofErr w:type="spellStart"/>
      <w:r w:rsidR="00035DF9" w:rsidRPr="00DC72EF">
        <w:t>GoT</w:t>
      </w:r>
      <w:proofErr w:type="spellEnd"/>
      <w:r w:rsidR="00035DF9" w:rsidRPr="00DC72EF">
        <w:t xml:space="preserve"> also allocated</w:t>
      </w:r>
      <w:r w:rsidR="00035DF9">
        <w:rPr>
          <w:rFonts w:cstheme="minorHAnsi"/>
          <w:color w:val="auto"/>
          <w:shd w:val="clear" w:color="auto" w:fill="FFFFFF"/>
        </w:rPr>
        <w:t xml:space="preserve"> </w:t>
      </w:r>
      <w:r w:rsidR="00035DF9" w:rsidRPr="00DC72EF">
        <w:rPr>
          <w:b/>
          <w:bCs/>
        </w:rPr>
        <w:t>$3.8 million of the budget support to social protection payments to the most vulnerable</w:t>
      </w:r>
      <w:r w:rsidR="00035DF9">
        <w:rPr>
          <w:rFonts w:cstheme="minorHAnsi"/>
          <w:color w:val="auto"/>
          <w:shd w:val="clear" w:color="auto" w:fill="FFFFFF"/>
        </w:rPr>
        <w:t xml:space="preserve">, </w:t>
      </w:r>
      <w:r w:rsidR="00035DF9" w:rsidRPr="00DC72EF">
        <w:t xml:space="preserve">including older persons, people with disabilities, and poorer households. In response to the concurrent COVID-19 outbreak, Australia’s budget support also targeted health sector support. </w:t>
      </w:r>
    </w:p>
    <w:p w14:paraId="42A959F8" w14:textId="6B9B24E9" w:rsidR="000E330B" w:rsidRPr="00DC72EF" w:rsidRDefault="00101C18" w:rsidP="005674C6">
      <w:pPr>
        <w:pStyle w:val="Bullet1"/>
        <w:numPr>
          <w:ilvl w:val="0"/>
          <w:numId w:val="0"/>
        </w:numPr>
        <w:spacing w:before="120" w:line="259" w:lineRule="auto"/>
      </w:pPr>
      <w:r w:rsidRPr="00DC72EF">
        <w:t xml:space="preserve">Part of Australia’s budget support was delivered in </w:t>
      </w:r>
      <w:r w:rsidR="00BB4C2D" w:rsidRPr="00DC72EF">
        <w:t xml:space="preserve">response to Tonga having </w:t>
      </w:r>
      <w:r w:rsidR="00035DF9" w:rsidRPr="00DC72EF">
        <w:t xml:space="preserve">successfully </w:t>
      </w:r>
      <w:r w:rsidR="00BB4C2D" w:rsidRPr="00DC72EF">
        <w:t xml:space="preserve">delivered </w:t>
      </w:r>
      <w:r w:rsidR="00C15BAC" w:rsidRPr="00DC72EF">
        <w:t>reforms agreed through</w:t>
      </w:r>
      <w:r w:rsidR="00BB4C2D" w:rsidRPr="00DC72EF">
        <w:t xml:space="preserve"> the Joint Policy Reform Matrix</w:t>
      </w:r>
      <w:r w:rsidR="00C15BAC" w:rsidRPr="00DC72EF">
        <w:t xml:space="preserve"> (JPRM). The JPRM is a </w:t>
      </w:r>
      <w:r w:rsidR="00621D58" w:rsidRPr="00DC72EF">
        <w:t>set</w:t>
      </w:r>
      <w:r w:rsidR="00C15BAC" w:rsidRPr="00DC72EF">
        <w:t xml:space="preserve"> of policy reforms and results indicators agreed between </w:t>
      </w:r>
      <w:proofErr w:type="spellStart"/>
      <w:r w:rsidR="00C15BAC" w:rsidRPr="00DC72EF">
        <w:t>GoT</w:t>
      </w:r>
      <w:proofErr w:type="spellEnd"/>
      <w:r w:rsidR="00C15BAC" w:rsidRPr="00DC72EF">
        <w:t xml:space="preserve"> and participating development partners and linked to partner budget support. </w:t>
      </w:r>
      <w:r w:rsidRPr="00DC72EF">
        <w:t xml:space="preserve">Notable reforms achieved in </w:t>
      </w:r>
      <w:r w:rsidR="00035DF9" w:rsidRPr="00DC72EF">
        <w:t>2021-22</w:t>
      </w:r>
      <w:r w:rsidRPr="00DC72EF">
        <w:t xml:space="preserve"> include</w:t>
      </w:r>
      <w:r w:rsidR="001C04DF" w:rsidRPr="00DC72EF">
        <w:t>d</w:t>
      </w:r>
      <w:r>
        <w:rPr>
          <w:color w:val="auto"/>
        </w:rPr>
        <w:t xml:space="preserve"> </w:t>
      </w:r>
      <w:r w:rsidR="00645F3E" w:rsidRPr="00DC72EF">
        <w:rPr>
          <w:b/>
          <w:bCs/>
        </w:rPr>
        <w:t>development of a</w:t>
      </w:r>
      <w:r w:rsidRPr="00DC72EF">
        <w:rPr>
          <w:b/>
          <w:bCs/>
        </w:rPr>
        <w:t xml:space="preserve"> Medium-Term Debt Strategy and Tonga’s COVID-19 deployment and vaccination plan</w:t>
      </w:r>
      <w:r>
        <w:rPr>
          <w:color w:val="auto"/>
        </w:rPr>
        <w:t xml:space="preserve">. </w:t>
      </w:r>
      <w:r w:rsidR="00334C0C" w:rsidRPr="00DC72EF">
        <w:t>This budget support</w:t>
      </w:r>
      <w:r w:rsidR="004F1652" w:rsidRPr="00DC72EF">
        <w:t xml:space="preserve"> </w:t>
      </w:r>
      <w:r w:rsidR="00E93FC7" w:rsidRPr="00DC72EF">
        <w:t xml:space="preserve">also </w:t>
      </w:r>
      <w:r w:rsidR="004F1652" w:rsidRPr="00DC72EF">
        <w:t xml:space="preserve">enabled </w:t>
      </w:r>
      <w:proofErr w:type="spellStart"/>
      <w:r w:rsidR="004F1652" w:rsidRPr="00DC72EF">
        <w:t>GoT</w:t>
      </w:r>
      <w:proofErr w:type="spellEnd"/>
      <w:r w:rsidR="00D44DA2" w:rsidRPr="00DC72EF">
        <w:t xml:space="preserve"> </w:t>
      </w:r>
      <w:r w:rsidR="004F1652" w:rsidRPr="00DC72EF">
        <w:t xml:space="preserve">to </w:t>
      </w:r>
      <w:r w:rsidR="00BC75AD" w:rsidRPr="00DC72EF">
        <w:t xml:space="preserve">implement </w:t>
      </w:r>
      <w:r w:rsidR="004F1652" w:rsidRPr="00DC72EF">
        <w:t>a third phase of its Business Recovery Assistance Program</w:t>
      </w:r>
      <w:r w:rsidR="00E4410E" w:rsidRPr="00DC72EF">
        <w:t>, providing formal and informal businesses with income support</w:t>
      </w:r>
      <w:r w:rsidR="004F1652" w:rsidRPr="00DC72EF">
        <w:t xml:space="preserve">. </w:t>
      </w:r>
      <w:r w:rsidR="000E330B" w:rsidRPr="00DC72EF">
        <w:rPr>
          <w:b/>
          <w:bCs/>
        </w:rPr>
        <w:t xml:space="preserve">Australia increased support to communities to </w:t>
      </w:r>
      <w:r w:rsidR="00D44DA2" w:rsidRPr="00DC72EF">
        <w:rPr>
          <w:b/>
          <w:bCs/>
        </w:rPr>
        <w:t>assist</w:t>
      </w:r>
      <w:r w:rsidR="000E330B" w:rsidRPr="00DC72EF">
        <w:rPr>
          <w:b/>
          <w:bCs/>
        </w:rPr>
        <w:t xml:space="preserve"> </w:t>
      </w:r>
      <w:r w:rsidR="00614760" w:rsidRPr="00DC72EF">
        <w:rPr>
          <w:b/>
          <w:bCs/>
        </w:rPr>
        <w:t xml:space="preserve">Tonga </w:t>
      </w:r>
      <w:r w:rsidR="000E330B" w:rsidRPr="00DC72EF">
        <w:rPr>
          <w:b/>
          <w:bCs/>
        </w:rPr>
        <w:t>prepare for and manage the socio-economic impacts of COVID</w:t>
      </w:r>
      <w:r w:rsidR="000E330B" w:rsidRPr="00DC72EF">
        <w:rPr>
          <w:b/>
          <w:bCs/>
        </w:rPr>
        <w:noBreakHyphen/>
        <w:t>19,</w:t>
      </w:r>
      <w:r w:rsidR="000E330B" w:rsidRPr="000E7FD6">
        <w:rPr>
          <w:color w:val="auto"/>
        </w:rPr>
        <w:t xml:space="preserve"> </w:t>
      </w:r>
      <w:r w:rsidR="000E330B" w:rsidRPr="00DC72EF">
        <w:t xml:space="preserve">including for families of workers under the Seasonal Workers Program and the Pacific Labour Scheme whose deployments in Australia were extended due to COVID-19. </w:t>
      </w:r>
      <w:r w:rsidR="005043C7" w:rsidRPr="00DC72EF">
        <w:t>Remittances from the labour mobility programs account for 39 per cent of Tonga’s GDP, growing while other parts of the economy have retracted during the COVID era.</w:t>
      </w:r>
    </w:p>
    <w:p w14:paraId="36A393EC" w14:textId="077DA5BE" w:rsidR="00663070" w:rsidRDefault="00946DB7" w:rsidP="005674C6">
      <w:pPr>
        <w:pStyle w:val="NormalWeb"/>
        <w:shd w:val="clear" w:color="auto" w:fill="FFFFFF"/>
        <w:spacing w:before="120" w:beforeAutospacing="0" w:after="60" w:afterAutospacing="0" w:line="259" w:lineRule="auto"/>
        <w:rPr>
          <w:rFonts w:asciiTheme="minorHAnsi" w:hAnsiTheme="minorHAnsi" w:cstheme="minorHAnsi"/>
          <w:sz w:val="22"/>
          <w:szCs w:val="22"/>
        </w:rPr>
      </w:pPr>
      <w:r w:rsidRPr="00DC72EF">
        <w:rPr>
          <w:rFonts w:asciiTheme="minorHAnsi" w:eastAsiaTheme="minorHAnsi" w:hAnsiTheme="minorHAnsi" w:cstheme="minorBidi"/>
          <w:color w:val="495965" w:themeColor="text2"/>
          <w:sz w:val="22"/>
          <w:szCs w:val="22"/>
          <w:lang w:val="en-GB" w:eastAsia="en-US"/>
        </w:rPr>
        <w:t xml:space="preserve">Australia continued to support Tonga achieve its renewable energy targets and reduce dependence on imported fossil fuels. In partnership with the </w:t>
      </w:r>
      <w:r w:rsidR="00DF22D4">
        <w:rPr>
          <w:rFonts w:asciiTheme="minorHAnsi" w:eastAsiaTheme="minorHAnsi" w:hAnsiTheme="minorHAnsi" w:cstheme="minorBidi"/>
          <w:color w:val="495965" w:themeColor="text2"/>
          <w:sz w:val="22"/>
          <w:szCs w:val="22"/>
          <w:lang w:val="en-GB" w:eastAsia="en-US"/>
        </w:rPr>
        <w:t>Asian Development Bank (</w:t>
      </w:r>
      <w:r w:rsidRPr="00DC72EF">
        <w:rPr>
          <w:rFonts w:asciiTheme="minorHAnsi" w:eastAsiaTheme="minorHAnsi" w:hAnsiTheme="minorHAnsi" w:cstheme="minorBidi"/>
          <w:color w:val="495965" w:themeColor="text2"/>
          <w:sz w:val="22"/>
          <w:szCs w:val="22"/>
          <w:lang w:val="en-GB" w:eastAsia="en-US"/>
        </w:rPr>
        <w:t>ADB</w:t>
      </w:r>
      <w:r w:rsidR="00DF22D4">
        <w:rPr>
          <w:rFonts w:asciiTheme="minorHAnsi" w:eastAsiaTheme="minorHAnsi" w:hAnsiTheme="minorHAnsi" w:cstheme="minorBidi"/>
          <w:color w:val="495965" w:themeColor="text2"/>
          <w:sz w:val="22"/>
          <w:szCs w:val="22"/>
          <w:lang w:val="en-GB" w:eastAsia="en-US"/>
        </w:rPr>
        <w:t>)</w:t>
      </w:r>
      <w:r w:rsidRPr="000E7FD6">
        <w:rPr>
          <w:rFonts w:asciiTheme="minorHAnsi" w:hAnsiTheme="minorHAnsi" w:cstheme="minorHAnsi"/>
          <w:sz w:val="22"/>
          <w:szCs w:val="22"/>
        </w:rPr>
        <w:t xml:space="preserve">, </w:t>
      </w:r>
      <w:r w:rsidRPr="00DC72EF">
        <w:rPr>
          <w:rFonts w:asciiTheme="minorHAnsi" w:eastAsiaTheme="minorHAnsi" w:hAnsiTheme="minorHAnsi" w:cstheme="minorBidi"/>
          <w:b/>
          <w:bCs/>
          <w:color w:val="495965" w:themeColor="text2"/>
          <w:sz w:val="22"/>
          <w:szCs w:val="22"/>
          <w:lang w:val="en-GB" w:eastAsia="en-US"/>
        </w:rPr>
        <w:t>the Outer Islands Renewable Energy Program and Tonga Renewable Energy Project are reduc</w:t>
      </w:r>
      <w:r w:rsidR="00D44DA2" w:rsidRPr="00DC72EF">
        <w:rPr>
          <w:rFonts w:asciiTheme="minorHAnsi" w:eastAsiaTheme="minorHAnsi" w:hAnsiTheme="minorHAnsi" w:cstheme="minorBidi"/>
          <w:b/>
          <w:bCs/>
          <w:color w:val="495965" w:themeColor="text2"/>
          <w:sz w:val="22"/>
          <w:szCs w:val="22"/>
          <w:lang w:val="en-GB" w:eastAsia="en-US"/>
        </w:rPr>
        <w:t>ing</w:t>
      </w:r>
      <w:r w:rsidRPr="00DC72EF">
        <w:rPr>
          <w:rFonts w:asciiTheme="minorHAnsi" w:eastAsiaTheme="minorHAnsi" w:hAnsiTheme="minorHAnsi" w:cstheme="minorBidi"/>
          <w:b/>
          <w:bCs/>
          <w:color w:val="495965" w:themeColor="text2"/>
          <w:sz w:val="22"/>
          <w:szCs w:val="22"/>
          <w:lang w:val="en-GB" w:eastAsia="en-US"/>
        </w:rPr>
        <w:t xml:space="preserve"> the number of rural Tongans without access to power</w:t>
      </w:r>
      <w:r w:rsidR="00AA14AF" w:rsidRPr="00DC72EF">
        <w:rPr>
          <w:rFonts w:asciiTheme="minorHAnsi" w:eastAsiaTheme="minorHAnsi" w:hAnsiTheme="minorHAnsi" w:cstheme="minorBidi"/>
          <w:color w:val="495965" w:themeColor="text2"/>
          <w:sz w:val="22"/>
          <w:szCs w:val="22"/>
          <w:lang w:val="en-GB" w:eastAsia="en-US"/>
        </w:rPr>
        <w:t>,</w:t>
      </w:r>
      <w:r w:rsidRPr="00DC72EF">
        <w:rPr>
          <w:rFonts w:asciiTheme="minorHAnsi" w:eastAsiaTheme="minorHAnsi" w:hAnsiTheme="minorHAnsi" w:cstheme="minorBidi"/>
          <w:color w:val="495965" w:themeColor="text2"/>
          <w:sz w:val="22"/>
          <w:szCs w:val="22"/>
          <w:lang w:val="en-GB" w:eastAsia="en-US"/>
        </w:rPr>
        <w:t xml:space="preserve"> keeping Tonga on track to reach its goal of reducing reliance on expensive diesel fuels and </w:t>
      </w:r>
      <w:r w:rsidR="009A5C09" w:rsidRPr="00DC72EF">
        <w:rPr>
          <w:rFonts w:asciiTheme="minorHAnsi" w:eastAsiaTheme="minorHAnsi" w:hAnsiTheme="minorHAnsi" w:cstheme="minorBidi"/>
          <w:color w:val="495965" w:themeColor="text2"/>
          <w:sz w:val="22"/>
          <w:szCs w:val="22"/>
          <w:lang w:val="en-GB" w:eastAsia="en-US"/>
        </w:rPr>
        <w:t>generating</w:t>
      </w:r>
      <w:r w:rsidRPr="00DC72EF">
        <w:rPr>
          <w:rFonts w:asciiTheme="minorHAnsi" w:eastAsiaTheme="minorHAnsi" w:hAnsiTheme="minorHAnsi" w:cstheme="minorBidi"/>
          <w:color w:val="495965" w:themeColor="text2"/>
          <w:sz w:val="22"/>
          <w:szCs w:val="22"/>
          <w:lang w:val="en-GB" w:eastAsia="en-US"/>
        </w:rPr>
        <w:t xml:space="preserve"> </w:t>
      </w:r>
      <w:r w:rsidR="00D63948" w:rsidRPr="00DC72EF">
        <w:rPr>
          <w:rFonts w:asciiTheme="minorHAnsi" w:eastAsiaTheme="minorHAnsi" w:hAnsiTheme="minorHAnsi" w:cstheme="minorBidi"/>
          <w:color w:val="495965" w:themeColor="text2"/>
          <w:sz w:val="22"/>
          <w:szCs w:val="22"/>
          <w:lang w:val="en-GB" w:eastAsia="en-US"/>
        </w:rPr>
        <w:t>70 </w:t>
      </w:r>
      <w:r w:rsidRPr="00DC72EF">
        <w:rPr>
          <w:rFonts w:asciiTheme="minorHAnsi" w:eastAsiaTheme="minorHAnsi" w:hAnsiTheme="minorHAnsi" w:cstheme="minorBidi"/>
          <w:color w:val="495965" w:themeColor="text2"/>
          <w:sz w:val="22"/>
          <w:szCs w:val="22"/>
          <w:lang w:val="en-GB" w:eastAsia="en-US"/>
        </w:rPr>
        <w:t>per cent of electricity from renewable sources by 2030. ADB estimates these programs will lift Tonga from 12.</w:t>
      </w:r>
      <w:r w:rsidR="002F6B89" w:rsidRPr="00DC72EF">
        <w:rPr>
          <w:rFonts w:asciiTheme="minorHAnsi" w:eastAsiaTheme="minorHAnsi" w:hAnsiTheme="minorHAnsi" w:cstheme="minorBidi"/>
          <w:color w:val="495965" w:themeColor="text2"/>
          <w:sz w:val="22"/>
          <w:szCs w:val="22"/>
          <w:lang w:val="en-GB" w:eastAsia="en-US"/>
        </w:rPr>
        <w:t>5 </w:t>
      </w:r>
      <w:r w:rsidRPr="00DC72EF">
        <w:rPr>
          <w:rFonts w:asciiTheme="minorHAnsi" w:eastAsiaTheme="minorHAnsi" w:hAnsiTheme="minorHAnsi" w:cstheme="minorBidi"/>
          <w:color w:val="495965" w:themeColor="text2"/>
          <w:sz w:val="22"/>
          <w:szCs w:val="22"/>
          <w:lang w:val="en-GB" w:eastAsia="en-US"/>
        </w:rPr>
        <w:t xml:space="preserve">per cent of energy generation from renewable sources to over </w:t>
      </w:r>
      <w:r w:rsidR="00EF5169" w:rsidRPr="00DC72EF">
        <w:rPr>
          <w:rFonts w:asciiTheme="minorHAnsi" w:eastAsiaTheme="minorHAnsi" w:hAnsiTheme="minorHAnsi" w:cstheme="minorBidi"/>
          <w:color w:val="495965" w:themeColor="text2"/>
          <w:sz w:val="22"/>
          <w:szCs w:val="22"/>
          <w:lang w:val="en-GB" w:eastAsia="en-US"/>
        </w:rPr>
        <w:t>25 </w:t>
      </w:r>
      <w:r w:rsidRPr="00DC72EF">
        <w:rPr>
          <w:rFonts w:asciiTheme="minorHAnsi" w:eastAsiaTheme="minorHAnsi" w:hAnsiTheme="minorHAnsi" w:cstheme="minorBidi"/>
          <w:color w:val="495965" w:themeColor="text2"/>
          <w:sz w:val="22"/>
          <w:szCs w:val="22"/>
          <w:lang w:val="en-GB" w:eastAsia="en-US"/>
        </w:rPr>
        <w:t>per cent in 2021-22.</w:t>
      </w:r>
      <w:r w:rsidRPr="00652596">
        <w:rPr>
          <w:rFonts w:asciiTheme="minorHAnsi" w:hAnsiTheme="minorHAnsi" w:cstheme="minorHAnsi"/>
          <w:sz w:val="22"/>
          <w:szCs w:val="22"/>
        </w:rPr>
        <w:t xml:space="preserve"> </w:t>
      </w:r>
    </w:p>
    <w:p w14:paraId="631069CE" w14:textId="77777777" w:rsidR="00FF285E" w:rsidRDefault="00FF285E" w:rsidP="00C27147">
      <w:pPr>
        <w:pStyle w:val="Heading2"/>
      </w:pPr>
      <w:r>
        <w:lastRenderedPageBreak/>
        <w:t>Annex 1</w:t>
      </w:r>
      <w:r w:rsidRPr="002945C4">
        <w:t xml:space="preserve">: </w:t>
      </w:r>
      <w:r>
        <w:t>Progress against COVID-19 development Response plan results indicators</w:t>
      </w:r>
    </w:p>
    <w:p w14:paraId="58FB42E9" w14:textId="3170F473" w:rsidR="008B0C89" w:rsidRPr="00D44DA2" w:rsidRDefault="00FF285E" w:rsidP="00D74F17">
      <w:pPr>
        <w:spacing w:before="240" w:after="240"/>
        <w:rPr>
          <w:rFonts w:eastAsiaTheme="majorEastAsia" w:cstheme="minorHAnsi"/>
          <w:b/>
          <w:bCs/>
          <w:iCs/>
        </w:rPr>
      </w:pPr>
      <w:r w:rsidRPr="00D44DA2">
        <w:rPr>
          <w:rFonts w:eastAsiaTheme="majorEastAsia" w:cstheme="minorHAnsi"/>
          <w:b/>
          <w:bCs/>
          <w:iCs/>
        </w:rPr>
        <w:t>Health Security</w:t>
      </w:r>
    </w:p>
    <w:tbl>
      <w:tblPr>
        <w:tblStyle w:val="TableGrid"/>
        <w:tblW w:w="0" w:type="auto"/>
        <w:tblBorders>
          <w:top w:val="single" w:sz="4" w:space="0" w:color="3DA18F" w:themeColor="accent1" w:themeShade="BF"/>
          <w:left w:val="single" w:sz="4" w:space="0" w:color="3DA18F" w:themeColor="accent1" w:themeShade="BF"/>
          <w:bottom w:val="single" w:sz="4" w:space="0" w:color="3DA18F" w:themeColor="accent1" w:themeShade="BF"/>
          <w:right w:val="single" w:sz="4" w:space="0" w:color="3DA18F" w:themeColor="accent1" w:themeShade="BF"/>
          <w:insideH w:val="single" w:sz="4" w:space="0" w:color="3DA18F" w:themeColor="accent1" w:themeShade="BF"/>
          <w:insideV w:val="single" w:sz="4" w:space="0" w:color="3DA18F" w:themeColor="accent1" w:themeShade="BF"/>
        </w:tblBorders>
        <w:tblLook w:val="04A0" w:firstRow="1" w:lastRow="0" w:firstColumn="1" w:lastColumn="0" w:noHBand="0" w:noVBand="1"/>
      </w:tblPr>
      <w:tblGrid>
        <w:gridCol w:w="4815"/>
        <w:gridCol w:w="5721"/>
      </w:tblGrid>
      <w:tr w:rsidR="00730F2A" w14:paraId="1349570B" w14:textId="77777777" w:rsidTr="00C47888">
        <w:trPr>
          <w:trHeight w:val="453"/>
        </w:trPr>
        <w:tc>
          <w:tcPr>
            <w:tcW w:w="4815" w:type="dxa"/>
            <w:shd w:val="clear" w:color="auto" w:fill="A2DCD1" w:themeFill="accent1" w:themeFillTint="99"/>
            <w:vAlign w:val="center"/>
          </w:tcPr>
          <w:p w14:paraId="02C83FE9" w14:textId="201886F1" w:rsidR="00730F2A" w:rsidRDefault="00730F2A" w:rsidP="00730F2A">
            <w:pPr>
              <w:widowControl w:val="0"/>
              <w:spacing w:before="0" w:after="0" w:line="240" w:lineRule="auto"/>
              <w:jc w:val="center"/>
            </w:pPr>
            <w:r w:rsidRPr="00730F2A">
              <w:rPr>
                <w:b/>
                <w:sz w:val="20"/>
                <w:szCs w:val="20"/>
              </w:rPr>
              <w:t>Key Results Indicators</w:t>
            </w:r>
          </w:p>
        </w:tc>
        <w:tc>
          <w:tcPr>
            <w:tcW w:w="5721" w:type="dxa"/>
            <w:shd w:val="clear" w:color="auto" w:fill="A2DCD1" w:themeFill="accent1" w:themeFillTint="99"/>
            <w:vAlign w:val="center"/>
          </w:tcPr>
          <w:p w14:paraId="57487F52" w14:textId="475AFE10" w:rsidR="00730F2A" w:rsidRDefault="00730F2A" w:rsidP="00730F2A">
            <w:pPr>
              <w:widowControl w:val="0"/>
              <w:spacing w:before="0" w:after="0" w:line="240" w:lineRule="auto"/>
              <w:jc w:val="center"/>
            </w:pPr>
            <w:r w:rsidRPr="00730F2A">
              <w:rPr>
                <w:b/>
                <w:sz w:val="20"/>
                <w:szCs w:val="20"/>
              </w:rPr>
              <w:t>Progress/Result</w:t>
            </w:r>
          </w:p>
        </w:tc>
      </w:tr>
      <w:tr w:rsidR="00730F2A" w14:paraId="4935FDA9" w14:textId="77777777" w:rsidTr="00C47888">
        <w:tc>
          <w:tcPr>
            <w:tcW w:w="4815" w:type="dxa"/>
          </w:tcPr>
          <w:p w14:paraId="7F9CFAD6" w14:textId="4D748A73" w:rsidR="00730F2A" w:rsidRPr="00DC72EF" w:rsidRDefault="00730F2A" w:rsidP="00DC72EF">
            <w:pPr>
              <w:spacing w:before="60" w:line="259" w:lineRule="auto"/>
              <w:ind w:left="96"/>
              <w:rPr>
                <w:sz w:val="20"/>
                <w:szCs w:val="20"/>
              </w:rPr>
            </w:pPr>
            <w:r w:rsidRPr="00DC72EF">
              <w:rPr>
                <w:sz w:val="20"/>
                <w:szCs w:val="20"/>
              </w:rPr>
              <w:t>Evidence of progress against Tonga’s COVID-19 preparedness plan</w:t>
            </w:r>
          </w:p>
        </w:tc>
        <w:tc>
          <w:tcPr>
            <w:tcW w:w="5721" w:type="dxa"/>
          </w:tcPr>
          <w:p w14:paraId="31D3D7A8" w14:textId="6BA23D51" w:rsidR="00730F2A" w:rsidRPr="00085017" w:rsidRDefault="00730F2A" w:rsidP="00085017">
            <w:pPr>
              <w:spacing w:before="60" w:line="259" w:lineRule="auto"/>
              <w:ind w:left="96" w:hanging="3"/>
              <w:rPr>
                <w:sz w:val="20"/>
                <w:szCs w:val="20"/>
              </w:rPr>
            </w:pPr>
            <w:r w:rsidRPr="00085017">
              <w:rPr>
                <w:sz w:val="20"/>
                <w:szCs w:val="20"/>
              </w:rPr>
              <w:t>Supported MOH to establish public health data management systems DHIS2- Tupaia, which digitised data across four public health departments. and supported the deployment of health advisers to build capacity in preparation for responding to infectious disease threats and public health emergencies.</w:t>
            </w:r>
          </w:p>
          <w:p w14:paraId="27051343" w14:textId="195EDB98" w:rsidR="00730F2A" w:rsidRPr="00085017" w:rsidRDefault="00730F2A" w:rsidP="00085017">
            <w:pPr>
              <w:spacing w:before="60" w:line="259" w:lineRule="auto"/>
              <w:ind w:left="96" w:hanging="3"/>
              <w:rPr>
                <w:sz w:val="20"/>
                <w:szCs w:val="20"/>
              </w:rPr>
            </w:pPr>
            <w:r w:rsidRPr="00085017">
              <w:rPr>
                <w:sz w:val="20"/>
                <w:szCs w:val="20"/>
              </w:rPr>
              <w:t>Facilitated virtual training by UNICEF for vaccine and cold chain capability and provided community tests for additional triage space for potential overflow due to the pandemic.</w:t>
            </w:r>
          </w:p>
          <w:p w14:paraId="444FECA3" w14:textId="08C0B2E8" w:rsidR="00730F2A" w:rsidRPr="00DC72EF" w:rsidRDefault="00730F2A" w:rsidP="00085017">
            <w:pPr>
              <w:spacing w:before="60" w:line="259" w:lineRule="auto"/>
              <w:ind w:left="96" w:hanging="3"/>
              <w:rPr>
                <w:sz w:val="20"/>
                <w:szCs w:val="20"/>
              </w:rPr>
            </w:pPr>
            <w:r w:rsidRPr="00085017">
              <w:rPr>
                <w:sz w:val="20"/>
                <w:szCs w:val="20"/>
              </w:rPr>
              <w:t>Supported remote technical assistance between MOH and the Australian Assistance Medical Teams (AUSMAT) to discuss clinical and public health management of the pandemic.</w:t>
            </w:r>
          </w:p>
        </w:tc>
      </w:tr>
      <w:tr w:rsidR="00730F2A" w14:paraId="35B1AC46" w14:textId="77777777" w:rsidTr="00C47888">
        <w:tc>
          <w:tcPr>
            <w:tcW w:w="4815" w:type="dxa"/>
          </w:tcPr>
          <w:p w14:paraId="37510B12" w14:textId="0AF04C4D" w:rsidR="00730F2A" w:rsidRPr="00DC72EF" w:rsidRDefault="00730F2A" w:rsidP="00DC72EF">
            <w:pPr>
              <w:spacing w:before="60" w:line="259" w:lineRule="auto"/>
              <w:ind w:left="96"/>
              <w:rPr>
                <w:sz w:val="20"/>
                <w:szCs w:val="20"/>
              </w:rPr>
            </w:pPr>
            <w:r w:rsidRPr="00DC72EF">
              <w:rPr>
                <w:sz w:val="20"/>
                <w:szCs w:val="20"/>
              </w:rPr>
              <w:t>Procurement of supplies and equipment are in line with Tonga’s COVID-19 plan</w:t>
            </w:r>
          </w:p>
        </w:tc>
        <w:tc>
          <w:tcPr>
            <w:tcW w:w="5721" w:type="dxa"/>
          </w:tcPr>
          <w:p w14:paraId="639C1F48" w14:textId="671B0798" w:rsidR="00730F2A" w:rsidRPr="00085017" w:rsidRDefault="008E1CC3" w:rsidP="00085017">
            <w:pPr>
              <w:spacing w:before="60" w:line="259" w:lineRule="auto"/>
              <w:ind w:left="96" w:hanging="3"/>
              <w:rPr>
                <w:sz w:val="20"/>
                <w:szCs w:val="20"/>
              </w:rPr>
            </w:pPr>
            <w:r w:rsidRPr="00085017">
              <w:rPr>
                <w:sz w:val="20"/>
                <w:szCs w:val="20"/>
              </w:rPr>
              <w:t>P</w:t>
            </w:r>
            <w:r w:rsidR="00730F2A" w:rsidRPr="00085017">
              <w:rPr>
                <w:sz w:val="20"/>
                <w:szCs w:val="20"/>
              </w:rPr>
              <w:t>ro</w:t>
            </w:r>
            <w:r w:rsidRPr="00085017">
              <w:rPr>
                <w:sz w:val="20"/>
                <w:szCs w:val="20"/>
              </w:rPr>
              <w:t>vided pro</w:t>
            </w:r>
            <w:r w:rsidR="00730F2A" w:rsidRPr="00085017">
              <w:rPr>
                <w:sz w:val="20"/>
                <w:szCs w:val="20"/>
              </w:rPr>
              <w:t>curement, installation, and training for Ultra-Cold Chain storage to enable MOH to store vaccines (like Pfizer) which has enabled Tonga to utilise a wider range of vaccines and pharmaceuticals requiring ultra-cold temperature storage.</w:t>
            </w:r>
          </w:p>
          <w:p w14:paraId="3B2280BD" w14:textId="33F648B0" w:rsidR="00730F2A" w:rsidRPr="00DC72EF" w:rsidRDefault="00730F2A" w:rsidP="00085017">
            <w:pPr>
              <w:spacing w:before="60" w:line="259" w:lineRule="auto"/>
              <w:ind w:left="96" w:hanging="3"/>
              <w:rPr>
                <w:sz w:val="20"/>
                <w:szCs w:val="20"/>
              </w:rPr>
            </w:pPr>
            <w:r w:rsidRPr="00085017">
              <w:rPr>
                <w:sz w:val="20"/>
                <w:szCs w:val="20"/>
              </w:rPr>
              <w:t xml:space="preserve">Provided over 2.5 tonnes of PPE and five tonnes of clinical equipment, </w:t>
            </w:r>
            <w:proofErr w:type="gramStart"/>
            <w:r w:rsidRPr="00085017">
              <w:rPr>
                <w:sz w:val="20"/>
                <w:szCs w:val="20"/>
              </w:rPr>
              <w:t>consumables</w:t>
            </w:r>
            <w:proofErr w:type="gramEnd"/>
            <w:r w:rsidRPr="00085017">
              <w:rPr>
                <w:sz w:val="20"/>
                <w:szCs w:val="20"/>
              </w:rPr>
              <w:t xml:space="preserve"> and medication for the treatment of COVID-19, including 74 oxygen concentrators, two haematology analysers and two biochemistry analysers. </w:t>
            </w:r>
          </w:p>
        </w:tc>
      </w:tr>
      <w:tr w:rsidR="00730F2A" w14:paraId="5504A9A4" w14:textId="77777777" w:rsidTr="00C47888">
        <w:tc>
          <w:tcPr>
            <w:tcW w:w="4815" w:type="dxa"/>
          </w:tcPr>
          <w:p w14:paraId="7C2ADC8E" w14:textId="3FABD660" w:rsidR="00730F2A" w:rsidRPr="00DC72EF" w:rsidRDefault="00730F2A" w:rsidP="00DC72EF">
            <w:pPr>
              <w:spacing w:before="60" w:line="259" w:lineRule="auto"/>
              <w:ind w:left="96"/>
              <w:rPr>
                <w:sz w:val="20"/>
                <w:szCs w:val="20"/>
              </w:rPr>
            </w:pPr>
            <w:r w:rsidRPr="00DC72EF">
              <w:rPr>
                <w:sz w:val="20"/>
                <w:szCs w:val="20"/>
              </w:rPr>
              <w:t>Evidence of progress towards implementing the ‘Package of Essential Health Services’</w:t>
            </w:r>
          </w:p>
        </w:tc>
        <w:tc>
          <w:tcPr>
            <w:tcW w:w="5721" w:type="dxa"/>
          </w:tcPr>
          <w:p w14:paraId="40A91DB3" w14:textId="341D2B5A" w:rsidR="00730F2A" w:rsidRPr="00085017" w:rsidRDefault="00730F2A" w:rsidP="00085017">
            <w:pPr>
              <w:spacing w:before="60" w:line="259" w:lineRule="auto"/>
              <w:ind w:left="96" w:hanging="3"/>
              <w:rPr>
                <w:sz w:val="20"/>
                <w:szCs w:val="20"/>
              </w:rPr>
            </w:pPr>
            <w:r w:rsidRPr="00085017">
              <w:rPr>
                <w:sz w:val="20"/>
                <w:szCs w:val="20"/>
              </w:rPr>
              <w:t xml:space="preserve">Funded the development of the Package of Essential Health Services (PEHS) through THSSP Phase 2. PEHS is updated regularly to reflect service levels and is a pathway for </w:t>
            </w:r>
            <w:proofErr w:type="spellStart"/>
            <w:r w:rsidR="008E1CC3" w:rsidRPr="00085017">
              <w:rPr>
                <w:sz w:val="20"/>
                <w:szCs w:val="20"/>
              </w:rPr>
              <w:t>MoH</w:t>
            </w:r>
            <w:proofErr w:type="spellEnd"/>
            <w:r w:rsidRPr="00085017">
              <w:rPr>
                <w:sz w:val="20"/>
                <w:szCs w:val="20"/>
              </w:rPr>
              <w:t xml:space="preserve"> to determine </w:t>
            </w:r>
            <w:r w:rsidR="008E1CC3" w:rsidRPr="00085017">
              <w:rPr>
                <w:sz w:val="20"/>
                <w:szCs w:val="20"/>
              </w:rPr>
              <w:t xml:space="preserve">priorities </w:t>
            </w:r>
            <w:r w:rsidRPr="00085017">
              <w:rPr>
                <w:sz w:val="20"/>
                <w:szCs w:val="20"/>
              </w:rPr>
              <w:t xml:space="preserve">and identify ways to improve. </w:t>
            </w:r>
          </w:p>
          <w:p w14:paraId="135C3FB4" w14:textId="22C97637" w:rsidR="00730F2A" w:rsidRPr="00DC72EF" w:rsidRDefault="00730F2A" w:rsidP="00085017">
            <w:pPr>
              <w:spacing w:before="60" w:line="259" w:lineRule="auto"/>
              <w:ind w:left="96" w:hanging="3"/>
              <w:rPr>
                <w:sz w:val="20"/>
                <w:szCs w:val="20"/>
              </w:rPr>
            </w:pPr>
            <w:r w:rsidRPr="00085017">
              <w:rPr>
                <w:sz w:val="20"/>
                <w:szCs w:val="20"/>
              </w:rPr>
              <w:t>THSSP Phase 3</w:t>
            </w:r>
            <w:r w:rsidR="008E1CC3" w:rsidRPr="00085017">
              <w:rPr>
                <w:sz w:val="20"/>
                <w:szCs w:val="20"/>
              </w:rPr>
              <w:t>,</w:t>
            </w:r>
            <w:r w:rsidRPr="00085017">
              <w:rPr>
                <w:sz w:val="20"/>
                <w:szCs w:val="20"/>
              </w:rPr>
              <w:t xml:space="preserve"> commencing in October 2022</w:t>
            </w:r>
            <w:r w:rsidR="008E1CC3" w:rsidRPr="00085017">
              <w:rPr>
                <w:sz w:val="20"/>
                <w:szCs w:val="20"/>
              </w:rPr>
              <w:t>,</w:t>
            </w:r>
            <w:r w:rsidRPr="00085017">
              <w:rPr>
                <w:sz w:val="20"/>
                <w:szCs w:val="20"/>
              </w:rPr>
              <w:t xml:space="preserve"> will focus on the PEHS roll-out</w:t>
            </w:r>
            <w:r w:rsidR="008E1CC3" w:rsidRPr="00085017">
              <w:rPr>
                <w:sz w:val="20"/>
                <w:szCs w:val="20"/>
              </w:rPr>
              <w:t>,</w:t>
            </w:r>
            <w:r w:rsidRPr="00085017">
              <w:rPr>
                <w:sz w:val="20"/>
                <w:szCs w:val="20"/>
              </w:rPr>
              <w:t xml:space="preserve"> prioritising community health services as the key mechanism for improving equitable access to quality primary health care services responsive to local needs.</w:t>
            </w:r>
          </w:p>
        </w:tc>
      </w:tr>
      <w:tr w:rsidR="00730F2A" w14:paraId="7A2F40AF" w14:textId="77777777" w:rsidTr="00C47888">
        <w:tc>
          <w:tcPr>
            <w:tcW w:w="4815" w:type="dxa"/>
          </w:tcPr>
          <w:p w14:paraId="2EECDCD5" w14:textId="3E4C07C1" w:rsidR="00730F2A" w:rsidRPr="00DC72EF" w:rsidRDefault="00730F2A" w:rsidP="00DC72EF">
            <w:pPr>
              <w:spacing w:before="60" w:line="259" w:lineRule="auto"/>
              <w:ind w:left="96"/>
              <w:rPr>
                <w:sz w:val="20"/>
                <w:szCs w:val="20"/>
              </w:rPr>
            </w:pPr>
            <w:r w:rsidRPr="00DC72EF">
              <w:rPr>
                <w:sz w:val="20"/>
                <w:szCs w:val="20"/>
              </w:rPr>
              <w:t xml:space="preserve">Number of beneficiaries from COVID-19 and NCD health promotion efforts </w:t>
            </w:r>
          </w:p>
        </w:tc>
        <w:tc>
          <w:tcPr>
            <w:tcW w:w="5721" w:type="dxa"/>
          </w:tcPr>
          <w:p w14:paraId="4FE0B291" w14:textId="2729CD34" w:rsidR="00730F2A" w:rsidRPr="00DC72EF" w:rsidRDefault="00730F2A" w:rsidP="00085017">
            <w:pPr>
              <w:spacing w:before="60" w:line="259" w:lineRule="auto"/>
              <w:ind w:left="96" w:hanging="3"/>
              <w:rPr>
                <w:sz w:val="20"/>
                <w:szCs w:val="20"/>
              </w:rPr>
            </w:pPr>
            <w:r w:rsidRPr="00085017">
              <w:rPr>
                <w:rFonts w:cstheme="minorHAnsi"/>
                <w:sz w:val="20"/>
                <w:szCs w:val="20"/>
              </w:rPr>
              <w:t xml:space="preserve">Our support has </w:t>
            </w:r>
            <w:r w:rsidR="00D44DA2" w:rsidRPr="00085017">
              <w:rPr>
                <w:rFonts w:cstheme="minorHAnsi"/>
                <w:sz w:val="20"/>
                <w:szCs w:val="20"/>
              </w:rPr>
              <w:t>contributed to the</w:t>
            </w:r>
            <w:r w:rsidRPr="00085017">
              <w:rPr>
                <w:rFonts w:cstheme="minorHAnsi"/>
                <w:sz w:val="20"/>
                <w:szCs w:val="20"/>
              </w:rPr>
              <w:t xml:space="preserve"> vaccinat</w:t>
            </w:r>
            <w:r w:rsidR="00D44DA2" w:rsidRPr="00085017">
              <w:rPr>
                <w:rFonts w:cstheme="minorHAnsi"/>
                <w:sz w:val="20"/>
                <w:szCs w:val="20"/>
              </w:rPr>
              <w:t>ion rates of</w:t>
            </w:r>
            <w:r w:rsidRPr="00085017">
              <w:rPr>
                <w:rFonts w:cstheme="minorHAnsi"/>
                <w:sz w:val="20"/>
                <w:szCs w:val="20"/>
              </w:rPr>
              <w:t xml:space="preserve"> 98 per cent of Tonga’s eligible population (one dose)</w:t>
            </w:r>
            <w:r w:rsidR="008E1CC3" w:rsidRPr="00085017">
              <w:rPr>
                <w:rFonts w:cstheme="minorHAnsi"/>
                <w:sz w:val="20"/>
                <w:szCs w:val="20"/>
              </w:rPr>
              <w:t>,</w:t>
            </w:r>
            <w:r w:rsidRPr="00085017">
              <w:rPr>
                <w:rFonts w:cstheme="minorHAnsi"/>
                <w:sz w:val="20"/>
                <w:szCs w:val="20"/>
              </w:rPr>
              <w:t xml:space="preserve"> 91 per cent (two doses) and 59 per cent (booste</w:t>
            </w:r>
            <w:r w:rsidR="008E1CC3" w:rsidRPr="00085017">
              <w:rPr>
                <w:rFonts w:cstheme="minorHAnsi"/>
                <w:sz w:val="20"/>
                <w:szCs w:val="20"/>
              </w:rPr>
              <w:t>d</w:t>
            </w:r>
            <w:r w:rsidRPr="00085017">
              <w:rPr>
                <w:rFonts w:cstheme="minorHAnsi"/>
                <w:sz w:val="20"/>
                <w:szCs w:val="20"/>
              </w:rPr>
              <w:t xml:space="preserve">) as </w:t>
            </w:r>
            <w:proofErr w:type="gramStart"/>
            <w:r w:rsidRPr="00085017">
              <w:rPr>
                <w:rFonts w:cstheme="minorHAnsi"/>
                <w:sz w:val="20"/>
                <w:szCs w:val="20"/>
              </w:rPr>
              <w:t>at</w:t>
            </w:r>
            <w:proofErr w:type="gramEnd"/>
            <w:r w:rsidRPr="00085017">
              <w:rPr>
                <w:rFonts w:cstheme="minorHAnsi"/>
                <w:sz w:val="20"/>
                <w:szCs w:val="20"/>
              </w:rPr>
              <w:t xml:space="preserve"> 22 August. Provided 55,000 Pfizer </w:t>
            </w:r>
            <w:r w:rsidR="008E1CC3" w:rsidRPr="00085017">
              <w:rPr>
                <w:rFonts w:cstheme="minorHAnsi"/>
                <w:sz w:val="20"/>
                <w:szCs w:val="20"/>
              </w:rPr>
              <w:t>doses,</w:t>
            </w:r>
            <w:r w:rsidRPr="00085017">
              <w:rPr>
                <w:rFonts w:cstheme="minorHAnsi"/>
                <w:sz w:val="20"/>
                <w:szCs w:val="20"/>
              </w:rPr>
              <w:t xml:space="preserve"> 19,000 Australian manufactured AstraZeneca doses</w:t>
            </w:r>
            <w:r w:rsidR="00085017" w:rsidRPr="00085017">
              <w:rPr>
                <w:rFonts w:cstheme="minorHAnsi"/>
                <w:sz w:val="20"/>
                <w:szCs w:val="20"/>
              </w:rPr>
              <w:t>.</w:t>
            </w:r>
            <w:r w:rsidR="001C04DF" w:rsidRPr="00085017" w:rsidDel="001C04DF">
              <w:rPr>
                <w:rFonts w:cstheme="minorHAnsi"/>
                <w:sz w:val="20"/>
                <w:szCs w:val="20"/>
                <w:highlight w:val="yellow"/>
              </w:rPr>
              <w:t xml:space="preserve"> </w:t>
            </w:r>
          </w:p>
        </w:tc>
      </w:tr>
      <w:tr w:rsidR="00730F2A" w14:paraId="386489EF" w14:textId="77777777" w:rsidTr="00C47888">
        <w:tc>
          <w:tcPr>
            <w:tcW w:w="4815" w:type="dxa"/>
          </w:tcPr>
          <w:p w14:paraId="01D17BE1" w14:textId="05D239A7" w:rsidR="00730F2A" w:rsidRPr="00DC72EF" w:rsidRDefault="00730F2A" w:rsidP="00DC72EF">
            <w:pPr>
              <w:spacing w:before="60" w:line="259" w:lineRule="auto"/>
              <w:ind w:left="96"/>
              <w:rPr>
                <w:sz w:val="20"/>
                <w:szCs w:val="20"/>
              </w:rPr>
            </w:pPr>
            <w:r w:rsidRPr="00DC72EF">
              <w:rPr>
                <w:sz w:val="20"/>
                <w:szCs w:val="20"/>
              </w:rPr>
              <w:t>Number of people receiving access to improved WASH facilities</w:t>
            </w:r>
          </w:p>
        </w:tc>
        <w:tc>
          <w:tcPr>
            <w:tcW w:w="5721" w:type="dxa"/>
          </w:tcPr>
          <w:p w14:paraId="6630101A" w14:textId="7864B21C" w:rsidR="00730F2A" w:rsidRPr="00085017" w:rsidRDefault="00730F2A" w:rsidP="00085017">
            <w:pPr>
              <w:suppressAutoHyphens w:val="0"/>
              <w:spacing w:before="60" w:line="259" w:lineRule="auto"/>
              <w:ind w:left="96" w:hanging="3"/>
              <w:rPr>
                <w:sz w:val="20"/>
                <w:szCs w:val="20"/>
              </w:rPr>
            </w:pPr>
            <w:r w:rsidRPr="00085017">
              <w:rPr>
                <w:sz w:val="20"/>
                <w:szCs w:val="20"/>
              </w:rPr>
              <w:t>Australia’s recent investments in WASH ended in June 2021. Data and reporting on new investments will be available in the next reporting period.</w:t>
            </w:r>
          </w:p>
          <w:p w14:paraId="5C8A156B" w14:textId="0BC79EAF" w:rsidR="00730F2A" w:rsidRPr="00085017" w:rsidRDefault="00730F2A" w:rsidP="00085017">
            <w:pPr>
              <w:suppressAutoHyphens w:val="0"/>
              <w:spacing w:before="60" w:line="259" w:lineRule="auto"/>
              <w:ind w:left="96" w:hanging="3"/>
              <w:rPr>
                <w:sz w:val="20"/>
                <w:szCs w:val="20"/>
              </w:rPr>
            </w:pPr>
            <w:r w:rsidRPr="00085017">
              <w:rPr>
                <w:sz w:val="20"/>
                <w:szCs w:val="20"/>
              </w:rPr>
              <w:t xml:space="preserve">New investments include </w:t>
            </w:r>
            <w:r w:rsidR="00085017">
              <w:rPr>
                <w:sz w:val="20"/>
                <w:szCs w:val="20"/>
              </w:rPr>
              <w:t>S</w:t>
            </w:r>
            <w:r w:rsidRPr="00085017">
              <w:rPr>
                <w:sz w:val="20"/>
                <w:szCs w:val="20"/>
              </w:rPr>
              <w:t xml:space="preserve">2m for Australian Humanitarian Partners, </w:t>
            </w:r>
            <w:r w:rsidR="00085017">
              <w:rPr>
                <w:sz w:val="20"/>
                <w:szCs w:val="20"/>
              </w:rPr>
              <w:t>S</w:t>
            </w:r>
            <w:r w:rsidRPr="00085017">
              <w:rPr>
                <w:sz w:val="20"/>
                <w:szCs w:val="20"/>
              </w:rPr>
              <w:t xml:space="preserve">1m for Tongan NGO Live &amp; Learn which focuses on community WASH infrastructure and education, and rehabilitation for vulnerable families. Australia has provided </w:t>
            </w:r>
            <w:r w:rsidR="00C47888" w:rsidRPr="00085017">
              <w:rPr>
                <w:sz w:val="20"/>
                <w:szCs w:val="20"/>
              </w:rPr>
              <w:t>$</w:t>
            </w:r>
            <w:r w:rsidRPr="00085017">
              <w:rPr>
                <w:sz w:val="20"/>
                <w:szCs w:val="20"/>
              </w:rPr>
              <w:t>5m to the World Bank for the Safer Schools program, focussed on school WASH infrastructure.</w:t>
            </w:r>
          </w:p>
        </w:tc>
      </w:tr>
    </w:tbl>
    <w:p w14:paraId="7051D65B" w14:textId="1AC785AA" w:rsidR="00BD0E5D" w:rsidRPr="00D44DA2" w:rsidRDefault="00BD0E5D" w:rsidP="00D74F17">
      <w:pPr>
        <w:keepNext/>
        <w:keepLines/>
        <w:spacing w:before="240" w:after="240" w:line="259" w:lineRule="auto"/>
        <w:outlineLvl w:val="2"/>
        <w:rPr>
          <w:rFonts w:eastAsiaTheme="majorEastAsia" w:cstheme="minorHAnsi"/>
          <w:b/>
          <w:bCs/>
          <w:iCs/>
        </w:rPr>
      </w:pPr>
      <w:r w:rsidRPr="00D44DA2">
        <w:rPr>
          <w:rFonts w:eastAsiaTheme="majorEastAsia" w:cstheme="minorHAnsi"/>
          <w:b/>
          <w:bCs/>
          <w:iCs/>
        </w:rPr>
        <w:lastRenderedPageBreak/>
        <w:t>Stability</w:t>
      </w:r>
    </w:p>
    <w:tbl>
      <w:tblPr>
        <w:tblStyle w:val="TableGrid"/>
        <w:tblW w:w="5000" w:type="pct"/>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Stability "/>
      </w:tblPr>
      <w:tblGrid>
        <w:gridCol w:w="4815"/>
        <w:gridCol w:w="5721"/>
      </w:tblGrid>
      <w:tr w:rsidR="00BD0E5D" w:rsidRPr="00943A8C" w14:paraId="424BC16E" w14:textId="77777777" w:rsidTr="00730F2A">
        <w:trPr>
          <w:trHeight w:val="323"/>
          <w:tblHeader/>
        </w:trPr>
        <w:tc>
          <w:tcPr>
            <w:tcW w:w="2285" w:type="pct"/>
            <w:shd w:val="clear" w:color="auto" w:fill="A2DCD1" w:themeFill="accent1" w:themeFillTint="99"/>
            <w:vAlign w:val="bottom"/>
          </w:tcPr>
          <w:p w14:paraId="0E99488A" w14:textId="77777777" w:rsidR="00BD0E5D" w:rsidRPr="00943A8C" w:rsidRDefault="00BD0E5D" w:rsidP="00BD0E5D">
            <w:pPr>
              <w:widowControl w:val="0"/>
              <w:spacing w:before="0" w:after="0" w:line="240" w:lineRule="auto"/>
              <w:jc w:val="center"/>
              <w:rPr>
                <w:sz w:val="20"/>
                <w:szCs w:val="20"/>
              </w:rPr>
            </w:pPr>
            <w:r w:rsidRPr="00943A8C">
              <w:rPr>
                <w:b/>
                <w:sz w:val="20"/>
                <w:szCs w:val="20"/>
              </w:rPr>
              <w:t>Key Results Indicators</w:t>
            </w:r>
          </w:p>
        </w:tc>
        <w:tc>
          <w:tcPr>
            <w:tcW w:w="2715" w:type="pct"/>
            <w:shd w:val="clear" w:color="auto" w:fill="A2DCD1" w:themeFill="accent1" w:themeFillTint="99"/>
            <w:vAlign w:val="bottom"/>
          </w:tcPr>
          <w:p w14:paraId="298083C4" w14:textId="77777777" w:rsidR="00BD0E5D" w:rsidRPr="00943A8C" w:rsidRDefault="00BD0E5D" w:rsidP="00BD0E5D">
            <w:pPr>
              <w:widowControl w:val="0"/>
              <w:spacing w:before="0" w:after="0" w:line="240" w:lineRule="auto"/>
              <w:jc w:val="center"/>
              <w:rPr>
                <w:sz w:val="20"/>
                <w:szCs w:val="20"/>
              </w:rPr>
            </w:pPr>
            <w:r w:rsidRPr="00943A8C">
              <w:rPr>
                <w:b/>
                <w:sz w:val="20"/>
                <w:szCs w:val="20"/>
              </w:rPr>
              <w:t>Progress/Result</w:t>
            </w:r>
          </w:p>
        </w:tc>
      </w:tr>
      <w:tr w:rsidR="00BD0E5D" w:rsidRPr="00943A8C" w14:paraId="5620CC6D" w14:textId="77777777" w:rsidTr="002C7471">
        <w:trPr>
          <w:tblHeader/>
        </w:trPr>
        <w:tc>
          <w:tcPr>
            <w:tcW w:w="2285" w:type="pct"/>
          </w:tcPr>
          <w:p w14:paraId="6F4880E2" w14:textId="77777777" w:rsidR="00BD0E5D" w:rsidRPr="00DC72EF" w:rsidRDefault="00BD0E5D" w:rsidP="00DC72EF">
            <w:pPr>
              <w:spacing w:before="60"/>
              <w:ind w:left="96"/>
              <w:rPr>
                <w:sz w:val="20"/>
                <w:szCs w:val="20"/>
              </w:rPr>
            </w:pPr>
            <w:r w:rsidRPr="00DC72EF">
              <w:rPr>
                <w:sz w:val="20"/>
                <w:szCs w:val="20"/>
              </w:rPr>
              <w:t>Number of people receiving psychosocial support</w:t>
            </w:r>
          </w:p>
        </w:tc>
        <w:tc>
          <w:tcPr>
            <w:tcW w:w="2715" w:type="pct"/>
            <w:shd w:val="clear" w:color="auto" w:fill="auto"/>
          </w:tcPr>
          <w:p w14:paraId="0827D5B6" w14:textId="6C7CDEB1" w:rsidR="009A459F" w:rsidRPr="00943A8C" w:rsidRDefault="009A459F" w:rsidP="00085017">
            <w:pPr>
              <w:spacing w:before="60"/>
              <w:ind w:left="96"/>
              <w:rPr>
                <w:sz w:val="20"/>
                <w:szCs w:val="20"/>
              </w:rPr>
            </w:pPr>
            <w:r w:rsidRPr="00943A8C">
              <w:rPr>
                <w:sz w:val="20"/>
                <w:szCs w:val="20"/>
              </w:rPr>
              <w:t>Provided funding to the Tonga National Centre for Women and Children (TNCWC) where 301 women sought assistance (July 2021 - March 2022)</w:t>
            </w:r>
            <w:r w:rsidR="00943A8C" w:rsidRPr="00943A8C">
              <w:rPr>
                <w:sz w:val="20"/>
                <w:szCs w:val="20"/>
              </w:rPr>
              <w:t>.</w:t>
            </w:r>
            <w:r w:rsidRPr="00943A8C">
              <w:rPr>
                <w:sz w:val="20"/>
                <w:szCs w:val="20"/>
              </w:rPr>
              <w:t>293 were new clients</w:t>
            </w:r>
            <w:r w:rsidR="00943A8C" w:rsidRPr="00943A8C">
              <w:rPr>
                <w:sz w:val="20"/>
                <w:szCs w:val="20"/>
              </w:rPr>
              <w:t xml:space="preserve"> and </w:t>
            </w:r>
            <w:r w:rsidRPr="00943A8C">
              <w:rPr>
                <w:sz w:val="20"/>
                <w:szCs w:val="20"/>
              </w:rPr>
              <w:t>8 were repeat clients</w:t>
            </w:r>
            <w:r w:rsidR="00943A8C" w:rsidRPr="00943A8C">
              <w:rPr>
                <w:sz w:val="20"/>
                <w:szCs w:val="20"/>
              </w:rPr>
              <w:t xml:space="preserve">. </w:t>
            </w:r>
            <w:r w:rsidRPr="00943A8C">
              <w:rPr>
                <w:sz w:val="20"/>
                <w:szCs w:val="20"/>
              </w:rPr>
              <w:t xml:space="preserve">518 clients sought telephone counselling, with 258 of these clients accessing follow up counselling. </w:t>
            </w:r>
          </w:p>
          <w:p w14:paraId="4B855BD5" w14:textId="068CB1A4" w:rsidR="00BD0E5D" w:rsidRPr="00943A8C" w:rsidRDefault="009A459F" w:rsidP="00085017">
            <w:pPr>
              <w:spacing w:before="60"/>
              <w:ind w:left="96"/>
              <w:rPr>
                <w:sz w:val="20"/>
                <w:szCs w:val="20"/>
              </w:rPr>
            </w:pPr>
            <w:r w:rsidRPr="00943A8C">
              <w:rPr>
                <w:sz w:val="20"/>
                <w:szCs w:val="20"/>
              </w:rPr>
              <w:t xml:space="preserve">Supported 1,644 women and girls to receive counselling services through the </w:t>
            </w:r>
            <w:r w:rsidR="00AA6859" w:rsidRPr="00943A8C">
              <w:rPr>
                <w:sz w:val="20"/>
                <w:szCs w:val="20"/>
              </w:rPr>
              <w:t xml:space="preserve">Tonga </w:t>
            </w:r>
            <w:r w:rsidRPr="00943A8C">
              <w:rPr>
                <w:sz w:val="20"/>
                <w:szCs w:val="20"/>
              </w:rPr>
              <w:t>Women and Children’s Crisis Centre.</w:t>
            </w:r>
          </w:p>
        </w:tc>
      </w:tr>
      <w:tr w:rsidR="00BD0E5D" w:rsidRPr="00943A8C" w14:paraId="5DC48B9B" w14:textId="77777777" w:rsidTr="00E27D4A">
        <w:trPr>
          <w:tblHeader/>
        </w:trPr>
        <w:tc>
          <w:tcPr>
            <w:tcW w:w="2285" w:type="pct"/>
          </w:tcPr>
          <w:p w14:paraId="434F4777" w14:textId="77777777" w:rsidR="00BD0E5D" w:rsidRPr="00DC72EF" w:rsidRDefault="00BD0E5D" w:rsidP="00DC72EF">
            <w:pPr>
              <w:spacing w:before="60"/>
              <w:ind w:left="96"/>
              <w:rPr>
                <w:sz w:val="20"/>
                <w:szCs w:val="20"/>
              </w:rPr>
            </w:pPr>
            <w:r w:rsidRPr="00DC72EF">
              <w:rPr>
                <w:sz w:val="20"/>
                <w:szCs w:val="20"/>
              </w:rPr>
              <w:t xml:space="preserve">Number of women and </w:t>
            </w:r>
            <w:proofErr w:type="gramStart"/>
            <w:r w:rsidRPr="00DC72EF">
              <w:rPr>
                <w:sz w:val="20"/>
                <w:szCs w:val="20"/>
              </w:rPr>
              <w:t>girls</w:t>
            </w:r>
            <w:proofErr w:type="gramEnd"/>
            <w:r w:rsidRPr="00DC72EF">
              <w:rPr>
                <w:sz w:val="20"/>
                <w:szCs w:val="20"/>
              </w:rPr>
              <w:t xml:space="preserve"> survivors of violence receiving quality, appropriate family and sexual violence prevention/support</w:t>
            </w:r>
          </w:p>
        </w:tc>
        <w:tc>
          <w:tcPr>
            <w:tcW w:w="2715" w:type="pct"/>
            <w:shd w:val="clear" w:color="auto" w:fill="auto"/>
          </w:tcPr>
          <w:p w14:paraId="663BC1D5" w14:textId="5E8A3745" w:rsidR="00FA44B2" w:rsidRPr="00943A8C" w:rsidRDefault="00514070" w:rsidP="00085017">
            <w:pPr>
              <w:spacing w:before="60"/>
              <w:ind w:left="96"/>
              <w:rPr>
                <w:sz w:val="20"/>
                <w:szCs w:val="20"/>
              </w:rPr>
            </w:pPr>
            <w:r w:rsidRPr="00943A8C">
              <w:rPr>
                <w:sz w:val="20"/>
                <w:szCs w:val="20"/>
              </w:rPr>
              <w:t xml:space="preserve">Australian funded </w:t>
            </w:r>
            <w:r w:rsidR="0065696B" w:rsidRPr="00943A8C">
              <w:rPr>
                <w:sz w:val="20"/>
                <w:szCs w:val="20"/>
              </w:rPr>
              <w:t xml:space="preserve">counselling and support </w:t>
            </w:r>
            <w:r w:rsidR="00FA44B2" w:rsidRPr="00943A8C">
              <w:rPr>
                <w:sz w:val="20"/>
                <w:szCs w:val="20"/>
              </w:rPr>
              <w:t>services were</w:t>
            </w:r>
            <w:r w:rsidR="001D57A2" w:rsidRPr="00943A8C">
              <w:rPr>
                <w:sz w:val="20"/>
                <w:szCs w:val="20"/>
              </w:rPr>
              <w:t xml:space="preserve"> provided to 1,474 women. Of this number, 270 were referred to other support services and centres. </w:t>
            </w:r>
            <w:r w:rsidR="0015218A" w:rsidRPr="0015218A">
              <w:rPr>
                <w:sz w:val="20"/>
                <w:szCs w:val="20"/>
              </w:rPr>
              <w:t xml:space="preserve">Police Safety Order </w:t>
            </w:r>
            <w:r w:rsidR="00DF22D4" w:rsidRPr="0015218A">
              <w:rPr>
                <w:sz w:val="20"/>
                <w:szCs w:val="20"/>
              </w:rPr>
              <w:t>(</w:t>
            </w:r>
            <w:r w:rsidR="0015218A" w:rsidRPr="0015218A">
              <w:rPr>
                <w:sz w:val="20"/>
                <w:szCs w:val="20"/>
              </w:rPr>
              <w:t>PS</w:t>
            </w:r>
            <w:r w:rsidR="00DF22D4" w:rsidRPr="0015218A">
              <w:rPr>
                <w:sz w:val="20"/>
                <w:szCs w:val="20"/>
              </w:rPr>
              <w:t xml:space="preserve">Os) </w:t>
            </w:r>
            <w:r w:rsidR="00DF22D4">
              <w:rPr>
                <w:sz w:val="20"/>
                <w:szCs w:val="20"/>
              </w:rPr>
              <w:t xml:space="preserve">were issued in </w:t>
            </w:r>
            <w:r w:rsidR="001D57A2" w:rsidRPr="00943A8C">
              <w:rPr>
                <w:sz w:val="20"/>
                <w:szCs w:val="20"/>
              </w:rPr>
              <w:t xml:space="preserve">452 </w:t>
            </w:r>
            <w:r w:rsidR="00DF22D4">
              <w:rPr>
                <w:sz w:val="20"/>
                <w:szCs w:val="20"/>
              </w:rPr>
              <w:t xml:space="preserve">instances, </w:t>
            </w:r>
            <w:r w:rsidR="001D57A2" w:rsidRPr="00943A8C">
              <w:rPr>
                <w:sz w:val="20"/>
                <w:szCs w:val="20"/>
              </w:rPr>
              <w:t xml:space="preserve">and of </w:t>
            </w:r>
            <w:r w:rsidR="00DF22D4" w:rsidRPr="00943A8C">
              <w:rPr>
                <w:sz w:val="20"/>
                <w:szCs w:val="20"/>
              </w:rPr>
              <w:t>th</w:t>
            </w:r>
            <w:r w:rsidR="00DF22D4">
              <w:rPr>
                <w:sz w:val="20"/>
                <w:szCs w:val="20"/>
              </w:rPr>
              <w:t>ose</w:t>
            </w:r>
            <w:r w:rsidR="001D57A2" w:rsidRPr="00943A8C">
              <w:rPr>
                <w:sz w:val="20"/>
                <w:szCs w:val="20"/>
              </w:rPr>
              <w:t xml:space="preserve"> 235 were prosecuted.</w:t>
            </w:r>
          </w:p>
          <w:p w14:paraId="53758036" w14:textId="7537D115" w:rsidR="00BD0E5D" w:rsidRPr="00943A8C" w:rsidRDefault="001D57A2" w:rsidP="00085017">
            <w:pPr>
              <w:spacing w:before="60"/>
              <w:ind w:left="96"/>
              <w:rPr>
                <w:sz w:val="20"/>
                <w:szCs w:val="20"/>
              </w:rPr>
            </w:pPr>
            <w:r w:rsidRPr="00943A8C">
              <w:rPr>
                <w:sz w:val="20"/>
                <w:szCs w:val="20"/>
              </w:rPr>
              <w:t xml:space="preserve">From January to June 2022, 147 clients accessed free legal services from the Family Protection Legal Aid Centre. Disaggregated data will be reported over the next twelve months. </w:t>
            </w:r>
          </w:p>
        </w:tc>
      </w:tr>
      <w:tr w:rsidR="00BD0E5D" w:rsidRPr="00943A8C" w14:paraId="21C09E00" w14:textId="77777777" w:rsidTr="00EE1701">
        <w:trPr>
          <w:tblHeader/>
        </w:trPr>
        <w:tc>
          <w:tcPr>
            <w:tcW w:w="2285" w:type="pct"/>
          </w:tcPr>
          <w:p w14:paraId="582C9A0A" w14:textId="77777777" w:rsidR="00BD0E5D" w:rsidRPr="00DC72EF" w:rsidRDefault="00BD0E5D" w:rsidP="00DC72EF">
            <w:pPr>
              <w:spacing w:before="60"/>
              <w:ind w:left="96"/>
              <w:rPr>
                <w:sz w:val="20"/>
                <w:szCs w:val="20"/>
              </w:rPr>
            </w:pPr>
            <w:r w:rsidRPr="00DC72EF">
              <w:rPr>
                <w:sz w:val="20"/>
                <w:szCs w:val="20"/>
              </w:rPr>
              <w:t xml:space="preserve">Number of communities receiving training to increase food security </w:t>
            </w:r>
          </w:p>
        </w:tc>
        <w:tc>
          <w:tcPr>
            <w:tcW w:w="2715" w:type="pct"/>
          </w:tcPr>
          <w:p w14:paraId="3868CC1F" w14:textId="5CD1C949" w:rsidR="00364E3F" w:rsidRPr="00943A8C" w:rsidRDefault="00364E3F" w:rsidP="00085017">
            <w:pPr>
              <w:spacing w:before="60"/>
              <w:ind w:left="96"/>
              <w:rPr>
                <w:sz w:val="20"/>
                <w:szCs w:val="20"/>
              </w:rPr>
            </w:pPr>
            <w:r w:rsidRPr="00943A8C">
              <w:rPr>
                <w:sz w:val="20"/>
                <w:szCs w:val="20"/>
              </w:rPr>
              <w:t xml:space="preserve">Through the PIRAS and PHAMA Plus programs, 99 communities have received support such as land preparation and planting materials, contributing to sustainable food and nutritional security. </w:t>
            </w:r>
          </w:p>
          <w:p w14:paraId="221F31A7" w14:textId="705B2C66" w:rsidR="00BD0E5D" w:rsidRPr="00943A8C" w:rsidRDefault="00FA203C" w:rsidP="00085017">
            <w:pPr>
              <w:spacing w:before="60"/>
              <w:ind w:left="96"/>
              <w:rPr>
                <w:sz w:val="20"/>
                <w:szCs w:val="20"/>
              </w:rPr>
            </w:pPr>
            <w:r w:rsidRPr="00943A8C">
              <w:rPr>
                <w:sz w:val="20"/>
                <w:szCs w:val="20"/>
              </w:rPr>
              <w:t>Australian support is also providing technical support to farmers to increase their root crop production and fruit and vegetable yields.</w:t>
            </w:r>
          </w:p>
        </w:tc>
      </w:tr>
      <w:tr w:rsidR="00BD0E5D" w:rsidRPr="00943A8C" w14:paraId="75EF5550" w14:textId="77777777" w:rsidTr="00E27D4A">
        <w:trPr>
          <w:tblHeader/>
        </w:trPr>
        <w:tc>
          <w:tcPr>
            <w:tcW w:w="2285" w:type="pct"/>
          </w:tcPr>
          <w:p w14:paraId="757A20AA" w14:textId="77777777" w:rsidR="00BD0E5D" w:rsidRPr="00DC72EF" w:rsidRDefault="00BD0E5D" w:rsidP="00DC72EF">
            <w:pPr>
              <w:spacing w:before="60"/>
              <w:ind w:left="96"/>
              <w:rPr>
                <w:sz w:val="20"/>
                <w:szCs w:val="20"/>
              </w:rPr>
            </w:pPr>
            <w:r w:rsidRPr="00DC72EF">
              <w:rPr>
                <w:sz w:val="20"/>
                <w:szCs w:val="20"/>
              </w:rPr>
              <w:t>Numbers reached with new or improved social protection programs, including remote communities</w:t>
            </w:r>
          </w:p>
        </w:tc>
        <w:tc>
          <w:tcPr>
            <w:tcW w:w="2715" w:type="pct"/>
          </w:tcPr>
          <w:p w14:paraId="6111A09B" w14:textId="059E955F" w:rsidR="00E935FC" w:rsidRPr="00943A8C" w:rsidRDefault="00726FA4" w:rsidP="00085017">
            <w:pPr>
              <w:spacing w:before="60"/>
              <w:ind w:left="96"/>
              <w:rPr>
                <w:sz w:val="20"/>
                <w:szCs w:val="20"/>
              </w:rPr>
            </w:pPr>
            <w:r w:rsidRPr="00943A8C">
              <w:rPr>
                <w:sz w:val="20"/>
                <w:szCs w:val="20"/>
              </w:rPr>
              <w:t xml:space="preserve">We </w:t>
            </w:r>
            <w:r w:rsidR="004A2312" w:rsidRPr="00943A8C">
              <w:rPr>
                <w:sz w:val="20"/>
                <w:szCs w:val="20"/>
              </w:rPr>
              <w:t xml:space="preserve">supported </w:t>
            </w:r>
            <w:proofErr w:type="spellStart"/>
            <w:r w:rsidR="004A2312" w:rsidRPr="00943A8C">
              <w:rPr>
                <w:sz w:val="20"/>
                <w:szCs w:val="20"/>
              </w:rPr>
              <w:t>GoT’s</w:t>
            </w:r>
            <w:proofErr w:type="spellEnd"/>
            <w:r w:rsidR="00E935FC" w:rsidRPr="00943A8C">
              <w:rPr>
                <w:sz w:val="20"/>
                <w:szCs w:val="20"/>
              </w:rPr>
              <w:t xml:space="preserve"> Elderly and Disabled Welfare Scheme where beneficiaries received a one-off</w:t>
            </w:r>
            <w:r w:rsidR="00E27D4A" w:rsidRPr="00943A8C">
              <w:rPr>
                <w:sz w:val="20"/>
                <w:szCs w:val="20"/>
              </w:rPr>
              <w:t xml:space="preserve"> </w:t>
            </w:r>
            <w:r w:rsidR="00E935FC" w:rsidRPr="00943A8C">
              <w:rPr>
                <w:sz w:val="20"/>
                <w:szCs w:val="20"/>
              </w:rPr>
              <w:t xml:space="preserve">100 </w:t>
            </w:r>
            <w:r w:rsidR="00721B92" w:rsidRPr="00943A8C">
              <w:rPr>
                <w:sz w:val="20"/>
                <w:szCs w:val="20"/>
              </w:rPr>
              <w:t xml:space="preserve">Tongan </w:t>
            </w:r>
            <w:r w:rsidR="007B6AEA" w:rsidRPr="00943A8C">
              <w:rPr>
                <w:sz w:val="20"/>
                <w:szCs w:val="20"/>
              </w:rPr>
              <w:t xml:space="preserve">pa’anga </w:t>
            </w:r>
            <w:r w:rsidR="00A2119D">
              <w:rPr>
                <w:sz w:val="20"/>
                <w:szCs w:val="20"/>
              </w:rPr>
              <w:t>(</w:t>
            </w:r>
            <w:r w:rsidR="00085017">
              <w:rPr>
                <w:sz w:val="20"/>
                <w:szCs w:val="20"/>
              </w:rPr>
              <w:t>$</w:t>
            </w:r>
            <w:r w:rsidR="00A2119D">
              <w:rPr>
                <w:sz w:val="20"/>
                <w:szCs w:val="20"/>
              </w:rPr>
              <w:t xml:space="preserve">64) </w:t>
            </w:r>
            <w:r w:rsidR="00E935FC" w:rsidRPr="00943A8C">
              <w:rPr>
                <w:sz w:val="20"/>
                <w:szCs w:val="20"/>
              </w:rPr>
              <w:t>payment during the national lockdown. 4,563 beneficiaries of the elderly welfare scheme and 2,076 beneficiaries of the disabled welfare scheme received this support.</w:t>
            </w:r>
          </w:p>
          <w:p w14:paraId="69442293" w14:textId="4A13A653" w:rsidR="000D1FAB" w:rsidRPr="00943A8C" w:rsidRDefault="008E1986" w:rsidP="00085017">
            <w:pPr>
              <w:spacing w:before="60"/>
              <w:ind w:left="96"/>
              <w:rPr>
                <w:sz w:val="20"/>
                <w:szCs w:val="20"/>
              </w:rPr>
            </w:pPr>
            <w:r w:rsidRPr="00943A8C">
              <w:rPr>
                <w:sz w:val="20"/>
                <w:szCs w:val="20"/>
              </w:rPr>
              <w:t xml:space="preserve">Australian funded support </w:t>
            </w:r>
            <w:r w:rsidR="00E935FC" w:rsidRPr="00943A8C">
              <w:rPr>
                <w:sz w:val="20"/>
                <w:szCs w:val="20"/>
              </w:rPr>
              <w:t>was able to extend provision of aged care services in the outer islands of ‘</w:t>
            </w:r>
            <w:proofErr w:type="spellStart"/>
            <w:r w:rsidR="00E935FC" w:rsidRPr="00943A8C">
              <w:rPr>
                <w:sz w:val="20"/>
                <w:szCs w:val="20"/>
              </w:rPr>
              <w:t>Eua</w:t>
            </w:r>
            <w:proofErr w:type="spellEnd"/>
            <w:r w:rsidR="00E935FC" w:rsidRPr="00943A8C">
              <w:rPr>
                <w:sz w:val="20"/>
                <w:szCs w:val="20"/>
              </w:rPr>
              <w:t xml:space="preserve"> and </w:t>
            </w:r>
            <w:proofErr w:type="spellStart"/>
            <w:r w:rsidR="00E935FC" w:rsidRPr="00943A8C">
              <w:rPr>
                <w:sz w:val="20"/>
                <w:szCs w:val="20"/>
              </w:rPr>
              <w:t>Ha’apai</w:t>
            </w:r>
            <w:proofErr w:type="spellEnd"/>
            <w:r w:rsidR="00E935FC" w:rsidRPr="00943A8C">
              <w:rPr>
                <w:sz w:val="20"/>
                <w:szCs w:val="20"/>
              </w:rPr>
              <w:t xml:space="preserve"> to an additional 120 clients</w:t>
            </w:r>
            <w:r w:rsidR="008A6DDA" w:rsidRPr="00943A8C">
              <w:rPr>
                <w:sz w:val="20"/>
                <w:szCs w:val="20"/>
              </w:rPr>
              <w:t xml:space="preserve"> </w:t>
            </w:r>
            <w:r w:rsidR="0010438D" w:rsidRPr="00943A8C">
              <w:rPr>
                <w:sz w:val="20"/>
                <w:szCs w:val="20"/>
              </w:rPr>
              <w:t xml:space="preserve">including </w:t>
            </w:r>
            <w:r w:rsidR="00E935FC" w:rsidRPr="00943A8C">
              <w:rPr>
                <w:sz w:val="20"/>
                <w:szCs w:val="20"/>
              </w:rPr>
              <w:t>home visits to these clients once a week and ensuring the basic needs of its elderly clients are met. </w:t>
            </w:r>
          </w:p>
        </w:tc>
      </w:tr>
    </w:tbl>
    <w:p w14:paraId="5F6E1660" w14:textId="36EA8CC8" w:rsidR="00BD0E5D" w:rsidRPr="00D44DA2" w:rsidRDefault="00BD0E5D" w:rsidP="00D74F17">
      <w:pPr>
        <w:keepNext/>
        <w:keepLines/>
        <w:spacing w:before="240" w:after="240" w:line="259" w:lineRule="auto"/>
        <w:outlineLvl w:val="2"/>
        <w:rPr>
          <w:rFonts w:eastAsiaTheme="majorEastAsia" w:cstheme="minorHAnsi"/>
          <w:b/>
          <w:bCs/>
          <w:iCs/>
        </w:rPr>
      </w:pPr>
      <w:r w:rsidRPr="00D44DA2">
        <w:rPr>
          <w:rFonts w:eastAsiaTheme="majorEastAsia" w:cstheme="minorHAnsi"/>
          <w:b/>
          <w:bCs/>
          <w:iCs/>
        </w:rPr>
        <w:t>Economic Recovery</w:t>
      </w:r>
    </w:p>
    <w:tbl>
      <w:tblPr>
        <w:tblStyle w:val="TableGrid"/>
        <w:tblW w:w="4954" w:type="pct"/>
        <w:tblLook w:val="04A0" w:firstRow="1" w:lastRow="0" w:firstColumn="1" w:lastColumn="0" w:noHBand="0" w:noVBand="1"/>
        <w:tblCaption w:val="Progress against performance indicators"/>
        <w:tblDescription w:val="This table shows the progress made against key indicators for economic recovery"/>
      </w:tblPr>
      <w:tblGrid>
        <w:gridCol w:w="4771"/>
        <w:gridCol w:w="5668"/>
      </w:tblGrid>
      <w:tr w:rsidR="00730F2A" w:rsidRPr="00BD0E5D" w14:paraId="210A908D" w14:textId="77777777" w:rsidTr="002F1F6E">
        <w:trPr>
          <w:trHeight w:val="485"/>
        </w:trPr>
        <w:tc>
          <w:tcPr>
            <w:tcW w:w="2285" w:type="pct"/>
            <w:tcBorders>
              <w:top w:val="single" w:sz="4" w:space="0" w:color="3DA18F" w:themeColor="accent1" w:themeShade="BF"/>
              <w:left w:val="single" w:sz="4" w:space="0" w:color="3DA18F" w:themeColor="accent1" w:themeShade="BF"/>
              <w:bottom w:val="single" w:sz="4" w:space="0" w:color="3DA18F" w:themeColor="accent1" w:themeShade="BF"/>
              <w:right w:val="single" w:sz="4" w:space="0" w:color="3DA18F" w:themeColor="accent1" w:themeShade="BF"/>
            </w:tcBorders>
            <w:shd w:val="clear" w:color="auto" w:fill="A2DCD1" w:themeFill="accent1" w:themeFillTint="99"/>
            <w:vAlign w:val="center"/>
          </w:tcPr>
          <w:p w14:paraId="3F995258" w14:textId="77777777" w:rsidR="00730F2A" w:rsidRPr="00BD0E5D" w:rsidRDefault="00730F2A" w:rsidP="00730F2A">
            <w:pPr>
              <w:widowControl w:val="0"/>
              <w:spacing w:before="0" w:after="0" w:line="240" w:lineRule="auto"/>
              <w:jc w:val="center"/>
              <w:rPr>
                <w:sz w:val="20"/>
                <w:szCs w:val="20"/>
              </w:rPr>
            </w:pPr>
            <w:r w:rsidRPr="00BD0E5D">
              <w:rPr>
                <w:b/>
                <w:sz w:val="20"/>
                <w:szCs w:val="20"/>
              </w:rPr>
              <w:t>Key Results Indicators</w:t>
            </w:r>
          </w:p>
        </w:tc>
        <w:tc>
          <w:tcPr>
            <w:tcW w:w="2715" w:type="pct"/>
            <w:tcBorders>
              <w:top w:val="single" w:sz="4" w:space="0" w:color="3DA18F" w:themeColor="accent1" w:themeShade="BF"/>
              <w:left w:val="single" w:sz="4" w:space="0" w:color="3DA18F" w:themeColor="accent1" w:themeShade="BF"/>
              <w:bottom w:val="single" w:sz="4" w:space="0" w:color="3DA18F" w:themeColor="accent1" w:themeShade="BF"/>
              <w:right w:val="single" w:sz="4" w:space="0" w:color="3DA18F" w:themeColor="accent1" w:themeShade="BF"/>
            </w:tcBorders>
            <w:shd w:val="clear" w:color="auto" w:fill="A2DCD1" w:themeFill="accent1" w:themeFillTint="99"/>
            <w:vAlign w:val="center"/>
          </w:tcPr>
          <w:p w14:paraId="77F8DB86" w14:textId="77777777" w:rsidR="00730F2A" w:rsidRPr="00BD0E5D" w:rsidRDefault="00730F2A" w:rsidP="00730F2A">
            <w:pPr>
              <w:widowControl w:val="0"/>
              <w:spacing w:before="0" w:after="0" w:line="240" w:lineRule="auto"/>
              <w:jc w:val="center"/>
              <w:rPr>
                <w:sz w:val="20"/>
                <w:szCs w:val="20"/>
              </w:rPr>
            </w:pPr>
            <w:r w:rsidRPr="00BD0E5D">
              <w:rPr>
                <w:b/>
                <w:sz w:val="20"/>
                <w:szCs w:val="20"/>
              </w:rPr>
              <w:t>Progress/Result</w:t>
            </w:r>
          </w:p>
        </w:tc>
      </w:tr>
      <w:tr w:rsidR="00730F2A" w:rsidRPr="00BD0E5D" w14:paraId="19BD0EBE" w14:textId="77777777" w:rsidTr="00C47888">
        <w:trPr>
          <w:trHeight w:val="1163"/>
        </w:trPr>
        <w:tc>
          <w:tcPr>
            <w:tcW w:w="2285" w:type="pct"/>
            <w:tcBorders>
              <w:top w:val="single" w:sz="4" w:space="0" w:color="3DA18F" w:themeColor="accent1" w:themeShade="BF"/>
              <w:left w:val="single" w:sz="4" w:space="0" w:color="3DA18F" w:themeColor="accent1" w:themeShade="BF"/>
              <w:bottom w:val="single" w:sz="4" w:space="0" w:color="3DA18F" w:themeColor="accent1" w:themeShade="BF"/>
              <w:right w:val="single" w:sz="4" w:space="0" w:color="3DA18F" w:themeColor="accent1" w:themeShade="BF"/>
            </w:tcBorders>
          </w:tcPr>
          <w:p w14:paraId="2D584837" w14:textId="2859CBE9" w:rsidR="00730F2A" w:rsidRPr="00DC72EF" w:rsidRDefault="00730F2A" w:rsidP="00DC72EF">
            <w:pPr>
              <w:spacing w:before="60" w:line="259" w:lineRule="auto"/>
              <w:ind w:left="96"/>
              <w:rPr>
                <w:sz w:val="20"/>
                <w:szCs w:val="20"/>
              </w:rPr>
            </w:pPr>
            <w:r w:rsidRPr="00DC72EF">
              <w:rPr>
                <w:sz w:val="20"/>
                <w:szCs w:val="20"/>
              </w:rPr>
              <w:t>Australian budget support as a percentage of supplementary budget expenditure in response to COVID-19*</w:t>
            </w:r>
          </w:p>
        </w:tc>
        <w:tc>
          <w:tcPr>
            <w:tcW w:w="2715" w:type="pct"/>
            <w:tcBorders>
              <w:top w:val="single" w:sz="4" w:space="0" w:color="3DA18F" w:themeColor="accent1" w:themeShade="BF"/>
              <w:left w:val="single" w:sz="4" w:space="0" w:color="3DA18F" w:themeColor="accent1" w:themeShade="BF"/>
              <w:bottom w:val="single" w:sz="4" w:space="0" w:color="3DA18F" w:themeColor="accent1" w:themeShade="BF"/>
              <w:right w:val="single" w:sz="4" w:space="0" w:color="3DA18F" w:themeColor="accent1" w:themeShade="BF"/>
            </w:tcBorders>
          </w:tcPr>
          <w:p w14:paraId="54674B35" w14:textId="2FD517A8" w:rsidR="00730F2A" w:rsidRPr="00BB6230" w:rsidRDefault="00730F2A" w:rsidP="00DC72EF">
            <w:pPr>
              <w:spacing w:before="60" w:line="259" w:lineRule="auto"/>
              <w:ind w:left="96"/>
              <w:rPr>
                <w:sz w:val="20"/>
                <w:szCs w:val="20"/>
              </w:rPr>
            </w:pPr>
            <w:r>
              <w:rPr>
                <w:sz w:val="20"/>
                <w:szCs w:val="20"/>
              </w:rPr>
              <w:t xml:space="preserve">Australian budget support for COVID-19 response </w:t>
            </w:r>
            <w:r w:rsidR="0025071B">
              <w:rPr>
                <w:sz w:val="20"/>
                <w:szCs w:val="20"/>
              </w:rPr>
              <w:t>and for HTHH</w:t>
            </w:r>
            <w:r w:rsidR="00C826D9">
              <w:rPr>
                <w:sz w:val="20"/>
                <w:szCs w:val="20"/>
              </w:rPr>
              <w:t xml:space="preserve"> recovery and reconstruction </w:t>
            </w:r>
            <w:r>
              <w:rPr>
                <w:sz w:val="20"/>
                <w:szCs w:val="20"/>
              </w:rPr>
              <w:t xml:space="preserve">was </w:t>
            </w:r>
            <w:r w:rsidR="00085017">
              <w:rPr>
                <w:sz w:val="20"/>
                <w:szCs w:val="20"/>
              </w:rPr>
              <w:t>$</w:t>
            </w:r>
            <w:r w:rsidR="00C0754A">
              <w:rPr>
                <w:sz w:val="20"/>
                <w:szCs w:val="20"/>
              </w:rPr>
              <w:t>2</w:t>
            </w:r>
            <w:r w:rsidR="008D19DE">
              <w:rPr>
                <w:sz w:val="20"/>
                <w:szCs w:val="20"/>
              </w:rPr>
              <w:t>4.2</w:t>
            </w:r>
            <w:r w:rsidR="00B41189">
              <w:rPr>
                <w:sz w:val="20"/>
                <w:szCs w:val="20"/>
              </w:rPr>
              <w:t> </w:t>
            </w:r>
            <w:r w:rsidR="00C0754A">
              <w:rPr>
                <w:sz w:val="20"/>
                <w:szCs w:val="20"/>
              </w:rPr>
              <w:t>million, or</w:t>
            </w:r>
            <w:r w:rsidR="00A2119D">
              <w:rPr>
                <w:sz w:val="20"/>
                <w:szCs w:val="20"/>
              </w:rPr>
              <w:t xml:space="preserve"> </w:t>
            </w:r>
            <w:r w:rsidR="00B41189">
              <w:rPr>
                <w:sz w:val="20"/>
                <w:szCs w:val="20"/>
              </w:rPr>
              <w:t xml:space="preserve">14.5 </w:t>
            </w:r>
            <w:r w:rsidR="00A2119D">
              <w:rPr>
                <w:sz w:val="20"/>
                <w:szCs w:val="20"/>
              </w:rPr>
              <w:t xml:space="preserve">per cent </w:t>
            </w:r>
            <w:r>
              <w:rPr>
                <w:sz w:val="20"/>
                <w:szCs w:val="20"/>
              </w:rPr>
              <w:t xml:space="preserve">of Tonga’s domestic revenue. </w:t>
            </w:r>
          </w:p>
        </w:tc>
      </w:tr>
      <w:tr w:rsidR="00730F2A" w:rsidRPr="00BD0E5D" w14:paraId="45049AA4" w14:textId="77777777" w:rsidTr="002F1F6E">
        <w:trPr>
          <w:trHeight w:val="1105"/>
        </w:trPr>
        <w:tc>
          <w:tcPr>
            <w:tcW w:w="2285" w:type="pct"/>
            <w:tcBorders>
              <w:top w:val="single" w:sz="4" w:space="0" w:color="3DA18F" w:themeColor="accent1" w:themeShade="BF"/>
              <w:left w:val="single" w:sz="4" w:space="0" w:color="3DA18F" w:themeColor="accent1" w:themeShade="BF"/>
              <w:bottom w:val="single" w:sz="4" w:space="0" w:color="3DA18F" w:themeColor="accent1" w:themeShade="BF"/>
              <w:right w:val="single" w:sz="4" w:space="0" w:color="3DA18F" w:themeColor="accent1" w:themeShade="BF"/>
            </w:tcBorders>
          </w:tcPr>
          <w:p w14:paraId="04EB4460" w14:textId="77777777" w:rsidR="00730F2A" w:rsidRPr="00DC72EF" w:rsidRDefault="00730F2A" w:rsidP="00DC72EF">
            <w:pPr>
              <w:spacing w:before="60" w:line="259" w:lineRule="auto"/>
              <w:ind w:left="96"/>
              <w:rPr>
                <w:sz w:val="20"/>
                <w:szCs w:val="20"/>
              </w:rPr>
            </w:pPr>
            <w:r w:rsidRPr="00DC72EF">
              <w:rPr>
                <w:sz w:val="20"/>
                <w:szCs w:val="20"/>
              </w:rPr>
              <w:t>Number of women and girls who have increased access to economic opportunities</w:t>
            </w:r>
          </w:p>
        </w:tc>
        <w:tc>
          <w:tcPr>
            <w:tcW w:w="2715" w:type="pct"/>
            <w:tcBorders>
              <w:top w:val="single" w:sz="4" w:space="0" w:color="3DA18F" w:themeColor="accent1" w:themeShade="BF"/>
              <w:left w:val="single" w:sz="4" w:space="0" w:color="3DA18F" w:themeColor="accent1" w:themeShade="BF"/>
              <w:bottom w:val="single" w:sz="4" w:space="0" w:color="3DA18F" w:themeColor="accent1" w:themeShade="BF"/>
              <w:right w:val="single" w:sz="4" w:space="0" w:color="3DA18F" w:themeColor="accent1" w:themeShade="BF"/>
            </w:tcBorders>
          </w:tcPr>
          <w:p w14:paraId="50AAD6F0" w14:textId="11E84BE7" w:rsidR="00730F2A" w:rsidRPr="00943A8C" w:rsidRDefault="00730F2A" w:rsidP="00DC72EF">
            <w:pPr>
              <w:spacing w:before="60" w:line="259" w:lineRule="auto"/>
              <w:ind w:left="96"/>
              <w:rPr>
                <w:sz w:val="20"/>
                <w:szCs w:val="20"/>
              </w:rPr>
            </w:pPr>
            <w:r w:rsidRPr="00943A8C">
              <w:rPr>
                <w:sz w:val="20"/>
                <w:szCs w:val="20"/>
              </w:rPr>
              <w:t xml:space="preserve">A total of 782 Tongan women directly benefited from participation in Pacific </w:t>
            </w:r>
            <w:r w:rsidR="00A2119D">
              <w:rPr>
                <w:sz w:val="20"/>
                <w:szCs w:val="20"/>
              </w:rPr>
              <w:t>l</w:t>
            </w:r>
            <w:r w:rsidR="00A2119D" w:rsidRPr="00943A8C">
              <w:rPr>
                <w:sz w:val="20"/>
                <w:szCs w:val="20"/>
              </w:rPr>
              <w:t xml:space="preserve">abour </w:t>
            </w:r>
            <w:r w:rsidR="00A2119D">
              <w:rPr>
                <w:sz w:val="20"/>
                <w:szCs w:val="20"/>
              </w:rPr>
              <w:t xml:space="preserve">mobility </w:t>
            </w:r>
            <w:r w:rsidRPr="00943A8C">
              <w:rPr>
                <w:sz w:val="20"/>
                <w:szCs w:val="20"/>
              </w:rPr>
              <w:t>schemes. Further Australian funded support provided improved access to learning and skills training.</w:t>
            </w:r>
          </w:p>
        </w:tc>
      </w:tr>
      <w:tr w:rsidR="00730F2A" w:rsidRPr="00BD0E5D" w14:paraId="5E5B4A9C" w14:textId="77777777" w:rsidTr="002F1F6E">
        <w:trPr>
          <w:trHeight w:val="1613"/>
        </w:trPr>
        <w:tc>
          <w:tcPr>
            <w:tcW w:w="2285" w:type="pct"/>
            <w:tcBorders>
              <w:top w:val="single" w:sz="4" w:space="0" w:color="3DA18F" w:themeColor="accent1" w:themeShade="BF"/>
              <w:left w:val="single" w:sz="4" w:space="0" w:color="3DA18F" w:themeColor="accent1" w:themeShade="BF"/>
              <w:bottom w:val="single" w:sz="4" w:space="0" w:color="3DA18F" w:themeColor="accent1" w:themeShade="BF"/>
              <w:right w:val="single" w:sz="4" w:space="0" w:color="3DA18F" w:themeColor="accent1" w:themeShade="BF"/>
            </w:tcBorders>
          </w:tcPr>
          <w:p w14:paraId="5CAD5D2B" w14:textId="77777777" w:rsidR="00730F2A" w:rsidRPr="00DC72EF" w:rsidRDefault="00730F2A" w:rsidP="00DC72EF">
            <w:pPr>
              <w:spacing w:before="60" w:line="259" w:lineRule="auto"/>
              <w:ind w:left="96"/>
              <w:rPr>
                <w:sz w:val="20"/>
                <w:szCs w:val="20"/>
              </w:rPr>
            </w:pPr>
            <w:r w:rsidRPr="00DC72EF">
              <w:rPr>
                <w:sz w:val="20"/>
                <w:szCs w:val="20"/>
              </w:rPr>
              <w:lastRenderedPageBreak/>
              <w:t xml:space="preserve">Number of </w:t>
            </w:r>
            <w:proofErr w:type="gramStart"/>
            <w:r w:rsidRPr="00DC72EF">
              <w:rPr>
                <w:sz w:val="20"/>
                <w:szCs w:val="20"/>
              </w:rPr>
              <w:t>micro</w:t>
            </w:r>
            <w:proofErr w:type="gramEnd"/>
            <w:r w:rsidRPr="00DC72EF">
              <w:rPr>
                <w:sz w:val="20"/>
                <w:szCs w:val="20"/>
              </w:rPr>
              <w:t>, small and medium enterprises and members of cooperatives accessing financial assistance</w:t>
            </w:r>
          </w:p>
        </w:tc>
        <w:tc>
          <w:tcPr>
            <w:tcW w:w="2715" w:type="pct"/>
            <w:tcBorders>
              <w:top w:val="single" w:sz="4" w:space="0" w:color="3DA18F" w:themeColor="accent1" w:themeShade="BF"/>
              <w:left w:val="single" w:sz="4" w:space="0" w:color="3DA18F" w:themeColor="accent1" w:themeShade="BF"/>
              <w:bottom w:val="single" w:sz="4" w:space="0" w:color="3DA18F" w:themeColor="accent1" w:themeShade="BF"/>
              <w:right w:val="single" w:sz="4" w:space="0" w:color="3DA18F" w:themeColor="accent1" w:themeShade="BF"/>
            </w:tcBorders>
          </w:tcPr>
          <w:p w14:paraId="74FB0E2A" w14:textId="4C395B27" w:rsidR="00730F2A" w:rsidRPr="00943A8C" w:rsidRDefault="00730F2A" w:rsidP="00DC72EF">
            <w:pPr>
              <w:spacing w:before="60" w:line="259" w:lineRule="auto"/>
              <w:ind w:left="96"/>
              <w:rPr>
                <w:sz w:val="20"/>
                <w:szCs w:val="20"/>
              </w:rPr>
            </w:pPr>
            <w:r>
              <w:rPr>
                <w:sz w:val="20"/>
                <w:szCs w:val="20"/>
              </w:rPr>
              <w:t>Australia</w:t>
            </w:r>
            <w:r w:rsidR="00A2119D">
              <w:rPr>
                <w:sz w:val="20"/>
                <w:szCs w:val="20"/>
              </w:rPr>
              <w:t>n</w:t>
            </w:r>
            <w:r>
              <w:rPr>
                <w:sz w:val="20"/>
                <w:szCs w:val="20"/>
              </w:rPr>
              <w:t xml:space="preserve"> budget support of </w:t>
            </w:r>
            <w:r w:rsidR="00085017">
              <w:rPr>
                <w:sz w:val="20"/>
                <w:szCs w:val="20"/>
              </w:rPr>
              <w:t>$</w:t>
            </w:r>
            <w:r>
              <w:rPr>
                <w:sz w:val="20"/>
                <w:szCs w:val="20"/>
              </w:rPr>
              <w:t>5</w:t>
            </w:r>
            <w:r w:rsidR="000F1A82">
              <w:rPr>
                <w:sz w:val="20"/>
                <w:szCs w:val="20"/>
              </w:rPr>
              <w:t xml:space="preserve"> </w:t>
            </w:r>
            <w:r>
              <w:rPr>
                <w:sz w:val="20"/>
                <w:szCs w:val="20"/>
              </w:rPr>
              <w:t xml:space="preserve">million, enabled </w:t>
            </w:r>
            <w:proofErr w:type="spellStart"/>
            <w:r>
              <w:rPr>
                <w:sz w:val="20"/>
                <w:szCs w:val="20"/>
              </w:rPr>
              <w:t>GoT</w:t>
            </w:r>
            <w:proofErr w:type="spellEnd"/>
            <w:r>
              <w:rPr>
                <w:sz w:val="20"/>
                <w:szCs w:val="20"/>
              </w:rPr>
              <w:t xml:space="preserve"> to continue its Business Recovery Assistance Program resulting in:</w:t>
            </w:r>
            <w:r w:rsidR="00495EBF">
              <w:rPr>
                <w:sz w:val="20"/>
                <w:szCs w:val="20"/>
              </w:rPr>
              <w:t xml:space="preserve"> </w:t>
            </w:r>
            <w:r w:rsidRPr="00616C76">
              <w:rPr>
                <w:sz w:val="20"/>
                <w:szCs w:val="20"/>
              </w:rPr>
              <w:t>295 businesses were supported with payments ranging from TOP</w:t>
            </w:r>
            <w:r w:rsidR="00A2119D">
              <w:rPr>
                <w:sz w:val="20"/>
                <w:szCs w:val="20"/>
              </w:rPr>
              <w:t xml:space="preserve"> </w:t>
            </w:r>
            <w:r w:rsidRPr="00616C76">
              <w:rPr>
                <w:sz w:val="20"/>
                <w:szCs w:val="20"/>
              </w:rPr>
              <w:t>900 –100,000</w:t>
            </w:r>
            <w:r w:rsidR="00A2119D">
              <w:rPr>
                <w:sz w:val="20"/>
                <w:szCs w:val="20"/>
              </w:rPr>
              <w:t xml:space="preserve"> (AUD 600-64,000)</w:t>
            </w:r>
            <w:r>
              <w:rPr>
                <w:sz w:val="20"/>
                <w:szCs w:val="20"/>
              </w:rPr>
              <w:t>; 402 businesses were paid a fixed subsidy of TOP</w:t>
            </w:r>
            <w:r w:rsidR="00A2119D">
              <w:rPr>
                <w:sz w:val="20"/>
                <w:szCs w:val="20"/>
              </w:rPr>
              <w:t xml:space="preserve"> </w:t>
            </w:r>
            <w:r>
              <w:rPr>
                <w:sz w:val="20"/>
                <w:szCs w:val="20"/>
              </w:rPr>
              <w:t xml:space="preserve">1,000 </w:t>
            </w:r>
            <w:r w:rsidR="00A2119D">
              <w:rPr>
                <w:sz w:val="20"/>
                <w:szCs w:val="20"/>
              </w:rPr>
              <w:t>(AUD</w:t>
            </w:r>
            <w:r w:rsidR="00A8240A">
              <w:rPr>
                <w:sz w:val="20"/>
                <w:szCs w:val="20"/>
              </w:rPr>
              <w:t xml:space="preserve"> 640) </w:t>
            </w:r>
            <w:r>
              <w:rPr>
                <w:sz w:val="20"/>
                <w:szCs w:val="20"/>
              </w:rPr>
              <w:t xml:space="preserve">for wage subsidies and </w:t>
            </w:r>
            <w:r w:rsidRPr="004C62D8">
              <w:rPr>
                <w:sz w:val="20"/>
                <w:szCs w:val="20"/>
              </w:rPr>
              <w:t xml:space="preserve">6,381 informal businesses received a fixed grant </w:t>
            </w:r>
            <w:r w:rsidRPr="00943A8C">
              <w:rPr>
                <w:sz w:val="20"/>
                <w:szCs w:val="20"/>
              </w:rPr>
              <w:t>of TOP</w:t>
            </w:r>
            <w:r w:rsidR="00A8240A">
              <w:rPr>
                <w:sz w:val="20"/>
                <w:szCs w:val="20"/>
              </w:rPr>
              <w:t xml:space="preserve"> </w:t>
            </w:r>
            <w:r w:rsidRPr="00943A8C">
              <w:rPr>
                <w:sz w:val="20"/>
                <w:szCs w:val="20"/>
              </w:rPr>
              <w:t>500</w:t>
            </w:r>
            <w:r w:rsidR="00A8240A">
              <w:rPr>
                <w:sz w:val="20"/>
                <w:szCs w:val="20"/>
              </w:rPr>
              <w:t xml:space="preserve"> (AUD 320). </w:t>
            </w:r>
          </w:p>
        </w:tc>
      </w:tr>
      <w:tr w:rsidR="00730F2A" w:rsidRPr="00BD0E5D" w14:paraId="3F693E6F" w14:textId="77777777" w:rsidTr="002F1F6E">
        <w:trPr>
          <w:trHeight w:val="2564"/>
        </w:trPr>
        <w:tc>
          <w:tcPr>
            <w:tcW w:w="2285" w:type="pct"/>
            <w:tcBorders>
              <w:top w:val="single" w:sz="4" w:space="0" w:color="3DA18F" w:themeColor="accent1" w:themeShade="BF"/>
              <w:left w:val="single" w:sz="4" w:space="0" w:color="3DA18F" w:themeColor="accent1" w:themeShade="BF"/>
              <w:bottom w:val="single" w:sz="4" w:space="0" w:color="3DA18F" w:themeColor="accent1" w:themeShade="BF"/>
              <w:right w:val="single" w:sz="4" w:space="0" w:color="3DA18F" w:themeColor="accent1" w:themeShade="BF"/>
            </w:tcBorders>
          </w:tcPr>
          <w:p w14:paraId="6F4A1C0F" w14:textId="77777777" w:rsidR="00730F2A" w:rsidRPr="00DC72EF" w:rsidRDefault="00730F2A" w:rsidP="00DC72EF">
            <w:pPr>
              <w:spacing w:before="60" w:line="259" w:lineRule="auto"/>
              <w:ind w:left="96"/>
              <w:rPr>
                <w:sz w:val="20"/>
                <w:szCs w:val="20"/>
              </w:rPr>
            </w:pPr>
            <w:r w:rsidRPr="00DC72EF">
              <w:rPr>
                <w:sz w:val="20"/>
                <w:szCs w:val="20"/>
              </w:rPr>
              <w:t>Number of female entrepreneurs provided with financial and/or business development services</w:t>
            </w:r>
          </w:p>
        </w:tc>
        <w:tc>
          <w:tcPr>
            <w:tcW w:w="2715" w:type="pct"/>
            <w:tcBorders>
              <w:top w:val="single" w:sz="4" w:space="0" w:color="3DA18F" w:themeColor="accent1" w:themeShade="BF"/>
              <w:left w:val="single" w:sz="4" w:space="0" w:color="3DA18F" w:themeColor="accent1" w:themeShade="BF"/>
              <w:bottom w:val="single" w:sz="4" w:space="0" w:color="3DA18F" w:themeColor="accent1" w:themeShade="BF"/>
              <w:right w:val="single" w:sz="4" w:space="0" w:color="3DA18F" w:themeColor="accent1" w:themeShade="BF"/>
            </w:tcBorders>
          </w:tcPr>
          <w:p w14:paraId="2D282B63" w14:textId="7DF0620E" w:rsidR="00730F2A" w:rsidRDefault="00730F2A" w:rsidP="00DC72EF">
            <w:pPr>
              <w:spacing w:before="60" w:line="259" w:lineRule="auto"/>
              <w:ind w:left="96"/>
              <w:rPr>
                <w:rFonts w:cstheme="minorHAnsi"/>
                <w:sz w:val="20"/>
                <w:szCs w:val="20"/>
                <w:shd w:val="clear" w:color="auto" w:fill="FFFFFF"/>
              </w:rPr>
            </w:pPr>
            <w:r w:rsidRPr="00242655">
              <w:rPr>
                <w:rFonts w:cstheme="minorHAnsi"/>
                <w:sz w:val="20"/>
                <w:szCs w:val="20"/>
                <w:shd w:val="clear" w:color="auto" w:fill="FFFFFF"/>
              </w:rPr>
              <w:t>Funding provided through budget support and from Australia’s COVID-19 Response Package provided grants to 295 businesses due to revenue losses. 32 per cent (94 businesses) were owned by women.</w:t>
            </w:r>
          </w:p>
          <w:p w14:paraId="791540F0" w14:textId="77777777" w:rsidR="00730F2A" w:rsidRPr="00BD0E5D" w:rsidRDefault="00730F2A" w:rsidP="00DC72EF">
            <w:pPr>
              <w:suppressAutoHyphens w:val="0"/>
              <w:spacing w:before="60" w:line="259" w:lineRule="auto"/>
              <w:ind w:left="96"/>
            </w:pPr>
            <w:r w:rsidRPr="00242655">
              <w:rPr>
                <w:rFonts w:cstheme="minorHAnsi"/>
                <w:sz w:val="20"/>
                <w:szCs w:val="20"/>
                <w:shd w:val="clear" w:color="auto" w:fill="FFFFFF"/>
              </w:rPr>
              <w:t>For businesses that received employee support, there were 1,138 individual applications. 44 per cent (500) of those applications were from female workers, and again, these female workers were predominantly from the Services and Tourism &amp; Hospitality industries.</w:t>
            </w:r>
            <w:r w:rsidRPr="00242655">
              <w:rPr>
                <w:rFonts w:ascii="Times New Roman" w:hAnsi="Times New Roman" w:cs="Times New Roman"/>
                <w:color w:val="auto"/>
                <w:sz w:val="20"/>
                <w:szCs w:val="20"/>
                <w:lang w:val="en-AU" w:eastAsia="en-AU"/>
              </w:rPr>
              <w:t xml:space="preserve"> </w:t>
            </w:r>
          </w:p>
        </w:tc>
      </w:tr>
      <w:tr w:rsidR="00730F2A" w:rsidRPr="00BD0E5D" w14:paraId="4B138270" w14:textId="77777777" w:rsidTr="002F1F6E">
        <w:trPr>
          <w:trHeight w:val="1867"/>
        </w:trPr>
        <w:tc>
          <w:tcPr>
            <w:tcW w:w="2285" w:type="pct"/>
            <w:tcBorders>
              <w:top w:val="single" w:sz="4" w:space="0" w:color="3DA18F" w:themeColor="accent1" w:themeShade="BF"/>
              <w:left w:val="single" w:sz="4" w:space="0" w:color="3DA18F" w:themeColor="accent1" w:themeShade="BF"/>
              <w:bottom w:val="single" w:sz="4" w:space="0" w:color="3DA18F" w:themeColor="accent1" w:themeShade="BF"/>
              <w:right w:val="single" w:sz="4" w:space="0" w:color="3DA18F" w:themeColor="accent1" w:themeShade="BF"/>
            </w:tcBorders>
          </w:tcPr>
          <w:p w14:paraId="438CFCEB" w14:textId="77777777" w:rsidR="00730F2A" w:rsidRPr="00DC72EF" w:rsidRDefault="00730F2A" w:rsidP="00DC72EF">
            <w:pPr>
              <w:spacing w:before="60" w:line="259" w:lineRule="auto"/>
              <w:ind w:left="96"/>
              <w:rPr>
                <w:sz w:val="20"/>
                <w:szCs w:val="20"/>
              </w:rPr>
            </w:pPr>
            <w:r w:rsidRPr="00DC72EF">
              <w:rPr>
                <w:sz w:val="20"/>
                <w:szCs w:val="20"/>
              </w:rPr>
              <w:t xml:space="preserve">Number of economic response and recovery measures that specifically target the vulnerable </w:t>
            </w:r>
          </w:p>
        </w:tc>
        <w:tc>
          <w:tcPr>
            <w:tcW w:w="2715" w:type="pct"/>
            <w:tcBorders>
              <w:top w:val="single" w:sz="4" w:space="0" w:color="3DA18F" w:themeColor="accent1" w:themeShade="BF"/>
              <w:left w:val="single" w:sz="4" w:space="0" w:color="3DA18F" w:themeColor="accent1" w:themeShade="BF"/>
              <w:bottom w:val="single" w:sz="4" w:space="0" w:color="3DA18F" w:themeColor="accent1" w:themeShade="BF"/>
              <w:right w:val="single" w:sz="4" w:space="0" w:color="3DA18F" w:themeColor="accent1" w:themeShade="BF"/>
            </w:tcBorders>
          </w:tcPr>
          <w:p w14:paraId="12CF9FFC" w14:textId="77777777" w:rsidR="00730F2A" w:rsidRDefault="00730F2A" w:rsidP="00DC72EF">
            <w:pPr>
              <w:spacing w:before="60" w:line="259" w:lineRule="auto"/>
              <w:ind w:left="96"/>
              <w:rPr>
                <w:sz w:val="20"/>
                <w:szCs w:val="20"/>
              </w:rPr>
            </w:pPr>
            <w:r>
              <w:rPr>
                <w:sz w:val="20"/>
                <w:szCs w:val="20"/>
              </w:rPr>
              <w:t>Supported Tongan government measures that targeted vulnerable communities and individuals:</w:t>
            </w:r>
          </w:p>
          <w:p w14:paraId="42394D81" w14:textId="77777777" w:rsidR="00730F2A" w:rsidRDefault="00730F2A" w:rsidP="00DC72EF">
            <w:pPr>
              <w:spacing w:before="60" w:line="259" w:lineRule="auto"/>
              <w:ind w:left="96"/>
              <w:rPr>
                <w:sz w:val="20"/>
                <w:szCs w:val="20"/>
              </w:rPr>
            </w:pPr>
            <w:r>
              <w:rPr>
                <w:sz w:val="20"/>
                <w:szCs w:val="20"/>
              </w:rPr>
              <w:t>1.One-off top up payment under the Elderly and Disability Welfare Scheme during the national lockdown</w:t>
            </w:r>
          </w:p>
          <w:p w14:paraId="2B5F283A" w14:textId="77777777" w:rsidR="00730F2A" w:rsidRDefault="00730F2A" w:rsidP="00DC72EF">
            <w:pPr>
              <w:spacing w:before="60" w:line="259" w:lineRule="auto"/>
              <w:ind w:left="96"/>
              <w:rPr>
                <w:sz w:val="20"/>
                <w:szCs w:val="20"/>
              </w:rPr>
            </w:pPr>
            <w:r>
              <w:rPr>
                <w:sz w:val="20"/>
                <w:szCs w:val="20"/>
              </w:rPr>
              <w:t>2. Grants provided to a total of 536 poor households</w:t>
            </w:r>
          </w:p>
          <w:p w14:paraId="7C971527" w14:textId="77777777" w:rsidR="00730F2A" w:rsidRPr="00BD0E5D" w:rsidRDefault="00730F2A" w:rsidP="00DC72EF">
            <w:pPr>
              <w:spacing w:before="60" w:line="259" w:lineRule="auto"/>
              <w:ind w:left="96"/>
            </w:pPr>
            <w:r w:rsidRPr="00BC51E5">
              <w:rPr>
                <w:sz w:val="20"/>
                <w:szCs w:val="20"/>
              </w:rPr>
              <w:t>3.Grants provided to Tongan formal and informal businesses through Tonga’s COVID-19 Business Recovery Assistance Program</w:t>
            </w:r>
          </w:p>
        </w:tc>
      </w:tr>
      <w:tr w:rsidR="00730F2A" w:rsidRPr="00BD0E5D" w14:paraId="267569E8" w14:textId="77777777" w:rsidTr="002F1F6E">
        <w:trPr>
          <w:trHeight w:val="1595"/>
        </w:trPr>
        <w:tc>
          <w:tcPr>
            <w:tcW w:w="2285" w:type="pct"/>
            <w:tcBorders>
              <w:top w:val="single" w:sz="4" w:space="0" w:color="3DA18F" w:themeColor="accent1" w:themeShade="BF"/>
              <w:left w:val="single" w:sz="4" w:space="0" w:color="3DA18F" w:themeColor="accent1" w:themeShade="BF"/>
              <w:bottom w:val="single" w:sz="4" w:space="0" w:color="3DA18F" w:themeColor="accent1" w:themeShade="BF"/>
              <w:right w:val="single" w:sz="4" w:space="0" w:color="3DA18F" w:themeColor="accent1" w:themeShade="BF"/>
            </w:tcBorders>
          </w:tcPr>
          <w:p w14:paraId="467FD389" w14:textId="77777777" w:rsidR="00730F2A" w:rsidRPr="00DC72EF" w:rsidRDefault="00730F2A" w:rsidP="00DC72EF">
            <w:pPr>
              <w:spacing w:before="60" w:line="259" w:lineRule="auto"/>
              <w:ind w:left="96"/>
              <w:rPr>
                <w:sz w:val="20"/>
                <w:szCs w:val="20"/>
              </w:rPr>
            </w:pPr>
            <w:r w:rsidRPr="00DC72EF">
              <w:rPr>
                <w:sz w:val="20"/>
                <w:szCs w:val="20"/>
              </w:rPr>
              <w:t>Number of targeted programs to support labour mobility workers including number of participants</w:t>
            </w:r>
          </w:p>
        </w:tc>
        <w:tc>
          <w:tcPr>
            <w:tcW w:w="2715" w:type="pct"/>
            <w:tcBorders>
              <w:top w:val="single" w:sz="4" w:space="0" w:color="3DA18F" w:themeColor="accent1" w:themeShade="BF"/>
              <w:left w:val="single" w:sz="4" w:space="0" w:color="3DA18F" w:themeColor="accent1" w:themeShade="BF"/>
              <w:bottom w:val="single" w:sz="4" w:space="0" w:color="3DA18F" w:themeColor="accent1" w:themeShade="BF"/>
              <w:right w:val="single" w:sz="4" w:space="0" w:color="3DA18F" w:themeColor="accent1" w:themeShade="BF"/>
            </w:tcBorders>
          </w:tcPr>
          <w:p w14:paraId="10BFBAFE" w14:textId="16485A5D" w:rsidR="00730F2A" w:rsidRPr="00BD0E5D" w:rsidRDefault="00730F2A" w:rsidP="00DC72EF">
            <w:pPr>
              <w:spacing w:before="60" w:line="259" w:lineRule="auto"/>
              <w:ind w:left="96"/>
            </w:pPr>
            <w:r>
              <w:rPr>
                <w:sz w:val="20"/>
                <w:szCs w:val="20"/>
              </w:rPr>
              <w:t>In 2021-22, 2032 visas were granted to Tongan workers to participate in PALM (PLS/SWP). From the resumption of labour mobility in October 2020 through to August 2022, a total of 3,547 Tongan workers were mobilised to Australia</w:t>
            </w:r>
            <w:r w:rsidRPr="00905A0D">
              <w:rPr>
                <w:sz w:val="20"/>
                <w:szCs w:val="20"/>
              </w:rPr>
              <w:t>. 782 of these workers were women (the remaining 2,765 were men).</w:t>
            </w:r>
            <w:r>
              <w:t xml:space="preserve"> </w:t>
            </w:r>
          </w:p>
        </w:tc>
      </w:tr>
    </w:tbl>
    <w:p w14:paraId="41744EA9" w14:textId="77777777" w:rsidR="00ED510F" w:rsidRDefault="00ED510F" w:rsidP="00C27147">
      <w:pPr>
        <w:pStyle w:val="Heading2"/>
      </w:pPr>
    </w:p>
    <w:p w14:paraId="15C02F86" w14:textId="77777777" w:rsidR="00ED510F" w:rsidRDefault="00ED510F">
      <w:pPr>
        <w:suppressAutoHyphens w:val="0"/>
        <w:spacing w:before="0" w:after="120" w:line="440" w:lineRule="atLeast"/>
        <w:rPr>
          <w:rFonts w:asciiTheme="majorHAnsi" w:eastAsiaTheme="majorEastAsia" w:hAnsiTheme="majorHAnsi" w:cstheme="majorBidi"/>
          <w:b/>
          <w:caps/>
          <w:szCs w:val="26"/>
        </w:rPr>
      </w:pPr>
      <w:r>
        <w:br w:type="page"/>
      </w:r>
    </w:p>
    <w:p w14:paraId="06ABEE3D" w14:textId="25FA7DFE" w:rsidR="00D1231A" w:rsidRDefault="00121DDD" w:rsidP="00C27147">
      <w:pPr>
        <w:pStyle w:val="Heading2"/>
      </w:pPr>
      <w:r>
        <w:lastRenderedPageBreak/>
        <w:t>Annex 2</w:t>
      </w:r>
      <w:r w:rsidR="00D1231A" w:rsidRPr="00D1231A">
        <w:t xml:space="preserve">: </w:t>
      </w:r>
      <w:r w:rsidR="00D1231A">
        <w:t>I</w:t>
      </w:r>
      <w:r w:rsidR="00D1231A" w:rsidRPr="00D1231A">
        <w:t>nvestment Performance</w:t>
      </w:r>
      <w:r w:rsidR="000F78C9">
        <w:t xml:space="preserve"> ratings</w:t>
      </w:r>
      <w:r w:rsidR="002D7EA0">
        <w:t xml:space="preserve"> </w:t>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807"/>
        <w:gridCol w:w="1134"/>
        <w:gridCol w:w="1276"/>
        <w:gridCol w:w="1134"/>
        <w:gridCol w:w="1276"/>
      </w:tblGrid>
      <w:tr w:rsidR="007A4493" w:rsidRPr="00AF18F4" w14:paraId="69FD1E5F" w14:textId="77777777" w:rsidTr="00D74F17">
        <w:trPr>
          <w:cnfStyle w:val="100000000000" w:firstRow="1" w:lastRow="0" w:firstColumn="0" w:lastColumn="0" w:oddVBand="0" w:evenVBand="0" w:oddHBand="0" w:evenHBand="0" w:firstRowFirstColumn="0" w:firstRowLastColumn="0" w:lastRowFirstColumn="0" w:lastRowLastColumn="0"/>
          <w:trHeight w:hRule="exact" w:val="581"/>
          <w:tblHeader/>
        </w:trPr>
        <w:tc>
          <w:tcPr>
            <w:cnfStyle w:val="001000000000" w:firstRow="0" w:lastRow="0" w:firstColumn="1" w:lastColumn="0" w:oddVBand="0" w:evenVBand="0" w:oddHBand="0" w:evenHBand="0" w:firstRowFirstColumn="0" w:firstRowLastColumn="0" w:lastRowFirstColumn="0" w:lastRowLastColumn="0"/>
            <w:tcW w:w="5807" w:type="dxa"/>
            <w:shd w:val="clear" w:color="auto" w:fill="A2DCD1" w:themeFill="accent1" w:themeFillTint="99"/>
            <w:noWrap/>
            <w:vAlign w:val="center"/>
            <w:hideMark/>
          </w:tcPr>
          <w:p w14:paraId="287BF78E" w14:textId="77777777" w:rsidR="00AC551D" w:rsidRPr="005736BB" w:rsidRDefault="00AC551D" w:rsidP="00AF18F4">
            <w:pPr>
              <w:suppressAutoHyphens w:val="0"/>
              <w:spacing w:before="0" w:after="0" w:line="240" w:lineRule="auto"/>
              <w:jc w:val="center"/>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Investment Details</w:t>
            </w:r>
          </w:p>
        </w:tc>
        <w:tc>
          <w:tcPr>
            <w:tcW w:w="1134" w:type="dxa"/>
            <w:shd w:val="clear" w:color="auto" w:fill="A2DCD1" w:themeFill="accent1" w:themeFillTint="99"/>
            <w:noWrap/>
            <w:vAlign w:val="center"/>
            <w:hideMark/>
          </w:tcPr>
          <w:p w14:paraId="36D4C187" w14:textId="77777777" w:rsidR="00AC551D" w:rsidRPr="005736BB"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Year</w:t>
            </w:r>
          </w:p>
        </w:tc>
        <w:tc>
          <w:tcPr>
            <w:tcW w:w="1276" w:type="dxa"/>
            <w:shd w:val="clear" w:color="auto" w:fill="A2DCD1" w:themeFill="accent1" w:themeFillTint="99"/>
            <w:noWrap/>
            <w:vAlign w:val="center"/>
            <w:hideMark/>
          </w:tcPr>
          <w:p w14:paraId="1B1121B3" w14:textId="77777777" w:rsidR="00AC551D" w:rsidRPr="005736BB" w:rsidRDefault="00AC551D" w:rsidP="00CA502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Effectiveness</w:t>
            </w:r>
          </w:p>
        </w:tc>
        <w:tc>
          <w:tcPr>
            <w:tcW w:w="1134" w:type="dxa"/>
            <w:shd w:val="clear" w:color="auto" w:fill="A2DCD1" w:themeFill="accent1" w:themeFillTint="99"/>
            <w:noWrap/>
            <w:vAlign w:val="center"/>
            <w:hideMark/>
          </w:tcPr>
          <w:p w14:paraId="7B4698B4" w14:textId="77777777" w:rsidR="00AC551D" w:rsidRPr="005736BB" w:rsidRDefault="00AC551D" w:rsidP="00CA502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Efficiency</w:t>
            </w:r>
          </w:p>
        </w:tc>
        <w:tc>
          <w:tcPr>
            <w:tcW w:w="1276" w:type="dxa"/>
            <w:shd w:val="clear" w:color="auto" w:fill="A2DCD1" w:themeFill="accent1" w:themeFillTint="99"/>
            <w:noWrap/>
            <w:vAlign w:val="center"/>
            <w:hideMark/>
          </w:tcPr>
          <w:p w14:paraId="5E5D38EF" w14:textId="3B071D74" w:rsidR="00AC551D" w:rsidRPr="005736BB" w:rsidRDefault="00AC551D" w:rsidP="00CA502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Gender</w:t>
            </w:r>
            <w:r w:rsidR="00F6464D">
              <w:rPr>
                <w:rFonts w:asciiTheme="minorHAnsi" w:eastAsia="Times New Roman" w:hAnsiTheme="minorHAnsi" w:cstheme="minorHAnsi"/>
                <w:b/>
                <w:bCs/>
                <w:color w:val="404040"/>
                <w:sz w:val="20"/>
                <w:szCs w:val="20"/>
                <w:lang w:val="en-AU" w:eastAsia="en-AU"/>
              </w:rPr>
              <w:t xml:space="preserve"> Equality</w:t>
            </w:r>
            <w:r w:rsidRPr="005736BB">
              <w:rPr>
                <w:rFonts w:asciiTheme="minorHAnsi" w:eastAsia="Times New Roman" w:hAnsiTheme="minorHAnsi" w:cstheme="minorHAnsi"/>
                <w:b/>
                <w:bCs/>
                <w:color w:val="404040"/>
                <w:sz w:val="20"/>
                <w:szCs w:val="20"/>
                <w:lang w:val="en-AU" w:eastAsia="en-AU"/>
              </w:rPr>
              <w:t xml:space="preserve"> </w:t>
            </w:r>
            <w:proofErr w:type="spellStart"/>
            <w:r w:rsidRPr="005736BB">
              <w:rPr>
                <w:rFonts w:asciiTheme="minorHAnsi" w:eastAsia="Times New Roman" w:hAnsiTheme="minorHAnsi" w:cstheme="minorHAnsi"/>
                <w:b/>
                <w:bCs/>
                <w:color w:val="404040"/>
                <w:sz w:val="20"/>
                <w:szCs w:val="20"/>
                <w:lang w:val="en-AU" w:eastAsia="en-AU"/>
              </w:rPr>
              <w:t>Equality</w:t>
            </w:r>
            <w:proofErr w:type="spellEnd"/>
          </w:p>
        </w:tc>
      </w:tr>
      <w:tr w:rsidR="00AC551D" w:rsidRPr="00AF18F4" w14:paraId="1867487D" w14:textId="77777777" w:rsidTr="001A7A9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bottom w:val="nil"/>
            </w:tcBorders>
            <w:shd w:val="clear" w:color="auto" w:fill="F2F2F2" w:themeFill="background1" w:themeFillShade="F2"/>
            <w:vAlign w:val="bottom"/>
            <w:hideMark/>
          </w:tcPr>
          <w:p w14:paraId="2E831155" w14:textId="597EC8C7" w:rsidR="00AC551D" w:rsidRPr="00CA5021" w:rsidRDefault="00BB0F58" w:rsidP="00AF18F4">
            <w:pPr>
              <w:suppressAutoHyphens w:val="0"/>
              <w:spacing w:before="0" w:after="0" w:line="240" w:lineRule="auto"/>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eastAsia="en-AU"/>
              </w:rPr>
              <w:t>Tonga Energy Roadmap</w:t>
            </w:r>
          </w:p>
        </w:tc>
        <w:tc>
          <w:tcPr>
            <w:tcW w:w="1134" w:type="dxa"/>
            <w:tcBorders>
              <w:bottom w:val="nil"/>
            </w:tcBorders>
            <w:shd w:val="clear" w:color="auto" w:fill="F2F2F2" w:themeFill="background1" w:themeFillShade="F2"/>
            <w:hideMark/>
          </w:tcPr>
          <w:p w14:paraId="753CB627" w14:textId="0949A421"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202</w:t>
            </w:r>
            <w:r w:rsidR="00A22CD1">
              <w:rPr>
                <w:rFonts w:asciiTheme="minorHAnsi" w:eastAsia="Times New Roman" w:hAnsiTheme="minorHAnsi" w:cstheme="minorHAnsi"/>
                <w:color w:val="000000"/>
                <w:sz w:val="20"/>
                <w:szCs w:val="20"/>
                <w:lang w:eastAsia="en-AU"/>
              </w:rPr>
              <w:t>2</w:t>
            </w:r>
          </w:p>
        </w:tc>
        <w:tc>
          <w:tcPr>
            <w:tcW w:w="1276" w:type="dxa"/>
            <w:tcBorders>
              <w:bottom w:val="nil"/>
            </w:tcBorders>
            <w:shd w:val="clear" w:color="auto" w:fill="F2F2F2" w:themeFill="background1" w:themeFillShade="F2"/>
            <w:noWrap/>
            <w:hideMark/>
          </w:tcPr>
          <w:p w14:paraId="3524F2ED" w14:textId="77777777"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4</w:t>
            </w:r>
          </w:p>
        </w:tc>
        <w:tc>
          <w:tcPr>
            <w:tcW w:w="1134" w:type="dxa"/>
            <w:tcBorders>
              <w:bottom w:val="nil"/>
            </w:tcBorders>
            <w:shd w:val="clear" w:color="auto" w:fill="F2F2F2" w:themeFill="background1" w:themeFillShade="F2"/>
            <w:noWrap/>
            <w:hideMark/>
          </w:tcPr>
          <w:p w14:paraId="65883235" w14:textId="141C039E" w:rsidR="00AC551D" w:rsidRPr="00CA5021" w:rsidRDefault="00BB0F58"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4</w:t>
            </w:r>
          </w:p>
        </w:tc>
        <w:tc>
          <w:tcPr>
            <w:tcW w:w="1276" w:type="dxa"/>
            <w:tcBorders>
              <w:bottom w:val="nil"/>
            </w:tcBorders>
            <w:shd w:val="clear" w:color="auto" w:fill="F2F2F2" w:themeFill="background1" w:themeFillShade="F2"/>
            <w:noWrap/>
            <w:hideMark/>
          </w:tcPr>
          <w:p w14:paraId="34FAF95D" w14:textId="15B1DD55" w:rsidR="00AC551D" w:rsidRPr="00CA5021" w:rsidRDefault="00BB0F58"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3</w:t>
            </w:r>
          </w:p>
        </w:tc>
      </w:tr>
      <w:tr w:rsidR="00AC551D" w:rsidRPr="00AF18F4" w14:paraId="3F9940CA" w14:textId="77777777" w:rsidTr="001A7A9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tcBorders>
            <w:shd w:val="clear" w:color="auto" w:fill="F2F2F2" w:themeFill="background1" w:themeFillShade="F2"/>
            <w:hideMark/>
          </w:tcPr>
          <w:p w14:paraId="4D54A0A0" w14:textId="50D51307" w:rsidR="00AC551D" w:rsidRPr="00CA5021" w:rsidRDefault="007178C4" w:rsidP="00AF18F4">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Investment d</w:t>
            </w:r>
            <w:r w:rsidR="00AC551D" w:rsidRPr="00CA5021">
              <w:rPr>
                <w:rFonts w:asciiTheme="minorHAnsi" w:eastAsia="Times New Roman" w:hAnsiTheme="minorHAnsi" w:cstheme="minorHAnsi"/>
                <w:color w:val="404040"/>
                <w:sz w:val="20"/>
                <w:szCs w:val="20"/>
                <w:lang w:val="en-AU" w:eastAsia="en-AU"/>
              </w:rPr>
              <w:t xml:space="preserve">uration: </w:t>
            </w:r>
            <w:r w:rsidR="00AC551D" w:rsidRPr="00163DB1">
              <w:rPr>
                <w:rFonts w:asciiTheme="minorHAnsi" w:eastAsia="Times New Roman" w:hAnsiTheme="minorHAnsi" w:cstheme="minorHAnsi"/>
                <w:color w:val="404040"/>
                <w:sz w:val="20"/>
                <w:szCs w:val="20"/>
                <w:lang w:val="en-AU" w:eastAsia="en-AU"/>
              </w:rPr>
              <w:t>200</w:t>
            </w:r>
            <w:r w:rsidR="00BB0F58">
              <w:rPr>
                <w:rFonts w:asciiTheme="minorHAnsi" w:eastAsia="Times New Roman" w:hAnsiTheme="minorHAnsi" w:cstheme="minorHAnsi"/>
                <w:color w:val="404040"/>
                <w:sz w:val="20"/>
                <w:szCs w:val="20"/>
                <w:lang w:val="en-AU" w:eastAsia="en-AU"/>
              </w:rPr>
              <w:t>12</w:t>
            </w:r>
            <w:r w:rsidR="00AC551D" w:rsidRPr="00163DB1">
              <w:rPr>
                <w:rFonts w:asciiTheme="minorHAnsi" w:eastAsia="Times New Roman" w:hAnsiTheme="minorHAnsi" w:cstheme="minorHAnsi"/>
                <w:color w:val="404040"/>
                <w:sz w:val="20"/>
                <w:szCs w:val="20"/>
                <w:lang w:val="en-AU" w:eastAsia="en-AU"/>
              </w:rPr>
              <w:t>-2</w:t>
            </w:r>
            <w:r w:rsidR="00BB0F58">
              <w:rPr>
                <w:rFonts w:asciiTheme="minorHAnsi" w:eastAsia="Times New Roman" w:hAnsiTheme="minorHAnsi" w:cstheme="minorHAnsi"/>
                <w:color w:val="404040"/>
                <w:sz w:val="20"/>
                <w:szCs w:val="20"/>
                <w:lang w:val="en-AU" w:eastAsia="en-AU"/>
              </w:rPr>
              <w:t>3</w:t>
            </w:r>
            <w:r w:rsidR="00AC551D" w:rsidRPr="00163DB1">
              <w:rPr>
                <w:rFonts w:asciiTheme="minorHAnsi" w:eastAsia="Times New Roman" w:hAnsiTheme="minorHAnsi" w:cstheme="minorHAnsi"/>
                <w:color w:val="404040"/>
                <w:sz w:val="20"/>
                <w:szCs w:val="20"/>
                <w:lang w:val="en-AU" w:eastAsia="en-AU"/>
              </w:rPr>
              <w:t xml:space="preserve">; Budget: </w:t>
            </w:r>
            <w:r w:rsidR="00085017">
              <w:rPr>
                <w:rFonts w:asciiTheme="minorHAnsi" w:eastAsia="Times New Roman" w:hAnsiTheme="minorHAnsi" w:cstheme="minorHAnsi"/>
                <w:color w:val="404040"/>
                <w:sz w:val="20"/>
                <w:szCs w:val="20"/>
                <w:lang w:val="en-AU" w:eastAsia="en-AU"/>
              </w:rPr>
              <w:t>$</w:t>
            </w:r>
            <w:r w:rsidR="00BB0F58">
              <w:rPr>
                <w:rFonts w:asciiTheme="minorHAnsi" w:eastAsia="Times New Roman" w:hAnsiTheme="minorHAnsi" w:cstheme="minorHAnsi"/>
                <w:color w:val="404040"/>
                <w:sz w:val="20"/>
                <w:szCs w:val="20"/>
                <w:lang w:val="en-AU" w:eastAsia="en-AU"/>
              </w:rPr>
              <w:t>16</w:t>
            </w:r>
            <w:r w:rsidR="00AC551D" w:rsidRPr="00163DB1">
              <w:rPr>
                <w:rFonts w:asciiTheme="minorHAnsi" w:eastAsia="Times New Roman" w:hAnsiTheme="minorHAnsi" w:cstheme="minorHAnsi"/>
                <w:color w:val="404040"/>
                <w:sz w:val="20"/>
                <w:szCs w:val="20"/>
                <w:lang w:val="en-AU" w:eastAsia="en-AU"/>
              </w:rPr>
              <w:t>.</w:t>
            </w:r>
            <w:r w:rsidR="00BB0F58">
              <w:rPr>
                <w:rFonts w:asciiTheme="minorHAnsi" w:eastAsia="Times New Roman" w:hAnsiTheme="minorHAnsi" w:cstheme="minorHAnsi"/>
                <w:color w:val="404040"/>
                <w:sz w:val="20"/>
                <w:szCs w:val="20"/>
                <w:lang w:val="en-AU" w:eastAsia="en-AU"/>
              </w:rPr>
              <w:t>1</w:t>
            </w:r>
            <w:r w:rsidR="00AC551D" w:rsidRPr="00163DB1">
              <w:rPr>
                <w:rFonts w:asciiTheme="minorHAnsi" w:eastAsia="Times New Roman" w:hAnsiTheme="minorHAnsi" w:cstheme="minorHAnsi"/>
                <w:color w:val="404040"/>
                <w:sz w:val="20"/>
                <w:szCs w:val="20"/>
                <w:lang w:val="en-AU" w:eastAsia="en-AU"/>
              </w:rPr>
              <w:t>m</w:t>
            </w:r>
            <w:r w:rsidR="00AC551D" w:rsidRPr="00CA5021">
              <w:rPr>
                <w:rFonts w:asciiTheme="minorHAnsi" w:eastAsia="Times New Roman" w:hAnsiTheme="minorHAnsi" w:cstheme="minorHAnsi"/>
                <w:color w:val="404040"/>
                <w:sz w:val="20"/>
                <w:szCs w:val="20"/>
                <w:lang w:val="en-AU" w:eastAsia="en-AU"/>
              </w:rPr>
              <w:t xml:space="preserve"> </w:t>
            </w:r>
          </w:p>
        </w:tc>
        <w:tc>
          <w:tcPr>
            <w:tcW w:w="1134" w:type="dxa"/>
            <w:tcBorders>
              <w:top w:val="nil"/>
            </w:tcBorders>
            <w:shd w:val="clear" w:color="auto" w:fill="F2F2F2" w:themeFill="background1" w:themeFillShade="F2"/>
            <w:hideMark/>
          </w:tcPr>
          <w:p w14:paraId="42A30353" w14:textId="692A36B1"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202</w:t>
            </w:r>
            <w:r w:rsidR="00A22CD1">
              <w:rPr>
                <w:rFonts w:asciiTheme="minorHAnsi" w:eastAsia="Times New Roman" w:hAnsiTheme="minorHAnsi" w:cstheme="minorHAnsi"/>
                <w:color w:val="000000"/>
                <w:sz w:val="20"/>
                <w:szCs w:val="20"/>
                <w:lang w:eastAsia="en-AU"/>
              </w:rPr>
              <w:t>1</w:t>
            </w:r>
          </w:p>
        </w:tc>
        <w:tc>
          <w:tcPr>
            <w:tcW w:w="1276" w:type="dxa"/>
            <w:tcBorders>
              <w:top w:val="nil"/>
            </w:tcBorders>
            <w:shd w:val="clear" w:color="auto" w:fill="F2F2F2" w:themeFill="background1" w:themeFillShade="F2"/>
            <w:noWrap/>
            <w:hideMark/>
          </w:tcPr>
          <w:p w14:paraId="02C361E5" w14:textId="77777777"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4</w:t>
            </w:r>
          </w:p>
        </w:tc>
        <w:tc>
          <w:tcPr>
            <w:tcW w:w="1134" w:type="dxa"/>
            <w:tcBorders>
              <w:top w:val="nil"/>
            </w:tcBorders>
            <w:shd w:val="clear" w:color="auto" w:fill="F2F2F2" w:themeFill="background1" w:themeFillShade="F2"/>
            <w:noWrap/>
            <w:hideMark/>
          </w:tcPr>
          <w:p w14:paraId="1C8F4065" w14:textId="77777777"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4</w:t>
            </w:r>
          </w:p>
        </w:tc>
        <w:tc>
          <w:tcPr>
            <w:tcW w:w="1276" w:type="dxa"/>
            <w:tcBorders>
              <w:top w:val="nil"/>
            </w:tcBorders>
            <w:shd w:val="clear" w:color="auto" w:fill="F2F2F2" w:themeFill="background1" w:themeFillShade="F2"/>
            <w:noWrap/>
            <w:hideMark/>
          </w:tcPr>
          <w:p w14:paraId="3EA630FF" w14:textId="74B0D646" w:rsidR="00AC551D" w:rsidRPr="00CA5021" w:rsidRDefault="00BB0F58"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5</w:t>
            </w:r>
          </w:p>
        </w:tc>
      </w:tr>
      <w:tr w:rsidR="00AC551D" w:rsidRPr="00AF18F4" w14:paraId="664415AC" w14:textId="77777777" w:rsidTr="001A7A9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bottom w:val="nil"/>
            </w:tcBorders>
            <w:shd w:val="clear" w:color="auto" w:fill="E0F3EF" w:themeFill="accent1" w:themeFillTint="33"/>
            <w:noWrap/>
            <w:vAlign w:val="bottom"/>
            <w:hideMark/>
          </w:tcPr>
          <w:p w14:paraId="75576776" w14:textId="19F3F703" w:rsidR="00AC551D" w:rsidRPr="00CA5021" w:rsidRDefault="00BB0F58" w:rsidP="00AF18F4">
            <w:pPr>
              <w:suppressAutoHyphens w:val="0"/>
              <w:spacing w:before="0" w:after="0" w:line="240" w:lineRule="auto"/>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eastAsia="en-AU"/>
              </w:rPr>
              <w:t>Tonga Economic and Public Sector Reform Program</w:t>
            </w:r>
          </w:p>
        </w:tc>
        <w:tc>
          <w:tcPr>
            <w:tcW w:w="1134" w:type="dxa"/>
            <w:tcBorders>
              <w:bottom w:val="nil"/>
            </w:tcBorders>
            <w:shd w:val="clear" w:color="auto" w:fill="E0F3EF" w:themeFill="accent1" w:themeFillTint="33"/>
            <w:hideMark/>
          </w:tcPr>
          <w:p w14:paraId="35291127" w14:textId="138100B1"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202</w:t>
            </w:r>
            <w:r w:rsidR="00A22CD1">
              <w:rPr>
                <w:rFonts w:asciiTheme="minorHAnsi" w:eastAsia="Times New Roman" w:hAnsiTheme="minorHAnsi" w:cstheme="minorHAnsi"/>
                <w:color w:val="000000"/>
                <w:sz w:val="20"/>
                <w:szCs w:val="20"/>
                <w:lang w:eastAsia="en-AU"/>
              </w:rPr>
              <w:t>2</w:t>
            </w:r>
          </w:p>
        </w:tc>
        <w:tc>
          <w:tcPr>
            <w:tcW w:w="1276" w:type="dxa"/>
            <w:tcBorders>
              <w:bottom w:val="nil"/>
            </w:tcBorders>
            <w:shd w:val="clear" w:color="auto" w:fill="E0F3EF" w:themeFill="accent1" w:themeFillTint="33"/>
            <w:noWrap/>
            <w:hideMark/>
          </w:tcPr>
          <w:p w14:paraId="0383E59B" w14:textId="6AF6DE32" w:rsidR="00AC551D" w:rsidRPr="00CA5021" w:rsidRDefault="00C772E9"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4</w:t>
            </w:r>
          </w:p>
        </w:tc>
        <w:tc>
          <w:tcPr>
            <w:tcW w:w="1134" w:type="dxa"/>
            <w:tcBorders>
              <w:bottom w:val="nil"/>
            </w:tcBorders>
            <w:shd w:val="clear" w:color="auto" w:fill="E0F3EF" w:themeFill="accent1" w:themeFillTint="33"/>
            <w:noWrap/>
            <w:hideMark/>
          </w:tcPr>
          <w:p w14:paraId="760C1604" w14:textId="58ADE1EA" w:rsidR="00AC551D" w:rsidRPr="00CA5021" w:rsidRDefault="00C772E9"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5</w:t>
            </w:r>
          </w:p>
        </w:tc>
        <w:tc>
          <w:tcPr>
            <w:tcW w:w="1276" w:type="dxa"/>
            <w:tcBorders>
              <w:bottom w:val="nil"/>
            </w:tcBorders>
            <w:shd w:val="clear" w:color="auto" w:fill="E0F3EF" w:themeFill="accent1" w:themeFillTint="33"/>
            <w:noWrap/>
            <w:hideMark/>
          </w:tcPr>
          <w:p w14:paraId="48B585D3" w14:textId="7B46AFB6" w:rsidR="00AC551D" w:rsidRPr="00CA5021" w:rsidRDefault="00C772E9"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4</w:t>
            </w:r>
          </w:p>
        </w:tc>
      </w:tr>
      <w:tr w:rsidR="00AC551D" w:rsidRPr="00AF18F4" w14:paraId="5EA4A873" w14:textId="77777777" w:rsidTr="001A7A9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tcBorders>
            <w:shd w:val="clear" w:color="auto" w:fill="E0F3EF" w:themeFill="accent1" w:themeFillTint="33"/>
            <w:hideMark/>
          </w:tcPr>
          <w:p w14:paraId="5D004B83" w14:textId="75AFB6F7" w:rsidR="00AC551D" w:rsidRPr="00CA5021" w:rsidRDefault="00FC5365" w:rsidP="00AF18F4">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Investment d</w:t>
            </w:r>
            <w:r w:rsidR="00AC551D" w:rsidRPr="00CA5021">
              <w:rPr>
                <w:rFonts w:asciiTheme="minorHAnsi" w:eastAsia="Times New Roman" w:hAnsiTheme="minorHAnsi" w:cstheme="minorHAnsi"/>
                <w:color w:val="404040"/>
                <w:sz w:val="20"/>
                <w:szCs w:val="20"/>
                <w:lang w:val="en-AU" w:eastAsia="en-AU"/>
              </w:rPr>
              <w:t>uration: 201</w:t>
            </w:r>
            <w:r w:rsidR="00C772E9">
              <w:rPr>
                <w:rFonts w:asciiTheme="minorHAnsi" w:eastAsia="Times New Roman" w:hAnsiTheme="minorHAnsi" w:cstheme="minorHAnsi"/>
                <w:color w:val="404040"/>
                <w:sz w:val="20"/>
                <w:szCs w:val="20"/>
                <w:lang w:val="en-AU" w:eastAsia="en-AU"/>
              </w:rPr>
              <w:t>6</w:t>
            </w:r>
            <w:r w:rsidR="00AC551D" w:rsidRPr="00CA5021">
              <w:rPr>
                <w:rFonts w:asciiTheme="minorHAnsi" w:eastAsia="Times New Roman" w:hAnsiTheme="minorHAnsi" w:cstheme="minorHAnsi"/>
                <w:color w:val="404040"/>
                <w:sz w:val="20"/>
                <w:szCs w:val="20"/>
                <w:lang w:val="en-AU" w:eastAsia="en-AU"/>
              </w:rPr>
              <w:t>-2</w:t>
            </w:r>
            <w:r w:rsidR="00C772E9">
              <w:rPr>
                <w:rFonts w:asciiTheme="minorHAnsi" w:eastAsia="Times New Roman" w:hAnsiTheme="minorHAnsi" w:cstheme="minorHAnsi"/>
                <w:color w:val="404040"/>
                <w:sz w:val="20"/>
                <w:szCs w:val="20"/>
                <w:lang w:val="en-AU" w:eastAsia="en-AU"/>
              </w:rPr>
              <w:t>4</w:t>
            </w:r>
            <w:r w:rsidR="00AC551D" w:rsidRPr="00CA5021">
              <w:rPr>
                <w:rFonts w:asciiTheme="minorHAnsi" w:eastAsia="Times New Roman" w:hAnsiTheme="minorHAnsi" w:cstheme="minorHAnsi"/>
                <w:color w:val="404040"/>
                <w:sz w:val="20"/>
                <w:szCs w:val="20"/>
                <w:lang w:val="en-AU" w:eastAsia="en-AU"/>
              </w:rPr>
              <w:t xml:space="preserve">; Budget: </w:t>
            </w:r>
            <w:r w:rsidR="00085017">
              <w:rPr>
                <w:rFonts w:asciiTheme="minorHAnsi" w:eastAsia="Times New Roman" w:hAnsiTheme="minorHAnsi" w:cstheme="minorHAnsi"/>
                <w:color w:val="404040"/>
                <w:sz w:val="20"/>
                <w:szCs w:val="20"/>
                <w:lang w:val="en-AU" w:eastAsia="en-AU"/>
              </w:rPr>
              <w:t>$</w:t>
            </w:r>
            <w:r w:rsidR="00C772E9">
              <w:rPr>
                <w:rFonts w:asciiTheme="minorHAnsi" w:eastAsia="Times New Roman" w:hAnsiTheme="minorHAnsi" w:cstheme="minorHAnsi"/>
                <w:color w:val="404040"/>
                <w:sz w:val="20"/>
                <w:szCs w:val="20"/>
                <w:lang w:val="en-AU" w:eastAsia="en-AU"/>
              </w:rPr>
              <w:t>3</w:t>
            </w:r>
            <w:r w:rsidR="00AC551D" w:rsidRPr="00CA5021">
              <w:rPr>
                <w:rFonts w:asciiTheme="minorHAnsi" w:eastAsia="Times New Roman" w:hAnsiTheme="minorHAnsi" w:cstheme="minorHAnsi"/>
                <w:color w:val="404040"/>
                <w:sz w:val="20"/>
                <w:szCs w:val="20"/>
                <w:lang w:val="en-AU" w:eastAsia="en-AU"/>
              </w:rPr>
              <w:t>8.</w:t>
            </w:r>
            <w:r w:rsidR="00C772E9">
              <w:rPr>
                <w:rFonts w:asciiTheme="minorHAnsi" w:eastAsia="Times New Roman" w:hAnsiTheme="minorHAnsi" w:cstheme="minorHAnsi"/>
                <w:color w:val="404040"/>
                <w:sz w:val="20"/>
                <w:szCs w:val="20"/>
                <w:lang w:val="en-AU" w:eastAsia="en-AU"/>
              </w:rPr>
              <w:t>9</w:t>
            </w:r>
            <w:r w:rsidR="00AC551D" w:rsidRPr="00CA5021">
              <w:rPr>
                <w:rFonts w:asciiTheme="minorHAnsi" w:eastAsia="Times New Roman" w:hAnsiTheme="minorHAnsi" w:cstheme="minorHAnsi"/>
                <w:color w:val="404040"/>
                <w:sz w:val="20"/>
                <w:szCs w:val="20"/>
                <w:lang w:val="en-AU" w:eastAsia="en-AU"/>
              </w:rPr>
              <w:t xml:space="preserve">m </w:t>
            </w:r>
          </w:p>
        </w:tc>
        <w:tc>
          <w:tcPr>
            <w:tcW w:w="1134" w:type="dxa"/>
            <w:tcBorders>
              <w:top w:val="nil"/>
            </w:tcBorders>
            <w:shd w:val="clear" w:color="auto" w:fill="E0F3EF" w:themeFill="accent1" w:themeFillTint="33"/>
            <w:hideMark/>
          </w:tcPr>
          <w:p w14:paraId="6F5DCD3C" w14:textId="5704385A"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202</w:t>
            </w:r>
            <w:r w:rsidR="00A22CD1">
              <w:rPr>
                <w:rFonts w:asciiTheme="minorHAnsi" w:eastAsia="Times New Roman" w:hAnsiTheme="minorHAnsi" w:cstheme="minorHAnsi"/>
                <w:color w:val="000000"/>
                <w:sz w:val="20"/>
                <w:szCs w:val="20"/>
                <w:lang w:eastAsia="en-AU"/>
              </w:rPr>
              <w:t>1</w:t>
            </w:r>
          </w:p>
        </w:tc>
        <w:tc>
          <w:tcPr>
            <w:tcW w:w="1276" w:type="dxa"/>
            <w:tcBorders>
              <w:top w:val="nil"/>
            </w:tcBorders>
            <w:shd w:val="clear" w:color="auto" w:fill="E0F3EF" w:themeFill="accent1" w:themeFillTint="33"/>
            <w:noWrap/>
            <w:hideMark/>
          </w:tcPr>
          <w:p w14:paraId="7C975F2B" w14:textId="77777777"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4</w:t>
            </w:r>
          </w:p>
        </w:tc>
        <w:tc>
          <w:tcPr>
            <w:tcW w:w="1134" w:type="dxa"/>
            <w:tcBorders>
              <w:top w:val="nil"/>
            </w:tcBorders>
            <w:shd w:val="clear" w:color="auto" w:fill="E0F3EF" w:themeFill="accent1" w:themeFillTint="33"/>
            <w:noWrap/>
            <w:hideMark/>
          </w:tcPr>
          <w:p w14:paraId="562AF5DF" w14:textId="7BB1A90D" w:rsidR="00AC551D" w:rsidRPr="00CA5021" w:rsidRDefault="00C772E9"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5</w:t>
            </w:r>
          </w:p>
        </w:tc>
        <w:tc>
          <w:tcPr>
            <w:tcW w:w="1276" w:type="dxa"/>
            <w:tcBorders>
              <w:top w:val="nil"/>
            </w:tcBorders>
            <w:shd w:val="clear" w:color="auto" w:fill="E0F3EF" w:themeFill="accent1" w:themeFillTint="33"/>
            <w:noWrap/>
            <w:hideMark/>
          </w:tcPr>
          <w:p w14:paraId="49275297" w14:textId="0C6B7B20" w:rsidR="00AC551D" w:rsidRPr="00CA5021" w:rsidRDefault="00C772E9"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4</w:t>
            </w:r>
          </w:p>
        </w:tc>
      </w:tr>
      <w:tr w:rsidR="00AC551D" w:rsidRPr="00AF18F4" w14:paraId="7C3C602D" w14:textId="77777777" w:rsidTr="001A7A9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bottom w:val="nil"/>
            </w:tcBorders>
            <w:shd w:val="clear" w:color="auto" w:fill="F2F2F2" w:themeFill="background1" w:themeFillShade="F2"/>
            <w:noWrap/>
            <w:vAlign w:val="bottom"/>
            <w:hideMark/>
          </w:tcPr>
          <w:p w14:paraId="6DDF2B53" w14:textId="11570D8C" w:rsidR="00AC551D" w:rsidRPr="00CA5021" w:rsidRDefault="00C772E9" w:rsidP="00AF18F4">
            <w:pPr>
              <w:suppressAutoHyphens w:val="0"/>
              <w:spacing w:before="0" w:after="0" w:line="240" w:lineRule="auto"/>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eastAsia="en-AU"/>
              </w:rPr>
              <w:t>Tonga Renewable Energy Project (TREP)</w:t>
            </w:r>
          </w:p>
        </w:tc>
        <w:tc>
          <w:tcPr>
            <w:tcW w:w="1134" w:type="dxa"/>
            <w:tcBorders>
              <w:bottom w:val="nil"/>
            </w:tcBorders>
            <w:shd w:val="clear" w:color="auto" w:fill="F2F2F2" w:themeFill="background1" w:themeFillShade="F2"/>
            <w:hideMark/>
          </w:tcPr>
          <w:p w14:paraId="258E1068" w14:textId="57F2BB6C"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val="en-AU" w:eastAsia="en-AU"/>
              </w:rPr>
              <w:t>202</w:t>
            </w:r>
            <w:r w:rsidR="00A22CD1">
              <w:rPr>
                <w:rFonts w:asciiTheme="minorHAnsi" w:eastAsia="Times New Roman" w:hAnsiTheme="minorHAnsi" w:cstheme="minorHAnsi"/>
                <w:color w:val="000000"/>
                <w:sz w:val="20"/>
                <w:szCs w:val="20"/>
                <w:lang w:val="en-AU" w:eastAsia="en-AU"/>
              </w:rPr>
              <w:t>2</w:t>
            </w:r>
          </w:p>
        </w:tc>
        <w:tc>
          <w:tcPr>
            <w:tcW w:w="1276" w:type="dxa"/>
            <w:tcBorders>
              <w:bottom w:val="nil"/>
            </w:tcBorders>
            <w:shd w:val="clear" w:color="auto" w:fill="F2F2F2" w:themeFill="background1" w:themeFillShade="F2"/>
            <w:noWrap/>
            <w:hideMark/>
          </w:tcPr>
          <w:p w14:paraId="561825FE" w14:textId="77777777"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4</w:t>
            </w:r>
          </w:p>
        </w:tc>
        <w:tc>
          <w:tcPr>
            <w:tcW w:w="1134" w:type="dxa"/>
            <w:tcBorders>
              <w:bottom w:val="nil"/>
            </w:tcBorders>
            <w:shd w:val="clear" w:color="auto" w:fill="F2F2F2" w:themeFill="background1" w:themeFillShade="F2"/>
            <w:noWrap/>
            <w:hideMark/>
          </w:tcPr>
          <w:p w14:paraId="777674A9" w14:textId="77777777"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4</w:t>
            </w:r>
          </w:p>
        </w:tc>
        <w:tc>
          <w:tcPr>
            <w:tcW w:w="1276" w:type="dxa"/>
            <w:tcBorders>
              <w:bottom w:val="nil"/>
            </w:tcBorders>
            <w:shd w:val="clear" w:color="auto" w:fill="F2F2F2" w:themeFill="background1" w:themeFillShade="F2"/>
            <w:noWrap/>
            <w:hideMark/>
          </w:tcPr>
          <w:p w14:paraId="16666D1C" w14:textId="2F7CF4DB" w:rsidR="00AC551D" w:rsidRPr="00CA5021" w:rsidRDefault="00C772E9"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3</w:t>
            </w:r>
          </w:p>
        </w:tc>
      </w:tr>
      <w:tr w:rsidR="00AC551D" w:rsidRPr="00AF18F4" w14:paraId="173568D7" w14:textId="77777777" w:rsidTr="001A7A9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tcBorders>
            <w:shd w:val="clear" w:color="auto" w:fill="F2F2F2" w:themeFill="background1" w:themeFillShade="F2"/>
            <w:hideMark/>
          </w:tcPr>
          <w:p w14:paraId="3342A73E" w14:textId="51305605" w:rsidR="00AC551D" w:rsidRPr="00CA5021" w:rsidRDefault="00FC5365" w:rsidP="00AF18F4">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Investment d</w:t>
            </w:r>
            <w:r w:rsidR="00AC551D" w:rsidRPr="00CA5021">
              <w:rPr>
                <w:rFonts w:asciiTheme="minorHAnsi" w:eastAsia="Times New Roman" w:hAnsiTheme="minorHAnsi" w:cstheme="minorHAnsi"/>
                <w:color w:val="404040"/>
                <w:sz w:val="20"/>
                <w:szCs w:val="20"/>
                <w:lang w:val="en-AU" w:eastAsia="en-AU"/>
              </w:rPr>
              <w:t>uration: 201</w:t>
            </w:r>
            <w:r w:rsidR="00C772E9">
              <w:rPr>
                <w:rFonts w:asciiTheme="minorHAnsi" w:eastAsia="Times New Roman" w:hAnsiTheme="minorHAnsi" w:cstheme="minorHAnsi"/>
                <w:color w:val="404040"/>
                <w:sz w:val="20"/>
                <w:szCs w:val="20"/>
                <w:lang w:val="en-AU" w:eastAsia="en-AU"/>
              </w:rPr>
              <w:t>8</w:t>
            </w:r>
            <w:r w:rsidR="00AC551D" w:rsidRPr="00CA5021">
              <w:rPr>
                <w:rFonts w:asciiTheme="minorHAnsi" w:eastAsia="Times New Roman" w:hAnsiTheme="minorHAnsi" w:cstheme="minorHAnsi"/>
                <w:color w:val="404040"/>
                <w:sz w:val="20"/>
                <w:szCs w:val="20"/>
                <w:lang w:val="en-AU" w:eastAsia="en-AU"/>
              </w:rPr>
              <w:t>-2</w:t>
            </w:r>
            <w:r w:rsidR="00C772E9">
              <w:rPr>
                <w:rFonts w:asciiTheme="minorHAnsi" w:eastAsia="Times New Roman" w:hAnsiTheme="minorHAnsi" w:cstheme="minorHAnsi"/>
                <w:color w:val="404040"/>
                <w:sz w:val="20"/>
                <w:szCs w:val="20"/>
                <w:lang w:val="en-AU" w:eastAsia="en-AU"/>
              </w:rPr>
              <w:t>2</w:t>
            </w:r>
            <w:r w:rsidR="00AC551D" w:rsidRPr="00CA5021">
              <w:rPr>
                <w:rFonts w:asciiTheme="minorHAnsi" w:eastAsia="Times New Roman" w:hAnsiTheme="minorHAnsi" w:cstheme="minorHAnsi"/>
                <w:color w:val="404040"/>
                <w:sz w:val="20"/>
                <w:szCs w:val="20"/>
                <w:lang w:val="en-AU" w:eastAsia="en-AU"/>
              </w:rPr>
              <w:t xml:space="preserve">; Budget: </w:t>
            </w:r>
            <w:r w:rsidR="00085017">
              <w:rPr>
                <w:rFonts w:asciiTheme="minorHAnsi" w:eastAsia="Times New Roman" w:hAnsiTheme="minorHAnsi" w:cstheme="minorHAnsi"/>
                <w:color w:val="404040"/>
                <w:sz w:val="20"/>
                <w:szCs w:val="20"/>
                <w:lang w:val="en-AU" w:eastAsia="en-AU"/>
              </w:rPr>
              <w:t>$</w:t>
            </w:r>
            <w:r w:rsidR="00C772E9">
              <w:rPr>
                <w:rFonts w:asciiTheme="minorHAnsi" w:eastAsia="Times New Roman" w:hAnsiTheme="minorHAnsi" w:cstheme="minorHAnsi"/>
                <w:color w:val="404040"/>
                <w:sz w:val="20"/>
                <w:szCs w:val="20"/>
                <w:lang w:val="en-AU" w:eastAsia="en-AU"/>
              </w:rPr>
              <w:t>3</w:t>
            </w:r>
            <w:r w:rsidR="00AC551D" w:rsidRPr="00CA5021">
              <w:rPr>
                <w:rFonts w:asciiTheme="minorHAnsi" w:eastAsia="Times New Roman" w:hAnsiTheme="minorHAnsi" w:cstheme="minorHAnsi"/>
                <w:color w:val="404040"/>
                <w:sz w:val="20"/>
                <w:szCs w:val="20"/>
                <w:lang w:val="en-AU" w:eastAsia="en-AU"/>
              </w:rPr>
              <w:t xml:space="preserve">.5m </w:t>
            </w:r>
          </w:p>
        </w:tc>
        <w:tc>
          <w:tcPr>
            <w:tcW w:w="1134" w:type="dxa"/>
            <w:tcBorders>
              <w:top w:val="nil"/>
            </w:tcBorders>
            <w:shd w:val="clear" w:color="auto" w:fill="F2F2F2" w:themeFill="background1" w:themeFillShade="F2"/>
            <w:hideMark/>
          </w:tcPr>
          <w:p w14:paraId="1F16C9F8" w14:textId="160CF933"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val="en-AU" w:eastAsia="en-AU"/>
              </w:rPr>
              <w:t>202</w:t>
            </w:r>
            <w:r w:rsidR="00A22CD1">
              <w:rPr>
                <w:rFonts w:asciiTheme="minorHAnsi" w:eastAsia="Times New Roman" w:hAnsiTheme="minorHAnsi" w:cstheme="minorHAnsi"/>
                <w:color w:val="000000"/>
                <w:sz w:val="20"/>
                <w:szCs w:val="20"/>
                <w:lang w:val="en-AU" w:eastAsia="en-AU"/>
              </w:rPr>
              <w:t>1</w:t>
            </w:r>
          </w:p>
        </w:tc>
        <w:tc>
          <w:tcPr>
            <w:tcW w:w="1276" w:type="dxa"/>
            <w:tcBorders>
              <w:top w:val="nil"/>
            </w:tcBorders>
            <w:shd w:val="clear" w:color="auto" w:fill="F2F2F2" w:themeFill="background1" w:themeFillShade="F2"/>
            <w:noWrap/>
            <w:hideMark/>
          </w:tcPr>
          <w:p w14:paraId="484EFDC5" w14:textId="5F231CFF" w:rsidR="00AC551D" w:rsidRPr="00CA5021" w:rsidRDefault="00C772E9"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4</w:t>
            </w:r>
          </w:p>
        </w:tc>
        <w:tc>
          <w:tcPr>
            <w:tcW w:w="1134" w:type="dxa"/>
            <w:tcBorders>
              <w:top w:val="nil"/>
            </w:tcBorders>
            <w:shd w:val="clear" w:color="auto" w:fill="F2F2F2" w:themeFill="background1" w:themeFillShade="F2"/>
            <w:noWrap/>
            <w:hideMark/>
          </w:tcPr>
          <w:p w14:paraId="196A3DC5" w14:textId="4ADEF04E" w:rsidR="00AC551D" w:rsidRPr="00CA5021" w:rsidRDefault="00C772E9"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4</w:t>
            </w:r>
          </w:p>
        </w:tc>
        <w:tc>
          <w:tcPr>
            <w:tcW w:w="1276" w:type="dxa"/>
            <w:tcBorders>
              <w:top w:val="nil"/>
            </w:tcBorders>
            <w:shd w:val="clear" w:color="auto" w:fill="F2F2F2" w:themeFill="background1" w:themeFillShade="F2"/>
            <w:noWrap/>
            <w:hideMark/>
          </w:tcPr>
          <w:p w14:paraId="1BD061D2" w14:textId="397D73E2" w:rsidR="00AC551D" w:rsidRPr="00CA5021" w:rsidRDefault="00C772E9"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5</w:t>
            </w:r>
          </w:p>
        </w:tc>
      </w:tr>
      <w:tr w:rsidR="00AC551D" w:rsidRPr="00AF18F4" w14:paraId="433D367E" w14:textId="77777777" w:rsidTr="001A7A9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bottom w:val="nil"/>
            </w:tcBorders>
            <w:shd w:val="clear" w:color="auto" w:fill="E0F3EF" w:themeFill="accent1" w:themeFillTint="33"/>
            <w:noWrap/>
            <w:vAlign w:val="bottom"/>
            <w:hideMark/>
          </w:tcPr>
          <w:p w14:paraId="7703CD34" w14:textId="1399ACFF" w:rsidR="00AC551D" w:rsidRPr="00CA5021" w:rsidRDefault="00C772E9" w:rsidP="00AF18F4">
            <w:pPr>
              <w:suppressAutoHyphens w:val="0"/>
              <w:spacing w:before="0" w:after="0" w:line="240" w:lineRule="auto"/>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eastAsia="en-AU"/>
              </w:rPr>
              <w:t>Tonga Safe and Resilient Schools Project</w:t>
            </w:r>
          </w:p>
        </w:tc>
        <w:tc>
          <w:tcPr>
            <w:tcW w:w="1134" w:type="dxa"/>
            <w:tcBorders>
              <w:bottom w:val="nil"/>
            </w:tcBorders>
            <w:shd w:val="clear" w:color="auto" w:fill="E0F3EF" w:themeFill="accent1" w:themeFillTint="33"/>
            <w:hideMark/>
          </w:tcPr>
          <w:p w14:paraId="67E44092" w14:textId="0AC0E0A3"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val="en-AU" w:eastAsia="en-AU"/>
              </w:rPr>
              <w:t>202</w:t>
            </w:r>
            <w:r w:rsidR="00A22CD1">
              <w:rPr>
                <w:rFonts w:asciiTheme="minorHAnsi" w:eastAsia="Times New Roman" w:hAnsiTheme="minorHAnsi" w:cstheme="minorHAnsi"/>
                <w:color w:val="000000"/>
                <w:sz w:val="20"/>
                <w:szCs w:val="20"/>
                <w:lang w:val="en-AU" w:eastAsia="en-AU"/>
              </w:rPr>
              <w:t>2</w:t>
            </w:r>
          </w:p>
        </w:tc>
        <w:tc>
          <w:tcPr>
            <w:tcW w:w="1276" w:type="dxa"/>
            <w:tcBorders>
              <w:bottom w:val="nil"/>
            </w:tcBorders>
            <w:shd w:val="clear" w:color="auto" w:fill="E0F3EF" w:themeFill="accent1" w:themeFillTint="33"/>
            <w:noWrap/>
            <w:hideMark/>
          </w:tcPr>
          <w:p w14:paraId="3A8E0478" w14:textId="77777777"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5</w:t>
            </w:r>
          </w:p>
        </w:tc>
        <w:tc>
          <w:tcPr>
            <w:tcW w:w="1134" w:type="dxa"/>
            <w:tcBorders>
              <w:bottom w:val="nil"/>
            </w:tcBorders>
            <w:shd w:val="clear" w:color="auto" w:fill="E0F3EF" w:themeFill="accent1" w:themeFillTint="33"/>
            <w:noWrap/>
            <w:hideMark/>
          </w:tcPr>
          <w:p w14:paraId="754E4ADA" w14:textId="34442671" w:rsidR="00AC551D" w:rsidRPr="00CA5021" w:rsidRDefault="00C772E9"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4</w:t>
            </w:r>
          </w:p>
        </w:tc>
        <w:tc>
          <w:tcPr>
            <w:tcW w:w="1276" w:type="dxa"/>
            <w:tcBorders>
              <w:bottom w:val="nil"/>
            </w:tcBorders>
            <w:shd w:val="clear" w:color="auto" w:fill="E0F3EF" w:themeFill="accent1" w:themeFillTint="33"/>
            <w:noWrap/>
            <w:hideMark/>
          </w:tcPr>
          <w:p w14:paraId="579A968A" w14:textId="136D3402" w:rsidR="00AC551D" w:rsidRPr="00CA5021" w:rsidRDefault="00C772E9"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4</w:t>
            </w:r>
          </w:p>
        </w:tc>
      </w:tr>
      <w:tr w:rsidR="00AC551D" w:rsidRPr="00AF18F4" w14:paraId="2F1DE13E" w14:textId="77777777" w:rsidTr="001A7A9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tcBorders>
            <w:shd w:val="clear" w:color="auto" w:fill="E0F3EF" w:themeFill="accent1" w:themeFillTint="33"/>
            <w:hideMark/>
          </w:tcPr>
          <w:p w14:paraId="1E605139" w14:textId="0BE21DD8" w:rsidR="00AC551D" w:rsidRPr="00CA5021" w:rsidRDefault="00FC5365" w:rsidP="00AF18F4">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Investment d</w:t>
            </w:r>
            <w:r w:rsidR="00AC551D" w:rsidRPr="00CA5021">
              <w:rPr>
                <w:rFonts w:asciiTheme="minorHAnsi" w:eastAsia="Times New Roman" w:hAnsiTheme="minorHAnsi" w:cstheme="minorHAnsi"/>
                <w:color w:val="404040"/>
                <w:sz w:val="20"/>
                <w:szCs w:val="20"/>
                <w:lang w:val="en-AU" w:eastAsia="en-AU"/>
              </w:rPr>
              <w:t>uration: 20</w:t>
            </w:r>
            <w:r w:rsidR="00C772E9">
              <w:rPr>
                <w:rFonts w:asciiTheme="minorHAnsi" w:eastAsia="Times New Roman" w:hAnsiTheme="minorHAnsi" w:cstheme="minorHAnsi"/>
                <w:color w:val="404040"/>
                <w:sz w:val="20"/>
                <w:szCs w:val="20"/>
                <w:lang w:val="en-AU" w:eastAsia="en-AU"/>
              </w:rPr>
              <w:t>21</w:t>
            </w:r>
            <w:r w:rsidR="00AC551D" w:rsidRPr="00CA5021">
              <w:rPr>
                <w:rFonts w:asciiTheme="minorHAnsi" w:eastAsia="Times New Roman" w:hAnsiTheme="minorHAnsi" w:cstheme="minorHAnsi"/>
                <w:color w:val="404040"/>
                <w:sz w:val="20"/>
                <w:szCs w:val="20"/>
                <w:lang w:val="en-AU" w:eastAsia="en-AU"/>
              </w:rPr>
              <w:t>-2</w:t>
            </w:r>
            <w:r w:rsidR="00C772E9">
              <w:rPr>
                <w:rFonts w:asciiTheme="minorHAnsi" w:eastAsia="Times New Roman" w:hAnsiTheme="minorHAnsi" w:cstheme="minorHAnsi"/>
                <w:color w:val="404040"/>
                <w:sz w:val="20"/>
                <w:szCs w:val="20"/>
                <w:lang w:val="en-AU" w:eastAsia="en-AU"/>
              </w:rPr>
              <w:t>7</w:t>
            </w:r>
            <w:r w:rsidR="00AC551D" w:rsidRPr="00CA5021">
              <w:rPr>
                <w:rFonts w:asciiTheme="minorHAnsi" w:eastAsia="Times New Roman" w:hAnsiTheme="minorHAnsi" w:cstheme="minorHAnsi"/>
                <w:color w:val="404040"/>
                <w:sz w:val="20"/>
                <w:szCs w:val="20"/>
                <w:lang w:val="en-AU" w:eastAsia="en-AU"/>
              </w:rPr>
              <w:t xml:space="preserve">; Budget: </w:t>
            </w:r>
            <w:r w:rsidR="00085017">
              <w:rPr>
                <w:rFonts w:asciiTheme="minorHAnsi" w:eastAsia="Times New Roman" w:hAnsiTheme="minorHAnsi" w:cstheme="minorHAnsi"/>
                <w:color w:val="404040"/>
                <w:sz w:val="20"/>
                <w:szCs w:val="20"/>
                <w:lang w:val="en-AU" w:eastAsia="en-AU"/>
              </w:rPr>
              <w:t>$</w:t>
            </w:r>
            <w:r w:rsidR="00C772E9">
              <w:rPr>
                <w:rFonts w:asciiTheme="minorHAnsi" w:eastAsia="Times New Roman" w:hAnsiTheme="minorHAnsi" w:cstheme="minorHAnsi"/>
                <w:color w:val="404040"/>
                <w:sz w:val="20"/>
                <w:szCs w:val="20"/>
                <w:lang w:val="en-AU" w:eastAsia="en-AU"/>
              </w:rPr>
              <w:t>7</w:t>
            </w:r>
            <w:r w:rsidR="00AC551D" w:rsidRPr="00CA5021">
              <w:rPr>
                <w:rFonts w:asciiTheme="minorHAnsi" w:eastAsia="Times New Roman" w:hAnsiTheme="minorHAnsi" w:cstheme="minorHAnsi"/>
                <w:color w:val="404040"/>
                <w:sz w:val="20"/>
                <w:szCs w:val="20"/>
                <w:lang w:val="en-AU" w:eastAsia="en-AU"/>
              </w:rPr>
              <w:t xml:space="preserve">m </w:t>
            </w:r>
          </w:p>
        </w:tc>
        <w:tc>
          <w:tcPr>
            <w:tcW w:w="1134" w:type="dxa"/>
            <w:tcBorders>
              <w:top w:val="nil"/>
            </w:tcBorders>
            <w:shd w:val="clear" w:color="auto" w:fill="E0F3EF" w:themeFill="accent1" w:themeFillTint="33"/>
            <w:hideMark/>
          </w:tcPr>
          <w:p w14:paraId="7018BC30" w14:textId="24768F27"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val="en-AU" w:eastAsia="en-AU"/>
              </w:rPr>
              <w:t>202</w:t>
            </w:r>
            <w:r w:rsidR="00A22CD1">
              <w:rPr>
                <w:rFonts w:asciiTheme="minorHAnsi" w:eastAsia="Times New Roman" w:hAnsiTheme="minorHAnsi" w:cstheme="minorHAnsi"/>
                <w:color w:val="000000"/>
                <w:sz w:val="20"/>
                <w:szCs w:val="20"/>
                <w:lang w:val="en-AU" w:eastAsia="en-AU"/>
              </w:rPr>
              <w:t>1</w:t>
            </w:r>
          </w:p>
        </w:tc>
        <w:tc>
          <w:tcPr>
            <w:tcW w:w="1276" w:type="dxa"/>
            <w:tcBorders>
              <w:top w:val="nil"/>
            </w:tcBorders>
            <w:shd w:val="clear" w:color="auto" w:fill="E0F3EF" w:themeFill="accent1" w:themeFillTint="33"/>
            <w:noWrap/>
            <w:hideMark/>
          </w:tcPr>
          <w:p w14:paraId="7FF87E63" w14:textId="7640088F" w:rsidR="00AC551D" w:rsidRPr="00CA5021" w:rsidRDefault="00C772E9"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n/a</w:t>
            </w:r>
          </w:p>
        </w:tc>
        <w:tc>
          <w:tcPr>
            <w:tcW w:w="1134" w:type="dxa"/>
            <w:tcBorders>
              <w:top w:val="nil"/>
            </w:tcBorders>
            <w:shd w:val="clear" w:color="auto" w:fill="E0F3EF" w:themeFill="accent1" w:themeFillTint="33"/>
            <w:noWrap/>
            <w:hideMark/>
          </w:tcPr>
          <w:p w14:paraId="7B158D07" w14:textId="35AF0386" w:rsidR="00AC551D" w:rsidRPr="00CA5021" w:rsidRDefault="00C772E9"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n/a</w:t>
            </w:r>
          </w:p>
        </w:tc>
        <w:tc>
          <w:tcPr>
            <w:tcW w:w="1276" w:type="dxa"/>
            <w:tcBorders>
              <w:top w:val="nil"/>
            </w:tcBorders>
            <w:shd w:val="clear" w:color="auto" w:fill="E0F3EF" w:themeFill="accent1" w:themeFillTint="33"/>
            <w:noWrap/>
            <w:hideMark/>
          </w:tcPr>
          <w:p w14:paraId="04D0497F" w14:textId="7B6D8EA5" w:rsidR="00AC551D" w:rsidRPr="00CA5021" w:rsidRDefault="00C772E9"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n/a</w:t>
            </w:r>
          </w:p>
        </w:tc>
      </w:tr>
    </w:tbl>
    <w:p w14:paraId="3800A196" w14:textId="692A1364" w:rsidR="00E221FA" w:rsidRDefault="00E221FA" w:rsidP="00C27147">
      <w:pPr>
        <w:pStyle w:val="Heading2"/>
      </w:pPr>
      <w:r>
        <w:t>Final I</w:t>
      </w:r>
      <w:r w:rsidRPr="00D1231A">
        <w:t>nvestment Performance</w:t>
      </w:r>
      <w:r>
        <w:t xml:space="preserve"> ratings</w:t>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807"/>
        <w:gridCol w:w="1134"/>
        <w:gridCol w:w="1276"/>
        <w:gridCol w:w="1134"/>
        <w:gridCol w:w="1276"/>
      </w:tblGrid>
      <w:tr w:rsidR="00D7310B" w:rsidRPr="00AF18F4" w14:paraId="1C7DF276" w14:textId="77777777" w:rsidTr="00D74F17">
        <w:trPr>
          <w:cnfStyle w:val="100000000000" w:firstRow="1" w:lastRow="0" w:firstColumn="0" w:lastColumn="0" w:oddVBand="0" w:evenVBand="0" w:oddHBand="0" w:evenHBand="0" w:firstRowFirstColumn="0" w:firstRowLastColumn="0" w:lastRowFirstColumn="0" w:lastRowLastColumn="0"/>
          <w:trHeight w:hRule="exact" w:val="507"/>
          <w:tblHeader/>
        </w:trPr>
        <w:tc>
          <w:tcPr>
            <w:cnfStyle w:val="001000000000" w:firstRow="0" w:lastRow="0" w:firstColumn="1" w:lastColumn="0" w:oddVBand="0" w:evenVBand="0" w:oddHBand="0" w:evenHBand="0" w:firstRowFirstColumn="0" w:firstRowLastColumn="0" w:lastRowFirstColumn="0" w:lastRowLastColumn="0"/>
            <w:tcW w:w="5807" w:type="dxa"/>
            <w:shd w:val="clear" w:color="auto" w:fill="A2DCD1" w:themeFill="accent1" w:themeFillTint="99"/>
            <w:noWrap/>
            <w:vAlign w:val="center"/>
            <w:hideMark/>
          </w:tcPr>
          <w:p w14:paraId="5CB2E247" w14:textId="77777777" w:rsidR="00D7310B" w:rsidRPr="005736BB" w:rsidRDefault="00D7310B" w:rsidP="00EB5A8E">
            <w:pPr>
              <w:suppressAutoHyphens w:val="0"/>
              <w:spacing w:before="0" w:after="0" w:line="240" w:lineRule="auto"/>
              <w:jc w:val="center"/>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Investment Details</w:t>
            </w:r>
          </w:p>
        </w:tc>
        <w:tc>
          <w:tcPr>
            <w:tcW w:w="1134" w:type="dxa"/>
            <w:shd w:val="clear" w:color="auto" w:fill="A2DCD1" w:themeFill="accent1" w:themeFillTint="99"/>
            <w:noWrap/>
            <w:vAlign w:val="center"/>
            <w:hideMark/>
          </w:tcPr>
          <w:p w14:paraId="559F947C" w14:textId="77777777" w:rsidR="00D7310B" w:rsidRPr="005736BB" w:rsidRDefault="00D7310B" w:rsidP="00EB5A8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Year</w:t>
            </w:r>
          </w:p>
        </w:tc>
        <w:tc>
          <w:tcPr>
            <w:tcW w:w="1276" w:type="dxa"/>
            <w:shd w:val="clear" w:color="auto" w:fill="A2DCD1" w:themeFill="accent1" w:themeFillTint="99"/>
            <w:noWrap/>
            <w:vAlign w:val="center"/>
            <w:hideMark/>
          </w:tcPr>
          <w:p w14:paraId="661038F4" w14:textId="77777777" w:rsidR="00D7310B" w:rsidRPr="005736BB" w:rsidRDefault="00D7310B" w:rsidP="00EB5A8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Effectiveness</w:t>
            </w:r>
          </w:p>
        </w:tc>
        <w:tc>
          <w:tcPr>
            <w:tcW w:w="1134" w:type="dxa"/>
            <w:shd w:val="clear" w:color="auto" w:fill="A2DCD1" w:themeFill="accent1" w:themeFillTint="99"/>
            <w:noWrap/>
            <w:vAlign w:val="center"/>
            <w:hideMark/>
          </w:tcPr>
          <w:p w14:paraId="1765D5AA" w14:textId="77777777" w:rsidR="00D7310B" w:rsidRPr="005736BB" w:rsidRDefault="00D7310B" w:rsidP="00EB5A8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Efficiency</w:t>
            </w:r>
          </w:p>
        </w:tc>
        <w:tc>
          <w:tcPr>
            <w:tcW w:w="1276" w:type="dxa"/>
            <w:shd w:val="clear" w:color="auto" w:fill="A2DCD1" w:themeFill="accent1" w:themeFillTint="99"/>
            <w:noWrap/>
            <w:vAlign w:val="center"/>
            <w:hideMark/>
          </w:tcPr>
          <w:p w14:paraId="38C29940" w14:textId="77777777" w:rsidR="00D7310B" w:rsidRPr="005736BB" w:rsidRDefault="00D7310B" w:rsidP="00EB5A8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Gender Equality</w:t>
            </w:r>
          </w:p>
        </w:tc>
      </w:tr>
      <w:tr w:rsidR="00D7310B" w:rsidRPr="00AF18F4" w14:paraId="5FCAA806" w14:textId="77777777" w:rsidTr="001A7A9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bottom w:val="nil"/>
            </w:tcBorders>
            <w:shd w:val="clear" w:color="auto" w:fill="F2F2F2" w:themeFill="background1" w:themeFillShade="F2"/>
            <w:vAlign w:val="bottom"/>
            <w:hideMark/>
          </w:tcPr>
          <w:p w14:paraId="26CB53EA" w14:textId="5B5C7A23" w:rsidR="00D7310B" w:rsidRPr="00CA5021" w:rsidRDefault="00C772E9" w:rsidP="00EB5A8E">
            <w:pPr>
              <w:suppressAutoHyphens w:val="0"/>
              <w:spacing w:before="0" w:after="0" w:line="240" w:lineRule="auto"/>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eastAsia="en-AU"/>
              </w:rPr>
              <w:t>Tonga Health Systems Support Program II</w:t>
            </w:r>
          </w:p>
        </w:tc>
        <w:tc>
          <w:tcPr>
            <w:tcW w:w="1134" w:type="dxa"/>
            <w:tcBorders>
              <w:bottom w:val="nil"/>
            </w:tcBorders>
            <w:shd w:val="clear" w:color="auto" w:fill="F2F2F2" w:themeFill="background1" w:themeFillShade="F2"/>
            <w:hideMark/>
          </w:tcPr>
          <w:p w14:paraId="615EF094" w14:textId="68CD8B0A" w:rsidR="00D7310B" w:rsidRPr="00F6464D" w:rsidRDefault="00D7310B" w:rsidP="00F646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F6464D">
              <w:rPr>
                <w:rFonts w:asciiTheme="minorHAnsi" w:eastAsia="Times New Roman" w:hAnsiTheme="minorHAnsi" w:cstheme="minorHAnsi"/>
                <w:color w:val="000000"/>
                <w:sz w:val="20"/>
                <w:szCs w:val="20"/>
                <w:lang w:eastAsia="en-AU"/>
              </w:rPr>
              <w:t>20</w:t>
            </w:r>
            <w:r w:rsidR="00EE0466" w:rsidRPr="00F6464D">
              <w:rPr>
                <w:rFonts w:asciiTheme="minorHAnsi" w:eastAsia="Times New Roman" w:hAnsiTheme="minorHAnsi" w:cstheme="minorHAnsi"/>
                <w:color w:val="000000"/>
                <w:sz w:val="20"/>
                <w:szCs w:val="20"/>
                <w:lang w:eastAsia="en-AU"/>
              </w:rPr>
              <w:t>2</w:t>
            </w:r>
            <w:r w:rsidR="002443C7" w:rsidRPr="00F6464D">
              <w:rPr>
                <w:rFonts w:asciiTheme="minorHAnsi" w:eastAsia="Times New Roman" w:hAnsiTheme="minorHAnsi" w:cstheme="minorHAnsi"/>
                <w:color w:val="000000"/>
                <w:sz w:val="20"/>
                <w:szCs w:val="20"/>
                <w:lang w:eastAsia="en-AU"/>
              </w:rPr>
              <w:t>2</w:t>
            </w:r>
            <w:r w:rsidR="00193C49" w:rsidRPr="00F6464D">
              <w:rPr>
                <w:rFonts w:asciiTheme="minorHAnsi" w:eastAsia="Times New Roman" w:hAnsiTheme="minorHAnsi" w:cstheme="minorHAnsi"/>
                <w:color w:val="000000"/>
                <w:sz w:val="20"/>
                <w:szCs w:val="20"/>
                <w:lang w:eastAsia="en-AU"/>
              </w:rPr>
              <w:t xml:space="preserve"> </w:t>
            </w:r>
            <w:r w:rsidR="00A96364" w:rsidRPr="00F6464D">
              <w:rPr>
                <w:rFonts w:asciiTheme="minorHAnsi" w:eastAsia="Times New Roman" w:hAnsiTheme="minorHAnsi" w:cstheme="minorHAnsi"/>
                <w:color w:val="000000"/>
                <w:sz w:val="20"/>
                <w:szCs w:val="20"/>
                <w:lang w:eastAsia="en-AU"/>
              </w:rPr>
              <w:t>FIMR</w:t>
            </w:r>
          </w:p>
        </w:tc>
        <w:tc>
          <w:tcPr>
            <w:tcW w:w="1276" w:type="dxa"/>
            <w:tcBorders>
              <w:bottom w:val="nil"/>
            </w:tcBorders>
            <w:shd w:val="clear" w:color="auto" w:fill="F2F2F2" w:themeFill="background1" w:themeFillShade="F2"/>
            <w:noWrap/>
            <w:hideMark/>
          </w:tcPr>
          <w:p w14:paraId="12403CED" w14:textId="27AABE7E" w:rsidR="00D7310B" w:rsidRPr="00CA5021" w:rsidRDefault="00C772E9" w:rsidP="00EB5A8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134" w:type="dxa"/>
            <w:tcBorders>
              <w:bottom w:val="nil"/>
            </w:tcBorders>
            <w:shd w:val="clear" w:color="auto" w:fill="F2F2F2" w:themeFill="background1" w:themeFillShade="F2"/>
            <w:noWrap/>
            <w:hideMark/>
          </w:tcPr>
          <w:p w14:paraId="456E1DCC" w14:textId="1EE26B4F" w:rsidR="00D7310B" w:rsidRPr="00CA5021" w:rsidRDefault="00C772E9" w:rsidP="00EB5A8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3</w:t>
            </w:r>
          </w:p>
        </w:tc>
        <w:tc>
          <w:tcPr>
            <w:tcW w:w="1276" w:type="dxa"/>
            <w:tcBorders>
              <w:bottom w:val="nil"/>
            </w:tcBorders>
            <w:shd w:val="clear" w:color="auto" w:fill="F2F2F2" w:themeFill="background1" w:themeFillShade="F2"/>
            <w:noWrap/>
            <w:hideMark/>
          </w:tcPr>
          <w:p w14:paraId="2C7A02D0" w14:textId="54D459CE" w:rsidR="00D7310B" w:rsidRPr="00CA5021" w:rsidRDefault="00C772E9" w:rsidP="00EB5A8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4</w:t>
            </w:r>
          </w:p>
        </w:tc>
      </w:tr>
      <w:tr w:rsidR="00D7310B" w:rsidRPr="00AF18F4" w14:paraId="48A88951" w14:textId="77777777" w:rsidTr="001A7A9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tcBorders>
            <w:shd w:val="clear" w:color="auto" w:fill="F2F2F2" w:themeFill="background1" w:themeFillShade="F2"/>
            <w:hideMark/>
          </w:tcPr>
          <w:p w14:paraId="7C9CCC70" w14:textId="7C9FAB47" w:rsidR="00D7310B" w:rsidRPr="00CA5021" w:rsidRDefault="00FC5365" w:rsidP="00EB5A8E">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Investment d</w:t>
            </w:r>
            <w:r w:rsidR="00D7310B" w:rsidRPr="00CA5021">
              <w:rPr>
                <w:rFonts w:asciiTheme="minorHAnsi" w:eastAsia="Times New Roman" w:hAnsiTheme="minorHAnsi" w:cstheme="minorHAnsi"/>
                <w:color w:val="404040"/>
                <w:sz w:val="20"/>
                <w:szCs w:val="20"/>
                <w:lang w:val="en-AU" w:eastAsia="en-AU"/>
              </w:rPr>
              <w:t xml:space="preserve">uration: </w:t>
            </w:r>
            <w:r w:rsidR="00D7310B">
              <w:rPr>
                <w:rFonts w:asciiTheme="minorHAnsi" w:eastAsia="Times New Roman" w:hAnsiTheme="minorHAnsi" w:cstheme="minorHAnsi"/>
                <w:color w:val="404040"/>
                <w:sz w:val="20"/>
                <w:szCs w:val="20"/>
                <w:lang w:val="en-AU" w:eastAsia="en-AU"/>
              </w:rPr>
              <w:t>2015-19</w:t>
            </w:r>
            <w:r w:rsidR="00D7310B" w:rsidRPr="00CA5021">
              <w:rPr>
                <w:rFonts w:asciiTheme="minorHAnsi" w:eastAsia="Times New Roman" w:hAnsiTheme="minorHAnsi" w:cstheme="minorHAnsi"/>
                <w:color w:val="404040"/>
                <w:sz w:val="20"/>
                <w:szCs w:val="20"/>
                <w:lang w:val="en-AU" w:eastAsia="en-AU"/>
              </w:rPr>
              <w:t xml:space="preserve">; Budget: </w:t>
            </w:r>
            <w:r w:rsidR="00085017">
              <w:rPr>
                <w:rFonts w:asciiTheme="minorHAnsi" w:eastAsia="Times New Roman" w:hAnsiTheme="minorHAnsi" w:cstheme="minorHAnsi"/>
                <w:color w:val="404040"/>
                <w:sz w:val="20"/>
                <w:szCs w:val="20"/>
                <w:lang w:val="en-AU" w:eastAsia="en-AU"/>
              </w:rPr>
              <w:t>$</w:t>
            </w:r>
            <w:r w:rsidR="00C772E9">
              <w:rPr>
                <w:rFonts w:asciiTheme="minorHAnsi" w:eastAsia="Times New Roman" w:hAnsiTheme="minorHAnsi" w:cstheme="minorHAnsi"/>
                <w:color w:val="404040"/>
                <w:sz w:val="20"/>
                <w:szCs w:val="20"/>
                <w:lang w:val="en-AU" w:eastAsia="en-AU"/>
              </w:rPr>
              <w:t>19</w:t>
            </w:r>
            <w:r w:rsidR="00D7310B">
              <w:rPr>
                <w:rFonts w:asciiTheme="minorHAnsi" w:eastAsia="Times New Roman" w:hAnsiTheme="minorHAnsi" w:cstheme="minorHAnsi"/>
                <w:color w:val="404040"/>
                <w:sz w:val="20"/>
                <w:szCs w:val="20"/>
                <w:lang w:val="en-AU" w:eastAsia="en-AU"/>
              </w:rPr>
              <w:t>.</w:t>
            </w:r>
            <w:r w:rsidR="00C772E9">
              <w:rPr>
                <w:rFonts w:asciiTheme="minorHAnsi" w:eastAsia="Times New Roman" w:hAnsiTheme="minorHAnsi" w:cstheme="minorHAnsi"/>
                <w:color w:val="404040"/>
                <w:sz w:val="20"/>
                <w:szCs w:val="20"/>
                <w:lang w:val="en-AU" w:eastAsia="en-AU"/>
              </w:rPr>
              <w:t>9</w:t>
            </w:r>
            <w:r w:rsidR="00D7310B" w:rsidRPr="00CA5021">
              <w:rPr>
                <w:rFonts w:asciiTheme="minorHAnsi" w:eastAsia="Times New Roman" w:hAnsiTheme="minorHAnsi" w:cstheme="minorHAnsi"/>
                <w:color w:val="404040"/>
                <w:sz w:val="20"/>
                <w:szCs w:val="20"/>
                <w:lang w:val="en-AU" w:eastAsia="en-AU"/>
              </w:rPr>
              <w:t xml:space="preserve">m </w:t>
            </w:r>
          </w:p>
        </w:tc>
        <w:tc>
          <w:tcPr>
            <w:tcW w:w="1134" w:type="dxa"/>
            <w:tcBorders>
              <w:top w:val="nil"/>
            </w:tcBorders>
            <w:shd w:val="clear" w:color="auto" w:fill="F2F2F2" w:themeFill="background1" w:themeFillShade="F2"/>
            <w:hideMark/>
          </w:tcPr>
          <w:p w14:paraId="265BD1DC" w14:textId="7B737E56" w:rsidR="00193C49" w:rsidRPr="00F6464D" w:rsidRDefault="00D7310B" w:rsidP="00F646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F6464D">
              <w:rPr>
                <w:rFonts w:asciiTheme="minorHAnsi" w:eastAsia="Times New Roman" w:hAnsiTheme="minorHAnsi" w:cstheme="minorHAnsi"/>
                <w:color w:val="000000"/>
                <w:sz w:val="20"/>
                <w:szCs w:val="20"/>
                <w:lang w:eastAsia="en-AU"/>
              </w:rPr>
              <w:t>20</w:t>
            </w:r>
            <w:r w:rsidR="00A96364" w:rsidRPr="00F6464D">
              <w:rPr>
                <w:rFonts w:asciiTheme="minorHAnsi" w:eastAsia="Times New Roman" w:hAnsiTheme="minorHAnsi" w:cstheme="minorHAnsi"/>
                <w:color w:val="000000"/>
                <w:sz w:val="20"/>
                <w:szCs w:val="20"/>
                <w:lang w:eastAsia="en-AU"/>
              </w:rPr>
              <w:t>2</w:t>
            </w:r>
            <w:r w:rsidR="00ED179A" w:rsidRPr="00F6464D">
              <w:rPr>
                <w:rFonts w:asciiTheme="minorHAnsi" w:eastAsia="Times New Roman" w:hAnsiTheme="minorHAnsi" w:cstheme="minorHAnsi"/>
                <w:color w:val="000000"/>
                <w:sz w:val="20"/>
                <w:szCs w:val="20"/>
                <w:lang w:eastAsia="en-AU"/>
              </w:rPr>
              <w:t>1</w:t>
            </w:r>
            <w:r w:rsidR="00FC5365" w:rsidRPr="00F6464D">
              <w:rPr>
                <w:rFonts w:asciiTheme="minorHAnsi" w:eastAsia="Times New Roman" w:hAnsiTheme="minorHAnsi" w:cstheme="minorHAnsi"/>
                <w:color w:val="000000"/>
                <w:sz w:val="20"/>
                <w:szCs w:val="20"/>
                <w:lang w:eastAsia="en-AU"/>
              </w:rPr>
              <w:t xml:space="preserve"> </w:t>
            </w:r>
            <w:r w:rsidR="00A96364" w:rsidRPr="00F6464D">
              <w:rPr>
                <w:rFonts w:asciiTheme="minorHAnsi" w:eastAsia="Times New Roman" w:hAnsiTheme="minorHAnsi" w:cstheme="minorHAnsi"/>
                <w:color w:val="000000"/>
                <w:sz w:val="20"/>
                <w:szCs w:val="20"/>
                <w:lang w:eastAsia="en-AU"/>
              </w:rPr>
              <w:t>IMR</w:t>
            </w:r>
          </w:p>
        </w:tc>
        <w:tc>
          <w:tcPr>
            <w:tcW w:w="1276" w:type="dxa"/>
            <w:tcBorders>
              <w:top w:val="nil"/>
            </w:tcBorders>
            <w:shd w:val="clear" w:color="auto" w:fill="F2F2F2" w:themeFill="background1" w:themeFillShade="F2"/>
            <w:noWrap/>
            <w:hideMark/>
          </w:tcPr>
          <w:p w14:paraId="2B8EB16D" w14:textId="459B91C4" w:rsidR="00D7310B" w:rsidRPr="00CA5021" w:rsidRDefault="00432702" w:rsidP="00EB5A8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134" w:type="dxa"/>
            <w:tcBorders>
              <w:top w:val="nil"/>
            </w:tcBorders>
            <w:shd w:val="clear" w:color="auto" w:fill="F2F2F2" w:themeFill="background1" w:themeFillShade="F2"/>
            <w:noWrap/>
            <w:hideMark/>
          </w:tcPr>
          <w:p w14:paraId="1C396789" w14:textId="6C079CF2" w:rsidR="00D7310B" w:rsidRPr="00CA5021" w:rsidRDefault="00432702" w:rsidP="00EB5A8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276" w:type="dxa"/>
            <w:tcBorders>
              <w:top w:val="nil"/>
            </w:tcBorders>
            <w:shd w:val="clear" w:color="auto" w:fill="F2F2F2" w:themeFill="background1" w:themeFillShade="F2"/>
            <w:noWrap/>
            <w:hideMark/>
          </w:tcPr>
          <w:p w14:paraId="6145AA71" w14:textId="12B50951" w:rsidR="00D7310B" w:rsidRPr="00CA5021" w:rsidRDefault="00EE0466" w:rsidP="00EB5A8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r>
      <w:tr w:rsidR="00432702" w:rsidRPr="00AF18F4" w14:paraId="6677594D" w14:textId="77777777" w:rsidTr="001A7A9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bottom w:val="nil"/>
            </w:tcBorders>
            <w:shd w:val="clear" w:color="auto" w:fill="E0F3EF" w:themeFill="accent1" w:themeFillTint="33"/>
          </w:tcPr>
          <w:p w14:paraId="2A638889" w14:textId="7B91006C" w:rsidR="00432702" w:rsidRPr="00432702" w:rsidRDefault="00432702" w:rsidP="00432702">
            <w:pPr>
              <w:suppressAutoHyphens w:val="0"/>
              <w:spacing w:before="0" w:after="0" w:line="240" w:lineRule="auto"/>
              <w:rPr>
                <w:rFonts w:eastAsia="Times New Roman" w:cstheme="minorHAnsi"/>
                <w:b/>
                <w:bCs/>
                <w:color w:val="404040"/>
                <w:sz w:val="20"/>
                <w:szCs w:val="20"/>
                <w:lang w:val="en-AU" w:eastAsia="en-AU"/>
              </w:rPr>
            </w:pPr>
            <w:r w:rsidRPr="00432702">
              <w:rPr>
                <w:rFonts w:eastAsia="Times New Roman" w:cstheme="minorHAnsi"/>
                <w:b/>
                <w:bCs/>
                <w:color w:val="404040"/>
                <w:sz w:val="20"/>
                <w:szCs w:val="20"/>
                <w:lang w:val="en-AU" w:eastAsia="en-AU"/>
              </w:rPr>
              <w:t>Skills for Inclusive Economic Growth</w:t>
            </w:r>
          </w:p>
        </w:tc>
        <w:tc>
          <w:tcPr>
            <w:tcW w:w="1134" w:type="dxa"/>
            <w:tcBorders>
              <w:bottom w:val="nil"/>
            </w:tcBorders>
            <w:shd w:val="clear" w:color="auto" w:fill="E0F3EF" w:themeFill="accent1" w:themeFillTint="33"/>
          </w:tcPr>
          <w:p w14:paraId="4779C051" w14:textId="25A49E1B" w:rsidR="00432702" w:rsidRPr="00F6464D" w:rsidRDefault="00432702" w:rsidP="00F646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en-AU"/>
              </w:rPr>
            </w:pPr>
            <w:r w:rsidRPr="00F6464D">
              <w:rPr>
                <w:rFonts w:asciiTheme="minorHAnsi" w:eastAsia="Times New Roman" w:hAnsiTheme="minorHAnsi" w:cstheme="minorHAnsi"/>
                <w:color w:val="000000"/>
                <w:sz w:val="20"/>
                <w:szCs w:val="20"/>
                <w:lang w:eastAsia="en-AU"/>
              </w:rPr>
              <w:t>2022 FIMR</w:t>
            </w:r>
          </w:p>
        </w:tc>
        <w:tc>
          <w:tcPr>
            <w:tcW w:w="1276" w:type="dxa"/>
            <w:tcBorders>
              <w:bottom w:val="nil"/>
            </w:tcBorders>
            <w:shd w:val="clear" w:color="auto" w:fill="E0F3EF" w:themeFill="accent1" w:themeFillTint="33"/>
            <w:noWrap/>
          </w:tcPr>
          <w:p w14:paraId="24D3C762" w14:textId="37523851" w:rsidR="00432702" w:rsidRDefault="00432702" w:rsidP="00EB5A8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val="en-AU" w:eastAsia="en-AU"/>
              </w:rPr>
              <w:t>5</w:t>
            </w:r>
          </w:p>
        </w:tc>
        <w:tc>
          <w:tcPr>
            <w:tcW w:w="1134" w:type="dxa"/>
            <w:tcBorders>
              <w:bottom w:val="nil"/>
            </w:tcBorders>
            <w:shd w:val="clear" w:color="auto" w:fill="E0F3EF" w:themeFill="accent1" w:themeFillTint="33"/>
            <w:noWrap/>
          </w:tcPr>
          <w:p w14:paraId="6B94B9EA" w14:textId="68475257" w:rsidR="00432702" w:rsidRDefault="00432702" w:rsidP="00EB5A8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val="en-AU" w:eastAsia="en-AU"/>
              </w:rPr>
              <w:t>4</w:t>
            </w:r>
          </w:p>
        </w:tc>
        <w:tc>
          <w:tcPr>
            <w:tcW w:w="1276" w:type="dxa"/>
            <w:tcBorders>
              <w:bottom w:val="nil"/>
            </w:tcBorders>
            <w:shd w:val="clear" w:color="auto" w:fill="E0F3EF" w:themeFill="accent1" w:themeFillTint="33"/>
            <w:noWrap/>
          </w:tcPr>
          <w:p w14:paraId="43AD3281" w14:textId="132EC86C" w:rsidR="00432702" w:rsidRDefault="00432702" w:rsidP="00EB5A8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val="en-AU" w:eastAsia="en-AU"/>
              </w:rPr>
              <w:t>5</w:t>
            </w:r>
          </w:p>
        </w:tc>
      </w:tr>
      <w:tr w:rsidR="00432702" w:rsidRPr="00AF18F4" w14:paraId="03B6F310" w14:textId="77777777" w:rsidTr="001A7A9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tcBorders>
            <w:shd w:val="clear" w:color="auto" w:fill="E0F3EF" w:themeFill="accent1" w:themeFillTint="33"/>
          </w:tcPr>
          <w:p w14:paraId="0BA9C208" w14:textId="147AAB65" w:rsidR="00432702" w:rsidRDefault="00432702" w:rsidP="00EB5A8E">
            <w:pPr>
              <w:suppressAutoHyphens w:val="0"/>
              <w:spacing w:before="0" w:after="0" w:line="240" w:lineRule="auto"/>
              <w:ind w:firstLineChars="100" w:firstLine="200"/>
              <w:rPr>
                <w:rFonts w:eastAsia="Times New Roman" w:cstheme="minorHAnsi"/>
                <w:color w:val="404040"/>
                <w:sz w:val="20"/>
                <w:szCs w:val="20"/>
                <w:lang w:val="en-AU" w:eastAsia="en-AU"/>
              </w:rPr>
            </w:pPr>
            <w:r>
              <w:rPr>
                <w:rFonts w:eastAsia="Times New Roman" w:cstheme="minorHAnsi"/>
                <w:color w:val="404040"/>
                <w:sz w:val="20"/>
                <w:szCs w:val="20"/>
                <w:lang w:val="en-AU" w:eastAsia="en-AU"/>
              </w:rPr>
              <w:t xml:space="preserve">Investment duration: 2016-22; Budget: </w:t>
            </w:r>
            <w:r w:rsidR="00085017">
              <w:rPr>
                <w:rFonts w:eastAsia="Times New Roman" w:cstheme="minorHAnsi"/>
                <w:color w:val="404040"/>
                <w:sz w:val="20"/>
                <w:szCs w:val="20"/>
                <w:lang w:val="en-AU" w:eastAsia="en-AU"/>
              </w:rPr>
              <w:t>$</w:t>
            </w:r>
            <w:r>
              <w:rPr>
                <w:rFonts w:eastAsia="Times New Roman" w:cstheme="minorHAnsi"/>
                <w:color w:val="404040"/>
                <w:sz w:val="20"/>
                <w:szCs w:val="20"/>
                <w:lang w:val="en-AU" w:eastAsia="en-AU"/>
              </w:rPr>
              <w:t>7.8m</w:t>
            </w:r>
          </w:p>
        </w:tc>
        <w:tc>
          <w:tcPr>
            <w:tcW w:w="1134" w:type="dxa"/>
            <w:tcBorders>
              <w:top w:val="nil"/>
            </w:tcBorders>
            <w:shd w:val="clear" w:color="auto" w:fill="E0F3EF" w:themeFill="accent1" w:themeFillTint="33"/>
          </w:tcPr>
          <w:p w14:paraId="0A856555" w14:textId="1A900420" w:rsidR="00432702" w:rsidRPr="00F6464D" w:rsidRDefault="00432702" w:rsidP="00F646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en-AU"/>
              </w:rPr>
            </w:pPr>
            <w:r w:rsidRPr="00F6464D">
              <w:rPr>
                <w:rFonts w:asciiTheme="minorHAnsi" w:eastAsia="Times New Roman" w:hAnsiTheme="minorHAnsi" w:cstheme="minorHAnsi"/>
                <w:color w:val="000000"/>
                <w:sz w:val="20"/>
                <w:szCs w:val="20"/>
                <w:lang w:eastAsia="en-AU"/>
              </w:rPr>
              <w:t>2021 IMR</w:t>
            </w:r>
          </w:p>
        </w:tc>
        <w:tc>
          <w:tcPr>
            <w:tcW w:w="1276" w:type="dxa"/>
            <w:tcBorders>
              <w:top w:val="nil"/>
            </w:tcBorders>
            <w:shd w:val="clear" w:color="auto" w:fill="E0F3EF" w:themeFill="accent1" w:themeFillTint="33"/>
            <w:noWrap/>
          </w:tcPr>
          <w:p w14:paraId="3A8D18BD" w14:textId="21FAF7E6" w:rsidR="00432702" w:rsidRDefault="00432702" w:rsidP="00EB5A8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val="en-AU" w:eastAsia="en-AU"/>
              </w:rPr>
              <w:t>5</w:t>
            </w:r>
          </w:p>
        </w:tc>
        <w:tc>
          <w:tcPr>
            <w:tcW w:w="1134" w:type="dxa"/>
            <w:tcBorders>
              <w:top w:val="nil"/>
            </w:tcBorders>
            <w:shd w:val="clear" w:color="auto" w:fill="E0F3EF" w:themeFill="accent1" w:themeFillTint="33"/>
            <w:noWrap/>
          </w:tcPr>
          <w:p w14:paraId="51FAE09A" w14:textId="3404F5D7" w:rsidR="00432702" w:rsidRDefault="00432702" w:rsidP="00EB5A8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val="en-AU" w:eastAsia="en-AU"/>
              </w:rPr>
              <w:t>4</w:t>
            </w:r>
          </w:p>
        </w:tc>
        <w:tc>
          <w:tcPr>
            <w:tcW w:w="1276" w:type="dxa"/>
            <w:tcBorders>
              <w:top w:val="nil"/>
            </w:tcBorders>
            <w:shd w:val="clear" w:color="auto" w:fill="E0F3EF" w:themeFill="accent1" w:themeFillTint="33"/>
            <w:noWrap/>
          </w:tcPr>
          <w:p w14:paraId="20875AE6" w14:textId="3D58174A" w:rsidR="00432702" w:rsidRDefault="00432702" w:rsidP="00EB5A8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val="en-AU" w:eastAsia="en-AU"/>
              </w:rPr>
              <w:t>5</w:t>
            </w:r>
          </w:p>
        </w:tc>
      </w:tr>
      <w:tr w:rsidR="00CC3345" w:rsidRPr="00AF18F4" w14:paraId="4A9C1FFB" w14:textId="77777777" w:rsidTr="001A7A9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bottom w:val="nil"/>
            </w:tcBorders>
            <w:shd w:val="clear" w:color="auto" w:fill="F2F2F2" w:themeFill="background1" w:themeFillShade="F2"/>
          </w:tcPr>
          <w:p w14:paraId="53411F6C" w14:textId="3D471222" w:rsidR="00CC3345" w:rsidRDefault="00CC3345" w:rsidP="00F6464D">
            <w:pPr>
              <w:suppressAutoHyphens w:val="0"/>
              <w:spacing w:before="0" w:after="0" w:line="240" w:lineRule="auto"/>
              <w:rPr>
                <w:rFonts w:eastAsia="Times New Roman" w:cstheme="minorHAnsi"/>
                <w:color w:val="404040"/>
                <w:sz w:val="20"/>
                <w:szCs w:val="20"/>
                <w:lang w:val="en-AU" w:eastAsia="en-AU"/>
              </w:rPr>
            </w:pPr>
            <w:r w:rsidRPr="00432702">
              <w:rPr>
                <w:rFonts w:eastAsia="Times New Roman" w:cstheme="minorHAnsi"/>
                <w:b/>
                <w:bCs/>
                <w:color w:val="404040"/>
                <w:sz w:val="20"/>
                <w:szCs w:val="20"/>
                <w:lang w:val="en-AU" w:eastAsia="en-AU"/>
              </w:rPr>
              <w:t>Tropical Cyclone Gita Response and Recovery</w:t>
            </w:r>
          </w:p>
        </w:tc>
        <w:tc>
          <w:tcPr>
            <w:tcW w:w="1134" w:type="dxa"/>
            <w:tcBorders>
              <w:bottom w:val="nil"/>
            </w:tcBorders>
            <w:shd w:val="clear" w:color="auto" w:fill="F2F2F2" w:themeFill="background1" w:themeFillShade="F2"/>
          </w:tcPr>
          <w:p w14:paraId="045F548B" w14:textId="1FB222D9" w:rsidR="00CC3345" w:rsidRPr="00F6464D" w:rsidRDefault="00CC3345" w:rsidP="00F646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en-AU"/>
              </w:rPr>
            </w:pPr>
            <w:r w:rsidRPr="00F6464D">
              <w:rPr>
                <w:rFonts w:asciiTheme="minorHAnsi" w:eastAsia="Times New Roman" w:hAnsiTheme="minorHAnsi" w:cstheme="minorHAnsi"/>
                <w:color w:val="000000"/>
                <w:sz w:val="20"/>
                <w:szCs w:val="20"/>
                <w:lang w:eastAsia="en-AU"/>
              </w:rPr>
              <w:t>2022 FIMR</w:t>
            </w:r>
          </w:p>
        </w:tc>
        <w:tc>
          <w:tcPr>
            <w:tcW w:w="1276" w:type="dxa"/>
            <w:tcBorders>
              <w:bottom w:val="nil"/>
            </w:tcBorders>
            <w:shd w:val="clear" w:color="auto" w:fill="F2F2F2" w:themeFill="background1" w:themeFillShade="F2"/>
            <w:noWrap/>
          </w:tcPr>
          <w:p w14:paraId="583B17F6" w14:textId="0FEFAF88" w:rsidR="00CC3345" w:rsidRDefault="00CC3345" w:rsidP="00CC334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val="en-AU" w:eastAsia="en-AU"/>
              </w:rPr>
              <w:t>4</w:t>
            </w:r>
          </w:p>
        </w:tc>
        <w:tc>
          <w:tcPr>
            <w:tcW w:w="1134" w:type="dxa"/>
            <w:tcBorders>
              <w:bottom w:val="nil"/>
            </w:tcBorders>
            <w:shd w:val="clear" w:color="auto" w:fill="F2F2F2" w:themeFill="background1" w:themeFillShade="F2"/>
            <w:noWrap/>
          </w:tcPr>
          <w:p w14:paraId="6E130C6F" w14:textId="792DBFEE" w:rsidR="00CC3345" w:rsidRDefault="00CC3345" w:rsidP="00CC334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val="en-AU" w:eastAsia="en-AU"/>
              </w:rPr>
              <w:t>5</w:t>
            </w:r>
          </w:p>
        </w:tc>
        <w:tc>
          <w:tcPr>
            <w:tcW w:w="1276" w:type="dxa"/>
            <w:tcBorders>
              <w:bottom w:val="nil"/>
            </w:tcBorders>
            <w:shd w:val="clear" w:color="auto" w:fill="F2F2F2" w:themeFill="background1" w:themeFillShade="F2"/>
            <w:noWrap/>
          </w:tcPr>
          <w:p w14:paraId="6BD0F6E2" w14:textId="6B291142" w:rsidR="00CC3345" w:rsidRDefault="00CC3345" w:rsidP="00CC334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val="en-AU" w:eastAsia="en-AU"/>
              </w:rPr>
              <w:t>4</w:t>
            </w:r>
          </w:p>
        </w:tc>
      </w:tr>
      <w:tr w:rsidR="00CC3345" w:rsidRPr="00AF18F4" w14:paraId="43B91D14" w14:textId="77777777" w:rsidTr="001A7A9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tcBorders>
            <w:shd w:val="clear" w:color="auto" w:fill="F2F2F2" w:themeFill="background1" w:themeFillShade="F2"/>
          </w:tcPr>
          <w:p w14:paraId="466F2B08" w14:textId="055BD966" w:rsidR="00CC3345" w:rsidRPr="00432702" w:rsidRDefault="00CC3345" w:rsidP="00CC3345">
            <w:pPr>
              <w:suppressAutoHyphens w:val="0"/>
              <w:spacing w:before="0" w:after="0" w:line="240" w:lineRule="auto"/>
              <w:ind w:firstLineChars="100" w:firstLine="200"/>
              <w:rPr>
                <w:rFonts w:eastAsia="Times New Roman" w:cstheme="minorHAnsi"/>
                <w:b/>
                <w:bCs/>
                <w:color w:val="404040"/>
                <w:sz w:val="20"/>
                <w:szCs w:val="20"/>
                <w:lang w:val="en-AU" w:eastAsia="en-AU"/>
              </w:rPr>
            </w:pPr>
            <w:r>
              <w:rPr>
                <w:rFonts w:eastAsia="Times New Roman" w:cstheme="minorHAnsi"/>
                <w:color w:val="404040"/>
                <w:sz w:val="20"/>
                <w:szCs w:val="20"/>
                <w:lang w:val="en-AU" w:eastAsia="en-AU"/>
              </w:rPr>
              <w:t>Investment duration: 2018-25</w:t>
            </w:r>
            <w:r w:rsidR="00F6464D">
              <w:rPr>
                <w:rFonts w:eastAsia="Times New Roman" w:cstheme="minorHAnsi"/>
                <w:color w:val="404040"/>
                <w:sz w:val="20"/>
                <w:szCs w:val="20"/>
                <w:lang w:val="en-AU" w:eastAsia="en-AU"/>
              </w:rPr>
              <w:t>; Budget: $7.3m</w:t>
            </w:r>
          </w:p>
        </w:tc>
        <w:tc>
          <w:tcPr>
            <w:tcW w:w="1134" w:type="dxa"/>
            <w:tcBorders>
              <w:top w:val="nil"/>
            </w:tcBorders>
            <w:shd w:val="clear" w:color="auto" w:fill="F2F2F2" w:themeFill="background1" w:themeFillShade="F2"/>
          </w:tcPr>
          <w:p w14:paraId="31D2A17B" w14:textId="7D1C8718" w:rsidR="00CC3345" w:rsidRPr="00F6464D" w:rsidRDefault="00CC3345" w:rsidP="00F646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en-AU"/>
              </w:rPr>
            </w:pPr>
            <w:r w:rsidRPr="00F6464D">
              <w:rPr>
                <w:rFonts w:asciiTheme="minorHAnsi" w:eastAsia="Times New Roman" w:hAnsiTheme="minorHAnsi" w:cstheme="minorHAnsi"/>
                <w:color w:val="000000"/>
                <w:sz w:val="20"/>
                <w:szCs w:val="20"/>
                <w:lang w:eastAsia="en-AU"/>
              </w:rPr>
              <w:t>2021 HIMR</w:t>
            </w:r>
          </w:p>
        </w:tc>
        <w:tc>
          <w:tcPr>
            <w:tcW w:w="1276" w:type="dxa"/>
            <w:tcBorders>
              <w:top w:val="nil"/>
            </w:tcBorders>
            <w:shd w:val="clear" w:color="auto" w:fill="F2F2F2" w:themeFill="background1" w:themeFillShade="F2"/>
            <w:noWrap/>
          </w:tcPr>
          <w:p w14:paraId="7889C1C6" w14:textId="4A77AFFC" w:rsidR="00CC3345" w:rsidRDefault="00CC3345" w:rsidP="00CC334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val="en-AU" w:eastAsia="en-AU"/>
              </w:rPr>
              <w:t>5</w:t>
            </w:r>
          </w:p>
        </w:tc>
        <w:tc>
          <w:tcPr>
            <w:tcW w:w="1134" w:type="dxa"/>
            <w:tcBorders>
              <w:top w:val="nil"/>
            </w:tcBorders>
            <w:shd w:val="clear" w:color="auto" w:fill="F2F2F2" w:themeFill="background1" w:themeFillShade="F2"/>
            <w:noWrap/>
          </w:tcPr>
          <w:p w14:paraId="57DBBDD1" w14:textId="6CA73195" w:rsidR="00CC3345" w:rsidRDefault="00CC3345" w:rsidP="00CC334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val="en-AU" w:eastAsia="en-AU"/>
              </w:rPr>
              <w:t>5</w:t>
            </w:r>
          </w:p>
        </w:tc>
        <w:tc>
          <w:tcPr>
            <w:tcW w:w="1276" w:type="dxa"/>
            <w:tcBorders>
              <w:top w:val="nil"/>
            </w:tcBorders>
            <w:shd w:val="clear" w:color="auto" w:fill="F2F2F2" w:themeFill="background1" w:themeFillShade="F2"/>
            <w:noWrap/>
          </w:tcPr>
          <w:p w14:paraId="240DE28E" w14:textId="65261591" w:rsidR="00CC3345" w:rsidRDefault="00CC3345" w:rsidP="00CC334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val="en-AU" w:eastAsia="en-AU"/>
              </w:rPr>
              <w:t>5</w:t>
            </w:r>
          </w:p>
        </w:tc>
      </w:tr>
      <w:tr w:rsidR="00F6464D" w:rsidRPr="00AF18F4" w14:paraId="1C36122E" w14:textId="77777777" w:rsidTr="001A7A9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bottom w:val="nil"/>
            </w:tcBorders>
            <w:shd w:val="clear" w:color="auto" w:fill="E0F3EF" w:themeFill="accent1" w:themeFillTint="33"/>
          </w:tcPr>
          <w:p w14:paraId="25AC1467" w14:textId="55099DFE" w:rsidR="00F6464D" w:rsidRDefault="00F6464D" w:rsidP="00F6464D">
            <w:pPr>
              <w:suppressAutoHyphens w:val="0"/>
              <w:spacing w:before="0" w:after="0" w:line="240" w:lineRule="auto"/>
              <w:rPr>
                <w:rFonts w:eastAsia="Times New Roman" w:cstheme="minorHAnsi"/>
                <w:color w:val="404040"/>
                <w:sz w:val="20"/>
                <w:szCs w:val="20"/>
                <w:lang w:val="en-AU" w:eastAsia="en-AU"/>
              </w:rPr>
            </w:pPr>
            <w:r w:rsidRPr="00DC72EF">
              <w:rPr>
                <w:rFonts w:eastAsia="Times New Roman" w:cstheme="minorHAnsi"/>
                <w:b/>
                <w:bCs/>
                <w:color w:val="404040"/>
                <w:sz w:val="20"/>
                <w:szCs w:val="20"/>
                <w:lang w:val="en-AU" w:eastAsia="en-AU"/>
              </w:rPr>
              <w:t>Nuku'alofa Urban Development Sector Project</w:t>
            </w:r>
          </w:p>
        </w:tc>
        <w:tc>
          <w:tcPr>
            <w:tcW w:w="1134" w:type="dxa"/>
            <w:tcBorders>
              <w:bottom w:val="nil"/>
            </w:tcBorders>
            <w:shd w:val="clear" w:color="auto" w:fill="E0F3EF" w:themeFill="accent1" w:themeFillTint="33"/>
          </w:tcPr>
          <w:p w14:paraId="55977AE6" w14:textId="6CFF0C23" w:rsidR="00F6464D" w:rsidRPr="00F6464D" w:rsidRDefault="00F6464D" w:rsidP="00F646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en-AU"/>
              </w:rPr>
            </w:pPr>
            <w:r w:rsidRPr="00F6464D">
              <w:rPr>
                <w:rFonts w:asciiTheme="minorHAnsi" w:eastAsia="Times New Roman" w:hAnsiTheme="minorHAnsi" w:cstheme="minorHAnsi"/>
                <w:color w:val="000000"/>
                <w:sz w:val="20"/>
                <w:szCs w:val="20"/>
                <w:lang w:eastAsia="en-AU"/>
              </w:rPr>
              <w:t>2022 FIMR</w:t>
            </w:r>
          </w:p>
        </w:tc>
        <w:tc>
          <w:tcPr>
            <w:tcW w:w="1276" w:type="dxa"/>
            <w:tcBorders>
              <w:bottom w:val="nil"/>
            </w:tcBorders>
            <w:shd w:val="clear" w:color="auto" w:fill="E0F3EF" w:themeFill="accent1" w:themeFillTint="33"/>
            <w:noWrap/>
          </w:tcPr>
          <w:p w14:paraId="2F52AE56" w14:textId="0F818604" w:rsidR="00F6464D" w:rsidRDefault="00F6464D" w:rsidP="00F646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val="en-AU" w:eastAsia="en-AU"/>
              </w:rPr>
              <w:t>5</w:t>
            </w:r>
          </w:p>
        </w:tc>
        <w:tc>
          <w:tcPr>
            <w:tcW w:w="1134" w:type="dxa"/>
            <w:tcBorders>
              <w:bottom w:val="nil"/>
            </w:tcBorders>
            <w:shd w:val="clear" w:color="auto" w:fill="E0F3EF" w:themeFill="accent1" w:themeFillTint="33"/>
            <w:noWrap/>
          </w:tcPr>
          <w:p w14:paraId="11F6D87C" w14:textId="76FEFF1F" w:rsidR="00F6464D" w:rsidRDefault="00F6464D" w:rsidP="00F646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val="en-AU" w:eastAsia="en-AU"/>
              </w:rPr>
              <w:t>4</w:t>
            </w:r>
          </w:p>
        </w:tc>
        <w:tc>
          <w:tcPr>
            <w:tcW w:w="1276" w:type="dxa"/>
            <w:tcBorders>
              <w:bottom w:val="nil"/>
            </w:tcBorders>
            <w:shd w:val="clear" w:color="auto" w:fill="E0F3EF" w:themeFill="accent1" w:themeFillTint="33"/>
            <w:noWrap/>
          </w:tcPr>
          <w:p w14:paraId="45DBCC36" w14:textId="2F8E46E4" w:rsidR="00F6464D" w:rsidRDefault="00F6464D" w:rsidP="00F646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val="en-AU" w:eastAsia="en-AU"/>
              </w:rPr>
              <w:t>4</w:t>
            </w:r>
          </w:p>
        </w:tc>
      </w:tr>
      <w:tr w:rsidR="00F6464D" w:rsidRPr="00AF18F4" w14:paraId="5BEDBDDD" w14:textId="77777777" w:rsidTr="001A7A9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tcBorders>
            <w:shd w:val="clear" w:color="auto" w:fill="E0F3EF" w:themeFill="accent1" w:themeFillTint="33"/>
          </w:tcPr>
          <w:p w14:paraId="61642B07" w14:textId="004271C6" w:rsidR="00F6464D" w:rsidRDefault="00F6464D" w:rsidP="00F6464D">
            <w:pPr>
              <w:suppressAutoHyphens w:val="0"/>
              <w:spacing w:before="0" w:after="0" w:line="240" w:lineRule="auto"/>
              <w:ind w:firstLineChars="100" w:firstLine="200"/>
              <w:rPr>
                <w:rFonts w:eastAsia="Times New Roman" w:cstheme="minorHAnsi"/>
                <w:color w:val="404040"/>
                <w:sz w:val="20"/>
                <w:szCs w:val="20"/>
                <w:lang w:val="en-AU" w:eastAsia="en-AU"/>
              </w:rPr>
            </w:pPr>
            <w:r>
              <w:rPr>
                <w:rFonts w:eastAsia="Times New Roman" w:cstheme="minorHAnsi"/>
                <w:color w:val="404040"/>
                <w:sz w:val="20"/>
                <w:szCs w:val="20"/>
                <w:lang w:val="en-AU" w:eastAsia="en-AU"/>
              </w:rPr>
              <w:t>Investment duration: 2011-20:  Budget: $9.1m</w:t>
            </w:r>
          </w:p>
        </w:tc>
        <w:tc>
          <w:tcPr>
            <w:tcW w:w="1134" w:type="dxa"/>
            <w:tcBorders>
              <w:top w:val="nil"/>
            </w:tcBorders>
            <w:shd w:val="clear" w:color="auto" w:fill="E0F3EF" w:themeFill="accent1" w:themeFillTint="33"/>
          </w:tcPr>
          <w:p w14:paraId="5AD38DD9" w14:textId="10135D59" w:rsidR="00F6464D" w:rsidRPr="00F6464D" w:rsidRDefault="00F6464D" w:rsidP="00F646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en-AU"/>
              </w:rPr>
            </w:pPr>
            <w:r w:rsidRPr="00F6464D">
              <w:rPr>
                <w:rFonts w:asciiTheme="minorHAnsi" w:eastAsia="Times New Roman" w:hAnsiTheme="minorHAnsi" w:cstheme="minorHAnsi"/>
                <w:color w:val="000000"/>
                <w:sz w:val="20"/>
                <w:szCs w:val="20"/>
                <w:lang w:eastAsia="en-AU"/>
              </w:rPr>
              <w:t>2021 IMR</w:t>
            </w:r>
          </w:p>
        </w:tc>
        <w:tc>
          <w:tcPr>
            <w:tcW w:w="1276" w:type="dxa"/>
            <w:tcBorders>
              <w:top w:val="nil"/>
            </w:tcBorders>
            <w:shd w:val="clear" w:color="auto" w:fill="E0F3EF" w:themeFill="accent1" w:themeFillTint="33"/>
            <w:noWrap/>
          </w:tcPr>
          <w:p w14:paraId="00F5A3AA" w14:textId="51F0DD73" w:rsidR="00F6464D" w:rsidRDefault="00F6464D" w:rsidP="00F646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val="en-AU" w:eastAsia="en-AU"/>
              </w:rPr>
              <w:t>4</w:t>
            </w:r>
          </w:p>
        </w:tc>
        <w:tc>
          <w:tcPr>
            <w:tcW w:w="1134" w:type="dxa"/>
            <w:tcBorders>
              <w:top w:val="nil"/>
            </w:tcBorders>
            <w:shd w:val="clear" w:color="auto" w:fill="E0F3EF" w:themeFill="accent1" w:themeFillTint="33"/>
            <w:noWrap/>
          </w:tcPr>
          <w:p w14:paraId="6A945E76" w14:textId="206C5CE0" w:rsidR="00F6464D" w:rsidRDefault="00F6464D" w:rsidP="00F646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val="en-AU" w:eastAsia="en-AU"/>
              </w:rPr>
              <w:t>4</w:t>
            </w:r>
          </w:p>
        </w:tc>
        <w:tc>
          <w:tcPr>
            <w:tcW w:w="1276" w:type="dxa"/>
            <w:tcBorders>
              <w:top w:val="nil"/>
            </w:tcBorders>
            <w:shd w:val="clear" w:color="auto" w:fill="E0F3EF" w:themeFill="accent1" w:themeFillTint="33"/>
            <w:noWrap/>
          </w:tcPr>
          <w:p w14:paraId="58F8CD6D" w14:textId="7833D018" w:rsidR="00F6464D" w:rsidRDefault="00F6464D" w:rsidP="00F646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val="en-AU" w:eastAsia="en-AU"/>
              </w:rPr>
              <w:t>5</w:t>
            </w:r>
          </w:p>
        </w:tc>
      </w:tr>
    </w:tbl>
    <w:p w14:paraId="17600418" w14:textId="5EA41F23" w:rsidR="00681633" w:rsidRDefault="00681633" w:rsidP="007A4493">
      <w:pPr>
        <w:spacing w:before="240" w:after="0" w:line="240" w:lineRule="auto"/>
        <w:jc w:val="both"/>
        <w:rPr>
          <w:rFonts w:eastAsia="Times New Roman"/>
          <w:sz w:val="17"/>
          <w:szCs w:val="17"/>
        </w:rPr>
      </w:pPr>
      <w:r w:rsidRPr="00A05FF5">
        <w:rPr>
          <w:rFonts w:eastAsia="Times New Roman"/>
          <w:b/>
          <w:sz w:val="17"/>
          <w:szCs w:val="17"/>
        </w:rPr>
        <w:t>Definitions of rating scale</w:t>
      </w:r>
      <w:r w:rsidRPr="00A05FF5">
        <w:rPr>
          <w:rFonts w:eastAsia="Times New Roman"/>
          <w:sz w:val="17"/>
          <w:szCs w:val="17"/>
        </w:rPr>
        <w:t>:</w:t>
      </w:r>
      <w:r w:rsidRPr="00A05FF5">
        <w:rPr>
          <w:rFonts w:eastAsia="Times New Roman"/>
          <w:sz w:val="17"/>
          <w:szCs w:val="17"/>
        </w:rPr>
        <w:tab/>
      </w:r>
    </w:p>
    <w:p w14:paraId="5989C7B0" w14:textId="77777777" w:rsidR="00681633" w:rsidRPr="00787267" w:rsidRDefault="00681633" w:rsidP="00681633">
      <w:pPr>
        <w:spacing w:before="20" w:after="20" w:line="180" w:lineRule="atLeast"/>
        <w:jc w:val="both"/>
        <w:rPr>
          <w:rFonts w:eastAsia="Times New Roman"/>
          <w:sz w:val="17"/>
          <w:szCs w:val="17"/>
        </w:rPr>
      </w:pPr>
      <w:r w:rsidRPr="00787267">
        <w:rPr>
          <w:rFonts w:eastAsia="Times New Roman"/>
          <w:sz w:val="17"/>
          <w:szCs w:val="17"/>
          <w:u w:val="single"/>
        </w:rPr>
        <w:t>Satisfactory (4, 5 and 6)</w:t>
      </w:r>
    </w:p>
    <w:p w14:paraId="15BE82E8" w14:textId="77777777" w:rsidR="00681633" w:rsidRPr="00787267" w:rsidRDefault="00681633" w:rsidP="00681633">
      <w:pPr>
        <w:spacing w:line="240" w:lineRule="auto"/>
        <w:rPr>
          <w:sz w:val="16"/>
          <w:szCs w:val="16"/>
        </w:rPr>
      </w:pPr>
      <w:r w:rsidRPr="00787267">
        <w:rPr>
          <w:sz w:val="16"/>
          <w:szCs w:val="16"/>
        </w:rPr>
        <w:t xml:space="preserve">6 = Very good; satisfies criteria in all areas. </w:t>
      </w:r>
      <w:r>
        <w:rPr>
          <w:sz w:val="16"/>
          <w:szCs w:val="16"/>
        </w:rPr>
        <w:br/>
      </w:r>
      <w:r w:rsidRPr="00787267">
        <w:rPr>
          <w:sz w:val="16"/>
          <w:szCs w:val="16"/>
        </w:rPr>
        <w:t>5 = Good; satisfies criteria in almost all areas.</w:t>
      </w:r>
      <w:r>
        <w:rPr>
          <w:sz w:val="16"/>
          <w:szCs w:val="16"/>
        </w:rPr>
        <w:br/>
      </w:r>
      <w:r w:rsidRPr="00787267">
        <w:rPr>
          <w:sz w:val="16"/>
          <w:szCs w:val="16"/>
        </w:rPr>
        <w:t>4 = Adequate; on balance, satisfies criteria; does not fail in any major area.</w:t>
      </w:r>
    </w:p>
    <w:p w14:paraId="48B0BB33" w14:textId="77777777" w:rsidR="00681633" w:rsidRPr="00787267" w:rsidRDefault="00681633" w:rsidP="00681633">
      <w:pPr>
        <w:spacing w:line="240" w:lineRule="auto"/>
        <w:rPr>
          <w:sz w:val="16"/>
          <w:szCs w:val="16"/>
          <w:u w:val="single"/>
        </w:rPr>
      </w:pPr>
      <w:r w:rsidRPr="00787267">
        <w:rPr>
          <w:sz w:val="16"/>
          <w:szCs w:val="16"/>
          <w:u w:val="single"/>
        </w:rPr>
        <w:t>Less than satisfactory (1, 2 and 3)</w:t>
      </w:r>
    </w:p>
    <w:p w14:paraId="4DC45723" w14:textId="62D36230" w:rsidR="00681633" w:rsidRDefault="00681633" w:rsidP="008A6BB7">
      <w:pPr>
        <w:spacing w:before="0" w:after="0" w:line="240" w:lineRule="auto"/>
      </w:pPr>
      <w:r w:rsidRPr="00787267">
        <w:rPr>
          <w:sz w:val="16"/>
          <w:szCs w:val="16"/>
        </w:rPr>
        <w:t>3 = Less than adequate; on balance does not satisfy criteria and/or fails in at least one major area.</w:t>
      </w:r>
      <w:r>
        <w:rPr>
          <w:sz w:val="16"/>
          <w:szCs w:val="16"/>
        </w:rPr>
        <w:br/>
      </w:r>
      <w:r w:rsidRPr="00787267">
        <w:rPr>
          <w:sz w:val="16"/>
          <w:szCs w:val="16"/>
        </w:rPr>
        <w:t>2 = Poor; does not sa</w:t>
      </w:r>
      <w:r>
        <w:rPr>
          <w:sz w:val="16"/>
          <w:szCs w:val="16"/>
        </w:rPr>
        <w:t>tisfy criteria in major areas.</w:t>
      </w:r>
      <w:r>
        <w:rPr>
          <w:sz w:val="16"/>
          <w:szCs w:val="16"/>
        </w:rPr>
        <w:br/>
      </w:r>
      <w:r w:rsidRPr="00787267">
        <w:rPr>
          <w:sz w:val="16"/>
          <w:szCs w:val="16"/>
        </w:rPr>
        <w:t xml:space="preserve">1 = Very poor; does not satisfy criteria in many major </w:t>
      </w:r>
      <w:proofErr w:type="gramStart"/>
      <w:r w:rsidRPr="00787267">
        <w:rPr>
          <w:sz w:val="16"/>
          <w:szCs w:val="16"/>
        </w:rPr>
        <w:t>area</w:t>
      </w:r>
      <w:proofErr w:type="gramEnd"/>
      <w:r w:rsidRPr="00A05FF5">
        <w:t>.</w:t>
      </w:r>
      <w:r>
        <w:br/>
      </w:r>
    </w:p>
    <w:sectPr w:rsidR="00681633" w:rsidSect="006C3F74">
      <w:headerReference w:type="default" r:id="rId10"/>
      <w:footerReference w:type="default" r:id="rId11"/>
      <w:headerReference w:type="first" r:id="rId12"/>
      <w:pgSz w:w="11906" w:h="16838" w:code="9"/>
      <w:pgMar w:top="1559" w:right="680" w:bottom="1418" w:left="680" w:header="567"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53C53" w14:textId="77777777" w:rsidR="00A63DFF" w:rsidRDefault="00A63DFF" w:rsidP="00D37B04">
      <w:r>
        <w:separator/>
      </w:r>
    </w:p>
  </w:endnote>
  <w:endnote w:type="continuationSeparator" w:id="0">
    <w:p w14:paraId="775594A5" w14:textId="77777777" w:rsidR="00A63DFF" w:rsidRDefault="00A63DFF" w:rsidP="00D37B04">
      <w:r>
        <w:continuationSeparator/>
      </w:r>
    </w:p>
  </w:endnote>
  <w:endnote w:type="continuationNotice" w:id="1">
    <w:p w14:paraId="5B26423A" w14:textId="77777777" w:rsidR="00A63DFF" w:rsidRDefault="00A63DF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uto"/>
      </w:rPr>
      <w:id w:val="161368827"/>
      <w:docPartObj>
        <w:docPartGallery w:val="Page Numbers (Bottom of Page)"/>
        <w:docPartUnique/>
      </w:docPartObj>
    </w:sdtPr>
    <w:sdtEndPr>
      <w:rPr>
        <w:noProof/>
      </w:rPr>
    </w:sdtEndPr>
    <w:sdtContent>
      <w:p w14:paraId="10BB5A1F" w14:textId="11D2F764" w:rsidR="0005564F" w:rsidRDefault="0005564F">
        <w:pPr>
          <w:pStyle w:val="Footer"/>
          <w:jc w:val="center"/>
          <w:rPr>
            <w:color w:val="auto"/>
          </w:rPr>
        </w:pPr>
        <w:r>
          <w:rPr>
            <w:noProof/>
            <w:color w:val="auto"/>
          </w:rPr>
          <w:drawing>
            <wp:anchor distT="0" distB="0" distL="114300" distR="114300" simplePos="0" relativeHeight="251658240" behindDoc="1" locked="0" layoutInCell="1" allowOverlap="1" wp14:anchorId="0A9940EE" wp14:editId="4060A275">
              <wp:simplePos x="0" y="0"/>
              <wp:positionH relativeFrom="margin">
                <wp:align>left</wp:align>
              </wp:positionH>
              <wp:positionV relativeFrom="paragraph">
                <wp:posOffset>5163</wp:posOffset>
              </wp:positionV>
              <wp:extent cx="6629948" cy="357173"/>
              <wp:effectExtent l="0" t="0" r="0" b="5080"/>
              <wp:wrapNone/>
              <wp:docPr id="310" name="Picture 3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8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29948" cy="357173"/>
                      </a:xfrm>
                      <a:prstGeom prst="rect">
                        <a:avLst/>
                      </a:prstGeom>
                    </pic:spPr>
                  </pic:pic>
                </a:graphicData>
              </a:graphic>
              <wp14:sizeRelH relativeFrom="margin">
                <wp14:pctWidth>0</wp14:pctWidth>
              </wp14:sizeRelH>
              <wp14:sizeRelV relativeFrom="margin">
                <wp14:pctHeight>0</wp14:pctHeight>
              </wp14:sizeRelV>
            </wp:anchor>
          </w:drawing>
        </w:r>
      </w:p>
      <w:p w14:paraId="3F66EFC2" w14:textId="15A3A4C4" w:rsidR="001D3DDD" w:rsidRPr="0042526D" w:rsidRDefault="001D3DDD">
        <w:pPr>
          <w:pStyle w:val="Footer"/>
          <w:jc w:val="center"/>
          <w:rPr>
            <w:noProof/>
            <w:color w:val="auto"/>
            <w:sz w:val="20"/>
            <w:szCs w:val="20"/>
          </w:rPr>
        </w:pPr>
        <w:r w:rsidRPr="0042526D">
          <w:rPr>
            <w:color w:val="auto"/>
            <w:sz w:val="20"/>
            <w:szCs w:val="20"/>
          </w:rPr>
          <w:fldChar w:fldCharType="begin"/>
        </w:r>
        <w:r w:rsidRPr="0042526D">
          <w:rPr>
            <w:color w:val="auto"/>
            <w:sz w:val="20"/>
            <w:szCs w:val="20"/>
          </w:rPr>
          <w:instrText xml:space="preserve"> PAGE   \* MERGEFORMAT </w:instrText>
        </w:r>
        <w:r w:rsidRPr="0042526D">
          <w:rPr>
            <w:color w:val="auto"/>
            <w:sz w:val="20"/>
            <w:szCs w:val="20"/>
          </w:rPr>
          <w:fldChar w:fldCharType="separate"/>
        </w:r>
        <w:r w:rsidRPr="0042526D">
          <w:rPr>
            <w:noProof/>
            <w:color w:val="auto"/>
            <w:sz w:val="20"/>
            <w:szCs w:val="20"/>
          </w:rPr>
          <w:t>2</w:t>
        </w:r>
        <w:r w:rsidRPr="0042526D">
          <w:rPr>
            <w:noProof/>
            <w:color w:val="auto"/>
            <w:sz w:val="20"/>
            <w:szCs w:val="20"/>
          </w:rPr>
          <w:fldChar w:fldCharType="end"/>
        </w:r>
      </w:p>
      <w:p w14:paraId="1E51B8D5" w14:textId="36153225" w:rsidR="001D3DDD" w:rsidRPr="001D3DDD" w:rsidRDefault="000237E4" w:rsidP="0005564F">
        <w:pPr>
          <w:pStyle w:val="Footer"/>
          <w:spacing w:line="240" w:lineRule="auto"/>
          <w:jc w:val="center"/>
          <w:rPr>
            <w:color w:val="auto"/>
          </w:rPr>
        </w:pPr>
      </w:p>
    </w:sdtContent>
  </w:sdt>
  <w:p w14:paraId="3A729F02" w14:textId="519EAB54" w:rsidR="009131E9" w:rsidRDefault="009131E9" w:rsidP="009131E9">
    <w:pPr>
      <w:pStyle w:val="Footer"/>
      <w:spacing w:line="240"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284FC" w14:textId="77777777" w:rsidR="00A63DFF" w:rsidRPr="008C5A0E" w:rsidRDefault="00A63DFF" w:rsidP="00D37B04">
      <w:pPr>
        <w:pStyle w:val="Footer"/>
      </w:pPr>
    </w:p>
  </w:footnote>
  <w:footnote w:type="continuationSeparator" w:id="0">
    <w:p w14:paraId="1E4C92C6" w14:textId="77777777" w:rsidR="00A63DFF" w:rsidRDefault="00A63DFF" w:rsidP="00D37B04">
      <w:r>
        <w:continuationSeparator/>
      </w:r>
    </w:p>
  </w:footnote>
  <w:footnote w:type="continuationNotice" w:id="1">
    <w:p w14:paraId="039D6B4B" w14:textId="77777777" w:rsidR="00A63DFF" w:rsidRDefault="00A63DF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17E92" w14:textId="076D284F" w:rsidR="009131E9" w:rsidRDefault="009131E9" w:rsidP="007A4493">
    <w:pPr>
      <w:pStyle w:val="Header"/>
      <w:ind w:left="0"/>
    </w:pPr>
    <w:r w:rsidRPr="00A12B40">
      <w:rPr>
        <w:i/>
        <w:noProof/>
        <w:lang w:val="en-AU" w:eastAsia="en-AU"/>
      </w:rPr>
      <w:drawing>
        <wp:inline distT="0" distB="0" distL="0" distR="0" wp14:anchorId="7248A92F" wp14:editId="7CBD7E78">
          <wp:extent cx="6718853" cy="707390"/>
          <wp:effectExtent l="0" t="0" r="6350" b="0"/>
          <wp:docPr id="309" name="Picture 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803267" cy="71627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F2A5E" w14:textId="483FCFE4" w:rsidR="00920854" w:rsidRDefault="009131E9" w:rsidP="001F7F4D">
    <w:pPr>
      <w:pStyle w:val="Header"/>
      <w:spacing w:after="240"/>
      <w:ind w:left="0"/>
    </w:pPr>
    <w:r>
      <w:rPr>
        <w:noProof/>
      </w:rPr>
      <w:drawing>
        <wp:inline distT="0" distB="0" distL="0" distR="0" wp14:anchorId="53173A37" wp14:editId="3D212865">
          <wp:extent cx="6696075" cy="1247775"/>
          <wp:effectExtent l="0" t="0" r="9525" b="9525"/>
          <wp:docPr id="311" name="Picture 311" descr="Australian Government DFAT logo and 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Australian Government DFAT logo and Australian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1247775"/>
                  </a:xfrm>
                  <a:prstGeom prst="rect">
                    <a:avLst/>
                  </a:prstGeom>
                  <a:noFill/>
                  <a:ln>
                    <a:noFill/>
                  </a:ln>
                </pic:spPr>
              </pic:pic>
            </a:graphicData>
          </a:graphic>
        </wp:inline>
      </w:drawing>
    </w:r>
  </w:p>
  <w:p w14:paraId="21592AB9" w14:textId="77777777" w:rsidR="00920854" w:rsidRPr="00943730" w:rsidRDefault="00920854" w:rsidP="008C6149">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F96F6B"/>
    <w:multiLevelType w:val="hybridMultilevel"/>
    <w:tmpl w:val="C9B491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4C33A5"/>
    <w:multiLevelType w:val="hybridMultilevel"/>
    <w:tmpl w:val="FACE39C2"/>
    <w:lvl w:ilvl="0" w:tplc="0C09000F">
      <w:start w:val="1"/>
      <w:numFmt w:val="decimal"/>
      <w:lvlText w:val="%1."/>
      <w:lvlJc w:val="left"/>
      <w:pPr>
        <w:ind w:left="884" w:hanging="360"/>
      </w:pPr>
    </w:lvl>
    <w:lvl w:ilvl="1" w:tplc="0C090019" w:tentative="1">
      <w:start w:val="1"/>
      <w:numFmt w:val="lowerLetter"/>
      <w:lvlText w:val="%2."/>
      <w:lvlJc w:val="left"/>
      <w:pPr>
        <w:ind w:left="1604" w:hanging="360"/>
      </w:pPr>
    </w:lvl>
    <w:lvl w:ilvl="2" w:tplc="0C09001B" w:tentative="1">
      <w:start w:val="1"/>
      <w:numFmt w:val="lowerRoman"/>
      <w:lvlText w:val="%3."/>
      <w:lvlJc w:val="right"/>
      <w:pPr>
        <w:ind w:left="2324" w:hanging="180"/>
      </w:pPr>
    </w:lvl>
    <w:lvl w:ilvl="3" w:tplc="0C09000F" w:tentative="1">
      <w:start w:val="1"/>
      <w:numFmt w:val="decimal"/>
      <w:lvlText w:val="%4."/>
      <w:lvlJc w:val="left"/>
      <w:pPr>
        <w:ind w:left="3044" w:hanging="360"/>
      </w:pPr>
    </w:lvl>
    <w:lvl w:ilvl="4" w:tplc="0C090019" w:tentative="1">
      <w:start w:val="1"/>
      <w:numFmt w:val="lowerLetter"/>
      <w:lvlText w:val="%5."/>
      <w:lvlJc w:val="left"/>
      <w:pPr>
        <w:ind w:left="3764" w:hanging="360"/>
      </w:pPr>
    </w:lvl>
    <w:lvl w:ilvl="5" w:tplc="0C09001B" w:tentative="1">
      <w:start w:val="1"/>
      <w:numFmt w:val="lowerRoman"/>
      <w:lvlText w:val="%6."/>
      <w:lvlJc w:val="right"/>
      <w:pPr>
        <w:ind w:left="4484" w:hanging="180"/>
      </w:pPr>
    </w:lvl>
    <w:lvl w:ilvl="6" w:tplc="0C09000F" w:tentative="1">
      <w:start w:val="1"/>
      <w:numFmt w:val="decimal"/>
      <w:lvlText w:val="%7."/>
      <w:lvlJc w:val="left"/>
      <w:pPr>
        <w:ind w:left="5204" w:hanging="360"/>
      </w:pPr>
    </w:lvl>
    <w:lvl w:ilvl="7" w:tplc="0C090019" w:tentative="1">
      <w:start w:val="1"/>
      <w:numFmt w:val="lowerLetter"/>
      <w:lvlText w:val="%8."/>
      <w:lvlJc w:val="left"/>
      <w:pPr>
        <w:ind w:left="5924" w:hanging="360"/>
      </w:pPr>
    </w:lvl>
    <w:lvl w:ilvl="8" w:tplc="0C09001B" w:tentative="1">
      <w:start w:val="1"/>
      <w:numFmt w:val="lowerRoman"/>
      <w:lvlText w:val="%9."/>
      <w:lvlJc w:val="right"/>
      <w:pPr>
        <w:ind w:left="6644" w:hanging="180"/>
      </w:pPr>
    </w:lvl>
  </w:abstractNum>
  <w:abstractNum w:abstractNumId="3"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DF06AC3"/>
    <w:multiLevelType w:val="hybridMultilevel"/>
    <w:tmpl w:val="CFC098A4"/>
    <w:lvl w:ilvl="0" w:tplc="B7968C8E">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6" w15:restartNumberingAfterBreak="0">
    <w:nsid w:val="1F0548BC"/>
    <w:multiLevelType w:val="hybridMultilevel"/>
    <w:tmpl w:val="26D04D08"/>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3A7C3B"/>
    <w:multiLevelType w:val="hybridMultilevel"/>
    <w:tmpl w:val="92A8AF8E"/>
    <w:lvl w:ilvl="0" w:tplc="0C090001">
      <w:start w:val="1"/>
      <w:numFmt w:val="bullet"/>
      <w:lvlText w:val=""/>
      <w:lvlJc w:val="left"/>
      <w:pPr>
        <w:ind w:left="817" w:hanging="360"/>
      </w:pPr>
      <w:rPr>
        <w:rFonts w:ascii="Symbol" w:hAnsi="Symbol" w:hint="default"/>
      </w:rPr>
    </w:lvl>
    <w:lvl w:ilvl="1" w:tplc="0C090003" w:tentative="1">
      <w:start w:val="1"/>
      <w:numFmt w:val="bullet"/>
      <w:lvlText w:val="o"/>
      <w:lvlJc w:val="left"/>
      <w:pPr>
        <w:ind w:left="1537" w:hanging="360"/>
      </w:pPr>
      <w:rPr>
        <w:rFonts w:ascii="Courier New" w:hAnsi="Courier New" w:cs="Courier New" w:hint="default"/>
      </w:rPr>
    </w:lvl>
    <w:lvl w:ilvl="2" w:tplc="0C090005" w:tentative="1">
      <w:start w:val="1"/>
      <w:numFmt w:val="bullet"/>
      <w:lvlText w:val=""/>
      <w:lvlJc w:val="left"/>
      <w:pPr>
        <w:ind w:left="2257" w:hanging="360"/>
      </w:pPr>
      <w:rPr>
        <w:rFonts w:ascii="Wingdings" w:hAnsi="Wingdings" w:hint="default"/>
      </w:rPr>
    </w:lvl>
    <w:lvl w:ilvl="3" w:tplc="0C090001" w:tentative="1">
      <w:start w:val="1"/>
      <w:numFmt w:val="bullet"/>
      <w:lvlText w:val=""/>
      <w:lvlJc w:val="left"/>
      <w:pPr>
        <w:ind w:left="2977" w:hanging="360"/>
      </w:pPr>
      <w:rPr>
        <w:rFonts w:ascii="Symbol" w:hAnsi="Symbol" w:hint="default"/>
      </w:rPr>
    </w:lvl>
    <w:lvl w:ilvl="4" w:tplc="0C090003" w:tentative="1">
      <w:start w:val="1"/>
      <w:numFmt w:val="bullet"/>
      <w:lvlText w:val="o"/>
      <w:lvlJc w:val="left"/>
      <w:pPr>
        <w:ind w:left="3697" w:hanging="360"/>
      </w:pPr>
      <w:rPr>
        <w:rFonts w:ascii="Courier New" w:hAnsi="Courier New" w:cs="Courier New" w:hint="default"/>
      </w:rPr>
    </w:lvl>
    <w:lvl w:ilvl="5" w:tplc="0C090005" w:tentative="1">
      <w:start w:val="1"/>
      <w:numFmt w:val="bullet"/>
      <w:lvlText w:val=""/>
      <w:lvlJc w:val="left"/>
      <w:pPr>
        <w:ind w:left="4417" w:hanging="360"/>
      </w:pPr>
      <w:rPr>
        <w:rFonts w:ascii="Wingdings" w:hAnsi="Wingdings" w:hint="default"/>
      </w:rPr>
    </w:lvl>
    <w:lvl w:ilvl="6" w:tplc="0C090001" w:tentative="1">
      <w:start w:val="1"/>
      <w:numFmt w:val="bullet"/>
      <w:lvlText w:val=""/>
      <w:lvlJc w:val="left"/>
      <w:pPr>
        <w:ind w:left="5137" w:hanging="360"/>
      </w:pPr>
      <w:rPr>
        <w:rFonts w:ascii="Symbol" w:hAnsi="Symbol" w:hint="default"/>
      </w:rPr>
    </w:lvl>
    <w:lvl w:ilvl="7" w:tplc="0C090003" w:tentative="1">
      <w:start w:val="1"/>
      <w:numFmt w:val="bullet"/>
      <w:lvlText w:val="o"/>
      <w:lvlJc w:val="left"/>
      <w:pPr>
        <w:ind w:left="5857" w:hanging="360"/>
      </w:pPr>
      <w:rPr>
        <w:rFonts w:ascii="Courier New" w:hAnsi="Courier New" w:cs="Courier New" w:hint="default"/>
      </w:rPr>
    </w:lvl>
    <w:lvl w:ilvl="8" w:tplc="0C090005" w:tentative="1">
      <w:start w:val="1"/>
      <w:numFmt w:val="bullet"/>
      <w:lvlText w:val=""/>
      <w:lvlJc w:val="left"/>
      <w:pPr>
        <w:ind w:left="6577" w:hanging="360"/>
      </w:pPr>
      <w:rPr>
        <w:rFonts w:ascii="Wingdings" w:hAnsi="Wingdings" w:hint="default"/>
      </w:rPr>
    </w:lvl>
  </w:abstractNum>
  <w:abstractNum w:abstractNumId="8" w15:restartNumberingAfterBreak="0">
    <w:nsid w:val="278430CF"/>
    <w:multiLevelType w:val="hybridMultilevel"/>
    <w:tmpl w:val="7D8287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38F132CE"/>
    <w:multiLevelType w:val="multilevel"/>
    <w:tmpl w:val="3B7A10DE"/>
    <w:numStyleLink w:val="BulletsList"/>
  </w:abstractNum>
  <w:abstractNum w:abstractNumId="11" w15:restartNumberingAfterBreak="0">
    <w:nsid w:val="3A854A3D"/>
    <w:multiLevelType w:val="hybridMultilevel"/>
    <w:tmpl w:val="B8BED28E"/>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2512C0"/>
    <w:multiLevelType w:val="hybridMultilevel"/>
    <w:tmpl w:val="0372A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6DF0A07"/>
    <w:multiLevelType w:val="hybridMultilevel"/>
    <w:tmpl w:val="B7E0A20E"/>
    <w:lvl w:ilvl="0" w:tplc="C2B656C8">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15" w15:restartNumberingAfterBreak="0">
    <w:nsid w:val="488C641F"/>
    <w:multiLevelType w:val="hybridMultilevel"/>
    <w:tmpl w:val="D0F6EBA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E055F29"/>
    <w:multiLevelType w:val="multilevel"/>
    <w:tmpl w:val="0690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8669A6"/>
    <w:multiLevelType w:val="hybridMultilevel"/>
    <w:tmpl w:val="96EC6980"/>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8" w15:restartNumberingAfterBreak="0">
    <w:nsid w:val="51100950"/>
    <w:multiLevelType w:val="hybridMultilevel"/>
    <w:tmpl w:val="0686927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140454A"/>
    <w:multiLevelType w:val="hybridMultilevel"/>
    <w:tmpl w:val="712E92F8"/>
    <w:lvl w:ilvl="0" w:tplc="5D68B6EE">
      <w:start w:val="1"/>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80565B"/>
    <w:multiLevelType w:val="hybridMultilevel"/>
    <w:tmpl w:val="5E123F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8B53BC"/>
    <w:multiLevelType w:val="multilevel"/>
    <w:tmpl w:val="5278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5BD54DA3"/>
    <w:multiLevelType w:val="hybridMultilevel"/>
    <w:tmpl w:val="4A145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7D667C"/>
    <w:multiLevelType w:val="hybridMultilevel"/>
    <w:tmpl w:val="ED2C4C28"/>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25"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60DC3033"/>
    <w:multiLevelType w:val="hybridMultilevel"/>
    <w:tmpl w:val="9D040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F81736"/>
    <w:multiLevelType w:val="hybridMultilevel"/>
    <w:tmpl w:val="5FA847FC"/>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050F37"/>
    <w:multiLevelType w:val="hybridMultilevel"/>
    <w:tmpl w:val="CF966B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C0679BB"/>
    <w:multiLevelType w:val="hybridMultilevel"/>
    <w:tmpl w:val="80582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CAC5D79"/>
    <w:multiLevelType w:val="hybridMultilevel"/>
    <w:tmpl w:val="D714D16E"/>
    <w:lvl w:ilvl="0" w:tplc="DF22A0BC">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3166602"/>
    <w:multiLevelType w:val="hybridMultilevel"/>
    <w:tmpl w:val="71381298"/>
    <w:lvl w:ilvl="0" w:tplc="59463C12">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BE7A65"/>
    <w:multiLevelType w:val="hybridMultilevel"/>
    <w:tmpl w:val="A4D4C220"/>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5" w15:restartNumberingAfterBreak="0">
    <w:nsid w:val="7D0D33EF"/>
    <w:multiLevelType w:val="hybridMultilevel"/>
    <w:tmpl w:val="0AC2FD7E"/>
    <w:lvl w:ilvl="0" w:tplc="84F409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D31181F"/>
    <w:multiLevelType w:val="hybridMultilevel"/>
    <w:tmpl w:val="B5E6BFA4"/>
    <w:lvl w:ilvl="0" w:tplc="0D108D22">
      <w:start w:val="2"/>
      <w:numFmt w:val="bullet"/>
      <w:lvlText w:val="-"/>
      <w:lvlJc w:val="left"/>
      <w:pPr>
        <w:ind w:left="460" w:hanging="360"/>
      </w:pPr>
      <w:rPr>
        <w:rFonts w:ascii="Calibri Light" w:eastAsiaTheme="minorHAnsi" w:hAnsi="Calibri Light" w:cs="Calibri Light" w:hint="default"/>
      </w:rPr>
    </w:lvl>
    <w:lvl w:ilvl="1" w:tplc="0C090003" w:tentative="1">
      <w:start w:val="1"/>
      <w:numFmt w:val="bullet"/>
      <w:lvlText w:val="o"/>
      <w:lvlJc w:val="left"/>
      <w:pPr>
        <w:ind w:left="1180" w:hanging="360"/>
      </w:pPr>
      <w:rPr>
        <w:rFonts w:ascii="Courier New" w:hAnsi="Courier New" w:cs="Courier New" w:hint="default"/>
      </w:rPr>
    </w:lvl>
    <w:lvl w:ilvl="2" w:tplc="0C090005" w:tentative="1">
      <w:start w:val="1"/>
      <w:numFmt w:val="bullet"/>
      <w:lvlText w:val=""/>
      <w:lvlJc w:val="left"/>
      <w:pPr>
        <w:ind w:left="1900" w:hanging="360"/>
      </w:pPr>
      <w:rPr>
        <w:rFonts w:ascii="Wingdings" w:hAnsi="Wingdings" w:hint="default"/>
      </w:rPr>
    </w:lvl>
    <w:lvl w:ilvl="3" w:tplc="0C090001" w:tentative="1">
      <w:start w:val="1"/>
      <w:numFmt w:val="bullet"/>
      <w:lvlText w:val=""/>
      <w:lvlJc w:val="left"/>
      <w:pPr>
        <w:ind w:left="2620" w:hanging="360"/>
      </w:pPr>
      <w:rPr>
        <w:rFonts w:ascii="Symbol" w:hAnsi="Symbol" w:hint="default"/>
      </w:rPr>
    </w:lvl>
    <w:lvl w:ilvl="4" w:tplc="0C090003" w:tentative="1">
      <w:start w:val="1"/>
      <w:numFmt w:val="bullet"/>
      <w:lvlText w:val="o"/>
      <w:lvlJc w:val="left"/>
      <w:pPr>
        <w:ind w:left="3340" w:hanging="360"/>
      </w:pPr>
      <w:rPr>
        <w:rFonts w:ascii="Courier New" w:hAnsi="Courier New" w:cs="Courier New" w:hint="default"/>
      </w:rPr>
    </w:lvl>
    <w:lvl w:ilvl="5" w:tplc="0C090005" w:tentative="1">
      <w:start w:val="1"/>
      <w:numFmt w:val="bullet"/>
      <w:lvlText w:val=""/>
      <w:lvlJc w:val="left"/>
      <w:pPr>
        <w:ind w:left="4060" w:hanging="360"/>
      </w:pPr>
      <w:rPr>
        <w:rFonts w:ascii="Wingdings" w:hAnsi="Wingdings" w:hint="default"/>
      </w:rPr>
    </w:lvl>
    <w:lvl w:ilvl="6" w:tplc="0C090001" w:tentative="1">
      <w:start w:val="1"/>
      <w:numFmt w:val="bullet"/>
      <w:lvlText w:val=""/>
      <w:lvlJc w:val="left"/>
      <w:pPr>
        <w:ind w:left="4780" w:hanging="360"/>
      </w:pPr>
      <w:rPr>
        <w:rFonts w:ascii="Symbol" w:hAnsi="Symbol" w:hint="default"/>
      </w:rPr>
    </w:lvl>
    <w:lvl w:ilvl="7" w:tplc="0C090003" w:tentative="1">
      <w:start w:val="1"/>
      <w:numFmt w:val="bullet"/>
      <w:lvlText w:val="o"/>
      <w:lvlJc w:val="left"/>
      <w:pPr>
        <w:ind w:left="5500" w:hanging="360"/>
      </w:pPr>
      <w:rPr>
        <w:rFonts w:ascii="Courier New" w:hAnsi="Courier New" w:cs="Courier New" w:hint="default"/>
      </w:rPr>
    </w:lvl>
    <w:lvl w:ilvl="8" w:tplc="0C090005" w:tentative="1">
      <w:start w:val="1"/>
      <w:numFmt w:val="bullet"/>
      <w:lvlText w:val=""/>
      <w:lvlJc w:val="left"/>
      <w:pPr>
        <w:ind w:left="6220" w:hanging="360"/>
      </w:pPr>
      <w:rPr>
        <w:rFonts w:ascii="Wingdings" w:hAnsi="Wingdings" w:hint="default"/>
      </w:rPr>
    </w:lvl>
  </w:abstractNum>
  <w:num w:numId="1">
    <w:abstractNumId w:val="31"/>
  </w:num>
  <w:num w:numId="2">
    <w:abstractNumId w:val="3"/>
  </w:num>
  <w:num w:numId="3">
    <w:abstractNumId w:val="9"/>
  </w:num>
  <w:num w:numId="4">
    <w:abstractNumId w:val="22"/>
  </w:num>
  <w:num w:numId="5">
    <w:abstractNumId w:val="25"/>
  </w:num>
  <w:num w:numId="6">
    <w:abstractNumId w:val="9"/>
  </w:num>
  <w:num w:numId="7">
    <w:abstractNumId w:val="3"/>
  </w:num>
  <w:num w:numId="8">
    <w:abstractNumId w:val="5"/>
  </w:num>
  <w:num w:numId="9">
    <w:abstractNumId w:val="34"/>
  </w:num>
  <w:num w:numId="10">
    <w:abstractNumId w:val="10"/>
  </w:num>
  <w:num w:numId="11">
    <w:abstractNumId w:val="17"/>
  </w:num>
  <w:num w:numId="12">
    <w:abstractNumId w:val="18"/>
  </w:num>
  <w:num w:numId="13">
    <w:abstractNumId w:val="0"/>
  </w:num>
  <w:num w:numId="14">
    <w:abstractNumId w:val="14"/>
  </w:num>
  <w:num w:numId="15">
    <w:abstractNumId w:val="23"/>
  </w:num>
  <w:num w:numId="16">
    <w:abstractNumId w:val="27"/>
  </w:num>
  <w:num w:numId="17">
    <w:abstractNumId w:val="6"/>
  </w:num>
  <w:num w:numId="18">
    <w:abstractNumId w:val="24"/>
  </w:num>
  <w:num w:numId="19">
    <w:abstractNumId w:val="33"/>
  </w:num>
  <w:num w:numId="20">
    <w:abstractNumId w:val="12"/>
  </w:num>
  <w:num w:numId="21">
    <w:abstractNumId w:val="32"/>
  </w:num>
  <w:num w:numId="22">
    <w:abstractNumId w:val="11"/>
  </w:num>
  <w:num w:numId="23">
    <w:abstractNumId w:val="4"/>
  </w:num>
  <w:num w:numId="24">
    <w:abstractNumId w:val="30"/>
  </w:num>
  <w:num w:numId="25">
    <w:abstractNumId w:val="35"/>
  </w:num>
  <w:num w:numId="26">
    <w:abstractNumId w:val="13"/>
  </w:num>
  <w:num w:numId="27">
    <w:abstractNumId w:val="26"/>
  </w:num>
  <w:num w:numId="28">
    <w:abstractNumId w:val="29"/>
  </w:num>
  <w:num w:numId="29">
    <w:abstractNumId w:val="7"/>
  </w:num>
  <w:num w:numId="30">
    <w:abstractNumId w:val="36"/>
  </w:num>
  <w:num w:numId="31">
    <w:abstractNumId w:val="16"/>
  </w:num>
  <w:num w:numId="32">
    <w:abstractNumId w:val="21"/>
  </w:num>
  <w:num w:numId="33">
    <w:abstractNumId w:val="15"/>
  </w:num>
  <w:num w:numId="34">
    <w:abstractNumId w:val="36"/>
  </w:num>
  <w:num w:numId="35">
    <w:abstractNumId w:val="7"/>
  </w:num>
  <w:num w:numId="36">
    <w:abstractNumId w:val="10"/>
  </w:num>
  <w:num w:numId="37">
    <w:abstractNumId w:val="1"/>
  </w:num>
  <w:num w:numId="38">
    <w:abstractNumId w:val="8"/>
  </w:num>
  <w:num w:numId="39">
    <w:abstractNumId w:val="19"/>
  </w:num>
  <w:num w:numId="40">
    <w:abstractNumId w:val="28"/>
  </w:num>
  <w:num w:numId="41">
    <w:abstractNumId w:val="20"/>
  </w:num>
  <w:num w:numId="42">
    <w:abstractNumId w:val="10"/>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F0"/>
    <w:rsid w:val="00001DA8"/>
    <w:rsid w:val="00001F33"/>
    <w:rsid w:val="000020C1"/>
    <w:rsid w:val="00002847"/>
    <w:rsid w:val="000035E5"/>
    <w:rsid w:val="00003771"/>
    <w:rsid w:val="00003E69"/>
    <w:rsid w:val="00006454"/>
    <w:rsid w:val="00010006"/>
    <w:rsid w:val="00010E76"/>
    <w:rsid w:val="00011235"/>
    <w:rsid w:val="0001503F"/>
    <w:rsid w:val="00015AB7"/>
    <w:rsid w:val="00015DC0"/>
    <w:rsid w:val="00016D87"/>
    <w:rsid w:val="0002080A"/>
    <w:rsid w:val="00020907"/>
    <w:rsid w:val="00020D64"/>
    <w:rsid w:val="0002379B"/>
    <w:rsid w:val="000237E4"/>
    <w:rsid w:val="000256C9"/>
    <w:rsid w:val="00025BFA"/>
    <w:rsid w:val="00026A3C"/>
    <w:rsid w:val="00027562"/>
    <w:rsid w:val="0002782F"/>
    <w:rsid w:val="00027ACA"/>
    <w:rsid w:val="000309AD"/>
    <w:rsid w:val="00031486"/>
    <w:rsid w:val="000314BA"/>
    <w:rsid w:val="0003271B"/>
    <w:rsid w:val="00032F93"/>
    <w:rsid w:val="00033AD9"/>
    <w:rsid w:val="00035BBF"/>
    <w:rsid w:val="00035CBC"/>
    <w:rsid w:val="00035DF9"/>
    <w:rsid w:val="00035F54"/>
    <w:rsid w:val="00036434"/>
    <w:rsid w:val="000417C3"/>
    <w:rsid w:val="00041CA8"/>
    <w:rsid w:val="000432BE"/>
    <w:rsid w:val="000437E9"/>
    <w:rsid w:val="000444F3"/>
    <w:rsid w:val="00045A1B"/>
    <w:rsid w:val="00050806"/>
    <w:rsid w:val="00051058"/>
    <w:rsid w:val="00051F3B"/>
    <w:rsid w:val="00053FFC"/>
    <w:rsid w:val="0005417C"/>
    <w:rsid w:val="000546D9"/>
    <w:rsid w:val="00054E4D"/>
    <w:rsid w:val="0005564F"/>
    <w:rsid w:val="00055880"/>
    <w:rsid w:val="00055EBD"/>
    <w:rsid w:val="00055F93"/>
    <w:rsid w:val="00056F24"/>
    <w:rsid w:val="00060073"/>
    <w:rsid w:val="000616C6"/>
    <w:rsid w:val="00062A00"/>
    <w:rsid w:val="00071283"/>
    <w:rsid w:val="000746D9"/>
    <w:rsid w:val="00076587"/>
    <w:rsid w:val="00076F3F"/>
    <w:rsid w:val="00077433"/>
    <w:rsid w:val="00081AFC"/>
    <w:rsid w:val="000822AD"/>
    <w:rsid w:val="0008295C"/>
    <w:rsid w:val="000833B0"/>
    <w:rsid w:val="00084E6A"/>
    <w:rsid w:val="00085017"/>
    <w:rsid w:val="000854FD"/>
    <w:rsid w:val="00087301"/>
    <w:rsid w:val="0009037E"/>
    <w:rsid w:val="000960D9"/>
    <w:rsid w:val="0009656E"/>
    <w:rsid w:val="0009676B"/>
    <w:rsid w:val="00097540"/>
    <w:rsid w:val="000A39DD"/>
    <w:rsid w:val="000A407E"/>
    <w:rsid w:val="000A4F25"/>
    <w:rsid w:val="000B37F5"/>
    <w:rsid w:val="000B40E9"/>
    <w:rsid w:val="000B5DA7"/>
    <w:rsid w:val="000B78E6"/>
    <w:rsid w:val="000B7B99"/>
    <w:rsid w:val="000B7D78"/>
    <w:rsid w:val="000C0EB2"/>
    <w:rsid w:val="000C14DF"/>
    <w:rsid w:val="000C17F9"/>
    <w:rsid w:val="000C3A4C"/>
    <w:rsid w:val="000C4411"/>
    <w:rsid w:val="000C7A43"/>
    <w:rsid w:val="000D003A"/>
    <w:rsid w:val="000D1A43"/>
    <w:rsid w:val="000D1FAB"/>
    <w:rsid w:val="000D2896"/>
    <w:rsid w:val="000D66D6"/>
    <w:rsid w:val="000E0701"/>
    <w:rsid w:val="000E1045"/>
    <w:rsid w:val="000E1B9B"/>
    <w:rsid w:val="000E330B"/>
    <w:rsid w:val="000E4C14"/>
    <w:rsid w:val="000E58BF"/>
    <w:rsid w:val="000E6C44"/>
    <w:rsid w:val="000E72B7"/>
    <w:rsid w:val="000E7FD6"/>
    <w:rsid w:val="000F1286"/>
    <w:rsid w:val="000F1A82"/>
    <w:rsid w:val="000F2600"/>
    <w:rsid w:val="000F78C9"/>
    <w:rsid w:val="000F7BA4"/>
    <w:rsid w:val="00101C18"/>
    <w:rsid w:val="00102A91"/>
    <w:rsid w:val="0010331D"/>
    <w:rsid w:val="00103B93"/>
    <w:rsid w:val="0010438D"/>
    <w:rsid w:val="00104AAF"/>
    <w:rsid w:val="00106E6C"/>
    <w:rsid w:val="001079EA"/>
    <w:rsid w:val="001101D2"/>
    <w:rsid w:val="00112832"/>
    <w:rsid w:val="00113288"/>
    <w:rsid w:val="0011475A"/>
    <w:rsid w:val="00116E9F"/>
    <w:rsid w:val="001179EB"/>
    <w:rsid w:val="001203A0"/>
    <w:rsid w:val="001214BE"/>
    <w:rsid w:val="0012165D"/>
    <w:rsid w:val="00121DDD"/>
    <w:rsid w:val="001227F1"/>
    <w:rsid w:val="00122F10"/>
    <w:rsid w:val="001241D6"/>
    <w:rsid w:val="0012554D"/>
    <w:rsid w:val="0013101C"/>
    <w:rsid w:val="00131D70"/>
    <w:rsid w:val="001329DF"/>
    <w:rsid w:val="00132D88"/>
    <w:rsid w:val="0013385F"/>
    <w:rsid w:val="00134144"/>
    <w:rsid w:val="00134AEA"/>
    <w:rsid w:val="00136B90"/>
    <w:rsid w:val="00136E2E"/>
    <w:rsid w:val="00137F4E"/>
    <w:rsid w:val="0014349A"/>
    <w:rsid w:val="00144315"/>
    <w:rsid w:val="001461D6"/>
    <w:rsid w:val="00146E07"/>
    <w:rsid w:val="00150944"/>
    <w:rsid w:val="0015094C"/>
    <w:rsid w:val="0015218A"/>
    <w:rsid w:val="00152854"/>
    <w:rsid w:val="001541EA"/>
    <w:rsid w:val="0016223D"/>
    <w:rsid w:val="00162963"/>
    <w:rsid w:val="00163DB1"/>
    <w:rsid w:val="00166032"/>
    <w:rsid w:val="001662F8"/>
    <w:rsid w:val="001672C2"/>
    <w:rsid w:val="0017019B"/>
    <w:rsid w:val="001705E5"/>
    <w:rsid w:val="00170AED"/>
    <w:rsid w:val="0017269A"/>
    <w:rsid w:val="00176CCD"/>
    <w:rsid w:val="0017794B"/>
    <w:rsid w:val="0018215D"/>
    <w:rsid w:val="00183098"/>
    <w:rsid w:val="001841C8"/>
    <w:rsid w:val="001849D0"/>
    <w:rsid w:val="00184ACE"/>
    <w:rsid w:val="001854B7"/>
    <w:rsid w:val="00186127"/>
    <w:rsid w:val="00186B4B"/>
    <w:rsid w:val="00190316"/>
    <w:rsid w:val="00193ACC"/>
    <w:rsid w:val="00193C49"/>
    <w:rsid w:val="00196E94"/>
    <w:rsid w:val="00197243"/>
    <w:rsid w:val="00197A29"/>
    <w:rsid w:val="001A1EAE"/>
    <w:rsid w:val="001A41ED"/>
    <w:rsid w:val="001A4EDC"/>
    <w:rsid w:val="001A51EE"/>
    <w:rsid w:val="001A58E0"/>
    <w:rsid w:val="001A7815"/>
    <w:rsid w:val="001A797D"/>
    <w:rsid w:val="001A7A97"/>
    <w:rsid w:val="001B0158"/>
    <w:rsid w:val="001B22F4"/>
    <w:rsid w:val="001B3779"/>
    <w:rsid w:val="001B3F32"/>
    <w:rsid w:val="001B69C1"/>
    <w:rsid w:val="001B78DA"/>
    <w:rsid w:val="001C04DF"/>
    <w:rsid w:val="001C14F4"/>
    <w:rsid w:val="001C1F11"/>
    <w:rsid w:val="001C2644"/>
    <w:rsid w:val="001C4198"/>
    <w:rsid w:val="001C483F"/>
    <w:rsid w:val="001C48FA"/>
    <w:rsid w:val="001C72C5"/>
    <w:rsid w:val="001D0FCA"/>
    <w:rsid w:val="001D1A8F"/>
    <w:rsid w:val="001D338E"/>
    <w:rsid w:val="001D3C98"/>
    <w:rsid w:val="001D3DDD"/>
    <w:rsid w:val="001D4091"/>
    <w:rsid w:val="001D57A2"/>
    <w:rsid w:val="001D5920"/>
    <w:rsid w:val="001D5F7F"/>
    <w:rsid w:val="001D663E"/>
    <w:rsid w:val="001D7D16"/>
    <w:rsid w:val="001E03BE"/>
    <w:rsid w:val="001E06F5"/>
    <w:rsid w:val="001E127A"/>
    <w:rsid w:val="001E1DC0"/>
    <w:rsid w:val="001E563B"/>
    <w:rsid w:val="001E5EE8"/>
    <w:rsid w:val="001E6D20"/>
    <w:rsid w:val="001E7746"/>
    <w:rsid w:val="001F16E7"/>
    <w:rsid w:val="001F38B2"/>
    <w:rsid w:val="001F404F"/>
    <w:rsid w:val="001F566A"/>
    <w:rsid w:val="001F63EC"/>
    <w:rsid w:val="001F7645"/>
    <w:rsid w:val="001F7A8B"/>
    <w:rsid w:val="001F7F4D"/>
    <w:rsid w:val="002024B7"/>
    <w:rsid w:val="00206BAF"/>
    <w:rsid w:val="00206F2F"/>
    <w:rsid w:val="002110D2"/>
    <w:rsid w:val="00211D91"/>
    <w:rsid w:val="00214DB7"/>
    <w:rsid w:val="00214EB4"/>
    <w:rsid w:val="00216C55"/>
    <w:rsid w:val="002206AA"/>
    <w:rsid w:val="002212FF"/>
    <w:rsid w:val="002213AB"/>
    <w:rsid w:val="00221FBD"/>
    <w:rsid w:val="0022287E"/>
    <w:rsid w:val="002231BD"/>
    <w:rsid w:val="00223AE5"/>
    <w:rsid w:val="00223BE9"/>
    <w:rsid w:val="00226414"/>
    <w:rsid w:val="00226F50"/>
    <w:rsid w:val="002270F7"/>
    <w:rsid w:val="0022790D"/>
    <w:rsid w:val="00227FAB"/>
    <w:rsid w:val="00233D5A"/>
    <w:rsid w:val="00234422"/>
    <w:rsid w:val="00236358"/>
    <w:rsid w:val="002403E8"/>
    <w:rsid w:val="002404E8"/>
    <w:rsid w:val="00242655"/>
    <w:rsid w:val="0024291F"/>
    <w:rsid w:val="002441BF"/>
    <w:rsid w:val="00244229"/>
    <w:rsid w:val="002443C7"/>
    <w:rsid w:val="00245986"/>
    <w:rsid w:val="002462FA"/>
    <w:rsid w:val="00247365"/>
    <w:rsid w:val="00247EA8"/>
    <w:rsid w:val="0025071B"/>
    <w:rsid w:val="002508B7"/>
    <w:rsid w:val="00250957"/>
    <w:rsid w:val="002523CA"/>
    <w:rsid w:val="002536C2"/>
    <w:rsid w:val="00255F45"/>
    <w:rsid w:val="00261565"/>
    <w:rsid w:val="002648A1"/>
    <w:rsid w:val="0026496B"/>
    <w:rsid w:val="00264AF7"/>
    <w:rsid w:val="002664AF"/>
    <w:rsid w:val="002677E8"/>
    <w:rsid w:val="00267EC3"/>
    <w:rsid w:val="00270C70"/>
    <w:rsid w:val="002721B5"/>
    <w:rsid w:val="00272843"/>
    <w:rsid w:val="002738A9"/>
    <w:rsid w:val="00275490"/>
    <w:rsid w:val="002766BA"/>
    <w:rsid w:val="002779F2"/>
    <w:rsid w:val="00281529"/>
    <w:rsid w:val="00281E8E"/>
    <w:rsid w:val="00285F49"/>
    <w:rsid w:val="0028602A"/>
    <w:rsid w:val="00286147"/>
    <w:rsid w:val="00287B55"/>
    <w:rsid w:val="002925C7"/>
    <w:rsid w:val="002936A2"/>
    <w:rsid w:val="00294510"/>
    <w:rsid w:val="002945C4"/>
    <w:rsid w:val="0029663F"/>
    <w:rsid w:val="0029670A"/>
    <w:rsid w:val="00296A53"/>
    <w:rsid w:val="00297258"/>
    <w:rsid w:val="00297FD1"/>
    <w:rsid w:val="002A0F8E"/>
    <w:rsid w:val="002A19B5"/>
    <w:rsid w:val="002A3616"/>
    <w:rsid w:val="002A45D1"/>
    <w:rsid w:val="002A6676"/>
    <w:rsid w:val="002B3381"/>
    <w:rsid w:val="002B3DC4"/>
    <w:rsid w:val="002B4C7D"/>
    <w:rsid w:val="002B5129"/>
    <w:rsid w:val="002B5E10"/>
    <w:rsid w:val="002B6FCB"/>
    <w:rsid w:val="002B79C7"/>
    <w:rsid w:val="002C557E"/>
    <w:rsid w:val="002C7471"/>
    <w:rsid w:val="002C793D"/>
    <w:rsid w:val="002C7E50"/>
    <w:rsid w:val="002D0592"/>
    <w:rsid w:val="002D0756"/>
    <w:rsid w:val="002D25D9"/>
    <w:rsid w:val="002D2EF6"/>
    <w:rsid w:val="002D302A"/>
    <w:rsid w:val="002D35C9"/>
    <w:rsid w:val="002D4108"/>
    <w:rsid w:val="002D430F"/>
    <w:rsid w:val="002D5B25"/>
    <w:rsid w:val="002D626F"/>
    <w:rsid w:val="002D78C5"/>
    <w:rsid w:val="002D7EA0"/>
    <w:rsid w:val="002E2AF4"/>
    <w:rsid w:val="002E38B2"/>
    <w:rsid w:val="002E4254"/>
    <w:rsid w:val="002E4A50"/>
    <w:rsid w:val="002E500A"/>
    <w:rsid w:val="002E50DB"/>
    <w:rsid w:val="002E5106"/>
    <w:rsid w:val="002F03FB"/>
    <w:rsid w:val="002F0574"/>
    <w:rsid w:val="002F0903"/>
    <w:rsid w:val="002F1F6E"/>
    <w:rsid w:val="002F3804"/>
    <w:rsid w:val="002F3871"/>
    <w:rsid w:val="002F4C95"/>
    <w:rsid w:val="002F4F2B"/>
    <w:rsid w:val="002F57C6"/>
    <w:rsid w:val="002F6581"/>
    <w:rsid w:val="002F67AE"/>
    <w:rsid w:val="002F6B89"/>
    <w:rsid w:val="002F70EE"/>
    <w:rsid w:val="002F7708"/>
    <w:rsid w:val="003002C0"/>
    <w:rsid w:val="00301144"/>
    <w:rsid w:val="00301EE6"/>
    <w:rsid w:val="003031C6"/>
    <w:rsid w:val="00304984"/>
    <w:rsid w:val="003054A3"/>
    <w:rsid w:val="00310036"/>
    <w:rsid w:val="00311022"/>
    <w:rsid w:val="00311946"/>
    <w:rsid w:val="00311993"/>
    <w:rsid w:val="003128F3"/>
    <w:rsid w:val="00312BF8"/>
    <w:rsid w:val="00313685"/>
    <w:rsid w:val="003148B7"/>
    <w:rsid w:val="003158C3"/>
    <w:rsid w:val="003174F3"/>
    <w:rsid w:val="00320DC8"/>
    <w:rsid w:val="00321204"/>
    <w:rsid w:val="00321557"/>
    <w:rsid w:val="00323104"/>
    <w:rsid w:val="0032548E"/>
    <w:rsid w:val="003274CD"/>
    <w:rsid w:val="003315E0"/>
    <w:rsid w:val="00333501"/>
    <w:rsid w:val="00333E96"/>
    <w:rsid w:val="00334C0C"/>
    <w:rsid w:val="003356C3"/>
    <w:rsid w:val="0034042B"/>
    <w:rsid w:val="003406AF"/>
    <w:rsid w:val="00340A60"/>
    <w:rsid w:val="003414BC"/>
    <w:rsid w:val="003416F9"/>
    <w:rsid w:val="003423B1"/>
    <w:rsid w:val="003457C4"/>
    <w:rsid w:val="003467D0"/>
    <w:rsid w:val="0034742F"/>
    <w:rsid w:val="00350059"/>
    <w:rsid w:val="0035119D"/>
    <w:rsid w:val="00351875"/>
    <w:rsid w:val="00351DEA"/>
    <w:rsid w:val="003535F8"/>
    <w:rsid w:val="00354641"/>
    <w:rsid w:val="00354D60"/>
    <w:rsid w:val="0035532B"/>
    <w:rsid w:val="003622C1"/>
    <w:rsid w:val="00363A9F"/>
    <w:rsid w:val="00363D66"/>
    <w:rsid w:val="0036461B"/>
    <w:rsid w:val="00364A14"/>
    <w:rsid w:val="00364E3F"/>
    <w:rsid w:val="003664FE"/>
    <w:rsid w:val="0036761A"/>
    <w:rsid w:val="00370C64"/>
    <w:rsid w:val="003744F4"/>
    <w:rsid w:val="00375D23"/>
    <w:rsid w:val="0037689B"/>
    <w:rsid w:val="003806FE"/>
    <w:rsid w:val="00382CE7"/>
    <w:rsid w:val="00383267"/>
    <w:rsid w:val="00384D2A"/>
    <w:rsid w:val="003866B8"/>
    <w:rsid w:val="003879D6"/>
    <w:rsid w:val="00387EC8"/>
    <w:rsid w:val="003920A9"/>
    <w:rsid w:val="0039215F"/>
    <w:rsid w:val="0039344A"/>
    <w:rsid w:val="003948C7"/>
    <w:rsid w:val="003949DC"/>
    <w:rsid w:val="00394DE8"/>
    <w:rsid w:val="003951DF"/>
    <w:rsid w:val="003967D8"/>
    <w:rsid w:val="003975DA"/>
    <w:rsid w:val="003A24A7"/>
    <w:rsid w:val="003A279A"/>
    <w:rsid w:val="003B3091"/>
    <w:rsid w:val="003B430A"/>
    <w:rsid w:val="003B4F12"/>
    <w:rsid w:val="003B5132"/>
    <w:rsid w:val="003B54B8"/>
    <w:rsid w:val="003B5601"/>
    <w:rsid w:val="003B775E"/>
    <w:rsid w:val="003C09BB"/>
    <w:rsid w:val="003C20F5"/>
    <w:rsid w:val="003C3078"/>
    <w:rsid w:val="003C4584"/>
    <w:rsid w:val="003C6C4F"/>
    <w:rsid w:val="003C743F"/>
    <w:rsid w:val="003C7D0E"/>
    <w:rsid w:val="003D1253"/>
    <w:rsid w:val="003D6B05"/>
    <w:rsid w:val="003E03B8"/>
    <w:rsid w:val="003E0545"/>
    <w:rsid w:val="003E24BA"/>
    <w:rsid w:val="003E3876"/>
    <w:rsid w:val="003E5AE2"/>
    <w:rsid w:val="003E5BD5"/>
    <w:rsid w:val="003E5C0E"/>
    <w:rsid w:val="003F14C3"/>
    <w:rsid w:val="003F2041"/>
    <w:rsid w:val="003F4679"/>
    <w:rsid w:val="003F4BDC"/>
    <w:rsid w:val="003F7D26"/>
    <w:rsid w:val="004007ED"/>
    <w:rsid w:val="00400A3C"/>
    <w:rsid w:val="00400D50"/>
    <w:rsid w:val="00402ACC"/>
    <w:rsid w:val="00403676"/>
    <w:rsid w:val="00403FD8"/>
    <w:rsid w:val="00404443"/>
    <w:rsid w:val="00404602"/>
    <w:rsid w:val="00404F32"/>
    <w:rsid w:val="0040527D"/>
    <w:rsid w:val="004078D1"/>
    <w:rsid w:val="004120EC"/>
    <w:rsid w:val="0041267F"/>
    <w:rsid w:val="00414AD9"/>
    <w:rsid w:val="00421B55"/>
    <w:rsid w:val="0042216C"/>
    <w:rsid w:val="0042348A"/>
    <w:rsid w:val="00423D29"/>
    <w:rsid w:val="00423DB9"/>
    <w:rsid w:val="00423DE0"/>
    <w:rsid w:val="00423F31"/>
    <w:rsid w:val="0042526D"/>
    <w:rsid w:val="00425BC1"/>
    <w:rsid w:val="00426340"/>
    <w:rsid w:val="004303AA"/>
    <w:rsid w:val="00431899"/>
    <w:rsid w:val="0043208E"/>
    <w:rsid w:val="00432702"/>
    <w:rsid w:val="004335D1"/>
    <w:rsid w:val="004439AE"/>
    <w:rsid w:val="0044515E"/>
    <w:rsid w:val="00446D3F"/>
    <w:rsid w:val="00446F46"/>
    <w:rsid w:val="00447982"/>
    <w:rsid w:val="00447BA3"/>
    <w:rsid w:val="00450381"/>
    <w:rsid w:val="004525DE"/>
    <w:rsid w:val="004529F1"/>
    <w:rsid w:val="0045347D"/>
    <w:rsid w:val="0045382A"/>
    <w:rsid w:val="00453B1A"/>
    <w:rsid w:val="0045528A"/>
    <w:rsid w:val="00456F30"/>
    <w:rsid w:val="00462A57"/>
    <w:rsid w:val="00465844"/>
    <w:rsid w:val="00466E7D"/>
    <w:rsid w:val="004675D6"/>
    <w:rsid w:val="00470369"/>
    <w:rsid w:val="004708FA"/>
    <w:rsid w:val="004723D5"/>
    <w:rsid w:val="004728DD"/>
    <w:rsid w:val="00473F2D"/>
    <w:rsid w:val="00473F39"/>
    <w:rsid w:val="00474037"/>
    <w:rsid w:val="00474178"/>
    <w:rsid w:val="00475782"/>
    <w:rsid w:val="00475F32"/>
    <w:rsid w:val="0048067C"/>
    <w:rsid w:val="00481538"/>
    <w:rsid w:val="00481F1C"/>
    <w:rsid w:val="00482AE8"/>
    <w:rsid w:val="00486804"/>
    <w:rsid w:val="004870F3"/>
    <w:rsid w:val="00487549"/>
    <w:rsid w:val="00487C22"/>
    <w:rsid w:val="0049236B"/>
    <w:rsid w:val="00493E63"/>
    <w:rsid w:val="00493F17"/>
    <w:rsid w:val="00494242"/>
    <w:rsid w:val="00495DCC"/>
    <w:rsid w:val="00495EBF"/>
    <w:rsid w:val="00496766"/>
    <w:rsid w:val="00496D06"/>
    <w:rsid w:val="004A080A"/>
    <w:rsid w:val="004A0DC7"/>
    <w:rsid w:val="004A2312"/>
    <w:rsid w:val="004A41B8"/>
    <w:rsid w:val="004A4895"/>
    <w:rsid w:val="004A605F"/>
    <w:rsid w:val="004A697D"/>
    <w:rsid w:val="004A71BC"/>
    <w:rsid w:val="004A71E7"/>
    <w:rsid w:val="004A7939"/>
    <w:rsid w:val="004B1841"/>
    <w:rsid w:val="004B1B6C"/>
    <w:rsid w:val="004B3775"/>
    <w:rsid w:val="004B7C48"/>
    <w:rsid w:val="004C22AB"/>
    <w:rsid w:val="004C3E67"/>
    <w:rsid w:val="004C45D2"/>
    <w:rsid w:val="004C5D06"/>
    <w:rsid w:val="004C62D8"/>
    <w:rsid w:val="004D0BA0"/>
    <w:rsid w:val="004D0FE9"/>
    <w:rsid w:val="004D10D7"/>
    <w:rsid w:val="004D3D01"/>
    <w:rsid w:val="004D6B60"/>
    <w:rsid w:val="004D7F36"/>
    <w:rsid w:val="004E058F"/>
    <w:rsid w:val="004E3B87"/>
    <w:rsid w:val="004E549D"/>
    <w:rsid w:val="004E5BDE"/>
    <w:rsid w:val="004E7772"/>
    <w:rsid w:val="004F1652"/>
    <w:rsid w:val="004F3C91"/>
    <w:rsid w:val="004F5615"/>
    <w:rsid w:val="004F5956"/>
    <w:rsid w:val="004F6BD3"/>
    <w:rsid w:val="004F6F51"/>
    <w:rsid w:val="004F7227"/>
    <w:rsid w:val="005011FC"/>
    <w:rsid w:val="00502041"/>
    <w:rsid w:val="00503EB4"/>
    <w:rsid w:val="005043C7"/>
    <w:rsid w:val="0050592F"/>
    <w:rsid w:val="00506178"/>
    <w:rsid w:val="00506CB7"/>
    <w:rsid w:val="00507BF6"/>
    <w:rsid w:val="00510921"/>
    <w:rsid w:val="00510AD3"/>
    <w:rsid w:val="00513348"/>
    <w:rsid w:val="00513AD8"/>
    <w:rsid w:val="00514070"/>
    <w:rsid w:val="005161DE"/>
    <w:rsid w:val="00517DD0"/>
    <w:rsid w:val="005204D2"/>
    <w:rsid w:val="00522396"/>
    <w:rsid w:val="00523224"/>
    <w:rsid w:val="00527AD8"/>
    <w:rsid w:val="005303B9"/>
    <w:rsid w:val="0053159D"/>
    <w:rsid w:val="00531B69"/>
    <w:rsid w:val="00532351"/>
    <w:rsid w:val="00532EF9"/>
    <w:rsid w:val="005339D2"/>
    <w:rsid w:val="00533B5D"/>
    <w:rsid w:val="00533DD7"/>
    <w:rsid w:val="00534D96"/>
    <w:rsid w:val="00536343"/>
    <w:rsid w:val="00536B45"/>
    <w:rsid w:val="00536BAB"/>
    <w:rsid w:val="00540A22"/>
    <w:rsid w:val="00543878"/>
    <w:rsid w:val="0054409A"/>
    <w:rsid w:val="0054476D"/>
    <w:rsid w:val="00544C4D"/>
    <w:rsid w:val="00544F8D"/>
    <w:rsid w:val="00546877"/>
    <w:rsid w:val="005474FC"/>
    <w:rsid w:val="005509F4"/>
    <w:rsid w:val="00550EDA"/>
    <w:rsid w:val="00551688"/>
    <w:rsid w:val="00553079"/>
    <w:rsid w:val="00553167"/>
    <w:rsid w:val="005531EC"/>
    <w:rsid w:val="005558E4"/>
    <w:rsid w:val="00556876"/>
    <w:rsid w:val="005579C6"/>
    <w:rsid w:val="005607F6"/>
    <w:rsid w:val="00560E83"/>
    <w:rsid w:val="00562051"/>
    <w:rsid w:val="005633E7"/>
    <w:rsid w:val="00565B7C"/>
    <w:rsid w:val="00566510"/>
    <w:rsid w:val="005674C6"/>
    <w:rsid w:val="005721C9"/>
    <w:rsid w:val="0057343B"/>
    <w:rsid w:val="005736BB"/>
    <w:rsid w:val="005744ED"/>
    <w:rsid w:val="005745C3"/>
    <w:rsid w:val="00577815"/>
    <w:rsid w:val="0058067A"/>
    <w:rsid w:val="005822D6"/>
    <w:rsid w:val="005838FD"/>
    <w:rsid w:val="005839E5"/>
    <w:rsid w:val="00584835"/>
    <w:rsid w:val="00591F9E"/>
    <w:rsid w:val="005920C3"/>
    <w:rsid w:val="00595646"/>
    <w:rsid w:val="005A20F6"/>
    <w:rsid w:val="005A257E"/>
    <w:rsid w:val="005A44FE"/>
    <w:rsid w:val="005A6FEE"/>
    <w:rsid w:val="005A7928"/>
    <w:rsid w:val="005A7E50"/>
    <w:rsid w:val="005B0B07"/>
    <w:rsid w:val="005B1393"/>
    <w:rsid w:val="005B484C"/>
    <w:rsid w:val="005B4FC2"/>
    <w:rsid w:val="005B7577"/>
    <w:rsid w:val="005B75B8"/>
    <w:rsid w:val="005C2EC9"/>
    <w:rsid w:val="005C43FE"/>
    <w:rsid w:val="005C532B"/>
    <w:rsid w:val="005C5F2F"/>
    <w:rsid w:val="005D0B29"/>
    <w:rsid w:val="005D200C"/>
    <w:rsid w:val="005D3655"/>
    <w:rsid w:val="005D464E"/>
    <w:rsid w:val="005D5489"/>
    <w:rsid w:val="005D5C30"/>
    <w:rsid w:val="005D69AA"/>
    <w:rsid w:val="005D714E"/>
    <w:rsid w:val="005D7F03"/>
    <w:rsid w:val="005E0058"/>
    <w:rsid w:val="005E061A"/>
    <w:rsid w:val="005E151A"/>
    <w:rsid w:val="005E1F32"/>
    <w:rsid w:val="005E2C85"/>
    <w:rsid w:val="005E4830"/>
    <w:rsid w:val="005E5524"/>
    <w:rsid w:val="005E73CC"/>
    <w:rsid w:val="005F2F66"/>
    <w:rsid w:val="005F309A"/>
    <w:rsid w:val="005F5494"/>
    <w:rsid w:val="005F7448"/>
    <w:rsid w:val="006024E6"/>
    <w:rsid w:val="00603087"/>
    <w:rsid w:val="006031AC"/>
    <w:rsid w:val="00603321"/>
    <w:rsid w:val="00603D7E"/>
    <w:rsid w:val="00604398"/>
    <w:rsid w:val="00604621"/>
    <w:rsid w:val="0060482D"/>
    <w:rsid w:val="00606770"/>
    <w:rsid w:val="006105E3"/>
    <w:rsid w:val="006134E3"/>
    <w:rsid w:val="00614760"/>
    <w:rsid w:val="00614F1C"/>
    <w:rsid w:val="00616A58"/>
    <w:rsid w:val="00616C76"/>
    <w:rsid w:val="00620A3D"/>
    <w:rsid w:val="00621924"/>
    <w:rsid w:val="00621D58"/>
    <w:rsid w:val="00622A67"/>
    <w:rsid w:val="00622B86"/>
    <w:rsid w:val="00623BA1"/>
    <w:rsid w:val="00624A76"/>
    <w:rsid w:val="00625C0C"/>
    <w:rsid w:val="0062781F"/>
    <w:rsid w:val="00630092"/>
    <w:rsid w:val="00631127"/>
    <w:rsid w:val="00633380"/>
    <w:rsid w:val="006346BC"/>
    <w:rsid w:val="00634F14"/>
    <w:rsid w:val="00635FE7"/>
    <w:rsid w:val="006362FF"/>
    <w:rsid w:val="006378FE"/>
    <w:rsid w:val="006408FF"/>
    <w:rsid w:val="00642DD7"/>
    <w:rsid w:val="0064319A"/>
    <w:rsid w:val="00644BCD"/>
    <w:rsid w:val="00645F3E"/>
    <w:rsid w:val="00650664"/>
    <w:rsid w:val="00651368"/>
    <w:rsid w:val="00651F46"/>
    <w:rsid w:val="00652596"/>
    <w:rsid w:val="006530A5"/>
    <w:rsid w:val="00653ABD"/>
    <w:rsid w:val="0065649B"/>
    <w:rsid w:val="0065696B"/>
    <w:rsid w:val="00657C3E"/>
    <w:rsid w:val="00661DA0"/>
    <w:rsid w:val="0066203A"/>
    <w:rsid w:val="00662A2B"/>
    <w:rsid w:val="00663070"/>
    <w:rsid w:val="00665806"/>
    <w:rsid w:val="00665D1E"/>
    <w:rsid w:val="0066652A"/>
    <w:rsid w:val="00667416"/>
    <w:rsid w:val="006719C3"/>
    <w:rsid w:val="006732CF"/>
    <w:rsid w:val="006745FC"/>
    <w:rsid w:val="00674820"/>
    <w:rsid w:val="00675072"/>
    <w:rsid w:val="006750D9"/>
    <w:rsid w:val="00675A30"/>
    <w:rsid w:val="00677DD7"/>
    <w:rsid w:val="00680115"/>
    <w:rsid w:val="00680522"/>
    <w:rsid w:val="00681633"/>
    <w:rsid w:val="00681638"/>
    <w:rsid w:val="00682167"/>
    <w:rsid w:val="006826B1"/>
    <w:rsid w:val="00683C63"/>
    <w:rsid w:val="00690AE1"/>
    <w:rsid w:val="00691017"/>
    <w:rsid w:val="00694820"/>
    <w:rsid w:val="00695B78"/>
    <w:rsid w:val="00697A7A"/>
    <w:rsid w:val="006A1197"/>
    <w:rsid w:val="006A1B9C"/>
    <w:rsid w:val="006A34A0"/>
    <w:rsid w:val="006A3F0B"/>
    <w:rsid w:val="006A5108"/>
    <w:rsid w:val="006A6F52"/>
    <w:rsid w:val="006A791A"/>
    <w:rsid w:val="006B0064"/>
    <w:rsid w:val="006B0865"/>
    <w:rsid w:val="006B0F97"/>
    <w:rsid w:val="006B1FA8"/>
    <w:rsid w:val="006B287A"/>
    <w:rsid w:val="006B2AF3"/>
    <w:rsid w:val="006B3E95"/>
    <w:rsid w:val="006B4D44"/>
    <w:rsid w:val="006B51B2"/>
    <w:rsid w:val="006B5635"/>
    <w:rsid w:val="006B6F6D"/>
    <w:rsid w:val="006C022F"/>
    <w:rsid w:val="006C0B06"/>
    <w:rsid w:val="006C2071"/>
    <w:rsid w:val="006C3BBD"/>
    <w:rsid w:val="006C3F74"/>
    <w:rsid w:val="006C42AF"/>
    <w:rsid w:val="006C565B"/>
    <w:rsid w:val="006C6498"/>
    <w:rsid w:val="006C697B"/>
    <w:rsid w:val="006D15F1"/>
    <w:rsid w:val="006D44C3"/>
    <w:rsid w:val="006D5A56"/>
    <w:rsid w:val="006D7E7D"/>
    <w:rsid w:val="006E2111"/>
    <w:rsid w:val="006E2937"/>
    <w:rsid w:val="006E3BEA"/>
    <w:rsid w:val="006E4323"/>
    <w:rsid w:val="006E5177"/>
    <w:rsid w:val="006E5D59"/>
    <w:rsid w:val="006F03C7"/>
    <w:rsid w:val="006F59F1"/>
    <w:rsid w:val="006F6AC7"/>
    <w:rsid w:val="006F6BA7"/>
    <w:rsid w:val="00702286"/>
    <w:rsid w:val="00702FA5"/>
    <w:rsid w:val="0070543E"/>
    <w:rsid w:val="00706136"/>
    <w:rsid w:val="007075DF"/>
    <w:rsid w:val="00711D8E"/>
    <w:rsid w:val="00712672"/>
    <w:rsid w:val="007140C4"/>
    <w:rsid w:val="00714457"/>
    <w:rsid w:val="007164EB"/>
    <w:rsid w:val="00717488"/>
    <w:rsid w:val="007177FB"/>
    <w:rsid w:val="007178C4"/>
    <w:rsid w:val="00717DC6"/>
    <w:rsid w:val="00720BC8"/>
    <w:rsid w:val="00721310"/>
    <w:rsid w:val="00721B92"/>
    <w:rsid w:val="00722C51"/>
    <w:rsid w:val="00726FA4"/>
    <w:rsid w:val="007271F5"/>
    <w:rsid w:val="00727E09"/>
    <w:rsid w:val="007300CF"/>
    <w:rsid w:val="00730D73"/>
    <w:rsid w:val="00730F2A"/>
    <w:rsid w:val="0073342E"/>
    <w:rsid w:val="00734920"/>
    <w:rsid w:val="00734E3F"/>
    <w:rsid w:val="00736985"/>
    <w:rsid w:val="00736CDA"/>
    <w:rsid w:val="00740377"/>
    <w:rsid w:val="00745DF5"/>
    <w:rsid w:val="00751718"/>
    <w:rsid w:val="00755825"/>
    <w:rsid w:val="00756991"/>
    <w:rsid w:val="0076250F"/>
    <w:rsid w:val="00762979"/>
    <w:rsid w:val="00763D50"/>
    <w:rsid w:val="00764845"/>
    <w:rsid w:val="007727D1"/>
    <w:rsid w:val="0077324F"/>
    <w:rsid w:val="007733DC"/>
    <w:rsid w:val="00773EAA"/>
    <w:rsid w:val="007746D9"/>
    <w:rsid w:val="007762ED"/>
    <w:rsid w:val="00780FA5"/>
    <w:rsid w:val="00782530"/>
    <w:rsid w:val="00785714"/>
    <w:rsid w:val="00785C8A"/>
    <w:rsid w:val="00785F0A"/>
    <w:rsid w:val="007864CF"/>
    <w:rsid w:val="00786D53"/>
    <w:rsid w:val="00787020"/>
    <w:rsid w:val="00791008"/>
    <w:rsid w:val="00791307"/>
    <w:rsid w:val="0079264D"/>
    <w:rsid w:val="00792BD1"/>
    <w:rsid w:val="00794D99"/>
    <w:rsid w:val="00796624"/>
    <w:rsid w:val="00796F1C"/>
    <w:rsid w:val="007A122E"/>
    <w:rsid w:val="007A3EC6"/>
    <w:rsid w:val="007A4493"/>
    <w:rsid w:val="007A476F"/>
    <w:rsid w:val="007A4DF5"/>
    <w:rsid w:val="007A4F14"/>
    <w:rsid w:val="007A7952"/>
    <w:rsid w:val="007B00B0"/>
    <w:rsid w:val="007B2E53"/>
    <w:rsid w:val="007B53DB"/>
    <w:rsid w:val="007B53F9"/>
    <w:rsid w:val="007B6200"/>
    <w:rsid w:val="007B6AEA"/>
    <w:rsid w:val="007B6D32"/>
    <w:rsid w:val="007C19B3"/>
    <w:rsid w:val="007C2D1C"/>
    <w:rsid w:val="007C2E55"/>
    <w:rsid w:val="007C35DE"/>
    <w:rsid w:val="007C3D36"/>
    <w:rsid w:val="007C4B7D"/>
    <w:rsid w:val="007C4D69"/>
    <w:rsid w:val="007C6B8B"/>
    <w:rsid w:val="007C735B"/>
    <w:rsid w:val="007D007B"/>
    <w:rsid w:val="007D587A"/>
    <w:rsid w:val="007D5BD6"/>
    <w:rsid w:val="007D7653"/>
    <w:rsid w:val="007E0B47"/>
    <w:rsid w:val="007E0B8E"/>
    <w:rsid w:val="007E18A0"/>
    <w:rsid w:val="007E25DE"/>
    <w:rsid w:val="007E3872"/>
    <w:rsid w:val="007E5361"/>
    <w:rsid w:val="007E556D"/>
    <w:rsid w:val="007E78FE"/>
    <w:rsid w:val="007E7BC7"/>
    <w:rsid w:val="007F06F1"/>
    <w:rsid w:val="007F2A49"/>
    <w:rsid w:val="007F3395"/>
    <w:rsid w:val="007F343D"/>
    <w:rsid w:val="007F373F"/>
    <w:rsid w:val="007F5C0B"/>
    <w:rsid w:val="007F646C"/>
    <w:rsid w:val="00800E94"/>
    <w:rsid w:val="00801B9F"/>
    <w:rsid w:val="0080204D"/>
    <w:rsid w:val="00803917"/>
    <w:rsid w:val="00804C1E"/>
    <w:rsid w:val="00805F5A"/>
    <w:rsid w:val="00805FA6"/>
    <w:rsid w:val="00806623"/>
    <w:rsid w:val="00812C79"/>
    <w:rsid w:val="00813EA6"/>
    <w:rsid w:val="00815113"/>
    <w:rsid w:val="00816FFA"/>
    <w:rsid w:val="0082053C"/>
    <w:rsid w:val="00822F43"/>
    <w:rsid w:val="00823603"/>
    <w:rsid w:val="008265AB"/>
    <w:rsid w:val="00830866"/>
    <w:rsid w:val="00832939"/>
    <w:rsid w:val="00836B54"/>
    <w:rsid w:val="00841309"/>
    <w:rsid w:val="008413F5"/>
    <w:rsid w:val="0084191E"/>
    <w:rsid w:val="008432C8"/>
    <w:rsid w:val="00843B76"/>
    <w:rsid w:val="00844737"/>
    <w:rsid w:val="00844B37"/>
    <w:rsid w:val="008475F0"/>
    <w:rsid w:val="008500FE"/>
    <w:rsid w:val="00850CF1"/>
    <w:rsid w:val="008515AF"/>
    <w:rsid w:val="00852C32"/>
    <w:rsid w:val="00854F69"/>
    <w:rsid w:val="008557A7"/>
    <w:rsid w:val="00855FD4"/>
    <w:rsid w:val="008567E7"/>
    <w:rsid w:val="00856BFE"/>
    <w:rsid w:val="00856CDC"/>
    <w:rsid w:val="00857312"/>
    <w:rsid w:val="00860669"/>
    <w:rsid w:val="00860698"/>
    <w:rsid w:val="00862BCF"/>
    <w:rsid w:val="00863A41"/>
    <w:rsid w:val="00865DE2"/>
    <w:rsid w:val="00870928"/>
    <w:rsid w:val="008740B3"/>
    <w:rsid w:val="00876B47"/>
    <w:rsid w:val="00877620"/>
    <w:rsid w:val="00877FB8"/>
    <w:rsid w:val="00880CC6"/>
    <w:rsid w:val="00881605"/>
    <w:rsid w:val="00882D82"/>
    <w:rsid w:val="00886365"/>
    <w:rsid w:val="00887404"/>
    <w:rsid w:val="00890024"/>
    <w:rsid w:val="00891C7B"/>
    <w:rsid w:val="008928FB"/>
    <w:rsid w:val="0089312B"/>
    <w:rsid w:val="0089405C"/>
    <w:rsid w:val="00894074"/>
    <w:rsid w:val="00894FEB"/>
    <w:rsid w:val="00897349"/>
    <w:rsid w:val="0089780B"/>
    <w:rsid w:val="00897B41"/>
    <w:rsid w:val="00897FA2"/>
    <w:rsid w:val="008A0A25"/>
    <w:rsid w:val="008A1201"/>
    <w:rsid w:val="008A1503"/>
    <w:rsid w:val="008A323E"/>
    <w:rsid w:val="008A5AFE"/>
    <w:rsid w:val="008A61F7"/>
    <w:rsid w:val="008A6BB7"/>
    <w:rsid w:val="008A6DDA"/>
    <w:rsid w:val="008A745C"/>
    <w:rsid w:val="008A7844"/>
    <w:rsid w:val="008A7B6F"/>
    <w:rsid w:val="008B089A"/>
    <w:rsid w:val="008B0C89"/>
    <w:rsid w:val="008B55C0"/>
    <w:rsid w:val="008C0245"/>
    <w:rsid w:val="008C08B1"/>
    <w:rsid w:val="008C1A18"/>
    <w:rsid w:val="008C1F60"/>
    <w:rsid w:val="008C420E"/>
    <w:rsid w:val="008C478C"/>
    <w:rsid w:val="008C4D75"/>
    <w:rsid w:val="008C5538"/>
    <w:rsid w:val="008C5A0E"/>
    <w:rsid w:val="008C5AC9"/>
    <w:rsid w:val="008C6149"/>
    <w:rsid w:val="008C708C"/>
    <w:rsid w:val="008C754B"/>
    <w:rsid w:val="008D19DE"/>
    <w:rsid w:val="008D1CD7"/>
    <w:rsid w:val="008D27BF"/>
    <w:rsid w:val="008D7942"/>
    <w:rsid w:val="008E1986"/>
    <w:rsid w:val="008E1998"/>
    <w:rsid w:val="008E1CC3"/>
    <w:rsid w:val="008E4B49"/>
    <w:rsid w:val="008E4BCA"/>
    <w:rsid w:val="008E7A6E"/>
    <w:rsid w:val="008F3F3D"/>
    <w:rsid w:val="008F5E92"/>
    <w:rsid w:val="008F6625"/>
    <w:rsid w:val="008F6783"/>
    <w:rsid w:val="008F76D2"/>
    <w:rsid w:val="008F77EF"/>
    <w:rsid w:val="00900E61"/>
    <w:rsid w:val="00901028"/>
    <w:rsid w:val="00903E96"/>
    <w:rsid w:val="00905A0D"/>
    <w:rsid w:val="00905A20"/>
    <w:rsid w:val="00906443"/>
    <w:rsid w:val="00911D8C"/>
    <w:rsid w:val="00912047"/>
    <w:rsid w:val="00912E9B"/>
    <w:rsid w:val="009131E9"/>
    <w:rsid w:val="00913236"/>
    <w:rsid w:val="00913875"/>
    <w:rsid w:val="009142D9"/>
    <w:rsid w:val="00916582"/>
    <w:rsid w:val="009175FA"/>
    <w:rsid w:val="00917A7A"/>
    <w:rsid w:val="00920854"/>
    <w:rsid w:val="009300B3"/>
    <w:rsid w:val="009306CE"/>
    <w:rsid w:val="00930DF8"/>
    <w:rsid w:val="0093173D"/>
    <w:rsid w:val="009326C8"/>
    <w:rsid w:val="00934F8E"/>
    <w:rsid w:val="00937866"/>
    <w:rsid w:val="00943730"/>
    <w:rsid w:val="00943A8C"/>
    <w:rsid w:val="00944EE0"/>
    <w:rsid w:val="00945A66"/>
    <w:rsid w:val="00946DB7"/>
    <w:rsid w:val="009500A5"/>
    <w:rsid w:val="009505AE"/>
    <w:rsid w:val="00950D65"/>
    <w:rsid w:val="00952815"/>
    <w:rsid w:val="009543B9"/>
    <w:rsid w:val="0095613A"/>
    <w:rsid w:val="00957BB4"/>
    <w:rsid w:val="00962A28"/>
    <w:rsid w:val="00964F4E"/>
    <w:rsid w:val="00970AF1"/>
    <w:rsid w:val="00973190"/>
    <w:rsid w:val="00975978"/>
    <w:rsid w:val="00975CA5"/>
    <w:rsid w:val="009765BD"/>
    <w:rsid w:val="009774B4"/>
    <w:rsid w:val="0098218E"/>
    <w:rsid w:val="009822BB"/>
    <w:rsid w:val="00985220"/>
    <w:rsid w:val="009857EA"/>
    <w:rsid w:val="00986590"/>
    <w:rsid w:val="009872AC"/>
    <w:rsid w:val="00991579"/>
    <w:rsid w:val="00991FA0"/>
    <w:rsid w:val="00992C76"/>
    <w:rsid w:val="00993C30"/>
    <w:rsid w:val="00993FC8"/>
    <w:rsid w:val="00995ABE"/>
    <w:rsid w:val="009967FA"/>
    <w:rsid w:val="009969D6"/>
    <w:rsid w:val="009A00C4"/>
    <w:rsid w:val="009A02EB"/>
    <w:rsid w:val="009A054E"/>
    <w:rsid w:val="009A086B"/>
    <w:rsid w:val="009A112B"/>
    <w:rsid w:val="009A137E"/>
    <w:rsid w:val="009A2619"/>
    <w:rsid w:val="009A2C18"/>
    <w:rsid w:val="009A459F"/>
    <w:rsid w:val="009A58FC"/>
    <w:rsid w:val="009A5BCF"/>
    <w:rsid w:val="009A5C09"/>
    <w:rsid w:val="009A744E"/>
    <w:rsid w:val="009B1B49"/>
    <w:rsid w:val="009B394F"/>
    <w:rsid w:val="009B4D3B"/>
    <w:rsid w:val="009B790F"/>
    <w:rsid w:val="009C183D"/>
    <w:rsid w:val="009C18DB"/>
    <w:rsid w:val="009C5F84"/>
    <w:rsid w:val="009D0809"/>
    <w:rsid w:val="009D1F71"/>
    <w:rsid w:val="009D2723"/>
    <w:rsid w:val="009D3438"/>
    <w:rsid w:val="009D6BB3"/>
    <w:rsid w:val="009D7407"/>
    <w:rsid w:val="009E0866"/>
    <w:rsid w:val="009E0D7D"/>
    <w:rsid w:val="009E273C"/>
    <w:rsid w:val="009E3239"/>
    <w:rsid w:val="009E7213"/>
    <w:rsid w:val="009E7CC6"/>
    <w:rsid w:val="009F0404"/>
    <w:rsid w:val="009F1295"/>
    <w:rsid w:val="009F1350"/>
    <w:rsid w:val="009F169D"/>
    <w:rsid w:val="009F3A6B"/>
    <w:rsid w:val="009F5B33"/>
    <w:rsid w:val="009F6423"/>
    <w:rsid w:val="009F6D15"/>
    <w:rsid w:val="009F7005"/>
    <w:rsid w:val="00A04715"/>
    <w:rsid w:val="00A07A86"/>
    <w:rsid w:val="00A107B9"/>
    <w:rsid w:val="00A1256B"/>
    <w:rsid w:val="00A12B40"/>
    <w:rsid w:val="00A13988"/>
    <w:rsid w:val="00A17461"/>
    <w:rsid w:val="00A17B40"/>
    <w:rsid w:val="00A2119D"/>
    <w:rsid w:val="00A219AA"/>
    <w:rsid w:val="00A22BC6"/>
    <w:rsid w:val="00A22CD1"/>
    <w:rsid w:val="00A23734"/>
    <w:rsid w:val="00A237B8"/>
    <w:rsid w:val="00A23D3D"/>
    <w:rsid w:val="00A24A62"/>
    <w:rsid w:val="00A30DC2"/>
    <w:rsid w:val="00A310D9"/>
    <w:rsid w:val="00A315EC"/>
    <w:rsid w:val="00A31C9F"/>
    <w:rsid w:val="00A34858"/>
    <w:rsid w:val="00A4144F"/>
    <w:rsid w:val="00A429CC"/>
    <w:rsid w:val="00A43525"/>
    <w:rsid w:val="00A4405D"/>
    <w:rsid w:val="00A45FBB"/>
    <w:rsid w:val="00A46037"/>
    <w:rsid w:val="00A467E4"/>
    <w:rsid w:val="00A46B28"/>
    <w:rsid w:val="00A47135"/>
    <w:rsid w:val="00A47265"/>
    <w:rsid w:val="00A512B6"/>
    <w:rsid w:val="00A5172A"/>
    <w:rsid w:val="00A5187D"/>
    <w:rsid w:val="00A52FE3"/>
    <w:rsid w:val="00A53271"/>
    <w:rsid w:val="00A60470"/>
    <w:rsid w:val="00A61B4D"/>
    <w:rsid w:val="00A62E6E"/>
    <w:rsid w:val="00A637AB"/>
    <w:rsid w:val="00A63DFF"/>
    <w:rsid w:val="00A66F18"/>
    <w:rsid w:val="00A71167"/>
    <w:rsid w:val="00A71AC9"/>
    <w:rsid w:val="00A72177"/>
    <w:rsid w:val="00A72201"/>
    <w:rsid w:val="00A74192"/>
    <w:rsid w:val="00A75932"/>
    <w:rsid w:val="00A75B84"/>
    <w:rsid w:val="00A776C8"/>
    <w:rsid w:val="00A77B7B"/>
    <w:rsid w:val="00A80123"/>
    <w:rsid w:val="00A80305"/>
    <w:rsid w:val="00A80F95"/>
    <w:rsid w:val="00A8240A"/>
    <w:rsid w:val="00A84AA1"/>
    <w:rsid w:val="00A85360"/>
    <w:rsid w:val="00A854F9"/>
    <w:rsid w:val="00A858F3"/>
    <w:rsid w:val="00A868CB"/>
    <w:rsid w:val="00A903AF"/>
    <w:rsid w:val="00A90CFC"/>
    <w:rsid w:val="00A9263D"/>
    <w:rsid w:val="00A96364"/>
    <w:rsid w:val="00A9667F"/>
    <w:rsid w:val="00A96D17"/>
    <w:rsid w:val="00A97244"/>
    <w:rsid w:val="00A97BF1"/>
    <w:rsid w:val="00AA13B5"/>
    <w:rsid w:val="00AA14AF"/>
    <w:rsid w:val="00AA2557"/>
    <w:rsid w:val="00AA2624"/>
    <w:rsid w:val="00AA298A"/>
    <w:rsid w:val="00AA3AA8"/>
    <w:rsid w:val="00AA6859"/>
    <w:rsid w:val="00AB0677"/>
    <w:rsid w:val="00AB4642"/>
    <w:rsid w:val="00AB4795"/>
    <w:rsid w:val="00AB500D"/>
    <w:rsid w:val="00AB5D49"/>
    <w:rsid w:val="00AB6748"/>
    <w:rsid w:val="00AB6A1B"/>
    <w:rsid w:val="00AB6BD2"/>
    <w:rsid w:val="00AB6DBE"/>
    <w:rsid w:val="00AB72C5"/>
    <w:rsid w:val="00AB758A"/>
    <w:rsid w:val="00AC107C"/>
    <w:rsid w:val="00AC164A"/>
    <w:rsid w:val="00AC1994"/>
    <w:rsid w:val="00AC3944"/>
    <w:rsid w:val="00AC39C6"/>
    <w:rsid w:val="00AC3CBB"/>
    <w:rsid w:val="00AC551D"/>
    <w:rsid w:val="00AC616D"/>
    <w:rsid w:val="00AC66E2"/>
    <w:rsid w:val="00AC778B"/>
    <w:rsid w:val="00AD0870"/>
    <w:rsid w:val="00AD19F7"/>
    <w:rsid w:val="00AD20D8"/>
    <w:rsid w:val="00AD2C2E"/>
    <w:rsid w:val="00AD4791"/>
    <w:rsid w:val="00AD4DF5"/>
    <w:rsid w:val="00AD7BA5"/>
    <w:rsid w:val="00AE2B7B"/>
    <w:rsid w:val="00AE448A"/>
    <w:rsid w:val="00AE50B7"/>
    <w:rsid w:val="00AE52B1"/>
    <w:rsid w:val="00AE6E3D"/>
    <w:rsid w:val="00AE6E47"/>
    <w:rsid w:val="00AE74DA"/>
    <w:rsid w:val="00AE7AB3"/>
    <w:rsid w:val="00AF0974"/>
    <w:rsid w:val="00AF118B"/>
    <w:rsid w:val="00AF18F4"/>
    <w:rsid w:val="00AF2050"/>
    <w:rsid w:val="00AF2782"/>
    <w:rsid w:val="00AF31EE"/>
    <w:rsid w:val="00AF40E6"/>
    <w:rsid w:val="00AF4A1C"/>
    <w:rsid w:val="00AF6E5A"/>
    <w:rsid w:val="00AF7DC3"/>
    <w:rsid w:val="00AF7ECC"/>
    <w:rsid w:val="00B00BF4"/>
    <w:rsid w:val="00B02B2A"/>
    <w:rsid w:val="00B03CA8"/>
    <w:rsid w:val="00B05B87"/>
    <w:rsid w:val="00B06583"/>
    <w:rsid w:val="00B11451"/>
    <w:rsid w:val="00B12991"/>
    <w:rsid w:val="00B16EF6"/>
    <w:rsid w:val="00B20E3D"/>
    <w:rsid w:val="00B22F0E"/>
    <w:rsid w:val="00B23A6C"/>
    <w:rsid w:val="00B249EC"/>
    <w:rsid w:val="00B25FA6"/>
    <w:rsid w:val="00B26399"/>
    <w:rsid w:val="00B26CBC"/>
    <w:rsid w:val="00B300FD"/>
    <w:rsid w:val="00B322FF"/>
    <w:rsid w:val="00B33C0A"/>
    <w:rsid w:val="00B34763"/>
    <w:rsid w:val="00B34C00"/>
    <w:rsid w:val="00B34F32"/>
    <w:rsid w:val="00B401AF"/>
    <w:rsid w:val="00B41189"/>
    <w:rsid w:val="00B41C7E"/>
    <w:rsid w:val="00B42EF5"/>
    <w:rsid w:val="00B50D0C"/>
    <w:rsid w:val="00B50EB5"/>
    <w:rsid w:val="00B50ED0"/>
    <w:rsid w:val="00B51C2F"/>
    <w:rsid w:val="00B556C6"/>
    <w:rsid w:val="00B55E19"/>
    <w:rsid w:val="00B56E71"/>
    <w:rsid w:val="00B5757E"/>
    <w:rsid w:val="00B576AE"/>
    <w:rsid w:val="00B579A6"/>
    <w:rsid w:val="00B61481"/>
    <w:rsid w:val="00B64926"/>
    <w:rsid w:val="00B64D65"/>
    <w:rsid w:val="00B65121"/>
    <w:rsid w:val="00B65EE9"/>
    <w:rsid w:val="00B664A8"/>
    <w:rsid w:val="00B66635"/>
    <w:rsid w:val="00B66D3E"/>
    <w:rsid w:val="00B67766"/>
    <w:rsid w:val="00B67AA9"/>
    <w:rsid w:val="00B709BB"/>
    <w:rsid w:val="00B71179"/>
    <w:rsid w:val="00B71AD8"/>
    <w:rsid w:val="00B75362"/>
    <w:rsid w:val="00B764E8"/>
    <w:rsid w:val="00B81965"/>
    <w:rsid w:val="00B821A0"/>
    <w:rsid w:val="00B83769"/>
    <w:rsid w:val="00B83FAF"/>
    <w:rsid w:val="00B84B3C"/>
    <w:rsid w:val="00B857E1"/>
    <w:rsid w:val="00B8599B"/>
    <w:rsid w:val="00B86990"/>
    <w:rsid w:val="00B86C9B"/>
    <w:rsid w:val="00B9072C"/>
    <w:rsid w:val="00B91FE7"/>
    <w:rsid w:val="00B929BE"/>
    <w:rsid w:val="00B94758"/>
    <w:rsid w:val="00BA19AB"/>
    <w:rsid w:val="00BA1B89"/>
    <w:rsid w:val="00BA4A70"/>
    <w:rsid w:val="00BA4B6D"/>
    <w:rsid w:val="00BA50C6"/>
    <w:rsid w:val="00BA7C92"/>
    <w:rsid w:val="00BB0F58"/>
    <w:rsid w:val="00BB16FF"/>
    <w:rsid w:val="00BB26C5"/>
    <w:rsid w:val="00BB2E49"/>
    <w:rsid w:val="00BB2F84"/>
    <w:rsid w:val="00BB2FCF"/>
    <w:rsid w:val="00BB3FD0"/>
    <w:rsid w:val="00BB4C2D"/>
    <w:rsid w:val="00BB57DF"/>
    <w:rsid w:val="00BB6230"/>
    <w:rsid w:val="00BB6521"/>
    <w:rsid w:val="00BC1FED"/>
    <w:rsid w:val="00BC3A14"/>
    <w:rsid w:val="00BC51E5"/>
    <w:rsid w:val="00BC63A8"/>
    <w:rsid w:val="00BC75AD"/>
    <w:rsid w:val="00BC7F53"/>
    <w:rsid w:val="00BD05BE"/>
    <w:rsid w:val="00BD0E5D"/>
    <w:rsid w:val="00BD0F5C"/>
    <w:rsid w:val="00BD2BCF"/>
    <w:rsid w:val="00BD41FB"/>
    <w:rsid w:val="00BD6304"/>
    <w:rsid w:val="00BD6367"/>
    <w:rsid w:val="00BD710C"/>
    <w:rsid w:val="00BD7AA9"/>
    <w:rsid w:val="00BE12B6"/>
    <w:rsid w:val="00BE2708"/>
    <w:rsid w:val="00BE32D4"/>
    <w:rsid w:val="00BE6EB0"/>
    <w:rsid w:val="00BF1579"/>
    <w:rsid w:val="00BF1DC0"/>
    <w:rsid w:val="00BF2122"/>
    <w:rsid w:val="00BF4DE6"/>
    <w:rsid w:val="00BF614D"/>
    <w:rsid w:val="00BF6703"/>
    <w:rsid w:val="00BF7024"/>
    <w:rsid w:val="00BF7B56"/>
    <w:rsid w:val="00C04D72"/>
    <w:rsid w:val="00C06B13"/>
    <w:rsid w:val="00C0754A"/>
    <w:rsid w:val="00C10D80"/>
    <w:rsid w:val="00C115D3"/>
    <w:rsid w:val="00C120DA"/>
    <w:rsid w:val="00C12588"/>
    <w:rsid w:val="00C1334D"/>
    <w:rsid w:val="00C13D63"/>
    <w:rsid w:val="00C15976"/>
    <w:rsid w:val="00C15BAC"/>
    <w:rsid w:val="00C16A47"/>
    <w:rsid w:val="00C22D8C"/>
    <w:rsid w:val="00C239ED"/>
    <w:rsid w:val="00C23E02"/>
    <w:rsid w:val="00C2566C"/>
    <w:rsid w:val="00C27147"/>
    <w:rsid w:val="00C27D25"/>
    <w:rsid w:val="00C3063A"/>
    <w:rsid w:val="00C34EF0"/>
    <w:rsid w:val="00C35791"/>
    <w:rsid w:val="00C37697"/>
    <w:rsid w:val="00C42541"/>
    <w:rsid w:val="00C42CDE"/>
    <w:rsid w:val="00C42E75"/>
    <w:rsid w:val="00C43AB2"/>
    <w:rsid w:val="00C4481C"/>
    <w:rsid w:val="00C454D0"/>
    <w:rsid w:val="00C45941"/>
    <w:rsid w:val="00C47888"/>
    <w:rsid w:val="00C50B58"/>
    <w:rsid w:val="00C5182A"/>
    <w:rsid w:val="00C52463"/>
    <w:rsid w:val="00C52B3D"/>
    <w:rsid w:val="00C53BFE"/>
    <w:rsid w:val="00C55983"/>
    <w:rsid w:val="00C61649"/>
    <w:rsid w:val="00C61935"/>
    <w:rsid w:val="00C62B4E"/>
    <w:rsid w:val="00C63EE9"/>
    <w:rsid w:val="00C64F0E"/>
    <w:rsid w:val="00C65CA2"/>
    <w:rsid w:val="00C70B44"/>
    <w:rsid w:val="00C73C82"/>
    <w:rsid w:val="00C772E9"/>
    <w:rsid w:val="00C77753"/>
    <w:rsid w:val="00C80F99"/>
    <w:rsid w:val="00C826D9"/>
    <w:rsid w:val="00C83F4E"/>
    <w:rsid w:val="00C84C30"/>
    <w:rsid w:val="00C87B9B"/>
    <w:rsid w:val="00C904CC"/>
    <w:rsid w:val="00C908C7"/>
    <w:rsid w:val="00C92805"/>
    <w:rsid w:val="00C92A40"/>
    <w:rsid w:val="00C9311B"/>
    <w:rsid w:val="00C9385E"/>
    <w:rsid w:val="00C9606C"/>
    <w:rsid w:val="00C961F6"/>
    <w:rsid w:val="00C96777"/>
    <w:rsid w:val="00CA16F3"/>
    <w:rsid w:val="00CA1C2E"/>
    <w:rsid w:val="00CA3403"/>
    <w:rsid w:val="00CA37B1"/>
    <w:rsid w:val="00CA3FD8"/>
    <w:rsid w:val="00CA4AF4"/>
    <w:rsid w:val="00CA5021"/>
    <w:rsid w:val="00CA575B"/>
    <w:rsid w:val="00CB1488"/>
    <w:rsid w:val="00CB1959"/>
    <w:rsid w:val="00CB40BD"/>
    <w:rsid w:val="00CC0FD1"/>
    <w:rsid w:val="00CC146B"/>
    <w:rsid w:val="00CC1D45"/>
    <w:rsid w:val="00CC3345"/>
    <w:rsid w:val="00CC4A42"/>
    <w:rsid w:val="00CC4CEC"/>
    <w:rsid w:val="00CC5377"/>
    <w:rsid w:val="00CC53F5"/>
    <w:rsid w:val="00CC741B"/>
    <w:rsid w:val="00CC7AC1"/>
    <w:rsid w:val="00CD0E4B"/>
    <w:rsid w:val="00CD223C"/>
    <w:rsid w:val="00CD3B5E"/>
    <w:rsid w:val="00CD3F5D"/>
    <w:rsid w:val="00CD4AD4"/>
    <w:rsid w:val="00CD5279"/>
    <w:rsid w:val="00CD601D"/>
    <w:rsid w:val="00CE008D"/>
    <w:rsid w:val="00CE2117"/>
    <w:rsid w:val="00CE218F"/>
    <w:rsid w:val="00CE2CF5"/>
    <w:rsid w:val="00CE351F"/>
    <w:rsid w:val="00CE3B7B"/>
    <w:rsid w:val="00CE4C89"/>
    <w:rsid w:val="00CE6104"/>
    <w:rsid w:val="00CE6791"/>
    <w:rsid w:val="00CE7409"/>
    <w:rsid w:val="00CF07BA"/>
    <w:rsid w:val="00CF127B"/>
    <w:rsid w:val="00CF12AD"/>
    <w:rsid w:val="00CF1B10"/>
    <w:rsid w:val="00CF21A3"/>
    <w:rsid w:val="00CF24D4"/>
    <w:rsid w:val="00CF3B77"/>
    <w:rsid w:val="00CF70CB"/>
    <w:rsid w:val="00CF799C"/>
    <w:rsid w:val="00D02815"/>
    <w:rsid w:val="00D0296C"/>
    <w:rsid w:val="00D02C26"/>
    <w:rsid w:val="00D03042"/>
    <w:rsid w:val="00D036B4"/>
    <w:rsid w:val="00D04A86"/>
    <w:rsid w:val="00D04CC9"/>
    <w:rsid w:val="00D04E5F"/>
    <w:rsid w:val="00D05E55"/>
    <w:rsid w:val="00D10006"/>
    <w:rsid w:val="00D10EB4"/>
    <w:rsid w:val="00D11860"/>
    <w:rsid w:val="00D11E3C"/>
    <w:rsid w:val="00D1231A"/>
    <w:rsid w:val="00D17BB5"/>
    <w:rsid w:val="00D2065E"/>
    <w:rsid w:val="00D20A30"/>
    <w:rsid w:val="00D20BC7"/>
    <w:rsid w:val="00D22924"/>
    <w:rsid w:val="00D246B5"/>
    <w:rsid w:val="00D2641E"/>
    <w:rsid w:val="00D30420"/>
    <w:rsid w:val="00D304D6"/>
    <w:rsid w:val="00D3068D"/>
    <w:rsid w:val="00D3170B"/>
    <w:rsid w:val="00D32D6F"/>
    <w:rsid w:val="00D34D5D"/>
    <w:rsid w:val="00D37B04"/>
    <w:rsid w:val="00D40E3F"/>
    <w:rsid w:val="00D42E9F"/>
    <w:rsid w:val="00D44DA2"/>
    <w:rsid w:val="00D45555"/>
    <w:rsid w:val="00D4628C"/>
    <w:rsid w:val="00D472AD"/>
    <w:rsid w:val="00D479B5"/>
    <w:rsid w:val="00D5346B"/>
    <w:rsid w:val="00D540C6"/>
    <w:rsid w:val="00D54247"/>
    <w:rsid w:val="00D55AAB"/>
    <w:rsid w:val="00D55EB3"/>
    <w:rsid w:val="00D55FAA"/>
    <w:rsid w:val="00D56927"/>
    <w:rsid w:val="00D61D4A"/>
    <w:rsid w:val="00D625ED"/>
    <w:rsid w:val="00D63948"/>
    <w:rsid w:val="00D63C05"/>
    <w:rsid w:val="00D643DD"/>
    <w:rsid w:val="00D64BD1"/>
    <w:rsid w:val="00D71DA9"/>
    <w:rsid w:val="00D71F34"/>
    <w:rsid w:val="00D72600"/>
    <w:rsid w:val="00D7310B"/>
    <w:rsid w:val="00D74F17"/>
    <w:rsid w:val="00D757AC"/>
    <w:rsid w:val="00D7652F"/>
    <w:rsid w:val="00D812E0"/>
    <w:rsid w:val="00D85F0B"/>
    <w:rsid w:val="00D86657"/>
    <w:rsid w:val="00D90B37"/>
    <w:rsid w:val="00D92254"/>
    <w:rsid w:val="00D924D3"/>
    <w:rsid w:val="00D93A5A"/>
    <w:rsid w:val="00D941A3"/>
    <w:rsid w:val="00D94A03"/>
    <w:rsid w:val="00D97EED"/>
    <w:rsid w:val="00DA1B52"/>
    <w:rsid w:val="00DA3046"/>
    <w:rsid w:val="00DA4B3C"/>
    <w:rsid w:val="00DA4E3D"/>
    <w:rsid w:val="00DA7E69"/>
    <w:rsid w:val="00DB0AA2"/>
    <w:rsid w:val="00DC0996"/>
    <w:rsid w:val="00DC18CA"/>
    <w:rsid w:val="00DC238C"/>
    <w:rsid w:val="00DC24B8"/>
    <w:rsid w:val="00DC4322"/>
    <w:rsid w:val="00DC518D"/>
    <w:rsid w:val="00DC5A4E"/>
    <w:rsid w:val="00DC60E7"/>
    <w:rsid w:val="00DC6D78"/>
    <w:rsid w:val="00DC72EF"/>
    <w:rsid w:val="00DD31D1"/>
    <w:rsid w:val="00DD3E88"/>
    <w:rsid w:val="00DD40CF"/>
    <w:rsid w:val="00DD6317"/>
    <w:rsid w:val="00DE084C"/>
    <w:rsid w:val="00DE6D12"/>
    <w:rsid w:val="00DE7D43"/>
    <w:rsid w:val="00DF2254"/>
    <w:rsid w:val="00DF22D4"/>
    <w:rsid w:val="00DF3421"/>
    <w:rsid w:val="00DF4DD3"/>
    <w:rsid w:val="00DF68CF"/>
    <w:rsid w:val="00E0138E"/>
    <w:rsid w:val="00E02006"/>
    <w:rsid w:val="00E02F54"/>
    <w:rsid w:val="00E03BF9"/>
    <w:rsid w:val="00E0497E"/>
    <w:rsid w:val="00E04A07"/>
    <w:rsid w:val="00E055AB"/>
    <w:rsid w:val="00E06159"/>
    <w:rsid w:val="00E10DEA"/>
    <w:rsid w:val="00E144AF"/>
    <w:rsid w:val="00E14563"/>
    <w:rsid w:val="00E14E3E"/>
    <w:rsid w:val="00E14E55"/>
    <w:rsid w:val="00E14F51"/>
    <w:rsid w:val="00E15A6C"/>
    <w:rsid w:val="00E1666D"/>
    <w:rsid w:val="00E16D5F"/>
    <w:rsid w:val="00E203D1"/>
    <w:rsid w:val="00E20945"/>
    <w:rsid w:val="00E21027"/>
    <w:rsid w:val="00E211C8"/>
    <w:rsid w:val="00E221FA"/>
    <w:rsid w:val="00E23402"/>
    <w:rsid w:val="00E275F9"/>
    <w:rsid w:val="00E27D4A"/>
    <w:rsid w:val="00E3076E"/>
    <w:rsid w:val="00E31467"/>
    <w:rsid w:val="00E3191F"/>
    <w:rsid w:val="00E31DEC"/>
    <w:rsid w:val="00E32094"/>
    <w:rsid w:val="00E33E2C"/>
    <w:rsid w:val="00E357B7"/>
    <w:rsid w:val="00E35D3B"/>
    <w:rsid w:val="00E366DD"/>
    <w:rsid w:val="00E36C0E"/>
    <w:rsid w:val="00E373A2"/>
    <w:rsid w:val="00E40BF7"/>
    <w:rsid w:val="00E40DC9"/>
    <w:rsid w:val="00E40E8B"/>
    <w:rsid w:val="00E410F8"/>
    <w:rsid w:val="00E428C2"/>
    <w:rsid w:val="00E42990"/>
    <w:rsid w:val="00E42C8E"/>
    <w:rsid w:val="00E42E50"/>
    <w:rsid w:val="00E4410E"/>
    <w:rsid w:val="00E4584F"/>
    <w:rsid w:val="00E532A8"/>
    <w:rsid w:val="00E537A2"/>
    <w:rsid w:val="00E53800"/>
    <w:rsid w:val="00E54286"/>
    <w:rsid w:val="00E559EE"/>
    <w:rsid w:val="00E55B76"/>
    <w:rsid w:val="00E6081F"/>
    <w:rsid w:val="00E614AA"/>
    <w:rsid w:val="00E624EC"/>
    <w:rsid w:val="00E62617"/>
    <w:rsid w:val="00E707AE"/>
    <w:rsid w:val="00E70C37"/>
    <w:rsid w:val="00E73BC6"/>
    <w:rsid w:val="00E74313"/>
    <w:rsid w:val="00E7504A"/>
    <w:rsid w:val="00E8296D"/>
    <w:rsid w:val="00E8457B"/>
    <w:rsid w:val="00E92A8C"/>
    <w:rsid w:val="00E935FC"/>
    <w:rsid w:val="00E93FC7"/>
    <w:rsid w:val="00E944AA"/>
    <w:rsid w:val="00EA0257"/>
    <w:rsid w:val="00EA04B2"/>
    <w:rsid w:val="00EA1898"/>
    <w:rsid w:val="00EA1A7E"/>
    <w:rsid w:val="00EA20F3"/>
    <w:rsid w:val="00EA36D9"/>
    <w:rsid w:val="00EA4790"/>
    <w:rsid w:val="00EA6BC2"/>
    <w:rsid w:val="00EB5364"/>
    <w:rsid w:val="00EB5A8E"/>
    <w:rsid w:val="00EC288C"/>
    <w:rsid w:val="00EC2B54"/>
    <w:rsid w:val="00EC3E46"/>
    <w:rsid w:val="00EC5F34"/>
    <w:rsid w:val="00EC608A"/>
    <w:rsid w:val="00EC6D38"/>
    <w:rsid w:val="00ED0E1C"/>
    <w:rsid w:val="00ED1415"/>
    <w:rsid w:val="00ED179A"/>
    <w:rsid w:val="00ED18EE"/>
    <w:rsid w:val="00ED2120"/>
    <w:rsid w:val="00ED2831"/>
    <w:rsid w:val="00ED3B2D"/>
    <w:rsid w:val="00ED43D1"/>
    <w:rsid w:val="00ED510F"/>
    <w:rsid w:val="00ED6E38"/>
    <w:rsid w:val="00EE0466"/>
    <w:rsid w:val="00EE1701"/>
    <w:rsid w:val="00EE1CFF"/>
    <w:rsid w:val="00EE4EE1"/>
    <w:rsid w:val="00EF0363"/>
    <w:rsid w:val="00EF0883"/>
    <w:rsid w:val="00EF14C4"/>
    <w:rsid w:val="00EF2BEF"/>
    <w:rsid w:val="00EF3014"/>
    <w:rsid w:val="00EF3A97"/>
    <w:rsid w:val="00EF4574"/>
    <w:rsid w:val="00EF5169"/>
    <w:rsid w:val="00EF5682"/>
    <w:rsid w:val="00EF6690"/>
    <w:rsid w:val="00EF6BBB"/>
    <w:rsid w:val="00F003E0"/>
    <w:rsid w:val="00F01921"/>
    <w:rsid w:val="00F021D8"/>
    <w:rsid w:val="00F044FF"/>
    <w:rsid w:val="00F04AA1"/>
    <w:rsid w:val="00F06982"/>
    <w:rsid w:val="00F10E71"/>
    <w:rsid w:val="00F13373"/>
    <w:rsid w:val="00F13409"/>
    <w:rsid w:val="00F15A19"/>
    <w:rsid w:val="00F20898"/>
    <w:rsid w:val="00F22651"/>
    <w:rsid w:val="00F22F9C"/>
    <w:rsid w:val="00F24BD7"/>
    <w:rsid w:val="00F258BF"/>
    <w:rsid w:val="00F25A93"/>
    <w:rsid w:val="00F2684E"/>
    <w:rsid w:val="00F26EC7"/>
    <w:rsid w:val="00F27235"/>
    <w:rsid w:val="00F27C14"/>
    <w:rsid w:val="00F313C7"/>
    <w:rsid w:val="00F32F70"/>
    <w:rsid w:val="00F3443A"/>
    <w:rsid w:val="00F35A31"/>
    <w:rsid w:val="00F37170"/>
    <w:rsid w:val="00F42B9D"/>
    <w:rsid w:val="00F43F4C"/>
    <w:rsid w:val="00F440C3"/>
    <w:rsid w:val="00F44469"/>
    <w:rsid w:val="00F45486"/>
    <w:rsid w:val="00F45CCA"/>
    <w:rsid w:val="00F47942"/>
    <w:rsid w:val="00F50D81"/>
    <w:rsid w:val="00F510D6"/>
    <w:rsid w:val="00F511BD"/>
    <w:rsid w:val="00F515ED"/>
    <w:rsid w:val="00F5305C"/>
    <w:rsid w:val="00F53309"/>
    <w:rsid w:val="00F533DE"/>
    <w:rsid w:val="00F53E91"/>
    <w:rsid w:val="00F5404C"/>
    <w:rsid w:val="00F54228"/>
    <w:rsid w:val="00F55791"/>
    <w:rsid w:val="00F60A6B"/>
    <w:rsid w:val="00F62A84"/>
    <w:rsid w:val="00F64397"/>
    <w:rsid w:val="00F6464D"/>
    <w:rsid w:val="00F64C52"/>
    <w:rsid w:val="00F65010"/>
    <w:rsid w:val="00F650C7"/>
    <w:rsid w:val="00F6597C"/>
    <w:rsid w:val="00F66656"/>
    <w:rsid w:val="00F6723D"/>
    <w:rsid w:val="00F67C6A"/>
    <w:rsid w:val="00F70504"/>
    <w:rsid w:val="00F707E0"/>
    <w:rsid w:val="00F71CB4"/>
    <w:rsid w:val="00F729EF"/>
    <w:rsid w:val="00F73AA2"/>
    <w:rsid w:val="00F74524"/>
    <w:rsid w:val="00F746B7"/>
    <w:rsid w:val="00F760AE"/>
    <w:rsid w:val="00F7677D"/>
    <w:rsid w:val="00F7730A"/>
    <w:rsid w:val="00F77CAE"/>
    <w:rsid w:val="00F813E2"/>
    <w:rsid w:val="00F82271"/>
    <w:rsid w:val="00F83428"/>
    <w:rsid w:val="00F83ED0"/>
    <w:rsid w:val="00F84FAC"/>
    <w:rsid w:val="00F8640A"/>
    <w:rsid w:val="00F868B3"/>
    <w:rsid w:val="00F875A8"/>
    <w:rsid w:val="00F8782F"/>
    <w:rsid w:val="00F90B17"/>
    <w:rsid w:val="00F92F66"/>
    <w:rsid w:val="00F93C45"/>
    <w:rsid w:val="00F96BB9"/>
    <w:rsid w:val="00F975C0"/>
    <w:rsid w:val="00F97D55"/>
    <w:rsid w:val="00FA203C"/>
    <w:rsid w:val="00FA44B2"/>
    <w:rsid w:val="00FA4D1A"/>
    <w:rsid w:val="00FA5EFD"/>
    <w:rsid w:val="00FA6D6F"/>
    <w:rsid w:val="00FA720A"/>
    <w:rsid w:val="00FB0453"/>
    <w:rsid w:val="00FB2F66"/>
    <w:rsid w:val="00FB4CC1"/>
    <w:rsid w:val="00FC1216"/>
    <w:rsid w:val="00FC4DF6"/>
    <w:rsid w:val="00FC5365"/>
    <w:rsid w:val="00FC558E"/>
    <w:rsid w:val="00FC7ABE"/>
    <w:rsid w:val="00FD0944"/>
    <w:rsid w:val="00FD1850"/>
    <w:rsid w:val="00FD1E20"/>
    <w:rsid w:val="00FD3742"/>
    <w:rsid w:val="00FD532B"/>
    <w:rsid w:val="00FD710F"/>
    <w:rsid w:val="00FD75B7"/>
    <w:rsid w:val="00FE39A7"/>
    <w:rsid w:val="00FE3A4E"/>
    <w:rsid w:val="00FE6D51"/>
    <w:rsid w:val="00FE6F2A"/>
    <w:rsid w:val="00FE78D8"/>
    <w:rsid w:val="00FF0590"/>
    <w:rsid w:val="00FF0626"/>
    <w:rsid w:val="00FF285E"/>
    <w:rsid w:val="00FF3F05"/>
    <w:rsid w:val="00FF551B"/>
    <w:rsid w:val="00FF5CAD"/>
    <w:rsid w:val="10A658DB"/>
    <w:rsid w:val="48FD07C8"/>
    <w:rsid w:val="49AB144B"/>
    <w:rsid w:val="4FEE9D25"/>
    <w:rsid w:val="56408D1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42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autoRedefine/>
    <w:uiPriority w:val="9"/>
    <w:unhideWhenUsed/>
    <w:qFormat/>
    <w:rsid w:val="00C27147"/>
    <w:pPr>
      <w:spacing w:before="240" w:after="120" w:line="240" w:lineRule="auto"/>
      <w:outlineLvl w:val="1"/>
    </w:pPr>
    <w:rPr>
      <w:bCs w:val="0"/>
      <w:sz w:val="22"/>
      <w:szCs w:val="26"/>
    </w:rPr>
  </w:style>
  <w:style w:type="paragraph" w:styleId="Heading3">
    <w:name w:val="heading 3"/>
    <w:basedOn w:val="Heading2"/>
    <w:next w:val="Normal"/>
    <w:link w:val="Heading3Char"/>
    <w:autoRedefine/>
    <w:uiPriority w:val="9"/>
    <w:unhideWhenUsed/>
    <w:qFormat/>
    <w:rsid w:val="00882D82"/>
    <w:pPr>
      <w:tabs>
        <w:tab w:val="left" w:pos="7655"/>
      </w:tabs>
      <w:spacing w:before="120" w:after="60"/>
      <w:contextualSpacing w:val="0"/>
      <w:outlineLvl w:val="2"/>
    </w:pPr>
    <w:rPr>
      <w:rFonts w:asciiTheme="minorHAnsi" w:hAnsiTheme="minorHAnsi" w:cstheme="minorHAnsi"/>
      <w:bCs/>
      <w:iCs/>
      <w:caps w:val="0"/>
      <w:color w:val="auto"/>
      <w:szCs w:val="22"/>
    </w:rPr>
  </w:style>
  <w:style w:type="paragraph" w:styleId="Heading4">
    <w:name w:val="heading 4"/>
    <w:basedOn w:val="Heading3"/>
    <w:next w:val="Normal"/>
    <w:link w:val="Heading4Char"/>
    <w:uiPriority w:val="9"/>
    <w:unhideWhenUsed/>
    <w:qFormat/>
    <w:rsid w:val="00A4144F"/>
    <w:pPr>
      <w:spacing w:line="280" w:lineRule="atLeast"/>
      <w:outlineLvl w:val="3"/>
    </w:pPr>
    <w:rPr>
      <w:iCs w:val="0"/>
    </w:rPr>
  </w:style>
  <w:style w:type="paragraph" w:styleId="Heading5">
    <w:name w:val="heading 5"/>
    <w:basedOn w:val="Heading4"/>
    <w:next w:val="Normal"/>
    <w:link w:val="Heading5Char"/>
    <w:uiPriority w:val="9"/>
    <w:unhideWhenUsed/>
    <w:qFormat/>
    <w:rsid w:val="00B71AD8"/>
    <w:pPr>
      <w:spacing w:line="200" w:lineRule="atLeast"/>
      <w:outlineLvl w:val="4"/>
    </w:pPr>
    <w:rPr>
      <w:b w:val="0"/>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C27147"/>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882D82"/>
    <w:rPr>
      <w:rFonts w:eastAsiaTheme="majorEastAsia" w:cstheme="minorHAnsi"/>
      <w:b/>
      <w:bCs/>
      <w:iCs/>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link w:val="Bullet1Char"/>
    <w:qFormat/>
    <w:rsid w:val="00B71AD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p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table" w:styleId="GridTable4-Accent1">
    <w:name w:val="Grid Table 4 Accent 1"/>
    <w:basedOn w:val="TableNormal"/>
    <w:uiPriority w:val="49"/>
    <w:locked/>
    <w:rsid w:val="00DC238C"/>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customStyle="1" w:styleId="APPR">
    <w:name w:val="APPR"/>
    <w:basedOn w:val="TableNormal"/>
    <w:uiPriority w:val="99"/>
    <w:rsid w:val="00681633"/>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Constantia" w:hAnsi="Constantia"/>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HTMLPreformatted">
    <w:name w:val="HTML Preformatted"/>
    <w:basedOn w:val="Normal"/>
    <w:link w:val="HTMLPreformattedChar"/>
    <w:uiPriority w:val="99"/>
    <w:semiHidden/>
    <w:unhideWhenUsed/>
    <w:locked/>
    <w:rsid w:val="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AU" w:eastAsia="en-AU"/>
    </w:rPr>
  </w:style>
  <w:style w:type="character" w:customStyle="1" w:styleId="HTMLPreformattedChar">
    <w:name w:val="HTML Preformatted Char"/>
    <w:basedOn w:val="DefaultParagraphFont"/>
    <w:link w:val="HTMLPreformatted"/>
    <w:uiPriority w:val="99"/>
    <w:semiHidden/>
    <w:rsid w:val="008C1F60"/>
    <w:rPr>
      <w:rFonts w:ascii="Courier New" w:eastAsia="Times New Roman" w:hAnsi="Courier New" w:cs="Courier New"/>
      <w:sz w:val="20"/>
      <w:szCs w:val="20"/>
      <w:lang w:eastAsia="en-AU"/>
    </w:rPr>
  </w:style>
  <w:style w:type="character" w:customStyle="1" w:styleId="y2iqfc">
    <w:name w:val="y2iqfc"/>
    <w:basedOn w:val="DefaultParagraphFont"/>
    <w:rsid w:val="008C1F60"/>
  </w:style>
  <w:style w:type="character" w:styleId="UnresolvedMention">
    <w:name w:val="Unresolved Mention"/>
    <w:basedOn w:val="DefaultParagraphFont"/>
    <w:uiPriority w:val="99"/>
    <w:unhideWhenUsed/>
    <w:rsid w:val="00844737"/>
    <w:rPr>
      <w:color w:val="605E5C"/>
      <w:shd w:val="clear" w:color="auto" w:fill="E1DFDD"/>
    </w:rPr>
  </w:style>
  <w:style w:type="character" w:styleId="FollowedHyperlink">
    <w:name w:val="FollowedHyperlink"/>
    <w:basedOn w:val="DefaultParagraphFont"/>
    <w:uiPriority w:val="99"/>
    <w:semiHidden/>
    <w:unhideWhenUsed/>
    <w:rsid w:val="00FD710F"/>
    <w:rPr>
      <w:color w:val="800080" w:themeColor="followedHyperlink"/>
      <w:u w:val="single"/>
    </w:rPr>
  </w:style>
  <w:style w:type="character" w:customStyle="1" w:styleId="Bullet1Char">
    <w:name w:val="Bullet 1 Char"/>
    <w:aliases w:val="3 Char,Bullet Points Char,CAB - List Bullet Char,Colorful List - Accent 11 Char,Indicator Text Char,Issue Action POC Char,List Bullet Cab Char,List Paragraph Char Char Char Char,List Paragraph12 Char,No Spacing1 Char,Numbered Para 1 Char"/>
    <w:basedOn w:val="DefaultParagraphFont"/>
    <w:link w:val="Bullet1"/>
    <w:qFormat/>
    <w:locked/>
    <w:rsid w:val="00206BAF"/>
    <w:rPr>
      <w:color w:val="495965" w:themeColor="text2"/>
      <w:lang w:val="en-GB"/>
    </w:rPr>
  </w:style>
  <w:style w:type="paragraph" w:styleId="NormalWeb">
    <w:name w:val="Normal (Web)"/>
    <w:basedOn w:val="Normal"/>
    <w:uiPriority w:val="99"/>
    <w:unhideWhenUsed/>
    <w:rsid w:val="00A467E4"/>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styleId="Revision">
    <w:name w:val="Revision"/>
    <w:hidden/>
    <w:uiPriority w:val="99"/>
    <w:semiHidden/>
    <w:rsid w:val="00DF3421"/>
    <w:pPr>
      <w:spacing w:after="0" w:line="240" w:lineRule="auto"/>
    </w:pPr>
    <w:rPr>
      <w:color w:val="495965" w:themeColor="text2"/>
      <w:lang w:val="en-GB"/>
    </w:rPr>
  </w:style>
  <w:style w:type="character" w:styleId="Mention">
    <w:name w:val="Mention"/>
    <w:basedOn w:val="DefaultParagraphFont"/>
    <w:uiPriority w:val="99"/>
    <w:unhideWhenUsed/>
    <w:rsid w:val="00F42B9D"/>
    <w:rPr>
      <w:color w:val="2B579A"/>
      <w:shd w:val="clear" w:color="auto" w:fill="E1DFDD"/>
    </w:rPr>
  </w:style>
  <w:style w:type="character" w:styleId="PlaceholderText">
    <w:name w:val="Placeholder Text"/>
    <w:basedOn w:val="DefaultParagraphFont"/>
    <w:uiPriority w:val="99"/>
    <w:semiHidden/>
    <w:locked/>
    <w:rsid w:val="00E73B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653">
      <w:bodyDiv w:val="1"/>
      <w:marLeft w:val="0"/>
      <w:marRight w:val="0"/>
      <w:marTop w:val="0"/>
      <w:marBottom w:val="0"/>
      <w:divBdr>
        <w:top w:val="none" w:sz="0" w:space="0" w:color="auto"/>
        <w:left w:val="none" w:sz="0" w:space="0" w:color="auto"/>
        <w:bottom w:val="none" w:sz="0" w:space="0" w:color="auto"/>
        <w:right w:val="none" w:sz="0" w:space="0" w:color="auto"/>
      </w:divBdr>
    </w:div>
    <w:div w:id="35009467">
      <w:bodyDiv w:val="1"/>
      <w:marLeft w:val="0"/>
      <w:marRight w:val="0"/>
      <w:marTop w:val="0"/>
      <w:marBottom w:val="0"/>
      <w:divBdr>
        <w:top w:val="none" w:sz="0" w:space="0" w:color="auto"/>
        <w:left w:val="none" w:sz="0" w:space="0" w:color="auto"/>
        <w:bottom w:val="none" w:sz="0" w:space="0" w:color="auto"/>
        <w:right w:val="none" w:sz="0" w:space="0" w:color="auto"/>
      </w:divBdr>
    </w:div>
    <w:div w:id="45884361">
      <w:bodyDiv w:val="1"/>
      <w:marLeft w:val="0"/>
      <w:marRight w:val="0"/>
      <w:marTop w:val="0"/>
      <w:marBottom w:val="0"/>
      <w:divBdr>
        <w:top w:val="none" w:sz="0" w:space="0" w:color="auto"/>
        <w:left w:val="none" w:sz="0" w:space="0" w:color="auto"/>
        <w:bottom w:val="none" w:sz="0" w:space="0" w:color="auto"/>
        <w:right w:val="none" w:sz="0" w:space="0" w:color="auto"/>
      </w:divBdr>
    </w:div>
    <w:div w:id="51856784">
      <w:bodyDiv w:val="1"/>
      <w:marLeft w:val="0"/>
      <w:marRight w:val="0"/>
      <w:marTop w:val="0"/>
      <w:marBottom w:val="0"/>
      <w:divBdr>
        <w:top w:val="none" w:sz="0" w:space="0" w:color="auto"/>
        <w:left w:val="none" w:sz="0" w:space="0" w:color="auto"/>
        <w:bottom w:val="none" w:sz="0" w:space="0" w:color="auto"/>
        <w:right w:val="none" w:sz="0" w:space="0" w:color="auto"/>
      </w:divBdr>
    </w:div>
    <w:div w:id="86273484">
      <w:bodyDiv w:val="1"/>
      <w:marLeft w:val="0"/>
      <w:marRight w:val="0"/>
      <w:marTop w:val="0"/>
      <w:marBottom w:val="0"/>
      <w:divBdr>
        <w:top w:val="none" w:sz="0" w:space="0" w:color="auto"/>
        <w:left w:val="none" w:sz="0" w:space="0" w:color="auto"/>
        <w:bottom w:val="none" w:sz="0" w:space="0" w:color="auto"/>
        <w:right w:val="none" w:sz="0" w:space="0" w:color="auto"/>
      </w:divBdr>
    </w:div>
    <w:div w:id="87653729">
      <w:bodyDiv w:val="1"/>
      <w:marLeft w:val="0"/>
      <w:marRight w:val="0"/>
      <w:marTop w:val="0"/>
      <w:marBottom w:val="0"/>
      <w:divBdr>
        <w:top w:val="none" w:sz="0" w:space="0" w:color="auto"/>
        <w:left w:val="none" w:sz="0" w:space="0" w:color="auto"/>
        <w:bottom w:val="none" w:sz="0" w:space="0" w:color="auto"/>
        <w:right w:val="none" w:sz="0" w:space="0" w:color="auto"/>
      </w:divBdr>
    </w:div>
    <w:div w:id="88816633">
      <w:bodyDiv w:val="1"/>
      <w:marLeft w:val="0"/>
      <w:marRight w:val="0"/>
      <w:marTop w:val="0"/>
      <w:marBottom w:val="0"/>
      <w:divBdr>
        <w:top w:val="none" w:sz="0" w:space="0" w:color="auto"/>
        <w:left w:val="none" w:sz="0" w:space="0" w:color="auto"/>
        <w:bottom w:val="none" w:sz="0" w:space="0" w:color="auto"/>
        <w:right w:val="none" w:sz="0" w:space="0" w:color="auto"/>
      </w:divBdr>
    </w:div>
    <w:div w:id="118455516">
      <w:bodyDiv w:val="1"/>
      <w:marLeft w:val="0"/>
      <w:marRight w:val="0"/>
      <w:marTop w:val="0"/>
      <w:marBottom w:val="0"/>
      <w:divBdr>
        <w:top w:val="none" w:sz="0" w:space="0" w:color="auto"/>
        <w:left w:val="none" w:sz="0" w:space="0" w:color="auto"/>
        <w:bottom w:val="none" w:sz="0" w:space="0" w:color="auto"/>
        <w:right w:val="none" w:sz="0" w:space="0" w:color="auto"/>
      </w:divBdr>
    </w:div>
    <w:div w:id="120152682">
      <w:bodyDiv w:val="1"/>
      <w:marLeft w:val="0"/>
      <w:marRight w:val="0"/>
      <w:marTop w:val="0"/>
      <w:marBottom w:val="0"/>
      <w:divBdr>
        <w:top w:val="none" w:sz="0" w:space="0" w:color="auto"/>
        <w:left w:val="none" w:sz="0" w:space="0" w:color="auto"/>
        <w:bottom w:val="none" w:sz="0" w:space="0" w:color="auto"/>
        <w:right w:val="none" w:sz="0" w:space="0" w:color="auto"/>
      </w:divBdr>
    </w:div>
    <w:div w:id="218244284">
      <w:bodyDiv w:val="1"/>
      <w:marLeft w:val="0"/>
      <w:marRight w:val="0"/>
      <w:marTop w:val="0"/>
      <w:marBottom w:val="0"/>
      <w:divBdr>
        <w:top w:val="none" w:sz="0" w:space="0" w:color="auto"/>
        <w:left w:val="none" w:sz="0" w:space="0" w:color="auto"/>
        <w:bottom w:val="none" w:sz="0" w:space="0" w:color="auto"/>
        <w:right w:val="none" w:sz="0" w:space="0" w:color="auto"/>
      </w:divBdr>
    </w:div>
    <w:div w:id="260991913">
      <w:bodyDiv w:val="1"/>
      <w:marLeft w:val="0"/>
      <w:marRight w:val="0"/>
      <w:marTop w:val="0"/>
      <w:marBottom w:val="0"/>
      <w:divBdr>
        <w:top w:val="none" w:sz="0" w:space="0" w:color="auto"/>
        <w:left w:val="none" w:sz="0" w:space="0" w:color="auto"/>
        <w:bottom w:val="none" w:sz="0" w:space="0" w:color="auto"/>
        <w:right w:val="none" w:sz="0" w:space="0" w:color="auto"/>
      </w:divBdr>
    </w:div>
    <w:div w:id="292715355">
      <w:bodyDiv w:val="1"/>
      <w:marLeft w:val="0"/>
      <w:marRight w:val="0"/>
      <w:marTop w:val="0"/>
      <w:marBottom w:val="0"/>
      <w:divBdr>
        <w:top w:val="none" w:sz="0" w:space="0" w:color="auto"/>
        <w:left w:val="none" w:sz="0" w:space="0" w:color="auto"/>
        <w:bottom w:val="none" w:sz="0" w:space="0" w:color="auto"/>
        <w:right w:val="none" w:sz="0" w:space="0" w:color="auto"/>
      </w:divBdr>
    </w:div>
    <w:div w:id="363872034">
      <w:bodyDiv w:val="1"/>
      <w:marLeft w:val="0"/>
      <w:marRight w:val="0"/>
      <w:marTop w:val="0"/>
      <w:marBottom w:val="0"/>
      <w:divBdr>
        <w:top w:val="none" w:sz="0" w:space="0" w:color="auto"/>
        <w:left w:val="none" w:sz="0" w:space="0" w:color="auto"/>
        <w:bottom w:val="none" w:sz="0" w:space="0" w:color="auto"/>
        <w:right w:val="none" w:sz="0" w:space="0" w:color="auto"/>
      </w:divBdr>
    </w:div>
    <w:div w:id="472912099">
      <w:bodyDiv w:val="1"/>
      <w:marLeft w:val="0"/>
      <w:marRight w:val="0"/>
      <w:marTop w:val="0"/>
      <w:marBottom w:val="0"/>
      <w:divBdr>
        <w:top w:val="none" w:sz="0" w:space="0" w:color="auto"/>
        <w:left w:val="none" w:sz="0" w:space="0" w:color="auto"/>
        <w:bottom w:val="none" w:sz="0" w:space="0" w:color="auto"/>
        <w:right w:val="none" w:sz="0" w:space="0" w:color="auto"/>
      </w:divBdr>
    </w:div>
    <w:div w:id="502286149">
      <w:bodyDiv w:val="1"/>
      <w:marLeft w:val="0"/>
      <w:marRight w:val="0"/>
      <w:marTop w:val="0"/>
      <w:marBottom w:val="0"/>
      <w:divBdr>
        <w:top w:val="none" w:sz="0" w:space="0" w:color="auto"/>
        <w:left w:val="none" w:sz="0" w:space="0" w:color="auto"/>
        <w:bottom w:val="none" w:sz="0" w:space="0" w:color="auto"/>
        <w:right w:val="none" w:sz="0" w:space="0" w:color="auto"/>
      </w:divBdr>
    </w:div>
    <w:div w:id="698435385">
      <w:bodyDiv w:val="1"/>
      <w:marLeft w:val="0"/>
      <w:marRight w:val="0"/>
      <w:marTop w:val="0"/>
      <w:marBottom w:val="0"/>
      <w:divBdr>
        <w:top w:val="none" w:sz="0" w:space="0" w:color="auto"/>
        <w:left w:val="none" w:sz="0" w:space="0" w:color="auto"/>
        <w:bottom w:val="none" w:sz="0" w:space="0" w:color="auto"/>
        <w:right w:val="none" w:sz="0" w:space="0" w:color="auto"/>
      </w:divBdr>
    </w:div>
    <w:div w:id="713622472">
      <w:bodyDiv w:val="1"/>
      <w:marLeft w:val="0"/>
      <w:marRight w:val="0"/>
      <w:marTop w:val="0"/>
      <w:marBottom w:val="0"/>
      <w:divBdr>
        <w:top w:val="none" w:sz="0" w:space="0" w:color="auto"/>
        <w:left w:val="none" w:sz="0" w:space="0" w:color="auto"/>
        <w:bottom w:val="none" w:sz="0" w:space="0" w:color="auto"/>
        <w:right w:val="none" w:sz="0" w:space="0" w:color="auto"/>
      </w:divBdr>
    </w:div>
    <w:div w:id="744642985">
      <w:bodyDiv w:val="1"/>
      <w:marLeft w:val="0"/>
      <w:marRight w:val="0"/>
      <w:marTop w:val="0"/>
      <w:marBottom w:val="0"/>
      <w:divBdr>
        <w:top w:val="none" w:sz="0" w:space="0" w:color="auto"/>
        <w:left w:val="none" w:sz="0" w:space="0" w:color="auto"/>
        <w:bottom w:val="none" w:sz="0" w:space="0" w:color="auto"/>
        <w:right w:val="none" w:sz="0" w:space="0" w:color="auto"/>
      </w:divBdr>
    </w:div>
    <w:div w:id="977224855">
      <w:bodyDiv w:val="1"/>
      <w:marLeft w:val="0"/>
      <w:marRight w:val="0"/>
      <w:marTop w:val="0"/>
      <w:marBottom w:val="0"/>
      <w:divBdr>
        <w:top w:val="none" w:sz="0" w:space="0" w:color="auto"/>
        <w:left w:val="none" w:sz="0" w:space="0" w:color="auto"/>
        <w:bottom w:val="none" w:sz="0" w:space="0" w:color="auto"/>
        <w:right w:val="none" w:sz="0" w:space="0" w:color="auto"/>
      </w:divBdr>
    </w:div>
    <w:div w:id="1068844812">
      <w:bodyDiv w:val="1"/>
      <w:marLeft w:val="0"/>
      <w:marRight w:val="0"/>
      <w:marTop w:val="0"/>
      <w:marBottom w:val="0"/>
      <w:divBdr>
        <w:top w:val="none" w:sz="0" w:space="0" w:color="auto"/>
        <w:left w:val="none" w:sz="0" w:space="0" w:color="auto"/>
        <w:bottom w:val="none" w:sz="0" w:space="0" w:color="auto"/>
        <w:right w:val="none" w:sz="0" w:space="0" w:color="auto"/>
      </w:divBdr>
    </w:div>
    <w:div w:id="1143500653">
      <w:bodyDiv w:val="1"/>
      <w:marLeft w:val="0"/>
      <w:marRight w:val="0"/>
      <w:marTop w:val="0"/>
      <w:marBottom w:val="0"/>
      <w:divBdr>
        <w:top w:val="none" w:sz="0" w:space="0" w:color="auto"/>
        <w:left w:val="none" w:sz="0" w:space="0" w:color="auto"/>
        <w:bottom w:val="none" w:sz="0" w:space="0" w:color="auto"/>
        <w:right w:val="none" w:sz="0" w:space="0" w:color="auto"/>
      </w:divBdr>
    </w:div>
    <w:div w:id="1356618446">
      <w:bodyDiv w:val="1"/>
      <w:marLeft w:val="0"/>
      <w:marRight w:val="0"/>
      <w:marTop w:val="0"/>
      <w:marBottom w:val="0"/>
      <w:divBdr>
        <w:top w:val="none" w:sz="0" w:space="0" w:color="auto"/>
        <w:left w:val="none" w:sz="0" w:space="0" w:color="auto"/>
        <w:bottom w:val="none" w:sz="0" w:space="0" w:color="auto"/>
        <w:right w:val="none" w:sz="0" w:space="0" w:color="auto"/>
      </w:divBdr>
    </w:div>
    <w:div w:id="1357391845">
      <w:bodyDiv w:val="1"/>
      <w:marLeft w:val="0"/>
      <w:marRight w:val="0"/>
      <w:marTop w:val="0"/>
      <w:marBottom w:val="0"/>
      <w:divBdr>
        <w:top w:val="none" w:sz="0" w:space="0" w:color="auto"/>
        <w:left w:val="none" w:sz="0" w:space="0" w:color="auto"/>
        <w:bottom w:val="none" w:sz="0" w:space="0" w:color="auto"/>
        <w:right w:val="none" w:sz="0" w:space="0" w:color="auto"/>
      </w:divBdr>
    </w:div>
    <w:div w:id="1376810832">
      <w:bodyDiv w:val="1"/>
      <w:marLeft w:val="0"/>
      <w:marRight w:val="0"/>
      <w:marTop w:val="0"/>
      <w:marBottom w:val="0"/>
      <w:divBdr>
        <w:top w:val="none" w:sz="0" w:space="0" w:color="auto"/>
        <w:left w:val="none" w:sz="0" w:space="0" w:color="auto"/>
        <w:bottom w:val="none" w:sz="0" w:space="0" w:color="auto"/>
        <w:right w:val="none" w:sz="0" w:space="0" w:color="auto"/>
      </w:divBdr>
    </w:div>
    <w:div w:id="1394888277">
      <w:bodyDiv w:val="1"/>
      <w:marLeft w:val="0"/>
      <w:marRight w:val="0"/>
      <w:marTop w:val="0"/>
      <w:marBottom w:val="0"/>
      <w:divBdr>
        <w:top w:val="none" w:sz="0" w:space="0" w:color="auto"/>
        <w:left w:val="none" w:sz="0" w:space="0" w:color="auto"/>
        <w:bottom w:val="none" w:sz="0" w:space="0" w:color="auto"/>
        <w:right w:val="none" w:sz="0" w:space="0" w:color="auto"/>
      </w:divBdr>
    </w:div>
    <w:div w:id="1406344680">
      <w:bodyDiv w:val="1"/>
      <w:marLeft w:val="0"/>
      <w:marRight w:val="0"/>
      <w:marTop w:val="0"/>
      <w:marBottom w:val="0"/>
      <w:divBdr>
        <w:top w:val="none" w:sz="0" w:space="0" w:color="auto"/>
        <w:left w:val="none" w:sz="0" w:space="0" w:color="auto"/>
        <w:bottom w:val="none" w:sz="0" w:space="0" w:color="auto"/>
        <w:right w:val="none" w:sz="0" w:space="0" w:color="auto"/>
      </w:divBdr>
    </w:div>
    <w:div w:id="1424759310">
      <w:bodyDiv w:val="1"/>
      <w:marLeft w:val="0"/>
      <w:marRight w:val="0"/>
      <w:marTop w:val="0"/>
      <w:marBottom w:val="0"/>
      <w:divBdr>
        <w:top w:val="none" w:sz="0" w:space="0" w:color="auto"/>
        <w:left w:val="none" w:sz="0" w:space="0" w:color="auto"/>
        <w:bottom w:val="none" w:sz="0" w:space="0" w:color="auto"/>
        <w:right w:val="none" w:sz="0" w:space="0" w:color="auto"/>
      </w:divBdr>
    </w:div>
    <w:div w:id="1511331881">
      <w:bodyDiv w:val="1"/>
      <w:marLeft w:val="0"/>
      <w:marRight w:val="0"/>
      <w:marTop w:val="0"/>
      <w:marBottom w:val="0"/>
      <w:divBdr>
        <w:top w:val="none" w:sz="0" w:space="0" w:color="auto"/>
        <w:left w:val="none" w:sz="0" w:space="0" w:color="auto"/>
        <w:bottom w:val="none" w:sz="0" w:space="0" w:color="auto"/>
        <w:right w:val="none" w:sz="0" w:space="0" w:color="auto"/>
      </w:divBdr>
    </w:div>
    <w:div w:id="1644770716">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 w:id="1845363095">
      <w:bodyDiv w:val="1"/>
      <w:marLeft w:val="0"/>
      <w:marRight w:val="0"/>
      <w:marTop w:val="0"/>
      <w:marBottom w:val="0"/>
      <w:divBdr>
        <w:top w:val="none" w:sz="0" w:space="0" w:color="auto"/>
        <w:left w:val="none" w:sz="0" w:space="0" w:color="auto"/>
        <w:bottom w:val="none" w:sz="0" w:space="0" w:color="auto"/>
        <w:right w:val="none" w:sz="0" w:space="0" w:color="auto"/>
      </w:divBdr>
    </w:div>
    <w:div w:id="1864854890">
      <w:bodyDiv w:val="1"/>
      <w:marLeft w:val="0"/>
      <w:marRight w:val="0"/>
      <w:marTop w:val="0"/>
      <w:marBottom w:val="0"/>
      <w:divBdr>
        <w:top w:val="none" w:sz="0" w:space="0" w:color="auto"/>
        <w:left w:val="none" w:sz="0" w:space="0" w:color="auto"/>
        <w:bottom w:val="none" w:sz="0" w:space="0" w:color="auto"/>
        <w:right w:val="none" w:sz="0" w:space="0" w:color="auto"/>
      </w:divBdr>
    </w:div>
    <w:div w:id="1918707756">
      <w:bodyDiv w:val="1"/>
      <w:marLeft w:val="0"/>
      <w:marRight w:val="0"/>
      <w:marTop w:val="0"/>
      <w:marBottom w:val="0"/>
      <w:divBdr>
        <w:top w:val="none" w:sz="0" w:space="0" w:color="auto"/>
        <w:left w:val="none" w:sz="0" w:space="0" w:color="auto"/>
        <w:bottom w:val="none" w:sz="0" w:space="0" w:color="auto"/>
        <w:right w:val="none" w:sz="0" w:space="0" w:color="auto"/>
      </w:divBdr>
    </w:div>
    <w:div w:id="195941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9D400-8AF7-4434-87B4-1127DA62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3016</Words>
  <Characters>17762</Characters>
  <Application>Microsoft Office Word</Application>
  <DocSecurity>0</DocSecurity>
  <Lines>376</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20633</CharactersWithSpaces>
  <SharedDoc>false</SharedDoc>
  <HLinks>
    <vt:vector size="6" baseType="variant">
      <vt:variant>
        <vt:i4>3735665</vt:i4>
      </vt:variant>
      <vt:variant>
        <vt:i4>0</vt:i4>
      </vt:variant>
      <vt:variant>
        <vt:i4>0</vt:i4>
      </vt:variant>
      <vt:variant>
        <vt:i4>5</vt:i4>
      </vt:variant>
      <vt:variant>
        <vt:lpwstr>http://bi.edw-preprod.titan.satin.lo/reportsbi/powerbi/Operational.BI/OCE Data Analytics/Final dashboards/Country Economic and Trade Data?rs:embed=TRUE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2022-12-20T08:02:00Z</dcterms:created>
  <dcterms:modified xsi:type="dcterms:W3CDTF">2022-12-20T08:02:00Z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MinimumSecurityClassification">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ing_FileId">
    <vt:lpwstr>63FA5E0138FE4A06847B5F31F02136CD</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OriginationTimeStamp">
    <vt:lpwstr>2022-12-20T08:02:17Z</vt:lpwstr>
  </property>
  <property fmtid="{D5CDD505-2E9C-101B-9397-08002B2CF9AE}" pid="12" name="PM_ProtectiveMarkingImage_Header">
    <vt:lpwstr>C:\Program Files (x86)\Common Files\janusNET Shared\janusSEAL\Images\DocumentSlashBlue.png</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4420CDB0268F721FBE06917D2C547925</vt:lpwstr>
  </property>
  <property fmtid="{D5CDD505-2E9C-101B-9397-08002B2CF9AE}" pid="20" name="PM_Hash_Salt">
    <vt:lpwstr>C40D366F7C1597E92812BB06B37754ED</vt:lpwstr>
  </property>
  <property fmtid="{D5CDD505-2E9C-101B-9397-08002B2CF9AE}" pid="21" name="PM_Hash_SHA1">
    <vt:lpwstr>D92B182AA25A7149837F258C901CD032CB959C27</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Originator_Hash_SHA1">
    <vt:lpwstr>899E4EA469A04FB023F4432B63374BB33589BF8A</vt:lpwstr>
  </property>
  <property fmtid="{D5CDD505-2E9C-101B-9397-08002B2CF9AE}" pid="25" name="PM_Display">
    <vt:lpwstr>OFFICIAL</vt:lpwstr>
  </property>
  <property fmtid="{D5CDD505-2E9C-101B-9397-08002B2CF9AE}" pid="26" name="PM_OriginatorUserAccountName_SHA256">
    <vt:lpwstr>290C9CFCFE70E139C4500567FB5830ACF9049F26A1998DDACA65669D45D5D2AD</vt:lpwstr>
  </property>
  <property fmtid="{D5CDD505-2E9C-101B-9397-08002B2CF9AE}" pid="27" name="PM_OriginatorDomainName_SHA256">
    <vt:lpwstr>6F3591835F3B2A8A025B00B5BA6418010DA3A17C9C26EA9C049FFD28039489A2</vt:lpwstr>
  </property>
  <property fmtid="{D5CDD505-2E9C-101B-9397-08002B2CF9AE}" pid="28" name="PMUuid">
    <vt:lpwstr>ABBFF5E2-9674-55C9-B08D-C9980002FD58</vt:lpwstr>
  </property>
  <property fmtid="{D5CDD505-2E9C-101B-9397-08002B2CF9AE}" pid="29" name="PMUuidVer">
    <vt:lpwstr>2022.1</vt:lpwstr>
  </property>
</Properties>
</file>