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5418B389" w:rsidR="009A744E" w:rsidRDefault="002E500A" w:rsidP="002907BB">
      <w:pPr>
        <w:pStyle w:val="Heading1"/>
        <w:spacing w:after="0" w:line="240" w:lineRule="auto"/>
        <w:contextualSpacing w:val="0"/>
      </w:pPr>
      <w:r w:rsidRPr="002E500A">
        <w:t>202</w:t>
      </w:r>
      <w:r w:rsidR="009543B9">
        <w:t>1</w:t>
      </w:r>
      <w:r w:rsidRPr="002E500A">
        <w:t>-2</w:t>
      </w:r>
      <w:r w:rsidR="009543B9">
        <w:t>2</w:t>
      </w:r>
      <w:r w:rsidRPr="002E500A">
        <w:t xml:space="preserve"> </w:t>
      </w:r>
      <w:r w:rsidR="00DE3FC2">
        <w:t>Vietnam</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455E2B10" w14:textId="3BC98F4D" w:rsidR="002907BB" w:rsidRPr="002907BB" w:rsidRDefault="002907BB" w:rsidP="002907BB">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Vietnam</w:t>
      </w:r>
      <w:r w:rsidRPr="00015DC0">
        <w:t xml:space="preserve"> </w:t>
      </w:r>
      <w:r>
        <w:t>has been extended through 2022-23</w:t>
      </w:r>
      <w:r w:rsidRPr="00015DC0">
        <w:t>.</w:t>
      </w:r>
      <w:r w:rsidRPr="007C4D69">
        <w:t xml:space="preserve"> </w:t>
      </w:r>
      <w:r>
        <w:br/>
        <w:t xml:space="preserve">In 2022-23, the Vietnam program will have a stronger focus on </w:t>
      </w:r>
      <w:r>
        <w:rPr>
          <w:rFonts w:cstheme="minorHAnsi"/>
        </w:rPr>
        <w:t xml:space="preserve">encouraging </w:t>
      </w:r>
      <w:r w:rsidRPr="00BD5A45">
        <w:rPr>
          <w:rFonts w:cstheme="minorHAnsi"/>
        </w:rPr>
        <w:t>green</w:t>
      </w:r>
      <w:r>
        <w:rPr>
          <w:rFonts w:cstheme="minorHAnsi"/>
        </w:rPr>
        <w:t xml:space="preserve"> and</w:t>
      </w:r>
      <w:r w:rsidRPr="00BD5A45">
        <w:rPr>
          <w:rFonts w:cstheme="minorHAnsi"/>
        </w:rPr>
        <w:t xml:space="preserve"> inclusive</w:t>
      </w:r>
      <w:r>
        <w:rPr>
          <w:rFonts w:cstheme="minorHAnsi"/>
        </w:rPr>
        <w:t xml:space="preserve"> growth. This reflects Vietnam’s ambition to become a high-income country by 2045, the objectives of the Vietnam Australia Enhanced Economic Engagement Strategy, and our joint commitment to ambitious climate change action.</w:t>
      </w:r>
    </w:p>
    <w:tbl>
      <w:tblPr>
        <w:tblStyle w:val="GridTable4-Accent1"/>
        <w:tblpPr w:leftFromText="180" w:rightFromText="180" w:vertAnchor="text" w:horzAnchor="margin" w:tblpY="28"/>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010"/>
        <w:gridCol w:w="2087"/>
      </w:tblGrid>
      <w:tr w:rsidR="002907BB" w14:paraId="7455938B" w14:textId="77777777" w:rsidTr="002907BB">
        <w:trPr>
          <w:cnfStyle w:val="100000000000" w:firstRow="1" w:lastRow="0" w:firstColumn="0" w:lastColumn="0" w:oddVBand="0" w:evenVBand="0" w:oddHBand="0" w:evenHBand="0" w:firstRowFirstColumn="0" w:firstRowLastColumn="0" w:lastRowFirstColumn="0" w:lastRowLastColumn="0"/>
          <w:trHeight w:val="749"/>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00B782CD" w14:textId="77777777" w:rsidR="002907BB" w:rsidRPr="005736BB" w:rsidRDefault="002907BB" w:rsidP="002907BB">
            <w:pPr>
              <w:widowControl w:val="0"/>
              <w:spacing w:before="60" w:after="120" w:line="260" w:lineRule="exact"/>
              <w:rPr>
                <w:b w:val="0"/>
                <w:bCs w:val="0"/>
                <w:sz w:val="20"/>
                <w:szCs w:val="20"/>
              </w:rPr>
            </w:pPr>
            <w:r w:rsidRPr="005736BB">
              <w:rPr>
                <w:sz w:val="20"/>
                <w:szCs w:val="20"/>
              </w:rPr>
              <w:t>Program Budget</w:t>
            </w:r>
          </w:p>
        </w:tc>
        <w:tc>
          <w:tcPr>
            <w:tcW w:w="2087"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1B21A221" w14:textId="77777777" w:rsidR="002907BB" w:rsidRPr="005736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2907BB" w14:paraId="1DA0956C" w14:textId="77777777" w:rsidTr="002907BB">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0A32BF" w14:textId="77777777" w:rsidR="002907BB" w:rsidRPr="005736BB" w:rsidRDefault="002907BB" w:rsidP="00F808EF">
            <w:pPr>
              <w:widowControl w:val="0"/>
              <w:spacing w:before="60" w:after="120" w:line="260" w:lineRule="exact"/>
              <w:rPr>
                <w:sz w:val="20"/>
                <w:szCs w:val="20"/>
              </w:rPr>
            </w:pPr>
            <w:r w:rsidRPr="005736BB">
              <w:rPr>
                <w:sz w:val="20"/>
                <w:szCs w:val="20"/>
              </w:rPr>
              <w:t>Bilateral</w:t>
            </w:r>
          </w:p>
        </w:tc>
        <w:tc>
          <w:tcPr>
            <w:tcW w:w="208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C499331" w14:textId="77777777" w:rsidR="002907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57.2</w:t>
            </w:r>
          </w:p>
        </w:tc>
      </w:tr>
      <w:tr w:rsidR="002907BB" w14:paraId="52EADE15" w14:textId="77777777" w:rsidTr="002907BB">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49102D0" w14:textId="77777777" w:rsidR="002907BB" w:rsidRPr="005736BB" w:rsidRDefault="002907BB" w:rsidP="00F808EF">
            <w:pPr>
              <w:widowControl w:val="0"/>
              <w:spacing w:before="60" w:after="120" w:line="260" w:lineRule="exact"/>
              <w:rPr>
                <w:sz w:val="20"/>
                <w:szCs w:val="20"/>
              </w:rPr>
            </w:pPr>
            <w:r w:rsidRPr="005736BB">
              <w:rPr>
                <w:sz w:val="20"/>
                <w:szCs w:val="20"/>
              </w:rPr>
              <w:t>Regional</w:t>
            </w:r>
          </w:p>
        </w:tc>
        <w:tc>
          <w:tcPr>
            <w:tcW w:w="208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A25B057" w14:textId="77777777" w:rsidR="002907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4.7</w:t>
            </w:r>
          </w:p>
        </w:tc>
      </w:tr>
      <w:tr w:rsidR="002907BB" w14:paraId="5D3EE99E" w14:textId="77777777" w:rsidTr="002907BB">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56BBB9" w14:textId="77777777" w:rsidR="002907BB" w:rsidRPr="005736BB" w:rsidRDefault="002907BB" w:rsidP="00F808EF">
            <w:pPr>
              <w:widowControl w:val="0"/>
              <w:spacing w:before="60" w:after="120" w:line="260" w:lineRule="exact"/>
              <w:rPr>
                <w:sz w:val="20"/>
                <w:szCs w:val="20"/>
              </w:rPr>
            </w:pPr>
            <w:r w:rsidRPr="005736BB">
              <w:rPr>
                <w:sz w:val="20"/>
                <w:szCs w:val="20"/>
              </w:rPr>
              <w:t>Global</w:t>
            </w:r>
          </w:p>
        </w:tc>
        <w:tc>
          <w:tcPr>
            <w:tcW w:w="208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6C77DA" w14:textId="77777777" w:rsidR="002907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12.5</w:t>
            </w:r>
          </w:p>
        </w:tc>
      </w:tr>
      <w:tr w:rsidR="002907BB" w14:paraId="64D7B817" w14:textId="77777777" w:rsidTr="002907BB">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1954351" w14:textId="77777777" w:rsidR="002907BB" w:rsidRPr="005736BB" w:rsidRDefault="002907BB" w:rsidP="00F808EF">
            <w:pPr>
              <w:widowControl w:val="0"/>
              <w:spacing w:before="60" w:after="120" w:line="260" w:lineRule="exact"/>
              <w:rPr>
                <w:sz w:val="20"/>
                <w:szCs w:val="20"/>
              </w:rPr>
            </w:pPr>
            <w:r w:rsidRPr="005736BB">
              <w:rPr>
                <w:sz w:val="20"/>
                <w:szCs w:val="20"/>
              </w:rPr>
              <w:t>Other Govt. Departments</w:t>
            </w:r>
          </w:p>
        </w:tc>
        <w:tc>
          <w:tcPr>
            <w:tcW w:w="208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64449FF" w14:textId="77777777" w:rsidR="002907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4.4</w:t>
            </w:r>
          </w:p>
        </w:tc>
      </w:tr>
      <w:tr w:rsidR="002907BB" w14:paraId="1A7134AA" w14:textId="77777777" w:rsidTr="002907BB">
        <w:trPr>
          <w:cnfStyle w:val="100000000000" w:firstRow="1" w:lastRow="0" w:firstColumn="0" w:lastColumn="0" w:oddVBand="0" w:evenVBand="0" w:oddHBand="0" w:evenHBand="0" w:firstRowFirstColumn="0" w:firstRowLastColumn="0" w:lastRowFirstColumn="0" w:lastRowLastColumn="0"/>
          <w:trHeight w:val="674"/>
          <w:tblHead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BE3F3E" w14:textId="77777777" w:rsidR="002907BB" w:rsidRPr="005736BB" w:rsidRDefault="002907BB" w:rsidP="00F808EF">
            <w:pPr>
              <w:widowControl w:val="0"/>
              <w:spacing w:before="60" w:after="120" w:line="260" w:lineRule="exact"/>
              <w:rPr>
                <w:sz w:val="20"/>
                <w:szCs w:val="20"/>
              </w:rPr>
            </w:pPr>
            <w:r w:rsidRPr="005736BB">
              <w:rPr>
                <w:sz w:val="20"/>
                <w:szCs w:val="20"/>
              </w:rPr>
              <w:t>Total ODA</w:t>
            </w:r>
          </w:p>
        </w:tc>
        <w:tc>
          <w:tcPr>
            <w:tcW w:w="208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8D1527" w14:textId="77777777" w:rsidR="002907BB" w:rsidRDefault="002907BB" w:rsidP="00F808EF">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78.9</w:t>
            </w:r>
          </w:p>
        </w:tc>
      </w:tr>
    </w:tbl>
    <w:p w14:paraId="38761FA5" w14:textId="0F0F0658" w:rsidR="00974A4A" w:rsidRDefault="002907BB" w:rsidP="00974A4A">
      <w:pPr>
        <w:widowControl w:val="0"/>
        <w:spacing w:before="0" w:after="0" w:line="240" w:lineRule="auto"/>
      </w:pPr>
      <w:r>
        <w:rPr>
          <w:noProof/>
        </w:rPr>
        <w:drawing>
          <wp:inline distT="0" distB="0" distL="0" distR="0" wp14:anchorId="0FACB873" wp14:editId="37B9FDF3">
            <wp:extent cx="3829050" cy="2362200"/>
            <wp:effectExtent l="0" t="0" r="0" b="0"/>
            <wp:docPr id="1" name="Picture 1" descr="The Vietnam Development Program by Sector Group 2021-22 Budget Estimate&#10;Economic Infrastructure and Services 31%&#10;Agriculture, Trade and other Production Sectors 37%&#10;Governance 10%&#10;Education 9%&#10;Health 5%&#10;Multisector and General Development Support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Vietnam Development Program by Sector Group 2021-22 Budget Estimate&#10;Economic Infrastructure and Services 31%&#10;Agriculture, Trade and other Production Sectors 37%&#10;Governance 10%&#10;Education 9%&#10;Health 5%&#10;Multisector and General Development Support 8%&#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2362200"/>
                    </a:xfrm>
                    <a:prstGeom prst="rect">
                      <a:avLst/>
                    </a:prstGeom>
                    <a:noFill/>
                    <a:ln>
                      <a:noFill/>
                    </a:ln>
                  </pic:spPr>
                </pic:pic>
              </a:graphicData>
            </a:graphic>
          </wp:inline>
        </w:drawing>
      </w:r>
      <w:r w:rsidR="00974A4A" w:rsidRPr="005D69AA">
        <w:rPr>
          <w:i/>
          <w:iCs/>
          <w:sz w:val="18"/>
          <w:szCs w:val="18"/>
        </w:rPr>
        <w:t>*Actual expenditure is expected to be available in early 2023.</w:t>
      </w:r>
      <w:r w:rsidR="00974A4A" w:rsidRPr="00232760">
        <w:rPr>
          <w:i/>
          <w:iCs/>
          <w:sz w:val="18"/>
          <w:szCs w:val="18"/>
        </w:rPr>
        <w:t xml:space="preserve"> </w:t>
      </w:r>
      <w:r w:rsidR="00974A4A" w:rsidRPr="005D314B">
        <w:rPr>
          <w:i/>
          <w:iCs/>
          <w:sz w:val="18"/>
          <w:szCs w:val="18"/>
        </w:rPr>
        <w:t>Due to rounding, totals may not match the sum of components.</w:t>
      </w:r>
    </w:p>
    <w:p w14:paraId="7CCCD7DD" w14:textId="1E9B581E" w:rsidR="003B0654" w:rsidRPr="00CB5512" w:rsidRDefault="003B0654" w:rsidP="00161C8A">
      <w:pPr>
        <w:spacing w:before="0" w:after="0" w:line="240" w:lineRule="auto"/>
        <w:rPr>
          <w:b/>
          <w:bCs/>
          <w:i/>
          <w:iCs/>
          <w:sz w:val="20"/>
          <w:szCs w:val="20"/>
        </w:rPr>
      </w:pPr>
      <w:r w:rsidRPr="00CB5512">
        <w:rPr>
          <w:b/>
          <w:bCs/>
          <w:i/>
          <w:iCs/>
          <w:sz w:val="20"/>
          <w:szCs w:val="20"/>
        </w:rPr>
        <w:t xml:space="preserve">Our development program to </w:t>
      </w:r>
      <w:r w:rsidR="00BE417E">
        <w:rPr>
          <w:b/>
          <w:bCs/>
          <w:i/>
          <w:iCs/>
          <w:sz w:val="20"/>
          <w:szCs w:val="20"/>
        </w:rPr>
        <w:t>Vietnam</w:t>
      </w:r>
      <w:r w:rsidRPr="00CB5512">
        <w:rPr>
          <w:b/>
          <w:bCs/>
          <w:i/>
          <w:iCs/>
          <w:sz w:val="20"/>
          <w:szCs w:val="20"/>
        </w:rPr>
        <w:t xml:space="preserve"> contributes towards achieving the following Sustainable Development Goals:</w:t>
      </w:r>
    </w:p>
    <w:p w14:paraId="09962538" w14:textId="25CA9035" w:rsidR="002907BB" w:rsidRDefault="002907BB" w:rsidP="00BE417E">
      <w:pPr>
        <w:spacing w:before="100" w:line="259" w:lineRule="auto"/>
        <w:rPr>
          <w:rFonts w:cstheme="minorHAnsi"/>
        </w:rPr>
      </w:pPr>
      <w:r w:rsidRPr="002907BB">
        <w:rPr>
          <w:noProof/>
        </w:rPr>
        <w:drawing>
          <wp:inline distT="0" distB="0" distL="0" distR="0" wp14:anchorId="76094A0F" wp14:editId="5539416D">
            <wp:extent cx="6696075" cy="533400"/>
            <wp:effectExtent l="0" t="0" r="0" b="0"/>
            <wp:docPr id="2" name="Picture 2" descr="Sustainable Development Goal 1- No Poverty&#10;Sustainable Development Goal 4-Quality Education&#10;Sustainable Development Goal 5-Gender Equality&#10;Sustainable Development Goal 6-Clean water and Sanitation&#10;Sustainable Development Goal 8- Decent Work and Economic Growth&#10;Sustainable Development Goal 9- Industry, Innovation and Infrastructure&#10;Sustainable Development Goal 10- Reduced Inequality&#10;Sustainable Development Goal 13- Climate Action&#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stainable Development Goal 1- No Poverty&#10;Sustainable Development Goal 4-Quality Education&#10;Sustainable Development Goal 5-Gender Equality&#10;Sustainable Development Goal 6-Clean water and Sanitation&#10;Sustainable Development Goal 8- Decent Work and Economic Growth&#10;Sustainable Development Goal 9- Industry, Innovation and Infrastructure&#10;Sustainable Development Goal 10- Reduced Inequality&#10;Sustainable Development Goal 13- Climate Action&#10;&#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p w14:paraId="6203AA98" w14:textId="53734E78" w:rsidR="0017743F" w:rsidRPr="002E09E8" w:rsidRDefault="003806FE" w:rsidP="00BE417E">
      <w:pPr>
        <w:spacing w:before="100" w:line="259" w:lineRule="auto"/>
        <w:rPr>
          <w:rFonts w:cstheme="minorHAnsi"/>
        </w:rPr>
      </w:pPr>
      <w:r w:rsidRPr="002E09E8">
        <w:rPr>
          <w:rFonts w:cstheme="minorHAnsi"/>
        </w:rPr>
        <w:t xml:space="preserve">The </w:t>
      </w:r>
      <w:r w:rsidRPr="002E09E8">
        <w:rPr>
          <w:rFonts w:cstheme="minorHAnsi"/>
          <w:iCs/>
        </w:rPr>
        <w:t>202</w:t>
      </w:r>
      <w:r w:rsidR="00ED6E38" w:rsidRPr="002E09E8">
        <w:rPr>
          <w:rFonts w:cstheme="minorHAnsi"/>
          <w:iCs/>
        </w:rPr>
        <w:t>1</w:t>
      </w:r>
      <w:r w:rsidRPr="002E09E8">
        <w:rPr>
          <w:rFonts w:cstheme="minorHAnsi"/>
          <w:iCs/>
        </w:rPr>
        <w:t>-2</w:t>
      </w:r>
      <w:r w:rsidR="00ED6E38" w:rsidRPr="002E09E8">
        <w:rPr>
          <w:rFonts w:cstheme="minorHAnsi"/>
          <w:iCs/>
        </w:rPr>
        <w:t>2</w:t>
      </w:r>
      <w:r w:rsidRPr="002E09E8">
        <w:rPr>
          <w:rFonts w:cstheme="minorHAnsi"/>
          <w:iCs/>
        </w:rPr>
        <w:t xml:space="preserve"> </w:t>
      </w:r>
      <w:r w:rsidR="00F55E6C" w:rsidRPr="002E09E8">
        <w:rPr>
          <w:rFonts w:cstheme="minorHAnsi"/>
          <w:iCs/>
        </w:rPr>
        <w:t xml:space="preserve">Vietnam </w:t>
      </w:r>
      <w:r w:rsidRPr="002E09E8">
        <w:rPr>
          <w:rFonts w:cstheme="minorHAnsi"/>
          <w:iCs/>
        </w:rPr>
        <w:t xml:space="preserve">Development Program Progress Report summarises </w:t>
      </w:r>
      <w:r w:rsidR="00404443" w:rsidRPr="002E09E8">
        <w:rPr>
          <w:rFonts w:cstheme="minorHAnsi"/>
          <w:iCs/>
        </w:rPr>
        <w:t>progress with implementation of the Australia</w:t>
      </w:r>
      <w:r w:rsidR="00404443" w:rsidRPr="002E09E8">
        <w:rPr>
          <w:rFonts w:cstheme="minorHAnsi"/>
        </w:rPr>
        <w:t xml:space="preserve"> – </w:t>
      </w:r>
      <w:r w:rsidR="00F55E6C" w:rsidRPr="002E09E8">
        <w:rPr>
          <w:rFonts w:cstheme="minorHAnsi"/>
        </w:rPr>
        <w:t xml:space="preserve">Vietnam </w:t>
      </w:r>
      <w:r w:rsidR="00404443" w:rsidRPr="002E09E8">
        <w:rPr>
          <w:rFonts w:cstheme="minorHAnsi"/>
        </w:rPr>
        <w:t xml:space="preserve">COVID-19 </w:t>
      </w:r>
      <w:r w:rsidR="00B66D3E" w:rsidRPr="002E09E8">
        <w:rPr>
          <w:rFonts w:cstheme="minorHAnsi"/>
        </w:rPr>
        <w:t xml:space="preserve">Development </w:t>
      </w:r>
      <w:r w:rsidR="00404443" w:rsidRPr="002E09E8">
        <w:rPr>
          <w:rFonts w:cstheme="minorHAnsi"/>
        </w:rPr>
        <w:t>Response Plan</w:t>
      </w:r>
      <w:r w:rsidR="0017743F" w:rsidRPr="002E09E8">
        <w:rPr>
          <w:rFonts w:cstheme="minorHAnsi"/>
        </w:rPr>
        <w:t xml:space="preserve"> and highlights</w:t>
      </w:r>
      <w:r w:rsidR="00C67ACB" w:rsidRPr="002E09E8">
        <w:rPr>
          <w:rFonts w:cstheme="minorHAnsi"/>
        </w:rPr>
        <w:t xml:space="preserve"> program results</w:t>
      </w:r>
      <w:r w:rsidR="00404443" w:rsidRPr="002E09E8">
        <w:rPr>
          <w:rFonts w:cstheme="minorHAnsi"/>
        </w:rPr>
        <w:t>.</w:t>
      </w:r>
      <w:r w:rsidR="000D003A" w:rsidRPr="002E09E8">
        <w:rPr>
          <w:rFonts w:cstheme="minorHAnsi"/>
        </w:rPr>
        <w:t xml:space="preserve"> </w:t>
      </w:r>
    </w:p>
    <w:p w14:paraId="12F182A4" w14:textId="272BDCF9" w:rsidR="00C84C30" w:rsidRPr="002E09E8" w:rsidRDefault="00C84C30" w:rsidP="00BE417E">
      <w:pPr>
        <w:pStyle w:val="Heading2"/>
        <w:spacing w:before="100" w:after="60" w:line="259" w:lineRule="auto"/>
        <w:rPr>
          <w:rFonts w:asciiTheme="minorHAnsi" w:hAnsiTheme="minorHAnsi" w:cstheme="minorHAnsi"/>
          <w:szCs w:val="22"/>
        </w:rPr>
      </w:pPr>
      <w:r w:rsidRPr="002E09E8">
        <w:rPr>
          <w:rFonts w:asciiTheme="minorHAnsi" w:hAnsiTheme="minorHAnsi" w:cstheme="minorHAnsi"/>
          <w:szCs w:val="22"/>
        </w:rPr>
        <w:t xml:space="preserve">CONTEXT </w:t>
      </w:r>
    </w:p>
    <w:p w14:paraId="3171723D" w14:textId="77777777" w:rsidR="00F37152" w:rsidRPr="002E09E8" w:rsidRDefault="003243EC" w:rsidP="00BE417E">
      <w:pPr>
        <w:suppressAutoHyphens w:val="0"/>
        <w:spacing w:before="100" w:line="259" w:lineRule="auto"/>
        <w:rPr>
          <w:rFonts w:cstheme="minorHAnsi"/>
        </w:rPr>
      </w:pPr>
      <w:r w:rsidRPr="002E09E8">
        <w:rPr>
          <w:rFonts w:cstheme="minorHAnsi"/>
        </w:rPr>
        <w:t xml:space="preserve">Vietnam’s swift and decisive response to the COVID-19 outbreak in 2020-21 was challenged by the emergence of more transmissible variants in 2021-22. After a slow start, a </w:t>
      </w:r>
      <w:r w:rsidRPr="002E09E8">
        <w:rPr>
          <w:rFonts w:cstheme="minorHAnsi"/>
          <w:b/>
          <w:bCs/>
        </w:rPr>
        <w:t>rapid vaccination drive</w:t>
      </w:r>
      <w:r w:rsidRPr="002E09E8">
        <w:rPr>
          <w:rFonts w:cstheme="minorHAnsi"/>
        </w:rPr>
        <w:t xml:space="preserve"> saw vaccination levels increase from less than one per cent on 1 July 2021 to 79 per cent by 1 March 2022. </w:t>
      </w:r>
    </w:p>
    <w:p w14:paraId="69FC469A" w14:textId="1C6AE048" w:rsidR="00BE417E" w:rsidRPr="002E09E8" w:rsidRDefault="003243EC" w:rsidP="00BE417E">
      <w:pPr>
        <w:suppressAutoHyphens w:val="0"/>
        <w:spacing w:before="100" w:line="259" w:lineRule="auto"/>
      </w:pPr>
      <w:r w:rsidRPr="002E09E8">
        <w:rPr>
          <w:rFonts w:cstheme="minorHAnsi"/>
        </w:rPr>
        <w:t xml:space="preserve">In 2021, the economy slowed but maintained </w:t>
      </w:r>
      <w:r w:rsidRPr="002E09E8">
        <w:rPr>
          <w:rFonts w:cstheme="minorHAnsi"/>
          <w:b/>
          <w:bCs/>
        </w:rPr>
        <w:t>a positive GDP growth of 2.6 per</w:t>
      </w:r>
      <w:r w:rsidR="004015C6">
        <w:rPr>
          <w:rFonts w:cstheme="minorHAnsi"/>
          <w:b/>
          <w:bCs/>
        </w:rPr>
        <w:t xml:space="preserve"> </w:t>
      </w:r>
      <w:r w:rsidRPr="002E09E8">
        <w:rPr>
          <w:rFonts w:cstheme="minorHAnsi"/>
          <w:b/>
          <w:bCs/>
        </w:rPr>
        <w:t>cent</w:t>
      </w:r>
      <w:r w:rsidRPr="002E09E8">
        <w:rPr>
          <w:rFonts w:cstheme="minorHAnsi"/>
        </w:rPr>
        <w:t>, while exports increased by 16.8 per</w:t>
      </w:r>
      <w:r w:rsidR="004015C6">
        <w:rPr>
          <w:rFonts w:cstheme="minorHAnsi"/>
        </w:rPr>
        <w:t xml:space="preserve"> </w:t>
      </w:r>
      <w:r w:rsidRPr="002E09E8">
        <w:rPr>
          <w:rFonts w:cstheme="minorHAnsi"/>
        </w:rPr>
        <w:t>cent (year-on-year). Gross government debt fell by 0.15 per cent to an estimated 40.2 per</w:t>
      </w:r>
      <w:r w:rsidR="004015C6">
        <w:rPr>
          <w:rFonts w:cstheme="minorHAnsi"/>
        </w:rPr>
        <w:t xml:space="preserve"> </w:t>
      </w:r>
      <w:r w:rsidRPr="002E09E8">
        <w:rPr>
          <w:rFonts w:cstheme="minorHAnsi"/>
        </w:rPr>
        <w:t xml:space="preserve">cent of GDP. Despite spiking case numbers, there was a </w:t>
      </w:r>
      <w:r w:rsidRPr="002E09E8">
        <w:rPr>
          <w:rFonts w:cstheme="minorHAnsi"/>
          <w:b/>
          <w:bCs/>
        </w:rPr>
        <w:t>strong economic rebound</w:t>
      </w:r>
      <w:r w:rsidRPr="002E09E8">
        <w:rPr>
          <w:rFonts w:cstheme="minorHAnsi"/>
        </w:rPr>
        <w:t xml:space="preserve"> in the first six months of 2022 as the economy opened. Despite high inflation and slowing economic growth globally, Vietnam remains ambitious to attain high-income status by 2045. Per-capita income has quadrupled in the last 30 years and, prior to the pandemic, </w:t>
      </w:r>
      <w:r w:rsidRPr="002E09E8">
        <w:rPr>
          <w:rFonts w:cstheme="minorHAnsi"/>
          <w:b/>
          <w:bCs/>
        </w:rPr>
        <w:t>extreme poverty has been largely eliminated</w:t>
      </w:r>
      <w:r w:rsidRPr="002E09E8">
        <w:rPr>
          <w:rFonts w:cstheme="minorHAnsi"/>
        </w:rPr>
        <w:t xml:space="preserve"> with poverty rates declining to 5 per</w:t>
      </w:r>
      <w:r w:rsidR="004015C6">
        <w:rPr>
          <w:rFonts w:cstheme="minorHAnsi"/>
        </w:rPr>
        <w:t xml:space="preserve"> </w:t>
      </w:r>
      <w:r w:rsidRPr="002E09E8">
        <w:rPr>
          <w:rFonts w:cstheme="minorHAnsi"/>
        </w:rPr>
        <w:t xml:space="preserve">cent in 2020. However, </w:t>
      </w:r>
      <w:r w:rsidR="000415A9" w:rsidRPr="002E09E8">
        <w:rPr>
          <w:rFonts w:cstheme="minorHAnsi"/>
        </w:rPr>
        <w:t xml:space="preserve">the World Bank estimates that </w:t>
      </w:r>
      <w:r w:rsidRPr="002E09E8">
        <w:rPr>
          <w:rFonts w:cstheme="minorHAnsi"/>
        </w:rPr>
        <w:t xml:space="preserve">the pandemic </w:t>
      </w:r>
      <w:r w:rsidR="000415A9" w:rsidRPr="002E09E8">
        <w:rPr>
          <w:rFonts w:cstheme="minorHAnsi"/>
        </w:rPr>
        <w:t xml:space="preserve">has </w:t>
      </w:r>
      <w:r w:rsidRPr="002E09E8">
        <w:rPr>
          <w:rFonts w:cstheme="minorHAnsi"/>
        </w:rPr>
        <w:t xml:space="preserve">increased transient income poverty by around </w:t>
      </w:r>
      <w:r w:rsidR="00E32A87">
        <w:rPr>
          <w:rFonts w:cstheme="minorHAnsi"/>
        </w:rPr>
        <w:t>seven</w:t>
      </w:r>
      <w:r w:rsidRPr="002E09E8">
        <w:rPr>
          <w:rFonts w:cstheme="minorHAnsi"/>
        </w:rPr>
        <w:t xml:space="preserve"> million people and climate change impacts could drive between 400,000 and one million Vietnamese, particularly ethnic minorities, back into extreme poverty by 2030.</w:t>
      </w:r>
      <w:r w:rsidRPr="002E09E8">
        <w:t xml:space="preserve"> </w:t>
      </w:r>
    </w:p>
    <w:p w14:paraId="22625EB9" w14:textId="582A4DEC" w:rsidR="003243EC" w:rsidRPr="002E09E8" w:rsidRDefault="003243EC" w:rsidP="00BE417E">
      <w:pPr>
        <w:suppressAutoHyphens w:val="0"/>
        <w:spacing w:before="100" w:line="259" w:lineRule="auto"/>
      </w:pPr>
      <w:r w:rsidRPr="002E09E8">
        <w:rPr>
          <w:rFonts w:cstheme="minorHAnsi"/>
        </w:rPr>
        <w:t xml:space="preserve">In November 2021, Vietnam committed to achieving </w:t>
      </w:r>
      <w:r w:rsidRPr="002E09E8">
        <w:rPr>
          <w:rFonts w:cstheme="minorHAnsi"/>
          <w:b/>
          <w:bCs/>
        </w:rPr>
        <w:t>net</w:t>
      </w:r>
      <w:r w:rsidRPr="002E09E8">
        <w:rPr>
          <w:rFonts w:cstheme="minorHAnsi"/>
          <w:b/>
          <w:bCs/>
        </w:rPr>
        <w:noBreakHyphen/>
        <w:t>zero greenhouse gas emissions by 2050</w:t>
      </w:r>
      <w:r w:rsidRPr="002E09E8">
        <w:rPr>
          <w:rFonts w:cstheme="minorHAnsi"/>
        </w:rPr>
        <w:t xml:space="preserve">, a substantial commitment for an energy intensive economy at its stage of development. Implementing these commitments will also be critical for Vietnam’s exports to stay competitive. Effective </w:t>
      </w:r>
      <w:r w:rsidRPr="002E09E8">
        <w:rPr>
          <w:rFonts w:cstheme="minorHAnsi"/>
          <w:b/>
          <w:bCs/>
        </w:rPr>
        <w:t>adaptation to the impacts of climate change</w:t>
      </w:r>
      <w:r w:rsidRPr="002E09E8">
        <w:rPr>
          <w:rFonts w:cstheme="minorHAnsi"/>
        </w:rPr>
        <w:t xml:space="preserve"> on infrastructure, productivity, and social capital will be critical for Vietnam to achieve its long-term development goals.</w:t>
      </w:r>
    </w:p>
    <w:p w14:paraId="3F786E3C" w14:textId="77777777" w:rsidR="00E40B8C" w:rsidRPr="002E09E8" w:rsidRDefault="00E40B8C" w:rsidP="00BE417E">
      <w:pPr>
        <w:suppressAutoHyphens w:val="0"/>
        <w:spacing w:before="100" w:line="259" w:lineRule="auto"/>
        <w:rPr>
          <w:rFonts w:cstheme="minorHAnsi"/>
        </w:rPr>
      </w:pPr>
      <w:r w:rsidRPr="002E09E8">
        <w:rPr>
          <w:rFonts w:cstheme="minorHAnsi"/>
        </w:rPr>
        <w:t xml:space="preserve">Women’s workforce participation remains high relative to the region, and women’s political representation in the National Assembly is at the second highest level ever in the 2021-26 term. However, levels are lower in executive and subnational leadership and financing of Vietnam’s legal framework for formal </w:t>
      </w:r>
      <w:r w:rsidRPr="002E09E8">
        <w:rPr>
          <w:rFonts w:cstheme="minorHAnsi"/>
          <w:b/>
          <w:bCs/>
        </w:rPr>
        <w:t>gender equality</w:t>
      </w:r>
      <w:r w:rsidRPr="002E09E8">
        <w:rPr>
          <w:rFonts w:cstheme="minorHAnsi"/>
        </w:rPr>
        <w:t xml:space="preserve"> remain challenges.  </w:t>
      </w:r>
    </w:p>
    <w:p w14:paraId="22900C6A" w14:textId="3575DAF3" w:rsidR="00EC608A" w:rsidRPr="002E09E8" w:rsidRDefault="00FC1216" w:rsidP="00BE417E">
      <w:pPr>
        <w:pStyle w:val="Heading2"/>
        <w:spacing w:before="100" w:after="60" w:line="259" w:lineRule="auto"/>
        <w:rPr>
          <w:rFonts w:asciiTheme="minorHAnsi" w:hAnsiTheme="minorHAnsi" w:cstheme="minorHAnsi"/>
          <w:szCs w:val="22"/>
        </w:rPr>
      </w:pPr>
      <w:r w:rsidRPr="002E09E8">
        <w:rPr>
          <w:rFonts w:asciiTheme="minorHAnsi" w:hAnsiTheme="minorHAnsi" w:cstheme="minorHAnsi"/>
          <w:szCs w:val="22"/>
        </w:rPr>
        <w:lastRenderedPageBreak/>
        <w:t>AUSTRALIA’S RESPONS</w:t>
      </w:r>
      <w:r w:rsidR="00193C49" w:rsidRPr="002E09E8">
        <w:rPr>
          <w:rFonts w:asciiTheme="minorHAnsi" w:hAnsiTheme="minorHAnsi" w:cstheme="minorHAnsi"/>
          <w:szCs w:val="22"/>
        </w:rPr>
        <w:t xml:space="preserve">E </w:t>
      </w:r>
      <w:r w:rsidR="00A46B28" w:rsidRPr="002E09E8">
        <w:rPr>
          <w:rFonts w:asciiTheme="minorHAnsi" w:hAnsiTheme="minorHAnsi" w:cstheme="minorHAnsi"/>
          <w:szCs w:val="22"/>
        </w:rPr>
        <w:t>and</w:t>
      </w:r>
      <w:r w:rsidR="00193C49" w:rsidRPr="002E09E8">
        <w:rPr>
          <w:rFonts w:asciiTheme="minorHAnsi" w:hAnsiTheme="minorHAnsi" w:cstheme="minorHAnsi"/>
          <w:szCs w:val="22"/>
        </w:rPr>
        <w:t xml:space="preserve"> PROGRAM HIGHLIGHTS</w:t>
      </w:r>
    </w:p>
    <w:p w14:paraId="79BE876C" w14:textId="5AC0CBAF" w:rsidR="00297FD1" w:rsidRPr="002E09E8" w:rsidRDefault="00297FD1" w:rsidP="002E09E8">
      <w:pPr>
        <w:pStyle w:val="Heading3"/>
      </w:pPr>
      <w:r w:rsidRPr="002E09E8">
        <w:t>Health Security</w:t>
      </w:r>
    </w:p>
    <w:p w14:paraId="4457BF94" w14:textId="42A446DE" w:rsidR="000067BF" w:rsidRPr="002E09E8" w:rsidRDefault="000D502C" w:rsidP="00BE417E">
      <w:pPr>
        <w:spacing w:before="100" w:line="259" w:lineRule="auto"/>
        <w:rPr>
          <w:rFonts w:cstheme="minorHAnsi"/>
        </w:rPr>
      </w:pPr>
      <w:r w:rsidRPr="002E09E8">
        <w:rPr>
          <w:rFonts w:cstheme="minorHAnsi"/>
        </w:rPr>
        <w:t xml:space="preserve">During the reporting period, Australia delivered </w:t>
      </w:r>
      <w:r w:rsidRPr="002E09E8">
        <w:rPr>
          <w:rFonts w:cstheme="minorHAnsi"/>
          <w:b/>
          <w:bCs/>
        </w:rPr>
        <w:t>more than 22.2 million COVID-19 vaccine doses</w:t>
      </w:r>
      <w:r w:rsidRPr="002E09E8">
        <w:rPr>
          <w:rFonts w:cstheme="minorHAnsi"/>
        </w:rPr>
        <w:t xml:space="preserve"> to Vietnam, including more than 14 million paediatric doses. </w:t>
      </w:r>
      <w:r w:rsidR="00CC195E" w:rsidRPr="002E09E8">
        <w:rPr>
          <w:rFonts w:cstheme="minorHAnsi"/>
        </w:rPr>
        <w:t>This made Australia the second largest donor of COVID-19 vaccines</w:t>
      </w:r>
      <w:r w:rsidR="00277A90" w:rsidRPr="002E09E8">
        <w:rPr>
          <w:rFonts w:cstheme="minorHAnsi"/>
        </w:rPr>
        <w:t xml:space="preserve"> </w:t>
      </w:r>
      <w:r w:rsidR="00CC195E" w:rsidRPr="002E09E8">
        <w:rPr>
          <w:rFonts w:cstheme="minorHAnsi"/>
        </w:rPr>
        <w:t>and contributed substantively to the country’s rapid economic rebound.</w:t>
      </w:r>
      <w:r w:rsidR="009460BF" w:rsidRPr="002E09E8">
        <w:rPr>
          <w:rFonts w:cstheme="minorHAnsi"/>
        </w:rPr>
        <w:t xml:space="preserve"> This was supported by </w:t>
      </w:r>
      <w:r w:rsidR="00843C4A" w:rsidRPr="002E09E8">
        <w:rPr>
          <w:rFonts w:cstheme="minorHAnsi"/>
        </w:rPr>
        <w:t>$6</w:t>
      </w:r>
      <w:r w:rsidR="00820D7E" w:rsidRPr="002E09E8">
        <w:rPr>
          <w:rFonts w:cstheme="minorHAnsi"/>
        </w:rPr>
        <w:t>.5</w:t>
      </w:r>
      <w:r w:rsidR="00843C4A" w:rsidRPr="002E09E8">
        <w:rPr>
          <w:rFonts w:cstheme="minorHAnsi"/>
        </w:rPr>
        <w:t xml:space="preserve"> million</w:t>
      </w:r>
      <w:r w:rsidR="00C65D9E" w:rsidRPr="002E09E8">
        <w:rPr>
          <w:rFonts w:cstheme="minorHAnsi"/>
        </w:rPr>
        <w:t xml:space="preserve"> under</w:t>
      </w:r>
      <w:r w:rsidR="00843C4A" w:rsidRPr="002E09E8">
        <w:rPr>
          <w:rFonts w:cstheme="minorHAnsi"/>
        </w:rPr>
        <w:t xml:space="preserve"> the regional Vaccine Access and Health Security Initiative</w:t>
      </w:r>
      <w:r w:rsidRPr="002E09E8">
        <w:rPr>
          <w:rFonts w:cstheme="minorHAnsi"/>
        </w:rPr>
        <w:t xml:space="preserve">, as well as </w:t>
      </w:r>
      <w:r w:rsidR="00843C4A" w:rsidRPr="002E09E8">
        <w:rPr>
          <w:rFonts w:cstheme="minorHAnsi"/>
        </w:rPr>
        <w:t>contribution</w:t>
      </w:r>
      <w:r w:rsidR="009460BF" w:rsidRPr="002E09E8">
        <w:rPr>
          <w:rFonts w:cstheme="minorHAnsi"/>
        </w:rPr>
        <w:t>s</w:t>
      </w:r>
      <w:r w:rsidR="00843C4A" w:rsidRPr="002E09E8">
        <w:rPr>
          <w:rFonts w:cstheme="minorHAnsi"/>
        </w:rPr>
        <w:t xml:space="preserve"> </w:t>
      </w:r>
      <w:r w:rsidR="009460BF" w:rsidRPr="002E09E8">
        <w:rPr>
          <w:rFonts w:cstheme="minorHAnsi"/>
        </w:rPr>
        <w:t xml:space="preserve">from </w:t>
      </w:r>
      <w:r w:rsidR="00843C4A" w:rsidRPr="002E09E8">
        <w:rPr>
          <w:rFonts w:cstheme="minorHAnsi"/>
        </w:rPr>
        <w:t xml:space="preserve">the Quad Vaccine Partnership and </w:t>
      </w:r>
      <w:r w:rsidRPr="002E09E8">
        <w:rPr>
          <w:rFonts w:cstheme="minorHAnsi"/>
        </w:rPr>
        <w:t xml:space="preserve">the </w:t>
      </w:r>
      <w:r w:rsidR="00843C4A" w:rsidRPr="002E09E8">
        <w:rPr>
          <w:rFonts w:cstheme="minorHAnsi"/>
        </w:rPr>
        <w:t>bilateral development program</w:t>
      </w:r>
      <w:r w:rsidR="00C65D9E" w:rsidRPr="002E09E8">
        <w:rPr>
          <w:rFonts w:cstheme="minorHAnsi"/>
        </w:rPr>
        <w:t>.</w:t>
      </w:r>
      <w:r w:rsidR="00E916AA" w:rsidRPr="002E09E8">
        <w:rPr>
          <w:rFonts w:cstheme="minorHAnsi"/>
        </w:rPr>
        <w:t xml:space="preserve"> </w:t>
      </w:r>
    </w:p>
    <w:p w14:paraId="25547967" w14:textId="4B2AE580" w:rsidR="007B2835" w:rsidRPr="002E09E8" w:rsidRDefault="00D12B62" w:rsidP="00BE417E">
      <w:pPr>
        <w:spacing w:before="100" w:line="259" w:lineRule="auto"/>
        <w:rPr>
          <w:rFonts w:cstheme="minorHAnsi"/>
        </w:rPr>
      </w:pPr>
      <w:r w:rsidRPr="002E09E8">
        <w:rPr>
          <w:rFonts w:cstheme="minorHAnsi"/>
        </w:rPr>
        <w:t>To support the delivery of vaccines</w:t>
      </w:r>
      <w:r w:rsidR="000D502C" w:rsidRPr="002E09E8">
        <w:rPr>
          <w:rFonts w:cstheme="minorHAnsi"/>
        </w:rPr>
        <w:t>,</w:t>
      </w:r>
      <w:r w:rsidRPr="002E09E8">
        <w:rPr>
          <w:rFonts w:cstheme="minorHAnsi"/>
        </w:rPr>
        <w:t xml:space="preserve"> </w:t>
      </w:r>
      <w:r w:rsidR="0098272E" w:rsidRPr="002E09E8">
        <w:rPr>
          <w:rFonts w:cstheme="minorHAnsi"/>
        </w:rPr>
        <w:t>Australia funded</w:t>
      </w:r>
      <w:r w:rsidR="00F41332" w:rsidRPr="002E09E8">
        <w:rPr>
          <w:rFonts w:cstheme="minorHAnsi"/>
        </w:rPr>
        <w:t xml:space="preserve"> the Ministry of Health and </w:t>
      </w:r>
      <w:r w:rsidR="00263BD8" w:rsidRPr="002E09E8">
        <w:rPr>
          <w:rFonts w:cstheme="minorHAnsi"/>
        </w:rPr>
        <w:t>the UN Children’s Fund (</w:t>
      </w:r>
      <w:r w:rsidR="00F41332" w:rsidRPr="002E09E8">
        <w:rPr>
          <w:rFonts w:cstheme="minorHAnsi"/>
        </w:rPr>
        <w:t>UNICEF</w:t>
      </w:r>
      <w:r w:rsidR="00263BD8" w:rsidRPr="002E09E8">
        <w:rPr>
          <w:rFonts w:cstheme="minorHAnsi"/>
        </w:rPr>
        <w:t>)</w:t>
      </w:r>
      <w:r w:rsidR="00F41332" w:rsidRPr="002E09E8">
        <w:rPr>
          <w:rFonts w:cstheme="minorHAnsi"/>
        </w:rPr>
        <w:t xml:space="preserve"> to </w:t>
      </w:r>
      <w:r w:rsidR="003F5131" w:rsidRPr="002E09E8">
        <w:rPr>
          <w:rFonts w:cstheme="minorHAnsi"/>
        </w:rPr>
        <w:t>procure and distribut</w:t>
      </w:r>
      <w:r w:rsidR="00F41332" w:rsidRPr="002E09E8">
        <w:rPr>
          <w:rFonts w:cstheme="minorHAnsi"/>
        </w:rPr>
        <w:t>e</w:t>
      </w:r>
      <w:r w:rsidR="003F5131" w:rsidRPr="002E09E8">
        <w:rPr>
          <w:rFonts w:cstheme="minorHAnsi"/>
          <w:b/>
          <w:bCs/>
        </w:rPr>
        <w:t xml:space="preserve"> 1,910 refrigerators to boost cold chain capacity for remote communities</w:t>
      </w:r>
      <w:r w:rsidR="00263BD8" w:rsidRPr="002E09E8">
        <w:rPr>
          <w:rFonts w:cstheme="minorHAnsi"/>
          <w:b/>
          <w:bCs/>
        </w:rPr>
        <w:t>,</w:t>
      </w:r>
      <w:r w:rsidRPr="002E09E8">
        <w:rPr>
          <w:rFonts w:cstheme="minorHAnsi"/>
          <w:b/>
          <w:bCs/>
        </w:rPr>
        <w:t xml:space="preserve"> and </w:t>
      </w:r>
      <w:r w:rsidR="00263BD8" w:rsidRPr="002E09E8">
        <w:rPr>
          <w:rFonts w:cstheme="minorHAnsi"/>
          <w:b/>
          <w:bCs/>
        </w:rPr>
        <w:t xml:space="preserve">to </w:t>
      </w:r>
      <w:r w:rsidR="003F5131" w:rsidRPr="002E09E8">
        <w:rPr>
          <w:rFonts w:cstheme="minorHAnsi"/>
          <w:b/>
          <w:bCs/>
        </w:rPr>
        <w:t>train 5,823 health care workers, teachers and military officers</w:t>
      </w:r>
      <w:r w:rsidR="0059230C" w:rsidRPr="002E09E8">
        <w:rPr>
          <w:rFonts w:cstheme="minorHAnsi"/>
          <w:b/>
          <w:bCs/>
        </w:rPr>
        <w:t xml:space="preserve"> working on the rollout. </w:t>
      </w:r>
      <w:r w:rsidR="000D502C" w:rsidRPr="002E09E8">
        <w:rPr>
          <w:rFonts w:cstheme="minorHAnsi"/>
        </w:rPr>
        <w:t xml:space="preserve">Australia </w:t>
      </w:r>
      <w:r w:rsidR="00CC195E" w:rsidRPr="002E09E8">
        <w:rPr>
          <w:rFonts w:cstheme="minorHAnsi"/>
        </w:rPr>
        <w:t>supported</w:t>
      </w:r>
      <w:r w:rsidR="002B3045" w:rsidRPr="002E09E8">
        <w:rPr>
          <w:rFonts w:cstheme="minorHAnsi"/>
        </w:rPr>
        <w:t xml:space="preserve"> UNICEF </w:t>
      </w:r>
      <w:r w:rsidR="00CC195E" w:rsidRPr="002E09E8">
        <w:rPr>
          <w:rFonts w:cstheme="minorHAnsi"/>
        </w:rPr>
        <w:t xml:space="preserve">in </w:t>
      </w:r>
      <w:r w:rsidR="000D502C" w:rsidRPr="002E09E8">
        <w:rPr>
          <w:rFonts w:cstheme="minorHAnsi"/>
        </w:rPr>
        <w:t xml:space="preserve">29 of Vietnam’s 63 provinces to improve access and equity in the rollout by deploying 5,003 mobile vaccination teams. These teams ensured </w:t>
      </w:r>
      <w:r w:rsidR="000D502C" w:rsidRPr="002E09E8">
        <w:rPr>
          <w:rFonts w:cstheme="minorHAnsi"/>
          <w:b/>
          <w:bCs/>
        </w:rPr>
        <w:t>ethnic minority communities, the elderly</w:t>
      </w:r>
      <w:r w:rsidR="00DE5E8A" w:rsidRPr="002E09E8">
        <w:rPr>
          <w:rFonts w:cstheme="minorHAnsi"/>
          <w:b/>
          <w:bCs/>
        </w:rPr>
        <w:t>,</w:t>
      </w:r>
      <w:r w:rsidR="000D502C" w:rsidRPr="002E09E8">
        <w:rPr>
          <w:rFonts w:cstheme="minorHAnsi"/>
          <w:b/>
          <w:bCs/>
        </w:rPr>
        <w:t xml:space="preserve"> and people with disability were given vaccines access and information.</w:t>
      </w:r>
      <w:r w:rsidR="000D502C" w:rsidRPr="002E09E8">
        <w:rPr>
          <w:rFonts w:cstheme="minorHAnsi"/>
        </w:rPr>
        <w:t xml:space="preserve"> </w:t>
      </w:r>
      <w:r w:rsidR="0017774A" w:rsidRPr="002E09E8">
        <w:rPr>
          <w:rFonts w:cstheme="minorHAnsi"/>
        </w:rPr>
        <w:t xml:space="preserve">In this reporting period, </w:t>
      </w:r>
      <w:r w:rsidR="00A5113C" w:rsidRPr="002E09E8">
        <w:rPr>
          <w:rFonts w:cstheme="minorHAnsi"/>
        </w:rPr>
        <w:t>Australia</w:t>
      </w:r>
      <w:r w:rsidR="004814AE" w:rsidRPr="002E09E8">
        <w:rPr>
          <w:rFonts w:cstheme="minorHAnsi"/>
        </w:rPr>
        <w:t>’s</w:t>
      </w:r>
      <w:r w:rsidR="00A5113C" w:rsidRPr="002E09E8">
        <w:rPr>
          <w:rFonts w:cstheme="minorHAnsi"/>
        </w:rPr>
        <w:t xml:space="preserve"> $3 million partnership with the University of Sydney</w:t>
      </w:r>
      <w:r w:rsidR="00966652" w:rsidRPr="002E09E8">
        <w:rPr>
          <w:rFonts w:cstheme="minorHAnsi"/>
        </w:rPr>
        <w:t xml:space="preserve"> </w:t>
      </w:r>
      <w:r w:rsidR="00C00A1F" w:rsidRPr="002E09E8">
        <w:rPr>
          <w:rFonts w:cstheme="minorHAnsi"/>
        </w:rPr>
        <w:t xml:space="preserve">(2018-22) </w:t>
      </w:r>
      <w:r w:rsidR="00A5113C" w:rsidRPr="002E09E8">
        <w:rPr>
          <w:rFonts w:cstheme="minorHAnsi"/>
        </w:rPr>
        <w:t>generated five studies relating to COVID-19 in Vietnam</w:t>
      </w:r>
      <w:r w:rsidR="0088190C" w:rsidRPr="002E09E8">
        <w:rPr>
          <w:rFonts w:cstheme="minorHAnsi"/>
        </w:rPr>
        <w:t xml:space="preserve">, </w:t>
      </w:r>
      <w:r w:rsidR="000D502C" w:rsidRPr="002E09E8">
        <w:rPr>
          <w:rFonts w:cstheme="minorHAnsi"/>
        </w:rPr>
        <w:t>includ</w:t>
      </w:r>
      <w:r w:rsidR="0088190C" w:rsidRPr="002E09E8">
        <w:rPr>
          <w:rFonts w:cstheme="minorHAnsi"/>
        </w:rPr>
        <w:t>ing</w:t>
      </w:r>
      <w:r w:rsidR="00A5113C" w:rsidRPr="002E09E8">
        <w:rPr>
          <w:rFonts w:cstheme="minorHAnsi"/>
        </w:rPr>
        <w:t xml:space="preserve"> modelling of the Omicron wave</w:t>
      </w:r>
      <w:r w:rsidR="0088190C" w:rsidRPr="002E09E8">
        <w:rPr>
          <w:rFonts w:cstheme="minorHAnsi"/>
        </w:rPr>
        <w:t>,</w:t>
      </w:r>
      <w:r w:rsidR="00A5113C" w:rsidRPr="002E09E8">
        <w:rPr>
          <w:rFonts w:cstheme="minorHAnsi"/>
        </w:rPr>
        <w:t xml:space="preserve"> and new guidelines for treating infectious diseases.</w:t>
      </w:r>
      <w:r w:rsidR="00C33DF5" w:rsidRPr="002E09E8">
        <w:rPr>
          <w:rFonts w:cstheme="minorHAnsi"/>
        </w:rPr>
        <w:t xml:space="preserve"> </w:t>
      </w:r>
      <w:r w:rsidR="005C5A6B" w:rsidRPr="002E09E8">
        <w:rPr>
          <w:rFonts w:cstheme="minorHAnsi"/>
        </w:rPr>
        <w:t xml:space="preserve">Complementing our COVID-19 support, </w:t>
      </w:r>
      <w:r w:rsidR="005B1582" w:rsidRPr="002E09E8">
        <w:rPr>
          <w:rFonts w:cstheme="minorHAnsi"/>
        </w:rPr>
        <w:t>Australia</w:t>
      </w:r>
      <w:r w:rsidR="005C5A6B" w:rsidRPr="002E09E8">
        <w:rPr>
          <w:rFonts w:cstheme="minorHAnsi"/>
        </w:rPr>
        <w:t>’s partnership with</w:t>
      </w:r>
      <w:r w:rsidR="005B1582" w:rsidRPr="002E09E8">
        <w:rPr>
          <w:rFonts w:cstheme="minorHAnsi"/>
        </w:rPr>
        <w:t xml:space="preserve"> the World Bank </w:t>
      </w:r>
      <w:r w:rsidR="00401631" w:rsidRPr="002E09E8">
        <w:rPr>
          <w:rFonts w:cstheme="minorHAnsi"/>
        </w:rPr>
        <w:t>assisted</w:t>
      </w:r>
      <w:r w:rsidR="005B1582" w:rsidRPr="002E09E8">
        <w:rPr>
          <w:rFonts w:cstheme="minorHAnsi"/>
        </w:rPr>
        <w:t xml:space="preserve"> the Government of Vietnam to improve the quality and utilisation of grassroots health services. The program supported the </w:t>
      </w:r>
      <w:r w:rsidR="005B1582" w:rsidRPr="002E09E8">
        <w:rPr>
          <w:rFonts w:cstheme="minorHAnsi"/>
          <w:b/>
          <w:bCs/>
        </w:rPr>
        <w:t>construction of 48 commune health stations in two provinces.</w:t>
      </w:r>
      <w:r w:rsidR="005C5A6B" w:rsidRPr="002E09E8">
        <w:rPr>
          <w:rFonts w:cstheme="minorHAnsi"/>
          <w:b/>
          <w:bCs/>
          <w:shd w:val="clear" w:color="auto" w:fill="E6E6E6"/>
        </w:rPr>
        <w:t xml:space="preserve"> </w:t>
      </w:r>
    </w:p>
    <w:p w14:paraId="4234625C" w14:textId="419806D5" w:rsidR="007B2835" w:rsidRPr="002E09E8" w:rsidRDefault="007B2835" w:rsidP="00BE417E">
      <w:pPr>
        <w:spacing w:before="100" w:line="259" w:lineRule="auto"/>
        <w:rPr>
          <w:rFonts w:cstheme="minorHAnsi"/>
        </w:rPr>
      </w:pPr>
      <w:r w:rsidRPr="002E09E8">
        <w:rPr>
          <w:rFonts w:cstheme="minorHAnsi"/>
        </w:rPr>
        <w:t xml:space="preserve">Australia provided </w:t>
      </w:r>
      <w:r w:rsidRPr="002E09E8">
        <w:rPr>
          <w:rFonts w:cstheme="minorHAnsi"/>
          <w:b/>
          <w:bCs/>
        </w:rPr>
        <w:t>454,119 Vietnamese with high quality, comprehensive sexual and reproductive health and family planning information and services</w:t>
      </w:r>
      <w:r w:rsidRPr="002E09E8">
        <w:rPr>
          <w:rFonts w:cstheme="minorHAnsi"/>
        </w:rPr>
        <w:t xml:space="preserve"> via a partnership with MSI Reproductive Choices. </w:t>
      </w:r>
      <w:r w:rsidR="2B511907" w:rsidRPr="002E09E8">
        <w:rPr>
          <w:rFonts w:cstheme="minorHAnsi"/>
        </w:rPr>
        <w:t xml:space="preserve">MSI </w:t>
      </w:r>
      <w:r w:rsidRPr="002E09E8">
        <w:rPr>
          <w:rFonts w:cstheme="minorHAnsi"/>
        </w:rPr>
        <w:t xml:space="preserve">built the clinical skills and capacity </w:t>
      </w:r>
      <w:r w:rsidR="60E146C3" w:rsidRPr="002E09E8">
        <w:rPr>
          <w:rFonts w:cstheme="minorHAnsi"/>
        </w:rPr>
        <w:t xml:space="preserve">in sexual and reproductive health </w:t>
      </w:r>
      <w:r w:rsidRPr="002E09E8">
        <w:rPr>
          <w:rFonts w:cstheme="minorHAnsi"/>
        </w:rPr>
        <w:t xml:space="preserve">of </w:t>
      </w:r>
      <w:r w:rsidR="638F67D4" w:rsidRPr="002E09E8">
        <w:rPr>
          <w:rFonts w:cstheme="minorHAnsi"/>
        </w:rPr>
        <w:t>624 people</w:t>
      </w:r>
      <w:r w:rsidRPr="002E09E8">
        <w:rPr>
          <w:rFonts w:cstheme="minorHAnsi"/>
        </w:rPr>
        <w:t xml:space="preserve"> </w:t>
      </w:r>
      <w:r w:rsidR="3AEB2BB6" w:rsidRPr="002E09E8">
        <w:rPr>
          <w:rFonts w:cstheme="minorHAnsi"/>
        </w:rPr>
        <w:t>through the SRHR C-Surge and EMPOWER programs</w:t>
      </w:r>
      <w:r w:rsidRPr="002E09E8">
        <w:rPr>
          <w:rFonts w:cstheme="minorHAnsi"/>
        </w:rPr>
        <w:t xml:space="preserve">. </w:t>
      </w:r>
    </w:p>
    <w:p w14:paraId="7307271B" w14:textId="004AECC7" w:rsidR="001F2CBA" w:rsidRPr="002E09E8" w:rsidRDefault="005C5A6B" w:rsidP="00BE417E">
      <w:pPr>
        <w:spacing w:before="100" w:line="259" w:lineRule="auto"/>
        <w:rPr>
          <w:rFonts w:cstheme="minorHAnsi"/>
        </w:rPr>
      </w:pPr>
      <w:r w:rsidRPr="002E09E8">
        <w:rPr>
          <w:rFonts w:cstheme="minorHAnsi"/>
        </w:rPr>
        <w:t>F</w:t>
      </w:r>
      <w:r w:rsidR="001F2CBA" w:rsidRPr="002E09E8">
        <w:rPr>
          <w:rFonts w:cstheme="minorHAnsi"/>
        </w:rPr>
        <w:t xml:space="preserve">ive </w:t>
      </w:r>
      <w:r w:rsidRPr="002E09E8">
        <w:rPr>
          <w:rFonts w:cstheme="minorHAnsi"/>
        </w:rPr>
        <w:t>Vietnamese</w:t>
      </w:r>
      <w:r w:rsidR="007B2835" w:rsidRPr="002E09E8">
        <w:rPr>
          <w:rFonts w:cstheme="minorHAnsi"/>
        </w:rPr>
        <w:t xml:space="preserve"> were offered </w:t>
      </w:r>
      <w:r w:rsidRPr="002E09E8">
        <w:rPr>
          <w:rFonts w:cstheme="minorHAnsi"/>
        </w:rPr>
        <w:t xml:space="preserve">Australia Award Scholarships </w:t>
      </w:r>
      <w:r w:rsidR="007B2835" w:rsidRPr="002E09E8">
        <w:rPr>
          <w:rFonts w:cstheme="minorHAnsi"/>
        </w:rPr>
        <w:t xml:space="preserve">to undertake health related </w:t>
      </w:r>
      <w:proofErr w:type="gramStart"/>
      <w:r w:rsidR="00D3051F" w:rsidRPr="002E09E8">
        <w:rPr>
          <w:rFonts w:cstheme="minorHAnsi"/>
        </w:rPr>
        <w:t>M</w:t>
      </w:r>
      <w:r w:rsidR="007B2835" w:rsidRPr="002E09E8">
        <w:rPr>
          <w:rFonts w:cstheme="minorHAnsi"/>
        </w:rPr>
        <w:t>aster</w:t>
      </w:r>
      <w:r w:rsidR="008D147C" w:rsidRPr="002E09E8">
        <w:rPr>
          <w:rFonts w:cstheme="minorHAnsi"/>
        </w:rPr>
        <w:t>’</w:t>
      </w:r>
      <w:r w:rsidR="007B2835" w:rsidRPr="002E09E8">
        <w:rPr>
          <w:rFonts w:cstheme="minorHAnsi"/>
        </w:rPr>
        <w:t>s</w:t>
      </w:r>
      <w:proofErr w:type="gramEnd"/>
      <w:r w:rsidR="007B2835" w:rsidRPr="002E09E8">
        <w:rPr>
          <w:rFonts w:cstheme="minorHAnsi"/>
        </w:rPr>
        <w:t xml:space="preserve"> degrees in Australia</w:t>
      </w:r>
      <w:r w:rsidR="28FC55C0" w:rsidRPr="002E09E8">
        <w:rPr>
          <w:rFonts w:cstheme="minorHAnsi"/>
        </w:rPr>
        <w:t xml:space="preserve">; five were </w:t>
      </w:r>
      <w:r w:rsidR="1FDF89BF" w:rsidRPr="002E09E8">
        <w:rPr>
          <w:rFonts w:cstheme="minorHAnsi"/>
        </w:rPr>
        <w:t xml:space="preserve">awarded </w:t>
      </w:r>
      <w:r w:rsidR="28FC55C0" w:rsidRPr="002E09E8">
        <w:rPr>
          <w:rFonts w:cstheme="minorHAnsi"/>
        </w:rPr>
        <w:t>scholar</w:t>
      </w:r>
      <w:r w:rsidR="3DE51AA3" w:rsidRPr="002E09E8">
        <w:rPr>
          <w:rFonts w:cstheme="minorHAnsi"/>
        </w:rPr>
        <w:t xml:space="preserve">ships </w:t>
      </w:r>
      <w:r w:rsidR="3537174C" w:rsidRPr="002E09E8">
        <w:rPr>
          <w:rFonts w:cstheme="minorHAnsi"/>
        </w:rPr>
        <w:t xml:space="preserve">to </w:t>
      </w:r>
      <w:r w:rsidR="3DE51AA3" w:rsidRPr="002E09E8">
        <w:rPr>
          <w:rFonts w:cstheme="minorHAnsi"/>
        </w:rPr>
        <w:t xml:space="preserve">undertake </w:t>
      </w:r>
      <w:r w:rsidR="1D80D427" w:rsidRPr="002E09E8">
        <w:rPr>
          <w:rFonts w:cstheme="minorHAnsi"/>
        </w:rPr>
        <w:t xml:space="preserve">postgraduate field epidemiology </w:t>
      </w:r>
      <w:r w:rsidR="3DE51AA3" w:rsidRPr="002E09E8">
        <w:rPr>
          <w:rFonts w:cstheme="minorHAnsi"/>
        </w:rPr>
        <w:t xml:space="preserve">training </w:t>
      </w:r>
      <w:r w:rsidR="41114948" w:rsidRPr="002E09E8">
        <w:rPr>
          <w:rFonts w:cstheme="minorHAnsi"/>
        </w:rPr>
        <w:t>and</w:t>
      </w:r>
      <w:r w:rsidR="3DE51AA3" w:rsidRPr="002E09E8">
        <w:rPr>
          <w:rFonts w:cstheme="minorHAnsi"/>
        </w:rPr>
        <w:t xml:space="preserve"> investigate disease outbreaks</w:t>
      </w:r>
      <w:r w:rsidR="28FC55C0" w:rsidRPr="002E09E8">
        <w:rPr>
          <w:rFonts w:cstheme="minorHAnsi"/>
        </w:rPr>
        <w:t xml:space="preserve"> </w:t>
      </w:r>
      <w:r w:rsidR="5B601577" w:rsidRPr="002E09E8">
        <w:rPr>
          <w:rFonts w:cstheme="minorHAnsi"/>
        </w:rPr>
        <w:t>in the field;</w:t>
      </w:r>
      <w:r w:rsidR="007B2835" w:rsidRPr="002E09E8">
        <w:rPr>
          <w:rFonts w:cstheme="minorHAnsi"/>
        </w:rPr>
        <w:t xml:space="preserve"> and four Australian volunteers worked with local NGOs to provide health sector training. </w:t>
      </w:r>
      <w:r w:rsidR="001F2CBA" w:rsidRPr="002E09E8">
        <w:rPr>
          <w:rFonts w:cstheme="minorHAnsi"/>
        </w:rPr>
        <w:t xml:space="preserve"> </w:t>
      </w:r>
    </w:p>
    <w:p w14:paraId="21DFF4D2" w14:textId="38B509C2" w:rsidR="000D502C" w:rsidRPr="002E09E8" w:rsidRDefault="005B3E33" w:rsidP="00BE417E">
      <w:pPr>
        <w:spacing w:before="100" w:line="259" w:lineRule="auto"/>
        <w:rPr>
          <w:rFonts w:cstheme="minorHAnsi"/>
        </w:rPr>
      </w:pPr>
      <w:r w:rsidRPr="002E09E8">
        <w:rPr>
          <w:rFonts w:cstheme="minorHAnsi"/>
          <w:lang w:val="en-US"/>
        </w:rPr>
        <w:t xml:space="preserve">In partnership with Canada, the Australian Centre for International Agricultural Research (ACIAR) </w:t>
      </w:r>
      <w:r w:rsidR="00DA4B42" w:rsidRPr="002E09E8">
        <w:rPr>
          <w:rFonts w:cstheme="minorHAnsi"/>
          <w:lang w:val="en-US"/>
        </w:rPr>
        <w:t>joined the</w:t>
      </w:r>
      <w:r w:rsidRPr="002E09E8">
        <w:rPr>
          <w:rFonts w:cstheme="minorHAnsi"/>
          <w:lang w:val="en-US"/>
        </w:rPr>
        <w:t xml:space="preserve"> </w:t>
      </w:r>
      <w:r w:rsidR="00B218ED" w:rsidRPr="002E09E8">
        <w:rPr>
          <w:rFonts w:cstheme="minorHAnsi"/>
          <w:lang w:val="en-US"/>
        </w:rPr>
        <w:t xml:space="preserve">One Health Partnership of Vietnam </w:t>
      </w:r>
      <w:r w:rsidR="00311467" w:rsidRPr="002E09E8">
        <w:rPr>
          <w:rFonts w:cstheme="minorHAnsi"/>
          <w:lang w:val="en-US"/>
        </w:rPr>
        <w:t xml:space="preserve">in 2021 to </w:t>
      </w:r>
      <w:r w:rsidR="00311467" w:rsidRPr="002E09E8">
        <w:rPr>
          <w:rFonts w:cstheme="minorHAnsi"/>
          <w:b/>
          <w:bCs/>
        </w:rPr>
        <w:t>strengthen</w:t>
      </w:r>
      <w:r w:rsidR="00B218ED" w:rsidRPr="002E09E8">
        <w:rPr>
          <w:rFonts w:cstheme="minorHAnsi"/>
          <w:b/>
          <w:bCs/>
        </w:rPr>
        <w:t xml:space="preserve"> management of foodborne zoono</w:t>
      </w:r>
      <w:r w:rsidR="00C67ACB" w:rsidRPr="002E09E8">
        <w:rPr>
          <w:rFonts w:cstheme="minorHAnsi"/>
          <w:b/>
          <w:bCs/>
        </w:rPr>
        <w:t>tic diseases</w:t>
      </w:r>
      <w:r w:rsidR="00B218ED" w:rsidRPr="002E09E8">
        <w:rPr>
          <w:rFonts w:cstheme="minorHAnsi"/>
          <w:b/>
          <w:bCs/>
        </w:rPr>
        <w:t xml:space="preserve"> and </w:t>
      </w:r>
      <w:r w:rsidR="0002150D" w:rsidRPr="002E09E8">
        <w:rPr>
          <w:rFonts w:cstheme="minorHAnsi"/>
          <w:b/>
          <w:bCs/>
        </w:rPr>
        <w:t>antimicrobial resistance</w:t>
      </w:r>
      <w:r w:rsidR="00834AB2" w:rsidRPr="002E09E8">
        <w:rPr>
          <w:rFonts w:cstheme="minorHAnsi"/>
          <w:b/>
          <w:bCs/>
        </w:rPr>
        <w:t>.</w:t>
      </w:r>
      <w:r w:rsidR="000D502C" w:rsidRPr="002E09E8">
        <w:rPr>
          <w:rFonts w:cstheme="minorHAnsi"/>
          <w:b/>
          <w:bCs/>
          <w:shd w:val="clear" w:color="auto" w:fill="E6E6E6"/>
        </w:rPr>
        <w:t xml:space="preserve"> </w:t>
      </w:r>
    </w:p>
    <w:p w14:paraId="2BE05423" w14:textId="77777777" w:rsidR="006D6707" w:rsidRPr="002E09E8" w:rsidRDefault="00297FD1" w:rsidP="004526C1">
      <w:pPr>
        <w:pStyle w:val="Heading3"/>
      </w:pPr>
      <w:r w:rsidRPr="002E09E8">
        <w:t>Stability</w:t>
      </w:r>
    </w:p>
    <w:p w14:paraId="27940E29" w14:textId="4B47469F" w:rsidR="00FF4371" w:rsidRPr="002E09E8" w:rsidRDefault="00E00F1C" w:rsidP="00BE417E">
      <w:pPr>
        <w:spacing w:before="100" w:line="259" w:lineRule="auto"/>
        <w:rPr>
          <w:rFonts w:cstheme="minorHAnsi"/>
          <w:lang w:val="en-US"/>
        </w:rPr>
      </w:pPr>
      <w:r w:rsidRPr="002E09E8">
        <w:rPr>
          <w:rFonts w:cstheme="minorHAnsi"/>
          <w:lang w:val="en-US"/>
        </w:rPr>
        <w:t xml:space="preserve">The </w:t>
      </w:r>
      <w:r w:rsidR="007143A5" w:rsidRPr="002E09E8">
        <w:rPr>
          <w:rFonts w:cstheme="minorHAnsi"/>
          <w:lang w:val="en-US"/>
        </w:rPr>
        <w:t xml:space="preserve">Vietnam Australia Centre </w:t>
      </w:r>
      <w:r w:rsidR="00CC195E" w:rsidRPr="002E09E8">
        <w:rPr>
          <w:rFonts w:cstheme="minorHAnsi"/>
          <w:lang w:val="en-US"/>
        </w:rPr>
        <w:t xml:space="preserve">(VAC) </w:t>
      </w:r>
      <w:r w:rsidRPr="002E09E8">
        <w:rPr>
          <w:rFonts w:cstheme="minorHAnsi"/>
          <w:lang w:val="en-US"/>
        </w:rPr>
        <w:t xml:space="preserve">commenced in </w:t>
      </w:r>
      <w:r w:rsidR="007143A5" w:rsidRPr="002E09E8">
        <w:rPr>
          <w:rFonts w:cstheme="minorHAnsi"/>
          <w:lang w:val="en-US"/>
        </w:rPr>
        <w:t xml:space="preserve">June </w:t>
      </w:r>
      <w:r w:rsidR="00DE5E8A" w:rsidRPr="002E09E8">
        <w:rPr>
          <w:rFonts w:cstheme="minorHAnsi"/>
          <w:lang w:val="en-US"/>
        </w:rPr>
        <w:t>2022.</w:t>
      </w:r>
      <w:r w:rsidR="00CC195E" w:rsidRPr="002E09E8">
        <w:rPr>
          <w:rFonts w:cstheme="minorHAnsi"/>
          <w:lang w:val="en-US"/>
        </w:rPr>
        <w:t xml:space="preserve"> </w:t>
      </w:r>
      <w:r w:rsidRPr="002E09E8">
        <w:rPr>
          <w:rFonts w:cstheme="minorHAnsi"/>
          <w:lang w:val="en-US"/>
        </w:rPr>
        <w:t>The Centre is a partnership between Australia and the Ho Chi Minh National Academy of Politics</w:t>
      </w:r>
      <w:r w:rsidR="00E55F8A" w:rsidRPr="002E09E8">
        <w:rPr>
          <w:rFonts w:cstheme="minorHAnsi"/>
          <w:lang w:val="en-US"/>
        </w:rPr>
        <w:t xml:space="preserve"> (HCMNAP)</w:t>
      </w:r>
      <w:r w:rsidR="000F00C5" w:rsidRPr="002E09E8">
        <w:rPr>
          <w:rFonts w:cstheme="minorHAnsi"/>
          <w:lang w:val="en-US"/>
        </w:rPr>
        <w:t xml:space="preserve">, </w:t>
      </w:r>
      <w:r w:rsidR="005A415D" w:rsidRPr="002E09E8">
        <w:rPr>
          <w:rFonts w:cstheme="minorHAnsi"/>
          <w:lang w:val="en-US"/>
        </w:rPr>
        <w:t>the E</w:t>
      </w:r>
      <w:r w:rsidR="003E3310" w:rsidRPr="002E09E8">
        <w:rPr>
          <w:rFonts w:cstheme="minorHAnsi"/>
          <w:lang w:val="en-US"/>
        </w:rPr>
        <w:t xml:space="preserve">xternal Relations Commission of the </w:t>
      </w:r>
      <w:r w:rsidR="005A415D" w:rsidRPr="002E09E8">
        <w:rPr>
          <w:rFonts w:cstheme="minorHAnsi"/>
          <w:lang w:val="en-US"/>
        </w:rPr>
        <w:t>Communist Party of Vietnam</w:t>
      </w:r>
      <w:r w:rsidR="003E3310" w:rsidRPr="002E09E8">
        <w:rPr>
          <w:rFonts w:cstheme="minorHAnsi"/>
          <w:lang w:val="en-US"/>
        </w:rPr>
        <w:t xml:space="preserve">, </w:t>
      </w:r>
      <w:r w:rsidR="00BB52ED" w:rsidRPr="002E09E8">
        <w:rPr>
          <w:rFonts w:cstheme="minorHAnsi"/>
          <w:lang w:val="en-US"/>
        </w:rPr>
        <w:t xml:space="preserve">Vietnam’s </w:t>
      </w:r>
      <w:r w:rsidR="003E3310" w:rsidRPr="002E09E8">
        <w:rPr>
          <w:rFonts w:cstheme="minorHAnsi"/>
          <w:lang w:val="en-US"/>
        </w:rPr>
        <w:t>Office of the Government and Ministry of Foreign Affairs</w:t>
      </w:r>
      <w:r w:rsidR="00D3051F" w:rsidRPr="002E09E8">
        <w:rPr>
          <w:rFonts w:cstheme="minorHAnsi"/>
          <w:lang w:val="en-US"/>
        </w:rPr>
        <w:t xml:space="preserve">. </w:t>
      </w:r>
      <w:r w:rsidR="00F328AF">
        <w:rPr>
          <w:rFonts w:cstheme="minorHAnsi"/>
          <w:lang w:val="en-US"/>
        </w:rPr>
        <w:t>The Centre</w:t>
      </w:r>
      <w:r w:rsidR="00F328AF" w:rsidRPr="002E09E8">
        <w:rPr>
          <w:rFonts w:cstheme="minorHAnsi"/>
          <w:lang w:val="en-US"/>
        </w:rPr>
        <w:t xml:space="preserve"> </w:t>
      </w:r>
      <w:r w:rsidR="00CC195E" w:rsidRPr="002E09E8">
        <w:rPr>
          <w:rFonts w:cstheme="minorHAnsi"/>
          <w:lang w:val="en-US"/>
        </w:rPr>
        <w:t xml:space="preserve">aims to strengthen </w:t>
      </w:r>
      <w:r w:rsidR="00277A90" w:rsidRPr="002E09E8">
        <w:rPr>
          <w:rFonts w:cstheme="minorHAnsi"/>
          <w:lang w:val="en-US"/>
        </w:rPr>
        <w:t xml:space="preserve">leadership capacity and </w:t>
      </w:r>
      <w:r w:rsidR="00CC195E" w:rsidRPr="002E09E8">
        <w:rPr>
          <w:rFonts w:cstheme="minorHAnsi"/>
          <w:lang w:val="en-US"/>
        </w:rPr>
        <w:t xml:space="preserve">pursue solutions to national, </w:t>
      </w:r>
      <w:proofErr w:type="gramStart"/>
      <w:r w:rsidR="00CC195E" w:rsidRPr="002E09E8">
        <w:rPr>
          <w:rFonts w:cstheme="minorHAnsi"/>
          <w:lang w:val="en-US"/>
        </w:rPr>
        <w:t>regional</w:t>
      </w:r>
      <w:proofErr w:type="gramEnd"/>
      <w:r w:rsidR="00CC195E" w:rsidRPr="002E09E8">
        <w:rPr>
          <w:rFonts w:cstheme="minorHAnsi"/>
          <w:lang w:val="en-US"/>
        </w:rPr>
        <w:t xml:space="preserve"> and international challenges</w:t>
      </w:r>
      <w:r w:rsidR="00E73F3B" w:rsidRPr="002E09E8">
        <w:rPr>
          <w:rFonts w:cstheme="minorHAnsi"/>
          <w:lang w:val="en-US"/>
        </w:rPr>
        <w:t>.</w:t>
      </w:r>
      <w:r w:rsidR="00DD52C5">
        <w:rPr>
          <w:rFonts w:cstheme="minorHAnsi"/>
          <w:lang w:val="en-US"/>
        </w:rPr>
        <w:t xml:space="preserve"> The partnership </w:t>
      </w:r>
      <w:r w:rsidR="00CC195E" w:rsidRPr="002E09E8">
        <w:rPr>
          <w:rFonts w:cstheme="minorHAnsi"/>
          <w:lang w:val="en-US"/>
        </w:rPr>
        <w:t>reflect</w:t>
      </w:r>
      <w:r w:rsidR="00DD52C5">
        <w:rPr>
          <w:rFonts w:cstheme="minorHAnsi"/>
          <w:lang w:val="en-US"/>
        </w:rPr>
        <w:t>s</w:t>
      </w:r>
      <w:r w:rsidR="00CC195E" w:rsidRPr="002E09E8">
        <w:rPr>
          <w:rFonts w:cstheme="minorHAnsi"/>
          <w:lang w:val="en-US"/>
        </w:rPr>
        <w:t xml:space="preserve"> the high levels of trust in the relationship. </w:t>
      </w:r>
      <w:r w:rsidR="00CA70F0" w:rsidRPr="002E09E8">
        <w:rPr>
          <w:rFonts w:cstheme="minorHAnsi"/>
          <w:lang w:val="en-US"/>
        </w:rPr>
        <w:t xml:space="preserve">Australia’s support to the </w:t>
      </w:r>
      <w:r w:rsidR="00E55F8A" w:rsidRPr="002E09E8">
        <w:rPr>
          <w:rFonts w:cstheme="minorHAnsi"/>
          <w:lang w:val="en-US"/>
        </w:rPr>
        <w:t xml:space="preserve">HCMNAP </w:t>
      </w:r>
      <w:r w:rsidR="00CA70F0" w:rsidRPr="002E09E8">
        <w:rPr>
          <w:rFonts w:cstheme="minorHAnsi"/>
          <w:lang w:val="en-US"/>
        </w:rPr>
        <w:t xml:space="preserve">facilitated the </w:t>
      </w:r>
      <w:r w:rsidR="00CA70F0" w:rsidRPr="002E09E8">
        <w:rPr>
          <w:rFonts w:cstheme="minorHAnsi"/>
          <w:b/>
          <w:bCs/>
        </w:rPr>
        <w:t xml:space="preserve">training of </w:t>
      </w:r>
      <w:r w:rsidR="00BB0311" w:rsidRPr="002E09E8">
        <w:rPr>
          <w:rFonts w:cstheme="minorHAnsi"/>
          <w:b/>
          <w:bCs/>
        </w:rPr>
        <w:t>19,200 mid-level officials on Women in Leadership</w:t>
      </w:r>
      <w:r w:rsidR="00CA70F0" w:rsidRPr="002E09E8">
        <w:rPr>
          <w:rFonts w:cstheme="minorHAnsi"/>
          <w:b/>
          <w:bCs/>
        </w:rPr>
        <w:t>.</w:t>
      </w:r>
      <w:r w:rsidR="00CA70F0" w:rsidRPr="002E09E8">
        <w:rPr>
          <w:rFonts w:cstheme="minorHAnsi"/>
        </w:rPr>
        <w:t xml:space="preserve"> </w:t>
      </w:r>
      <w:r w:rsidR="008502F1" w:rsidRPr="002E09E8">
        <w:rPr>
          <w:rFonts w:cstheme="minorHAnsi"/>
          <w:lang w:val="en-US"/>
        </w:rPr>
        <w:t>Australia</w:t>
      </w:r>
      <w:r w:rsidR="005C579F" w:rsidRPr="002E09E8">
        <w:rPr>
          <w:rFonts w:cstheme="minorHAnsi"/>
          <w:lang w:val="en-US"/>
        </w:rPr>
        <w:t xml:space="preserve"> contributed to stronger governance </w:t>
      </w:r>
      <w:r w:rsidR="008B76A4" w:rsidRPr="002E09E8">
        <w:rPr>
          <w:rFonts w:cstheme="minorHAnsi"/>
          <w:lang w:val="en-US"/>
        </w:rPr>
        <w:t>via</w:t>
      </w:r>
      <w:r w:rsidR="005C579F" w:rsidRPr="002E09E8">
        <w:rPr>
          <w:rFonts w:cstheme="minorHAnsi"/>
          <w:lang w:val="en-US"/>
        </w:rPr>
        <w:t xml:space="preserve"> support for the Provincial Governance and Public Administration Performance (PAPI) Index</w:t>
      </w:r>
      <w:r w:rsidR="008B76A4" w:rsidRPr="002E09E8">
        <w:rPr>
          <w:rFonts w:cstheme="minorHAnsi"/>
          <w:lang w:val="en-US"/>
        </w:rPr>
        <w:t xml:space="preserve">. In </w:t>
      </w:r>
      <w:r w:rsidR="009769DE" w:rsidRPr="002E09E8">
        <w:rPr>
          <w:rFonts w:cstheme="minorHAnsi"/>
          <w:lang w:val="en-US"/>
        </w:rPr>
        <w:t xml:space="preserve">the 2021-22 report, </w:t>
      </w:r>
      <w:r w:rsidR="005C579F" w:rsidRPr="002E09E8">
        <w:rPr>
          <w:rFonts w:cstheme="minorHAnsi"/>
          <w:lang w:val="en-US"/>
        </w:rPr>
        <w:t xml:space="preserve">PAPI </w:t>
      </w:r>
      <w:r w:rsidR="009769DE" w:rsidRPr="002E09E8">
        <w:rPr>
          <w:rFonts w:cstheme="minorHAnsi"/>
          <w:lang w:val="en-US"/>
        </w:rPr>
        <w:t>surveyed</w:t>
      </w:r>
      <w:r w:rsidR="005C579F" w:rsidRPr="002E09E8">
        <w:rPr>
          <w:rFonts w:cstheme="minorHAnsi"/>
          <w:lang w:val="en-US"/>
        </w:rPr>
        <w:t xml:space="preserve"> </w:t>
      </w:r>
      <w:r w:rsidR="008B76A4" w:rsidRPr="002E09E8">
        <w:rPr>
          <w:rFonts w:cstheme="minorHAnsi"/>
          <w:lang w:val="en-US"/>
        </w:rPr>
        <w:t>16</w:t>
      </w:r>
      <w:r w:rsidR="007A7948" w:rsidRPr="002E09E8">
        <w:rPr>
          <w:rFonts w:cstheme="minorHAnsi"/>
          <w:lang w:val="en-US"/>
        </w:rPr>
        <w:t>,</w:t>
      </w:r>
      <w:r w:rsidR="008B76A4" w:rsidRPr="002E09E8">
        <w:rPr>
          <w:rFonts w:cstheme="minorHAnsi"/>
          <w:lang w:val="en-US"/>
        </w:rPr>
        <w:t xml:space="preserve">000 </w:t>
      </w:r>
      <w:r w:rsidR="005C579F" w:rsidRPr="002E09E8">
        <w:rPr>
          <w:rFonts w:cstheme="minorHAnsi"/>
          <w:lang w:val="en-US"/>
        </w:rPr>
        <w:t xml:space="preserve">citizens’ experiences and perception on the performance and quality of policy implementation and service delivery </w:t>
      </w:r>
      <w:r w:rsidR="00E55F8A" w:rsidRPr="002E09E8">
        <w:rPr>
          <w:rFonts w:cstheme="minorHAnsi"/>
          <w:lang w:val="en-US"/>
        </w:rPr>
        <w:t>of</w:t>
      </w:r>
      <w:r w:rsidR="005C579F" w:rsidRPr="002E09E8">
        <w:rPr>
          <w:rFonts w:cstheme="minorHAnsi"/>
          <w:lang w:val="en-US"/>
        </w:rPr>
        <w:t xml:space="preserve"> all 63 provincial governments.</w:t>
      </w:r>
      <w:r w:rsidR="008B76A4" w:rsidRPr="002E09E8">
        <w:rPr>
          <w:rFonts w:cstheme="minorHAnsi"/>
          <w:lang w:val="en-US"/>
        </w:rPr>
        <w:t xml:space="preserve"> </w:t>
      </w:r>
      <w:r w:rsidR="007824BD" w:rsidRPr="002E09E8">
        <w:rPr>
          <w:rFonts w:cstheme="minorHAnsi"/>
          <w:lang w:val="en-US"/>
        </w:rPr>
        <w:t xml:space="preserve">By </w:t>
      </w:r>
      <w:r w:rsidR="00FF4371" w:rsidRPr="002E09E8">
        <w:rPr>
          <w:rFonts w:cstheme="minorHAnsi"/>
          <w:lang w:val="en-US"/>
        </w:rPr>
        <w:t xml:space="preserve">December 2021, all 63 provinces </w:t>
      </w:r>
      <w:r w:rsidR="007824BD" w:rsidRPr="002E09E8">
        <w:rPr>
          <w:rFonts w:cstheme="minorHAnsi"/>
          <w:lang w:val="en-US"/>
        </w:rPr>
        <w:t xml:space="preserve">had </w:t>
      </w:r>
      <w:r w:rsidR="003477EC" w:rsidRPr="002E09E8">
        <w:rPr>
          <w:rFonts w:cstheme="minorHAnsi"/>
          <w:lang w:val="en-US"/>
        </w:rPr>
        <w:t>conduct</w:t>
      </w:r>
      <w:r w:rsidR="007824BD" w:rsidRPr="002E09E8">
        <w:rPr>
          <w:rFonts w:cstheme="minorHAnsi"/>
          <w:lang w:val="en-US"/>
        </w:rPr>
        <w:t>ed</w:t>
      </w:r>
      <w:r w:rsidR="00FF4371" w:rsidRPr="002E09E8">
        <w:rPr>
          <w:rFonts w:cstheme="minorHAnsi"/>
          <w:lang w:val="en-US"/>
        </w:rPr>
        <w:t xml:space="preserve"> workshops</w:t>
      </w:r>
      <w:r w:rsidR="00365D5B" w:rsidRPr="002E09E8">
        <w:rPr>
          <w:rFonts w:cstheme="minorHAnsi"/>
          <w:lang w:val="en-US"/>
        </w:rPr>
        <w:t xml:space="preserve"> on the Index’s results</w:t>
      </w:r>
      <w:r w:rsidR="003477EC" w:rsidRPr="002E09E8">
        <w:rPr>
          <w:rFonts w:cstheme="minorHAnsi"/>
          <w:lang w:val="en-US"/>
        </w:rPr>
        <w:t xml:space="preserve">, with </w:t>
      </w:r>
      <w:r w:rsidR="00FF4371" w:rsidRPr="002E09E8">
        <w:rPr>
          <w:rFonts w:cstheme="minorHAnsi"/>
          <w:lang w:val="en-US"/>
        </w:rPr>
        <w:t>30 provinces renew</w:t>
      </w:r>
      <w:r w:rsidR="00E55F8A" w:rsidRPr="002E09E8">
        <w:rPr>
          <w:rFonts w:cstheme="minorHAnsi"/>
          <w:lang w:val="en-US"/>
        </w:rPr>
        <w:t>ing</w:t>
      </w:r>
      <w:r w:rsidR="00FF4371" w:rsidRPr="002E09E8">
        <w:rPr>
          <w:rFonts w:cstheme="minorHAnsi"/>
          <w:lang w:val="en-US"/>
        </w:rPr>
        <w:t xml:space="preserve"> their commitments to improve performance. </w:t>
      </w:r>
    </w:p>
    <w:p w14:paraId="5FFC4B69" w14:textId="158C9477" w:rsidR="00E148C2" w:rsidRPr="002E09E8" w:rsidRDefault="009A4751" w:rsidP="00BE417E">
      <w:pPr>
        <w:spacing w:before="100" w:line="259" w:lineRule="auto"/>
        <w:rPr>
          <w:rFonts w:cstheme="minorHAnsi"/>
        </w:rPr>
      </w:pPr>
      <w:r w:rsidRPr="002E09E8">
        <w:rPr>
          <w:rFonts w:cstheme="minorHAnsi"/>
        </w:rPr>
        <w:t xml:space="preserve">Australia continued to </w:t>
      </w:r>
      <w:r w:rsidRPr="002E09E8">
        <w:rPr>
          <w:rFonts w:cstheme="minorHAnsi"/>
          <w:b/>
          <w:bCs/>
        </w:rPr>
        <w:t>promote social cohesion</w:t>
      </w:r>
      <w:r w:rsidRPr="002E09E8">
        <w:rPr>
          <w:rFonts w:cstheme="minorHAnsi"/>
        </w:rPr>
        <w:t xml:space="preserve"> by enhancing Vietnam’s awareness of human rights standards and ways to protect the most vulnerable. </w:t>
      </w:r>
      <w:r w:rsidR="00507F55" w:rsidRPr="002E09E8">
        <w:rPr>
          <w:rFonts w:cstheme="minorHAnsi"/>
        </w:rPr>
        <w:t>Australia supported educational and government institutions to incorporate human rights education into the</w:t>
      </w:r>
      <w:r w:rsidR="003C4424" w:rsidRPr="002E09E8">
        <w:rPr>
          <w:rFonts w:cstheme="minorHAnsi"/>
        </w:rPr>
        <w:t xml:space="preserve"> national</w:t>
      </w:r>
      <w:r w:rsidR="00507F55" w:rsidRPr="002E09E8">
        <w:rPr>
          <w:rFonts w:cstheme="minorHAnsi"/>
        </w:rPr>
        <w:t xml:space="preserve"> curriculum, trained </w:t>
      </w:r>
      <w:r w:rsidR="00507F55" w:rsidRPr="002E09E8">
        <w:rPr>
          <w:rFonts w:cstheme="minorHAnsi"/>
          <w:b/>
          <w:bCs/>
        </w:rPr>
        <w:t>45 academics as Master Trainers in human rights</w:t>
      </w:r>
      <w:r w:rsidR="00507F55" w:rsidRPr="002E09E8">
        <w:rPr>
          <w:rFonts w:cstheme="minorHAnsi"/>
        </w:rPr>
        <w:t xml:space="preserve"> and developed lesson plans and resources on human rights education. Australia promoted </w:t>
      </w:r>
      <w:r w:rsidR="009D7FB1" w:rsidRPr="002E09E8">
        <w:rPr>
          <w:rFonts w:cstheme="minorHAnsi"/>
        </w:rPr>
        <w:t>r</w:t>
      </w:r>
      <w:r w:rsidR="00507F55" w:rsidRPr="002E09E8">
        <w:rPr>
          <w:rFonts w:cstheme="minorHAnsi"/>
        </w:rPr>
        <w:t xml:space="preserve">esponsible </w:t>
      </w:r>
      <w:r w:rsidR="009D7FB1" w:rsidRPr="002E09E8">
        <w:rPr>
          <w:rFonts w:cstheme="minorHAnsi"/>
        </w:rPr>
        <w:t>b</w:t>
      </w:r>
      <w:r w:rsidR="00507F55" w:rsidRPr="002E09E8">
        <w:rPr>
          <w:rFonts w:cstheme="minorHAnsi"/>
        </w:rPr>
        <w:t xml:space="preserve">usiness </w:t>
      </w:r>
      <w:r w:rsidR="009D7FB1" w:rsidRPr="002E09E8">
        <w:rPr>
          <w:rFonts w:cstheme="minorHAnsi"/>
        </w:rPr>
        <w:t>c</w:t>
      </w:r>
      <w:r w:rsidR="00507F55" w:rsidRPr="002E09E8">
        <w:rPr>
          <w:rFonts w:cstheme="minorHAnsi"/>
        </w:rPr>
        <w:t>onduct by funding guidance materials for the apparel and footwear</w:t>
      </w:r>
      <w:r w:rsidR="00561939" w:rsidRPr="002E09E8">
        <w:rPr>
          <w:rFonts w:cstheme="minorHAnsi"/>
        </w:rPr>
        <w:t>,</w:t>
      </w:r>
      <w:r w:rsidR="00507F55" w:rsidRPr="002E09E8">
        <w:rPr>
          <w:rFonts w:cstheme="minorHAnsi"/>
        </w:rPr>
        <w:t xml:space="preserve"> and tourism sectors</w:t>
      </w:r>
      <w:r w:rsidR="00561939" w:rsidRPr="002E09E8">
        <w:rPr>
          <w:rFonts w:cstheme="minorHAnsi"/>
        </w:rPr>
        <w:t>,</w:t>
      </w:r>
      <w:r w:rsidR="007E0874" w:rsidRPr="002E09E8">
        <w:rPr>
          <w:rFonts w:cstheme="minorHAnsi"/>
        </w:rPr>
        <w:t xml:space="preserve"> </w:t>
      </w:r>
      <w:r w:rsidR="00507F55" w:rsidRPr="002E09E8">
        <w:rPr>
          <w:rFonts w:cstheme="minorHAnsi"/>
        </w:rPr>
        <w:t xml:space="preserve">and supported the Vietnam Chamber of Commerce and Industry to include </w:t>
      </w:r>
      <w:r w:rsidR="00507F55" w:rsidRPr="002E09E8">
        <w:rPr>
          <w:rFonts w:cstheme="minorHAnsi"/>
          <w:b/>
          <w:bCs/>
        </w:rPr>
        <w:t>human rights indicators in the 2022 Corporate Sustainability Index (CSI) Report.</w:t>
      </w:r>
      <w:r w:rsidR="00C90F93" w:rsidRPr="002E09E8">
        <w:rPr>
          <w:rFonts w:cstheme="minorHAnsi"/>
        </w:rPr>
        <w:t xml:space="preserve"> </w:t>
      </w:r>
      <w:r w:rsidR="00E148C2" w:rsidRPr="002E09E8">
        <w:rPr>
          <w:rFonts w:cstheme="minorHAnsi"/>
        </w:rPr>
        <w:t xml:space="preserve">In response to the increased rate of violence against women and children during COVID-19, Australia </w:t>
      </w:r>
      <w:r w:rsidR="00247E29" w:rsidRPr="002E09E8">
        <w:rPr>
          <w:rFonts w:cstheme="minorHAnsi"/>
        </w:rPr>
        <w:t>commenced</w:t>
      </w:r>
      <w:r w:rsidR="00B6430C" w:rsidRPr="002E09E8">
        <w:rPr>
          <w:rFonts w:cstheme="minorHAnsi"/>
        </w:rPr>
        <w:t xml:space="preserve"> a $9.5</w:t>
      </w:r>
      <w:r w:rsidR="00247E29" w:rsidRPr="002E09E8">
        <w:rPr>
          <w:rFonts w:cstheme="minorHAnsi"/>
        </w:rPr>
        <w:t xml:space="preserve"> </w:t>
      </w:r>
      <w:r w:rsidR="00B6430C" w:rsidRPr="002E09E8">
        <w:rPr>
          <w:rFonts w:cstheme="minorHAnsi"/>
        </w:rPr>
        <w:lastRenderedPageBreak/>
        <w:t>million multi-year partnership with Vietnam and UN</w:t>
      </w:r>
      <w:r w:rsidR="00C33DF5" w:rsidRPr="002E09E8">
        <w:rPr>
          <w:rFonts w:cstheme="minorHAnsi"/>
        </w:rPr>
        <w:t xml:space="preserve"> agencies</w:t>
      </w:r>
      <w:r w:rsidR="00B6430C" w:rsidRPr="002E09E8">
        <w:rPr>
          <w:rFonts w:cstheme="minorHAnsi"/>
        </w:rPr>
        <w:t xml:space="preserve"> (UN Women, </w:t>
      </w:r>
      <w:r w:rsidR="00C33DF5" w:rsidRPr="002E09E8">
        <w:rPr>
          <w:rFonts w:cstheme="minorHAnsi"/>
        </w:rPr>
        <w:t>UN Population Fund</w:t>
      </w:r>
      <w:r w:rsidR="00C67ACB" w:rsidRPr="002E09E8">
        <w:rPr>
          <w:rFonts w:cstheme="minorHAnsi"/>
        </w:rPr>
        <w:t xml:space="preserve"> (</w:t>
      </w:r>
      <w:r w:rsidR="00B6430C" w:rsidRPr="002E09E8">
        <w:rPr>
          <w:rFonts w:cstheme="minorHAnsi"/>
        </w:rPr>
        <w:t>UNFPA</w:t>
      </w:r>
      <w:r w:rsidR="00C67ACB" w:rsidRPr="002E09E8">
        <w:rPr>
          <w:rFonts w:cstheme="minorHAnsi"/>
        </w:rPr>
        <w:t>)</w:t>
      </w:r>
      <w:r w:rsidR="00B6430C" w:rsidRPr="002E09E8">
        <w:rPr>
          <w:rFonts w:cstheme="minorHAnsi"/>
        </w:rPr>
        <w:t xml:space="preserve"> and UNICEF). </w:t>
      </w:r>
      <w:r w:rsidR="009D4264" w:rsidRPr="002E09E8">
        <w:rPr>
          <w:rFonts w:cstheme="minorHAnsi"/>
        </w:rPr>
        <w:t xml:space="preserve">During 2020-21, the partnership </w:t>
      </w:r>
      <w:r w:rsidR="0024775D" w:rsidRPr="002E09E8">
        <w:rPr>
          <w:rFonts w:cstheme="minorHAnsi"/>
        </w:rPr>
        <w:t xml:space="preserve">supported integration of </w:t>
      </w:r>
      <w:r w:rsidR="002C2C6C" w:rsidRPr="002E09E8">
        <w:rPr>
          <w:rFonts w:cstheme="minorHAnsi"/>
        </w:rPr>
        <w:t>gender-based</w:t>
      </w:r>
      <w:r w:rsidR="0024775D" w:rsidRPr="002E09E8">
        <w:rPr>
          <w:rFonts w:cstheme="minorHAnsi"/>
        </w:rPr>
        <w:t xml:space="preserve"> violence into training for social workers, worked with Vietnam’s </w:t>
      </w:r>
      <w:r w:rsidR="007435A0" w:rsidRPr="002E09E8">
        <w:rPr>
          <w:rFonts w:cstheme="minorHAnsi"/>
        </w:rPr>
        <w:t>Fatherland</w:t>
      </w:r>
      <w:r w:rsidR="0024775D" w:rsidRPr="002E09E8">
        <w:rPr>
          <w:rFonts w:cstheme="minorHAnsi"/>
        </w:rPr>
        <w:t xml:space="preserve"> Front on </w:t>
      </w:r>
      <w:r w:rsidR="007435A0" w:rsidRPr="002E09E8">
        <w:rPr>
          <w:rFonts w:cstheme="minorHAnsi"/>
        </w:rPr>
        <w:t xml:space="preserve">engaging men and boys and supported the </w:t>
      </w:r>
      <w:r w:rsidR="007435A0" w:rsidRPr="002E09E8">
        <w:rPr>
          <w:rFonts w:cstheme="minorHAnsi"/>
          <w:b/>
          <w:bCs/>
        </w:rPr>
        <w:t>revision of Vietnam’s Gender Equality Law</w:t>
      </w:r>
      <w:r w:rsidR="007435A0" w:rsidRPr="002E09E8">
        <w:rPr>
          <w:rFonts w:cstheme="minorHAnsi"/>
        </w:rPr>
        <w:t xml:space="preserve"> to consider </w:t>
      </w:r>
      <w:r w:rsidR="002C2C6C" w:rsidRPr="002E09E8">
        <w:rPr>
          <w:rFonts w:cstheme="minorHAnsi"/>
        </w:rPr>
        <w:t>gender-based</w:t>
      </w:r>
      <w:r w:rsidR="007435A0" w:rsidRPr="002E09E8">
        <w:rPr>
          <w:rFonts w:cstheme="minorHAnsi"/>
        </w:rPr>
        <w:t xml:space="preserve"> violence and other harmful practices. </w:t>
      </w:r>
    </w:p>
    <w:p w14:paraId="328C84C0" w14:textId="1F77FD64" w:rsidR="00806498" w:rsidRPr="002E09E8" w:rsidRDefault="00576F8E" w:rsidP="00BE417E">
      <w:pPr>
        <w:spacing w:before="100" w:line="259" w:lineRule="auto"/>
        <w:rPr>
          <w:rFonts w:cstheme="minorHAnsi"/>
          <w:b/>
          <w:bCs/>
        </w:rPr>
      </w:pPr>
      <w:r w:rsidRPr="002E09E8">
        <w:rPr>
          <w:rFonts w:cstheme="minorHAnsi"/>
        </w:rPr>
        <w:t>T</w:t>
      </w:r>
      <w:r w:rsidR="008F7EEC" w:rsidRPr="002E09E8">
        <w:rPr>
          <w:rFonts w:cstheme="minorHAnsi"/>
        </w:rPr>
        <w:t>he Australia</w:t>
      </w:r>
      <w:r w:rsidR="00C67ACB" w:rsidRPr="002E09E8">
        <w:rPr>
          <w:rFonts w:cstheme="minorHAnsi"/>
        </w:rPr>
        <w:t>–</w:t>
      </w:r>
      <w:r w:rsidR="008F7EEC" w:rsidRPr="002E09E8">
        <w:rPr>
          <w:rFonts w:cstheme="minorHAnsi"/>
        </w:rPr>
        <w:t xml:space="preserve">World Bank partnership </w:t>
      </w:r>
      <w:r w:rsidR="00365D5B" w:rsidRPr="002E09E8">
        <w:rPr>
          <w:rFonts w:cstheme="minorHAnsi"/>
        </w:rPr>
        <w:t>supported</w:t>
      </w:r>
      <w:r w:rsidR="008F7EEC" w:rsidRPr="002E09E8">
        <w:rPr>
          <w:rFonts w:cstheme="minorHAnsi"/>
        </w:rPr>
        <w:t xml:space="preserve"> Vietnam to better understand the economic and livelihood impact of COVID-19 </w:t>
      </w:r>
      <w:r w:rsidR="00365D5B" w:rsidRPr="002E09E8">
        <w:rPr>
          <w:rFonts w:cstheme="minorHAnsi"/>
        </w:rPr>
        <w:t>through</w:t>
      </w:r>
      <w:r w:rsidR="00E55F8A" w:rsidRPr="002E09E8">
        <w:rPr>
          <w:rFonts w:cstheme="minorHAnsi"/>
        </w:rPr>
        <w:t xml:space="preserve"> international quality</w:t>
      </w:r>
      <w:r w:rsidR="008F7EEC" w:rsidRPr="002E09E8">
        <w:rPr>
          <w:rFonts w:cstheme="minorHAnsi"/>
        </w:rPr>
        <w:t xml:space="preserve"> </w:t>
      </w:r>
      <w:r w:rsidR="004315E6" w:rsidRPr="002E09E8">
        <w:rPr>
          <w:rFonts w:cstheme="minorHAnsi"/>
        </w:rPr>
        <w:t xml:space="preserve">technical </w:t>
      </w:r>
      <w:r w:rsidR="008F7EEC" w:rsidRPr="002E09E8">
        <w:rPr>
          <w:rFonts w:cstheme="minorHAnsi"/>
        </w:rPr>
        <w:t>advice</w:t>
      </w:r>
      <w:r w:rsidR="004715FE" w:rsidRPr="002E09E8">
        <w:rPr>
          <w:rFonts w:cstheme="minorHAnsi"/>
        </w:rPr>
        <w:t xml:space="preserve">. </w:t>
      </w:r>
      <w:r w:rsidR="008F7EEC" w:rsidRPr="002E09E8">
        <w:rPr>
          <w:rFonts w:cstheme="minorHAnsi"/>
        </w:rPr>
        <w:t xml:space="preserve">The </w:t>
      </w:r>
      <w:r w:rsidR="004315E6" w:rsidRPr="002E09E8">
        <w:rPr>
          <w:rFonts w:cstheme="minorHAnsi"/>
        </w:rPr>
        <w:t>partnership</w:t>
      </w:r>
      <w:r w:rsidR="008F7EEC" w:rsidRPr="002E09E8">
        <w:rPr>
          <w:rFonts w:cstheme="minorHAnsi"/>
        </w:rPr>
        <w:t xml:space="preserve"> supported five phone surveys to </w:t>
      </w:r>
      <w:r w:rsidR="004715FE" w:rsidRPr="002E09E8">
        <w:rPr>
          <w:rFonts w:cstheme="minorHAnsi"/>
        </w:rPr>
        <w:t>assess</w:t>
      </w:r>
      <w:r w:rsidR="00365D5B" w:rsidRPr="002E09E8">
        <w:rPr>
          <w:rFonts w:cstheme="minorHAnsi"/>
        </w:rPr>
        <w:t xml:space="preserve"> </w:t>
      </w:r>
      <w:r w:rsidR="008F7EEC" w:rsidRPr="002E09E8">
        <w:rPr>
          <w:rFonts w:cstheme="minorHAnsi"/>
        </w:rPr>
        <w:t>the household impacts of COVID-19</w:t>
      </w:r>
      <w:r w:rsidR="00365D5B" w:rsidRPr="002E09E8">
        <w:rPr>
          <w:rFonts w:cstheme="minorHAnsi"/>
        </w:rPr>
        <w:t xml:space="preserve"> disaggregated by ethnic minority</w:t>
      </w:r>
      <w:r w:rsidR="008F7EEC" w:rsidRPr="002E09E8">
        <w:rPr>
          <w:rFonts w:cstheme="minorHAnsi"/>
        </w:rPr>
        <w:t xml:space="preserve">. </w:t>
      </w:r>
      <w:r w:rsidR="004715FE" w:rsidRPr="002E09E8">
        <w:rPr>
          <w:rFonts w:cstheme="minorHAnsi"/>
        </w:rPr>
        <w:t>The f</w:t>
      </w:r>
      <w:r w:rsidR="008F7EEC" w:rsidRPr="002E09E8">
        <w:rPr>
          <w:rFonts w:cstheme="minorHAnsi"/>
        </w:rPr>
        <w:t xml:space="preserve">indings contributed to the </w:t>
      </w:r>
      <w:r w:rsidR="008F7EEC" w:rsidRPr="002E09E8">
        <w:rPr>
          <w:rFonts w:cstheme="minorHAnsi"/>
          <w:b/>
          <w:bCs/>
        </w:rPr>
        <w:t xml:space="preserve">formulation of </w:t>
      </w:r>
      <w:r w:rsidR="00365D5B" w:rsidRPr="002E09E8">
        <w:rPr>
          <w:rFonts w:cstheme="minorHAnsi"/>
          <w:b/>
          <w:bCs/>
        </w:rPr>
        <w:t xml:space="preserve">the </w:t>
      </w:r>
      <w:r w:rsidR="008F7EEC" w:rsidRPr="002E09E8">
        <w:rPr>
          <w:rFonts w:cstheme="minorHAnsi"/>
          <w:b/>
          <w:bCs/>
        </w:rPr>
        <w:t>COVID-19 response and recovery package for labour markets.</w:t>
      </w:r>
      <w:r w:rsidR="00924553" w:rsidRPr="002E09E8">
        <w:rPr>
          <w:rFonts w:cstheme="minorHAnsi"/>
          <w:b/>
          <w:bCs/>
          <w:shd w:val="clear" w:color="auto" w:fill="E6E6E6"/>
        </w:rPr>
        <w:t xml:space="preserve"> </w:t>
      </w:r>
    </w:p>
    <w:p w14:paraId="0B17EEFD" w14:textId="62C314FC" w:rsidR="008C1F60" w:rsidRPr="002E09E8" w:rsidRDefault="00297FD1" w:rsidP="004526C1">
      <w:pPr>
        <w:pStyle w:val="Heading3"/>
      </w:pPr>
      <w:r w:rsidRPr="002E09E8">
        <w:t>Economic recovery</w:t>
      </w:r>
    </w:p>
    <w:p w14:paraId="7D422656" w14:textId="6DE51A4D" w:rsidR="00730C68" w:rsidRPr="002E09E8" w:rsidRDefault="00FE0E4A" w:rsidP="00BE417E">
      <w:pPr>
        <w:spacing w:before="100" w:line="259" w:lineRule="auto"/>
        <w:rPr>
          <w:rFonts w:cstheme="minorHAnsi"/>
        </w:rPr>
      </w:pPr>
      <w:r w:rsidRPr="002E09E8">
        <w:rPr>
          <w:rFonts w:cstheme="minorHAnsi"/>
        </w:rPr>
        <w:t>The finalisation of the</w:t>
      </w:r>
      <w:r w:rsidR="0026472C" w:rsidRPr="002E09E8">
        <w:rPr>
          <w:rFonts w:cstheme="minorHAnsi"/>
        </w:rPr>
        <w:t xml:space="preserve"> Vietnam-Australia</w:t>
      </w:r>
      <w:r w:rsidRPr="002E09E8">
        <w:rPr>
          <w:rFonts w:cstheme="minorHAnsi"/>
        </w:rPr>
        <w:t xml:space="preserve"> Enhanced Economic Engagement Strategy </w:t>
      </w:r>
      <w:r w:rsidR="0026472C" w:rsidRPr="002E09E8">
        <w:rPr>
          <w:rFonts w:cstheme="minorHAnsi"/>
        </w:rPr>
        <w:t>in November 2021 provide</w:t>
      </w:r>
      <w:r w:rsidR="008F174A" w:rsidRPr="002E09E8">
        <w:rPr>
          <w:rFonts w:cstheme="minorHAnsi"/>
        </w:rPr>
        <w:t>d</w:t>
      </w:r>
      <w:r w:rsidR="00FA4EF5" w:rsidRPr="002E09E8">
        <w:rPr>
          <w:rFonts w:cstheme="minorHAnsi"/>
        </w:rPr>
        <w:t xml:space="preserve"> an </w:t>
      </w:r>
      <w:r w:rsidR="00FA4EF5" w:rsidRPr="002E09E8">
        <w:rPr>
          <w:rFonts w:cstheme="minorHAnsi"/>
          <w:b/>
          <w:bCs/>
        </w:rPr>
        <w:t xml:space="preserve">implementation plan </w:t>
      </w:r>
      <w:r w:rsidR="0026472C" w:rsidRPr="002E09E8">
        <w:rPr>
          <w:rFonts w:cstheme="minorHAnsi"/>
          <w:b/>
          <w:bCs/>
        </w:rPr>
        <w:t xml:space="preserve">for </w:t>
      </w:r>
      <w:r w:rsidR="008F174A" w:rsidRPr="002E09E8">
        <w:rPr>
          <w:rFonts w:cstheme="minorHAnsi"/>
          <w:b/>
          <w:bCs/>
        </w:rPr>
        <w:t xml:space="preserve">strengthened </w:t>
      </w:r>
      <w:r w:rsidR="00FA4EF5" w:rsidRPr="002E09E8">
        <w:rPr>
          <w:rFonts w:cstheme="minorHAnsi"/>
          <w:b/>
          <w:bCs/>
        </w:rPr>
        <w:t>economic</w:t>
      </w:r>
      <w:r w:rsidR="0015327C" w:rsidRPr="002E09E8">
        <w:rPr>
          <w:rFonts w:cstheme="minorHAnsi"/>
          <w:b/>
          <w:bCs/>
        </w:rPr>
        <w:t xml:space="preserve"> </w:t>
      </w:r>
      <w:r w:rsidR="0060782E" w:rsidRPr="002E09E8">
        <w:rPr>
          <w:rFonts w:cstheme="minorHAnsi"/>
          <w:b/>
          <w:bCs/>
        </w:rPr>
        <w:t>collaboration</w:t>
      </w:r>
      <w:r w:rsidR="00E55F8A" w:rsidRPr="002E09E8">
        <w:rPr>
          <w:rFonts w:cstheme="minorHAnsi"/>
          <w:b/>
          <w:bCs/>
        </w:rPr>
        <w:t xml:space="preserve"> between Australia and Vietnam</w:t>
      </w:r>
      <w:r w:rsidR="0015327C" w:rsidRPr="002E09E8">
        <w:rPr>
          <w:rFonts w:cstheme="minorHAnsi"/>
          <w:b/>
          <w:bCs/>
        </w:rPr>
        <w:t>.</w:t>
      </w:r>
      <w:r w:rsidR="0015327C" w:rsidRPr="002E09E8">
        <w:rPr>
          <w:rFonts w:cstheme="minorHAnsi"/>
        </w:rPr>
        <w:t xml:space="preserve"> </w:t>
      </w:r>
      <w:r w:rsidR="00E55F8A" w:rsidRPr="002E09E8">
        <w:rPr>
          <w:rFonts w:cstheme="minorHAnsi"/>
        </w:rPr>
        <w:t>Australia’s development program is being adapted to support delivery of the Strategy.</w:t>
      </w:r>
    </w:p>
    <w:p w14:paraId="1FD23181" w14:textId="086D1815" w:rsidR="00E55F8A" w:rsidRPr="002E09E8" w:rsidRDefault="00E55F8A" w:rsidP="00BE417E">
      <w:pPr>
        <w:spacing w:before="100" w:line="259" w:lineRule="auto"/>
        <w:rPr>
          <w:rFonts w:cstheme="minorHAnsi"/>
          <w:b/>
          <w:bCs/>
        </w:rPr>
      </w:pPr>
      <w:r w:rsidRPr="002E09E8">
        <w:rPr>
          <w:rFonts w:cstheme="minorHAnsi"/>
        </w:rPr>
        <w:t xml:space="preserve">Phase one of Aus4Transport (2016-22) concluded in the reporting period. Phase one supported design and contract documentation for three large scale transport projects, enabling Vietnam to leverage over US$500 million from the Asian Development Bank and the World Bank. </w:t>
      </w:r>
      <w:r w:rsidRPr="002E09E8">
        <w:rPr>
          <w:rFonts w:cstheme="minorHAnsi"/>
          <w:b/>
          <w:bCs/>
        </w:rPr>
        <w:t>The</w:t>
      </w:r>
      <w:r w:rsidRPr="002E09E8">
        <w:rPr>
          <w:rFonts w:cstheme="minorHAnsi"/>
        </w:rPr>
        <w:t xml:space="preserve"> </w:t>
      </w:r>
      <w:r w:rsidRPr="002E09E8">
        <w:rPr>
          <w:rFonts w:cstheme="minorHAnsi"/>
          <w:b/>
          <w:bCs/>
        </w:rPr>
        <w:t>projects will build and upgrade 352 km</w:t>
      </w:r>
      <w:r w:rsidR="00C67ACB" w:rsidRPr="002E09E8">
        <w:rPr>
          <w:rFonts w:cstheme="minorHAnsi"/>
          <w:b/>
          <w:bCs/>
        </w:rPr>
        <w:t>s</w:t>
      </w:r>
      <w:r w:rsidRPr="002E09E8">
        <w:rPr>
          <w:rFonts w:cstheme="minorHAnsi"/>
          <w:b/>
          <w:bCs/>
        </w:rPr>
        <w:t xml:space="preserve"> of roads and 279 km</w:t>
      </w:r>
      <w:r w:rsidR="00C67ACB" w:rsidRPr="002E09E8">
        <w:rPr>
          <w:rFonts w:cstheme="minorHAnsi"/>
          <w:b/>
          <w:bCs/>
        </w:rPr>
        <w:t>s</w:t>
      </w:r>
      <w:r w:rsidRPr="002E09E8">
        <w:rPr>
          <w:rFonts w:cstheme="minorHAnsi"/>
          <w:b/>
          <w:bCs/>
        </w:rPr>
        <w:t xml:space="preserve"> of inland waterways in two disadvantaged regions.</w:t>
      </w:r>
    </w:p>
    <w:p w14:paraId="3D8A82CE" w14:textId="299973B7" w:rsidR="00F91D69" w:rsidRPr="002E09E8" w:rsidRDefault="00E55F8A" w:rsidP="00BE417E">
      <w:pPr>
        <w:spacing w:before="100" w:line="259" w:lineRule="auto"/>
        <w:rPr>
          <w:rFonts w:cstheme="minorHAnsi"/>
        </w:rPr>
      </w:pPr>
      <w:r w:rsidRPr="002E09E8">
        <w:rPr>
          <w:rFonts w:cstheme="minorHAnsi"/>
        </w:rPr>
        <w:t xml:space="preserve">Australia’s Aus4Skills program </w:t>
      </w:r>
      <w:r w:rsidR="00A21E53" w:rsidRPr="002E09E8">
        <w:rPr>
          <w:rFonts w:cstheme="minorHAnsi"/>
        </w:rPr>
        <w:t>continued to work with the Logistics Industry Reference Council</w:t>
      </w:r>
      <w:r w:rsidRPr="002E09E8">
        <w:rPr>
          <w:rFonts w:cstheme="minorHAnsi"/>
        </w:rPr>
        <w:t xml:space="preserve">. Aus4Skills is now expanding from supporting logistics hubs in southern Vietnam to </w:t>
      </w:r>
      <w:r w:rsidR="00626A68">
        <w:rPr>
          <w:rFonts w:cstheme="minorHAnsi"/>
        </w:rPr>
        <w:t>similarly support hubs</w:t>
      </w:r>
      <w:r w:rsidR="00626A68" w:rsidRPr="002E09E8">
        <w:rPr>
          <w:rFonts w:cstheme="minorHAnsi"/>
        </w:rPr>
        <w:t xml:space="preserve"> </w:t>
      </w:r>
      <w:r w:rsidRPr="002E09E8">
        <w:rPr>
          <w:rFonts w:cstheme="minorHAnsi"/>
        </w:rPr>
        <w:t>in the north.</w:t>
      </w:r>
      <w:r w:rsidR="008B42ED" w:rsidRPr="002E09E8">
        <w:rPr>
          <w:rFonts w:cstheme="minorHAnsi"/>
        </w:rPr>
        <w:t xml:space="preserve"> </w:t>
      </w:r>
      <w:r w:rsidR="00F91D69" w:rsidRPr="002E09E8">
        <w:rPr>
          <w:rFonts w:cstheme="minorHAnsi"/>
        </w:rPr>
        <w:t>Aus4Reform</w:t>
      </w:r>
      <w:r w:rsidR="003E3D3E" w:rsidRPr="002E09E8">
        <w:rPr>
          <w:rFonts w:cstheme="minorHAnsi"/>
        </w:rPr>
        <w:t xml:space="preserve"> </w:t>
      </w:r>
      <w:r w:rsidR="00F91D69" w:rsidRPr="002E09E8">
        <w:rPr>
          <w:rFonts w:cstheme="minorHAnsi"/>
        </w:rPr>
        <w:t xml:space="preserve">deployed Australian and international expertise to support </w:t>
      </w:r>
      <w:r w:rsidR="00EC3A2F" w:rsidRPr="002E09E8">
        <w:rPr>
          <w:rFonts w:cstheme="minorHAnsi"/>
        </w:rPr>
        <w:t xml:space="preserve">economic </w:t>
      </w:r>
      <w:r w:rsidRPr="002E09E8">
        <w:rPr>
          <w:rFonts w:cstheme="minorHAnsi"/>
        </w:rPr>
        <w:t xml:space="preserve">responses to COVID-19. </w:t>
      </w:r>
      <w:r w:rsidR="00F91D69" w:rsidRPr="002E09E8">
        <w:rPr>
          <w:rFonts w:cstheme="minorHAnsi"/>
        </w:rPr>
        <w:t>A</w:t>
      </w:r>
      <w:r w:rsidRPr="002E09E8">
        <w:rPr>
          <w:rFonts w:cstheme="minorHAnsi"/>
        </w:rPr>
        <w:t>n Aus4Reform</w:t>
      </w:r>
      <w:r w:rsidR="00F91D69" w:rsidRPr="002E09E8">
        <w:rPr>
          <w:rFonts w:cstheme="minorHAnsi"/>
        </w:rPr>
        <w:t xml:space="preserve"> report </w:t>
      </w:r>
      <w:r w:rsidR="00C80274" w:rsidRPr="002E09E8">
        <w:rPr>
          <w:rFonts w:cstheme="minorHAnsi"/>
        </w:rPr>
        <w:t>supported</w:t>
      </w:r>
      <w:r w:rsidR="00942C6D" w:rsidRPr="002E09E8">
        <w:rPr>
          <w:rFonts w:cstheme="minorHAnsi"/>
        </w:rPr>
        <w:t xml:space="preserve"> </w:t>
      </w:r>
      <w:r w:rsidR="00F91D69" w:rsidRPr="002E09E8">
        <w:rPr>
          <w:rFonts w:cstheme="minorHAnsi"/>
        </w:rPr>
        <w:t xml:space="preserve">the Ministry of Industry and Trade’s </w:t>
      </w:r>
      <w:r w:rsidR="00942C6D" w:rsidRPr="002E09E8">
        <w:rPr>
          <w:rFonts w:cstheme="minorHAnsi"/>
        </w:rPr>
        <w:t xml:space="preserve">COVID-19 response </w:t>
      </w:r>
      <w:r w:rsidR="00F91D69" w:rsidRPr="002E09E8">
        <w:rPr>
          <w:rFonts w:cstheme="minorHAnsi"/>
        </w:rPr>
        <w:t xml:space="preserve">including </w:t>
      </w:r>
      <w:r w:rsidR="00942C6D" w:rsidRPr="002E09E8">
        <w:rPr>
          <w:rFonts w:cstheme="minorHAnsi"/>
        </w:rPr>
        <w:t>the</w:t>
      </w:r>
      <w:r w:rsidR="00F91D69" w:rsidRPr="002E09E8">
        <w:rPr>
          <w:rFonts w:cstheme="minorHAnsi"/>
        </w:rPr>
        <w:t xml:space="preserve"> ‘Industry and Trade Restructuring </w:t>
      </w:r>
      <w:r w:rsidR="007B1307" w:rsidRPr="002E09E8">
        <w:rPr>
          <w:rFonts w:cstheme="minorHAnsi"/>
        </w:rPr>
        <w:t>S</w:t>
      </w:r>
      <w:r w:rsidR="00F91D69" w:rsidRPr="002E09E8">
        <w:rPr>
          <w:rFonts w:cstheme="minorHAnsi"/>
        </w:rPr>
        <w:t xml:space="preserve">cheme for 2021-2030'. </w:t>
      </w:r>
      <w:r w:rsidR="00942C6D" w:rsidRPr="002E09E8">
        <w:rPr>
          <w:rFonts w:cstheme="minorHAnsi"/>
        </w:rPr>
        <w:t xml:space="preserve">The </w:t>
      </w:r>
      <w:r w:rsidR="00F91D69" w:rsidRPr="002E09E8">
        <w:rPr>
          <w:rFonts w:cstheme="minorHAnsi"/>
        </w:rPr>
        <w:t xml:space="preserve">Ministry of Agriculture and Rural Development </w:t>
      </w:r>
      <w:r w:rsidRPr="002E09E8">
        <w:rPr>
          <w:rFonts w:cstheme="minorHAnsi"/>
        </w:rPr>
        <w:t xml:space="preserve">adopted </w:t>
      </w:r>
      <w:r w:rsidR="00F91D69" w:rsidRPr="002E09E8">
        <w:rPr>
          <w:rFonts w:cstheme="minorHAnsi"/>
        </w:rPr>
        <w:t>a</w:t>
      </w:r>
      <w:r w:rsidR="00942C6D" w:rsidRPr="002E09E8">
        <w:rPr>
          <w:rFonts w:cstheme="minorHAnsi"/>
        </w:rPr>
        <w:t>n</w:t>
      </w:r>
      <w:r w:rsidR="00F91D69" w:rsidRPr="002E09E8">
        <w:rPr>
          <w:rFonts w:cstheme="minorHAnsi"/>
        </w:rPr>
        <w:t xml:space="preserve"> </w:t>
      </w:r>
      <w:r w:rsidR="007E348D" w:rsidRPr="002E09E8">
        <w:rPr>
          <w:rFonts w:cstheme="minorHAnsi"/>
        </w:rPr>
        <w:t xml:space="preserve">Aus4Reform </w:t>
      </w:r>
      <w:r w:rsidR="00F91D69" w:rsidRPr="002E09E8">
        <w:rPr>
          <w:rFonts w:cstheme="minorHAnsi"/>
        </w:rPr>
        <w:t>report to improve the quality of agricultural vocational training.</w:t>
      </w:r>
      <w:r w:rsidR="007E348D" w:rsidRPr="002E09E8">
        <w:rPr>
          <w:rFonts w:cstheme="minorHAnsi"/>
        </w:rPr>
        <w:t xml:space="preserve"> </w:t>
      </w:r>
      <w:r w:rsidR="0015327C" w:rsidRPr="002E09E8">
        <w:rPr>
          <w:rFonts w:cstheme="minorHAnsi"/>
        </w:rPr>
        <w:t>Th</w:t>
      </w:r>
      <w:r w:rsidR="00277A90" w:rsidRPr="002E09E8">
        <w:rPr>
          <w:rFonts w:cstheme="minorHAnsi"/>
        </w:rPr>
        <w:t xml:space="preserve">is </w:t>
      </w:r>
      <w:r w:rsidR="007E348D" w:rsidRPr="002E09E8">
        <w:rPr>
          <w:rFonts w:cstheme="minorHAnsi"/>
        </w:rPr>
        <w:t>supported</w:t>
      </w:r>
      <w:r w:rsidR="00F91D69" w:rsidRPr="002E09E8">
        <w:rPr>
          <w:rFonts w:cstheme="minorHAnsi"/>
        </w:rPr>
        <w:t xml:space="preserve"> </w:t>
      </w:r>
      <w:r w:rsidR="0015327C" w:rsidRPr="002E09E8">
        <w:rPr>
          <w:rFonts w:cstheme="minorHAnsi"/>
        </w:rPr>
        <w:t xml:space="preserve">the </w:t>
      </w:r>
      <w:r w:rsidR="00F91D69" w:rsidRPr="002E09E8">
        <w:rPr>
          <w:rFonts w:cstheme="minorHAnsi"/>
        </w:rPr>
        <w:t>V</w:t>
      </w:r>
      <w:r w:rsidR="0015327C" w:rsidRPr="002E09E8">
        <w:rPr>
          <w:rFonts w:cstheme="minorHAnsi"/>
        </w:rPr>
        <w:t xml:space="preserve">ietnam </w:t>
      </w:r>
      <w:r w:rsidR="00F91D69" w:rsidRPr="002E09E8">
        <w:rPr>
          <w:rFonts w:cstheme="minorHAnsi"/>
        </w:rPr>
        <w:t>C</w:t>
      </w:r>
      <w:r w:rsidR="0015327C" w:rsidRPr="002E09E8">
        <w:rPr>
          <w:rFonts w:cstheme="minorHAnsi"/>
        </w:rPr>
        <w:t xml:space="preserve">hamber of </w:t>
      </w:r>
      <w:r w:rsidR="00F91D69" w:rsidRPr="002E09E8">
        <w:rPr>
          <w:rFonts w:cstheme="minorHAnsi"/>
        </w:rPr>
        <w:t>C</w:t>
      </w:r>
      <w:r w:rsidR="0015327C" w:rsidRPr="002E09E8">
        <w:rPr>
          <w:rFonts w:cstheme="minorHAnsi"/>
        </w:rPr>
        <w:t>ommerce and Industry’s</w:t>
      </w:r>
      <w:r w:rsidR="00F91D69" w:rsidRPr="002E09E8">
        <w:rPr>
          <w:rFonts w:cstheme="minorHAnsi"/>
        </w:rPr>
        <w:t xml:space="preserve"> </w:t>
      </w:r>
      <w:r w:rsidR="008E1235" w:rsidRPr="002E09E8">
        <w:rPr>
          <w:rFonts w:cstheme="minorHAnsi"/>
          <w:b/>
          <w:bCs/>
        </w:rPr>
        <w:t>r</w:t>
      </w:r>
      <w:r w:rsidR="00F91D69" w:rsidRPr="002E09E8">
        <w:rPr>
          <w:rFonts w:cstheme="minorHAnsi"/>
          <w:b/>
          <w:bCs/>
        </w:rPr>
        <w:t xml:space="preserve">esearch on administrative </w:t>
      </w:r>
      <w:r w:rsidRPr="002E09E8">
        <w:rPr>
          <w:rFonts w:cstheme="minorHAnsi"/>
          <w:b/>
          <w:bCs/>
        </w:rPr>
        <w:t>blockages</w:t>
      </w:r>
      <w:r w:rsidR="00F91D69" w:rsidRPr="002E09E8">
        <w:rPr>
          <w:rFonts w:cstheme="minorHAnsi"/>
          <w:b/>
          <w:bCs/>
        </w:rPr>
        <w:t xml:space="preserve"> in the investment, </w:t>
      </w:r>
      <w:r w:rsidR="0055031C" w:rsidRPr="002E09E8">
        <w:rPr>
          <w:rFonts w:cstheme="minorHAnsi"/>
          <w:b/>
          <w:bCs/>
        </w:rPr>
        <w:t>land,</w:t>
      </w:r>
      <w:r w:rsidR="00F91D69" w:rsidRPr="002E09E8">
        <w:rPr>
          <w:rFonts w:cstheme="minorHAnsi"/>
          <w:b/>
          <w:bCs/>
        </w:rPr>
        <w:t xml:space="preserve"> and construction sectors, with a focus on women</w:t>
      </w:r>
      <w:r w:rsidR="0015327C" w:rsidRPr="002E09E8">
        <w:rPr>
          <w:rFonts w:cstheme="minorHAnsi"/>
          <w:b/>
          <w:bCs/>
        </w:rPr>
        <w:t>-</w:t>
      </w:r>
      <w:r w:rsidR="00F91D69" w:rsidRPr="002E09E8">
        <w:rPr>
          <w:rFonts w:cstheme="minorHAnsi"/>
          <w:b/>
          <w:bCs/>
        </w:rPr>
        <w:t>led businesses.</w:t>
      </w:r>
      <w:r w:rsidR="00F91D69" w:rsidRPr="002E09E8">
        <w:rPr>
          <w:rFonts w:cstheme="minorHAnsi"/>
          <w:b/>
          <w:bCs/>
          <w:shd w:val="clear" w:color="auto" w:fill="E6E6E6"/>
        </w:rPr>
        <w:t xml:space="preserve"> </w:t>
      </w:r>
    </w:p>
    <w:p w14:paraId="26A38E92" w14:textId="0DC83EED" w:rsidR="004373AE" w:rsidRPr="002E09E8" w:rsidRDefault="00E55F8A" w:rsidP="00BE417E">
      <w:pPr>
        <w:spacing w:before="100" w:line="259" w:lineRule="auto"/>
        <w:rPr>
          <w:rFonts w:cstheme="minorHAnsi"/>
          <w:b/>
          <w:bCs/>
        </w:rPr>
      </w:pPr>
      <w:r w:rsidRPr="002E09E8">
        <w:rPr>
          <w:rFonts w:cstheme="minorHAnsi"/>
        </w:rPr>
        <w:t>Through our</w:t>
      </w:r>
      <w:r w:rsidR="00040364" w:rsidRPr="002E09E8">
        <w:rPr>
          <w:rFonts w:cstheme="minorHAnsi"/>
        </w:rPr>
        <w:t xml:space="preserve"> partnership with the World Bank, Australia supported a study on financial insurance and instruments in the context of climate change and COVID-19. New activities </w:t>
      </w:r>
      <w:r w:rsidR="007A7948" w:rsidRPr="002E09E8">
        <w:rPr>
          <w:rFonts w:cstheme="minorHAnsi"/>
        </w:rPr>
        <w:t>under the partnership</w:t>
      </w:r>
      <w:r w:rsidR="00040364" w:rsidRPr="002E09E8">
        <w:rPr>
          <w:rFonts w:cstheme="minorHAnsi"/>
        </w:rPr>
        <w:t xml:space="preserve"> support</w:t>
      </w:r>
      <w:r w:rsidR="007A7948" w:rsidRPr="002E09E8">
        <w:rPr>
          <w:rFonts w:cstheme="minorHAnsi"/>
        </w:rPr>
        <w:t>ed</w:t>
      </w:r>
      <w:r w:rsidR="00040364" w:rsidRPr="002E09E8">
        <w:rPr>
          <w:rFonts w:cstheme="minorHAnsi"/>
        </w:rPr>
        <w:t xml:space="preserve"> small and medium enterprises, promoted digital businesses, supported agribusiness recovery and continuity</w:t>
      </w:r>
      <w:r w:rsidR="003760D1" w:rsidRPr="002E09E8">
        <w:rPr>
          <w:rFonts w:cstheme="minorHAnsi"/>
        </w:rPr>
        <w:t xml:space="preserve">, and </w:t>
      </w:r>
      <w:r w:rsidR="003760D1" w:rsidRPr="002E09E8">
        <w:rPr>
          <w:rFonts w:cstheme="minorHAnsi"/>
          <w:b/>
          <w:bCs/>
        </w:rPr>
        <w:t xml:space="preserve">addressed underlying obstacles to the logistics sector and international gateway connectivity arising from </w:t>
      </w:r>
      <w:r w:rsidR="00040364" w:rsidRPr="002E09E8">
        <w:rPr>
          <w:rFonts w:cstheme="minorHAnsi"/>
          <w:b/>
          <w:bCs/>
        </w:rPr>
        <w:t xml:space="preserve">COVID-19. </w:t>
      </w:r>
      <w:r w:rsidR="005C07C4" w:rsidRPr="002E09E8">
        <w:rPr>
          <w:rFonts w:cstheme="minorHAnsi"/>
        </w:rPr>
        <w:t>Aus4Innovation</w:t>
      </w:r>
      <w:r w:rsidR="007E348D" w:rsidRPr="002E09E8">
        <w:rPr>
          <w:rFonts w:cstheme="minorHAnsi"/>
        </w:rPr>
        <w:t xml:space="preserve"> </w:t>
      </w:r>
      <w:r w:rsidR="005C07C4" w:rsidRPr="002E09E8">
        <w:rPr>
          <w:rFonts w:cstheme="minorHAnsi"/>
        </w:rPr>
        <w:t>support</w:t>
      </w:r>
      <w:r w:rsidR="00E550E8" w:rsidRPr="002E09E8">
        <w:rPr>
          <w:rFonts w:cstheme="minorHAnsi"/>
        </w:rPr>
        <w:t xml:space="preserve">ed the formulation of Vietnam's Science Technology and Innovation Strategy, </w:t>
      </w:r>
      <w:r w:rsidR="00D8686A" w:rsidRPr="002E09E8">
        <w:rPr>
          <w:rFonts w:cstheme="minorHAnsi"/>
        </w:rPr>
        <w:t xml:space="preserve">released </w:t>
      </w:r>
      <w:r w:rsidR="00E550E8" w:rsidRPr="002E09E8">
        <w:rPr>
          <w:rFonts w:cstheme="minorHAnsi"/>
        </w:rPr>
        <w:t xml:space="preserve">in April 2022, by producing </w:t>
      </w:r>
      <w:r w:rsidR="003760D1" w:rsidRPr="002E09E8">
        <w:rPr>
          <w:rFonts w:cstheme="minorHAnsi"/>
        </w:rPr>
        <w:t>an</w:t>
      </w:r>
      <w:r w:rsidR="005C07C4" w:rsidRPr="002E09E8">
        <w:rPr>
          <w:rFonts w:cstheme="minorHAnsi"/>
        </w:rPr>
        <w:t xml:space="preserve"> </w:t>
      </w:r>
      <w:r w:rsidR="00DB2676" w:rsidRPr="002E09E8">
        <w:rPr>
          <w:rFonts w:cstheme="minorHAnsi"/>
        </w:rPr>
        <w:t>analysis</w:t>
      </w:r>
      <w:r w:rsidR="005C07C4" w:rsidRPr="002E09E8">
        <w:rPr>
          <w:rFonts w:cstheme="minorHAnsi"/>
        </w:rPr>
        <w:t xml:space="preserve"> of best international practices for science technology and innovation strategies and recommendations for indicators</w:t>
      </w:r>
      <w:r w:rsidR="00DB2676" w:rsidRPr="002E09E8">
        <w:rPr>
          <w:rFonts w:cstheme="minorHAnsi"/>
        </w:rPr>
        <w:t xml:space="preserve"> to measure success.</w:t>
      </w:r>
    </w:p>
    <w:p w14:paraId="11309EBF" w14:textId="7EF8F0B2" w:rsidR="00772A0C" w:rsidRPr="008B42ED" w:rsidRDefault="00BD261B" w:rsidP="00BE417E">
      <w:pPr>
        <w:spacing w:before="100" w:line="259" w:lineRule="auto"/>
        <w:rPr>
          <w:rFonts w:cstheme="minorHAnsi"/>
          <w:color w:val="auto"/>
          <w:lang w:val="en-US"/>
        </w:rPr>
      </w:pPr>
      <w:r w:rsidRPr="002E09E8">
        <w:rPr>
          <w:rFonts w:cstheme="minorHAnsi"/>
        </w:rPr>
        <w:t>During its first phase (2017-22), t</w:t>
      </w:r>
      <w:r w:rsidR="008F7EEC" w:rsidRPr="002E09E8">
        <w:rPr>
          <w:rFonts w:cstheme="minorHAnsi"/>
        </w:rPr>
        <w:t>he Gender-Responsive Equitable Agriculture and Tourism (GREAT) program</w:t>
      </w:r>
      <w:r w:rsidR="003B3973" w:rsidRPr="002E09E8">
        <w:rPr>
          <w:rFonts w:cstheme="minorHAnsi"/>
        </w:rPr>
        <w:t>, part of Aus4Equality,</w:t>
      </w:r>
      <w:r w:rsidR="008F7EEC" w:rsidRPr="002E09E8">
        <w:rPr>
          <w:rFonts w:cstheme="minorHAnsi"/>
        </w:rPr>
        <w:t xml:space="preserve"> support</w:t>
      </w:r>
      <w:r w:rsidR="003760D1" w:rsidRPr="002E09E8">
        <w:rPr>
          <w:rFonts w:cstheme="minorHAnsi"/>
        </w:rPr>
        <w:t>ed</w:t>
      </w:r>
      <w:r w:rsidR="008F7EEC" w:rsidRPr="002E09E8">
        <w:rPr>
          <w:rFonts w:cstheme="minorHAnsi"/>
        </w:rPr>
        <w:t xml:space="preserve"> a total of 27,634 women</w:t>
      </w:r>
      <w:r w:rsidR="00E55F8A" w:rsidRPr="002E09E8">
        <w:rPr>
          <w:rFonts w:cstheme="minorHAnsi"/>
        </w:rPr>
        <w:t xml:space="preserve"> working</w:t>
      </w:r>
      <w:r w:rsidR="008F7EEC" w:rsidRPr="002E09E8">
        <w:rPr>
          <w:rFonts w:cstheme="minorHAnsi"/>
        </w:rPr>
        <w:t xml:space="preserve"> in agriculture or tourism. </w:t>
      </w:r>
      <w:r w:rsidR="002C2C6C" w:rsidRPr="002E09E8">
        <w:rPr>
          <w:rFonts w:cstheme="minorHAnsi"/>
        </w:rPr>
        <w:t xml:space="preserve">In the same five-year period, </w:t>
      </w:r>
      <w:r w:rsidR="008F7EEC" w:rsidRPr="002E09E8">
        <w:rPr>
          <w:rFonts w:cstheme="minorHAnsi"/>
          <w:b/>
          <w:bCs/>
        </w:rPr>
        <w:t xml:space="preserve">20,060 women received </w:t>
      </w:r>
      <w:r w:rsidR="000B5B0F" w:rsidRPr="002E09E8">
        <w:rPr>
          <w:rFonts w:cstheme="minorHAnsi"/>
          <w:b/>
          <w:bCs/>
        </w:rPr>
        <w:t>material support</w:t>
      </w:r>
      <w:r w:rsidR="008F7EEC" w:rsidRPr="002E09E8">
        <w:rPr>
          <w:rFonts w:cstheme="minorHAnsi"/>
          <w:b/>
          <w:bCs/>
        </w:rPr>
        <w:t xml:space="preserve"> such as seedlings and fertiliser</w:t>
      </w:r>
      <w:r w:rsidR="00F50056" w:rsidRPr="002E09E8">
        <w:rPr>
          <w:rFonts w:cstheme="minorHAnsi"/>
          <w:b/>
          <w:bCs/>
        </w:rPr>
        <w:t>,</w:t>
      </w:r>
      <w:r w:rsidR="008F7EEC" w:rsidRPr="002E09E8">
        <w:rPr>
          <w:rFonts w:cstheme="minorHAnsi"/>
          <w:b/>
          <w:bCs/>
        </w:rPr>
        <w:t xml:space="preserve"> and more than 15,000 women reported increased incomes</w:t>
      </w:r>
      <w:r w:rsidR="008F7EEC" w:rsidRPr="002E09E8">
        <w:rPr>
          <w:rFonts w:cstheme="minorHAnsi"/>
        </w:rPr>
        <w:t>.</w:t>
      </w:r>
      <w:r w:rsidR="00507F55" w:rsidRPr="002E09E8">
        <w:rPr>
          <w:rFonts w:cstheme="minorHAnsi"/>
        </w:rPr>
        <w:t xml:space="preserve"> </w:t>
      </w:r>
      <w:r w:rsidR="00507F55" w:rsidRPr="002E09E8">
        <w:rPr>
          <w:rFonts w:cstheme="minorHAnsi"/>
          <w:lang w:val="en-US"/>
        </w:rPr>
        <w:t xml:space="preserve">The HER TURN project provided ethnic minority and disadvantaged young women international qualifications in hospitality through vocational courses. </w:t>
      </w:r>
      <w:r w:rsidR="008304FD" w:rsidRPr="002E09E8">
        <w:rPr>
          <w:rFonts w:cstheme="minorHAnsi"/>
          <w:lang w:val="en-US"/>
        </w:rPr>
        <w:t>Thirty</w:t>
      </w:r>
      <w:r w:rsidR="00507F55" w:rsidRPr="002E09E8">
        <w:rPr>
          <w:rFonts w:cstheme="minorHAnsi"/>
          <w:lang w:val="en-US"/>
        </w:rPr>
        <w:t xml:space="preserve"> ethnic minority women graduated </w:t>
      </w:r>
      <w:r w:rsidR="00EE0B22" w:rsidRPr="002E09E8">
        <w:rPr>
          <w:rFonts w:cstheme="minorHAnsi"/>
          <w:lang w:val="en-US"/>
        </w:rPr>
        <w:t xml:space="preserve">from </w:t>
      </w:r>
      <w:r w:rsidR="00507F55" w:rsidRPr="002E09E8">
        <w:rPr>
          <w:rFonts w:cstheme="minorHAnsi"/>
          <w:lang w:val="en-US"/>
        </w:rPr>
        <w:t xml:space="preserve">the 24-month vocational training program, 110 women completed the six-month program and </w:t>
      </w:r>
      <w:r w:rsidR="008304FD" w:rsidRPr="002E09E8">
        <w:rPr>
          <w:rFonts w:cstheme="minorHAnsi"/>
          <w:lang w:val="en-US"/>
        </w:rPr>
        <w:t xml:space="preserve">all </w:t>
      </w:r>
      <w:r w:rsidR="00507F55" w:rsidRPr="002E09E8">
        <w:rPr>
          <w:rFonts w:cstheme="minorHAnsi"/>
          <w:lang w:val="en-US"/>
        </w:rPr>
        <w:t xml:space="preserve">secured employment. </w:t>
      </w:r>
      <w:r w:rsidR="00142A6C" w:rsidRPr="002E09E8">
        <w:rPr>
          <w:rFonts w:cstheme="minorHAnsi"/>
        </w:rPr>
        <w:t xml:space="preserve">Australia supported 60 female tech-based entrepreneurs with training, </w:t>
      </w:r>
      <w:proofErr w:type="gramStart"/>
      <w:r w:rsidR="00142A6C" w:rsidRPr="002E09E8">
        <w:rPr>
          <w:rFonts w:cstheme="minorHAnsi"/>
        </w:rPr>
        <w:t>mentorship</w:t>
      </w:r>
      <w:proofErr w:type="gramEnd"/>
      <w:r w:rsidR="00142A6C" w:rsidRPr="002E09E8">
        <w:rPr>
          <w:rFonts w:cstheme="minorHAnsi"/>
        </w:rPr>
        <w:t xml:space="preserve"> and a community of practice through the Investing in Women </w:t>
      </w:r>
      <w:r w:rsidR="006A4E25" w:rsidRPr="002E09E8">
        <w:rPr>
          <w:rFonts w:cstheme="minorHAnsi"/>
        </w:rPr>
        <w:t>partnership</w:t>
      </w:r>
      <w:r w:rsidR="00142A6C" w:rsidRPr="002E09E8">
        <w:rPr>
          <w:rFonts w:cstheme="minorHAnsi"/>
        </w:rPr>
        <w:t xml:space="preserve"> with Ascend Ventures Vietnam. The start-ups operate in a range of sectors including technology platforms in health, education, finance, </w:t>
      </w:r>
      <w:proofErr w:type="gramStart"/>
      <w:r w:rsidR="00142A6C" w:rsidRPr="002E09E8">
        <w:rPr>
          <w:rFonts w:cstheme="minorHAnsi"/>
        </w:rPr>
        <w:t>e-commerce</w:t>
      </w:r>
      <w:proofErr w:type="gramEnd"/>
      <w:r w:rsidR="00142A6C" w:rsidRPr="002E09E8">
        <w:rPr>
          <w:rFonts w:cstheme="minorHAnsi"/>
        </w:rPr>
        <w:t xml:space="preserve"> and direct-to-consumer brands. </w:t>
      </w:r>
      <w:r w:rsidR="00C803A6" w:rsidRPr="002E09E8">
        <w:rPr>
          <w:rFonts w:cstheme="minorHAnsi"/>
        </w:rPr>
        <w:t>T</w:t>
      </w:r>
      <w:r w:rsidR="00B2065F" w:rsidRPr="002E09E8">
        <w:rPr>
          <w:rFonts w:cstheme="minorHAnsi"/>
        </w:rPr>
        <w:t xml:space="preserve">he </w:t>
      </w:r>
      <w:r w:rsidR="00C803A6" w:rsidRPr="002E09E8">
        <w:rPr>
          <w:rFonts w:cstheme="minorHAnsi"/>
        </w:rPr>
        <w:t>Business Partnership Platform establish</w:t>
      </w:r>
      <w:r w:rsidR="009F07E2" w:rsidRPr="002E09E8">
        <w:rPr>
          <w:rFonts w:cstheme="minorHAnsi"/>
        </w:rPr>
        <w:t>ed</w:t>
      </w:r>
      <w:r w:rsidR="00C803A6" w:rsidRPr="002E09E8">
        <w:rPr>
          <w:rFonts w:cstheme="minorHAnsi"/>
        </w:rPr>
        <w:t xml:space="preserve"> p</w:t>
      </w:r>
      <w:r w:rsidR="00700698" w:rsidRPr="002E09E8">
        <w:rPr>
          <w:rFonts w:cstheme="minorHAnsi"/>
        </w:rPr>
        <w:t>artnerships</w:t>
      </w:r>
      <w:r w:rsidR="000F4046" w:rsidRPr="002E09E8">
        <w:rPr>
          <w:rFonts w:cstheme="minorHAnsi"/>
        </w:rPr>
        <w:t xml:space="preserve"> </w:t>
      </w:r>
      <w:r w:rsidR="00C803A6" w:rsidRPr="002E09E8">
        <w:rPr>
          <w:rFonts w:cstheme="minorHAnsi"/>
        </w:rPr>
        <w:t xml:space="preserve">for </w:t>
      </w:r>
      <w:r w:rsidR="00C803A6" w:rsidRPr="002E09E8">
        <w:rPr>
          <w:rFonts w:cstheme="minorHAnsi"/>
          <w:b/>
          <w:bCs/>
        </w:rPr>
        <w:t>b</w:t>
      </w:r>
      <w:r w:rsidR="00700698" w:rsidRPr="002E09E8">
        <w:rPr>
          <w:rFonts w:cstheme="minorHAnsi"/>
          <w:b/>
          <w:bCs/>
        </w:rPr>
        <w:t xml:space="preserve">ioenergy on commercial farms; </w:t>
      </w:r>
      <w:r w:rsidR="00C803A6" w:rsidRPr="002E09E8">
        <w:rPr>
          <w:rFonts w:cstheme="minorHAnsi"/>
          <w:b/>
          <w:bCs/>
        </w:rPr>
        <w:t>a</w:t>
      </w:r>
      <w:r w:rsidR="00700698" w:rsidRPr="002E09E8">
        <w:rPr>
          <w:rFonts w:cstheme="minorHAnsi"/>
          <w:b/>
          <w:bCs/>
        </w:rPr>
        <w:t xml:space="preserve">dvanced vertical farming for climate, </w:t>
      </w:r>
      <w:proofErr w:type="gramStart"/>
      <w:r w:rsidR="00700698" w:rsidRPr="002E09E8">
        <w:rPr>
          <w:rFonts w:cstheme="minorHAnsi"/>
          <w:b/>
          <w:bCs/>
        </w:rPr>
        <w:t>lives</w:t>
      </w:r>
      <w:proofErr w:type="gramEnd"/>
      <w:r w:rsidR="00700698" w:rsidRPr="002E09E8">
        <w:rPr>
          <w:rFonts w:cstheme="minorHAnsi"/>
          <w:b/>
          <w:bCs/>
        </w:rPr>
        <w:t xml:space="preserve"> and landscapes in the Mekong Delta; and </w:t>
      </w:r>
      <w:r w:rsidR="00C803A6" w:rsidRPr="002E09E8">
        <w:rPr>
          <w:rFonts w:cstheme="minorHAnsi"/>
          <w:b/>
          <w:bCs/>
        </w:rPr>
        <w:t>su</w:t>
      </w:r>
      <w:r w:rsidR="00700698" w:rsidRPr="002E09E8">
        <w:rPr>
          <w:rFonts w:cstheme="minorHAnsi"/>
          <w:b/>
          <w:bCs/>
        </w:rPr>
        <w:t xml:space="preserve">stainable cricket </w:t>
      </w:r>
      <w:r w:rsidR="004576DC" w:rsidRPr="002E09E8">
        <w:rPr>
          <w:rFonts w:cstheme="minorHAnsi"/>
          <w:b/>
          <w:bCs/>
        </w:rPr>
        <w:t>farming</w:t>
      </w:r>
      <w:r w:rsidR="004576DC" w:rsidRPr="00AE3203">
        <w:rPr>
          <w:rFonts w:cstheme="minorHAnsi"/>
          <w:b/>
          <w:bCs/>
          <w:color w:val="auto"/>
        </w:rPr>
        <w:t>.</w:t>
      </w:r>
      <w:r w:rsidR="00772A0C" w:rsidRPr="00AE3203">
        <w:rPr>
          <w:rFonts w:cstheme="minorHAnsi"/>
          <w:color w:val="auto"/>
        </w:rPr>
        <w:br w:type="page"/>
      </w:r>
    </w:p>
    <w:p w14:paraId="12E24BAE" w14:textId="4A0DC629" w:rsidR="00BC1FED" w:rsidRDefault="00121DDD" w:rsidP="00772A0C">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r w:rsidR="00E850B0">
        <w:t xml:space="preserve"> </w:t>
      </w:r>
    </w:p>
    <w:p w14:paraId="53E0B1CB" w14:textId="4861D448" w:rsidR="00AE2B7B" w:rsidRPr="008A745C" w:rsidRDefault="00AE2B7B" w:rsidP="002E09E8">
      <w:pPr>
        <w:pStyle w:val="Heading3"/>
      </w:pPr>
      <w:r w:rsidRPr="008A745C">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7A4493">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07A4493">
        <w:trPr>
          <w:tblHeader/>
        </w:trPr>
        <w:tc>
          <w:tcPr>
            <w:tcW w:w="4390" w:type="dxa"/>
          </w:tcPr>
          <w:p w14:paraId="354112BD" w14:textId="2F36C5DD" w:rsidR="00877620" w:rsidRPr="00AE3203" w:rsidRDefault="001B09FF" w:rsidP="00AE3203">
            <w:pPr>
              <w:spacing w:before="60"/>
              <w:ind w:left="96"/>
              <w:rPr>
                <w:sz w:val="20"/>
                <w:szCs w:val="20"/>
              </w:rPr>
            </w:pPr>
            <w:r w:rsidRPr="00AE3203">
              <w:rPr>
                <w:sz w:val="20"/>
                <w:szCs w:val="20"/>
              </w:rPr>
              <w:t>Evidence of improved health system functionality, including number of children immunised, no of CYP achieved through access to contraceptive services, and / or improved community sanitation or disease prevention practices</w:t>
            </w:r>
            <w:r w:rsidRPr="00161C8A">
              <w:rPr>
                <w:sz w:val="20"/>
                <w:szCs w:val="20"/>
                <w:vertAlign w:val="superscript"/>
              </w:rPr>
              <w:footnoteReference w:id="2"/>
            </w:r>
            <w:r w:rsidRPr="00AE3203">
              <w:rPr>
                <w:sz w:val="20"/>
                <w:szCs w:val="20"/>
              </w:rPr>
              <w:t xml:space="preserve"> </w:t>
            </w:r>
          </w:p>
        </w:tc>
        <w:tc>
          <w:tcPr>
            <w:tcW w:w="6146" w:type="dxa"/>
          </w:tcPr>
          <w:p w14:paraId="0D0E5A5F" w14:textId="6BE8D06F" w:rsidR="00B72B1B" w:rsidRPr="00AE3203" w:rsidRDefault="00B72B1B" w:rsidP="00AE3203">
            <w:pPr>
              <w:spacing w:before="60"/>
              <w:ind w:left="96"/>
              <w:rPr>
                <w:sz w:val="20"/>
                <w:szCs w:val="20"/>
              </w:rPr>
            </w:pPr>
            <w:r w:rsidRPr="00AE3203">
              <w:rPr>
                <w:sz w:val="20"/>
                <w:szCs w:val="20"/>
              </w:rPr>
              <w:t>The University of Sydney partnership enabled the production of new guidelines for treating infectious diseases within community-level hospitals in Vietnam. Following a pilot study, the University is completing a cluster randomised trial evaluating an antimicrobial stewardship program in 16 hospitals across two provinces. </w:t>
            </w:r>
          </w:p>
          <w:p w14:paraId="1C78B18E" w14:textId="05103AD5" w:rsidR="00AF0E6C" w:rsidRPr="00AE3203" w:rsidRDefault="00B72B1B" w:rsidP="00AE3203">
            <w:pPr>
              <w:spacing w:before="60"/>
              <w:ind w:left="96"/>
              <w:rPr>
                <w:sz w:val="20"/>
                <w:szCs w:val="20"/>
              </w:rPr>
            </w:pPr>
            <w:r w:rsidRPr="00AE3203">
              <w:rPr>
                <w:sz w:val="20"/>
                <w:szCs w:val="20"/>
              </w:rPr>
              <w:t>The project also supported modelling of the Omicron wave in Vietnam, which informed the COVID</w:t>
            </w:r>
            <w:r w:rsidR="000B0731" w:rsidRPr="00AE3203">
              <w:rPr>
                <w:sz w:val="20"/>
                <w:szCs w:val="20"/>
              </w:rPr>
              <w:t>-19</w:t>
            </w:r>
            <w:r w:rsidRPr="00AE3203">
              <w:rPr>
                <w:sz w:val="20"/>
                <w:szCs w:val="20"/>
              </w:rPr>
              <w:t xml:space="preserve"> response in Vietnam’s two largest cities. </w:t>
            </w:r>
          </w:p>
        </w:tc>
      </w:tr>
      <w:tr w:rsidR="00CA5021" w14:paraId="4AD746D8" w14:textId="77777777" w:rsidTr="007A4493">
        <w:trPr>
          <w:tblHeader/>
        </w:trPr>
        <w:tc>
          <w:tcPr>
            <w:tcW w:w="4390" w:type="dxa"/>
          </w:tcPr>
          <w:p w14:paraId="0AB10A98" w14:textId="35CC1B0E" w:rsidR="00CA5021" w:rsidRPr="00AE3203" w:rsidRDefault="001B09FF" w:rsidP="00AE3203">
            <w:pPr>
              <w:spacing w:before="60"/>
              <w:ind w:left="96"/>
              <w:rPr>
                <w:sz w:val="20"/>
                <w:szCs w:val="20"/>
              </w:rPr>
            </w:pPr>
            <w:r w:rsidRPr="00AE3203">
              <w:rPr>
                <w:sz w:val="20"/>
                <w:szCs w:val="20"/>
              </w:rPr>
              <w:t>Number of people</w:t>
            </w:r>
            <w:r w:rsidR="00D3051F" w:rsidRPr="00AE3203">
              <w:rPr>
                <w:sz w:val="20"/>
                <w:szCs w:val="20"/>
              </w:rPr>
              <w:t xml:space="preserve"> who</w:t>
            </w:r>
            <w:r w:rsidRPr="00AE3203">
              <w:rPr>
                <w:sz w:val="20"/>
                <w:szCs w:val="20"/>
              </w:rPr>
              <w:t xml:space="preserve"> accessed vaccination</w:t>
            </w:r>
            <w:r w:rsidR="00D3051F" w:rsidRPr="00AE3203">
              <w:rPr>
                <w:sz w:val="20"/>
                <w:szCs w:val="20"/>
              </w:rPr>
              <w:t>s</w:t>
            </w:r>
          </w:p>
        </w:tc>
        <w:tc>
          <w:tcPr>
            <w:tcW w:w="6146" w:type="dxa"/>
          </w:tcPr>
          <w:p w14:paraId="3A3CE85B" w14:textId="77777777" w:rsidR="00CA5021" w:rsidRPr="00AE3203" w:rsidRDefault="001B09FF" w:rsidP="00AE3203">
            <w:pPr>
              <w:spacing w:before="60"/>
              <w:ind w:left="96"/>
              <w:rPr>
                <w:sz w:val="20"/>
                <w:szCs w:val="20"/>
              </w:rPr>
            </w:pPr>
            <w:r w:rsidRPr="00AE3203">
              <w:rPr>
                <w:sz w:val="20"/>
                <w:szCs w:val="20"/>
              </w:rPr>
              <w:t>COVAX/Global Fund/GAVI (Tier 2 reporting)</w:t>
            </w:r>
          </w:p>
          <w:p w14:paraId="44F01EB8" w14:textId="5B6C9AA8" w:rsidR="00451933" w:rsidRPr="00AE3203" w:rsidRDefault="006A7F29" w:rsidP="00AE3203">
            <w:pPr>
              <w:spacing w:before="60"/>
              <w:ind w:left="96"/>
            </w:pPr>
            <w:r w:rsidRPr="00AE3203">
              <w:rPr>
                <w:sz w:val="20"/>
                <w:szCs w:val="20"/>
              </w:rPr>
              <w:t>Delivered</w:t>
            </w:r>
            <w:r w:rsidR="00451933" w:rsidRPr="00AE3203">
              <w:rPr>
                <w:sz w:val="20"/>
                <w:szCs w:val="20"/>
              </w:rPr>
              <w:t xml:space="preserve"> 22,260,900 COVID-19 vaccine doses and supported procurement and distribution of 1,910 refrigerators to upgrade national cold chain storage and boost cold chain capacity for remote and hard-to-reach communities</w:t>
            </w:r>
            <w:r w:rsidR="00342A4E" w:rsidRPr="00AE3203">
              <w:rPr>
                <w:sz w:val="20"/>
                <w:szCs w:val="20"/>
              </w:rPr>
              <w:t>.</w:t>
            </w:r>
          </w:p>
        </w:tc>
      </w:tr>
      <w:tr w:rsidR="00CA5021" w14:paraId="561E10FB" w14:textId="77777777" w:rsidTr="007A4493">
        <w:trPr>
          <w:tblHeader/>
        </w:trPr>
        <w:tc>
          <w:tcPr>
            <w:tcW w:w="4390" w:type="dxa"/>
          </w:tcPr>
          <w:p w14:paraId="3FC5A9AE" w14:textId="11F4B1AE" w:rsidR="00CA5021" w:rsidRPr="00AE3203" w:rsidRDefault="001B09FF" w:rsidP="00AE3203">
            <w:pPr>
              <w:spacing w:before="60"/>
              <w:ind w:left="96"/>
              <w:rPr>
                <w:sz w:val="20"/>
                <w:szCs w:val="20"/>
              </w:rPr>
            </w:pPr>
            <w:r w:rsidRPr="00AE3203">
              <w:rPr>
                <w:sz w:val="20"/>
                <w:szCs w:val="20"/>
              </w:rPr>
              <w:t xml:space="preserve">Number of people </w:t>
            </w:r>
            <w:r w:rsidR="00D3051F" w:rsidRPr="00AE3203">
              <w:rPr>
                <w:sz w:val="20"/>
                <w:szCs w:val="20"/>
              </w:rPr>
              <w:t xml:space="preserve">with </w:t>
            </w:r>
            <w:r w:rsidRPr="00AE3203">
              <w:rPr>
                <w:sz w:val="20"/>
                <w:szCs w:val="20"/>
              </w:rPr>
              <w:t xml:space="preserve">access to water, </w:t>
            </w:r>
            <w:proofErr w:type="gramStart"/>
            <w:r w:rsidR="00D3051F" w:rsidRPr="00AE3203">
              <w:rPr>
                <w:sz w:val="20"/>
                <w:szCs w:val="20"/>
              </w:rPr>
              <w:t>s</w:t>
            </w:r>
            <w:r w:rsidRPr="00AE3203">
              <w:rPr>
                <w:sz w:val="20"/>
                <w:szCs w:val="20"/>
              </w:rPr>
              <w:t>anitation</w:t>
            </w:r>
            <w:proofErr w:type="gramEnd"/>
            <w:r w:rsidRPr="00AE3203">
              <w:rPr>
                <w:sz w:val="20"/>
                <w:szCs w:val="20"/>
              </w:rPr>
              <w:t xml:space="preserve"> and </w:t>
            </w:r>
            <w:r w:rsidR="00D3051F" w:rsidRPr="00AE3203">
              <w:rPr>
                <w:sz w:val="20"/>
                <w:szCs w:val="20"/>
              </w:rPr>
              <w:t>hy</w:t>
            </w:r>
            <w:r w:rsidRPr="00AE3203">
              <w:rPr>
                <w:sz w:val="20"/>
                <w:szCs w:val="20"/>
              </w:rPr>
              <w:t>giene (WASH), mental health and psycho-social support, protection</w:t>
            </w:r>
          </w:p>
        </w:tc>
        <w:tc>
          <w:tcPr>
            <w:tcW w:w="6146" w:type="dxa"/>
          </w:tcPr>
          <w:p w14:paraId="1D0B508E" w14:textId="28F189A3" w:rsidR="00AF0E6C" w:rsidRPr="00AE3203" w:rsidRDefault="00563461" w:rsidP="00AE3203">
            <w:pPr>
              <w:spacing w:before="60"/>
              <w:ind w:left="96"/>
              <w:rPr>
                <w:sz w:val="20"/>
                <w:szCs w:val="20"/>
              </w:rPr>
            </w:pPr>
            <w:r w:rsidRPr="00AE3203">
              <w:rPr>
                <w:sz w:val="20"/>
                <w:szCs w:val="20"/>
              </w:rPr>
              <w:t>The MSI partnership (EMPOWER) increased the proportions of clients receiving comprehensive family planning counselling from 48</w:t>
            </w:r>
            <w:r w:rsidR="00A7799E">
              <w:rPr>
                <w:sz w:val="20"/>
                <w:szCs w:val="20"/>
              </w:rPr>
              <w:t xml:space="preserve"> per cent </w:t>
            </w:r>
            <w:r w:rsidRPr="00AE3203">
              <w:rPr>
                <w:sz w:val="20"/>
                <w:szCs w:val="20"/>
              </w:rPr>
              <w:t>at project commencement to 71</w:t>
            </w:r>
            <w:r w:rsidR="00A7799E">
              <w:rPr>
                <w:sz w:val="20"/>
                <w:szCs w:val="20"/>
              </w:rPr>
              <w:t xml:space="preserve"> per cent</w:t>
            </w:r>
            <w:r w:rsidR="00A7799E" w:rsidRPr="00AE3203">
              <w:rPr>
                <w:sz w:val="20"/>
                <w:szCs w:val="20"/>
              </w:rPr>
              <w:t xml:space="preserve"> </w:t>
            </w:r>
            <w:r w:rsidRPr="00AE3203">
              <w:rPr>
                <w:sz w:val="20"/>
                <w:szCs w:val="20"/>
              </w:rPr>
              <w:t>at project end. The project reached 454,119 people with SRH and family planning information and conducted 140,063 client visits during project delivery in Vietnam.</w:t>
            </w:r>
          </w:p>
        </w:tc>
      </w:tr>
      <w:tr w:rsidR="00CA5021" w14:paraId="6024B2EE" w14:textId="77777777" w:rsidTr="007A4493">
        <w:trPr>
          <w:tblHeader/>
        </w:trPr>
        <w:tc>
          <w:tcPr>
            <w:tcW w:w="4390" w:type="dxa"/>
          </w:tcPr>
          <w:p w14:paraId="5A7E4C44" w14:textId="167F4080" w:rsidR="00CA5021" w:rsidRPr="00AE3203" w:rsidRDefault="006D0502" w:rsidP="00AE3203">
            <w:pPr>
              <w:spacing w:before="60"/>
              <w:ind w:left="96"/>
              <w:rPr>
                <w:sz w:val="20"/>
                <w:szCs w:val="20"/>
              </w:rPr>
            </w:pPr>
            <w:r w:rsidRPr="00AE3203">
              <w:rPr>
                <w:sz w:val="20"/>
                <w:szCs w:val="20"/>
              </w:rPr>
              <w:t>Evidence of partnerships, significant people-to-people engagements and institutional collaboration which contribute to health system strengthening in Vietnam</w:t>
            </w:r>
            <w:r w:rsidRPr="00161C8A">
              <w:rPr>
                <w:sz w:val="18"/>
                <w:szCs w:val="18"/>
                <w:vertAlign w:val="superscript"/>
              </w:rPr>
              <w:footnoteReference w:id="3"/>
            </w:r>
            <w:r w:rsidRPr="00AE3203">
              <w:rPr>
                <w:sz w:val="18"/>
                <w:szCs w:val="18"/>
              </w:rPr>
              <w:t xml:space="preserve"> </w:t>
            </w:r>
          </w:p>
        </w:tc>
        <w:tc>
          <w:tcPr>
            <w:tcW w:w="6146" w:type="dxa"/>
          </w:tcPr>
          <w:p w14:paraId="3A40B9CD" w14:textId="2C955817" w:rsidR="00B218ED" w:rsidRPr="00AE3203" w:rsidRDefault="007737EA" w:rsidP="00AE3203">
            <w:pPr>
              <w:spacing w:before="60"/>
              <w:ind w:left="96"/>
              <w:rPr>
                <w:sz w:val="20"/>
                <w:szCs w:val="20"/>
              </w:rPr>
            </w:pPr>
            <w:r w:rsidRPr="00AE3203">
              <w:rPr>
                <w:sz w:val="20"/>
                <w:szCs w:val="20"/>
              </w:rPr>
              <w:t xml:space="preserve">Augmented </w:t>
            </w:r>
            <w:r w:rsidR="00563461" w:rsidRPr="00AE3203">
              <w:rPr>
                <w:sz w:val="20"/>
                <w:szCs w:val="20"/>
              </w:rPr>
              <w:t>r</w:t>
            </w:r>
            <w:r w:rsidRPr="00AE3203">
              <w:rPr>
                <w:sz w:val="20"/>
                <w:szCs w:val="20"/>
              </w:rPr>
              <w:t>eality technology has been adopted for the</w:t>
            </w:r>
            <w:r w:rsidR="00772A0C" w:rsidRPr="00D138F6">
              <w:rPr>
                <w:sz w:val="20"/>
                <w:szCs w:val="20"/>
              </w:rPr>
              <w:t xml:space="preserve"> </w:t>
            </w:r>
            <w:r w:rsidRPr="00AE3203">
              <w:rPr>
                <w:sz w:val="20"/>
                <w:szCs w:val="20"/>
              </w:rPr>
              <w:t xml:space="preserve">first time in Vietnam under Aus4Innovation </w:t>
            </w:r>
            <w:r w:rsidR="0046654E" w:rsidRPr="00AE3203">
              <w:rPr>
                <w:sz w:val="20"/>
                <w:szCs w:val="20"/>
              </w:rPr>
              <w:t>–</w:t>
            </w:r>
            <w:r w:rsidRPr="00AE3203">
              <w:rPr>
                <w:sz w:val="20"/>
                <w:szCs w:val="20"/>
              </w:rPr>
              <w:t xml:space="preserve"> connecting</w:t>
            </w:r>
            <w:r w:rsidR="0046654E" w:rsidRPr="00AE3203">
              <w:rPr>
                <w:sz w:val="20"/>
                <w:szCs w:val="20"/>
              </w:rPr>
              <w:t xml:space="preserve"> </w:t>
            </w:r>
            <w:r w:rsidRPr="00AE3203">
              <w:rPr>
                <w:sz w:val="20"/>
                <w:szCs w:val="20"/>
              </w:rPr>
              <w:t>remote patients to doctors in Hanoi</w:t>
            </w:r>
            <w:r w:rsidR="00D50EBE" w:rsidRPr="00AE3203">
              <w:rPr>
                <w:sz w:val="20"/>
                <w:szCs w:val="20"/>
              </w:rPr>
              <w:t>.</w:t>
            </w:r>
            <w:r w:rsidRPr="00AE3203">
              <w:rPr>
                <w:sz w:val="20"/>
                <w:szCs w:val="20"/>
              </w:rPr>
              <w:t xml:space="preserve"> This enable</w:t>
            </w:r>
            <w:r w:rsidR="00D50EBE" w:rsidRPr="00AE3203">
              <w:rPr>
                <w:sz w:val="20"/>
                <w:szCs w:val="20"/>
              </w:rPr>
              <w:t>d</w:t>
            </w:r>
            <w:r w:rsidRPr="00AE3203">
              <w:rPr>
                <w:sz w:val="20"/>
                <w:szCs w:val="20"/>
              </w:rPr>
              <w:t xml:space="preserve"> healthcare centres to provide critical care </w:t>
            </w:r>
            <w:r w:rsidR="00D50EBE" w:rsidRPr="00AE3203">
              <w:rPr>
                <w:sz w:val="20"/>
                <w:szCs w:val="20"/>
              </w:rPr>
              <w:t xml:space="preserve">when </w:t>
            </w:r>
            <w:r w:rsidRPr="00AE3203">
              <w:rPr>
                <w:sz w:val="20"/>
                <w:szCs w:val="20"/>
              </w:rPr>
              <w:t>travel</w:t>
            </w:r>
            <w:r w:rsidR="00431A74" w:rsidRPr="00AE3203">
              <w:rPr>
                <w:sz w:val="20"/>
                <w:szCs w:val="20"/>
              </w:rPr>
              <w:t xml:space="preserve"> </w:t>
            </w:r>
            <w:r w:rsidR="00D50EBE" w:rsidRPr="00AE3203">
              <w:rPr>
                <w:sz w:val="20"/>
                <w:szCs w:val="20"/>
              </w:rPr>
              <w:t>was</w:t>
            </w:r>
            <w:r w:rsidRPr="00AE3203">
              <w:rPr>
                <w:sz w:val="20"/>
                <w:szCs w:val="20"/>
              </w:rPr>
              <w:t xml:space="preserve"> restricted due to COVID-19</w:t>
            </w:r>
            <w:r w:rsidR="00D62D24" w:rsidRPr="00AE3203">
              <w:rPr>
                <w:sz w:val="20"/>
                <w:szCs w:val="20"/>
              </w:rPr>
              <w:t xml:space="preserve"> and</w:t>
            </w:r>
            <w:r w:rsidRPr="00AE3203">
              <w:rPr>
                <w:sz w:val="20"/>
                <w:szCs w:val="20"/>
              </w:rPr>
              <w:t xml:space="preserve"> reduce</w:t>
            </w:r>
            <w:r w:rsidR="00D3051F" w:rsidRPr="00AE3203">
              <w:rPr>
                <w:sz w:val="20"/>
                <w:szCs w:val="20"/>
              </w:rPr>
              <w:t>d</w:t>
            </w:r>
            <w:r w:rsidRPr="00AE3203">
              <w:rPr>
                <w:sz w:val="20"/>
                <w:szCs w:val="20"/>
              </w:rPr>
              <w:t xml:space="preserve"> the</w:t>
            </w:r>
            <w:r w:rsidR="003A3300" w:rsidRPr="00AE3203">
              <w:rPr>
                <w:sz w:val="20"/>
                <w:szCs w:val="20"/>
              </w:rPr>
              <w:t xml:space="preserve"> </w:t>
            </w:r>
            <w:r w:rsidRPr="00AE3203">
              <w:rPr>
                <w:sz w:val="20"/>
                <w:szCs w:val="20"/>
              </w:rPr>
              <w:t xml:space="preserve">burden on public hospitals in major cities. </w:t>
            </w:r>
          </w:p>
        </w:tc>
      </w:tr>
    </w:tbl>
    <w:p w14:paraId="08BBE344" w14:textId="186C786C" w:rsidR="00AE2B7B" w:rsidRPr="00AE2B7B" w:rsidRDefault="00AE2B7B" w:rsidP="002E09E8">
      <w:pPr>
        <w:pStyle w:val="Heading3"/>
      </w:pPr>
      <w:r w:rsidRPr="00AE2B7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AE3203">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93A8551" w14:textId="77777777" w:rsidTr="00AE3203">
        <w:trPr>
          <w:tblHeader/>
        </w:trPr>
        <w:tc>
          <w:tcPr>
            <w:tcW w:w="4390" w:type="dxa"/>
          </w:tcPr>
          <w:p w14:paraId="2AA59D1C" w14:textId="4C19A7EE" w:rsidR="00CA5021" w:rsidRPr="00AE3203" w:rsidRDefault="006D0502" w:rsidP="00AE3203">
            <w:pPr>
              <w:spacing w:before="60"/>
              <w:ind w:left="96"/>
              <w:rPr>
                <w:sz w:val="20"/>
                <w:szCs w:val="20"/>
              </w:rPr>
            </w:pPr>
            <w:bookmarkStart w:id="0" w:name="_Hlk81821107"/>
            <w:r w:rsidRPr="00AE3203">
              <w:rPr>
                <w:sz w:val="20"/>
                <w:szCs w:val="20"/>
              </w:rPr>
              <w:t>The Vietnam-Australia Centre (VAC) is established and has provided leadership and public policy skills training to Vietnamese leaders</w:t>
            </w:r>
            <w:bookmarkEnd w:id="0"/>
            <w:r w:rsidRPr="00161C8A">
              <w:rPr>
                <w:sz w:val="16"/>
                <w:szCs w:val="16"/>
                <w:vertAlign w:val="superscript"/>
              </w:rPr>
              <w:footnoteReference w:id="4"/>
            </w:r>
            <w:r w:rsidRPr="00161C8A">
              <w:rPr>
                <w:sz w:val="16"/>
                <w:szCs w:val="16"/>
                <w:vertAlign w:val="superscript"/>
              </w:rPr>
              <w:t xml:space="preserve"> </w:t>
            </w:r>
          </w:p>
        </w:tc>
        <w:tc>
          <w:tcPr>
            <w:tcW w:w="6146" w:type="dxa"/>
          </w:tcPr>
          <w:p w14:paraId="109B0DD2" w14:textId="71133E2A" w:rsidR="002326E8" w:rsidRPr="00AE3203" w:rsidRDefault="002326E8" w:rsidP="00AE3203">
            <w:pPr>
              <w:spacing w:before="60"/>
              <w:ind w:left="96"/>
              <w:rPr>
                <w:sz w:val="20"/>
                <w:szCs w:val="20"/>
              </w:rPr>
            </w:pPr>
            <w:r w:rsidRPr="00AE3203">
              <w:rPr>
                <w:sz w:val="20"/>
                <w:szCs w:val="20"/>
              </w:rPr>
              <w:t xml:space="preserve">The Australia Vietnam Centre (VAC) was formally established in June 2022. </w:t>
            </w:r>
          </w:p>
          <w:p w14:paraId="2E8902BB" w14:textId="4CA7FF60" w:rsidR="00DC4542" w:rsidRPr="00AE3203" w:rsidRDefault="002326E8" w:rsidP="00AE3203">
            <w:pPr>
              <w:spacing w:before="60"/>
              <w:ind w:left="96"/>
              <w:rPr>
                <w:sz w:val="20"/>
                <w:szCs w:val="20"/>
              </w:rPr>
            </w:pPr>
            <w:r w:rsidRPr="00AE3203">
              <w:rPr>
                <w:sz w:val="20"/>
                <w:szCs w:val="20"/>
              </w:rPr>
              <w:t>Australia supported research by the Centre for Gender Studies and Women’s Leadership (</w:t>
            </w:r>
            <w:proofErr w:type="spellStart"/>
            <w:r w:rsidRPr="00AE3203">
              <w:rPr>
                <w:sz w:val="20"/>
                <w:szCs w:val="20"/>
              </w:rPr>
              <w:t>GeLEAD</w:t>
            </w:r>
            <w:proofErr w:type="spellEnd"/>
            <w:r w:rsidRPr="00AE3203">
              <w:rPr>
                <w:sz w:val="20"/>
                <w:szCs w:val="20"/>
              </w:rPr>
              <w:t>) on women’s leadership in government and public administration. The report recommended the C</w:t>
            </w:r>
            <w:r w:rsidR="00626A68">
              <w:rPr>
                <w:sz w:val="20"/>
                <w:szCs w:val="20"/>
              </w:rPr>
              <w:t xml:space="preserve">ommunist </w:t>
            </w:r>
            <w:r w:rsidRPr="00AE3203">
              <w:rPr>
                <w:sz w:val="20"/>
                <w:szCs w:val="20"/>
              </w:rPr>
              <w:t>P</w:t>
            </w:r>
            <w:r w:rsidR="00626A68">
              <w:rPr>
                <w:sz w:val="20"/>
                <w:szCs w:val="20"/>
              </w:rPr>
              <w:t xml:space="preserve">arty of </w:t>
            </w:r>
            <w:r w:rsidRPr="00AE3203">
              <w:rPr>
                <w:sz w:val="20"/>
                <w:szCs w:val="20"/>
              </w:rPr>
              <w:t>V</w:t>
            </w:r>
            <w:r w:rsidR="00626A68">
              <w:rPr>
                <w:sz w:val="20"/>
                <w:szCs w:val="20"/>
              </w:rPr>
              <w:t>ietnam</w:t>
            </w:r>
            <w:r w:rsidRPr="00AE3203">
              <w:rPr>
                <w:sz w:val="20"/>
                <w:szCs w:val="20"/>
              </w:rPr>
              <w:t xml:space="preserve"> and </w:t>
            </w:r>
            <w:r w:rsidR="007245AF">
              <w:rPr>
                <w:sz w:val="20"/>
                <w:szCs w:val="20"/>
              </w:rPr>
              <w:t>Government of Vietnam</w:t>
            </w:r>
            <w:r w:rsidRPr="00AE3203">
              <w:rPr>
                <w:sz w:val="20"/>
                <w:szCs w:val="20"/>
              </w:rPr>
              <w:t xml:space="preserve"> introduce a gender equality index to address the accountability gap in personnel policies to increase women’s political progression.</w:t>
            </w:r>
          </w:p>
        </w:tc>
      </w:tr>
      <w:tr w:rsidR="006D0502" w14:paraId="0556A95D" w14:textId="77777777" w:rsidTr="00AE3203">
        <w:trPr>
          <w:tblHeader/>
        </w:trPr>
        <w:tc>
          <w:tcPr>
            <w:tcW w:w="4390" w:type="dxa"/>
          </w:tcPr>
          <w:p w14:paraId="62F5276A" w14:textId="52DC5D2E" w:rsidR="006D0502" w:rsidRPr="00AE3203" w:rsidRDefault="006D0502" w:rsidP="00AE3203">
            <w:pPr>
              <w:spacing w:before="60"/>
              <w:ind w:left="96"/>
              <w:rPr>
                <w:sz w:val="20"/>
                <w:szCs w:val="20"/>
              </w:rPr>
            </w:pPr>
            <w:r w:rsidRPr="00AE3203">
              <w:rPr>
                <w:sz w:val="20"/>
                <w:szCs w:val="20"/>
              </w:rPr>
              <w:t>Evidence of improved inclusion of vulnerable groups in Vietnamese society and COVID-19 recovery support</w:t>
            </w:r>
          </w:p>
        </w:tc>
        <w:tc>
          <w:tcPr>
            <w:tcW w:w="6146" w:type="dxa"/>
          </w:tcPr>
          <w:p w14:paraId="2BE59BFD" w14:textId="0A3815ED" w:rsidR="001950CA" w:rsidRPr="00AE3203" w:rsidRDefault="001950CA" w:rsidP="00AE3203">
            <w:pPr>
              <w:spacing w:before="60"/>
              <w:ind w:left="96"/>
              <w:rPr>
                <w:sz w:val="20"/>
                <w:szCs w:val="20"/>
              </w:rPr>
            </w:pPr>
            <w:r w:rsidRPr="00AE3203">
              <w:rPr>
                <w:sz w:val="20"/>
                <w:szCs w:val="20"/>
              </w:rPr>
              <w:t>Australia supported the development of the Vietnam Multi-Dimensional Poverty report. The report examines existing and new challenges encountered by vulnerable groups in the context of COVID-19. It makes recommendations for upcoming policy formulation in Vietnam, including the expansion and strengthening of the social protection system.</w:t>
            </w:r>
          </w:p>
          <w:p w14:paraId="71F5FF79" w14:textId="24ADDD99" w:rsidR="00B218ED" w:rsidRPr="00AE3203" w:rsidRDefault="00772A0C" w:rsidP="00AE3203">
            <w:pPr>
              <w:spacing w:before="60"/>
              <w:ind w:left="96"/>
              <w:rPr>
                <w:sz w:val="20"/>
                <w:szCs w:val="20"/>
              </w:rPr>
            </w:pPr>
            <w:bookmarkStart w:id="1" w:name="_Hlk112832926"/>
            <w:r w:rsidRPr="00D138F6">
              <w:rPr>
                <w:sz w:val="20"/>
                <w:szCs w:val="20"/>
              </w:rPr>
              <w:lastRenderedPageBreak/>
              <w:t>Approximately</w:t>
            </w:r>
            <w:r w:rsidR="001950CA" w:rsidRPr="00AE3203">
              <w:rPr>
                <w:sz w:val="20"/>
                <w:szCs w:val="20"/>
              </w:rPr>
              <w:t xml:space="preserve"> 2000 farmers (female and male) from ethnic minority groups of the North West region have been involved in ACIAR’s field research and improved livelihoods along the supply chains of beef, </w:t>
            </w:r>
            <w:proofErr w:type="gramStart"/>
            <w:r w:rsidR="001950CA" w:rsidRPr="00AE3203">
              <w:rPr>
                <w:sz w:val="20"/>
                <w:szCs w:val="20"/>
              </w:rPr>
              <w:t>vegetables</w:t>
            </w:r>
            <w:proofErr w:type="gramEnd"/>
            <w:r w:rsidR="001950CA" w:rsidRPr="00AE3203">
              <w:rPr>
                <w:sz w:val="20"/>
                <w:szCs w:val="20"/>
              </w:rPr>
              <w:t xml:space="preserve"> and fruits.</w:t>
            </w:r>
            <w:bookmarkEnd w:id="1"/>
          </w:p>
        </w:tc>
      </w:tr>
      <w:tr w:rsidR="006D0502" w14:paraId="5DF0BAD4" w14:textId="77777777" w:rsidTr="00AE3203">
        <w:trPr>
          <w:tblHeader/>
        </w:trPr>
        <w:tc>
          <w:tcPr>
            <w:tcW w:w="4390" w:type="dxa"/>
          </w:tcPr>
          <w:p w14:paraId="476782F7" w14:textId="74201338" w:rsidR="006D0502" w:rsidRPr="00AE3203" w:rsidRDefault="006D0502" w:rsidP="00AE3203">
            <w:pPr>
              <w:spacing w:before="60"/>
              <w:ind w:left="96"/>
              <w:rPr>
                <w:sz w:val="20"/>
                <w:szCs w:val="20"/>
              </w:rPr>
            </w:pPr>
            <w:r w:rsidRPr="00AE3203">
              <w:rPr>
                <w:sz w:val="20"/>
                <w:szCs w:val="20"/>
              </w:rPr>
              <w:lastRenderedPageBreak/>
              <w:t>Increased support available to women survivors of gender</w:t>
            </w:r>
            <w:r w:rsidR="00C67ACB">
              <w:rPr>
                <w:sz w:val="20"/>
                <w:szCs w:val="20"/>
              </w:rPr>
              <w:t>-</w:t>
            </w:r>
            <w:r w:rsidRPr="00AE3203">
              <w:rPr>
                <w:sz w:val="20"/>
                <w:szCs w:val="20"/>
              </w:rPr>
              <w:t>based violence</w:t>
            </w:r>
            <w:r w:rsidRPr="00161C8A">
              <w:rPr>
                <w:sz w:val="20"/>
                <w:szCs w:val="20"/>
                <w:vertAlign w:val="superscript"/>
              </w:rPr>
              <w:footnoteReference w:id="5"/>
            </w:r>
          </w:p>
        </w:tc>
        <w:tc>
          <w:tcPr>
            <w:tcW w:w="6146" w:type="dxa"/>
          </w:tcPr>
          <w:p w14:paraId="69182282" w14:textId="773DF5D5" w:rsidR="006D0502" w:rsidRPr="00AE3203" w:rsidRDefault="002C2C6C" w:rsidP="00AE3203">
            <w:pPr>
              <w:spacing w:before="60"/>
              <w:ind w:left="96"/>
              <w:rPr>
                <w:sz w:val="20"/>
                <w:szCs w:val="20"/>
              </w:rPr>
            </w:pPr>
            <w:r w:rsidRPr="00AE3203">
              <w:rPr>
                <w:sz w:val="20"/>
                <w:szCs w:val="20"/>
              </w:rPr>
              <w:t xml:space="preserve">Australia commenced a partnership with Vietnam and the UN on ending violence against women and children. During the reporting period, consultation and planning was undertaken. </w:t>
            </w:r>
          </w:p>
        </w:tc>
      </w:tr>
      <w:tr w:rsidR="006D0502" w14:paraId="7E704FEB" w14:textId="77777777" w:rsidTr="00AE3203">
        <w:trPr>
          <w:tblHeader/>
        </w:trPr>
        <w:tc>
          <w:tcPr>
            <w:tcW w:w="4390" w:type="dxa"/>
          </w:tcPr>
          <w:p w14:paraId="1CC2F0CD" w14:textId="502EA21C" w:rsidR="006D0502" w:rsidRPr="00AE3203" w:rsidRDefault="006D0502" w:rsidP="00AE3203">
            <w:pPr>
              <w:spacing w:before="60"/>
              <w:ind w:left="96"/>
              <w:rPr>
                <w:sz w:val="20"/>
                <w:szCs w:val="20"/>
              </w:rPr>
            </w:pPr>
            <w:r w:rsidRPr="00AE3203">
              <w:rPr>
                <w:sz w:val="20"/>
                <w:szCs w:val="20"/>
              </w:rPr>
              <w:t xml:space="preserve">Examples of policy or practice uptake </w:t>
            </w:r>
            <w:proofErr w:type="gramStart"/>
            <w:r w:rsidRPr="00AE3203">
              <w:rPr>
                <w:sz w:val="20"/>
                <w:szCs w:val="20"/>
              </w:rPr>
              <w:t>as a result of</w:t>
            </w:r>
            <w:proofErr w:type="gramEnd"/>
            <w:r w:rsidRPr="00AE3203">
              <w:rPr>
                <w:sz w:val="20"/>
                <w:szCs w:val="20"/>
              </w:rPr>
              <w:t xml:space="preserve"> advice or technical assistance on building resilience to future shocks and supporting improved agricultural practices and water management</w:t>
            </w:r>
            <w:r w:rsidRPr="00161C8A">
              <w:rPr>
                <w:sz w:val="20"/>
                <w:szCs w:val="20"/>
                <w:vertAlign w:val="superscript"/>
              </w:rPr>
              <w:footnoteReference w:id="6"/>
            </w:r>
          </w:p>
        </w:tc>
        <w:tc>
          <w:tcPr>
            <w:tcW w:w="6146" w:type="dxa"/>
          </w:tcPr>
          <w:p w14:paraId="71A3591D" w14:textId="3D50B3D6" w:rsidR="00567D67" w:rsidRDefault="00567D67" w:rsidP="00AE3203">
            <w:pPr>
              <w:spacing w:before="60"/>
              <w:ind w:left="96"/>
              <w:rPr>
                <w:sz w:val="20"/>
                <w:szCs w:val="20"/>
              </w:rPr>
            </w:pPr>
            <w:r>
              <w:rPr>
                <w:sz w:val="20"/>
                <w:szCs w:val="20"/>
              </w:rPr>
              <w:t>Australia supported:</w:t>
            </w:r>
          </w:p>
          <w:p w14:paraId="7C919F7C" w14:textId="4DEDEC69" w:rsidR="00C67ACB" w:rsidRPr="00161C8A" w:rsidRDefault="00154B1B" w:rsidP="00161C8A">
            <w:pPr>
              <w:pStyle w:val="ListParagraph"/>
              <w:numPr>
                <w:ilvl w:val="0"/>
                <w:numId w:val="45"/>
              </w:numPr>
              <w:spacing w:before="60"/>
              <w:rPr>
                <w:sz w:val="20"/>
                <w:szCs w:val="20"/>
              </w:rPr>
            </w:pPr>
            <w:r w:rsidRPr="00161C8A">
              <w:rPr>
                <w:sz w:val="20"/>
                <w:szCs w:val="20"/>
              </w:rPr>
              <w:t>drafting of Vietnam’s National Water Resources Management Plan</w:t>
            </w:r>
            <w:r w:rsidR="00567D67" w:rsidRPr="00161C8A">
              <w:rPr>
                <w:sz w:val="20"/>
                <w:szCs w:val="20"/>
              </w:rPr>
              <w:t xml:space="preserve"> (Australian Water Partnership</w:t>
            </w:r>
            <w:proofErr w:type="gramStart"/>
            <w:r w:rsidR="00567D67" w:rsidRPr="00161C8A">
              <w:rPr>
                <w:sz w:val="20"/>
                <w:szCs w:val="20"/>
              </w:rPr>
              <w:t>);</w:t>
            </w:r>
            <w:proofErr w:type="gramEnd"/>
          </w:p>
          <w:p w14:paraId="758D64DE" w14:textId="78DFACF9" w:rsidR="00C67ACB" w:rsidRPr="00161C8A" w:rsidRDefault="00C81FC3" w:rsidP="00161C8A">
            <w:pPr>
              <w:pStyle w:val="ListParagraph"/>
              <w:numPr>
                <w:ilvl w:val="0"/>
                <w:numId w:val="45"/>
              </w:numPr>
              <w:spacing w:before="60"/>
              <w:rPr>
                <w:sz w:val="20"/>
                <w:szCs w:val="20"/>
              </w:rPr>
            </w:pPr>
            <w:r w:rsidRPr="00161C8A">
              <w:rPr>
                <w:sz w:val="20"/>
                <w:szCs w:val="20"/>
              </w:rPr>
              <w:t>Ministry of Agriculture and Rural Development</w:t>
            </w:r>
            <w:r w:rsidR="00154B1B" w:rsidRPr="00161C8A">
              <w:rPr>
                <w:sz w:val="20"/>
                <w:szCs w:val="20"/>
              </w:rPr>
              <w:t xml:space="preserve"> report</w:t>
            </w:r>
            <w:r w:rsidRPr="00161C8A">
              <w:rPr>
                <w:sz w:val="20"/>
                <w:szCs w:val="20"/>
              </w:rPr>
              <w:t xml:space="preserve"> on the </w:t>
            </w:r>
            <w:r w:rsidR="00154B1B" w:rsidRPr="00161C8A">
              <w:rPr>
                <w:sz w:val="20"/>
                <w:szCs w:val="20"/>
              </w:rPr>
              <w:t>agricultural labour market</w:t>
            </w:r>
            <w:r w:rsidR="00567D67" w:rsidRPr="00161C8A">
              <w:rPr>
                <w:sz w:val="20"/>
                <w:szCs w:val="20"/>
              </w:rPr>
              <w:t>, supporting</w:t>
            </w:r>
            <w:r w:rsidRPr="00161C8A">
              <w:rPr>
                <w:sz w:val="20"/>
                <w:szCs w:val="20"/>
              </w:rPr>
              <w:t xml:space="preserve"> </w:t>
            </w:r>
            <w:r w:rsidR="00626A68">
              <w:rPr>
                <w:sz w:val="20"/>
                <w:szCs w:val="20"/>
              </w:rPr>
              <w:t xml:space="preserve">the </w:t>
            </w:r>
            <w:r w:rsidR="00626A68">
              <w:rPr>
                <w:i/>
                <w:iCs/>
                <w:sz w:val="20"/>
                <w:szCs w:val="20"/>
              </w:rPr>
              <w:t>I</w:t>
            </w:r>
            <w:r w:rsidR="00626A68" w:rsidRPr="00161C8A">
              <w:rPr>
                <w:i/>
                <w:iCs/>
                <w:sz w:val="20"/>
                <w:szCs w:val="20"/>
              </w:rPr>
              <w:t xml:space="preserve">nnovation </w:t>
            </w:r>
            <w:r w:rsidRPr="00161C8A">
              <w:rPr>
                <w:i/>
                <w:iCs/>
                <w:sz w:val="20"/>
                <w:szCs w:val="20"/>
              </w:rPr>
              <w:t>and improvement of the quality of agricultural vocational training for rural workers for the period 2021–30</w:t>
            </w:r>
            <w:r w:rsidRPr="00161C8A">
              <w:rPr>
                <w:sz w:val="20"/>
                <w:szCs w:val="20"/>
              </w:rPr>
              <w:t xml:space="preserve"> </w:t>
            </w:r>
            <w:proofErr w:type="gramStart"/>
            <w:r w:rsidRPr="00161C8A">
              <w:rPr>
                <w:sz w:val="20"/>
                <w:szCs w:val="20"/>
              </w:rPr>
              <w:t>strategy</w:t>
            </w:r>
            <w:r w:rsidR="00567D67" w:rsidRPr="00161C8A">
              <w:rPr>
                <w:sz w:val="20"/>
                <w:szCs w:val="20"/>
              </w:rPr>
              <w:t>;</w:t>
            </w:r>
            <w:proofErr w:type="gramEnd"/>
          </w:p>
          <w:p w14:paraId="43DBD212" w14:textId="65ECDA07" w:rsidR="00C67ACB" w:rsidRPr="00161C8A" w:rsidRDefault="00B218ED" w:rsidP="00161C8A">
            <w:pPr>
              <w:pStyle w:val="ListParagraph"/>
              <w:numPr>
                <w:ilvl w:val="0"/>
                <w:numId w:val="45"/>
              </w:numPr>
              <w:spacing w:before="60"/>
              <w:rPr>
                <w:sz w:val="20"/>
                <w:szCs w:val="20"/>
              </w:rPr>
            </w:pPr>
            <w:r w:rsidRPr="00161C8A">
              <w:rPr>
                <w:sz w:val="20"/>
                <w:szCs w:val="20"/>
              </w:rPr>
              <w:t>improved farming techniques to manage salinity in soil and water for rice-shrimp cropping systems</w:t>
            </w:r>
            <w:r w:rsidR="00D72CC8" w:rsidRPr="00161C8A">
              <w:rPr>
                <w:sz w:val="20"/>
                <w:szCs w:val="20"/>
              </w:rPr>
              <w:t xml:space="preserve"> (Ca Mau province</w:t>
            </w:r>
            <w:proofErr w:type="gramStart"/>
            <w:r w:rsidR="00D72CC8" w:rsidRPr="00161C8A">
              <w:rPr>
                <w:sz w:val="20"/>
                <w:szCs w:val="20"/>
              </w:rPr>
              <w:t>);</w:t>
            </w:r>
            <w:proofErr w:type="gramEnd"/>
          </w:p>
          <w:p w14:paraId="7D9CAB9B" w14:textId="34BAA4B8" w:rsidR="006D0502" w:rsidRPr="00161C8A" w:rsidRDefault="0021434C" w:rsidP="00161C8A">
            <w:pPr>
              <w:pStyle w:val="ListParagraph"/>
              <w:numPr>
                <w:ilvl w:val="0"/>
                <w:numId w:val="45"/>
              </w:numPr>
              <w:spacing w:before="60"/>
              <w:rPr>
                <w:sz w:val="20"/>
                <w:szCs w:val="20"/>
              </w:rPr>
            </w:pPr>
            <w:r w:rsidRPr="00161C8A">
              <w:rPr>
                <w:sz w:val="20"/>
                <w:szCs w:val="20"/>
              </w:rPr>
              <w:t xml:space="preserve">commitments to </w:t>
            </w:r>
            <w:r w:rsidR="00643FB0" w:rsidRPr="00161C8A">
              <w:rPr>
                <w:sz w:val="20"/>
                <w:szCs w:val="20"/>
              </w:rPr>
              <w:t>increase</w:t>
            </w:r>
            <w:r w:rsidR="00D72CC8" w:rsidRPr="00161C8A">
              <w:rPr>
                <w:sz w:val="20"/>
                <w:szCs w:val="20"/>
              </w:rPr>
              <w:t>d</w:t>
            </w:r>
            <w:r w:rsidR="00215E6A" w:rsidRPr="00161C8A">
              <w:rPr>
                <w:sz w:val="20"/>
                <w:szCs w:val="20"/>
              </w:rPr>
              <w:t xml:space="preserve"> organic cinnamon areas </w:t>
            </w:r>
            <w:r w:rsidR="00D14346" w:rsidRPr="00161C8A">
              <w:rPr>
                <w:sz w:val="20"/>
                <w:szCs w:val="20"/>
              </w:rPr>
              <w:t>(</w:t>
            </w:r>
            <w:r w:rsidR="00215E6A" w:rsidRPr="00161C8A">
              <w:rPr>
                <w:sz w:val="20"/>
                <w:szCs w:val="20"/>
              </w:rPr>
              <w:t>3</w:t>
            </w:r>
            <w:r w:rsidR="00D14346" w:rsidRPr="00161C8A">
              <w:rPr>
                <w:sz w:val="20"/>
                <w:szCs w:val="20"/>
              </w:rPr>
              <w:t>,</w:t>
            </w:r>
            <w:r w:rsidR="00215E6A" w:rsidRPr="00161C8A">
              <w:rPr>
                <w:sz w:val="20"/>
                <w:szCs w:val="20"/>
              </w:rPr>
              <w:t xml:space="preserve">500 </w:t>
            </w:r>
            <w:r w:rsidR="00F24317" w:rsidRPr="00161C8A">
              <w:rPr>
                <w:sz w:val="20"/>
                <w:szCs w:val="20"/>
              </w:rPr>
              <w:t>hectares</w:t>
            </w:r>
            <w:r w:rsidR="00215E6A" w:rsidRPr="00161C8A">
              <w:rPr>
                <w:sz w:val="20"/>
                <w:szCs w:val="20"/>
              </w:rPr>
              <w:t xml:space="preserve"> in 2021</w:t>
            </w:r>
            <w:r w:rsidR="008536A1">
              <w:rPr>
                <w:sz w:val="20"/>
                <w:szCs w:val="20"/>
              </w:rPr>
              <w:t>,</w:t>
            </w:r>
            <w:r w:rsidR="00215E6A" w:rsidRPr="00161C8A">
              <w:rPr>
                <w:sz w:val="20"/>
                <w:szCs w:val="20"/>
              </w:rPr>
              <w:t xml:space="preserve"> 15,000 h</w:t>
            </w:r>
            <w:r w:rsidR="00324745">
              <w:rPr>
                <w:sz w:val="20"/>
                <w:szCs w:val="20"/>
              </w:rPr>
              <w:t>ectares</w:t>
            </w:r>
            <w:r w:rsidR="00215E6A" w:rsidRPr="00161C8A">
              <w:rPr>
                <w:sz w:val="20"/>
                <w:szCs w:val="20"/>
              </w:rPr>
              <w:t xml:space="preserve"> by 2025 and 35,000 h</w:t>
            </w:r>
            <w:r w:rsidR="00324745">
              <w:rPr>
                <w:sz w:val="20"/>
                <w:szCs w:val="20"/>
              </w:rPr>
              <w:t>ectares</w:t>
            </w:r>
            <w:r w:rsidR="00215E6A" w:rsidRPr="00161C8A">
              <w:rPr>
                <w:sz w:val="20"/>
                <w:szCs w:val="20"/>
              </w:rPr>
              <w:t xml:space="preserve"> by 2050</w:t>
            </w:r>
            <w:r w:rsidR="00D14346" w:rsidRPr="00161C8A">
              <w:rPr>
                <w:sz w:val="20"/>
                <w:szCs w:val="20"/>
              </w:rPr>
              <w:t>) (</w:t>
            </w:r>
            <w:r w:rsidR="00D72CC8" w:rsidRPr="00161C8A">
              <w:rPr>
                <w:sz w:val="20"/>
                <w:szCs w:val="20"/>
              </w:rPr>
              <w:t>Cai province)</w:t>
            </w:r>
            <w:r w:rsidR="00D14346" w:rsidRPr="00161C8A">
              <w:rPr>
                <w:sz w:val="20"/>
                <w:szCs w:val="20"/>
              </w:rPr>
              <w:t xml:space="preserve"> and 1,000 hectares of Bat Do Bamboo Shoot (Van Ho </w:t>
            </w:r>
            <w:proofErr w:type="gramStart"/>
            <w:r w:rsidR="00D14346" w:rsidRPr="00161C8A">
              <w:rPr>
                <w:sz w:val="20"/>
                <w:szCs w:val="20"/>
              </w:rPr>
              <w:t>district</w:t>
            </w:r>
            <w:proofErr w:type="gramEnd"/>
            <w:r w:rsidR="00D14346" w:rsidRPr="00161C8A">
              <w:rPr>
                <w:sz w:val="20"/>
                <w:szCs w:val="20"/>
              </w:rPr>
              <w:t>-Son La province) (GREAT program).</w:t>
            </w:r>
          </w:p>
        </w:tc>
      </w:tr>
      <w:tr w:rsidR="006D0502" w14:paraId="7E1ACCBA" w14:textId="77777777" w:rsidTr="00AE3203">
        <w:trPr>
          <w:tblHeader/>
        </w:trPr>
        <w:tc>
          <w:tcPr>
            <w:tcW w:w="4390" w:type="dxa"/>
          </w:tcPr>
          <w:p w14:paraId="38963DEC" w14:textId="575E581F" w:rsidR="006D0502" w:rsidRPr="00AE3203" w:rsidRDefault="006D0502" w:rsidP="00AE3203">
            <w:pPr>
              <w:spacing w:before="60"/>
              <w:ind w:left="96"/>
              <w:rPr>
                <w:sz w:val="20"/>
                <w:szCs w:val="20"/>
              </w:rPr>
            </w:pPr>
            <w:r w:rsidRPr="00AE3203">
              <w:rPr>
                <w:sz w:val="20"/>
                <w:szCs w:val="20"/>
              </w:rPr>
              <w:t>Design of a new activity on energy security to support economic stability</w:t>
            </w:r>
          </w:p>
        </w:tc>
        <w:tc>
          <w:tcPr>
            <w:tcW w:w="6146" w:type="dxa"/>
          </w:tcPr>
          <w:p w14:paraId="4ABB96EB" w14:textId="3F130660" w:rsidR="002F24E3" w:rsidRPr="00AE3203" w:rsidRDefault="002F24E3" w:rsidP="00AE3203">
            <w:pPr>
              <w:spacing w:before="60"/>
              <w:ind w:left="96"/>
              <w:rPr>
                <w:sz w:val="20"/>
                <w:szCs w:val="20"/>
              </w:rPr>
            </w:pPr>
            <w:r w:rsidRPr="00AE3203">
              <w:rPr>
                <w:sz w:val="20"/>
                <w:szCs w:val="20"/>
              </w:rPr>
              <w:t>Commenced a study on potential to apply public-private partnership models for offshore wind power project development</w:t>
            </w:r>
            <w:r w:rsidR="007D3606" w:rsidRPr="00AE3203">
              <w:rPr>
                <w:sz w:val="20"/>
                <w:szCs w:val="20"/>
              </w:rPr>
              <w:t xml:space="preserve"> </w:t>
            </w:r>
            <w:r w:rsidRPr="00AE3203">
              <w:rPr>
                <w:sz w:val="20"/>
                <w:szCs w:val="20"/>
              </w:rPr>
              <w:t>in Vietnam</w:t>
            </w:r>
            <w:r w:rsidR="00594793" w:rsidRPr="00AE3203">
              <w:rPr>
                <w:sz w:val="20"/>
                <w:szCs w:val="20"/>
              </w:rPr>
              <w:t>.</w:t>
            </w:r>
            <w:r w:rsidRPr="00AE3203">
              <w:rPr>
                <w:sz w:val="20"/>
                <w:szCs w:val="20"/>
              </w:rPr>
              <w:t xml:space="preserve"> </w:t>
            </w:r>
          </w:p>
          <w:p w14:paraId="7C37E174" w14:textId="1DDB325F" w:rsidR="006D0502" w:rsidRPr="00AE3203" w:rsidRDefault="002F24E3" w:rsidP="00AE3203">
            <w:pPr>
              <w:spacing w:before="60"/>
              <w:ind w:left="96"/>
              <w:rPr>
                <w:sz w:val="20"/>
                <w:szCs w:val="20"/>
              </w:rPr>
            </w:pPr>
            <w:r w:rsidRPr="00AE3203">
              <w:rPr>
                <w:sz w:val="20"/>
                <w:szCs w:val="20"/>
              </w:rPr>
              <w:t>Completed the design of an Australian Award Short Training Course on transforming to a competitive energy market in the context of increasing renewable energy integration (under MAP program)</w:t>
            </w:r>
            <w:r w:rsidR="00324D92" w:rsidRPr="00AE3203">
              <w:rPr>
                <w:sz w:val="20"/>
                <w:szCs w:val="20"/>
              </w:rPr>
              <w:t xml:space="preserve">, </w:t>
            </w:r>
            <w:r w:rsidR="00A11078" w:rsidRPr="00AE3203">
              <w:rPr>
                <w:sz w:val="20"/>
                <w:szCs w:val="20"/>
              </w:rPr>
              <w:t>which</w:t>
            </w:r>
            <w:r w:rsidR="00324D92" w:rsidRPr="00AE3203">
              <w:rPr>
                <w:sz w:val="20"/>
                <w:szCs w:val="20"/>
              </w:rPr>
              <w:t xml:space="preserve"> is planned to </w:t>
            </w:r>
            <w:r w:rsidR="00D101B1" w:rsidRPr="00AE3203">
              <w:rPr>
                <w:sz w:val="20"/>
                <w:szCs w:val="20"/>
              </w:rPr>
              <w:t xml:space="preserve">commence </w:t>
            </w:r>
            <w:r w:rsidR="00324D92" w:rsidRPr="00AE3203">
              <w:rPr>
                <w:sz w:val="20"/>
                <w:szCs w:val="20"/>
              </w:rPr>
              <w:t>deliver</w:t>
            </w:r>
            <w:r w:rsidR="00594793" w:rsidRPr="00AE3203">
              <w:rPr>
                <w:sz w:val="20"/>
                <w:szCs w:val="20"/>
              </w:rPr>
              <w:t>y</w:t>
            </w:r>
            <w:r w:rsidR="00324D92" w:rsidRPr="00AE3203">
              <w:rPr>
                <w:sz w:val="20"/>
                <w:szCs w:val="20"/>
              </w:rPr>
              <w:t xml:space="preserve"> in early 2023.</w:t>
            </w:r>
          </w:p>
          <w:p w14:paraId="76D2552E" w14:textId="774DF969" w:rsidR="00324D92" w:rsidRPr="00AE3203" w:rsidRDefault="00324D92" w:rsidP="00AE3203">
            <w:pPr>
              <w:spacing w:before="60"/>
              <w:ind w:left="96"/>
              <w:rPr>
                <w:sz w:val="20"/>
                <w:szCs w:val="20"/>
              </w:rPr>
            </w:pPr>
            <w:r w:rsidRPr="00AE3203">
              <w:rPr>
                <w:sz w:val="20"/>
                <w:szCs w:val="20"/>
              </w:rPr>
              <w:t xml:space="preserve">A roundtable between </w:t>
            </w:r>
            <w:r w:rsidR="00105146">
              <w:rPr>
                <w:sz w:val="20"/>
                <w:szCs w:val="20"/>
              </w:rPr>
              <w:t xml:space="preserve">the </w:t>
            </w:r>
            <w:r w:rsidRPr="00AE3203">
              <w:rPr>
                <w:sz w:val="20"/>
                <w:szCs w:val="20"/>
              </w:rPr>
              <w:t xml:space="preserve">Electricity Regulatory Authority of Vietnam and </w:t>
            </w:r>
            <w:r w:rsidR="00105146">
              <w:rPr>
                <w:sz w:val="20"/>
                <w:szCs w:val="20"/>
              </w:rPr>
              <w:t xml:space="preserve">the </w:t>
            </w:r>
            <w:r w:rsidRPr="00AE3203">
              <w:rPr>
                <w:sz w:val="20"/>
                <w:szCs w:val="20"/>
              </w:rPr>
              <w:t xml:space="preserve">Australian Energy Regulator </w:t>
            </w:r>
            <w:r w:rsidR="00A11078" w:rsidRPr="00AE3203">
              <w:rPr>
                <w:sz w:val="20"/>
                <w:szCs w:val="20"/>
              </w:rPr>
              <w:t xml:space="preserve">was </w:t>
            </w:r>
            <w:r w:rsidRPr="00AE3203">
              <w:rPr>
                <w:sz w:val="20"/>
                <w:szCs w:val="20"/>
              </w:rPr>
              <w:t xml:space="preserve">conducted with support from the </w:t>
            </w:r>
            <w:r w:rsidR="0093695E" w:rsidRPr="00AE3203">
              <w:rPr>
                <w:sz w:val="20"/>
                <w:szCs w:val="20"/>
              </w:rPr>
              <w:t>E</w:t>
            </w:r>
            <w:r w:rsidRPr="00AE3203">
              <w:rPr>
                <w:sz w:val="20"/>
                <w:szCs w:val="20"/>
              </w:rPr>
              <w:t>mbassy</w:t>
            </w:r>
            <w:r w:rsidR="007C7AFF" w:rsidRPr="00AE3203">
              <w:rPr>
                <w:sz w:val="20"/>
                <w:szCs w:val="20"/>
              </w:rPr>
              <w:t>,</w:t>
            </w:r>
            <w:r w:rsidRPr="00AE3203">
              <w:rPr>
                <w:sz w:val="20"/>
                <w:szCs w:val="20"/>
              </w:rPr>
              <w:t xml:space="preserve"> and </w:t>
            </w:r>
            <w:r w:rsidR="00105146">
              <w:rPr>
                <w:sz w:val="20"/>
                <w:szCs w:val="20"/>
              </w:rPr>
              <w:t xml:space="preserve">the </w:t>
            </w:r>
            <w:r w:rsidRPr="00AE3203">
              <w:rPr>
                <w:sz w:val="20"/>
                <w:szCs w:val="20"/>
              </w:rPr>
              <w:t>Partnership for Infrastructure to share</w:t>
            </w:r>
            <w:r w:rsidR="00301C74" w:rsidRPr="00AE3203">
              <w:rPr>
                <w:sz w:val="20"/>
                <w:szCs w:val="20"/>
              </w:rPr>
              <w:t xml:space="preserve"> </w:t>
            </w:r>
            <w:r w:rsidRPr="00AE3203">
              <w:rPr>
                <w:sz w:val="20"/>
                <w:szCs w:val="20"/>
              </w:rPr>
              <w:t xml:space="preserve">experience in </w:t>
            </w:r>
            <w:r w:rsidR="00301C74" w:rsidRPr="00AE3203">
              <w:rPr>
                <w:sz w:val="20"/>
                <w:szCs w:val="20"/>
              </w:rPr>
              <w:t>energy market reform, power network regulation and to discuss future cooperation.</w:t>
            </w:r>
          </w:p>
        </w:tc>
      </w:tr>
    </w:tbl>
    <w:p w14:paraId="3F2619AB" w14:textId="6C832F8A" w:rsidR="00AE2B7B" w:rsidRPr="00AE2B7B" w:rsidRDefault="00AE2B7B" w:rsidP="002E09E8">
      <w:pPr>
        <w:pStyle w:val="Heading3"/>
      </w:pPr>
      <w:r w:rsidRPr="00AE2B7B">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AE3203">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6D0502" w14:paraId="564E6F58" w14:textId="77777777" w:rsidTr="00AE3203">
        <w:tc>
          <w:tcPr>
            <w:tcW w:w="4390" w:type="dxa"/>
          </w:tcPr>
          <w:p w14:paraId="234C1CE4" w14:textId="0C5881B8" w:rsidR="006D0502" w:rsidRPr="00AE3203" w:rsidRDefault="006D0502" w:rsidP="00AE3203">
            <w:pPr>
              <w:spacing w:before="60"/>
              <w:ind w:left="96"/>
              <w:rPr>
                <w:sz w:val="20"/>
                <w:szCs w:val="20"/>
              </w:rPr>
            </w:pPr>
            <w:r w:rsidRPr="00AE3203">
              <w:rPr>
                <w:sz w:val="20"/>
                <w:szCs w:val="20"/>
              </w:rPr>
              <w:t xml:space="preserve">Examples of economic policy or practice taken up by Vietnamese institutions </w:t>
            </w:r>
            <w:proofErr w:type="gramStart"/>
            <w:r w:rsidRPr="00AE3203">
              <w:rPr>
                <w:sz w:val="20"/>
                <w:szCs w:val="20"/>
              </w:rPr>
              <w:t>as a result of</w:t>
            </w:r>
            <w:proofErr w:type="gramEnd"/>
            <w:r w:rsidRPr="00AE3203">
              <w:rPr>
                <w:sz w:val="20"/>
                <w:szCs w:val="20"/>
              </w:rPr>
              <w:t xml:space="preserve"> advice and technical assistance provided</w:t>
            </w:r>
            <w:r w:rsidRPr="00161C8A">
              <w:rPr>
                <w:sz w:val="18"/>
                <w:szCs w:val="18"/>
                <w:vertAlign w:val="superscript"/>
              </w:rPr>
              <w:footnoteReference w:id="7"/>
            </w:r>
          </w:p>
        </w:tc>
        <w:tc>
          <w:tcPr>
            <w:tcW w:w="6146" w:type="dxa"/>
          </w:tcPr>
          <w:p w14:paraId="18C6743B" w14:textId="1CFB176B" w:rsidR="003F6FC4" w:rsidRDefault="003F6FC4" w:rsidP="00AE3203">
            <w:pPr>
              <w:spacing w:before="60"/>
              <w:ind w:left="96"/>
              <w:rPr>
                <w:sz w:val="20"/>
                <w:szCs w:val="20"/>
              </w:rPr>
            </w:pPr>
            <w:r>
              <w:rPr>
                <w:sz w:val="20"/>
                <w:szCs w:val="20"/>
              </w:rPr>
              <w:t>Australia supported:</w:t>
            </w:r>
          </w:p>
          <w:p w14:paraId="16D29521" w14:textId="59F56601" w:rsidR="00C67ACB" w:rsidRPr="00161C8A" w:rsidRDefault="00CE3D9D" w:rsidP="00161C8A">
            <w:pPr>
              <w:pStyle w:val="ListParagraph"/>
              <w:numPr>
                <w:ilvl w:val="0"/>
                <w:numId w:val="46"/>
              </w:numPr>
              <w:spacing w:before="60"/>
              <w:rPr>
                <w:sz w:val="20"/>
                <w:szCs w:val="20"/>
              </w:rPr>
            </w:pPr>
            <w:r w:rsidRPr="00161C8A">
              <w:rPr>
                <w:sz w:val="20"/>
                <w:szCs w:val="20"/>
              </w:rPr>
              <w:t xml:space="preserve">policy briefs to support the Government of Vietnam to </w:t>
            </w:r>
            <w:r w:rsidR="00772A0C" w:rsidRPr="00161C8A">
              <w:rPr>
                <w:sz w:val="20"/>
                <w:szCs w:val="20"/>
              </w:rPr>
              <w:t>influence 12</w:t>
            </w:r>
            <w:r w:rsidR="000B67B0" w:rsidRPr="00161C8A">
              <w:rPr>
                <w:sz w:val="20"/>
                <w:szCs w:val="20"/>
              </w:rPr>
              <w:t xml:space="preserve"> </w:t>
            </w:r>
            <w:r w:rsidRPr="00161C8A">
              <w:rPr>
                <w:sz w:val="20"/>
                <w:szCs w:val="20"/>
              </w:rPr>
              <w:t xml:space="preserve">policies and </w:t>
            </w:r>
            <w:r w:rsidR="000B67B0" w:rsidRPr="00161C8A">
              <w:rPr>
                <w:sz w:val="20"/>
                <w:szCs w:val="20"/>
              </w:rPr>
              <w:t>regulations,</w:t>
            </w:r>
            <w:r w:rsidRPr="00161C8A">
              <w:rPr>
                <w:sz w:val="20"/>
                <w:szCs w:val="20"/>
              </w:rPr>
              <w:t xml:space="preserve"> includ</w:t>
            </w:r>
            <w:r w:rsidR="00261DB3" w:rsidRPr="00161C8A">
              <w:rPr>
                <w:sz w:val="20"/>
                <w:szCs w:val="20"/>
              </w:rPr>
              <w:t>ing</w:t>
            </w:r>
            <w:r w:rsidRPr="00161C8A">
              <w:rPr>
                <w:sz w:val="20"/>
                <w:szCs w:val="20"/>
              </w:rPr>
              <w:t xml:space="preserve"> the Vietnam Social-Economic Development Strategy for 2021-30</w:t>
            </w:r>
            <w:r w:rsidR="00261DB3" w:rsidRPr="00161C8A">
              <w:rPr>
                <w:sz w:val="20"/>
                <w:szCs w:val="20"/>
              </w:rPr>
              <w:t xml:space="preserve"> and</w:t>
            </w:r>
            <w:r w:rsidRPr="00161C8A">
              <w:rPr>
                <w:sz w:val="20"/>
                <w:szCs w:val="20"/>
              </w:rPr>
              <w:t xml:space="preserve"> Resolution on the Medium-Term Public Investment Plan for 2021–25</w:t>
            </w:r>
            <w:r w:rsidR="002300E5" w:rsidRPr="00161C8A">
              <w:rPr>
                <w:sz w:val="20"/>
                <w:szCs w:val="20"/>
              </w:rPr>
              <w:t xml:space="preserve"> (Australia-World Bank Partnership</w:t>
            </w:r>
            <w:proofErr w:type="gramStart"/>
            <w:r w:rsidR="002300E5" w:rsidRPr="00161C8A">
              <w:rPr>
                <w:sz w:val="20"/>
                <w:szCs w:val="20"/>
              </w:rPr>
              <w:t>);</w:t>
            </w:r>
            <w:proofErr w:type="gramEnd"/>
          </w:p>
          <w:p w14:paraId="6223CD74" w14:textId="056637CB" w:rsidR="00C67ACB" w:rsidRPr="00161C8A" w:rsidRDefault="00CE3D9D" w:rsidP="00161C8A">
            <w:pPr>
              <w:pStyle w:val="ListParagraph"/>
              <w:numPr>
                <w:ilvl w:val="0"/>
                <w:numId w:val="46"/>
              </w:numPr>
              <w:spacing w:before="60"/>
              <w:rPr>
                <w:sz w:val="20"/>
                <w:szCs w:val="20"/>
              </w:rPr>
            </w:pPr>
            <w:r w:rsidRPr="00161C8A">
              <w:rPr>
                <w:sz w:val="20"/>
                <w:szCs w:val="20"/>
              </w:rPr>
              <w:t xml:space="preserve">Ministry of Planning and Investment to formulate Vietnam’s </w:t>
            </w:r>
            <w:r w:rsidR="003F6FC4" w:rsidRPr="00161C8A">
              <w:rPr>
                <w:sz w:val="20"/>
                <w:szCs w:val="20"/>
              </w:rPr>
              <w:t xml:space="preserve">three </w:t>
            </w:r>
            <w:r w:rsidRPr="00161C8A">
              <w:rPr>
                <w:sz w:val="20"/>
                <w:szCs w:val="20"/>
              </w:rPr>
              <w:t>National Target Programs for</w:t>
            </w:r>
            <w:r w:rsidR="000B67B0" w:rsidRPr="00161C8A">
              <w:rPr>
                <w:sz w:val="20"/>
                <w:szCs w:val="20"/>
              </w:rPr>
              <w:t xml:space="preserve"> </w:t>
            </w:r>
            <w:r w:rsidRPr="00161C8A">
              <w:rPr>
                <w:sz w:val="20"/>
                <w:szCs w:val="20"/>
              </w:rPr>
              <w:t>2021-25</w:t>
            </w:r>
            <w:r w:rsidR="003F6FC4" w:rsidRPr="00161C8A">
              <w:rPr>
                <w:sz w:val="20"/>
                <w:szCs w:val="20"/>
              </w:rPr>
              <w:t xml:space="preserve">, adopting </w:t>
            </w:r>
            <w:r w:rsidRPr="00161C8A">
              <w:rPr>
                <w:sz w:val="20"/>
                <w:szCs w:val="20"/>
              </w:rPr>
              <w:t xml:space="preserve">decentralisation, </w:t>
            </w:r>
            <w:r w:rsidRPr="00161C8A">
              <w:rPr>
                <w:sz w:val="20"/>
                <w:szCs w:val="20"/>
              </w:rPr>
              <w:lastRenderedPageBreak/>
              <w:t xml:space="preserve">participation, market-based solutions and gender mainstreaming as key principles </w:t>
            </w:r>
            <w:r w:rsidR="003F6FC4" w:rsidRPr="00161C8A">
              <w:rPr>
                <w:sz w:val="20"/>
                <w:szCs w:val="20"/>
              </w:rPr>
              <w:t>(GREAT, in partnership with CARE Vietnam</w:t>
            </w:r>
            <w:proofErr w:type="gramStart"/>
            <w:r w:rsidR="003F6FC4" w:rsidRPr="00161C8A">
              <w:rPr>
                <w:sz w:val="20"/>
                <w:szCs w:val="20"/>
              </w:rPr>
              <w:t>);</w:t>
            </w:r>
            <w:proofErr w:type="gramEnd"/>
          </w:p>
          <w:p w14:paraId="5A50515E" w14:textId="102BD8A0" w:rsidR="008C76E2" w:rsidRPr="00161C8A" w:rsidRDefault="00C81FC3" w:rsidP="00161C8A">
            <w:pPr>
              <w:pStyle w:val="ListParagraph"/>
              <w:numPr>
                <w:ilvl w:val="0"/>
                <w:numId w:val="46"/>
              </w:numPr>
              <w:spacing w:before="60"/>
              <w:rPr>
                <w:sz w:val="20"/>
                <w:szCs w:val="20"/>
              </w:rPr>
            </w:pPr>
            <w:r w:rsidRPr="00161C8A">
              <w:rPr>
                <w:sz w:val="20"/>
                <w:szCs w:val="20"/>
              </w:rPr>
              <w:t>G</w:t>
            </w:r>
            <w:r w:rsidR="00A83963" w:rsidRPr="00161C8A">
              <w:rPr>
                <w:sz w:val="20"/>
                <w:szCs w:val="20"/>
              </w:rPr>
              <w:t xml:space="preserve">overnment </w:t>
            </w:r>
            <w:r w:rsidRPr="00161C8A">
              <w:rPr>
                <w:sz w:val="20"/>
                <w:szCs w:val="20"/>
              </w:rPr>
              <w:t>o</w:t>
            </w:r>
            <w:r w:rsidR="00A83963" w:rsidRPr="00161C8A">
              <w:rPr>
                <w:sz w:val="20"/>
                <w:szCs w:val="20"/>
              </w:rPr>
              <w:t xml:space="preserve">f </w:t>
            </w:r>
            <w:r w:rsidRPr="00161C8A">
              <w:rPr>
                <w:sz w:val="20"/>
                <w:szCs w:val="20"/>
              </w:rPr>
              <w:t>V</w:t>
            </w:r>
            <w:r w:rsidR="00A83963" w:rsidRPr="00161C8A">
              <w:rPr>
                <w:sz w:val="20"/>
                <w:szCs w:val="20"/>
              </w:rPr>
              <w:t xml:space="preserve">ietnam </w:t>
            </w:r>
            <w:r w:rsidRPr="00161C8A">
              <w:rPr>
                <w:sz w:val="20"/>
                <w:szCs w:val="20"/>
              </w:rPr>
              <w:t xml:space="preserve">to </w:t>
            </w:r>
            <w:r w:rsidR="00731F14" w:rsidRPr="00161C8A">
              <w:rPr>
                <w:sz w:val="20"/>
                <w:szCs w:val="20"/>
              </w:rPr>
              <w:t>accelerate</w:t>
            </w:r>
            <w:r w:rsidRPr="00161C8A">
              <w:rPr>
                <w:sz w:val="20"/>
                <w:szCs w:val="20"/>
              </w:rPr>
              <w:t xml:space="preserve"> public investment disbursement and support</w:t>
            </w:r>
            <w:r w:rsidR="009D3E4D" w:rsidRPr="00161C8A">
              <w:rPr>
                <w:sz w:val="20"/>
                <w:szCs w:val="20"/>
              </w:rPr>
              <w:t xml:space="preserve"> </w:t>
            </w:r>
            <w:r w:rsidRPr="00161C8A">
              <w:rPr>
                <w:sz w:val="20"/>
                <w:szCs w:val="20"/>
              </w:rPr>
              <w:t>institutional reform</w:t>
            </w:r>
            <w:r w:rsidR="003F6FC4" w:rsidRPr="00161C8A">
              <w:rPr>
                <w:sz w:val="20"/>
                <w:szCs w:val="20"/>
              </w:rPr>
              <w:t>, launching</w:t>
            </w:r>
            <w:r w:rsidR="00A83963" w:rsidRPr="00161C8A">
              <w:rPr>
                <w:sz w:val="20"/>
                <w:szCs w:val="20"/>
              </w:rPr>
              <w:t xml:space="preserve"> the </w:t>
            </w:r>
            <w:r w:rsidR="008C76E2" w:rsidRPr="00161C8A">
              <w:rPr>
                <w:sz w:val="20"/>
                <w:szCs w:val="20"/>
              </w:rPr>
              <w:t>Logistics Industry Skills Forecast (ISF)</w:t>
            </w:r>
            <w:r w:rsidR="003F6FC4" w:rsidRPr="00161C8A">
              <w:rPr>
                <w:sz w:val="20"/>
                <w:szCs w:val="20"/>
              </w:rPr>
              <w:t xml:space="preserve"> report, which identifies </w:t>
            </w:r>
            <w:r w:rsidR="008C76E2" w:rsidRPr="00161C8A">
              <w:rPr>
                <w:sz w:val="20"/>
                <w:szCs w:val="20"/>
              </w:rPr>
              <w:t>workforce</w:t>
            </w:r>
            <w:r w:rsidR="005C07C4" w:rsidRPr="00161C8A">
              <w:rPr>
                <w:sz w:val="20"/>
                <w:szCs w:val="20"/>
              </w:rPr>
              <w:t xml:space="preserve"> </w:t>
            </w:r>
            <w:r w:rsidR="008C76E2" w:rsidRPr="00161C8A">
              <w:rPr>
                <w:sz w:val="20"/>
                <w:szCs w:val="20"/>
              </w:rPr>
              <w:t xml:space="preserve">needs and </w:t>
            </w:r>
            <w:r w:rsidR="00A83963" w:rsidRPr="00161C8A">
              <w:rPr>
                <w:sz w:val="20"/>
                <w:szCs w:val="20"/>
              </w:rPr>
              <w:t>improved the</w:t>
            </w:r>
            <w:r w:rsidR="008C76E2" w:rsidRPr="00161C8A">
              <w:rPr>
                <w:sz w:val="20"/>
                <w:szCs w:val="20"/>
              </w:rPr>
              <w:t xml:space="preserve"> VET curriculum</w:t>
            </w:r>
            <w:r w:rsidR="005C07C4" w:rsidRPr="00161C8A">
              <w:rPr>
                <w:sz w:val="20"/>
                <w:szCs w:val="20"/>
              </w:rPr>
              <w:t xml:space="preserve"> </w:t>
            </w:r>
            <w:r w:rsidR="008C76E2" w:rsidRPr="00161C8A">
              <w:rPr>
                <w:sz w:val="20"/>
                <w:szCs w:val="20"/>
              </w:rPr>
              <w:t>and delivery in the logistics sector</w:t>
            </w:r>
            <w:r w:rsidR="003F6FC4" w:rsidRPr="00161C8A">
              <w:rPr>
                <w:sz w:val="20"/>
                <w:szCs w:val="20"/>
              </w:rPr>
              <w:t xml:space="preserve"> (Aus4Reform).</w:t>
            </w:r>
          </w:p>
        </w:tc>
      </w:tr>
      <w:tr w:rsidR="006D0502" w14:paraId="1EAE2D66" w14:textId="77777777" w:rsidTr="00AE3203">
        <w:tc>
          <w:tcPr>
            <w:tcW w:w="4390" w:type="dxa"/>
          </w:tcPr>
          <w:p w14:paraId="65838CB2" w14:textId="12EC6601" w:rsidR="006D0502" w:rsidRPr="00AE3203" w:rsidRDefault="006D0502" w:rsidP="00AE3203">
            <w:pPr>
              <w:spacing w:before="60"/>
              <w:ind w:left="96"/>
              <w:rPr>
                <w:sz w:val="20"/>
                <w:szCs w:val="20"/>
              </w:rPr>
            </w:pPr>
            <w:r w:rsidRPr="00AE3203">
              <w:rPr>
                <w:sz w:val="20"/>
                <w:szCs w:val="20"/>
              </w:rPr>
              <w:lastRenderedPageBreak/>
              <w:t>Evidence of increased investment in infrastructure</w:t>
            </w:r>
          </w:p>
        </w:tc>
        <w:tc>
          <w:tcPr>
            <w:tcW w:w="6146" w:type="dxa"/>
          </w:tcPr>
          <w:p w14:paraId="02B96D99" w14:textId="456805D0" w:rsidR="00431A74" w:rsidRPr="00AE3203" w:rsidRDefault="00431A74" w:rsidP="00AE3203">
            <w:pPr>
              <w:spacing w:before="60"/>
              <w:ind w:left="96"/>
              <w:rPr>
                <w:sz w:val="20"/>
                <w:szCs w:val="20"/>
              </w:rPr>
            </w:pPr>
            <w:r w:rsidRPr="00AE3203">
              <w:rPr>
                <w:sz w:val="20"/>
                <w:szCs w:val="20"/>
              </w:rPr>
              <w:t>Aus4Transport</w:t>
            </w:r>
            <w:r w:rsidR="00E772D3" w:rsidRPr="00AE3203">
              <w:rPr>
                <w:sz w:val="20"/>
                <w:szCs w:val="20"/>
              </w:rPr>
              <w:t xml:space="preserve">, since commencing implementation, </w:t>
            </w:r>
            <w:r w:rsidR="00985E85" w:rsidRPr="00AE3203">
              <w:rPr>
                <w:sz w:val="20"/>
                <w:szCs w:val="20"/>
              </w:rPr>
              <w:t>leveraged</w:t>
            </w:r>
            <w:r w:rsidRPr="00AE3203">
              <w:rPr>
                <w:sz w:val="20"/>
                <w:szCs w:val="20"/>
              </w:rPr>
              <w:t xml:space="preserve"> an additional infrastructure investment of over USD500 million, achieving the original target of three major construction projects to be funded by Multilateral Development Banks. </w:t>
            </w:r>
          </w:p>
        </w:tc>
      </w:tr>
      <w:tr w:rsidR="006D0502" w14:paraId="4DF45926" w14:textId="77777777" w:rsidTr="00AE3203">
        <w:tc>
          <w:tcPr>
            <w:tcW w:w="4390" w:type="dxa"/>
          </w:tcPr>
          <w:p w14:paraId="0B1E2DC4" w14:textId="07110315" w:rsidR="006D0502" w:rsidRPr="00AE3203" w:rsidRDefault="006D0502" w:rsidP="00AE3203">
            <w:pPr>
              <w:spacing w:before="60"/>
              <w:ind w:left="96"/>
              <w:rPr>
                <w:sz w:val="20"/>
                <w:szCs w:val="20"/>
              </w:rPr>
            </w:pPr>
            <w:r w:rsidRPr="00AE3203">
              <w:rPr>
                <w:sz w:val="20"/>
                <w:szCs w:val="20"/>
              </w:rPr>
              <w:t>Number of participants provided with improved business, technical or management skills for improved workforce participation</w:t>
            </w:r>
          </w:p>
        </w:tc>
        <w:tc>
          <w:tcPr>
            <w:tcW w:w="6146" w:type="dxa"/>
          </w:tcPr>
          <w:p w14:paraId="3DB423C5" w14:textId="20C7EA67" w:rsidR="002C355A" w:rsidRPr="00AE3203" w:rsidRDefault="008B42ED" w:rsidP="00AE3203">
            <w:pPr>
              <w:spacing w:before="60"/>
              <w:ind w:left="96"/>
              <w:rPr>
                <w:sz w:val="20"/>
                <w:szCs w:val="20"/>
              </w:rPr>
            </w:pPr>
            <w:r>
              <w:rPr>
                <w:sz w:val="20"/>
                <w:szCs w:val="20"/>
              </w:rPr>
              <w:t>Twenty-five</w:t>
            </w:r>
            <w:r w:rsidR="002C355A" w:rsidRPr="00AE3203">
              <w:rPr>
                <w:sz w:val="20"/>
                <w:szCs w:val="20"/>
              </w:rPr>
              <w:t xml:space="preserve"> participants</w:t>
            </w:r>
            <w:r w:rsidR="008C76E2" w:rsidRPr="00AE3203">
              <w:rPr>
                <w:sz w:val="20"/>
                <w:szCs w:val="20"/>
              </w:rPr>
              <w:t xml:space="preserve">, including </w:t>
            </w:r>
            <w:r w:rsidR="002C355A" w:rsidRPr="00AE3203">
              <w:rPr>
                <w:sz w:val="20"/>
                <w:szCs w:val="20"/>
              </w:rPr>
              <w:t>17</w:t>
            </w:r>
            <w:r w:rsidR="008C76E2" w:rsidRPr="00AE3203">
              <w:rPr>
                <w:sz w:val="20"/>
                <w:szCs w:val="20"/>
              </w:rPr>
              <w:t xml:space="preserve"> women, </w:t>
            </w:r>
            <w:r w:rsidR="002C355A" w:rsidRPr="00AE3203">
              <w:rPr>
                <w:sz w:val="20"/>
                <w:szCs w:val="20"/>
              </w:rPr>
              <w:t>completed an Australia Award Short Course on Competency-based Training and Assessment Strategies in Logistics in 2021.</w:t>
            </w:r>
          </w:p>
          <w:p w14:paraId="03FDD7AA" w14:textId="5B670FF8" w:rsidR="00431A74" w:rsidRPr="00AE3203" w:rsidRDefault="00431A74" w:rsidP="00AE3203">
            <w:pPr>
              <w:spacing w:before="60"/>
              <w:ind w:left="96"/>
              <w:rPr>
                <w:sz w:val="20"/>
                <w:szCs w:val="20"/>
              </w:rPr>
            </w:pPr>
            <w:r w:rsidRPr="00AE3203">
              <w:rPr>
                <w:sz w:val="20"/>
                <w:szCs w:val="20"/>
              </w:rPr>
              <w:t>740 people in the transport infrastructure sector have been trained covering a range of priority topics relevant to project development and implementation</w:t>
            </w:r>
            <w:r w:rsidR="00880418" w:rsidRPr="00AE3203">
              <w:rPr>
                <w:sz w:val="20"/>
                <w:szCs w:val="20"/>
              </w:rPr>
              <w:t>.</w:t>
            </w:r>
          </w:p>
          <w:p w14:paraId="3E63E447" w14:textId="1F917339" w:rsidR="00A27594" w:rsidRPr="00AE3203" w:rsidRDefault="00E96F48" w:rsidP="00AE3203">
            <w:pPr>
              <w:spacing w:before="60"/>
              <w:ind w:left="96"/>
              <w:rPr>
                <w:sz w:val="20"/>
                <w:szCs w:val="20"/>
              </w:rPr>
            </w:pPr>
            <w:r>
              <w:rPr>
                <w:sz w:val="20"/>
                <w:szCs w:val="20"/>
              </w:rPr>
              <w:t>Thirty-four</w:t>
            </w:r>
            <w:r w:rsidRPr="00AE3203">
              <w:rPr>
                <w:sz w:val="20"/>
                <w:szCs w:val="20"/>
              </w:rPr>
              <w:t xml:space="preserve"> </w:t>
            </w:r>
            <w:r w:rsidR="00A27594" w:rsidRPr="00AE3203">
              <w:rPr>
                <w:sz w:val="20"/>
                <w:szCs w:val="20"/>
              </w:rPr>
              <w:t>HER TURN project participants graduated in 2021-22 with Australian VET qualifications in hospitality and transitioned 100</w:t>
            </w:r>
            <w:r w:rsidR="00A7799E">
              <w:rPr>
                <w:sz w:val="20"/>
                <w:szCs w:val="20"/>
              </w:rPr>
              <w:t xml:space="preserve"> per cent</w:t>
            </w:r>
            <w:r w:rsidR="00A27594" w:rsidRPr="00AE3203">
              <w:rPr>
                <w:sz w:val="20"/>
                <w:szCs w:val="20"/>
              </w:rPr>
              <w:t xml:space="preserve"> to employment. </w:t>
            </w:r>
          </w:p>
          <w:p w14:paraId="2107AC26" w14:textId="1392114C" w:rsidR="00A27594" w:rsidRPr="00AE3203" w:rsidRDefault="00A27594" w:rsidP="00AE3203">
            <w:pPr>
              <w:spacing w:before="60"/>
              <w:ind w:left="96"/>
              <w:rPr>
                <w:sz w:val="20"/>
                <w:szCs w:val="20"/>
              </w:rPr>
            </w:pPr>
            <w:r w:rsidRPr="00AE3203">
              <w:rPr>
                <w:sz w:val="20"/>
                <w:szCs w:val="20"/>
              </w:rPr>
              <w:t xml:space="preserve">GREAT supported training of 27,634 women in phase </w:t>
            </w:r>
            <w:r w:rsidR="0059161E" w:rsidRPr="00AE3203">
              <w:rPr>
                <w:sz w:val="20"/>
                <w:szCs w:val="20"/>
              </w:rPr>
              <w:t>one</w:t>
            </w:r>
            <w:r w:rsidR="008724E9" w:rsidRPr="00AE3203">
              <w:rPr>
                <w:sz w:val="20"/>
                <w:szCs w:val="20"/>
              </w:rPr>
              <w:t xml:space="preserve"> </w:t>
            </w:r>
            <w:r w:rsidR="000179BB" w:rsidRPr="00AE3203">
              <w:rPr>
                <w:sz w:val="20"/>
                <w:szCs w:val="20"/>
              </w:rPr>
              <w:t>(20</w:t>
            </w:r>
            <w:r w:rsidR="00B81DCF" w:rsidRPr="00AE3203">
              <w:rPr>
                <w:sz w:val="20"/>
                <w:szCs w:val="20"/>
              </w:rPr>
              <w:t xml:space="preserve">17-22) </w:t>
            </w:r>
            <w:r w:rsidRPr="00AE3203">
              <w:rPr>
                <w:sz w:val="20"/>
                <w:szCs w:val="20"/>
              </w:rPr>
              <w:t>on agricultural production, tourism service</w:t>
            </w:r>
            <w:r w:rsidR="00823C91">
              <w:rPr>
                <w:sz w:val="20"/>
                <w:szCs w:val="20"/>
              </w:rPr>
              <w:t xml:space="preserve"> and</w:t>
            </w:r>
            <w:r w:rsidRPr="00AE3203">
              <w:rPr>
                <w:sz w:val="20"/>
                <w:szCs w:val="20"/>
              </w:rPr>
              <w:t xml:space="preserve"> business management</w:t>
            </w:r>
            <w:r w:rsidR="005E4294" w:rsidRPr="00AE3203">
              <w:rPr>
                <w:sz w:val="20"/>
                <w:szCs w:val="20"/>
              </w:rPr>
              <w:t>.</w:t>
            </w:r>
          </w:p>
          <w:p w14:paraId="1FCE71E6" w14:textId="6B81FA20" w:rsidR="00B218ED" w:rsidRPr="00AE3203" w:rsidRDefault="00E96F48" w:rsidP="00AE3203">
            <w:pPr>
              <w:spacing w:before="60"/>
              <w:ind w:left="96"/>
              <w:rPr>
                <w:sz w:val="20"/>
                <w:szCs w:val="20"/>
              </w:rPr>
            </w:pPr>
            <w:r>
              <w:rPr>
                <w:sz w:val="20"/>
                <w:szCs w:val="20"/>
              </w:rPr>
              <w:t>Nineteen</w:t>
            </w:r>
            <w:r w:rsidRPr="00AE3203">
              <w:rPr>
                <w:sz w:val="20"/>
                <w:szCs w:val="20"/>
              </w:rPr>
              <w:t xml:space="preserve"> </w:t>
            </w:r>
            <w:r w:rsidR="00B218ED" w:rsidRPr="00AE3203">
              <w:rPr>
                <w:sz w:val="20"/>
                <w:szCs w:val="20"/>
              </w:rPr>
              <w:t>mid-career Vietnamese scientists (</w:t>
            </w:r>
            <w:r w:rsidR="00823C91">
              <w:rPr>
                <w:sz w:val="20"/>
                <w:szCs w:val="20"/>
              </w:rPr>
              <w:t>seven</w:t>
            </w:r>
            <w:r w:rsidR="00B218ED" w:rsidRPr="00AE3203">
              <w:rPr>
                <w:sz w:val="20"/>
                <w:szCs w:val="20"/>
              </w:rPr>
              <w:t xml:space="preserve"> female &amp; 12 male) have participated in the John Dillon Fellowship (JDF) and been trained in leadership and scientific management skills.</w:t>
            </w:r>
          </w:p>
        </w:tc>
      </w:tr>
      <w:tr w:rsidR="006D0502" w14:paraId="51A15CF9" w14:textId="77777777" w:rsidTr="00AE3203">
        <w:tc>
          <w:tcPr>
            <w:tcW w:w="4390" w:type="dxa"/>
          </w:tcPr>
          <w:p w14:paraId="6CCB0214" w14:textId="3DA0A214" w:rsidR="006D0502" w:rsidRPr="00AE3203" w:rsidRDefault="006D0502" w:rsidP="00AE3203">
            <w:pPr>
              <w:spacing w:before="60"/>
              <w:ind w:left="96"/>
              <w:rPr>
                <w:sz w:val="20"/>
                <w:szCs w:val="20"/>
              </w:rPr>
            </w:pPr>
            <w:r w:rsidRPr="00AE3203">
              <w:rPr>
                <w:sz w:val="20"/>
                <w:szCs w:val="20"/>
              </w:rPr>
              <w:t>Number of women provided with economic empowerment opportunities including through business or financial support</w:t>
            </w:r>
            <w:r w:rsidRPr="00161C8A">
              <w:rPr>
                <w:sz w:val="18"/>
                <w:szCs w:val="18"/>
                <w:vertAlign w:val="superscript"/>
              </w:rPr>
              <w:footnoteReference w:id="8"/>
            </w:r>
            <w:r w:rsidRPr="00161C8A">
              <w:rPr>
                <w:sz w:val="18"/>
                <w:szCs w:val="18"/>
                <w:vertAlign w:val="superscript"/>
              </w:rPr>
              <w:t xml:space="preserve"> </w:t>
            </w:r>
            <w:r w:rsidRPr="00AE3203">
              <w:rPr>
                <w:sz w:val="20"/>
                <w:szCs w:val="20"/>
              </w:rPr>
              <w:t xml:space="preserve"> </w:t>
            </w:r>
          </w:p>
          <w:p w14:paraId="3C75C9F9" w14:textId="64FD8458" w:rsidR="006D0502" w:rsidRPr="00AE3203" w:rsidRDefault="006D0502" w:rsidP="00AE3203">
            <w:pPr>
              <w:spacing w:before="60"/>
              <w:ind w:left="96"/>
              <w:rPr>
                <w:sz w:val="20"/>
                <w:szCs w:val="20"/>
              </w:rPr>
            </w:pPr>
          </w:p>
        </w:tc>
        <w:tc>
          <w:tcPr>
            <w:tcW w:w="6146" w:type="dxa"/>
          </w:tcPr>
          <w:p w14:paraId="0CD76FFF" w14:textId="5B0B6D75" w:rsidR="00764499" w:rsidRPr="00AE3203" w:rsidRDefault="00764499" w:rsidP="00AE3203">
            <w:pPr>
              <w:spacing w:before="60"/>
              <w:ind w:left="96"/>
              <w:rPr>
                <w:sz w:val="20"/>
                <w:szCs w:val="20"/>
              </w:rPr>
            </w:pPr>
            <w:r w:rsidRPr="00AE3203">
              <w:rPr>
                <w:sz w:val="20"/>
                <w:szCs w:val="20"/>
              </w:rPr>
              <w:t>Three women entrepreneurs received investment capital through deals completed by Investing in Women (IW) partners in 2021-22.</w:t>
            </w:r>
          </w:p>
          <w:p w14:paraId="3FF03C5D" w14:textId="77777777" w:rsidR="00764499" w:rsidRPr="00AE3203" w:rsidRDefault="00764499" w:rsidP="00AE3203">
            <w:pPr>
              <w:spacing w:before="60"/>
              <w:ind w:left="96"/>
              <w:rPr>
                <w:sz w:val="20"/>
                <w:szCs w:val="20"/>
              </w:rPr>
            </w:pPr>
            <w:r w:rsidRPr="00AE3203">
              <w:rPr>
                <w:sz w:val="20"/>
                <w:szCs w:val="20"/>
              </w:rPr>
              <w:t>Six women entrepreneurs received technical business support from IW partners in 2021-22, following on from investment deals completed by IW partners in prior years.</w:t>
            </w:r>
          </w:p>
          <w:p w14:paraId="7E48A000" w14:textId="7465883F" w:rsidR="00764499" w:rsidRPr="00AE3203" w:rsidRDefault="0043126D" w:rsidP="00AE3203">
            <w:pPr>
              <w:spacing w:before="60"/>
              <w:ind w:left="96"/>
              <w:rPr>
                <w:sz w:val="20"/>
                <w:szCs w:val="20"/>
              </w:rPr>
            </w:pPr>
            <w:r>
              <w:rPr>
                <w:sz w:val="20"/>
                <w:szCs w:val="20"/>
              </w:rPr>
              <w:t>Ninety-one</w:t>
            </w:r>
            <w:r w:rsidRPr="00AE3203">
              <w:rPr>
                <w:sz w:val="20"/>
                <w:szCs w:val="20"/>
              </w:rPr>
              <w:t xml:space="preserve"> </w:t>
            </w:r>
            <w:r w:rsidR="00764499" w:rsidRPr="00AE3203">
              <w:rPr>
                <w:sz w:val="20"/>
                <w:szCs w:val="20"/>
              </w:rPr>
              <w:t>women entrepreneurs received technical assistance support from IW partners as part of IW program in 2021-22, not linked to any investment deal.</w:t>
            </w:r>
          </w:p>
          <w:p w14:paraId="0DD22350" w14:textId="60730FDF" w:rsidR="00A27594" w:rsidRPr="00AE3203" w:rsidRDefault="00764499" w:rsidP="00AE3203">
            <w:pPr>
              <w:spacing w:before="60"/>
              <w:ind w:left="96"/>
              <w:rPr>
                <w:sz w:val="20"/>
                <w:szCs w:val="20"/>
              </w:rPr>
            </w:pPr>
            <w:r w:rsidRPr="00AE3203">
              <w:rPr>
                <w:sz w:val="20"/>
                <w:szCs w:val="20"/>
              </w:rPr>
              <w:t>EMPOWER project built the business skills of 180 women, mainly midwives, to operate their own SRH small business.</w:t>
            </w:r>
          </w:p>
        </w:tc>
      </w:tr>
      <w:tr w:rsidR="006D0502" w14:paraId="2A3D6AB5" w14:textId="77777777" w:rsidTr="00AE3203">
        <w:tc>
          <w:tcPr>
            <w:tcW w:w="4390" w:type="dxa"/>
          </w:tcPr>
          <w:p w14:paraId="44EC2870" w14:textId="0596C991" w:rsidR="006D0502" w:rsidRPr="00AE3203" w:rsidRDefault="006D0502" w:rsidP="00AE3203">
            <w:pPr>
              <w:spacing w:before="60"/>
              <w:ind w:left="96"/>
              <w:rPr>
                <w:sz w:val="20"/>
                <w:szCs w:val="20"/>
              </w:rPr>
            </w:pPr>
            <w:r w:rsidRPr="00AE3203">
              <w:rPr>
                <w:sz w:val="20"/>
                <w:szCs w:val="20"/>
              </w:rPr>
              <w:t>Examples of partnering with the private sector and other partners (or government) to ensure supply lines are open to promote the utilisation of FTA provisions and to support increased trade</w:t>
            </w:r>
            <w:r w:rsidRPr="00161C8A">
              <w:rPr>
                <w:sz w:val="16"/>
                <w:szCs w:val="16"/>
                <w:vertAlign w:val="superscript"/>
              </w:rPr>
              <w:footnoteReference w:id="9"/>
            </w:r>
            <w:r w:rsidRPr="00161C8A">
              <w:rPr>
                <w:sz w:val="16"/>
                <w:szCs w:val="16"/>
                <w:vertAlign w:val="superscript"/>
              </w:rPr>
              <w:t xml:space="preserve"> </w:t>
            </w:r>
            <w:r w:rsidRPr="00AE3203">
              <w:rPr>
                <w:sz w:val="20"/>
                <w:szCs w:val="20"/>
              </w:rPr>
              <w:t xml:space="preserve"> </w:t>
            </w:r>
          </w:p>
        </w:tc>
        <w:tc>
          <w:tcPr>
            <w:tcW w:w="6146" w:type="dxa"/>
          </w:tcPr>
          <w:p w14:paraId="6203B561" w14:textId="1B489940" w:rsidR="00FF516D" w:rsidRPr="00AE3203" w:rsidRDefault="00FF516D" w:rsidP="00AE3203">
            <w:pPr>
              <w:spacing w:before="60"/>
              <w:ind w:left="96"/>
              <w:rPr>
                <w:sz w:val="20"/>
                <w:szCs w:val="20"/>
              </w:rPr>
            </w:pPr>
            <w:r w:rsidRPr="00AE3203">
              <w:rPr>
                <w:sz w:val="20"/>
                <w:szCs w:val="20"/>
              </w:rPr>
              <w:t>The Project Vegetable Value Chain "</w:t>
            </w:r>
            <w:proofErr w:type="spellStart"/>
            <w:r w:rsidRPr="00AE3203">
              <w:rPr>
                <w:sz w:val="20"/>
                <w:szCs w:val="20"/>
              </w:rPr>
              <w:t>Coolbot</w:t>
            </w:r>
            <w:proofErr w:type="spellEnd"/>
            <w:r w:rsidRPr="00AE3203">
              <w:rPr>
                <w:sz w:val="20"/>
                <w:szCs w:val="20"/>
              </w:rPr>
              <w:t>" reduc</w:t>
            </w:r>
            <w:r w:rsidR="001572EC" w:rsidRPr="00AE3203">
              <w:rPr>
                <w:sz w:val="20"/>
                <w:szCs w:val="20"/>
              </w:rPr>
              <w:t>ed</w:t>
            </w:r>
            <w:r w:rsidRPr="00AE3203">
              <w:rPr>
                <w:sz w:val="20"/>
                <w:szCs w:val="20"/>
              </w:rPr>
              <w:t xml:space="preserve"> post-harvest</w:t>
            </w:r>
            <w:r w:rsidR="00EE30BE" w:rsidRPr="00AE3203">
              <w:rPr>
                <w:sz w:val="20"/>
                <w:szCs w:val="20"/>
              </w:rPr>
              <w:t xml:space="preserve"> </w:t>
            </w:r>
            <w:r w:rsidRPr="00AE3203">
              <w:rPr>
                <w:sz w:val="20"/>
                <w:szCs w:val="20"/>
              </w:rPr>
              <w:t>losses by 75</w:t>
            </w:r>
            <w:r w:rsidR="003E5F68">
              <w:rPr>
                <w:sz w:val="20"/>
                <w:szCs w:val="20"/>
              </w:rPr>
              <w:t xml:space="preserve"> per cent</w:t>
            </w:r>
            <w:r w:rsidR="003E5F68" w:rsidRPr="00AE3203">
              <w:rPr>
                <w:sz w:val="20"/>
                <w:szCs w:val="20"/>
              </w:rPr>
              <w:t xml:space="preserve">, </w:t>
            </w:r>
            <w:r w:rsidRPr="00AE3203">
              <w:rPr>
                <w:sz w:val="20"/>
                <w:szCs w:val="20"/>
              </w:rPr>
              <w:t>improving product quality and shelf life,</w:t>
            </w:r>
            <w:r w:rsidR="00EE30BE" w:rsidRPr="00AE3203">
              <w:rPr>
                <w:sz w:val="20"/>
                <w:szCs w:val="20"/>
              </w:rPr>
              <w:t xml:space="preserve"> </w:t>
            </w:r>
            <w:r w:rsidRPr="00AE3203">
              <w:rPr>
                <w:sz w:val="20"/>
                <w:szCs w:val="20"/>
              </w:rPr>
              <w:t>increasing average prices leading to increased gross</w:t>
            </w:r>
            <w:r w:rsidR="00EE30BE" w:rsidRPr="00AE3203">
              <w:rPr>
                <w:sz w:val="20"/>
                <w:szCs w:val="20"/>
              </w:rPr>
              <w:t xml:space="preserve"> </w:t>
            </w:r>
            <w:r w:rsidRPr="00AE3203">
              <w:rPr>
                <w:sz w:val="20"/>
                <w:szCs w:val="20"/>
              </w:rPr>
              <w:t>revenue by 20-30</w:t>
            </w:r>
            <w:r w:rsidR="003E5F68">
              <w:rPr>
                <w:sz w:val="20"/>
                <w:szCs w:val="20"/>
              </w:rPr>
              <w:t xml:space="preserve"> per cent</w:t>
            </w:r>
            <w:r w:rsidRPr="00AE3203">
              <w:rPr>
                <w:sz w:val="20"/>
                <w:szCs w:val="20"/>
              </w:rPr>
              <w:t xml:space="preserve">. </w:t>
            </w:r>
          </w:p>
          <w:p w14:paraId="383D2F15" w14:textId="15D12123" w:rsidR="003633D5" w:rsidRPr="00AE3203" w:rsidRDefault="003633D5" w:rsidP="00AE3203">
            <w:pPr>
              <w:spacing w:before="60"/>
              <w:ind w:left="96"/>
              <w:rPr>
                <w:sz w:val="20"/>
                <w:szCs w:val="20"/>
              </w:rPr>
            </w:pPr>
            <w:r w:rsidRPr="00AE3203">
              <w:rPr>
                <w:sz w:val="20"/>
                <w:szCs w:val="20"/>
              </w:rPr>
              <w:t>Working with the Logistics Industry Reference Council, we are engaging with the private sector to influence skills development, improve the quality of training, thereby improving the skills and productivity of the workforce.</w:t>
            </w:r>
          </w:p>
          <w:p w14:paraId="32D82CDA" w14:textId="7628C501" w:rsidR="006D0502" w:rsidRPr="00AE3203" w:rsidRDefault="00A27594" w:rsidP="00AE3203">
            <w:pPr>
              <w:spacing w:before="60"/>
              <w:ind w:left="96"/>
              <w:rPr>
                <w:sz w:val="20"/>
                <w:szCs w:val="20"/>
              </w:rPr>
            </w:pPr>
            <w:r w:rsidRPr="00AE3203">
              <w:rPr>
                <w:sz w:val="20"/>
                <w:szCs w:val="20"/>
              </w:rPr>
              <w:t>GREAT partnered with cinnamon processing companies and government extension service</w:t>
            </w:r>
            <w:r w:rsidR="00A11078" w:rsidRPr="00AE3203">
              <w:rPr>
                <w:sz w:val="20"/>
                <w:szCs w:val="20"/>
              </w:rPr>
              <w:t>s</w:t>
            </w:r>
            <w:r w:rsidRPr="00AE3203">
              <w:rPr>
                <w:sz w:val="20"/>
                <w:szCs w:val="20"/>
              </w:rPr>
              <w:t xml:space="preserve"> to promote the plant</w:t>
            </w:r>
            <w:r w:rsidR="00594D61" w:rsidRPr="00AE3203">
              <w:rPr>
                <w:sz w:val="20"/>
                <w:szCs w:val="20"/>
              </w:rPr>
              <w:t>ing,</w:t>
            </w:r>
            <w:r w:rsidRPr="00AE3203">
              <w:rPr>
                <w:sz w:val="20"/>
                <w:szCs w:val="20"/>
              </w:rPr>
              <w:t xml:space="preserve"> </w:t>
            </w:r>
            <w:proofErr w:type="gramStart"/>
            <w:r w:rsidRPr="00AE3203">
              <w:rPr>
                <w:sz w:val="20"/>
                <w:szCs w:val="20"/>
              </w:rPr>
              <w:t>processing</w:t>
            </w:r>
            <w:proofErr w:type="gramEnd"/>
            <w:r w:rsidRPr="00AE3203">
              <w:rPr>
                <w:sz w:val="20"/>
                <w:szCs w:val="20"/>
              </w:rPr>
              <w:t xml:space="preserve"> and certification </w:t>
            </w:r>
            <w:r w:rsidRPr="00AE3203">
              <w:rPr>
                <w:sz w:val="20"/>
                <w:szCs w:val="20"/>
              </w:rPr>
              <w:lastRenderedPageBreak/>
              <w:t>of high-quality cinnamon in Lao Cai for export to high-</w:t>
            </w:r>
            <w:r w:rsidR="00594D61" w:rsidRPr="00AE3203">
              <w:rPr>
                <w:sz w:val="20"/>
                <w:szCs w:val="20"/>
              </w:rPr>
              <w:t>value</w:t>
            </w:r>
            <w:r w:rsidRPr="00AE3203">
              <w:rPr>
                <w:sz w:val="20"/>
                <w:szCs w:val="20"/>
              </w:rPr>
              <w:t xml:space="preserve"> markets. 3,503 h</w:t>
            </w:r>
            <w:r w:rsidR="00324745">
              <w:rPr>
                <w:sz w:val="20"/>
                <w:szCs w:val="20"/>
              </w:rPr>
              <w:t>ectares</w:t>
            </w:r>
            <w:r w:rsidRPr="00AE3203">
              <w:rPr>
                <w:sz w:val="20"/>
                <w:szCs w:val="20"/>
              </w:rPr>
              <w:t xml:space="preserve"> of cinnamon plantations have been certified as organic and 1,380 households have increased income from higher value organic cinnamon</w:t>
            </w:r>
            <w:r w:rsidR="003E2E60">
              <w:rPr>
                <w:sz w:val="20"/>
                <w:szCs w:val="20"/>
              </w:rPr>
              <w:t>.</w:t>
            </w:r>
          </w:p>
        </w:tc>
      </w:tr>
    </w:tbl>
    <w:p w14:paraId="2F13E6BA" w14:textId="77777777" w:rsidR="008A6BB7" w:rsidRDefault="008A6BB7" w:rsidP="00772A0C">
      <w:pPr>
        <w:pStyle w:val="Heading2"/>
        <w:sectPr w:rsidR="008A6BB7" w:rsidSect="001B611D">
          <w:headerReference w:type="default" r:id="rId10"/>
          <w:footerReference w:type="default" r:id="rId11"/>
          <w:headerReference w:type="first" r:id="rId12"/>
          <w:pgSz w:w="11906" w:h="16838" w:code="9"/>
          <w:pgMar w:top="1559" w:right="680" w:bottom="1276" w:left="680" w:header="567" w:footer="340" w:gutter="0"/>
          <w:cols w:space="397"/>
          <w:docGrid w:linePitch="360"/>
        </w:sectPr>
      </w:pPr>
    </w:p>
    <w:p w14:paraId="06ABEE3D" w14:textId="7EE087C4" w:rsidR="00D1231A" w:rsidRDefault="00121DDD" w:rsidP="00772A0C">
      <w:pPr>
        <w:pStyle w:val="Heading2"/>
      </w:pPr>
      <w:r>
        <w:lastRenderedPageBreak/>
        <w:t>Annex 2</w:t>
      </w:r>
      <w:r w:rsidR="00D1231A" w:rsidRPr="00D1231A">
        <w:t xml:space="preserve">: </w:t>
      </w:r>
      <w:r w:rsidR="00D1231A">
        <w:t>I</w:t>
      </w:r>
      <w:r w:rsidR="00D1231A" w:rsidRPr="00D1231A">
        <w:t>nvestment Performance</w:t>
      </w:r>
      <w:r w:rsidR="000F78C9">
        <w:t xml:space="preserve"> ratings</w:t>
      </w:r>
      <w:r w:rsidR="00E850B0">
        <w:t xml:space="preserve">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992"/>
        <w:gridCol w:w="1418"/>
        <w:gridCol w:w="1134"/>
        <w:gridCol w:w="1276"/>
      </w:tblGrid>
      <w:tr w:rsidR="007A4493" w:rsidRPr="00AF18F4" w14:paraId="69FD1E5F" w14:textId="77777777" w:rsidTr="002907BB">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hideMark/>
          </w:tcPr>
          <w:p w14:paraId="287BF78E" w14:textId="77777777" w:rsidR="00AC551D" w:rsidRPr="005736BB" w:rsidRDefault="00AC551D" w:rsidP="00AF18F4">
            <w:pPr>
              <w:suppressAutoHyphens w:val="0"/>
              <w:spacing w:before="0" w:after="0" w:line="240" w:lineRule="auto"/>
              <w:jc w:val="center"/>
              <w:rPr>
                <w:rFonts w:eastAsia="Times New Roman" w:cstheme="minorHAnsi"/>
                <w:b/>
                <w:bCs/>
                <w:color w:val="404040"/>
                <w:sz w:val="20"/>
                <w:szCs w:val="20"/>
                <w:lang w:val="en-AU" w:eastAsia="en-AU"/>
              </w:rPr>
            </w:pPr>
            <w:r w:rsidRPr="005736BB">
              <w:rPr>
                <w:rFonts w:eastAsia="Times New Roman" w:cstheme="minorHAnsi"/>
                <w:b/>
                <w:bCs/>
                <w:color w:val="404040"/>
                <w:sz w:val="20"/>
                <w:szCs w:val="20"/>
                <w:lang w:val="en-AU" w:eastAsia="en-AU"/>
              </w:rPr>
              <w:t>Investment Details</w:t>
            </w:r>
          </w:p>
        </w:tc>
        <w:tc>
          <w:tcPr>
            <w:tcW w:w="992" w:type="dxa"/>
            <w:tcBorders>
              <w:top w:val="none" w:sz="0" w:space="0" w:color="auto"/>
            </w:tcBorders>
            <w:shd w:val="clear" w:color="auto" w:fill="A2DCD1" w:themeFill="accent1" w:themeFillTint="99"/>
            <w:noWrap/>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404040"/>
                <w:sz w:val="20"/>
                <w:szCs w:val="20"/>
                <w:lang w:val="en-AU" w:eastAsia="en-AU"/>
              </w:rPr>
            </w:pPr>
            <w:r w:rsidRPr="005736BB">
              <w:rPr>
                <w:rFonts w:eastAsia="Times New Roman" w:cstheme="minorHAnsi"/>
                <w:b/>
                <w:bCs/>
                <w:color w:val="404040"/>
                <w:sz w:val="20"/>
                <w:szCs w:val="20"/>
                <w:lang w:val="en-AU" w:eastAsia="en-AU"/>
              </w:rPr>
              <w:t>Year</w:t>
            </w:r>
          </w:p>
        </w:tc>
        <w:tc>
          <w:tcPr>
            <w:tcW w:w="1418" w:type="dxa"/>
            <w:tcBorders>
              <w:top w:val="none" w:sz="0" w:space="0" w:color="auto"/>
            </w:tcBorders>
            <w:shd w:val="clear" w:color="auto" w:fill="A2DCD1" w:themeFill="accent1" w:themeFillTint="99"/>
            <w:noWrap/>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404040"/>
                <w:sz w:val="20"/>
                <w:szCs w:val="20"/>
                <w:lang w:val="en-AU" w:eastAsia="en-AU"/>
              </w:rPr>
            </w:pPr>
            <w:r w:rsidRPr="005736BB">
              <w:rPr>
                <w:rFonts w:eastAsia="Times New Roman" w:cstheme="minorHAnsi"/>
                <w:b/>
                <w:bCs/>
                <w:color w:val="404040"/>
                <w:sz w:val="20"/>
                <w:szCs w:val="20"/>
                <w:lang w:val="en-AU" w:eastAsia="en-AU"/>
              </w:rPr>
              <w:t>Effectiveness</w:t>
            </w:r>
          </w:p>
        </w:tc>
        <w:tc>
          <w:tcPr>
            <w:tcW w:w="1134" w:type="dxa"/>
            <w:tcBorders>
              <w:top w:val="none" w:sz="0" w:space="0" w:color="auto"/>
            </w:tcBorders>
            <w:shd w:val="clear" w:color="auto" w:fill="A2DCD1" w:themeFill="accent1" w:themeFillTint="99"/>
            <w:noWrap/>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404040"/>
                <w:sz w:val="20"/>
                <w:szCs w:val="20"/>
                <w:lang w:val="en-AU" w:eastAsia="en-AU"/>
              </w:rPr>
            </w:pPr>
            <w:r w:rsidRPr="005736BB">
              <w:rPr>
                <w:rFonts w:eastAsia="Times New Roman" w:cstheme="minorHAnsi"/>
                <w:b/>
                <w:bCs/>
                <w:color w:val="404040"/>
                <w:sz w:val="20"/>
                <w:szCs w:val="20"/>
                <w:lang w:val="en-AU" w:eastAsia="en-AU"/>
              </w:rPr>
              <w:t>Efficiency</w:t>
            </w:r>
          </w:p>
        </w:tc>
        <w:tc>
          <w:tcPr>
            <w:tcW w:w="1276" w:type="dxa"/>
            <w:tcBorders>
              <w:top w:val="none" w:sz="0" w:space="0" w:color="auto"/>
            </w:tcBorders>
            <w:shd w:val="clear" w:color="auto" w:fill="A2DCD1" w:themeFill="accent1" w:themeFillTint="99"/>
            <w:noWrap/>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404040"/>
                <w:sz w:val="20"/>
                <w:szCs w:val="20"/>
                <w:lang w:val="en-AU" w:eastAsia="en-AU"/>
              </w:rPr>
            </w:pPr>
            <w:r w:rsidRPr="005736BB">
              <w:rPr>
                <w:rFonts w:eastAsia="Times New Roman" w:cstheme="minorHAnsi"/>
                <w:b/>
                <w:bCs/>
                <w:color w:val="404040"/>
                <w:sz w:val="20"/>
                <w:szCs w:val="20"/>
                <w:lang w:val="en-AU" w:eastAsia="en-AU"/>
              </w:rPr>
              <w:t>Gender Equality</w:t>
            </w:r>
          </w:p>
        </w:tc>
      </w:tr>
      <w:tr w:rsidR="00BD5A45" w:rsidRPr="00AF18F4" w14:paraId="1867487D"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E831155" w14:textId="14261AB0" w:rsidR="00AC551D" w:rsidRPr="00CA5021" w:rsidRDefault="009B0C89" w:rsidP="00AF18F4">
            <w:pPr>
              <w:suppressAutoHyphens w:val="0"/>
              <w:spacing w:before="0" w:after="0" w:line="240" w:lineRule="auto"/>
              <w:rPr>
                <w:rFonts w:eastAsia="Times New Roman" w:cstheme="minorHAnsi"/>
                <w:b/>
                <w:bCs/>
                <w:color w:val="404040"/>
                <w:sz w:val="20"/>
                <w:szCs w:val="20"/>
                <w:lang w:val="en-AU" w:eastAsia="en-AU"/>
              </w:rPr>
            </w:pPr>
            <w:r>
              <w:rPr>
                <w:rFonts w:eastAsia="Times New Roman" w:cstheme="minorHAnsi"/>
                <w:b/>
                <w:bCs/>
                <w:color w:val="404040"/>
                <w:sz w:val="20"/>
                <w:szCs w:val="20"/>
                <w:lang w:eastAsia="en-AU"/>
              </w:rPr>
              <w:t xml:space="preserve">Human Resource Development Facility </w:t>
            </w:r>
          </w:p>
        </w:tc>
        <w:tc>
          <w:tcPr>
            <w:tcW w:w="992" w:type="dxa"/>
            <w:tcBorders>
              <w:top w:val="none" w:sz="0" w:space="0" w:color="auto"/>
              <w:bottom w:val="nil"/>
            </w:tcBorders>
            <w:shd w:val="clear" w:color="auto" w:fill="F2F2F2" w:themeFill="background1" w:themeFillShade="F2"/>
            <w:hideMark/>
          </w:tcPr>
          <w:p w14:paraId="753CB627" w14:textId="0949A42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eastAsia="en-AU"/>
              </w:rPr>
              <w:t>202</w:t>
            </w:r>
            <w:r w:rsidR="00A22CD1">
              <w:rPr>
                <w:rFonts w:eastAsia="Times New Roman" w:cstheme="minorHAnsi"/>
                <w:color w:val="000000"/>
                <w:sz w:val="20"/>
                <w:szCs w:val="20"/>
                <w:lang w:eastAsia="en-AU"/>
              </w:rPr>
              <w:t>2</w:t>
            </w:r>
          </w:p>
        </w:tc>
        <w:tc>
          <w:tcPr>
            <w:tcW w:w="1418" w:type="dxa"/>
            <w:tcBorders>
              <w:top w:val="none" w:sz="0" w:space="0" w:color="auto"/>
              <w:bottom w:val="nil"/>
            </w:tcBorders>
            <w:shd w:val="clear" w:color="auto" w:fill="F2F2F2" w:themeFill="background1" w:themeFillShade="F2"/>
            <w:noWrap/>
          </w:tcPr>
          <w:p w14:paraId="3524F2ED" w14:textId="14DA81F8"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134" w:type="dxa"/>
            <w:tcBorders>
              <w:top w:val="none" w:sz="0" w:space="0" w:color="auto"/>
              <w:bottom w:val="nil"/>
            </w:tcBorders>
            <w:shd w:val="clear" w:color="auto" w:fill="F2F2F2" w:themeFill="background1" w:themeFillShade="F2"/>
            <w:noWrap/>
          </w:tcPr>
          <w:p w14:paraId="65883235" w14:textId="1DB8CB22"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F2F2F2" w:themeFill="background1" w:themeFillShade="F2"/>
            <w:noWrap/>
          </w:tcPr>
          <w:p w14:paraId="34FAF95D" w14:textId="55558821"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r>
      <w:tr w:rsidR="00BD5A45" w:rsidRPr="00AF18F4" w14:paraId="3F9940CA"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1D82FCAE" w:rsidR="00AC551D" w:rsidRPr="00CA5021" w:rsidRDefault="007178C4" w:rsidP="00AF18F4">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00AC551D" w:rsidRPr="00CA5021">
              <w:rPr>
                <w:rFonts w:eastAsia="Times New Roman" w:cstheme="minorHAnsi"/>
                <w:color w:val="404040"/>
                <w:sz w:val="20"/>
                <w:szCs w:val="20"/>
                <w:lang w:val="en-AU" w:eastAsia="en-AU"/>
              </w:rPr>
              <w:t xml:space="preserve">uration: </w:t>
            </w:r>
            <w:r w:rsidR="009B0C89">
              <w:rPr>
                <w:rFonts w:eastAsia="Times New Roman" w:cstheme="minorHAnsi"/>
                <w:color w:val="404040"/>
                <w:sz w:val="20"/>
                <w:szCs w:val="20"/>
                <w:lang w:val="en-AU" w:eastAsia="en-AU"/>
              </w:rPr>
              <w:t>2016-25</w:t>
            </w:r>
            <w:r w:rsidR="00AC551D" w:rsidRPr="00163DB1">
              <w:rPr>
                <w:rFonts w:eastAsia="Times New Roman" w:cstheme="minorHAnsi"/>
                <w:color w:val="404040"/>
                <w:sz w:val="20"/>
                <w:szCs w:val="20"/>
                <w:lang w:val="en-AU" w:eastAsia="en-AU"/>
              </w:rPr>
              <w:t>; Budget: $</w:t>
            </w:r>
            <w:r w:rsidR="00765D9A">
              <w:rPr>
                <w:rFonts w:eastAsia="Times New Roman" w:cstheme="minorHAnsi"/>
                <w:color w:val="404040"/>
                <w:sz w:val="20"/>
                <w:szCs w:val="20"/>
                <w:lang w:val="en-AU" w:eastAsia="en-AU"/>
              </w:rPr>
              <w:t>86.4</w:t>
            </w:r>
            <w:r w:rsidR="00AC551D" w:rsidRPr="00163DB1">
              <w:rPr>
                <w:rFonts w:eastAsia="Times New Roman" w:cstheme="minorHAnsi"/>
                <w:color w:val="404040"/>
                <w:sz w:val="20"/>
                <w:szCs w:val="20"/>
                <w:lang w:val="en-AU" w:eastAsia="en-AU"/>
              </w:rPr>
              <w:t>m</w:t>
            </w:r>
            <w:r w:rsidR="00AC551D" w:rsidRPr="00CA5021">
              <w:rPr>
                <w:rFonts w:eastAsia="Times New Roman" w:cstheme="minorHAnsi"/>
                <w:color w:val="404040"/>
                <w:sz w:val="20"/>
                <w:szCs w:val="20"/>
                <w:lang w:val="en-AU" w:eastAsia="en-AU"/>
              </w:rPr>
              <w:t xml:space="preserve"> </w:t>
            </w:r>
          </w:p>
        </w:tc>
        <w:tc>
          <w:tcPr>
            <w:tcW w:w="992" w:type="dxa"/>
            <w:tcBorders>
              <w:top w:val="nil"/>
            </w:tcBorders>
            <w:shd w:val="clear" w:color="auto" w:fill="F2F2F2" w:themeFill="background1" w:themeFillShade="F2"/>
            <w:hideMark/>
          </w:tcPr>
          <w:p w14:paraId="42A30353" w14:textId="692A36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eastAsia="en-AU"/>
              </w:rPr>
              <w:t>202</w:t>
            </w:r>
            <w:r w:rsidR="00A22CD1">
              <w:rPr>
                <w:rFonts w:eastAsia="Times New Roman" w:cstheme="minorHAnsi"/>
                <w:color w:val="000000"/>
                <w:sz w:val="20"/>
                <w:szCs w:val="20"/>
                <w:lang w:eastAsia="en-AU"/>
              </w:rPr>
              <w:t>1</w:t>
            </w:r>
          </w:p>
        </w:tc>
        <w:tc>
          <w:tcPr>
            <w:tcW w:w="1418" w:type="dxa"/>
            <w:tcBorders>
              <w:top w:val="nil"/>
            </w:tcBorders>
            <w:shd w:val="clear" w:color="auto" w:fill="F2F2F2" w:themeFill="background1" w:themeFillShade="F2"/>
            <w:noWrap/>
          </w:tcPr>
          <w:p w14:paraId="02C361E5" w14:textId="452470BC"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il"/>
            </w:tcBorders>
            <w:shd w:val="clear" w:color="auto" w:fill="F2F2F2" w:themeFill="background1" w:themeFillShade="F2"/>
            <w:noWrap/>
          </w:tcPr>
          <w:p w14:paraId="1C8F4065" w14:textId="2205A7C0"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276" w:type="dxa"/>
            <w:tcBorders>
              <w:top w:val="nil"/>
            </w:tcBorders>
            <w:shd w:val="clear" w:color="auto" w:fill="F2F2F2" w:themeFill="background1" w:themeFillShade="F2"/>
            <w:noWrap/>
          </w:tcPr>
          <w:p w14:paraId="3EA630FF" w14:textId="4E014737"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6</w:t>
            </w:r>
          </w:p>
        </w:tc>
      </w:tr>
      <w:tr w:rsidR="00BD5A45" w:rsidRPr="00AF18F4" w14:paraId="664415AC"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noWrap/>
            <w:vAlign w:val="bottom"/>
            <w:hideMark/>
          </w:tcPr>
          <w:p w14:paraId="75576776" w14:textId="1D46B005" w:rsidR="00AC551D" w:rsidRPr="00CA5021" w:rsidRDefault="00765D9A" w:rsidP="00AF18F4">
            <w:pPr>
              <w:suppressAutoHyphens w:val="0"/>
              <w:spacing w:before="0" w:after="0" w:line="240" w:lineRule="auto"/>
              <w:rPr>
                <w:rFonts w:eastAsia="Times New Roman" w:cstheme="minorHAnsi"/>
                <w:b/>
                <w:bCs/>
                <w:color w:val="404040"/>
                <w:sz w:val="20"/>
                <w:szCs w:val="20"/>
                <w:lang w:val="en-AU" w:eastAsia="en-AU"/>
              </w:rPr>
            </w:pPr>
            <w:r w:rsidRPr="00BD5A45">
              <w:rPr>
                <w:rFonts w:eastAsia="Times New Roman" w:cstheme="minorHAnsi"/>
                <w:b/>
                <w:bCs/>
                <w:color w:val="404040"/>
                <w:sz w:val="20"/>
                <w:szCs w:val="20"/>
                <w:lang w:eastAsia="en-AU"/>
              </w:rPr>
              <w:t>Australia World Bank Partnership Phase 2</w:t>
            </w:r>
          </w:p>
        </w:tc>
        <w:tc>
          <w:tcPr>
            <w:tcW w:w="992" w:type="dxa"/>
            <w:tcBorders>
              <w:top w:val="none" w:sz="0" w:space="0" w:color="auto"/>
              <w:bottom w:val="nil"/>
            </w:tcBorders>
            <w:shd w:val="clear" w:color="auto" w:fill="E0F3EF" w:themeFill="accent1" w:themeFillTint="33"/>
            <w:hideMark/>
          </w:tcPr>
          <w:p w14:paraId="35291127" w14:textId="138100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eastAsia="en-AU"/>
              </w:rPr>
              <w:t>202</w:t>
            </w:r>
            <w:r w:rsidR="00A22CD1">
              <w:rPr>
                <w:rFonts w:eastAsia="Times New Roman" w:cstheme="minorHAnsi"/>
                <w:color w:val="000000"/>
                <w:sz w:val="20"/>
                <w:szCs w:val="20"/>
                <w:lang w:eastAsia="en-AU"/>
              </w:rPr>
              <w:t>2</w:t>
            </w:r>
          </w:p>
        </w:tc>
        <w:tc>
          <w:tcPr>
            <w:tcW w:w="1418" w:type="dxa"/>
            <w:tcBorders>
              <w:top w:val="none" w:sz="0" w:space="0" w:color="auto"/>
              <w:bottom w:val="nil"/>
            </w:tcBorders>
            <w:shd w:val="clear" w:color="auto" w:fill="E0F3EF" w:themeFill="accent1" w:themeFillTint="33"/>
            <w:noWrap/>
          </w:tcPr>
          <w:p w14:paraId="0383E59B" w14:textId="3BDB6DEF"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E0F3EF" w:themeFill="accent1" w:themeFillTint="33"/>
            <w:noWrap/>
          </w:tcPr>
          <w:p w14:paraId="760C1604" w14:textId="6C15338D"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276" w:type="dxa"/>
            <w:tcBorders>
              <w:top w:val="none" w:sz="0" w:space="0" w:color="auto"/>
              <w:bottom w:val="nil"/>
            </w:tcBorders>
            <w:shd w:val="clear" w:color="auto" w:fill="E0F3EF" w:themeFill="accent1" w:themeFillTint="33"/>
            <w:noWrap/>
          </w:tcPr>
          <w:p w14:paraId="48B585D3" w14:textId="04679E3D"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r>
      <w:tr w:rsidR="00BD5A45" w:rsidRPr="00AF18F4" w14:paraId="5EA4A873"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5D004B83" w14:textId="1C347402" w:rsidR="00AC551D" w:rsidRPr="00CA5021" w:rsidRDefault="00FC5365" w:rsidP="00AF18F4">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00AC551D" w:rsidRPr="00CA5021">
              <w:rPr>
                <w:rFonts w:eastAsia="Times New Roman" w:cstheme="minorHAnsi"/>
                <w:color w:val="404040"/>
                <w:sz w:val="20"/>
                <w:szCs w:val="20"/>
                <w:lang w:val="en-AU" w:eastAsia="en-AU"/>
              </w:rPr>
              <w:t>uration: 201</w:t>
            </w:r>
            <w:r w:rsidR="00765D9A">
              <w:rPr>
                <w:rFonts w:eastAsia="Times New Roman" w:cstheme="minorHAnsi"/>
                <w:color w:val="404040"/>
                <w:sz w:val="20"/>
                <w:szCs w:val="20"/>
                <w:lang w:val="en-AU" w:eastAsia="en-AU"/>
              </w:rPr>
              <w:t>7-23</w:t>
            </w:r>
            <w:r w:rsidR="00AC551D" w:rsidRPr="00CA5021">
              <w:rPr>
                <w:rFonts w:eastAsia="Times New Roman" w:cstheme="minorHAnsi"/>
                <w:color w:val="404040"/>
                <w:sz w:val="20"/>
                <w:szCs w:val="20"/>
                <w:lang w:val="en-AU" w:eastAsia="en-AU"/>
              </w:rPr>
              <w:t>; Budget: $</w:t>
            </w:r>
            <w:r w:rsidR="00765D9A">
              <w:rPr>
                <w:rFonts w:eastAsia="Times New Roman" w:cstheme="minorHAnsi"/>
                <w:color w:val="404040"/>
                <w:sz w:val="20"/>
                <w:szCs w:val="20"/>
                <w:lang w:val="en-AU" w:eastAsia="en-AU"/>
              </w:rPr>
              <w:t>35</w:t>
            </w:r>
            <w:r w:rsidR="00AC551D" w:rsidRPr="00CA5021">
              <w:rPr>
                <w:rFonts w:eastAsia="Times New Roman" w:cstheme="minorHAnsi"/>
                <w:color w:val="404040"/>
                <w:sz w:val="20"/>
                <w:szCs w:val="20"/>
                <w:lang w:val="en-AU" w:eastAsia="en-AU"/>
              </w:rPr>
              <w:t xml:space="preserve">m </w:t>
            </w:r>
          </w:p>
        </w:tc>
        <w:tc>
          <w:tcPr>
            <w:tcW w:w="992" w:type="dxa"/>
            <w:tcBorders>
              <w:top w:val="nil"/>
            </w:tcBorders>
            <w:shd w:val="clear" w:color="auto" w:fill="E0F3EF" w:themeFill="accent1" w:themeFillTint="33"/>
            <w:hideMark/>
          </w:tcPr>
          <w:p w14:paraId="6F5DCD3C" w14:textId="5704385A"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eastAsia="en-AU"/>
              </w:rPr>
              <w:t>202</w:t>
            </w:r>
            <w:r w:rsidR="00A22CD1">
              <w:rPr>
                <w:rFonts w:eastAsia="Times New Roman" w:cstheme="minorHAnsi"/>
                <w:color w:val="000000"/>
                <w:sz w:val="20"/>
                <w:szCs w:val="20"/>
                <w:lang w:eastAsia="en-AU"/>
              </w:rPr>
              <w:t>1</w:t>
            </w:r>
          </w:p>
        </w:tc>
        <w:tc>
          <w:tcPr>
            <w:tcW w:w="1418" w:type="dxa"/>
            <w:tcBorders>
              <w:top w:val="nil"/>
            </w:tcBorders>
            <w:shd w:val="clear" w:color="auto" w:fill="E0F3EF" w:themeFill="accent1" w:themeFillTint="33"/>
            <w:noWrap/>
          </w:tcPr>
          <w:p w14:paraId="7C975F2B" w14:textId="73C63829"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il"/>
            </w:tcBorders>
            <w:shd w:val="clear" w:color="auto" w:fill="E0F3EF" w:themeFill="accent1" w:themeFillTint="33"/>
            <w:noWrap/>
          </w:tcPr>
          <w:p w14:paraId="562AF5DF" w14:textId="16657F7F"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276" w:type="dxa"/>
            <w:tcBorders>
              <w:top w:val="nil"/>
            </w:tcBorders>
            <w:shd w:val="clear" w:color="auto" w:fill="E0F3EF" w:themeFill="accent1" w:themeFillTint="33"/>
            <w:noWrap/>
          </w:tcPr>
          <w:p w14:paraId="49275297" w14:textId="4ED8F5B1"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r>
      <w:tr w:rsidR="00BD5A45" w:rsidRPr="00AF18F4" w14:paraId="7C3C602D"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noWrap/>
            <w:vAlign w:val="bottom"/>
            <w:hideMark/>
          </w:tcPr>
          <w:p w14:paraId="6DDF2B53" w14:textId="2175895D" w:rsidR="00AC551D" w:rsidRPr="00CA5021" w:rsidRDefault="00765D9A" w:rsidP="00AF18F4">
            <w:pPr>
              <w:suppressAutoHyphens w:val="0"/>
              <w:spacing w:before="0" w:after="0" w:line="240" w:lineRule="auto"/>
              <w:rPr>
                <w:rFonts w:eastAsia="Times New Roman" w:cstheme="minorHAnsi"/>
                <w:b/>
                <w:bCs/>
                <w:color w:val="404040"/>
                <w:sz w:val="20"/>
                <w:szCs w:val="20"/>
                <w:lang w:val="en-AU" w:eastAsia="en-AU"/>
              </w:rPr>
            </w:pPr>
            <w:r>
              <w:rPr>
                <w:rFonts w:eastAsia="Times New Roman" w:cstheme="minorHAnsi"/>
                <w:b/>
                <w:bCs/>
                <w:color w:val="404040"/>
                <w:sz w:val="20"/>
                <w:szCs w:val="20"/>
                <w:lang w:eastAsia="en-AU"/>
              </w:rPr>
              <w:t xml:space="preserve">Aus4Equality </w:t>
            </w:r>
          </w:p>
        </w:tc>
        <w:tc>
          <w:tcPr>
            <w:tcW w:w="992" w:type="dxa"/>
            <w:tcBorders>
              <w:top w:val="none" w:sz="0" w:space="0" w:color="auto"/>
              <w:bottom w:val="nil"/>
            </w:tcBorders>
            <w:shd w:val="clear" w:color="auto" w:fill="F2F2F2" w:themeFill="background1" w:themeFillShade="F2"/>
            <w:hideMark/>
          </w:tcPr>
          <w:p w14:paraId="258E1068" w14:textId="57F2BB6C"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2</w:t>
            </w:r>
          </w:p>
        </w:tc>
        <w:tc>
          <w:tcPr>
            <w:tcW w:w="1418" w:type="dxa"/>
            <w:tcBorders>
              <w:top w:val="none" w:sz="0" w:space="0" w:color="auto"/>
              <w:bottom w:val="nil"/>
            </w:tcBorders>
            <w:shd w:val="clear" w:color="auto" w:fill="F2F2F2" w:themeFill="background1" w:themeFillShade="F2"/>
            <w:noWrap/>
          </w:tcPr>
          <w:p w14:paraId="561825FE" w14:textId="35236FE8"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F2F2F2" w:themeFill="background1" w:themeFillShade="F2"/>
            <w:noWrap/>
          </w:tcPr>
          <w:p w14:paraId="777674A9" w14:textId="2B88D6D2"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F2F2F2" w:themeFill="background1" w:themeFillShade="F2"/>
            <w:noWrap/>
          </w:tcPr>
          <w:p w14:paraId="16666D1C" w14:textId="3BA61154"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r>
      <w:tr w:rsidR="00BD5A45" w:rsidRPr="00AF18F4" w14:paraId="173568D7"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3342A73E" w14:textId="23531FDC" w:rsidR="00AC551D" w:rsidRPr="00CA5021" w:rsidRDefault="00FC5365" w:rsidP="00AF18F4">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00AC551D" w:rsidRPr="00CA5021">
              <w:rPr>
                <w:rFonts w:eastAsia="Times New Roman" w:cstheme="minorHAnsi"/>
                <w:color w:val="404040"/>
                <w:sz w:val="20"/>
                <w:szCs w:val="20"/>
                <w:lang w:val="en-AU" w:eastAsia="en-AU"/>
              </w:rPr>
              <w:t>uration: 201</w:t>
            </w:r>
            <w:r w:rsidR="00765D9A">
              <w:rPr>
                <w:rFonts w:eastAsia="Times New Roman" w:cstheme="minorHAnsi"/>
                <w:color w:val="404040"/>
                <w:sz w:val="20"/>
                <w:szCs w:val="20"/>
                <w:lang w:val="en-AU" w:eastAsia="en-AU"/>
              </w:rPr>
              <w:t>5-28</w:t>
            </w:r>
            <w:r w:rsidR="00AC551D" w:rsidRPr="00CA5021">
              <w:rPr>
                <w:rFonts w:eastAsia="Times New Roman" w:cstheme="minorHAnsi"/>
                <w:color w:val="404040"/>
                <w:sz w:val="20"/>
                <w:szCs w:val="20"/>
                <w:lang w:val="en-AU" w:eastAsia="en-AU"/>
              </w:rPr>
              <w:t>; Budget: $</w:t>
            </w:r>
            <w:r w:rsidR="00765D9A">
              <w:rPr>
                <w:rFonts w:eastAsia="Times New Roman" w:cstheme="minorHAnsi"/>
                <w:color w:val="404040"/>
                <w:sz w:val="20"/>
                <w:szCs w:val="20"/>
                <w:lang w:val="en-AU" w:eastAsia="en-AU"/>
              </w:rPr>
              <w:t>81.7</w:t>
            </w:r>
            <w:r w:rsidR="00AC551D" w:rsidRPr="00CA5021">
              <w:rPr>
                <w:rFonts w:eastAsia="Times New Roman" w:cstheme="minorHAnsi"/>
                <w:color w:val="404040"/>
                <w:sz w:val="20"/>
                <w:szCs w:val="20"/>
                <w:lang w:val="en-AU" w:eastAsia="en-AU"/>
              </w:rPr>
              <w:t xml:space="preserve">m </w:t>
            </w:r>
          </w:p>
        </w:tc>
        <w:tc>
          <w:tcPr>
            <w:tcW w:w="992" w:type="dxa"/>
            <w:tcBorders>
              <w:top w:val="nil"/>
            </w:tcBorders>
            <w:shd w:val="clear" w:color="auto" w:fill="F2F2F2" w:themeFill="background1" w:themeFillShade="F2"/>
            <w:hideMark/>
          </w:tcPr>
          <w:p w14:paraId="1F16C9F8" w14:textId="160CF93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1</w:t>
            </w:r>
          </w:p>
        </w:tc>
        <w:tc>
          <w:tcPr>
            <w:tcW w:w="1418" w:type="dxa"/>
            <w:tcBorders>
              <w:top w:val="nil"/>
            </w:tcBorders>
            <w:shd w:val="clear" w:color="auto" w:fill="F2F2F2" w:themeFill="background1" w:themeFillShade="F2"/>
            <w:noWrap/>
          </w:tcPr>
          <w:p w14:paraId="484EFDC5" w14:textId="01304EEC"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il"/>
            </w:tcBorders>
            <w:shd w:val="clear" w:color="auto" w:fill="F2F2F2" w:themeFill="background1" w:themeFillShade="F2"/>
            <w:noWrap/>
          </w:tcPr>
          <w:p w14:paraId="196A3DC5" w14:textId="3550548E"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il"/>
            </w:tcBorders>
            <w:shd w:val="clear" w:color="auto" w:fill="F2F2F2" w:themeFill="background1" w:themeFillShade="F2"/>
            <w:noWrap/>
          </w:tcPr>
          <w:p w14:paraId="1BD061D2" w14:textId="65C8947E"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r>
      <w:tr w:rsidR="00BD5A45" w:rsidRPr="00AF18F4" w14:paraId="433D367E"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noWrap/>
            <w:vAlign w:val="bottom"/>
            <w:hideMark/>
          </w:tcPr>
          <w:p w14:paraId="7703CD34" w14:textId="3090073B" w:rsidR="00AC551D" w:rsidRPr="00CA5021" w:rsidRDefault="00765D9A" w:rsidP="00AF18F4">
            <w:pPr>
              <w:suppressAutoHyphens w:val="0"/>
              <w:spacing w:before="0" w:after="0" w:line="240" w:lineRule="auto"/>
              <w:rPr>
                <w:rFonts w:eastAsia="Times New Roman" w:cstheme="minorHAnsi"/>
                <w:b/>
                <w:bCs/>
                <w:color w:val="404040"/>
                <w:sz w:val="20"/>
                <w:szCs w:val="20"/>
                <w:lang w:val="en-AU" w:eastAsia="en-AU"/>
              </w:rPr>
            </w:pPr>
            <w:r>
              <w:rPr>
                <w:rFonts w:eastAsia="Times New Roman" w:cstheme="minorHAnsi"/>
                <w:b/>
                <w:bCs/>
                <w:color w:val="404040"/>
                <w:sz w:val="20"/>
                <w:szCs w:val="20"/>
                <w:lang w:eastAsia="en-AU"/>
              </w:rPr>
              <w:t xml:space="preserve">Aus4Transport </w:t>
            </w:r>
          </w:p>
        </w:tc>
        <w:tc>
          <w:tcPr>
            <w:tcW w:w="992" w:type="dxa"/>
            <w:tcBorders>
              <w:top w:val="none" w:sz="0" w:space="0" w:color="auto"/>
              <w:bottom w:val="nil"/>
            </w:tcBorders>
            <w:shd w:val="clear" w:color="auto" w:fill="E0F3EF" w:themeFill="accent1" w:themeFillTint="33"/>
            <w:hideMark/>
          </w:tcPr>
          <w:p w14:paraId="67E44092" w14:textId="0AC0E0A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2</w:t>
            </w:r>
          </w:p>
        </w:tc>
        <w:tc>
          <w:tcPr>
            <w:tcW w:w="1418" w:type="dxa"/>
            <w:tcBorders>
              <w:top w:val="none" w:sz="0" w:space="0" w:color="auto"/>
              <w:bottom w:val="nil"/>
            </w:tcBorders>
            <w:shd w:val="clear" w:color="auto" w:fill="E0F3EF" w:themeFill="accent1" w:themeFillTint="33"/>
            <w:noWrap/>
          </w:tcPr>
          <w:p w14:paraId="3A8E0478" w14:textId="207232FC"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E0F3EF" w:themeFill="accent1" w:themeFillTint="33"/>
            <w:noWrap/>
          </w:tcPr>
          <w:p w14:paraId="754E4ADA" w14:textId="581AAB23"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E0F3EF" w:themeFill="accent1" w:themeFillTint="33"/>
            <w:noWrap/>
          </w:tcPr>
          <w:p w14:paraId="579A968A" w14:textId="12244365"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r>
      <w:tr w:rsidR="00BD5A45" w:rsidRPr="00AF18F4" w14:paraId="2F1DE13E"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1E605139" w14:textId="46F9F810" w:rsidR="00AC551D" w:rsidRPr="00CA5021" w:rsidRDefault="00FC5365" w:rsidP="00AF18F4">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00AC551D" w:rsidRPr="00CA5021">
              <w:rPr>
                <w:rFonts w:eastAsia="Times New Roman" w:cstheme="minorHAnsi"/>
                <w:color w:val="404040"/>
                <w:sz w:val="20"/>
                <w:szCs w:val="20"/>
                <w:lang w:val="en-AU" w:eastAsia="en-AU"/>
              </w:rPr>
              <w:t>uration: 201</w:t>
            </w:r>
            <w:r w:rsidR="00765D9A">
              <w:rPr>
                <w:rFonts w:eastAsia="Times New Roman" w:cstheme="minorHAnsi"/>
                <w:color w:val="404040"/>
                <w:sz w:val="20"/>
                <w:szCs w:val="20"/>
                <w:lang w:val="en-AU" w:eastAsia="en-AU"/>
              </w:rPr>
              <w:t>6-24</w:t>
            </w:r>
            <w:r w:rsidR="00AC551D" w:rsidRPr="00CA5021">
              <w:rPr>
                <w:rFonts w:eastAsia="Times New Roman" w:cstheme="minorHAnsi"/>
                <w:color w:val="404040"/>
                <w:sz w:val="20"/>
                <w:szCs w:val="20"/>
                <w:lang w:val="en-AU" w:eastAsia="en-AU"/>
              </w:rPr>
              <w:t>; Budget: $</w:t>
            </w:r>
            <w:r w:rsidR="00765D9A">
              <w:rPr>
                <w:rFonts w:eastAsia="Times New Roman" w:cstheme="minorHAnsi"/>
                <w:color w:val="404040"/>
                <w:sz w:val="20"/>
                <w:szCs w:val="20"/>
                <w:lang w:val="en-AU" w:eastAsia="en-AU"/>
              </w:rPr>
              <w:t>30.5</w:t>
            </w:r>
            <w:r w:rsidR="00AC551D" w:rsidRPr="00CA5021">
              <w:rPr>
                <w:rFonts w:eastAsia="Times New Roman" w:cstheme="minorHAnsi"/>
                <w:color w:val="404040"/>
                <w:sz w:val="20"/>
                <w:szCs w:val="20"/>
                <w:lang w:val="en-AU" w:eastAsia="en-AU"/>
              </w:rPr>
              <w:t xml:space="preserve">m </w:t>
            </w:r>
          </w:p>
        </w:tc>
        <w:tc>
          <w:tcPr>
            <w:tcW w:w="992" w:type="dxa"/>
            <w:tcBorders>
              <w:top w:val="nil"/>
            </w:tcBorders>
            <w:shd w:val="clear" w:color="auto" w:fill="E0F3EF" w:themeFill="accent1" w:themeFillTint="33"/>
            <w:hideMark/>
          </w:tcPr>
          <w:p w14:paraId="7018BC30" w14:textId="24768F2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1</w:t>
            </w:r>
          </w:p>
        </w:tc>
        <w:tc>
          <w:tcPr>
            <w:tcW w:w="1418" w:type="dxa"/>
            <w:tcBorders>
              <w:top w:val="nil"/>
            </w:tcBorders>
            <w:shd w:val="clear" w:color="auto" w:fill="E0F3EF" w:themeFill="accent1" w:themeFillTint="33"/>
            <w:noWrap/>
          </w:tcPr>
          <w:p w14:paraId="7FF87E63" w14:textId="45A6DF0A"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il"/>
            </w:tcBorders>
            <w:shd w:val="clear" w:color="auto" w:fill="E0F3EF" w:themeFill="accent1" w:themeFillTint="33"/>
            <w:noWrap/>
          </w:tcPr>
          <w:p w14:paraId="7B158D07" w14:textId="2DC75EDF"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il"/>
            </w:tcBorders>
            <w:shd w:val="clear" w:color="auto" w:fill="E0F3EF" w:themeFill="accent1" w:themeFillTint="33"/>
            <w:noWrap/>
          </w:tcPr>
          <w:p w14:paraId="04D0497F" w14:textId="548F5B7D"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r>
      <w:tr w:rsidR="00BD5A45" w:rsidRPr="00AF18F4" w14:paraId="1FF9A082"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noWrap/>
            <w:vAlign w:val="bottom"/>
            <w:hideMark/>
          </w:tcPr>
          <w:p w14:paraId="2856E45D" w14:textId="5360EE47" w:rsidR="00AC551D" w:rsidRPr="00CA5021" w:rsidRDefault="00765D9A" w:rsidP="00AF18F4">
            <w:pPr>
              <w:suppressAutoHyphens w:val="0"/>
              <w:spacing w:before="0" w:after="0" w:line="240" w:lineRule="auto"/>
              <w:rPr>
                <w:rFonts w:eastAsia="Times New Roman" w:cstheme="minorHAnsi"/>
                <w:b/>
                <w:bCs/>
                <w:color w:val="404040"/>
                <w:sz w:val="20"/>
                <w:szCs w:val="20"/>
                <w:lang w:val="en-AU" w:eastAsia="en-AU"/>
              </w:rPr>
            </w:pPr>
            <w:r>
              <w:rPr>
                <w:rFonts w:eastAsia="Times New Roman" w:cstheme="minorHAnsi"/>
                <w:b/>
                <w:bCs/>
                <w:color w:val="404040"/>
                <w:sz w:val="20"/>
                <w:szCs w:val="20"/>
                <w:lang w:eastAsia="en-AU"/>
              </w:rPr>
              <w:t xml:space="preserve">Aus4Refrom </w:t>
            </w:r>
          </w:p>
        </w:tc>
        <w:tc>
          <w:tcPr>
            <w:tcW w:w="992" w:type="dxa"/>
            <w:tcBorders>
              <w:top w:val="none" w:sz="0" w:space="0" w:color="auto"/>
              <w:bottom w:val="nil"/>
            </w:tcBorders>
            <w:shd w:val="clear" w:color="auto" w:fill="F2F2F2" w:themeFill="background1" w:themeFillShade="F2"/>
            <w:hideMark/>
          </w:tcPr>
          <w:p w14:paraId="28837949" w14:textId="735E9F0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2</w:t>
            </w:r>
          </w:p>
        </w:tc>
        <w:tc>
          <w:tcPr>
            <w:tcW w:w="1418" w:type="dxa"/>
            <w:tcBorders>
              <w:top w:val="none" w:sz="0" w:space="0" w:color="auto"/>
              <w:bottom w:val="nil"/>
            </w:tcBorders>
            <w:shd w:val="clear" w:color="auto" w:fill="F2F2F2" w:themeFill="background1" w:themeFillShade="F2"/>
            <w:noWrap/>
          </w:tcPr>
          <w:p w14:paraId="56D0B385" w14:textId="48A20C22"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F2F2F2" w:themeFill="background1" w:themeFillShade="F2"/>
            <w:noWrap/>
          </w:tcPr>
          <w:p w14:paraId="1F83D288" w14:textId="0BB8553D"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F2F2F2" w:themeFill="background1" w:themeFillShade="F2"/>
            <w:noWrap/>
          </w:tcPr>
          <w:p w14:paraId="1F305D63" w14:textId="39AAB351"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r>
      <w:tr w:rsidR="00BD5A45" w:rsidRPr="00AF18F4" w14:paraId="51634969"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68F61F5" w14:textId="7EAE600A" w:rsidR="00AC551D" w:rsidRPr="00CA5021" w:rsidRDefault="00FC5365" w:rsidP="00AF18F4">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00AC551D" w:rsidRPr="00CA5021">
              <w:rPr>
                <w:rFonts w:eastAsia="Times New Roman" w:cstheme="minorHAnsi"/>
                <w:color w:val="404040"/>
                <w:sz w:val="20"/>
                <w:szCs w:val="20"/>
                <w:lang w:val="en-AU" w:eastAsia="en-AU"/>
              </w:rPr>
              <w:t>uration: 201</w:t>
            </w:r>
            <w:r w:rsidR="00765D9A">
              <w:rPr>
                <w:rFonts w:eastAsia="Times New Roman" w:cstheme="minorHAnsi"/>
                <w:color w:val="404040"/>
                <w:sz w:val="20"/>
                <w:szCs w:val="20"/>
                <w:lang w:val="en-AU" w:eastAsia="en-AU"/>
              </w:rPr>
              <w:t>7-25</w:t>
            </w:r>
            <w:r w:rsidR="00AC551D" w:rsidRPr="00CA5021">
              <w:rPr>
                <w:rFonts w:eastAsia="Times New Roman" w:cstheme="minorHAnsi"/>
                <w:color w:val="404040"/>
                <w:sz w:val="20"/>
                <w:szCs w:val="20"/>
                <w:lang w:val="en-AU" w:eastAsia="en-AU"/>
              </w:rPr>
              <w:t>; Budget: $</w:t>
            </w:r>
            <w:r w:rsidR="00765D9A">
              <w:rPr>
                <w:rFonts w:eastAsia="Times New Roman" w:cstheme="minorHAnsi"/>
                <w:color w:val="404040"/>
                <w:sz w:val="20"/>
                <w:szCs w:val="20"/>
                <w:lang w:val="en-AU" w:eastAsia="en-AU"/>
              </w:rPr>
              <w:t>20.5</w:t>
            </w:r>
            <w:r w:rsidR="00AC551D" w:rsidRPr="00CA5021">
              <w:rPr>
                <w:rFonts w:eastAsia="Times New Roman" w:cstheme="minorHAnsi"/>
                <w:color w:val="404040"/>
                <w:sz w:val="20"/>
                <w:szCs w:val="20"/>
                <w:lang w:val="en-AU" w:eastAsia="en-AU"/>
              </w:rPr>
              <w:t xml:space="preserve">m </w:t>
            </w:r>
          </w:p>
        </w:tc>
        <w:tc>
          <w:tcPr>
            <w:tcW w:w="992" w:type="dxa"/>
            <w:tcBorders>
              <w:top w:val="nil"/>
            </w:tcBorders>
            <w:shd w:val="clear" w:color="auto" w:fill="F2F2F2" w:themeFill="background1" w:themeFillShade="F2"/>
            <w:hideMark/>
          </w:tcPr>
          <w:p w14:paraId="05ADDFD4" w14:textId="100719BF"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sidR="00A22CD1">
              <w:rPr>
                <w:rFonts w:eastAsia="Times New Roman" w:cstheme="minorHAnsi"/>
                <w:color w:val="000000"/>
                <w:sz w:val="20"/>
                <w:szCs w:val="20"/>
                <w:lang w:val="en-AU" w:eastAsia="en-AU"/>
              </w:rPr>
              <w:t>1</w:t>
            </w:r>
          </w:p>
        </w:tc>
        <w:tc>
          <w:tcPr>
            <w:tcW w:w="1418" w:type="dxa"/>
            <w:tcBorders>
              <w:top w:val="nil"/>
            </w:tcBorders>
            <w:shd w:val="clear" w:color="auto" w:fill="F2F2F2" w:themeFill="background1" w:themeFillShade="F2"/>
            <w:noWrap/>
          </w:tcPr>
          <w:p w14:paraId="7A708A19" w14:textId="347517B9"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134" w:type="dxa"/>
            <w:tcBorders>
              <w:top w:val="nil"/>
            </w:tcBorders>
            <w:shd w:val="clear" w:color="auto" w:fill="F2F2F2" w:themeFill="background1" w:themeFillShade="F2"/>
            <w:noWrap/>
          </w:tcPr>
          <w:p w14:paraId="4A6EE93A" w14:textId="0B1BE283"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il"/>
            </w:tcBorders>
            <w:shd w:val="clear" w:color="auto" w:fill="F2F2F2" w:themeFill="background1" w:themeFillShade="F2"/>
            <w:noWrap/>
          </w:tcPr>
          <w:p w14:paraId="1BF6318F" w14:textId="47CD67F2" w:rsidR="00AC551D"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eastAsia="en-AU"/>
              </w:rPr>
              <w:t>4</w:t>
            </w:r>
          </w:p>
        </w:tc>
      </w:tr>
      <w:tr w:rsidR="00765D9A" w:rsidRPr="00AF18F4" w14:paraId="77758E0B"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tcPr>
          <w:p w14:paraId="7AF28FDA" w14:textId="5CA12627" w:rsidR="00765D9A" w:rsidRPr="00BD5A45" w:rsidRDefault="00765D9A" w:rsidP="00BD5A45">
            <w:pPr>
              <w:suppressAutoHyphens w:val="0"/>
              <w:spacing w:before="0" w:after="0" w:line="240" w:lineRule="auto"/>
              <w:rPr>
                <w:rFonts w:eastAsia="Times New Roman" w:cstheme="minorHAnsi"/>
                <w:b/>
                <w:bCs/>
                <w:color w:val="404040"/>
                <w:sz w:val="20"/>
                <w:szCs w:val="20"/>
                <w:lang w:val="en-AU" w:eastAsia="en-AU"/>
              </w:rPr>
            </w:pPr>
            <w:r w:rsidRPr="00BD5A45">
              <w:rPr>
                <w:rFonts w:eastAsia="Times New Roman" w:cstheme="minorHAnsi"/>
                <w:b/>
                <w:bCs/>
                <w:color w:val="404040"/>
                <w:sz w:val="20"/>
                <w:szCs w:val="20"/>
                <w:lang w:val="en-AU" w:eastAsia="en-AU"/>
              </w:rPr>
              <w:t xml:space="preserve">Aus4Innovation </w:t>
            </w:r>
          </w:p>
        </w:tc>
        <w:tc>
          <w:tcPr>
            <w:tcW w:w="992" w:type="dxa"/>
            <w:tcBorders>
              <w:top w:val="none" w:sz="0" w:space="0" w:color="auto"/>
              <w:bottom w:val="nil"/>
            </w:tcBorders>
            <w:shd w:val="clear" w:color="auto" w:fill="E0F3EF" w:themeFill="accent1" w:themeFillTint="33"/>
          </w:tcPr>
          <w:p w14:paraId="4685A85D" w14:textId="05F55BDD" w:rsidR="00765D9A" w:rsidRPr="00CA5021"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tcPr>
          <w:p w14:paraId="1098CF88" w14:textId="042613E2" w:rsidR="00765D9A" w:rsidRDefault="00D9232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E0F3EF" w:themeFill="accent1" w:themeFillTint="33"/>
            <w:noWrap/>
          </w:tcPr>
          <w:p w14:paraId="515E3C6B" w14:textId="43D56BD7" w:rsidR="00765D9A" w:rsidRDefault="00D9232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E0F3EF" w:themeFill="accent1" w:themeFillTint="33"/>
            <w:noWrap/>
          </w:tcPr>
          <w:p w14:paraId="2740AE90" w14:textId="6D96ED6C" w:rsidR="00765D9A" w:rsidRDefault="00D92328"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r>
      <w:tr w:rsidR="00765D9A" w:rsidRPr="00AF18F4" w14:paraId="6D192661"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5588D2DB" w14:textId="50A05EBC" w:rsidR="00765D9A" w:rsidRDefault="00765D9A" w:rsidP="006D5FA3">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duration: 20</w:t>
            </w:r>
            <w:r w:rsidR="00D92328">
              <w:rPr>
                <w:rFonts w:eastAsia="Times New Roman" w:cstheme="minorHAnsi"/>
                <w:color w:val="404040"/>
                <w:sz w:val="20"/>
                <w:szCs w:val="20"/>
                <w:lang w:val="en-AU" w:eastAsia="en-AU"/>
              </w:rPr>
              <w:t xml:space="preserve">18-23; </w:t>
            </w:r>
            <w:r>
              <w:rPr>
                <w:rFonts w:eastAsia="Times New Roman" w:cstheme="minorHAnsi"/>
                <w:color w:val="404040"/>
                <w:sz w:val="20"/>
                <w:szCs w:val="20"/>
                <w:lang w:val="en-AU" w:eastAsia="en-AU"/>
              </w:rPr>
              <w:t>Budget: $14.5</w:t>
            </w:r>
            <w:r w:rsidR="00D92328">
              <w:rPr>
                <w:rFonts w:eastAsia="Times New Roman" w:cstheme="minorHAnsi"/>
                <w:color w:val="404040"/>
                <w:sz w:val="20"/>
                <w:szCs w:val="20"/>
                <w:lang w:val="en-AU" w:eastAsia="en-AU"/>
              </w:rPr>
              <w:t>5</w:t>
            </w:r>
            <w:r>
              <w:rPr>
                <w:rFonts w:eastAsia="Times New Roman" w:cstheme="minorHAnsi"/>
                <w:color w:val="404040"/>
                <w:sz w:val="20"/>
                <w:szCs w:val="20"/>
                <w:lang w:val="en-AU" w:eastAsia="en-AU"/>
              </w:rPr>
              <w:t>m</w:t>
            </w:r>
          </w:p>
        </w:tc>
        <w:tc>
          <w:tcPr>
            <w:tcW w:w="992" w:type="dxa"/>
            <w:tcBorders>
              <w:top w:val="nil"/>
            </w:tcBorders>
            <w:shd w:val="clear" w:color="auto" w:fill="E0F3EF" w:themeFill="accent1" w:themeFillTint="33"/>
          </w:tcPr>
          <w:p w14:paraId="7D0DED27" w14:textId="7BA91ED7" w:rsidR="00765D9A"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2021</w:t>
            </w:r>
          </w:p>
        </w:tc>
        <w:tc>
          <w:tcPr>
            <w:tcW w:w="1418" w:type="dxa"/>
            <w:tcBorders>
              <w:top w:val="nil"/>
            </w:tcBorders>
            <w:shd w:val="clear" w:color="auto" w:fill="E0F3EF" w:themeFill="accent1" w:themeFillTint="33"/>
            <w:noWrap/>
          </w:tcPr>
          <w:p w14:paraId="1A4FE9F4" w14:textId="221109B4" w:rsidR="00765D9A"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134" w:type="dxa"/>
            <w:tcBorders>
              <w:top w:val="nil"/>
            </w:tcBorders>
            <w:shd w:val="clear" w:color="auto" w:fill="E0F3EF" w:themeFill="accent1" w:themeFillTint="33"/>
            <w:noWrap/>
          </w:tcPr>
          <w:p w14:paraId="06CF07FE" w14:textId="02AE11F1" w:rsidR="00765D9A"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276" w:type="dxa"/>
            <w:tcBorders>
              <w:top w:val="nil"/>
            </w:tcBorders>
            <w:shd w:val="clear" w:color="auto" w:fill="E0F3EF" w:themeFill="accent1" w:themeFillTint="33"/>
            <w:noWrap/>
          </w:tcPr>
          <w:p w14:paraId="4F72404A" w14:textId="6AF2EBF7" w:rsidR="00765D9A" w:rsidRDefault="00765D9A"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r>
      <w:tr w:rsidR="00095A03" w:rsidRPr="00AF18F4" w14:paraId="3FC94D3C"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tcPr>
          <w:p w14:paraId="051C135F" w14:textId="223A601A" w:rsidR="00095A03" w:rsidRPr="006D5FA3" w:rsidRDefault="004E6098" w:rsidP="00095A03">
            <w:pPr>
              <w:suppressAutoHyphens w:val="0"/>
              <w:spacing w:before="0" w:after="0" w:line="240" w:lineRule="auto"/>
              <w:rPr>
                <w:rFonts w:eastAsia="Times New Roman" w:cstheme="minorHAnsi"/>
                <w:b/>
                <w:bCs/>
                <w:color w:val="404040"/>
                <w:sz w:val="20"/>
                <w:szCs w:val="20"/>
                <w:lang w:val="en-AU" w:eastAsia="en-AU"/>
              </w:rPr>
            </w:pPr>
            <w:r w:rsidRPr="006D5FA3">
              <w:rPr>
                <w:rFonts w:eastAsia="Times New Roman" w:cstheme="minorHAnsi"/>
                <w:b/>
                <w:bCs/>
                <w:color w:val="404040"/>
                <w:sz w:val="20"/>
                <w:szCs w:val="20"/>
                <w:lang w:val="en-AU" w:eastAsia="en-AU"/>
              </w:rPr>
              <w:t>Eli</w:t>
            </w:r>
            <w:r w:rsidR="005D51B2" w:rsidRPr="006D5FA3">
              <w:rPr>
                <w:rFonts w:eastAsia="Times New Roman" w:cstheme="minorHAnsi"/>
                <w:b/>
                <w:bCs/>
                <w:color w:val="404040"/>
                <w:sz w:val="20"/>
                <w:szCs w:val="20"/>
                <w:lang w:val="en-AU" w:eastAsia="en-AU"/>
              </w:rPr>
              <w:t>mination of Violence</w:t>
            </w:r>
          </w:p>
        </w:tc>
        <w:tc>
          <w:tcPr>
            <w:tcW w:w="992" w:type="dxa"/>
            <w:tcBorders>
              <w:top w:val="none" w:sz="0" w:space="0" w:color="auto"/>
              <w:bottom w:val="nil"/>
            </w:tcBorders>
            <w:shd w:val="clear" w:color="auto" w:fill="F2F2F2" w:themeFill="background1" w:themeFillShade="F2"/>
          </w:tcPr>
          <w:p w14:paraId="211FDBDC" w14:textId="2D10A3B4" w:rsidR="00095A03" w:rsidRDefault="00095A03"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Pr>
                <w:rFonts w:eastAsia="Times New Roman" w:cstheme="minorHAnsi"/>
                <w:color w:val="000000"/>
                <w:sz w:val="20"/>
                <w:szCs w:val="20"/>
                <w:lang w:val="en-AU" w:eastAsia="en-AU"/>
              </w:rPr>
              <w:t>2</w:t>
            </w:r>
          </w:p>
        </w:tc>
        <w:tc>
          <w:tcPr>
            <w:tcW w:w="1418" w:type="dxa"/>
            <w:tcBorders>
              <w:top w:val="none" w:sz="0" w:space="0" w:color="auto"/>
              <w:bottom w:val="nil"/>
            </w:tcBorders>
            <w:shd w:val="clear" w:color="auto" w:fill="F2F2F2" w:themeFill="background1" w:themeFillShade="F2"/>
            <w:noWrap/>
          </w:tcPr>
          <w:p w14:paraId="5E42512D" w14:textId="6AE2CEC3"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134" w:type="dxa"/>
            <w:tcBorders>
              <w:top w:val="none" w:sz="0" w:space="0" w:color="auto"/>
              <w:bottom w:val="nil"/>
            </w:tcBorders>
            <w:shd w:val="clear" w:color="auto" w:fill="F2F2F2" w:themeFill="background1" w:themeFillShade="F2"/>
            <w:noWrap/>
          </w:tcPr>
          <w:p w14:paraId="3131056A" w14:textId="1A2300CF"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3</w:t>
            </w:r>
          </w:p>
        </w:tc>
        <w:tc>
          <w:tcPr>
            <w:tcW w:w="1276" w:type="dxa"/>
            <w:tcBorders>
              <w:top w:val="none" w:sz="0" w:space="0" w:color="auto"/>
              <w:bottom w:val="nil"/>
            </w:tcBorders>
            <w:shd w:val="clear" w:color="auto" w:fill="F2F2F2" w:themeFill="background1" w:themeFillShade="F2"/>
            <w:noWrap/>
          </w:tcPr>
          <w:p w14:paraId="40A973B9" w14:textId="4BE2C350"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r>
      <w:tr w:rsidR="00095A03" w:rsidRPr="00AF18F4" w14:paraId="60645BA1"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7C108042" w14:textId="65393339" w:rsidR="00095A03" w:rsidRDefault="00095A03" w:rsidP="006D5FA3">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Pr="00CA5021">
              <w:rPr>
                <w:rFonts w:eastAsia="Times New Roman" w:cstheme="minorHAnsi"/>
                <w:color w:val="404040"/>
                <w:sz w:val="20"/>
                <w:szCs w:val="20"/>
                <w:lang w:val="en-AU" w:eastAsia="en-AU"/>
              </w:rPr>
              <w:t>uration:</w:t>
            </w:r>
            <w:r w:rsidR="008C23BF">
              <w:rPr>
                <w:rFonts w:eastAsia="Times New Roman" w:cstheme="minorHAnsi"/>
                <w:color w:val="404040"/>
                <w:sz w:val="20"/>
                <w:szCs w:val="20"/>
                <w:lang w:val="en-AU" w:eastAsia="en-AU"/>
              </w:rPr>
              <w:t xml:space="preserve"> 2021-25</w:t>
            </w:r>
            <w:r w:rsidR="00D60327">
              <w:rPr>
                <w:rFonts w:eastAsia="Times New Roman" w:cstheme="minorHAnsi"/>
                <w:color w:val="404040"/>
                <w:sz w:val="20"/>
                <w:szCs w:val="20"/>
                <w:lang w:val="en-AU" w:eastAsia="en-AU"/>
              </w:rPr>
              <w:t>:</w:t>
            </w:r>
            <w:r w:rsidR="00493A24">
              <w:rPr>
                <w:rFonts w:eastAsia="Times New Roman" w:cstheme="minorHAnsi"/>
                <w:color w:val="404040"/>
                <w:sz w:val="20"/>
                <w:szCs w:val="20"/>
                <w:lang w:val="en-AU" w:eastAsia="en-AU"/>
              </w:rPr>
              <w:t xml:space="preserve"> </w:t>
            </w:r>
            <w:r w:rsidRPr="00CA5021">
              <w:rPr>
                <w:rFonts w:eastAsia="Times New Roman" w:cstheme="minorHAnsi"/>
                <w:color w:val="404040"/>
                <w:sz w:val="20"/>
                <w:szCs w:val="20"/>
                <w:lang w:val="en-AU" w:eastAsia="en-AU"/>
              </w:rPr>
              <w:t>Budget:</w:t>
            </w:r>
            <w:r w:rsidR="008C23BF">
              <w:rPr>
                <w:rFonts w:eastAsia="Times New Roman" w:cstheme="minorHAnsi"/>
                <w:color w:val="404040"/>
                <w:sz w:val="20"/>
                <w:szCs w:val="20"/>
                <w:lang w:val="en-AU" w:eastAsia="en-AU"/>
              </w:rPr>
              <w:t xml:space="preserve"> $</w:t>
            </w:r>
            <w:r w:rsidR="00BC42C5">
              <w:rPr>
                <w:rFonts w:eastAsia="Times New Roman" w:cstheme="minorHAnsi"/>
                <w:color w:val="404040"/>
                <w:sz w:val="20"/>
                <w:szCs w:val="20"/>
                <w:lang w:val="en-AU" w:eastAsia="en-AU"/>
              </w:rPr>
              <w:t>9.5m</w:t>
            </w:r>
          </w:p>
        </w:tc>
        <w:tc>
          <w:tcPr>
            <w:tcW w:w="992" w:type="dxa"/>
            <w:tcBorders>
              <w:top w:val="nil"/>
            </w:tcBorders>
            <w:shd w:val="clear" w:color="auto" w:fill="F2F2F2" w:themeFill="background1" w:themeFillShade="F2"/>
          </w:tcPr>
          <w:p w14:paraId="201558A4" w14:textId="7264EBF5" w:rsidR="00095A03" w:rsidRDefault="00095A03"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CA5021">
              <w:rPr>
                <w:rFonts w:eastAsia="Times New Roman" w:cstheme="minorHAnsi"/>
                <w:color w:val="000000"/>
                <w:sz w:val="20"/>
                <w:szCs w:val="20"/>
                <w:lang w:val="en-AU" w:eastAsia="en-AU"/>
              </w:rPr>
              <w:t>202</w:t>
            </w:r>
            <w:r>
              <w:rPr>
                <w:rFonts w:eastAsia="Times New Roman" w:cstheme="minorHAnsi"/>
                <w:color w:val="000000"/>
                <w:sz w:val="20"/>
                <w:szCs w:val="20"/>
                <w:lang w:val="en-AU" w:eastAsia="en-AU"/>
              </w:rPr>
              <w:t>1</w:t>
            </w:r>
          </w:p>
        </w:tc>
        <w:tc>
          <w:tcPr>
            <w:tcW w:w="1418" w:type="dxa"/>
            <w:tcBorders>
              <w:top w:val="nil"/>
            </w:tcBorders>
            <w:shd w:val="clear" w:color="auto" w:fill="F2F2F2" w:themeFill="background1" w:themeFillShade="F2"/>
            <w:noWrap/>
          </w:tcPr>
          <w:p w14:paraId="6DF65E5F" w14:textId="392F15E1"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c>
          <w:tcPr>
            <w:tcW w:w="1134" w:type="dxa"/>
            <w:tcBorders>
              <w:top w:val="nil"/>
            </w:tcBorders>
            <w:shd w:val="clear" w:color="auto" w:fill="F2F2F2" w:themeFill="background1" w:themeFillShade="F2"/>
            <w:noWrap/>
          </w:tcPr>
          <w:p w14:paraId="1F8F57B4" w14:textId="1E1F5885"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c>
          <w:tcPr>
            <w:tcW w:w="1276" w:type="dxa"/>
            <w:tcBorders>
              <w:top w:val="nil"/>
            </w:tcBorders>
            <w:shd w:val="clear" w:color="auto" w:fill="F2F2F2" w:themeFill="background1" w:themeFillShade="F2"/>
            <w:noWrap/>
          </w:tcPr>
          <w:p w14:paraId="59244B29" w14:textId="789A2667" w:rsidR="00095A03" w:rsidRDefault="00A37410"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r>
      <w:tr w:rsidR="00095A03" w:rsidRPr="00AF18F4" w14:paraId="41F54327"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tcPr>
          <w:p w14:paraId="2A8A6396" w14:textId="3E70913F" w:rsidR="00095A03" w:rsidRPr="006D5FA3" w:rsidRDefault="00B173D7" w:rsidP="00095A03">
            <w:pPr>
              <w:suppressAutoHyphens w:val="0"/>
              <w:spacing w:before="0" w:after="0" w:line="240" w:lineRule="auto"/>
              <w:rPr>
                <w:rFonts w:eastAsia="Times New Roman" w:cstheme="minorHAnsi"/>
                <w:b/>
                <w:bCs/>
                <w:color w:val="404040"/>
                <w:sz w:val="20"/>
                <w:szCs w:val="20"/>
                <w:lang w:val="en-AU" w:eastAsia="en-AU"/>
              </w:rPr>
            </w:pPr>
            <w:r w:rsidRPr="006D5FA3">
              <w:rPr>
                <w:rFonts w:eastAsia="Times New Roman" w:cstheme="minorHAnsi"/>
                <w:b/>
                <w:bCs/>
                <w:color w:val="404040"/>
                <w:sz w:val="20"/>
                <w:szCs w:val="20"/>
                <w:lang w:val="en-AU" w:eastAsia="en-AU"/>
              </w:rPr>
              <w:t>Supporti</w:t>
            </w:r>
            <w:r w:rsidR="00FA0B8D" w:rsidRPr="006D5FA3">
              <w:rPr>
                <w:rFonts w:eastAsia="Times New Roman" w:cstheme="minorHAnsi"/>
                <w:b/>
                <w:bCs/>
                <w:color w:val="404040"/>
                <w:sz w:val="20"/>
                <w:szCs w:val="20"/>
                <w:lang w:val="en-AU" w:eastAsia="en-AU"/>
              </w:rPr>
              <w:t xml:space="preserve">ng COVID-19 Vaccine </w:t>
            </w:r>
            <w:r w:rsidR="00F20B80" w:rsidRPr="006D5FA3">
              <w:rPr>
                <w:rFonts w:eastAsia="Times New Roman" w:cstheme="minorHAnsi"/>
                <w:b/>
                <w:bCs/>
                <w:color w:val="404040"/>
                <w:sz w:val="20"/>
                <w:szCs w:val="20"/>
                <w:lang w:val="en-AU" w:eastAsia="en-AU"/>
              </w:rPr>
              <w:t>Delivery</w:t>
            </w:r>
          </w:p>
        </w:tc>
        <w:tc>
          <w:tcPr>
            <w:tcW w:w="992" w:type="dxa"/>
            <w:tcBorders>
              <w:top w:val="none" w:sz="0" w:space="0" w:color="auto"/>
              <w:bottom w:val="nil"/>
            </w:tcBorders>
            <w:shd w:val="clear" w:color="auto" w:fill="E0F3EF" w:themeFill="accent1" w:themeFillTint="33"/>
          </w:tcPr>
          <w:p w14:paraId="1A1B4C28" w14:textId="24BCFF5B" w:rsidR="00095A03" w:rsidRDefault="00095A03"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tcPr>
          <w:p w14:paraId="24456C21" w14:textId="38A8866A"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5</w:t>
            </w:r>
          </w:p>
        </w:tc>
        <w:tc>
          <w:tcPr>
            <w:tcW w:w="1134" w:type="dxa"/>
            <w:tcBorders>
              <w:top w:val="none" w:sz="0" w:space="0" w:color="auto"/>
              <w:bottom w:val="nil"/>
            </w:tcBorders>
            <w:shd w:val="clear" w:color="auto" w:fill="E0F3EF" w:themeFill="accent1" w:themeFillTint="33"/>
            <w:noWrap/>
          </w:tcPr>
          <w:p w14:paraId="1652006A" w14:textId="343970A4"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E0F3EF" w:themeFill="accent1" w:themeFillTint="33"/>
            <w:noWrap/>
          </w:tcPr>
          <w:p w14:paraId="62E68E7D" w14:textId="1AA31F25"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3</w:t>
            </w:r>
          </w:p>
        </w:tc>
      </w:tr>
      <w:tr w:rsidR="00095A03" w:rsidRPr="00AF18F4" w14:paraId="2C96A6D1" w14:textId="77777777" w:rsidTr="002907BB">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bottom w:val="none" w:sz="0" w:space="0" w:color="auto"/>
            </w:tcBorders>
            <w:shd w:val="clear" w:color="auto" w:fill="E0F3EF" w:themeFill="accent1" w:themeFillTint="33"/>
          </w:tcPr>
          <w:p w14:paraId="15FFFA61" w14:textId="5E6EFCB4" w:rsidR="00095A03" w:rsidRDefault="00095A03" w:rsidP="006D5FA3">
            <w:pPr>
              <w:suppressAutoHyphens w:val="0"/>
              <w:spacing w:before="0" w:after="0" w:line="240" w:lineRule="auto"/>
              <w:ind w:firstLineChars="100" w:firstLine="200"/>
              <w:rPr>
                <w:rFonts w:eastAsia="Times New Roman" w:cstheme="minorHAnsi"/>
                <w:color w:val="404040"/>
                <w:sz w:val="20"/>
                <w:szCs w:val="20"/>
                <w:lang w:val="en-AU" w:eastAsia="en-AU"/>
              </w:rPr>
            </w:pPr>
            <w:r>
              <w:rPr>
                <w:rFonts w:eastAsia="Times New Roman" w:cstheme="minorHAnsi"/>
                <w:color w:val="404040"/>
                <w:sz w:val="20"/>
                <w:szCs w:val="20"/>
                <w:lang w:val="en-AU" w:eastAsia="en-AU"/>
              </w:rPr>
              <w:t>Investment d</w:t>
            </w:r>
            <w:r w:rsidRPr="00CA5021">
              <w:rPr>
                <w:rFonts w:eastAsia="Times New Roman" w:cstheme="minorHAnsi"/>
                <w:color w:val="404040"/>
                <w:sz w:val="20"/>
                <w:szCs w:val="20"/>
                <w:lang w:val="en-AU" w:eastAsia="en-AU"/>
              </w:rPr>
              <w:t>uration:</w:t>
            </w:r>
            <w:r w:rsidR="003217B2">
              <w:rPr>
                <w:rFonts w:eastAsia="Times New Roman" w:cstheme="minorHAnsi"/>
                <w:color w:val="404040"/>
                <w:sz w:val="20"/>
                <w:szCs w:val="20"/>
                <w:lang w:val="en-AU" w:eastAsia="en-AU"/>
              </w:rPr>
              <w:t xml:space="preserve"> 2021-23</w:t>
            </w:r>
            <w:r w:rsidRPr="00CA5021">
              <w:rPr>
                <w:rFonts w:eastAsia="Times New Roman" w:cstheme="minorHAnsi"/>
                <w:color w:val="404040"/>
                <w:sz w:val="20"/>
                <w:szCs w:val="20"/>
                <w:lang w:val="en-AU" w:eastAsia="en-AU"/>
              </w:rPr>
              <w:t xml:space="preserve">; Budget: </w:t>
            </w:r>
            <w:r w:rsidR="00A97199">
              <w:rPr>
                <w:rFonts w:eastAsia="Times New Roman" w:cstheme="minorHAnsi"/>
                <w:color w:val="404040"/>
                <w:sz w:val="20"/>
                <w:szCs w:val="20"/>
                <w:lang w:val="en-AU" w:eastAsia="en-AU"/>
              </w:rPr>
              <w:t>$18.3m</w:t>
            </w:r>
          </w:p>
        </w:tc>
        <w:tc>
          <w:tcPr>
            <w:tcW w:w="992" w:type="dxa"/>
            <w:tcBorders>
              <w:top w:val="nil"/>
              <w:bottom w:val="none" w:sz="0" w:space="0" w:color="auto"/>
            </w:tcBorders>
            <w:shd w:val="clear" w:color="auto" w:fill="E0F3EF" w:themeFill="accent1" w:themeFillTint="33"/>
          </w:tcPr>
          <w:p w14:paraId="18352053" w14:textId="019D0886" w:rsidR="00095A03" w:rsidRDefault="00095A03"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2021</w:t>
            </w:r>
          </w:p>
        </w:tc>
        <w:tc>
          <w:tcPr>
            <w:tcW w:w="1418" w:type="dxa"/>
            <w:tcBorders>
              <w:top w:val="nil"/>
              <w:bottom w:val="none" w:sz="0" w:space="0" w:color="auto"/>
            </w:tcBorders>
            <w:shd w:val="clear" w:color="auto" w:fill="E0F3EF" w:themeFill="accent1" w:themeFillTint="33"/>
            <w:noWrap/>
          </w:tcPr>
          <w:p w14:paraId="4925D5C3" w14:textId="59649B5A"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c>
          <w:tcPr>
            <w:tcW w:w="1134" w:type="dxa"/>
            <w:tcBorders>
              <w:top w:val="nil"/>
              <w:bottom w:val="none" w:sz="0" w:space="0" w:color="auto"/>
            </w:tcBorders>
            <w:shd w:val="clear" w:color="auto" w:fill="E0F3EF" w:themeFill="accent1" w:themeFillTint="33"/>
            <w:noWrap/>
          </w:tcPr>
          <w:p w14:paraId="4B8669DD" w14:textId="691C1B3F"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c>
          <w:tcPr>
            <w:tcW w:w="1276" w:type="dxa"/>
            <w:tcBorders>
              <w:top w:val="nil"/>
              <w:bottom w:val="none" w:sz="0" w:space="0" w:color="auto"/>
            </w:tcBorders>
            <w:shd w:val="clear" w:color="auto" w:fill="E0F3EF" w:themeFill="accent1" w:themeFillTint="33"/>
            <w:noWrap/>
          </w:tcPr>
          <w:p w14:paraId="7E981CD2" w14:textId="68D39901" w:rsidR="00095A03" w:rsidRDefault="00A97199" w:rsidP="00095A0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en-AU"/>
              </w:rPr>
              <w:t>n/a</w:t>
            </w:r>
          </w:p>
        </w:tc>
      </w:tr>
    </w:tbl>
    <w:p w14:paraId="17600418" w14:textId="35564D6C"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55D12ABE"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1 = Very poor; does not satisfy criteria in many major area</w:t>
      </w:r>
      <w:r w:rsidR="001520DF">
        <w:rPr>
          <w:sz w:val="16"/>
          <w:szCs w:val="16"/>
        </w:rPr>
        <w:t>s</w:t>
      </w:r>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68822" w14:textId="77777777" w:rsidR="00667244" w:rsidRDefault="00667244" w:rsidP="00D37B04">
      <w:r>
        <w:separator/>
      </w:r>
    </w:p>
  </w:endnote>
  <w:endnote w:type="continuationSeparator" w:id="0">
    <w:p w14:paraId="63682808" w14:textId="77777777" w:rsidR="00667244" w:rsidRDefault="00667244" w:rsidP="00D37B04">
      <w:r>
        <w:continuationSeparator/>
      </w:r>
    </w:p>
  </w:endnote>
  <w:endnote w:type="continuationNotice" w:id="1">
    <w:p w14:paraId="54BFAEEE" w14:textId="77777777" w:rsidR="00667244" w:rsidRDefault="006672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291432"/>
      <w:docPartObj>
        <w:docPartGallery w:val="Page Numbers (Bottom of Page)"/>
        <w:docPartUnique/>
      </w:docPartObj>
    </w:sdtPr>
    <w:sdtEndPr>
      <w:rPr>
        <w:noProof/>
      </w:rPr>
    </w:sdtEndPr>
    <w:sdtContent>
      <w:p w14:paraId="2BDF9BF0" w14:textId="7F886CD3" w:rsidR="009815AC" w:rsidRDefault="00753FDA">
        <w:pPr>
          <w:pStyle w:val="Footer"/>
          <w:jc w:val="center"/>
        </w:pPr>
        <w:r>
          <w:rPr>
            <w:noProof/>
            <w:color w:val="auto"/>
          </w:rPr>
          <w:drawing>
            <wp:anchor distT="0" distB="0" distL="114300" distR="114300" simplePos="0" relativeHeight="251659264" behindDoc="1" locked="0" layoutInCell="1" allowOverlap="1" wp14:anchorId="308FC039" wp14:editId="20410418">
              <wp:simplePos x="0" y="0"/>
              <wp:positionH relativeFrom="margin">
                <wp:align>left</wp:align>
              </wp:positionH>
              <wp:positionV relativeFrom="paragraph">
                <wp:posOffset>-172720</wp:posOffset>
              </wp:positionV>
              <wp:extent cx="6629948" cy="357173"/>
              <wp:effectExtent l="0" t="0" r="0" b="508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r w:rsidR="009815AC" w:rsidRPr="009815AC">
          <w:rPr>
            <w:color w:val="auto"/>
          </w:rPr>
          <w:fldChar w:fldCharType="begin"/>
        </w:r>
        <w:r w:rsidR="009815AC" w:rsidRPr="009815AC">
          <w:rPr>
            <w:color w:val="auto"/>
          </w:rPr>
          <w:instrText xml:space="preserve"> PAGE   \* MERGEFORMAT </w:instrText>
        </w:r>
        <w:r w:rsidR="009815AC" w:rsidRPr="009815AC">
          <w:rPr>
            <w:color w:val="auto"/>
          </w:rPr>
          <w:fldChar w:fldCharType="separate"/>
        </w:r>
        <w:r w:rsidR="009815AC" w:rsidRPr="009815AC">
          <w:rPr>
            <w:noProof/>
            <w:color w:val="auto"/>
          </w:rPr>
          <w:t>2</w:t>
        </w:r>
        <w:r w:rsidR="009815AC" w:rsidRPr="009815AC">
          <w:rPr>
            <w:noProof/>
            <w:color w:val="auto"/>
          </w:rPr>
          <w:fldChar w:fldCharType="end"/>
        </w:r>
      </w:p>
    </w:sdtContent>
  </w:sdt>
  <w:p w14:paraId="3A729F02" w14:textId="16922454" w:rsidR="00854FF3" w:rsidRDefault="00854FF3"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5D24D" w14:textId="77777777" w:rsidR="00667244" w:rsidRPr="008C5A0E" w:rsidRDefault="00667244" w:rsidP="00D37B04">
      <w:pPr>
        <w:pStyle w:val="Footer"/>
      </w:pPr>
    </w:p>
  </w:footnote>
  <w:footnote w:type="continuationSeparator" w:id="0">
    <w:p w14:paraId="0A231153" w14:textId="77777777" w:rsidR="00667244" w:rsidRDefault="00667244" w:rsidP="00D37B04">
      <w:r>
        <w:continuationSeparator/>
      </w:r>
    </w:p>
  </w:footnote>
  <w:footnote w:type="continuationNotice" w:id="1">
    <w:p w14:paraId="36041F5D" w14:textId="77777777" w:rsidR="00667244" w:rsidRDefault="00667244">
      <w:pPr>
        <w:spacing w:before="0" w:after="0" w:line="240" w:lineRule="auto"/>
      </w:pPr>
    </w:p>
  </w:footnote>
  <w:footnote w:id="2">
    <w:p w14:paraId="4A37C8DB" w14:textId="77777777" w:rsidR="00854FF3" w:rsidRPr="00AE3203" w:rsidRDefault="00854FF3" w:rsidP="00AE3203">
      <w:pPr>
        <w:spacing w:before="0" w:after="0" w:line="259" w:lineRule="auto"/>
        <w:rPr>
          <w:rFonts w:cstheme="minorHAnsi"/>
          <w:sz w:val="12"/>
          <w:szCs w:val="12"/>
        </w:rPr>
      </w:pPr>
      <w:r w:rsidRPr="00AE3203">
        <w:rPr>
          <w:rFonts w:cstheme="minorHAnsi"/>
          <w:sz w:val="12"/>
          <w:szCs w:val="12"/>
        </w:rPr>
        <w:footnoteRef/>
      </w:r>
      <w:r w:rsidRPr="00AE3203">
        <w:rPr>
          <w:rFonts w:cstheme="minorHAnsi"/>
          <w:sz w:val="12"/>
          <w:szCs w:val="12"/>
        </w:rPr>
        <w:t xml:space="preserve"> Tier 2 Indicator: Evidence that partner countries have improved responses to health security threats: Note the Vietnam CRP indicator includes a number of other indicators in this indicator </w:t>
      </w:r>
    </w:p>
  </w:footnote>
  <w:footnote w:id="3">
    <w:p w14:paraId="14CFEE34" w14:textId="77777777" w:rsidR="00854FF3" w:rsidRPr="003E5F68" w:rsidRDefault="00854FF3" w:rsidP="00AE3203">
      <w:pPr>
        <w:pStyle w:val="FootnoteText"/>
        <w:numPr>
          <w:ilvl w:val="0"/>
          <w:numId w:val="30"/>
        </w:numPr>
        <w:suppressAutoHyphens w:val="0"/>
        <w:spacing w:before="0" w:line="259" w:lineRule="auto"/>
      </w:pPr>
      <w:r w:rsidRPr="00AE3203">
        <w:rPr>
          <w:rFonts w:cstheme="minorHAnsi"/>
          <w:szCs w:val="12"/>
        </w:rPr>
        <w:footnoteRef/>
      </w:r>
      <w:r w:rsidRPr="00AE3203">
        <w:rPr>
          <w:rFonts w:cstheme="minorHAnsi"/>
          <w:szCs w:val="12"/>
        </w:rPr>
        <w:t xml:space="preserve"> Tier 2 Indicator: Number of partner countries where Australia has contributed to strengthened health systems including preparedness for health emergencies (with examples).</w:t>
      </w:r>
    </w:p>
  </w:footnote>
  <w:footnote w:id="4">
    <w:p w14:paraId="554B0DF0" w14:textId="77777777" w:rsidR="00854FF3" w:rsidRDefault="00854FF3" w:rsidP="00AE3203">
      <w:pPr>
        <w:pStyle w:val="FootnoteText"/>
        <w:numPr>
          <w:ilvl w:val="0"/>
          <w:numId w:val="30"/>
        </w:numPr>
        <w:suppressAutoHyphens w:val="0"/>
        <w:spacing w:before="0" w:line="259" w:lineRule="auto"/>
        <w:rPr>
          <w:rFonts w:ascii="Arial Narrow" w:hAnsi="Arial Narrow"/>
        </w:rPr>
      </w:pPr>
      <w:r w:rsidRPr="00AE3203">
        <w:rPr>
          <w:rStyle w:val="FootnoteReference"/>
        </w:rPr>
        <w:footnoteRef/>
      </w:r>
      <w:r w:rsidRPr="00AE3203">
        <w:t xml:space="preserve"> Tier 2 Indicator: Countries Australia has supported in last 12 months to strengthen governance systems (by type) (including examples of assistance provided and significant policy change achieved)</w:t>
      </w:r>
    </w:p>
  </w:footnote>
  <w:footnote w:id="5">
    <w:p w14:paraId="6D7B5AA4" w14:textId="77777777" w:rsidR="00854FF3" w:rsidRPr="00AE3203" w:rsidRDefault="00854FF3" w:rsidP="00AE3203">
      <w:pPr>
        <w:pStyle w:val="FootnoteText"/>
        <w:numPr>
          <w:ilvl w:val="0"/>
          <w:numId w:val="30"/>
        </w:numPr>
        <w:suppressAutoHyphens w:val="0"/>
        <w:spacing w:before="0" w:line="260" w:lineRule="auto"/>
      </w:pPr>
      <w:r w:rsidRPr="003E5F68">
        <w:rPr>
          <w:rStyle w:val="FootnoteReference"/>
        </w:rPr>
        <w:footnoteRef/>
      </w:r>
      <w:r w:rsidRPr="003E5F68">
        <w:t xml:space="preserve"> </w:t>
      </w:r>
      <w:r w:rsidRPr="00AE3203">
        <w:t>Tier 2 Indicator: Number of women and girls survivors of violence receiving services such as counselling</w:t>
      </w:r>
    </w:p>
  </w:footnote>
  <w:footnote w:id="6">
    <w:p w14:paraId="384C2D46" w14:textId="77777777" w:rsidR="00854FF3" w:rsidRPr="00AE3203" w:rsidRDefault="00854FF3" w:rsidP="00AE3203">
      <w:pPr>
        <w:pStyle w:val="FootnoteText"/>
        <w:numPr>
          <w:ilvl w:val="0"/>
          <w:numId w:val="30"/>
        </w:numPr>
        <w:suppressAutoHyphens w:val="0"/>
        <w:spacing w:before="0" w:line="260" w:lineRule="auto"/>
      </w:pPr>
      <w:r w:rsidRPr="003E5F68">
        <w:rPr>
          <w:rStyle w:val="FootnoteReference"/>
        </w:rPr>
        <w:footnoteRef/>
      </w:r>
      <w:r w:rsidRPr="003E5F68">
        <w:t xml:space="preserve"> </w:t>
      </w:r>
      <w:r w:rsidRPr="00AE3203">
        <w:t>Tier 2 indicator: Countries Australia has supported in the last 12 months with policy and technical advice on building capacity for food security</w:t>
      </w:r>
    </w:p>
  </w:footnote>
  <w:footnote w:id="7">
    <w:p w14:paraId="7BD20659" w14:textId="3A6F1C4D" w:rsidR="00854FF3" w:rsidRDefault="00854FF3" w:rsidP="00AE3203">
      <w:pPr>
        <w:pStyle w:val="FootnoteText"/>
        <w:numPr>
          <w:ilvl w:val="0"/>
          <w:numId w:val="30"/>
        </w:numPr>
        <w:suppressAutoHyphens w:val="0"/>
        <w:spacing w:before="0" w:line="260" w:lineRule="auto"/>
        <w:rPr>
          <w:rFonts w:ascii="Arial Narrow" w:hAnsi="Arial Narrow"/>
        </w:rPr>
      </w:pPr>
      <w:r w:rsidRPr="00AE3203">
        <w:rPr>
          <w:rStyle w:val="FootnoteReference"/>
        </w:rPr>
        <w:footnoteRef/>
      </w:r>
      <w:r w:rsidRPr="00AE3203">
        <w:t xml:space="preserve"> Tier 2 indicator: Countries Australia has supported in the last 12 months with policy and technical advice on stimulus measures and </w:t>
      </w:r>
      <w:r w:rsidR="00B82961" w:rsidRPr="00AE3203">
        <w:t>longer-term</w:t>
      </w:r>
      <w:r w:rsidRPr="00AE3203">
        <w:t xml:space="preserve"> economic recovery (including examples of assistance provided and results achieved)</w:t>
      </w:r>
    </w:p>
  </w:footnote>
  <w:footnote w:id="8">
    <w:p w14:paraId="431BAF81" w14:textId="77777777" w:rsidR="00854FF3" w:rsidRPr="000B67B0" w:rsidRDefault="00854FF3" w:rsidP="00AE3203">
      <w:pPr>
        <w:pStyle w:val="FootnoteText"/>
        <w:numPr>
          <w:ilvl w:val="0"/>
          <w:numId w:val="30"/>
        </w:numPr>
        <w:suppressAutoHyphens w:val="0"/>
        <w:spacing w:before="0" w:line="260" w:lineRule="auto"/>
        <w:rPr>
          <w:rFonts w:cstheme="minorHAnsi"/>
        </w:rPr>
      </w:pPr>
      <w:r w:rsidRPr="00AE3203">
        <w:rPr>
          <w:rStyle w:val="FootnoteReference"/>
        </w:rPr>
        <w:footnoteRef/>
      </w:r>
      <w:r w:rsidRPr="00AE3203">
        <w:t xml:space="preserve"> </w:t>
      </w:r>
      <w:r w:rsidRPr="000B67B0">
        <w:rPr>
          <w:rFonts w:cstheme="minorHAnsi"/>
        </w:rPr>
        <w:t>Tier 2 indicator: Number of female entrepreneurs provided with financial and/or business development services</w:t>
      </w:r>
    </w:p>
  </w:footnote>
  <w:footnote w:id="9">
    <w:p w14:paraId="7EFD55D4" w14:textId="77777777" w:rsidR="00854FF3" w:rsidRDefault="00854FF3" w:rsidP="006D0502">
      <w:pPr>
        <w:pStyle w:val="FootnoteText"/>
        <w:numPr>
          <w:ilvl w:val="0"/>
          <w:numId w:val="30"/>
        </w:numPr>
        <w:suppressAutoHyphens w:val="0"/>
        <w:spacing w:before="0" w:line="240" w:lineRule="auto"/>
        <w:rPr>
          <w:rFonts w:ascii="Arial Narrow" w:hAnsi="Arial Narrow"/>
        </w:rPr>
      </w:pPr>
      <w:r w:rsidRPr="000B67B0">
        <w:rPr>
          <w:rStyle w:val="FootnoteReference"/>
          <w:rFonts w:cstheme="minorHAnsi"/>
        </w:rPr>
        <w:footnoteRef/>
      </w:r>
      <w:r w:rsidRPr="000B67B0">
        <w:rPr>
          <w:rFonts w:cstheme="minorHAnsi"/>
        </w:rPr>
        <w:t xml:space="preserve"> Tier 2 indicator: Examples of partnering with the private sector and other partners to ensure supply lines are 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7256742A" w:rsidR="00854FF3" w:rsidRDefault="00854FF3" w:rsidP="007A4493">
    <w:pPr>
      <w:pStyle w:val="Header"/>
      <w:ind w:left="0"/>
    </w:pPr>
    <w:r w:rsidRPr="00A12B40">
      <w:rPr>
        <w:i/>
        <w:noProof/>
        <w:color w:val="2B579A"/>
        <w:shd w:val="clear" w:color="auto" w:fill="E6E6E6"/>
        <w:lang w:val="en-AU" w:eastAsia="en-AU"/>
      </w:rPr>
      <w:drawing>
        <wp:inline distT="0" distB="0" distL="0" distR="0" wp14:anchorId="7248A92F" wp14:editId="7CBD7E78">
          <wp:extent cx="6718853" cy="707390"/>
          <wp:effectExtent l="0" t="0" r="635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854FF3" w:rsidRDefault="00854FF3" w:rsidP="001F7F4D">
    <w:pPr>
      <w:pStyle w:val="Header"/>
      <w:spacing w:after="240"/>
      <w:ind w:left="0"/>
    </w:pPr>
    <w:r>
      <w:rPr>
        <w:noProof/>
        <w:color w:val="2B579A"/>
        <w:shd w:val="clear" w:color="auto" w:fill="E6E6E6"/>
      </w:rPr>
      <w:drawing>
        <wp:inline distT="0" distB="0" distL="0" distR="0" wp14:anchorId="53173A37" wp14:editId="3D212865">
          <wp:extent cx="6696075" cy="1247775"/>
          <wp:effectExtent l="0" t="0" r="9525" b="9525"/>
          <wp:docPr id="12" name="Picture 1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854FF3" w:rsidRPr="00943730" w:rsidRDefault="00854FF3"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E7992"/>
    <w:multiLevelType w:val="hybridMultilevel"/>
    <w:tmpl w:val="55D2DB18"/>
    <w:lvl w:ilvl="0" w:tplc="524A4646">
      <w:start w:val="12"/>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C14D0D"/>
    <w:multiLevelType w:val="hybridMultilevel"/>
    <w:tmpl w:val="6F4C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E8A4774"/>
    <w:multiLevelType w:val="hybridMultilevel"/>
    <w:tmpl w:val="491C4FC0"/>
    <w:lvl w:ilvl="0" w:tplc="F1D0666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559EC"/>
    <w:multiLevelType w:val="multilevel"/>
    <w:tmpl w:val="C920726E"/>
    <w:lvl w:ilvl="0">
      <w:start w:val="1"/>
      <w:numFmt w:val="none"/>
      <w:suff w:val="nothing"/>
      <w:lvlText w:val="%1"/>
      <w:lvlJc w:val="left"/>
      <w:pPr>
        <w:ind w:left="0" w:firstLine="0"/>
      </w:pPr>
    </w:lvl>
    <w:lvl w:ilvl="1">
      <w:start w:val="1"/>
      <w:numFmt w:val="decimal"/>
      <w:lvlText w:val="%2."/>
      <w:lvlJc w:val="left"/>
      <w:pPr>
        <w:ind w:left="432" w:hanging="432"/>
      </w:pPr>
      <w:rPr>
        <w:rFonts w:asciiTheme="minorHAnsi" w:hAnsiTheme="minorHAnsi" w:cs="Times New Roman" w:hint="default"/>
        <w:color w:val="65C5B4" w:themeColor="accent1"/>
      </w:rPr>
    </w:lvl>
    <w:lvl w:ilvl="2">
      <w:start w:val="1"/>
      <w:numFmt w:val="lowerLetter"/>
      <w:lvlText w:val="%3."/>
      <w:lvlJc w:val="left"/>
      <w:pPr>
        <w:ind w:left="864" w:hanging="432"/>
      </w:pPr>
      <w:rPr>
        <w:rFonts w:asciiTheme="minorHAnsi" w:hAnsiTheme="minorHAnsi" w:cs="Times New Roman" w:hint="default"/>
        <w:color w:val="D3875F"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2D0607"/>
    <w:multiLevelType w:val="hybridMultilevel"/>
    <w:tmpl w:val="E674A0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02461B"/>
    <w:multiLevelType w:val="hybridMultilevel"/>
    <w:tmpl w:val="80BC4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8F3FBE"/>
    <w:multiLevelType w:val="hybridMultilevel"/>
    <w:tmpl w:val="62F6FB54"/>
    <w:lvl w:ilvl="0" w:tplc="D0F4D830">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5C4E5F"/>
    <w:multiLevelType w:val="hybridMultilevel"/>
    <w:tmpl w:val="D17E61E2"/>
    <w:lvl w:ilvl="0" w:tplc="19EE2E76">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D119E"/>
    <w:multiLevelType w:val="hybridMultilevel"/>
    <w:tmpl w:val="39D65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F132CE"/>
    <w:multiLevelType w:val="multilevel"/>
    <w:tmpl w:val="3B7A10DE"/>
    <w:numStyleLink w:val="BulletsList"/>
  </w:abstractNum>
  <w:abstractNum w:abstractNumId="16"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8213FF"/>
    <w:multiLevelType w:val="hybridMultilevel"/>
    <w:tmpl w:val="B9DCA958"/>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5E94BFC"/>
    <w:multiLevelType w:val="multilevel"/>
    <w:tmpl w:val="D2DAACD0"/>
    <w:lvl w:ilvl="0">
      <w:start w:val="1"/>
      <w:numFmt w:val="bullet"/>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2" w15:restartNumberingAfterBreak="0">
    <w:nsid w:val="50091C78"/>
    <w:multiLevelType w:val="hybridMultilevel"/>
    <w:tmpl w:val="A704E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BD266D"/>
    <w:multiLevelType w:val="hybridMultilevel"/>
    <w:tmpl w:val="DD78C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80572"/>
    <w:multiLevelType w:val="hybridMultilevel"/>
    <w:tmpl w:val="4BE87B5A"/>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32"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755CEB"/>
    <w:multiLevelType w:val="hybridMultilevel"/>
    <w:tmpl w:val="72ACA430"/>
    <w:lvl w:ilvl="0" w:tplc="1B26F974">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C4E0D8A"/>
    <w:multiLevelType w:val="hybridMultilevel"/>
    <w:tmpl w:val="0E9AA5D6"/>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41"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11"/>
  </w:num>
  <w:num w:numId="4">
    <w:abstractNumId w:val="26"/>
  </w:num>
  <w:num w:numId="5">
    <w:abstractNumId w:val="29"/>
  </w:num>
  <w:num w:numId="6">
    <w:abstractNumId w:val="11"/>
  </w:num>
  <w:num w:numId="7">
    <w:abstractNumId w:val="2"/>
  </w:num>
  <w:num w:numId="8">
    <w:abstractNumId w:val="5"/>
  </w:num>
  <w:num w:numId="9">
    <w:abstractNumId w:val="39"/>
  </w:num>
  <w:num w:numId="10">
    <w:abstractNumId w:val="15"/>
  </w:num>
  <w:num w:numId="11">
    <w:abstractNumId w:val="23"/>
  </w:num>
  <w:num w:numId="12">
    <w:abstractNumId w:val="24"/>
  </w:num>
  <w:num w:numId="13">
    <w:abstractNumId w:val="0"/>
  </w:num>
  <w:num w:numId="14">
    <w:abstractNumId w:val="21"/>
  </w:num>
  <w:num w:numId="15">
    <w:abstractNumId w:val="27"/>
  </w:num>
  <w:num w:numId="16">
    <w:abstractNumId w:val="32"/>
  </w:num>
  <w:num w:numId="17">
    <w:abstractNumId w:val="7"/>
  </w:num>
  <w:num w:numId="18">
    <w:abstractNumId w:val="28"/>
  </w:num>
  <w:num w:numId="19">
    <w:abstractNumId w:val="38"/>
  </w:num>
  <w:num w:numId="20">
    <w:abstractNumId w:val="17"/>
  </w:num>
  <w:num w:numId="21">
    <w:abstractNumId w:val="37"/>
  </w:num>
  <w:num w:numId="22">
    <w:abstractNumId w:val="16"/>
  </w:num>
  <w:num w:numId="23">
    <w:abstractNumId w:val="4"/>
  </w:num>
  <w:num w:numId="24">
    <w:abstractNumId w:val="35"/>
  </w:num>
  <w:num w:numId="25">
    <w:abstractNumId w:val="41"/>
  </w:num>
  <w:num w:numId="26">
    <w:abstractNumId w:val="20"/>
  </w:num>
  <w:num w:numId="27">
    <w:abstractNumId w:val="30"/>
  </w:num>
  <w:num w:numId="28">
    <w:abstractNumId w:val="34"/>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0"/>
  </w:num>
  <w:num w:numId="33">
    <w:abstractNumId w:val="3"/>
  </w:num>
  <w:num w:numId="34">
    <w:abstractNumId w:val="14"/>
  </w:num>
  <w:num w:numId="35">
    <w:abstractNumId w:val="12"/>
  </w:num>
  <w:num w:numId="36">
    <w:abstractNumId w:val="2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6"/>
  </w:num>
  <w:num w:numId="41">
    <w:abstractNumId w:val="1"/>
  </w:num>
  <w:num w:numId="42">
    <w:abstractNumId w:val="19"/>
  </w:num>
  <w:num w:numId="43">
    <w:abstractNumId w:val="9"/>
  </w:num>
  <w:num w:numId="44">
    <w:abstractNumId w:val="18"/>
  </w:num>
  <w:num w:numId="45">
    <w:abstractNumId w:val="31"/>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064C"/>
    <w:rsid w:val="00001571"/>
    <w:rsid w:val="00001DA8"/>
    <w:rsid w:val="000020C1"/>
    <w:rsid w:val="00005812"/>
    <w:rsid w:val="000067BF"/>
    <w:rsid w:val="000068A1"/>
    <w:rsid w:val="00010006"/>
    <w:rsid w:val="00011235"/>
    <w:rsid w:val="000126B8"/>
    <w:rsid w:val="00013DF9"/>
    <w:rsid w:val="00014F42"/>
    <w:rsid w:val="00015AB7"/>
    <w:rsid w:val="00015DC0"/>
    <w:rsid w:val="000167D6"/>
    <w:rsid w:val="00017347"/>
    <w:rsid w:val="000179BB"/>
    <w:rsid w:val="00020164"/>
    <w:rsid w:val="0002080A"/>
    <w:rsid w:val="0002150D"/>
    <w:rsid w:val="0002782F"/>
    <w:rsid w:val="00030EBA"/>
    <w:rsid w:val="00031486"/>
    <w:rsid w:val="000314BA"/>
    <w:rsid w:val="000339DD"/>
    <w:rsid w:val="00033DF1"/>
    <w:rsid w:val="00035BBF"/>
    <w:rsid w:val="00035CBC"/>
    <w:rsid w:val="0003617E"/>
    <w:rsid w:val="00040364"/>
    <w:rsid w:val="000407B4"/>
    <w:rsid w:val="00040E83"/>
    <w:rsid w:val="000415A9"/>
    <w:rsid w:val="000417C3"/>
    <w:rsid w:val="00041CA8"/>
    <w:rsid w:val="000444F3"/>
    <w:rsid w:val="00050806"/>
    <w:rsid w:val="00051F3B"/>
    <w:rsid w:val="0005417C"/>
    <w:rsid w:val="000546D9"/>
    <w:rsid w:val="00054E4D"/>
    <w:rsid w:val="0005564F"/>
    <w:rsid w:val="00055880"/>
    <w:rsid w:val="00056F24"/>
    <w:rsid w:val="00060073"/>
    <w:rsid w:val="000616C6"/>
    <w:rsid w:val="00061BEF"/>
    <w:rsid w:val="00062E32"/>
    <w:rsid w:val="00070896"/>
    <w:rsid w:val="00080B84"/>
    <w:rsid w:val="000816F4"/>
    <w:rsid w:val="000822AD"/>
    <w:rsid w:val="000854FD"/>
    <w:rsid w:val="000902A8"/>
    <w:rsid w:val="00095A03"/>
    <w:rsid w:val="0009676B"/>
    <w:rsid w:val="000A20E7"/>
    <w:rsid w:val="000A39DD"/>
    <w:rsid w:val="000A407E"/>
    <w:rsid w:val="000A5E55"/>
    <w:rsid w:val="000B0731"/>
    <w:rsid w:val="000B37F5"/>
    <w:rsid w:val="000B3D39"/>
    <w:rsid w:val="000B40E9"/>
    <w:rsid w:val="000B54FB"/>
    <w:rsid w:val="000B5B0F"/>
    <w:rsid w:val="000B5DA7"/>
    <w:rsid w:val="000B67B0"/>
    <w:rsid w:val="000B78E6"/>
    <w:rsid w:val="000C3A4C"/>
    <w:rsid w:val="000C4411"/>
    <w:rsid w:val="000D003A"/>
    <w:rsid w:val="000D225D"/>
    <w:rsid w:val="000D26C3"/>
    <w:rsid w:val="000D2896"/>
    <w:rsid w:val="000D38FC"/>
    <w:rsid w:val="000D502C"/>
    <w:rsid w:val="000D5E06"/>
    <w:rsid w:val="000D66D6"/>
    <w:rsid w:val="000D6F12"/>
    <w:rsid w:val="000E034E"/>
    <w:rsid w:val="000E1045"/>
    <w:rsid w:val="000E53F5"/>
    <w:rsid w:val="000E58BF"/>
    <w:rsid w:val="000E6C44"/>
    <w:rsid w:val="000F00C5"/>
    <w:rsid w:val="000F1286"/>
    <w:rsid w:val="000F178D"/>
    <w:rsid w:val="000F2600"/>
    <w:rsid w:val="000F2B66"/>
    <w:rsid w:val="000F4046"/>
    <w:rsid w:val="000F663B"/>
    <w:rsid w:val="000F78C9"/>
    <w:rsid w:val="00100F35"/>
    <w:rsid w:val="00105146"/>
    <w:rsid w:val="00110214"/>
    <w:rsid w:val="00113288"/>
    <w:rsid w:val="0011475A"/>
    <w:rsid w:val="00114A4E"/>
    <w:rsid w:val="00116E9F"/>
    <w:rsid w:val="001203A0"/>
    <w:rsid w:val="001214BE"/>
    <w:rsid w:val="0012165D"/>
    <w:rsid w:val="00121DDD"/>
    <w:rsid w:val="001220B7"/>
    <w:rsid w:val="001227F1"/>
    <w:rsid w:val="00123C0B"/>
    <w:rsid w:val="0013101C"/>
    <w:rsid w:val="0013385F"/>
    <w:rsid w:val="00134AEA"/>
    <w:rsid w:val="001352AA"/>
    <w:rsid w:val="00137F4E"/>
    <w:rsid w:val="00141564"/>
    <w:rsid w:val="00142A6C"/>
    <w:rsid w:val="00144C32"/>
    <w:rsid w:val="001461D6"/>
    <w:rsid w:val="00146E07"/>
    <w:rsid w:val="001520DF"/>
    <w:rsid w:val="0015327C"/>
    <w:rsid w:val="00153652"/>
    <w:rsid w:val="001541EA"/>
    <w:rsid w:val="00154B1B"/>
    <w:rsid w:val="001572EC"/>
    <w:rsid w:val="00160495"/>
    <w:rsid w:val="00161C8A"/>
    <w:rsid w:val="0016223D"/>
    <w:rsid w:val="00163DB1"/>
    <w:rsid w:val="0016460F"/>
    <w:rsid w:val="0016476D"/>
    <w:rsid w:val="00166032"/>
    <w:rsid w:val="001662F8"/>
    <w:rsid w:val="0017421A"/>
    <w:rsid w:val="00174628"/>
    <w:rsid w:val="00175429"/>
    <w:rsid w:val="0017743F"/>
    <w:rsid w:val="0017774A"/>
    <w:rsid w:val="0018119B"/>
    <w:rsid w:val="001841C8"/>
    <w:rsid w:val="00186B4B"/>
    <w:rsid w:val="00186C08"/>
    <w:rsid w:val="00192A08"/>
    <w:rsid w:val="00193C49"/>
    <w:rsid w:val="001950CA"/>
    <w:rsid w:val="001A51EE"/>
    <w:rsid w:val="001A735E"/>
    <w:rsid w:val="001A7815"/>
    <w:rsid w:val="001B09FF"/>
    <w:rsid w:val="001B3D11"/>
    <w:rsid w:val="001B611D"/>
    <w:rsid w:val="001B78DA"/>
    <w:rsid w:val="001C14F4"/>
    <w:rsid w:val="001C1F11"/>
    <w:rsid w:val="001C3749"/>
    <w:rsid w:val="001C45E0"/>
    <w:rsid w:val="001C483F"/>
    <w:rsid w:val="001C4F0C"/>
    <w:rsid w:val="001C72C5"/>
    <w:rsid w:val="001D0D63"/>
    <w:rsid w:val="001D1701"/>
    <w:rsid w:val="001D1A8F"/>
    <w:rsid w:val="001D3C98"/>
    <w:rsid w:val="001D3DDD"/>
    <w:rsid w:val="001D4091"/>
    <w:rsid w:val="001D663E"/>
    <w:rsid w:val="001E03BE"/>
    <w:rsid w:val="001E090C"/>
    <w:rsid w:val="001E1DC0"/>
    <w:rsid w:val="001E1E4B"/>
    <w:rsid w:val="001E2906"/>
    <w:rsid w:val="001E336B"/>
    <w:rsid w:val="001E39B8"/>
    <w:rsid w:val="001E5602"/>
    <w:rsid w:val="001E563B"/>
    <w:rsid w:val="001E6D20"/>
    <w:rsid w:val="001F16E7"/>
    <w:rsid w:val="001F2CBA"/>
    <w:rsid w:val="001F4EEF"/>
    <w:rsid w:val="001F63EC"/>
    <w:rsid w:val="001F7A8B"/>
    <w:rsid w:val="001F7F4D"/>
    <w:rsid w:val="002018E7"/>
    <w:rsid w:val="0021434C"/>
    <w:rsid w:val="00215E6A"/>
    <w:rsid w:val="002161E4"/>
    <w:rsid w:val="00216639"/>
    <w:rsid w:val="00216656"/>
    <w:rsid w:val="00216C55"/>
    <w:rsid w:val="002231BD"/>
    <w:rsid w:val="002270F7"/>
    <w:rsid w:val="0022790D"/>
    <w:rsid w:val="002300E5"/>
    <w:rsid w:val="002326E8"/>
    <w:rsid w:val="002404E8"/>
    <w:rsid w:val="00242150"/>
    <w:rsid w:val="00243553"/>
    <w:rsid w:val="00244229"/>
    <w:rsid w:val="002443C7"/>
    <w:rsid w:val="00247365"/>
    <w:rsid w:val="0024775D"/>
    <w:rsid w:val="00247E29"/>
    <w:rsid w:val="00250CD8"/>
    <w:rsid w:val="00251D72"/>
    <w:rsid w:val="00255F45"/>
    <w:rsid w:val="00261565"/>
    <w:rsid w:val="00261DB3"/>
    <w:rsid w:val="00263BD8"/>
    <w:rsid w:val="0026472C"/>
    <w:rsid w:val="00266629"/>
    <w:rsid w:val="00266947"/>
    <w:rsid w:val="00270C70"/>
    <w:rsid w:val="00270EA2"/>
    <w:rsid w:val="002721B5"/>
    <w:rsid w:val="00272978"/>
    <w:rsid w:val="00275F4C"/>
    <w:rsid w:val="00277A90"/>
    <w:rsid w:val="002816D0"/>
    <w:rsid w:val="0028602A"/>
    <w:rsid w:val="002907BB"/>
    <w:rsid w:val="00292AAF"/>
    <w:rsid w:val="00293682"/>
    <w:rsid w:val="002945C4"/>
    <w:rsid w:val="0029663F"/>
    <w:rsid w:val="00297258"/>
    <w:rsid w:val="00297FD1"/>
    <w:rsid w:val="002A1FEF"/>
    <w:rsid w:val="002A6987"/>
    <w:rsid w:val="002B109A"/>
    <w:rsid w:val="002B3045"/>
    <w:rsid w:val="002B3381"/>
    <w:rsid w:val="002B5E10"/>
    <w:rsid w:val="002C214E"/>
    <w:rsid w:val="002C2C6C"/>
    <w:rsid w:val="002C355A"/>
    <w:rsid w:val="002C793D"/>
    <w:rsid w:val="002D25D9"/>
    <w:rsid w:val="002D35C9"/>
    <w:rsid w:val="002D4108"/>
    <w:rsid w:val="002D430F"/>
    <w:rsid w:val="002D5169"/>
    <w:rsid w:val="002D5B25"/>
    <w:rsid w:val="002D626F"/>
    <w:rsid w:val="002D69EE"/>
    <w:rsid w:val="002E09E8"/>
    <w:rsid w:val="002E18B1"/>
    <w:rsid w:val="002E2AF4"/>
    <w:rsid w:val="002E358C"/>
    <w:rsid w:val="002E38B2"/>
    <w:rsid w:val="002E500A"/>
    <w:rsid w:val="002F03FB"/>
    <w:rsid w:val="002F0903"/>
    <w:rsid w:val="002F24E3"/>
    <w:rsid w:val="002F4F2B"/>
    <w:rsid w:val="002F6581"/>
    <w:rsid w:val="002F67AE"/>
    <w:rsid w:val="003002C0"/>
    <w:rsid w:val="00301144"/>
    <w:rsid w:val="00301C74"/>
    <w:rsid w:val="003031C6"/>
    <w:rsid w:val="00304984"/>
    <w:rsid w:val="0031088B"/>
    <w:rsid w:val="00311467"/>
    <w:rsid w:val="00311946"/>
    <w:rsid w:val="00312BF8"/>
    <w:rsid w:val="00312CD9"/>
    <w:rsid w:val="003148B7"/>
    <w:rsid w:val="003158C3"/>
    <w:rsid w:val="00315F80"/>
    <w:rsid w:val="00320DC8"/>
    <w:rsid w:val="003217B2"/>
    <w:rsid w:val="003243EC"/>
    <w:rsid w:val="00324745"/>
    <w:rsid w:val="00324D92"/>
    <w:rsid w:val="003274CD"/>
    <w:rsid w:val="00333501"/>
    <w:rsid w:val="00334A3A"/>
    <w:rsid w:val="0033732A"/>
    <w:rsid w:val="00340318"/>
    <w:rsid w:val="003406AF"/>
    <w:rsid w:val="00342A4E"/>
    <w:rsid w:val="003457C4"/>
    <w:rsid w:val="003477EC"/>
    <w:rsid w:val="0035119D"/>
    <w:rsid w:val="00351EAC"/>
    <w:rsid w:val="003535F8"/>
    <w:rsid w:val="00354641"/>
    <w:rsid w:val="0035532B"/>
    <w:rsid w:val="003610DD"/>
    <w:rsid w:val="003622C1"/>
    <w:rsid w:val="003633D5"/>
    <w:rsid w:val="00363A9F"/>
    <w:rsid w:val="00365D5B"/>
    <w:rsid w:val="003664FE"/>
    <w:rsid w:val="003724E9"/>
    <w:rsid w:val="00374AEF"/>
    <w:rsid w:val="00375D23"/>
    <w:rsid w:val="003760D1"/>
    <w:rsid w:val="003806FE"/>
    <w:rsid w:val="00380893"/>
    <w:rsid w:val="003828E9"/>
    <w:rsid w:val="00382CE7"/>
    <w:rsid w:val="00384D2A"/>
    <w:rsid w:val="00387EC8"/>
    <w:rsid w:val="00391BE0"/>
    <w:rsid w:val="0039215F"/>
    <w:rsid w:val="0039344A"/>
    <w:rsid w:val="00393A13"/>
    <w:rsid w:val="00397B4B"/>
    <w:rsid w:val="003A04F9"/>
    <w:rsid w:val="003A3300"/>
    <w:rsid w:val="003A74C6"/>
    <w:rsid w:val="003B0654"/>
    <w:rsid w:val="003B129C"/>
    <w:rsid w:val="003B3091"/>
    <w:rsid w:val="003B3973"/>
    <w:rsid w:val="003B3C48"/>
    <w:rsid w:val="003B4F12"/>
    <w:rsid w:val="003B5132"/>
    <w:rsid w:val="003B5A59"/>
    <w:rsid w:val="003B5AB6"/>
    <w:rsid w:val="003B7D6C"/>
    <w:rsid w:val="003C4424"/>
    <w:rsid w:val="003C6C4F"/>
    <w:rsid w:val="003C7D0E"/>
    <w:rsid w:val="003D1253"/>
    <w:rsid w:val="003D1282"/>
    <w:rsid w:val="003D5709"/>
    <w:rsid w:val="003E03B8"/>
    <w:rsid w:val="003E0545"/>
    <w:rsid w:val="003E24BA"/>
    <w:rsid w:val="003E2E60"/>
    <w:rsid w:val="003E3310"/>
    <w:rsid w:val="003E3D3E"/>
    <w:rsid w:val="003E5F68"/>
    <w:rsid w:val="003E6ABB"/>
    <w:rsid w:val="003E6EFE"/>
    <w:rsid w:val="003F2041"/>
    <w:rsid w:val="003F4679"/>
    <w:rsid w:val="003F5131"/>
    <w:rsid w:val="003F6641"/>
    <w:rsid w:val="003F6FC4"/>
    <w:rsid w:val="003F7D26"/>
    <w:rsid w:val="004007ED"/>
    <w:rsid w:val="00400D50"/>
    <w:rsid w:val="004015C6"/>
    <w:rsid w:val="00401631"/>
    <w:rsid w:val="00402ACC"/>
    <w:rsid w:val="00403FD8"/>
    <w:rsid w:val="00404443"/>
    <w:rsid w:val="00404602"/>
    <w:rsid w:val="0041053D"/>
    <w:rsid w:val="00411410"/>
    <w:rsid w:val="004120EC"/>
    <w:rsid w:val="0041267F"/>
    <w:rsid w:val="00414572"/>
    <w:rsid w:val="00414AD9"/>
    <w:rsid w:val="00423AF3"/>
    <w:rsid w:val="00423DB9"/>
    <w:rsid w:val="00423DE0"/>
    <w:rsid w:val="00423F31"/>
    <w:rsid w:val="004250E6"/>
    <w:rsid w:val="0042526D"/>
    <w:rsid w:val="00426340"/>
    <w:rsid w:val="004303AA"/>
    <w:rsid w:val="0043126D"/>
    <w:rsid w:val="004315E6"/>
    <w:rsid w:val="00431899"/>
    <w:rsid w:val="00431A74"/>
    <w:rsid w:val="00433679"/>
    <w:rsid w:val="004345AA"/>
    <w:rsid w:val="004373AE"/>
    <w:rsid w:val="00446F46"/>
    <w:rsid w:val="00450381"/>
    <w:rsid w:val="004508EB"/>
    <w:rsid w:val="004512A8"/>
    <w:rsid w:val="00451933"/>
    <w:rsid w:val="004526C1"/>
    <w:rsid w:val="004529F1"/>
    <w:rsid w:val="00453B1A"/>
    <w:rsid w:val="004576DC"/>
    <w:rsid w:val="00462A57"/>
    <w:rsid w:val="004634E2"/>
    <w:rsid w:val="004643E4"/>
    <w:rsid w:val="0046654E"/>
    <w:rsid w:val="00470299"/>
    <w:rsid w:val="004708FA"/>
    <w:rsid w:val="004715FE"/>
    <w:rsid w:val="004728DD"/>
    <w:rsid w:val="00472BF1"/>
    <w:rsid w:val="00473D38"/>
    <w:rsid w:val="00473F2D"/>
    <w:rsid w:val="00473F39"/>
    <w:rsid w:val="00474037"/>
    <w:rsid w:val="004747B1"/>
    <w:rsid w:val="00475782"/>
    <w:rsid w:val="004814AE"/>
    <w:rsid w:val="00482AE8"/>
    <w:rsid w:val="00486804"/>
    <w:rsid w:val="00487549"/>
    <w:rsid w:val="00490242"/>
    <w:rsid w:val="00493A24"/>
    <w:rsid w:val="00493F17"/>
    <w:rsid w:val="00494242"/>
    <w:rsid w:val="004944AA"/>
    <w:rsid w:val="00496766"/>
    <w:rsid w:val="004A41B8"/>
    <w:rsid w:val="004A7E76"/>
    <w:rsid w:val="004B3775"/>
    <w:rsid w:val="004B433D"/>
    <w:rsid w:val="004B7ADF"/>
    <w:rsid w:val="004C578A"/>
    <w:rsid w:val="004C782C"/>
    <w:rsid w:val="004D0BA0"/>
    <w:rsid w:val="004D36DC"/>
    <w:rsid w:val="004D7ED5"/>
    <w:rsid w:val="004D7F36"/>
    <w:rsid w:val="004E058F"/>
    <w:rsid w:val="004E2092"/>
    <w:rsid w:val="004E22B6"/>
    <w:rsid w:val="004E3B87"/>
    <w:rsid w:val="004E549D"/>
    <w:rsid w:val="004E6098"/>
    <w:rsid w:val="004F5615"/>
    <w:rsid w:val="00502041"/>
    <w:rsid w:val="00503EB4"/>
    <w:rsid w:val="0050592F"/>
    <w:rsid w:val="00507F55"/>
    <w:rsid w:val="005101FE"/>
    <w:rsid w:val="00510921"/>
    <w:rsid w:val="00510AD3"/>
    <w:rsid w:val="00512441"/>
    <w:rsid w:val="00513348"/>
    <w:rsid w:val="00513AD8"/>
    <w:rsid w:val="005164A0"/>
    <w:rsid w:val="00517DD0"/>
    <w:rsid w:val="005204D2"/>
    <w:rsid w:val="00522396"/>
    <w:rsid w:val="005249AA"/>
    <w:rsid w:val="005253F7"/>
    <w:rsid w:val="00527AD8"/>
    <w:rsid w:val="005303B9"/>
    <w:rsid w:val="0053159D"/>
    <w:rsid w:val="00531B69"/>
    <w:rsid w:val="00533B5D"/>
    <w:rsid w:val="00534D96"/>
    <w:rsid w:val="00534F76"/>
    <w:rsid w:val="00536343"/>
    <w:rsid w:val="00536BAB"/>
    <w:rsid w:val="00540A22"/>
    <w:rsid w:val="00546877"/>
    <w:rsid w:val="005474FC"/>
    <w:rsid w:val="0055031C"/>
    <w:rsid w:val="0055143E"/>
    <w:rsid w:val="00553079"/>
    <w:rsid w:val="00556E64"/>
    <w:rsid w:val="005579C6"/>
    <w:rsid w:val="00560E83"/>
    <w:rsid w:val="00561939"/>
    <w:rsid w:val="00563461"/>
    <w:rsid w:val="005673FD"/>
    <w:rsid w:val="00567D67"/>
    <w:rsid w:val="005736BB"/>
    <w:rsid w:val="00573D34"/>
    <w:rsid w:val="00576F8E"/>
    <w:rsid w:val="00577815"/>
    <w:rsid w:val="005822D6"/>
    <w:rsid w:val="005838FD"/>
    <w:rsid w:val="005839E5"/>
    <w:rsid w:val="0059161E"/>
    <w:rsid w:val="005916DC"/>
    <w:rsid w:val="0059230C"/>
    <w:rsid w:val="00592445"/>
    <w:rsid w:val="005924B4"/>
    <w:rsid w:val="00594793"/>
    <w:rsid w:val="00594D61"/>
    <w:rsid w:val="005A20F6"/>
    <w:rsid w:val="005A257E"/>
    <w:rsid w:val="005A4124"/>
    <w:rsid w:val="005A415D"/>
    <w:rsid w:val="005B10BF"/>
    <w:rsid w:val="005B1582"/>
    <w:rsid w:val="005B3E33"/>
    <w:rsid w:val="005B7577"/>
    <w:rsid w:val="005C07C4"/>
    <w:rsid w:val="005C2774"/>
    <w:rsid w:val="005C2EC9"/>
    <w:rsid w:val="005C532B"/>
    <w:rsid w:val="005C579F"/>
    <w:rsid w:val="005C5A6B"/>
    <w:rsid w:val="005D193B"/>
    <w:rsid w:val="005D3655"/>
    <w:rsid w:val="005D51B2"/>
    <w:rsid w:val="005D5489"/>
    <w:rsid w:val="005D69AA"/>
    <w:rsid w:val="005D7F03"/>
    <w:rsid w:val="005E0058"/>
    <w:rsid w:val="005E3949"/>
    <w:rsid w:val="005E4294"/>
    <w:rsid w:val="005E4830"/>
    <w:rsid w:val="005E5524"/>
    <w:rsid w:val="005E73CC"/>
    <w:rsid w:val="005F2F66"/>
    <w:rsid w:val="005F3BA7"/>
    <w:rsid w:val="005F6C89"/>
    <w:rsid w:val="005F78B6"/>
    <w:rsid w:val="006031AC"/>
    <w:rsid w:val="00603321"/>
    <w:rsid w:val="00604E61"/>
    <w:rsid w:val="00606BBC"/>
    <w:rsid w:val="0060782E"/>
    <w:rsid w:val="00607E33"/>
    <w:rsid w:val="00616A58"/>
    <w:rsid w:val="006179AC"/>
    <w:rsid w:val="00620A3D"/>
    <w:rsid w:val="00622B86"/>
    <w:rsid w:val="006239D6"/>
    <w:rsid w:val="00623BA1"/>
    <w:rsid w:val="00626A68"/>
    <w:rsid w:val="00626B84"/>
    <w:rsid w:val="00630092"/>
    <w:rsid w:val="006346BC"/>
    <w:rsid w:val="006362FF"/>
    <w:rsid w:val="006378FE"/>
    <w:rsid w:val="006408FF"/>
    <w:rsid w:val="006426BE"/>
    <w:rsid w:val="00643FB0"/>
    <w:rsid w:val="00655892"/>
    <w:rsid w:val="0065649B"/>
    <w:rsid w:val="0066194C"/>
    <w:rsid w:val="0066203A"/>
    <w:rsid w:val="0066293C"/>
    <w:rsid w:val="0066652A"/>
    <w:rsid w:val="00667244"/>
    <w:rsid w:val="006719C3"/>
    <w:rsid w:val="006745FC"/>
    <w:rsid w:val="006750D9"/>
    <w:rsid w:val="00675516"/>
    <w:rsid w:val="0067795C"/>
    <w:rsid w:val="00677DD7"/>
    <w:rsid w:val="00680115"/>
    <w:rsid w:val="00680522"/>
    <w:rsid w:val="00681633"/>
    <w:rsid w:val="00682167"/>
    <w:rsid w:val="00686EE5"/>
    <w:rsid w:val="006908AC"/>
    <w:rsid w:val="00690AE1"/>
    <w:rsid w:val="0069175E"/>
    <w:rsid w:val="00691834"/>
    <w:rsid w:val="00691922"/>
    <w:rsid w:val="006A4B44"/>
    <w:rsid w:val="006A4E25"/>
    <w:rsid w:val="006A6E3B"/>
    <w:rsid w:val="006A6F52"/>
    <w:rsid w:val="006A791A"/>
    <w:rsid w:val="006A7F29"/>
    <w:rsid w:val="006B0064"/>
    <w:rsid w:val="006B3E95"/>
    <w:rsid w:val="006B51B2"/>
    <w:rsid w:val="006B5438"/>
    <w:rsid w:val="006B54FC"/>
    <w:rsid w:val="006B6266"/>
    <w:rsid w:val="006B6F6D"/>
    <w:rsid w:val="006C0B06"/>
    <w:rsid w:val="006C3BBD"/>
    <w:rsid w:val="006C42AF"/>
    <w:rsid w:val="006C565B"/>
    <w:rsid w:val="006C6498"/>
    <w:rsid w:val="006D0502"/>
    <w:rsid w:val="006D11C7"/>
    <w:rsid w:val="006D15F1"/>
    <w:rsid w:val="006D5A56"/>
    <w:rsid w:val="006D5FA3"/>
    <w:rsid w:val="006D6707"/>
    <w:rsid w:val="006D6EC7"/>
    <w:rsid w:val="006E4323"/>
    <w:rsid w:val="006E5447"/>
    <w:rsid w:val="006F52EE"/>
    <w:rsid w:val="006F59F1"/>
    <w:rsid w:val="006F5D4A"/>
    <w:rsid w:val="006F67D4"/>
    <w:rsid w:val="006F6BA7"/>
    <w:rsid w:val="006F71E0"/>
    <w:rsid w:val="007000D4"/>
    <w:rsid w:val="00700698"/>
    <w:rsid w:val="007012AB"/>
    <w:rsid w:val="00706136"/>
    <w:rsid w:val="007075DF"/>
    <w:rsid w:val="00711D8E"/>
    <w:rsid w:val="00712672"/>
    <w:rsid w:val="007143A5"/>
    <w:rsid w:val="00715823"/>
    <w:rsid w:val="007178C4"/>
    <w:rsid w:val="007245AF"/>
    <w:rsid w:val="00725B76"/>
    <w:rsid w:val="00727E09"/>
    <w:rsid w:val="007301E1"/>
    <w:rsid w:val="00730C68"/>
    <w:rsid w:val="00731F14"/>
    <w:rsid w:val="00734E3F"/>
    <w:rsid w:val="007356BA"/>
    <w:rsid w:val="00736985"/>
    <w:rsid w:val="00741DD7"/>
    <w:rsid w:val="007435A0"/>
    <w:rsid w:val="00744C5B"/>
    <w:rsid w:val="00745DF5"/>
    <w:rsid w:val="00746A9E"/>
    <w:rsid w:val="00746DE8"/>
    <w:rsid w:val="00751718"/>
    <w:rsid w:val="00753FDA"/>
    <w:rsid w:val="00755AE0"/>
    <w:rsid w:val="0076250F"/>
    <w:rsid w:val="00764499"/>
    <w:rsid w:val="00764672"/>
    <w:rsid w:val="007654DA"/>
    <w:rsid w:val="00765D9A"/>
    <w:rsid w:val="0077181B"/>
    <w:rsid w:val="00772A0C"/>
    <w:rsid w:val="0077324F"/>
    <w:rsid w:val="007733DC"/>
    <w:rsid w:val="007737EA"/>
    <w:rsid w:val="007776BB"/>
    <w:rsid w:val="00777795"/>
    <w:rsid w:val="007808E0"/>
    <w:rsid w:val="00780FA5"/>
    <w:rsid w:val="007817AE"/>
    <w:rsid w:val="007824BD"/>
    <w:rsid w:val="00783354"/>
    <w:rsid w:val="00784161"/>
    <w:rsid w:val="007864CF"/>
    <w:rsid w:val="00794D99"/>
    <w:rsid w:val="00796F1C"/>
    <w:rsid w:val="007A1F4C"/>
    <w:rsid w:val="007A2FC8"/>
    <w:rsid w:val="007A39E3"/>
    <w:rsid w:val="007A4493"/>
    <w:rsid w:val="007A4DF5"/>
    <w:rsid w:val="007A7948"/>
    <w:rsid w:val="007B1307"/>
    <w:rsid w:val="007B2835"/>
    <w:rsid w:val="007B3578"/>
    <w:rsid w:val="007B45E4"/>
    <w:rsid w:val="007B53DB"/>
    <w:rsid w:val="007B53F9"/>
    <w:rsid w:val="007B6200"/>
    <w:rsid w:val="007C19B3"/>
    <w:rsid w:val="007C35DE"/>
    <w:rsid w:val="007C4D69"/>
    <w:rsid w:val="007C735B"/>
    <w:rsid w:val="007C7AFF"/>
    <w:rsid w:val="007C7D26"/>
    <w:rsid w:val="007D3606"/>
    <w:rsid w:val="007D424F"/>
    <w:rsid w:val="007D53EA"/>
    <w:rsid w:val="007D6C03"/>
    <w:rsid w:val="007E0874"/>
    <w:rsid w:val="007E348D"/>
    <w:rsid w:val="007E5361"/>
    <w:rsid w:val="007E556D"/>
    <w:rsid w:val="007E7BC7"/>
    <w:rsid w:val="007F12DD"/>
    <w:rsid w:val="007F3395"/>
    <w:rsid w:val="007F4EB6"/>
    <w:rsid w:val="007F510A"/>
    <w:rsid w:val="007F5C0B"/>
    <w:rsid w:val="007F646C"/>
    <w:rsid w:val="00800056"/>
    <w:rsid w:val="00801B9F"/>
    <w:rsid w:val="0080204D"/>
    <w:rsid w:val="00803B09"/>
    <w:rsid w:val="00806498"/>
    <w:rsid w:val="00813345"/>
    <w:rsid w:val="00813EA6"/>
    <w:rsid w:val="00816D7D"/>
    <w:rsid w:val="0082053C"/>
    <w:rsid w:val="00820D7E"/>
    <w:rsid w:val="00822F43"/>
    <w:rsid w:val="00823C91"/>
    <w:rsid w:val="00825900"/>
    <w:rsid w:val="00825997"/>
    <w:rsid w:val="00826B56"/>
    <w:rsid w:val="00826C2F"/>
    <w:rsid w:val="008304FD"/>
    <w:rsid w:val="00830866"/>
    <w:rsid w:val="0083322F"/>
    <w:rsid w:val="00834AB2"/>
    <w:rsid w:val="00836B54"/>
    <w:rsid w:val="00837678"/>
    <w:rsid w:val="0084191E"/>
    <w:rsid w:val="0084305A"/>
    <w:rsid w:val="00843B76"/>
    <w:rsid w:val="00843C4A"/>
    <w:rsid w:val="00844737"/>
    <w:rsid w:val="008475F0"/>
    <w:rsid w:val="008502F1"/>
    <w:rsid w:val="00850441"/>
    <w:rsid w:val="00851389"/>
    <w:rsid w:val="008515AF"/>
    <w:rsid w:val="00852C32"/>
    <w:rsid w:val="008536A1"/>
    <w:rsid w:val="00854F69"/>
    <w:rsid w:val="00854FF3"/>
    <w:rsid w:val="008556C6"/>
    <w:rsid w:val="008557A7"/>
    <w:rsid w:val="00856BFE"/>
    <w:rsid w:val="00857312"/>
    <w:rsid w:val="00857B40"/>
    <w:rsid w:val="00860698"/>
    <w:rsid w:val="00860AD1"/>
    <w:rsid w:val="008627B0"/>
    <w:rsid w:val="00862BCF"/>
    <w:rsid w:val="00865DE2"/>
    <w:rsid w:val="00870928"/>
    <w:rsid w:val="008724E9"/>
    <w:rsid w:val="008740B3"/>
    <w:rsid w:val="00876B47"/>
    <w:rsid w:val="00877620"/>
    <w:rsid w:val="00880418"/>
    <w:rsid w:val="00881605"/>
    <w:rsid w:val="0088190C"/>
    <w:rsid w:val="00881BF5"/>
    <w:rsid w:val="00887404"/>
    <w:rsid w:val="00890CE2"/>
    <w:rsid w:val="0089405C"/>
    <w:rsid w:val="00894FEB"/>
    <w:rsid w:val="00897FA2"/>
    <w:rsid w:val="008A1503"/>
    <w:rsid w:val="008A5AFE"/>
    <w:rsid w:val="008A6BB7"/>
    <w:rsid w:val="008A745C"/>
    <w:rsid w:val="008A7B6F"/>
    <w:rsid w:val="008B005E"/>
    <w:rsid w:val="008B42ED"/>
    <w:rsid w:val="008B76A4"/>
    <w:rsid w:val="008C00B9"/>
    <w:rsid w:val="008C1A18"/>
    <w:rsid w:val="008C1F60"/>
    <w:rsid w:val="008C23BF"/>
    <w:rsid w:val="008C438E"/>
    <w:rsid w:val="008C478C"/>
    <w:rsid w:val="008C526B"/>
    <w:rsid w:val="008C5A0E"/>
    <w:rsid w:val="008C6149"/>
    <w:rsid w:val="008C708C"/>
    <w:rsid w:val="008C76E2"/>
    <w:rsid w:val="008D147C"/>
    <w:rsid w:val="008E1235"/>
    <w:rsid w:val="008E1F92"/>
    <w:rsid w:val="008E4B49"/>
    <w:rsid w:val="008E4BCA"/>
    <w:rsid w:val="008E7A6E"/>
    <w:rsid w:val="008F174A"/>
    <w:rsid w:val="008F6625"/>
    <w:rsid w:val="008F7EEC"/>
    <w:rsid w:val="009068A8"/>
    <w:rsid w:val="009131E9"/>
    <w:rsid w:val="00913875"/>
    <w:rsid w:val="0091556F"/>
    <w:rsid w:val="00916582"/>
    <w:rsid w:val="00917A7A"/>
    <w:rsid w:val="009200F4"/>
    <w:rsid w:val="00920854"/>
    <w:rsid w:val="009221C5"/>
    <w:rsid w:val="00922AB3"/>
    <w:rsid w:val="00924553"/>
    <w:rsid w:val="0092546A"/>
    <w:rsid w:val="0093173D"/>
    <w:rsid w:val="009354DE"/>
    <w:rsid w:val="0093695E"/>
    <w:rsid w:val="00937866"/>
    <w:rsid w:val="00942C6D"/>
    <w:rsid w:val="00942F11"/>
    <w:rsid w:val="00943730"/>
    <w:rsid w:val="00943E33"/>
    <w:rsid w:val="00945181"/>
    <w:rsid w:val="009460BF"/>
    <w:rsid w:val="009505AE"/>
    <w:rsid w:val="009505BF"/>
    <w:rsid w:val="00950D65"/>
    <w:rsid w:val="00952815"/>
    <w:rsid w:val="00953089"/>
    <w:rsid w:val="009543B9"/>
    <w:rsid w:val="00955FF3"/>
    <w:rsid w:val="00956652"/>
    <w:rsid w:val="0095709C"/>
    <w:rsid w:val="00960692"/>
    <w:rsid w:val="00960CB4"/>
    <w:rsid w:val="00964A42"/>
    <w:rsid w:val="00966652"/>
    <w:rsid w:val="00966A1F"/>
    <w:rsid w:val="009712CF"/>
    <w:rsid w:val="009721CC"/>
    <w:rsid w:val="0097407F"/>
    <w:rsid w:val="00974A4A"/>
    <w:rsid w:val="00975310"/>
    <w:rsid w:val="00975739"/>
    <w:rsid w:val="00975CA5"/>
    <w:rsid w:val="009769DE"/>
    <w:rsid w:val="009774B4"/>
    <w:rsid w:val="009815AC"/>
    <w:rsid w:val="0098272E"/>
    <w:rsid w:val="009839F7"/>
    <w:rsid w:val="00985E85"/>
    <w:rsid w:val="00986590"/>
    <w:rsid w:val="00990518"/>
    <w:rsid w:val="00991028"/>
    <w:rsid w:val="00991579"/>
    <w:rsid w:val="00992C76"/>
    <w:rsid w:val="009969D6"/>
    <w:rsid w:val="009A112B"/>
    <w:rsid w:val="009A1972"/>
    <w:rsid w:val="009A2619"/>
    <w:rsid w:val="009A2B28"/>
    <w:rsid w:val="009A4751"/>
    <w:rsid w:val="009A58FC"/>
    <w:rsid w:val="009A6755"/>
    <w:rsid w:val="009A6A34"/>
    <w:rsid w:val="009A744E"/>
    <w:rsid w:val="009A78C4"/>
    <w:rsid w:val="009A7B62"/>
    <w:rsid w:val="009B0C89"/>
    <w:rsid w:val="009B394F"/>
    <w:rsid w:val="009B4D3B"/>
    <w:rsid w:val="009C039C"/>
    <w:rsid w:val="009C18DB"/>
    <w:rsid w:val="009D1898"/>
    <w:rsid w:val="009D1F71"/>
    <w:rsid w:val="009D3438"/>
    <w:rsid w:val="009D3E4D"/>
    <w:rsid w:val="009D4264"/>
    <w:rsid w:val="009D4BB0"/>
    <w:rsid w:val="009D7407"/>
    <w:rsid w:val="009D7F09"/>
    <w:rsid w:val="009D7FB1"/>
    <w:rsid w:val="009E0866"/>
    <w:rsid w:val="009E1BAC"/>
    <w:rsid w:val="009E273C"/>
    <w:rsid w:val="009E4A2B"/>
    <w:rsid w:val="009E5E1F"/>
    <w:rsid w:val="009E674B"/>
    <w:rsid w:val="009F07E2"/>
    <w:rsid w:val="009F1350"/>
    <w:rsid w:val="009F6423"/>
    <w:rsid w:val="00A07A86"/>
    <w:rsid w:val="00A107B9"/>
    <w:rsid w:val="00A11078"/>
    <w:rsid w:val="00A12B40"/>
    <w:rsid w:val="00A1371B"/>
    <w:rsid w:val="00A17461"/>
    <w:rsid w:val="00A20596"/>
    <w:rsid w:val="00A21E53"/>
    <w:rsid w:val="00A22CD1"/>
    <w:rsid w:val="00A237B8"/>
    <w:rsid w:val="00A24A62"/>
    <w:rsid w:val="00A25360"/>
    <w:rsid w:val="00A27594"/>
    <w:rsid w:val="00A31C9F"/>
    <w:rsid w:val="00A3403A"/>
    <w:rsid w:val="00A34DF7"/>
    <w:rsid w:val="00A37410"/>
    <w:rsid w:val="00A4144F"/>
    <w:rsid w:val="00A42815"/>
    <w:rsid w:val="00A46B28"/>
    <w:rsid w:val="00A46B9A"/>
    <w:rsid w:val="00A47135"/>
    <w:rsid w:val="00A50EEF"/>
    <w:rsid w:val="00A5113C"/>
    <w:rsid w:val="00A54A44"/>
    <w:rsid w:val="00A55E44"/>
    <w:rsid w:val="00A61B4D"/>
    <w:rsid w:val="00A63B4C"/>
    <w:rsid w:val="00A63FDD"/>
    <w:rsid w:val="00A71167"/>
    <w:rsid w:val="00A72201"/>
    <w:rsid w:val="00A74192"/>
    <w:rsid w:val="00A748BD"/>
    <w:rsid w:val="00A75B84"/>
    <w:rsid w:val="00A7799E"/>
    <w:rsid w:val="00A80123"/>
    <w:rsid w:val="00A80305"/>
    <w:rsid w:val="00A80F95"/>
    <w:rsid w:val="00A83963"/>
    <w:rsid w:val="00A854F9"/>
    <w:rsid w:val="00A868CB"/>
    <w:rsid w:val="00A918F1"/>
    <w:rsid w:val="00A955EC"/>
    <w:rsid w:val="00A95675"/>
    <w:rsid w:val="00A96364"/>
    <w:rsid w:val="00A96691"/>
    <w:rsid w:val="00A96927"/>
    <w:rsid w:val="00A97199"/>
    <w:rsid w:val="00A97244"/>
    <w:rsid w:val="00A97BF1"/>
    <w:rsid w:val="00A97EE9"/>
    <w:rsid w:val="00AA298A"/>
    <w:rsid w:val="00AA3AA8"/>
    <w:rsid w:val="00AB4795"/>
    <w:rsid w:val="00AB5D49"/>
    <w:rsid w:val="00AB6748"/>
    <w:rsid w:val="00AB6BD2"/>
    <w:rsid w:val="00AB7EC7"/>
    <w:rsid w:val="00AC107C"/>
    <w:rsid w:val="00AC164A"/>
    <w:rsid w:val="00AC3944"/>
    <w:rsid w:val="00AC551D"/>
    <w:rsid w:val="00AC587C"/>
    <w:rsid w:val="00AD19F7"/>
    <w:rsid w:val="00AD2C2E"/>
    <w:rsid w:val="00AE2B7B"/>
    <w:rsid w:val="00AE3203"/>
    <w:rsid w:val="00AE448A"/>
    <w:rsid w:val="00AE4ECA"/>
    <w:rsid w:val="00AE74DA"/>
    <w:rsid w:val="00AE7AB3"/>
    <w:rsid w:val="00AF0E6C"/>
    <w:rsid w:val="00AF18F4"/>
    <w:rsid w:val="00AF2050"/>
    <w:rsid w:val="00AF2250"/>
    <w:rsid w:val="00AF2F75"/>
    <w:rsid w:val="00AF4A1C"/>
    <w:rsid w:val="00AF59B6"/>
    <w:rsid w:val="00AF7ECC"/>
    <w:rsid w:val="00B00BF4"/>
    <w:rsid w:val="00B02B2A"/>
    <w:rsid w:val="00B03CA8"/>
    <w:rsid w:val="00B05B87"/>
    <w:rsid w:val="00B11ACF"/>
    <w:rsid w:val="00B1266C"/>
    <w:rsid w:val="00B12991"/>
    <w:rsid w:val="00B16EF6"/>
    <w:rsid w:val="00B173D7"/>
    <w:rsid w:val="00B2065F"/>
    <w:rsid w:val="00B218ED"/>
    <w:rsid w:val="00B21918"/>
    <w:rsid w:val="00B22F0E"/>
    <w:rsid w:val="00B249EC"/>
    <w:rsid w:val="00B24AF9"/>
    <w:rsid w:val="00B30636"/>
    <w:rsid w:val="00B33534"/>
    <w:rsid w:val="00B33C0A"/>
    <w:rsid w:val="00B343E7"/>
    <w:rsid w:val="00B34763"/>
    <w:rsid w:val="00B35661"/>
    <w:rsid w:val="00B401AF"/>
    <w:rsid w:val="00B438A9"/>
    <w:rsid w:val="00B50ED0"/>
    <w:rsid w:val="00B51BD8"/>
    <w:rsid w:val="00B51C2F"/>
    <w:rsid w:val="00B556E1"/>
    <w:rsid w:val="00B559E3"/>
    <w:rsid w:val="00B55E19"/>
    <w:rsid w:val="00B56E71"/>
    <w:rsid w:val="00B579A6"/>
    <w:rsid w:val="00B63EA1"/>
    <w:rsid w:val="00B6430C"/>
    <w:rsid w:val="00B664A8"/>
    <w:rsid w:val="00B667EA"/>
    <w:rsid w:val="00B66D3E"/>
    <w:rsid w:val="00B7153E"/>
    <w:rsid w:val="00B71AD8"/>
    <w:rsid w:val="00B72B1B"/>
    <w:rsid w:val="00B731A2"/>
    <w:rsid w:val="00B73275"/>
    <w:rsid w:val="00B81DCF"/>
    <w:rsid w:val="00B82961"/>
    <w:rsid w:val="00B8442B"/>
    <w:rsid w:val="00B84B3C"/>
    <w:rsid w:val="00B857E1"/>
    <w:rsid w:val="00B8599B"/>
    <w:rsid w:val="00B85B54"/>
    <w:rsid w:val="00B86990"/>
    <w:rsid w:val="00B86DBB"/>
    <w:rsid w:val="00B91FE7"/>
    <w:rsid w:val="00B929BE"/>
    <w:rsid w:val="00B92C51"/>
    <w:rsid w:val="00B94758"/>
    <w:rsid w:val="00BA1B89"/>
    <w:rsid w:val="00BA366A"/>
    <w:rsid w:val="00BA4B6D"/>
    <w:rsid w:val="00BB0311"/>
    <w:rsid w:val="00BB26C5"/>
    <w:rsid w:val="00BB26DB"/>
    <w:rsid w:val="00BB2F84"/>
    <w:rsid w:val="00BB3FD0"/>
    <w:rsid w:val="00BB50BB"/>
    <w:rsid w:val="00BB52ED"/>
    <w:rsid w:val="00BC1FED"/>
    <w:rsid w:val="00BC42C5"/>
    <w:rsid w:val="00BC63A8"/>
    <w:rsid w:val="00BD0F5C"/>
    <w:rsid w:val="00BD261B"/>
    <w:rsid w:val="00BD5485"/>
    <w:rsid w:val="00BD5A45"/>
    <w:rsid w:val="00BD6304"/>
    <w:rsid w:val="00BD710C"/>
    <w:rsid w:val="00BE12B6"/>
    <w:rsid w:val="00BE30F1"/>
    <w:rsid w:val="00BE3F2C"/>
    <w:rsid w:val="00BE417E"/>
    <w:rsid w:val="00BF1579"/>
    <w:rsid w:val="00BF4DE6"/>
    <w:rsid w:val="00BF51CF"/>
    <w:rsid w:val="00BF6703"/>
    <w:rsid w:val="00C00A1F"/>
    <w:rsid w:val="00C04D72"/>
    <w:rsid w:val="00C06B13"/>
    <w:rsid w:val="00C125D8"/>
    <w:rsid w:val="00C13961"/>
    <w:rsid w:val="00C13E7D"/>
    <w:rsid w:val="00C159BA"/>
    <w:rsid w:val="00C16A47"/>
    <w:rsid w:val="00C20E76"/>
    <w:rsid w:val="00C27D25"/>
    <w:rsid w:val="00C33DF5"/>
    <w:rsid w:val="00C34336"/>
    <w:rsid w:val="00C35791"/>
    <w:rsid w:val="00C37697"/>
    <w:rsid w:val="00C42541"/>
    <w:rsid w:val="00C42CDE"/>
    <w:rsid w:val="00C45941"/>
    <w:rsid w:val="00C46AFA"/>
    <w:rsid w:val="00C50B58"/>
    <w:rsid w:val="00C515B7"/>
    <w:rsid w:val="00C5182A"/>
    <w:rsid w:val="00C52463"/>
    <w:rsid w:val="00C52B3D"/>
    <w:rsid w:val="00C55983"/>
    <w:rsid w:val="00C60697"/>
    <w:rsid w:val="00C61649"/>
    <w:rsid w:val="00C61935"/>
    <w:rsid w:val="00C6224D"/>
    <w:rsid w:val="00C63EE9"/>
    <w:rsid w:val="00C651DE"/>
    <w:rsid w:val="00C6530B"/>
    <w:rsid w:val="00C65D9E"/>
    <w:rsid w:val="00C663AE"/>
    <w:rsid w:val="00C67ACB"/>
    <w:rsid w:val="00C72B06"/>
    <w:rsid w:val="00C75A44"/>
    <w:rsid w:val="00C80274"/>
    <w:rsid w:val="00C803A6"/>
    <w:rsid w:val="00C80A6F"/>
    <w:rsid w:val="00C80F99"/>
    <w:rsid w:val="00C81FC3"/>
    <w:rsid w:val="00C83F4E"/>
    <w:rsid w:val="00C84C30"/>
    <w:rsid w:val="00C865BC"/>
    <w:rsid w:val="00C87B9B"/>
    <w:rsid w:val="00C908C7"/>
    <w:rsid w:val="00C90F93"/>
    <w:rsid w:val="00C91B95"/>
    <w:rsid w:val="00C92805"/>
    <w:rsid w:val="00C94E3C"/>
    <w:rsid w:val="00C967F4"/>
    <w:rsid w:val="00CA16F3"/>
    <w:rsid w:val="00CA3403"/>
    <w:rsid w:val="00CA37B1"/>
    <w:rsid w:val="00CA3FD8"/>
    <w:rsid w:val="00CA5021"/>
    <w:rsid w:val="00CA575B"/>
    <w:rsid w:val="00CA5AA6"/>
    <w:rsid w:val="00CA5F54"/>
    <w:rsid w:val="00CA6F85"/>
    <w:rsid w:val="00CA70F0"/>
    <w:rsid w:val="00CB0FA6"/>
    <w:rsid w:val="00CB1488"/>
    <w:rsid w:val="00CB1959"/>
    <w:rsid w:val="00CB1F00"/>
    <w:rsid w:val="00CB40BD"/>
    <w:rsid w:val="00CC0FD1"/>
    <w:rsid w:val="00CC195E"/>
    <w:rsid w:val="00CC1D45"/>
    <w:rsid w:val="00CC741B"/>
    <w:rsid w:val="00CC7AC1"/>
    <w:rsid w:val="00CD0E4B"/>
    <w:rsid w:val="00CD2530"/>
    <w:rsid w:val="00CD3F5D"/>
    <w:rsid w:val="00CD4AD4"/>
    <w:rsid w:val="00CD6197"/>
    <w:rsid w:val="00CE2CF5"/>
    <w:rsid w:val="00CE3D9D"/>
    <w:rsid w:val="00CE4C89"/>
    <w:rsid w:val="00CF07BA"/>
    <w:rsid w:val="00CF21A3"/>
    <w:rsid w:val="00CF7BB8"/>
    <w:rsid w:val="00D0296C"/>
    <w:rsid w:val="00D05E55"/>
    <w:rsid w:val="00D101B1"/>
    <w:rsid w:val="00D10AB2"/>
    <w:rsid w:val="00D1231A"/>
    <w:rsid w:val="00D12B62"/>
    <w:rsid w:val="00D138F6"/>
    <w:rsid w:val="00D13F21"/>
    <w:rsid w:val="00D14346"/>
    <w:rsid w:val="00D15725"/>
    <w:rsid w:val="00D16C2E"/>
    <w:rsid w:val="00D20A30"/>
    <w:rsid w:val="00D20BC7"/>
    <w:rsid w:val="00D23852"/>
    <w:rsid w:val="00D2641E"/>
    <w:rsid w:val="00D2764F"/>
    <w:rsid w:val="00D3051F"/>
    <w:rsid w:val="00D3068D"/>
    <w:rsid w:val="00D3170B"/>
    <w:rsid w:val="00D31BCE"/>
    <w:rsid w:val="00D32D6F"/>
    <w:rsid w:val="00D34D5D"/>
    <w:rsid w:val="00D369E9"/>
    <w:rsid w:val="00D37B04"/>
    <w:rsid w:val="00D41A82"/>
    <w:rsid w:val="00D436F8"/>
    <w:rsid w:val="00D45555"/>
    <w:rsid w:val="00D4628C"/>
    <w:rsid w:val="00D479B5"/>
    <w:rsid w:val="00D47DF0"/>
    <w:rsid w:val="00D50EBE"/>
    <w:rsid w:val="00D540C6"/>
    <w:rsid w:val="00D54323"/>
    <w:rsid w:val="00D60327"/>
    <w:rsid w:val="00D62D24"/>
    <w:rsid w:val="00D62D61"/>
    <w:rsid w:val="00D64BD1"/>
    <w:rsid w:val="00D66A8D"/>
    <w:rsid w:val="00D71DE7"/>
    <w:rsid w:val="00D71F34"/>
    <w:rsid w:val="00D72CC8"/>
    <w:rsid w:val="00D7310B"/>
    <w:rsid w:val="00D76833"/>
    <w:rsid w:val="00D7785E"/>
    <w:rsid w:val="00D82CEF"/>
    <w:rsid w:val="00D85F0B"/>
    <w:rsid w:val="00D8686A"/>
    <w:rsid w:val="00D90B37"/>
    <w:rsid w:val="00D92254"/>
    <w:rsid w:val="00D92328"/>
    <w:rsid w:val="00D924D3"/>
    <w:rsid w:val="00D94832"/>
    <w:rsid w:val="00D96C4B"/>
    <w:rsid w:val="00DA00A5"/>
    <w:rsid w:val="00DA1B52"/>
    <w:rsid w:val="00DA2287"/>
    <w:rsid w:val="00DA4B3C"/>
    <w:rsid w:val="00DA4B42"/>
    <w:rsid w:val="00DB2676"/>
    <w:rsid w:val="00DB44E4"/>
    <w:rsid w:val="00DB44F8"/>
    <w:rsid w:val="00DB4675"/>
    <w:rsid w:val="00DC0996"/>
    <w:rsid w:val="00DC12D1"/>
    <w:rsid w:val="00DC238C"/>
    <w:rsid w:val="00DC4542"/>
    <w:rsid w:val="00DC5A4E"/>
    <w:rsid w:val="00DC6D78"/>
    <w:rsid w:val="00DD3108"/>
    <w:rsid w:val="00DD3E88"/>
    <w:rsid w:val="00DD52C5"/>
    <w:rsid w:val="00DE084C"/>
    <w:rsid w:val="00DE1D03"/>
    <w:rsid w:val="00DE3FC2"/>
    <w:rsid w:val="00DE5E8A"/>
    <w:rsid w:val="00DF2254"/>
    <w:rsid w:val="00DF4A12"/>
    <w:rsid w:val="00DF68CF"/>
    <w:rsid w:val="00E00F1C"/>
    <w:rsid w:val="00E0138E"/>
    <w:rsid w:val="00E0497E"/>
    <w:rsid w:val="00E055AB"/>
    <w:rsid w:val="00E148C2"/>
    <w:rsid w:val="00E14E3E"/>
    <w:rsid w:val="00E14E55"/>
    <w:rsid w:val="00E14F51"/>
    <w:rsid w:val="00E15A6C"/>
    <w:rsid w:val="00E1666D"/>
    <w:rsid w:val="00E16D5F"/>
    <w:rsid w:val="00E206CA"/>
    <w:rsid w:val="00E20945"/>
    <w:rsid w:val="00E21914"/>
    <w:rsid w:val="00E221FA"/>
    <w:rsid w:val="00E27353"/>
    <w:rsid w:val="00E3076E"/>
    <w:rsid w:val="00E30951"/>
    <w:rsid w:val="00E32094"/>
    <w:rsid w:val="00E32A87"/>
    <w:rsid w:val="00E357B7"/>
    <w:rsid w:val="00E360C1"/>
    <w:rsid w:val="00E40B8C"/>
    <w:rsid w:val="00E40E8B"/>
    <w:rsid w:val="00E410F8"/>
    <w:rsid w:val="00E42990"/>
    <w:rsid w:val="00E42E50"/>
    <w:rsid w:val="00E4584F"/>
    <w:rsid w:val="00E532A8"/>
    <w:rsid w:val="00E53800"/>
    <w:rsid w:val="00E54737"/>
    <w:rsid w:val="00E550E8"/>
    <w:rsid w:val="00E55A00"/>
    <w:rsid w:val="00E55C8C"/>
    <w:rsid w:val="00E55F8A"/>
    <w:rsid w:val="00E57D66"/>
    <w:rsid w:val="00E6081F"/>
    <w:rsid w:val="00E60B18"/>
    <w:rsid w:val="00E614AA"/>
    <w:rsid w:val="00E624EC"/>
    <w:rsid w:val="00E66638"/>
    <w:rsid w:val="00E70C37"/>
    <w:rsid w:val="00E737C7"/>
    <w:rsid w:val="00E73F3B"/>
    <w:rsid w:val="00E772D3"/>
    <w:rsid w:val="00E8033E"/>
    <w:rsid w:val="00E81A11"/>
    <w:rsid w:val="00E8296D"/>
    <w:rsid w:val="00E83AD7"/>
    <w:rsid w:val="00E8457B"/>
    <w:rsid w:val="00E850B0"/>
    <w:rsid w:val="00E90B5F"/>
    <w:rsid w:val="00E916AA"/>
    <w:rsid w:val="00E944AA"/>
    <w:rsid w:val="00E94ABF"/>
    <w:rsid w:val="00E96F48"/>
    <w:rsid w:val="00E97725"/>
    <w:rsid w:val="00EA04B2"/>
    <w:rsid w:val="00EA20F3"/>
    <w:rsid w:val="00EA36D9"/>
    <w:rsid w:val="00EA4493"/>
    <w:rsid w:val="00EB478F"/>
    <w:rsid w:val="00EB5CBE"/>
    <w:rsid w:val="00EB79B5"/>
    <w:rsid w:val="00EC0A47"/>
    <w:rsid w:val="00EC2B54"/>
    <w:rsid w:val="00EC3A2F"/>
    <w:rsid w:val="00EC4450"/>
    <w:rsid w:val="00EC608A"/>
    <w:rsid w:val="00EC6D38"/>
    <w:rsid w:val="00ED179A"/>
    <w:rsid w:val="00ED18EE"/>
    <w:rsid w:val="00ED1D0F"/>
    <w:rsid w:val="00ED2831"/>
    <w:rsid w:val="00ED3B2D"/>
    <w:rsid w:val="00ED4323"/>
    <w:rsid w:val="00ED43D1"/>
    <w:rsid w:val="00ED5919"/>
    <w:rsid w:val="00ED6529"/>
    <w:rsid w:val="00ED6E38"/>
    <w:rsid w:val="00EE0466"/>
    <w:rsid w:val="00EE0B22"/>
    <w:rsid w:val="00EE1CFF"/>
    <w:rsid w:val="00EE30BE"/>
    <w:rsid w:val="00EE4EE1"/>
    <w:rsid w:val="00EE7001"/>
    <w:rsid w:val="00EF4574"/>
    <w:rsid w:val="00F003E0"/>
    <w:rsid w:val="00F018BB"/>
    <w:rsid w:val="00F01921"/>
    <w:rsid w:val="00F04832"/>
    <w:rsid w:val="00F05683"/>
    <w:rsid w:val="00F06982"/>
    <w:rsid w:val="00F13373"/>
    <w:rsid w:val="00F17A11"/>
    <w:rsid w:val="00F20898"/>
    <w:rsid w:val="00F20B80"/>
    <w:rsid w:val="00F24317"/>
    <w:rsid w:val="00F258BF"/>
    <w:rsid w:val="00F25A93"/>
    <w:rsid w:val="00F267AC"/>
    <w:rsid w:val="00F2684E"/>
    <w:rsid w:val="00F27235"/>
    <w:rsid w:val="00F3032A"/>
    <w:rsid w:val="00F328AF"/>
    <w:rsid w:val="00F32A7D"/>
    <w:rsid w:val="00F32F70"/>
    <w:rsid w:val="00F34FC8"/>
    <w:rsid w:val="00F37152"/>
    <w:rsid w:val="00F41332"/>
    <w:rsid w:val="00F4235F"/>
    <w:rsid w:val="00F45486"/>
    <w:rsid w:val="00F47942"/>
    <w:rsid w:val="00F50056"/>
    <w:rsid w:val="00F53309"/>
    <w:rsid w:val="00F53E91"/>
    <w:rsid w:val="00F5404C"/>
    <w:rsid w:val="00F55791"/>
    <w:rsid w:val="00F55E6C"/>
    <w:rsid w:val="00F56F61"/>
    <w:rsid w:val="00F64397"/>
    <w:rsid w:val="00F650C7"/>
    <w:rsid w:val="00F67C6A"/>
    <w:rsid w:val="00F70504"/>
    <w:rsid w:val="00F707E0"/>
    <w:rsid w:val="00F71CB4"/>
    <w:rsid w:val="00F729EF"/>
    <w:rsid w:val="00F746B7"/>
    <w:rsid w:val="00F760AE"/>
    <w:rsid w:val="00F77CAE"/>
    <w:rsid w:val="00F82271"/>
    <w:rsid w:val="00F8284D"/>
    <w:rsid w:val="00F83428"/>
    <w:rsid w:val="00F875A8"/>
    <w:rsid w:val="00F90B17"/>
    <w:rsid w:val="00F91D69"/>
    <w:rsid w:val="00F95ACE"/>
    <w:rsid w:val="00F96BB9"/>
    <w:rsid w:val="00F975C0"/>
    <w:rsid w:val="00FA0B8D"/>
    <w:rsid w:val="00FA0F7F"/>
    <w:rsid w:val="00FA46A5"/>
    <w:rsid w:val="00FA4D1A"/>
    <w:rsid w:val="00FA4EF5"/>
    <w:rsid w:val="00FA5EFD"/>
    <w:rsid w:val="00FA76A5"/>
    <w:rsid w:val="00FB1250"/>
    <w:rsid w:val="00FB6C6A"/>
    <w:rsid w:val="00FC1216"/>
    <w:rsid w:val="00FC34CF"/>
    <w:rsid w:val="00FC5365"/>
    <w:rsid w:val="00FC564F"/>
    <w:rsid w:val="00FC742E"/>
    <w:rsid w:val="00FD1850"/>
    <w:rsid w:val="00FD710F"/>
    <w:rsid w:val="00FE0E4A"/>
    <w:rsid w:val="00FE6D51"/>
    <w:rsid w:val="00FE6F2A"/>
    <w:rsid w:val="00FF0590"/>
    <w:rsid w:val="00FF1736"/>
    <w:rsid w:val="00FF4371"/>
    <w:rsid w:val="00FF516D"/>
    <w:rsid w:val="00FF551B"/>
    <w:rsid w:val="03AE32B1"/>
    <w:rsid w:val="096C99C8"/>
    <w:rsid w:val="0CA57B88"/>
    <w:rsid w:val="0E414BE9"/>
    <w:rsid w:val="0E48D7EA"/>
    <w:rsid w:val="1B06A694"/>
    <w:rsid w:val="1CBBA36F"/>
    <w:rsid w:val="1D80D427"/>
    <w:rsid w:val="1FDF89BF"/>
    <w:rsid w:val="20EE8F08"/>
    <w:rsid w:val="22658143"/>
    <w:rsid w:val="28FC55C0"/>
    <w:rsid w:val="29348ADA"/>
    <w:rsid w:val="2B511907"/>
    <w:rsid w:val="3537174C"/>
    <w:rsid w:val="37F19E90"/>
    <w:rsid w:val="387356E7"/>
    <w:rsid w:val="3AEB2BB6"/>
    <w:rsid w:val="3B5FEFC7"/>
    <w:rsid w:val="3DE51AA3"/>
    <w:rsid w:val="41114948"/>
    <w:rsid w:val="4428142A"/>
    <w:rsid w:val="44EF0B71"/>
    <w:rsid w:val="5B601577"/>
    <w:rsid w:val="5D1C586E"/>
    <w:rsid w:val="60E146C3"/>
    <w:rsid w:val="633207B2"/>
    <w:rsid w:val="638F67D4"/>
    <w:rsid w:val="6D6ED589"/>
    <w:rsid w:val="71408DC8"/>
    <w:rsid w:val="76E8D805"/>
    <w:rsid w:val="785D9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772A0C"/>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2E09E8"/>
    <w:pPr>
      <w:spacing w:before="120"/>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772A0C"/>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E09E8"/>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semiHidden/>
    <w:rsid w:val="008C5A0E"/>
    <w:rPr>
      <w:color w:val="495965" w:themeColor="text2"/>
      <w:sz w:val="12"/>
      <w:szCs w:val="20"/>
    </w:rPr>
  </w:style>
  <w:style w:type="character" w:styleId="FootnoteReference">
    <w:name w:val="footnote reference"/>
    <w:basedOn w:val="DefaultParagraphFont"/>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Work Sans" w:hAnsi="Work San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customStyle="1" w:styleId="normaltextrun">
    <w:name w:val="normaltextrun"/>
    <w:basedOn w:val="DefaultParagraphFont"/>
    <w:rsid w:val="00451933"/>
  </w:style>
  <w:style w:type="character" w:customStyle="1" w:styleId="eop">
    <w:name w:val="eop"/>
    <w:basedOn w:val="DefaultParagraphFont"/>
    <w:rsid w:val="00604E61"/>
  </w:style>
  <w:style w:type="paragraph" w:styleId="Revision">
    <w:name w:val="Revision"/>
    <w:hidden/>
    <w:uiPriority w:val="99"/>
    <w:semiHidden/>
    <w:rsid w:val="00A1371B"/>
    <w:pPr>
      <w:spacing w:after="0" w:line="240" w:lineRule="auto"/>
    </w:pPr>
    <w:rPr>
      <w:color w:val="495965" w:themeColor="text2"/>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265113540">
      <w:bodyDiv w:val="1"/>
      <w:marLeft w:val="0"/>
      <w:marRight w:val="0"/>
      <w:marTop w:val="0"/>
      <w:marBottom w:val="0"/>
      <w:divBdr>
        <w:top w:val="none" w:sz="0" w:space="0" w:color="auto"/>
        <w:left w:val="none" w:sz="0" w:space="0" w:color="auto"/>
        <w:bottom w:val="none" w:sz="0" w:space="0" w:color="auto"/>
        <w:right w:val="none" w:sz="0" w:space="0" w:color="auto"/>
      </w:divBdr>
    </w:div>
    <w:div w:id="325518683">
      <w:bodyDiv w:val="1"/>
      <w:marLeft w:val="0"/>
      <w:marRight w:val="0"/>
      <w:marTop w:val="0"/>
      <w:marBottom w:val="0"/>
      <w:divBdr>
        <w:top w:val="none" w:sz="0" w:space="0" w:color="auto"/>
        <w:left w:val="none" w:sz="0" w:space="0" w:color="auto"/>
        <w:bottom w:val="none" w:sz="0" w:space="0" w:color="auto"/>
        <w:right w:val="none" w:sz="0" w:space="0" w:color="auto"/>
      </w:divBdr>
    </w:div>
    <w:div w:id="340812705">
      <w:bodyDiv w:val="1"/>
      <w:marLeft w:val="0"/>
      <w:marRight w:val="0"/>
      <w:marTop w:val="0"/>
      <w:marBottom w:val="0"/>
      <w:divBdr>
        <w:top w:val="none" w:sz="0" w:space="0" w:color="auto"/>
        <w:left w:val="none" w:sz="0" w:space="0" w:color="auto"/>
        <w:bottom w:val="none" w:sz="0" w:space="0" w:color="auto"/>
        <w:right w:val="none" w:sz="0" w:space="0" w:color="auto"/>
      </w:divBdr>
      <w:divsChild>
        <w:div w:id="643968070">
          <w:marLeft w:val="0"/>
          <w:marRight w:val="0"/>
          <w:marTop w:val="0"/>
          <w:marBottom w:val="45"/>
          <w:divBdr>
            <w:top w:val="none" w:sz="0" w:space="0" w:color="auto"/>
            <w:left w:val="none" w:sz="0" w:space="0" w:color="auto"/>
            <w:bottom w:val="none" w:sz="0" w:space="0" w:color="auto"/>
            <w:right w:val="none" w:sz="0" w:space="0" w:color="auto"/>
          </w:divBdr>
        </w:div>
      </w:divsChild>
    </w:div>
    <w:div w:id="384528437">
      <w:bodyDiv w:val="1"/>
      <w:marLeft w:val="0"/>
      <w:marRight w:val="0"/>
      <w:marTop w:val="0"/>
      <w:marBottom w:val="0"/>
      <w:divBdr>
        <w:top w:val="none" w:sz="0" w:space="0" w:color="auto"/>
        <w:left w:val="none" w:sz="0" w:space="0" w:color="auto"/>
        <w:bottom w:val="none" w:sz="0" w:space="0" w:color="auto"/>
        <w:right w:val="none" w:sz="0" w:space="0" w:color="auto"/>
      </w:divBdr>
    </w:div>
    <w:div w:id="444808416">
      <w:bodyDiv w:val="1"/>
      <w:marLeft w:val="0"/>
      <w:marRight w:val="0"/>
      <w:marTop w:val="0"/>
      <w:marBottom w:val="0"/>
      <w:divBdr>
        <w:top w:val="none" w:sz="0" w:space="0" w:color="auto"/>
        <w:left w:val="none" w:sz="0" w:space="0" w:color="auto"/>
        <w:bottom w:val="none" w:sz="0" w:space="0" w:color="auto"/>
        <w:right w:val="none" w:sz="0" w:space="0" w:color="auto"/>
      </w:divBdr>
    </w:div>
    <w:div w:id="507793441">
      <w:bodyDiv w:val="1"/>
      <w:marLeft w:val="0"/>
      <w:marRight w:val="0"/>
      <w:marTop w:val="0"/>
      <w:marBottom w:val="0"/>
      <w:divBdr>
        <w:top w:val="none" w:sz="0" w:space="0" w:color="auto"/>
        <w:left w:val="none" w:sz="0" w:space="0" w:color="auto"/>
        <w:bottom w:val="none" w:sz="0" w:space="0" w:color="auto"/>
        <w:right w:val="none" w:sz="0" w:space="0" w:color="auto"/>
      </w:divBdr>
    </w:div>
    <w:div w:id="509226096">
      <w:bodyDiv w:val="1"/>
      <w:marLeft w:val="0"/>
      <w:marRight w:val="0"/>
      <w:marTop w:val="0"/>
      <w:marBottom w:val="0"/>
      <w:divBdr>
        <w:top w:val="none" w:sz="0" w:space="0" w:color="auto"/>
        <w:left w:val="none" w:sz="0" w:space="0" w:color="auto"/>
        <w:bottom w:val="none" w:sz="0" w:space="0" w:color="auto"/>
        <w:right w:val="none" w:sz="0" w:space="0" w:color="auto"/>
      </w:divBdr>
    </w:div>
    <w:div w:id="572398624">
      <w:bodyDiv w:val="1"/>
      <w:marLeft w:val="0"/>
      <w:marRight w:val="0"/>
      <w:marTop w:val="0"/>
      <w:marBottom w:val="0"/>
      <w:divBdr>
        <w:top w:val="none" w:sz="0" w:space="0" w:color="auto"/>
        <w:left w:val="none" w:sz="0" w:space="0" w:color="auto"/>
        <w:bottom w:val="none" w:sz="0" w:space="0" w:color="auto"/>
        <w:right w:val="none" w:sz="0" w:space="0" w:color="auto"/>
      </w:divBdr>
    </w:div>
    <w:div w:id="597714889">
      <w:bodyDiv w:val="1"/>
      <w:marLeft w:val="0"/>
      <w:marRight w:val="0"/>
      <w:marTop w:val="0"/>
      <w:marBottom w:val="0"/>
      <w:divBdr>
        <w:top w:val="none" w:sz="0" w:space="0" w:color="auto"/>
        <w:left w:val="none" w:sz="0" w:space="0" w:color="auto"/>
        <w:bottom w:val="none" w:sz="0" w:space="0" w:color="auto"/>
        <w:right w:val="none" w:sz="0" w:space="0" w:color="auto"/>
      </w:divBdr>
    </w:div>
    <w:div w:id="701201974">
      <w:bodyDiv w:val="1"/>
      <w:marLeft w:val="0"/>
      <w:marRight w:val="0"/>
      <w:marTop w:val="0"/>
      <w:marBottom w:val="0"/>
      <w:divBdr>
        <w:top w:val="none" w:sz="0" w:space="0" w:color="auto"/>
        <w:left w:val="none" w:sz="0" w:space="0" w:color="auto"/>
        <w:bottom w:val="none" w:sz="0" w:space="0" w:color="auto"/>
        <w:right w:val="none" w:sz="0" w:space="0" w:color="auto"/>
      </w:divBdr>
    </w:div>
    <w:div w:id="746804149">
      <w:bodyDiv w:val="1"/>
      <w:marLeft w:val="0"/>
      <w:marRight w:val="0"/>
      <w:marTop w:val="0"/>
      <w:marBottom w:val="0"/>
      <w:divBdr>
        <w:top w:val="none" w:sz="0" w:space="0" w:color="auto"/>
        <w:left w:val="none" w:sz="0" w:space="0" w:color="auto"/>
        <w:bottom w:val="none" w:sz="0" w:space="0" w:color="auto"/>
        <w:right w:val="none" w:sz="0" w:space="0" w:color="auto"/>
      </w:divBdr>
    </w:div>
    <w:div w:id="766578396">
      <w:bodyDiv w:val="1"/>
      <w:marLeft w:val="0"/>
      <w:marRight w:val="0"/>
      <w:marTop w:val="0"/>
      <w:marBottom w:val="0"/>
      <w:divBdr>
        <w:top w:val="none" w:sz="0" w:space="0" w:color="auto"/>
        <w:left w:val="none" w:sz="0" w:space="0" w:color="auto"/>
        <w:bottom w:val="none" w:sz="0" w:space="0" w:color="auto"/>
        <w:right w:val="none" w:sz="0" w:space="0" w:color="auto"/>
      </w:divBdr>
    </w:div>
    <w:div w:id="1094667237">
      <w:bodyDiv w:val="1"/>
      <w:marLeft w:val="0"/>
      <w:marRight w:val="0"/>
      <w:marTop w:val="0"/>
      <w:marBottom w:val="0"/>
      <w:divBdr>
        <w:top w:val="none" w:sz="0" w:space="0" w:color="auto"/>
        <w:left w:val="none" w:sz="0" w:space="0" w:color="auto"/>
        <w:bottom w:val="none" w:sz="0" w:space="0" w:color="auto"/>
        <w:right w:val="none" w:sz="0" w:space="0" w:color="auto"/>
      </w:divBdr>
    </w:div>
    <w:div w:id="1096367409">
      <w:bodyDiv w:val="1"/>
      <w:marLeft w:val="0"/>
      <w:marRight w:val="0"/>
      <w:marTop w:val="0"/>
      <w:marBottom w:val="0"/>
      <w:divBdr>
        <w:top w:val="none" w:sz="0" w:space="0" w:color="auto"/>
        <w:left w:val="none" w:sz="0" w:space="0" w:color="auto"/>
        <w:bottom w:val="none" w:sz="0" w:space="0" w:color="auto"/>
        <w:right w:val="none" w:sz="0" w:space="0" w:color="auto"/>
      </w:divBdr>
    </w:div>
    <w:div w:id="1299650145">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509255083">
      <w:bodyDiv w:val="1"/>
      <w:marLeft w:val="0"/>
      <w:marRight w:val="0"/>
      <w:marTop w:val="0"/>
      <w:marBottom w:val="0"/>
      <w:divBdr>
        <w:top w:val="none" w:sz="0" w:space="0" w:color="auto"/>
        <w:left w:val="none" w:sz="0" w:space="0" w:color="auto"/>
        <w:bottom w:val="none" w:sz="0" w:space="0" w:color="auto"/>
        <w:right w:val="none" w:sz="0" w:space="0" w:color="auto"/>
      </w:divBdr>
    </w:div>
    <w:div w:id="1548836156">
      <w:bodyDiv w:val="1"/>
      <w:marLeft w:val="0"/>
      <w:marRight w:val="0"/>
      <w:marTop w:val="0"/>
      <w:marBottom w:val="0"/>
      <w:divBdr>
        <w:top w:val="none" w:sz="0" w:space="0" w:color="auto"/>
        <w:left w:val="none" w:sz="0" w:space="0" w:color="auto"/>
        <w:bottom w:val="none" w:sz="0" w:space="0" w:color="auto"/>
        <w:right w:val="none" w:sz="0" w:space="0" w:color="auto"/>
      </w:divBdr>
    </w:div>
    <w:div w:id="1695570156">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79569180">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90995636">
      <w:bodyDiv w:val="1"/>
      <w:marLeft w:val="0"/>
      <w:marRight w:val="0"/>
      <w:marTop w:val="0"/>
      <w:marBottom w:val="0"/>
      <w:divBdr>
        <w:top w:val="none" w:sz="0" w:space="0" w:color="auto"/>
        <w:left w:val="none" w:sz="0" w:space="0" w:color="auto"/>
        <w:bottom w:val="none" w:sz="0" w:space="0" w:color="auto"/>
        <w:right w:val="none" w:sz="0" w:space="0" w:color="auto"/>
      </w:divBdr>
    </w:div>
    <w:div w:id="1979919824">
      <w:bodyDiv w:val="1"/>
      <w:marLeft w:val="0"/>
      <w:marRight w:val="0"/>
      <w:marTop w:val="0"/>
      <w:marBottom w:val="0"/>
      <w:divBdr>
        <w:top w:val="none" w:sz="0" w:space="0" w:color="auto"/>
        <w:left w:val="none" w:sz="0" w:space="0" w:color="auto"/>
        <w:bottom w:val="none" w:sz="0" w:space="0" w:color="auto"/>
        <w:right w:val="none" w:sz="0" w:space="0" w:color="auto"/>
      </w:divBdr>
    </w:div>
    <w:div w:id="1996763865">
      <w:bodyDiv w:val="1"/>
      <w:marLeft w:val="0"/>
      <w:marRight w:val="0"/>
      <w:marTop w:val="0"/>
      <w:marBottom w:val="0"/>
      <w:divBdr>
        <w:top w:val="none" w:sz="0" w:space="0" w:color="auto"/>
        <w:left w:val="none" w:sz="0" w:space="0" w:color="auto"/>
        <w:bottom w:val="none" w:sz="0" w:space="0" w:color="auto"/>
        <w:right w:val="none" w:sz="0" w:space="0" w:color="auto"/>
      </w:divBdr>
    </w:div>
    <w:div w:id="2006274462">
      <w:bodyDiv w:val="1"/>
      <w:marLeft w:val="0"/>
      <w:marRight w:val="0"/>
      <w:marTop w:val="0"/>
      <w:marBottom w:val="0"/>
      <w:divBdr>
        <w:top w:val="none" w:sz="0" w:space="0" w:color="auto"/>
        <w:left w:val="none" w:sz="0" w:space="0" w:color="auto"/>
        <w:bottom w:val="none" w:sz="0" w:space="0" w:color="auto"/>
        <w:right w:val="none" w:sz="0" w:space="0" w:color="auto"/>
      </w:divBdr>
    </w:div>
    <w:div w:id="20329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E1893-5161-48BC-8986-D82974A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3129</Words>
  <Characters>19034</Characters>
  <Application>Microsoft Office Word</Application>
  <DocSecurity>0</DocSecurity>
  <Lines>401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2023-01-09T06:23:00Z</dcterms:created>
  <dcterms:modified xsi:type="dcterms:W3CDTF">2023-01-09T06:24:00Z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OFFICIAL:Sensitive</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2023-01-09T06:24:56Z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99499B3838EA19E8497C3DA726F94865</vt:lpwstr>
  </property>
  <property fmtid="{D5CDD505-2E9C-101B-9397-08002B2CF9AE}" pid="21" name="PM_Hash_Salt">
    <vt:lpwstr>83B2ED6BE4847CF62CD86CF994E14502</vt:lpwstr>
  </property>
  <property fmtid="{D5CDD505-2E9C-101B-9397-08002B2CF9AE}" pid="22" name="PM_Hash_SHA1">
    <vt:lpwstr>0AB4F26D93991E10CB953B61E9941FA0E16A5490</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Display">
    <vt:lpwstr>OFFICIAL: Sensitive</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EE98687A-19B3-51E0-A29A-CB59B2B324BA</vt:lpwstr>
  </property>
  <property fmtid="{D5CDD505-2E9C-101B-9397-08002B2CF9AE}" pid="29" name="PMUuidVer">
    <vt:lpwstr>2022.1</vt:lpwstr>
  </property>
</Properties>
</file>