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97AB" w14:textId="49B1522E" w:rsidR="0068172A" w:rsidRPr="00A901F1" w:rsidRDefault="0A22D4D0" w:rsidP="00D87D1F">
      <w:pPr>
        <w:pStyle w:val="Heading1"/>
      </w:pPr>
      <w:r w:rsidRPr="270428C0">
        <w:t>202</w:t>
      </w:r>
      <w:r w:rsidR="0913F967" w:rsidRPr="270428C0">
        <w:t>2</w:t>
      </w:r>
      <w:r w:rsidRPr="270428C0">
        <w:t>-2</w:t>
      </w:r>
      <w:r w:rsidR="0913F967" w:rsidRPr="270428C0">
        <w:t>3</w:t>
      </w:r>
      <w:r w:rsidRPr="270428C0">
        <w:t xml:space="preserve"> </w:t>
      </w:r>
      <w:r w:rsidR="00A478E3" w:rsidRPr="270428C0">
        <w:t>FIJI</w:t>
      </w:r>
      <w:r w:rsidR="33181F71" w:rsidRPr="270428C0">
        <w:t xml:space="preserve"> D</w:t>
      </w:r>
      <w:r w:rsidR="07BFF5F4" w:rsidRPr="270428C0">
        <w:t>evelopment</w:t>
      </w:r>
      <w:r w:rsidR="33181F71" w:rsidRPr="270428C0">
        <w:t xml:space="preserve"> </w:t>
      </w:r>
      <w:r w:rsidRPr="270428C0">
        <w:t>P</w:t>
      </w:r>
      <w:r w:rsidR="07BFF5F4" w:rsidRPr="270428C0">
        <w:t xml:space="preserve">rogram </w:t>
      </w:r>
      <w:r w:rsidRPr="270428C0">
        <w:t>P</w:t>
      </w:r>
      <w:r w:rsidR="07BFF5F4" w:rsidRPr="270428C0">
        <w:t>rogress</w:t>
      </w:r>
      <w:r w:rsidRPr="270428C0">
        <w:t xml:space="preserve"> R</w:t>
      </w:r>
      <w:r w:rsidR="07BFF5F4" w:rsidRPr="270428C0">
        <w:t>eport</w:t>
      </w:r>
      <w:r w:rsidR="51325D80" w:rsidRPr="270428C0">
        <w:t>ING</w:t>
      </w:r>
      <w:r w:rsidR="33181F71" w:rsidRPr="270428C0">
        <w:t xml:space="preserve"> </w:t>
      </w:r>
    </w:p>
    <w:p w14:paraId="12E24BAE" w14:textId="3992E382" w:rsidR="00BC1FED" w:rsidRPr="00A901F1" w:rsidRDefault="0068172A" w:rsidP="006D0A9D">
      <w:pPr>
        <w:pStyle w:val="Heading2"/>
      </w:pPr>
      <w:r w:rsidRPr="270428C0">
        <w:t xml:space="preserve">Progress against COVID-19 </w:t>
      </w:r>
      <w:r w:rsidR="008C1A18" w:rsidRPr="270428C0">
        <w:t xml:space="preserve">development </w:t>
      </w:r>
      <w:r w:rsidR="008A1503" w:rsidRPr="270428C0">
        <w:t xml:space="preserve">Response plan </w:t>
      </w:r>
      <w:r w:rsidR="00E1666D" w:rsidRPr="270428C0">
        <w:t>results indicators</w:t>
      </w:r>
    </w:p>
    <w:p w14:paraId="53E0B1CB" w14:textId="18E3CE44" w:rsidR="00AE2B7B" w:rsidRPr="00A901F1" w:rsidRDefault="00AE2B7B" w:rsidP="006D0A9D">
      <w:pPr>
        <w:pStyle w:val="Heading3"/>
      </w:pPr>
      <w:r w:rsidRPr="270428C0">
        <w:t>Health Security</w:t>
      </w:r>
    </w:p>
    <w:tbl>
      <w:tblPr>
        <w:tblStyle w:val="TableGrid"/>
        <w:tblW w:w="10536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3539"/>
        <w:gridCol w:w="6997"/>
      </w:tblGrid>
      <w:tr w:rsidR="00141511" w:rsidRPr="00141511" w14:paraId="228F7F02" w14:textId="77777777" w:rsidTr="270428C0">
        <w:trPr>
          <w:tblHeader/>
        </w:trPr>
        <w:tc>
          <w:tcPr>
            <w:tcW w:w="3539" w:type="dxa"/>
            <w:shd w:val="clear" w:color="auto" w:fill="A2DCD1" w:themeFill="accent1" w:themeFillTint="99"/>
          </w:tcPr>
          <w:p w14:paraId="7116F4F5" w14:textId="2BCC79D7" w:rsidR="004F5615" w:rsidRPr="00A901F1" w:rsidRDefault="00A96364" w:rsidP="006D0A9D">
            <w:pPr>
              <w:pStyle w:val="TableHeaderRow"/>
            </w:pPr>
            <w:r w:rsidRPr="270428C0">
              <w:t xml:space="preserve">Key Results </w:t>
            </w:r>
            <w:r w:rsidR="00E1666D" w:rsidRPr="270428C0">
              <w:t>Indicators</w:t>
            </w:r>
          </w:p>
        </w:tc>
        <w:tc>
          <w:tcPr>
            <w:tcW w:w="6997" w:type="dxa"/>
            <w:shd w:val="clear" w:color="auto" w:fill="A2DCD1" w:themeFill="accent1" w:themeFillTint="99"/>
          </w:tcPr>
          <w:p w14:paraId="18C04122" w14:textId="30B10914" w:rsidR="004F5615" w:rsidRPr="00A901F1" w:rsidRDefault="00AD19F7" w:rsidP="006D0A9D">
            <w:pPr>
              <w:pStyle w:val="TableHeaderRow"/>
            </w:pPr>
            <w:r w:rsidRPr="270428C0">
              <w:t>Progress/Result</w:t>
            </w:r>
          </w:p>
        </w:tc>
      </w:tr>
      <w:tr w:rsidR="00141511" w:rsidRPr="00141511" w14:paraId="4DBDF7F9" w14:textId="77777777" w:rsidTr="270428C0">
        <w:trPr>
          <w:tblHeader/>
        </w:trPr>
        <w:tc>
          <w:tcPr>
            <w:tcW w:w="3539" w:type="dxa"/>
          </w:tcPr>
          <w:p w14:paraId="165E98A4" w14:textId="78384BCD" w:rsidR="00C33E8A" w:rsidRPr="00A901F1" w:rsidDel="00B32AE3" w:rsidRDefault="001B426E" w:rsidP="00F721CA">
            <w:pPr>
              <w:spacing w:after="120"/>
              <w:rPr>
                <w:color w:val="auto"/>
              </w:rPr>
            </w:pPr>
            <w:bookmarkStart w:id="0" w:name="_Hlk142994098"/>
            <w:r w:rsidRPr="270428C0">
              <w:rPr>
                <w:rFonts w:eastAsiaTheme="minorEastAsia"/>
                <w:color w:val="auto"/>
              </w:rPr>
              <w:t xml:space="preserve">New or improved therapeutics, diagnostics, </w:t>
            </w:r>
            <w:r w:rsidR="00581188" w:rsidRPr="270428C0">
              <w:rPr>
                <w:rFonts w:eastAsiaTheme="minorEastAsia"/>
                <w:color w:val="auto"/>
              </w:rPr>
              <w:t>vaccines,</w:t>
            </w:r>
            <w:r w:rsidRPr="270428C0">
              <w:rPr>
                <w:rFonts w:eastAsiaTheme="minorEastAsia"/>
                <w:color w:val="auto"/>
              </w:rPr>
              <w:t xml:space="preserve"> or additional equipment, to which Australia has contributed, are accessible in Fiji</w:t>
            </w:r>
            <w:bookmarkEnd w:id="0"/>
          </w:p>
        </w:tc>
        <w:tc>
          <w:tcPr>
            <w:tcW w:w="6997" w:type="dxa"/>
          </w:tcPr>
          <w:p w14:paraId="31ED2C29" w14:textId="5F7C39AB" w:rsidR="00417778" w:rsidRPr="00A901F1" w:rsidRDefault="00646D46" w:rsidP="00F721CA">
            <w:pPr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In </w:t>
            </w:r>
            <w:r w:rsidR="003C068C" w:rsidRPr="270428C0">
              <w:rPr>
                <w:rFonts w:ascii="Calibri Light" w:eastAsia="Calibri Light" w:hAnsi="Calibri Light" w:cs="Calibri Light"/>
                <w:color w:val="auto"/>
              </w:rPr>
              <w:t xml:space="preserve">2022-23, </w:t>
            </w:r>
            <w:r w:rsidR="0009445F" w:rsidRPr="270428C0">
              <w:rPr>
                <w:rFonts w:ascii="Calibri Light" w:eastAsia="Calibri Light" w:hAnsi="Calibri Light" w:cs="Calibri Light"/>
                <w:color w:val="auto"/>
              </w:rPr>
              <w:t>Australian</w:t>
            </w:r>
            <w:r w:rsidR="00FB3752" w:rsidRPr="270428C0">
              <w:rPr>
                <w:rFonts w:ascii="Calibri Light" w:eastAsia="Calibri Light" w:hAnsi="Calibri Light" w:cs="Calibri Light"/>
                <w:color w:val="auto"/>
              </w:rPr>
              <w:t xml:space="preserve"> support</w:t>
            </w:r>
            <w:r w:rsidR="009944F4" w:rsidRPr="270428C0">
              <w:rPr>
                <w:rFonts w:ascii="Calibri Light" w:eastAsia="Calibri Light" w:hAnsi="Calibri Light" w:cs="Calibri Light"/>
                <w:color w:val="auto"/>
              </w:rPr>
              <w:t xml:space="preserve"> focused on </w:t>
            </w:r>
            <w:r w:rsidR="00D028D0" w:rsidRPr="270428C0">
              <w:rPr>
                <w:rFonts w:ascii="Calibri Light" w:eastAsia="Calibri Light" w:hAnsi="Calibri Light" w:cs="Calibri Light"/>
                <w:color w:val="auto"/>
              </w:rPr>
              <w:t>health systems</w:t>
            </w:r>
            <w:r w:rsidR="00CD2C2D" w:rsidRPr="270428C0">
              <w:rPr>
                <w:rFonts w:ascii="Calibri Light" w:eastAsia="Calibri Light" w:hAnsi="Calibri Light" w:cs="Calibri Light"/>
                <w:color w:val="auto"/>
              </w:rPr>
              <w:t>,</w:t>
            </w:r>
            <w:r w:rsidR="00D028D0" w:rsidRPr="270428C0">
              <w:rPr>
                <w:rFonts w:ascii="Calibri Light" w:eastAsia="Calibri Light" w:hAnsi="Calibri Light" w:cs="Calibri Light"/>
                <w:color w:val="auto"/>
              </w:rPr>
              <w:t xml:space="preserve"> </w:t>
            </w:r>
            <w:r w:rsidR="009944F4" w:rsidRPr="270428C0">
              <w:rPr>
                <w:rFonts w:ascii="Calibri Light" w:eastAsia="Calibri Light" w:hAnsi="Calibri Light" w:cs="Calibri Light"/>
                <w:color w:val="auto"/>
              </w:rPr>
              <w:t>patient safety and quality care.</w:t>
            </w:r>
            <w:r w:rsidR="00F735EB" w:rsidRPr="270428C0">
              <w:rPr>
                <w:rFonts w:ascii="Calibri Light" w:eastAsia="Calibri Light" w:hAnsi="Calibri Light" w:cs="Calibri Light"/>
                <w:color w:val="auto"/>
              </w:rPr>
              <w:t xml:space="preserve"> Through </w:t>
            </w:r>
            <w:r w:rsidR="002F202B" w:rsidRPr="270428C0">
              <w:rPr>
                <w:rFonts w:ascii="Calibri Light" w:eastAsia="Calibri Light" w:hAnsi="Calibri Light" w:cs="Calibri Light"/>
                <w:color w:val="auto"/>
              </w:rPr>
              <w:t xml:space="preserve">the </w:t>
            </w:r>
            <w:r w:rsidR="00F735EB" w:rsidRPr="270428C0">
              <w:rPr>
                <w:rFonts w:ascii="Calibri Light" w:eastAsia="Calibri Light" w:hAnsi="Calibri Light" w:cs="Calibri Light"/>
                <w:color w:val="auto"/>
              </w:rPr>
              <w:t>Vaccine Access Health Security Initiative, Australia</w:t>
            </w:r>
            <w:r w:rsidR="00CD2C2D" w:rsidRPr="270428C0">
              <w:rPr>
                <w:rFonts w:ascii="Calibri Light" w:eastAsia="Calibri Light" w:hAnsi="Calibri Light" w:cs="Calibri Light"/>
                <w:color w:val="auto"/>
              </w:rPr>
              <w:t>,</w:t>
            </w:r>
            <w:r w:rsidR="00F735EB" w:rsidRPr="270428C0">
              <w:rPr>
                <w:rFonts w:ascii="Calibri Light" w:eastAsia="Calibri Light" w:hAnsi="Calibri Light" w:cs="Calibri Light"/>
                <w:color w:val="auto"/>
              </w:rPr>
              <w:t xml:space="preserve"> in partnership with </w:t>
            </w:r>
            <w:r w:rsidR="00BB3ECB">
              <w:rPr>
                <w:rFonts w:ascii="Calibri Light" w:eastAsia="Calibri Light" w:hAnsi="Calibri Light" w:cs="Calibri Light"/>
                <w:color w:val="auto"/>
              </w:rPr>
              <w:t xml:space="preserve">the </w:t>
            </w:r>
            <w:r w:rsidR="00BB3ECB" w:rsidRPr="00BB3ECB">
              <w:rPr>
                <w:rFonts w:ascii="Calibri Light" w:eastAsia="Calibri Light" w:hAnsi="Calibri Light" w:cs="Calibri Light"/>
                <w:color w:val="auto"/>
              </w:rPr>
              <w:t>United Nations Children's Fund</w:t>
            </w:r>
            <w:r w:rsidR="00C06722" w:rsidRPr="270428C0">
              <w:rPr>
                <w:rFonts w:ascii="Calibri Light" w:eastAsia="Calibri Light" w:hAnsi="Calibri Light" w:cs="Calibri Light"/>
                <w:color w:val="auto"/>
              </w:rPr>
              <w:t>:</w:t>
            </w:r>
            <w:r w:rsidR="00F735EB" w:rsidRPr="270428C0">
              <w:rPr>
                <w:rFonts w:ascii="Calibri Light" w:eastAsia="Calibri Light" w:hAnsi="Calibri Light" w:cs="Calibri Light"/>
                <w:color w:val="auto"/>
              </w:rPr>
              <w:t xml:space="preserve"> </w:t>
            </w:r>
          </w:p>
          <w:p w14:paraId="5E926A44" w14:textId="5EBDC968" w:rsidR="00A52135" w:rsidRPr="00A901F1" w:rsidRDefault="00F735EB" w:rsidP="00417778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procured and delivered influenza </w:t>
            </w:r>
            <w:proofErr w:type="gramStart"/>
            <w:r w:rsidRPr="270428C0">
              <w:rPr>
                <w:rFonts w:ascii="Calibri Light" w:eastAsia="Calibri Light" w:hAnsi="Calibri Light" w:cs="Calibri Light"/>
                <w:color w:val="auto"/>
              </w:rPr>
              <w:t>vaccines</w:t>
            </w:r>
            <w:r w:rsidR="00751D2B" w:rsidRPr="270428C0">
              <w:rPr>
                <w:rFonts w:ascii="Calibri Light" w:eastAsia="Calibri Light" w:hAnsi="Calibri Light" w:cs="Calibri Light"/>
                <w:color w:val="auto"/>
              </w:rPr>
              <w:t>;</w:t>
            </w:r>
            <w:proofErr w:type="gramEnd"/>
            <w:r w:rsidR="00751D2B" w:rsidRPr="270428C0">
              <w:rPr>
                <w:rFonts w:ascii="Calibri Light" w:eastAsia="Calibri Light" w:hAnsi="Calibri Light" w:cs="Calibri Light"/>
                <w:color w:val="auto"/>
              </w:rPr>
              <w:t xml:space="preserve"> </w:t>
            </w:r>
          </w:p>
          <w:p w14:paraId="4E6DDF7C" w14:textId="77777777" w:rsidR="005344BD" w:rsidRPr="00A901F1" w:rsidRDefault="004D4309" w:rsidP="00417778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t>provided</w:t>
            </w:r>
            <w:r w:rsidR="00F735EB" w:rsidRPr="270428C0">
              <w:rPr>
                <w:rFonts w:ascii="Calibri Light" w:eastAsia="Calibri Light" w:hAnsi="Calibri Light" w:cs="Calibri Light"/>
                <w:color w:val="auto"/>
              </w:rPr>
              <w:t xml:space="preserve"> communications support and training for health personnel</w:t>
            </w:r>
            <w:r w:rsidR="001051C0" w:rsidRPr="270428C0">
              <w:rPr>
                <w:rFonts w:ascii="Calibri Light" w:eastAsia="Calibri Light" w:hAnsi="Calibri Light" w:cs="Calibri Light"/>
                <w:color w:val="auto"/>
              </w:rPr>
              <w:t>; and</w:t>
            </w:r>
          </w:p>
          <w:p w14:paraId="46127922" w14:textId="2338CDBB" w:rsidR="00C33E8A" w:rsidRPr="00A901F1" w:rsidDel="00851E5A" w:rsidRDefault="00E0219B" w:rsidP="00417778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t>support</w:t>
            </w:r>
            <w:r w:rsidR="00630372" w:rsidRPr="270428C0">
              <w:rPr>
                <w:rFonts w:ascii="Calibri Light" w:eastAsia="Calibri Light" w:hAnsi="Calibri Light" w:cs="Calibri Light"/>
                <w:color w:val="auto"/>
              </w:rPr>
              <w:t>ed</w:t>
            </w: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 COVID-19 immunisation by delivering over 224,100 vaccine doses.</w:t>
            </w:r>
          </w:p>
        </w:tc>
      </w:tr>
      <w:tr w:rsidR="00141511" w:rsidRPr="00141511" w14:paraId="00377433" w14:textId="77777777" w:rsidTr="270428C0">
        <w:trPr>
          <w:tblHeader/>
        </w:trPr>
        <w:tc>
          <w:tcPr>
            <w:tcW w:w="3539" w:type="dxa"/>
          </w:tcPr>
          <w:p w14:paraId="320AC7F3" w14:textId="37EE6755" w:rsidR="00983D1F" w:rsidRPr="00A901F1" w:rsidDel="00B32AE3" w:rsidRDefault="001B426E" w:rsidP="00F721CA">
            <w:pPr>
              <w:keepNext/>
              <w:keepLines/>
              <w:widowControl w:val="0"/>
              <w:spacing w:after="120"/>
              <w:rPr>
                <w:color w:val="auto"/>
              </w:rPr>
            </w:pPr>
            <w:r w:rsidRPr="270428C0">
              <w:rPr>
                <w:rFonts w:eastAsiaTheme="minorEastAsia"/>
                <w:color w:val="auto"/>
              </w:rPr>
              <w:t xml:space="preserve">Strengthened Fijian health system including preparedness for health emergencies at Colonial War Memorial Hospital </w:t>
            </w:r>
          </w:p>
        </w:tc>
        <w:tc>
          <w:tcPr>
            <w:tcW w:w="6997" w:type="dxa"/>
          </w:tcPr>
          <w:p w14:paraId="62A572F1" w14:textId="570EEBFB" w:rsidR="00983D1F" w:rsidRPr="00A901F1" w:rsidDel="00851E5A" w:rsidRDefault="00273A0A" w:rsidP="00F721CA">
            <w:pPr>
              <w:keepNext/>
              <w:keepLines/>
              <w:widowControl w:val="0"/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Supported </w:t>
            </w:r>
            <w:r w:rsidR="00D028D0" w:rsidRPr="270428C0">
              <w:rPr>
                <w:rFonts w:ascii="Calibri Light" w:eastAsia="Calibri Light" w:hAnsi="Calibri Light" w:cs="Calibri Light"/>
                <w:color w:val="auto"/>
              </w:rPr>
              <w:t>the development and implementation of a five-year Digital Health Strategy to strengthen the foundations of IT and health information</w:t>
            </w:r>
            <w:r w:rsidRPr="270428C0">
              <w:rPr>
                <w:rFonts w:ascii="Calibri Light" w:eastAsia="Calibri Light" w:hAnsi="Calibri Light" w:cs="Calibri Light"/>
                <w:color w:val="auto"/>
              </w:rPr>
              <w:t>. Helped</w:t>
            </w:r>
            <w:r w:rsidR="00D028D0" w:rsidRPr="270428C0">
              <w:rPr>
                <w:rFonts w:ascii="Calibri Light" w:eastAsia="Calibri Light" w:hAnsi="Calibri Light" w:cs="Calibri Light"/>
                <w:color w:val="auto"/>
              </w:rPr>
              <w:t xml:space="preserve"> institutionali</w:t>
            </w:r>
            <w:r w:rsidR="1E6F230C" w:rsidRPr="270428C0">
              <w:rPr>
                <w:rFonts w:ascii="Calibri Light" w:eastAsia="Calibri Light" w:hAnsi="Calibri Light" w:cs="Calibri Light"/>
                <w:color w:val="auto"/>
              </w:rPr>
              <w:t>se</w:t>
            </w:r>
            <w:r w:rsidR="00D028D0" w:rsidRPr="270428C0">
              <w:rPr>
                <w:rFonts w:ascii="Calibri Light" w:eastAsia="Calibri Light" w:hAnsi="Calibri Light" w:cs="Calibri Light"/>
                <w:color w:val="auto"/>
              </w:rPr>
              <w:t xml:space="preserve"> clinical governance and infection prevention reforms at </w:t>
            </w: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four </w:t>
            </w:r>
            <w:r w:rsidR="00D028D0" w:rsidRPr="270428C0">
              <w:rPr>
                <w:rFonts w:ascii="Calibri Light" w:eastAsia="Calibri Light" w:hAnsi="Calibri Light" w:cs="Calibri Light"/>
                <w:color w:val="auto"/>
              </w:rPr>
              <w:t>major hospitals to reduce preventable deaths.</w:t>
            </w:r>
          </w:p>
        </w:tc>
      </w:tr>
      <w:tr w:rsidR="00141511" w:rsidRPr="00141511" w14:paraId="5D4066B5" w14:textId="77777777" w:rsidTr="270428C0">
        <w:trPr>
          <w:tblHeader/>
        </w:trPr>
        <w:tc>
          <w:tcPr>
            <w:tcW w:w="3539" w:type="dxa"/>
          </w:tcPr>
          <w:p w14:paraId="354112BD" w14:textId="12FCADC1" w:rsidR="005A3D07" w:rsidRPr="00A901F1" w:rsidRDefault="00B32AE3" w:rsidP="00F721CA">
            <w:pPr>
              <w:keepNext/>
              <w:keepLines/>
              <w:widowControl w:val="0"/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color w:val="auto"/>
              </w:rPr>
              <w:t>Increased efficiency of procurement processes to ensure consistent supply of medicines and other health commodities</w:t>
            </w:r>
          </w:p>
        </w:tc>
        <w:tc>
          <w:tcPr>
            <w:tcW w:w="6997" w:type="dxa"/>
            <w:shd w:val="clear" w:color="auto" w:fill="auto"/>
          </w:tcPr>
          <w:p w14:paraId="1C78B18E" w14:textId="353E20A5" w:rsidR="005A3D07" w:rsidRPr="00A901F1" w:rsidRDefault="00273A0A" w:rsidP="00F721CA">
            <w:pPr>
              <w:keepNext/>
              <w:keepLines/>
              <w:widowControl w:val="0"/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Supported a national roll-out of </w:t>
            </w:r>
            <w:proofErr w:type="spellStart"/>
            <w:r w:rsidRPr="270428C0">
              <w:rPr>
                <w:rFonts w:ascii="Calibri Light" w:eastAsia="Calibri Light" w:hAnsi="Calibri Light" w:cs="Calibri Light"/>
                <w:color w:val="auto"/>
              </w:rPr>
              <w:t>mSupply</w:t>
            </w:r>
            <w:proofErr w:type="spellEnd"/>
            <w:r w:rsidRPr="270428C0">
              <w:rPr>
                <w:rFonts w:ascii="Calibri Light" w:eastAsia="Calibri Light" w:hAnsi="Calibri Light" w:cs="Calibri Light"/>
                <w:color w:val="auto"/>
              </w:rPr>
              <w:t>, a logistics information system, across over 58 health facilities (30</w:t>
            </w:r>
            <w:r w:rsidR="0022654B" w:rsidRPr="270428C0">
              <w:rPr>
                <w:rFonts w:ascii="Calibri Light" w:eastAsia="Calibri Light" w:hAnsi="Calibri Light" w:cs="Calibri Light"/>
                <w:color w:val="auto"/>
              </w:rPr>
              <w:t xml:space="preserve"> per cent</w:t>
            </w: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 completed)</w:t>
            </w:r>
            <w:r w:rsidR="00481C90" w:rsidRPr="270428C0">
              <w:rPr>
                <w:rFonts w:ascii="Calibri Light" w:eastAsia="Calibri Light" w:hAnsi="Calibri Light" w:cs="Calibri Light"/>
                <w:color w:val="auto"/>
              </w:rPr>
              <w:t>.</w:t>
            </w:r>
          </w:p>
        </w:tc>
      </w:tr>
      <w:tr w:rsidR="00141511" w:rsidRPr="00141511" w14:paraId="6CA4B19F" w14:textId="77777777" w:rsidTr="270428C0">
        <w:trPr>
          <w:tblHeader/>
        </w:trPr>
        <w:tc>
          <w:tcPr>
            <w:tcW w:w="3539" w:type="dxa"/>
          </w:tcPr>
          <w:p w14:paraId="6A5E3ABC" w14:textId="67EC7980" w:rsidR="00E540EE" w:rsidRPr="00A901F1" w:rsidRDefault="00E540EE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rFonts w:eastAsiaTheme="minorEastAsia"/>
                <w:color w:val="auto"/>
              </w:rPr>
              <w:t>Women and men, girls and boys are provided with emergency assistance in conflict and crisis situations, such as major cyclones</w:t>
            </w:r>
          </w:p>
        </w:tc>
        <w:tc>
          <w:tcPr>
            <w:tcW w:w="6997" w:type="dxa"/>
          </w:tcPr>
          <w:p w14:paraId="3C002553" w14:textId="1B078E24" w:rsidR="00E540EE" w:rsidRPr="00A901F1" w:rsidRDefault="00FE44C8" w:rsidP="00F721CA">
            <w:pPr>
              <w:widowControl w:val="0"/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00A901F1">
              <w:rPr>
                <w:rFonts w:ascii="Calibri Light" w:eastAsia="Calibri Light" w:hAnsi="Calibri Light" w:cs="Calibri Light"/>
                <w:color w:val="auto"/>
              </w:rPr>
              <w:t>In 2022-23, there w</w:t>
            </w:r>
            <w:r w:rsidR="00AA20A2" w:rsidRPr="00A901F1">
              <w:rPr>
                <w:rFonts w:ascii="Calibri Light" w:eastAsia="Calibri Light" w:hAnsi="Calibri Light" w:cs="Calibri Light"/>
                <w:color w:val="auto"/>
              </w:rPr>
              <w:t>ere</w:t>
            </w:r>
            <w:r w:rsidRPr="00A901F1">
              <w:rPr>
                <w:rFonts w:ascii="Calibri Light" w:eastAsia="Calibri Light" w:hAnsi="Calibri Light" w:cs="Calibri Light"/>
                <w:color w:val="auto"/>
              </w:rPr>
              <w:t xml:space="preserve"> no major </w:t>
            </w:r>
            <w:r w:rsidR="00AA20A2" w:rsidRPr="00A901F1">
              <w:rPr>
                <w:rFonts w:ascii="Calibri Light" w:eastAsia="Calibri Light" w:hAnsi="Calibri Light" w:cs="Calibri Light"/>
                <w:color w:val="auto"/>
              </w:rPr>
              <w:t>disasters</w:t>
            </w:r>
            <w:r w:rsidRPr="00A901F1">
              <w:rPr>
                <w:rFonts w:ascii="Calibri Light" w:eastAsia="Calibri Light" w:hAnsi="Calibri Light" w:cs="Calibri Light"/>
                <w:color w:val="auto"/>
              </w:rPr>
              <w:t>.</w:t>
            </w:r>
            <w:r w:rsidR="00A864EB" w:rsidRPr="00A901F1">
              <w:rPr>
                <w:rFonts w:ascii="Calibri Light" w:eastAsia="Calibri Light" w:hAnsi="Calibri Light" w:cs="Calibri Light"/>
                <w:color w:val="auto"/>
              </w:rPr>
              <w:t xml:space="preserve"> </w:t>
            </w:r>
            <w:r w:rsidR="00A864EB" w:rsidRPr="00A901F1">
              <w:rPr>
                <w:color w:val="auto"/>
              </w:rPr>
              <w:t xml:space="preserve">Australia completed the National Disaster Management Office’s </w:t>
            </w:r>
            <w:r w:rsidR="007E768C">
              <w:rPr>
                <w:color w:val="auto"/>
              </w:rPr>
              <w:t xml:space="preserve">(NDMO) </w:t>
            </w:r>
            <w:r w:rsidR="00A864EB" w:rsidRPr="00A901F1">
              <w:rPr>
                <w:color w:val="auto"/>
              </w:rPr>
              <w:t>emergency accommodation building</w:t>
            </w:r>
            <w:r w:rsidR="00BD3ED8" w:rsidRPr="00A901F1">
              <w:rPr>
                <w:color w:val="auto"/>
              </w:rPr>
              <w:t xml:space="preserve"> </w:t>
            </w:r>
            <w:r w:rsidR="00BE13CC" w:rsidRPr="00A901F1">
              <w:rPr>
                <w:color w:val="auto"/>
              </w:rPr>
              <w:t xml:space="preserve">which </w:t>
            </w:r>
            <w:r w:rsidR="00A864EB" w:rsidRPr="00A901F1">
              <w:rPr>
                <w:color w:val="auto"/>
              </w:rPr>
              <w:t>accommodate</w:t>
            </w:r>
            <w:r w:rsidR="004C4903" w:rsidRPr="00A901F1">
              <w:rPr>
                <w:color w:val="auto"/>
              </w:rPr>
              <w:t>s</w:t>
            </w:r>
            <w:r w:rsidR="00A864EB" w:rsidRPr="00A901F1">
              <w:rPr>
                <w:color w:val="auto"/>
              </w:rPr>
              <w:t xml:space="preserve"> 32-personne</w:t>
            </w:r>
            <w:r w:rsidR="00FC6F3C" w:rsidRPr="00A901F1">
              <w:rPr>
                <w:color w:val="auto"/>
              </w:rPr>
              <w:t>l</w:t>
            </w:r>
            <w:r w:rsidR="00A864EB" w:rsidRPr="00A901F1">
              <w:rPr>
                <w:color w:val="auto"/>
              </w:rPr>
              <w:t xml:space="preserve"> and</w:t>
            </w:r>
            <w:r w:rsidR="00E9246E" w:rsidRPr="00A901F1">
              <w:rPr>
                <w:color w:val="auto"/>
              </w:rPr>
              <w:t xml:space="preserve"> will </w:t>
            </w:r>
            <w:r w:rsidR="00A864EB" w:rsidRPr="00A901F1">
              <w:rPr>
                <w:color w:val="auto"/>
              </w:rPr>
              <w:t xml:space="preserve">be used </w:t>
            </w:r>
            <w:r w:rsidR="004C4903" w:rsidRPr="00A901F1">
              <w:rPr>
                <w:color w:val="auto"/>
              </w:rPr>
              <w:t>for</w:t>
            </w:r>
            <w:r w:rsidR="00E9246E" w:rsidRPr="00A901F1">
              <w:rPr>
                <w:color w:val="auto"/>
              </w:rPr>
              <w:t xml:space="preserve"> other </w:t>
            </w:r>
            <w:r w:rsidR="00A864EB" w:rsidRPr="00A901F1">
              <w:rPr>
                <w:color w:val="auto"/>
              </w:rPr>
              <w:t>disaster</w:t>
            </w:r>
            <w:r w:rsidR="002D7462">
              <w:rPr>
                <w:color w:val="auto"/>
              </w:rPr>
              <w:t xml:space="preserve"> </w:t>
            </w:r>
            <w:r w:rsidR="00A864EB" w:rsidRPr="00A901F1">
              <w:rPr>
                <w:color w:val="auto"/>
              </w:rPr>
              <w:t xml:space="preserve">related activities. Australia is </w:t>
            </w:r>
            <w:r w:rsidR="00764542">
              <w:rPr>
                <w:color w:val="auto"/>
              </w:rPr>
              <w:t xml:space="preserve">also </w:t>
            </w:r>
            <w:r w:rsidR="00A864EB" w:rsidRPr="00A901F1">
              <w:rPr>
                <w:color w:val="auto"/>
              </w:rPr>
              <w:t>supporting installation of solar panels on evacuation centres in 13 remote communities and training communities to maintain and manage them.</w:t>
            </w:r>
          </w:p>
        </w:tc>
      </w:tr>
    </w:tbl>
    <w:p w14:paraId="08BBE344" w14:textId="4D288B36" w:rsidR="00AE2B7B" w:rsidRPr="00A901F1" w:rsidRDefault="00F721CA" w:rsidP="006D0A9D">
      <w:pPr>
        <w:pStyle w:val="Heading3"/>
        <w:rPr>
          <w:sz w:val="30"/>
          <w:szCs w:val="30"/>
        </w:rPr>
      </w:pPr>
      <w:r w:rsidRPr="270428C0">
        <w:t>S</w:t>
      </w:r>
      <w:r w:rsidR="2C1AD208" w:rsidRPr="270428C0">
        <w:t>tability</w:t>
      </w:r>
      <w:r>
        <w:tab/>
      </w:r>
    </w:p>
    <w:tbl>
      <w:tblPr>
        <w:tblStyle w:val="TableGrid"/>
        <w:tblW w:w="10485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Stability "/>
      </w:tblPr>
      <w:tblGrid>
        <w:gridCol w:w="3539"/>
        <w:gridCol w:w="6946"/>
      </w:tblGrid>
      <w:tr w:rsidR="00141511" w:rsidRPr="00141511" w14:paraId="14EF210E" w14:textId="77777777" w:rsidTr="00781CF0">
        <w:trPr>
          <w:cantSplit/>
          <w:trHeight w:val="363"/>
          <w:tblHeader/>
        </w:trPr>
        <w:tc>
          <w:tcPr>
            <w:tcW w:w="3539" w:type="dxa"/>
            <w:shd w:val="clear" w:color="auto" w:fill="A2DCD1" w:themeFill="accent1" w:themeFillTint="99"/>
          </w:tcPr>
          <w:p w14:paraId="47014330" w14:textId="7A7E2C4C" w:rsidR="00CA5021" w:rsidRPr="00A901F1" w:rsidRDefault="00A96364" w:rsidP="006D0A9D">
            <w:pPr>
              <w:pStyle w:val="TableHeaderRow"/>
            </w:pPr>
            <w:r w:rsidRPr="270428C0">
              <w:t>Key Results</w:t>
            </w:r>
            <w:r w:rsidR="192CFFE1" w:rsidRPr="270428C0">
              <w:t xml:space="preserve"> Indicator</w:t>
            </w:r>
            <w:r w:rsidRPr="270428C0">
              <w:t>s</w:t>
            </w:r>
          </w:p>
        </w:tc>
        <w:tc>
          <w:tcPr>
            <w:tcW w:w="6946" w:type="dxa"/>
            <w:shd w:val="clear" w:color="auto" w:fill="A2DCD1" w:themeFill="accent1" w:themeFillTint="99"/>
          </w:tcPr>
          <w:p w14:paraId="167B5817" w14:textId="2E0A132C" w:rsidR="00E31001" w:rsidRPr="00A901F1" w:rsidRDefault="00AD19F7" w:rsidP="006D0A9D">
            <w:pPr>
              <w:pStyle w:val="TableHeaderRow"/>
            </w:pPr>
            <w:r w:rsidRPr="270428C0">
              <w:t>Progress/Result</w:t>
            </w:r>
          </w:p>
        </w:tc>
      </w:tr>
      <w:tr w:rsidR="00141511" w:rsidRPr="00141511" w14:paraId="689B7485" w14:textId="77777777" w:rsidTr="270428C0">
        <w:trPr>
          <w:cantSplit/>
        </w:trPr>
        <w:tc>
          <w:tcPr>
            <w:tcW w:w="3539" w:type="dxa"/>
          </w:tcPr>
          <w:p w14:paraId="1DFA9FF0" w14:textId="29C20E1B" w:rsidR="00E540EE" w:rsidRPr="00A901F1" w:rsidRDefault="2C2ADB30" w:rsidP="00F721CA">
            <w:pPr>
              <w:widowControl w:val="0"/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rFonts w:eastAsiaTheme="minorEastAsia"/>
                <w:color w:val="auto"/>
              </w:rPr>
              <w:t>Numbers reached with new or improved social protection programs, including remote communities</w:t>
            </w:r>
          </w:p>
        </w:tc>
        <w:tc>
          <w:tcPr>
            <w:tcW w:w="6946" w:type="dxa"/>
          </w:tcPr>
          <w:p w14:paraId="32D676E1" w14:textId="3AFB65BD" w:rsidR="00E31001" w:rsidRPr="00A901F1" w:rsidRDefault="71CE2CDF" w:rsidP="270428C0">
            <w:pPr>
              <w:widowControl w:val="0"/>
              <w:spacing w:after="120"/>
              <w:rPr>
                <w:rFonts w:eastAsiaTheme="minorEastAsia"/>
                <w:color w:val="auto"/>
              </w:rPr>
            </w:pPr>
            <w:r w:rsidRPr="270428C0">
              <w:rPr>
                <w:color w:val="auto"/>
              </w:rPr>
              <w:t xml:space="preserve">Nil. </w:t>
            </w:r>
            <w:r w:rsidR="62D075B3" w:rsidRPr="270428C0">
              <w:rPr>
                <w:rFonts w:eastAsiaTheme="minorEastAsia"/>
                <w:color w:val="auto"/>
              </w:rPr>
              <w:t>Australia</w:t>
            </w:r>
            <w:r w:rsidR="4E167E60" w:rsidRPr="270428C0">
              <w:rPr>
                <w:rFonts w:eastAsiaTheme="minorEastAsia"/>
                <w:color w:val="auto"/>
              </w:rPr>
              <w:t xml:space="preserve"> finalised</w:t>
            </w:r>
            <w:r w:rsidR="1A0ED703" w:rsidRPr="270428C0">
              <w:rPr>
                <w:rFonts w:eastAsiaTheme="minorEastAsia"/>
                <w:color w:val="auto"/>
              </w:rPr>
              <w:t xml:space="preserve"> an assessment of Fiji’s social protection programs</w:t>
            </w:r>
            <w:r w:rsidR="3B167EE0" w:rsidRPr="270428C0">
              <w:rPr>
                <w:rFonts w:eastAsiaTheme="minorEastAsia"/>
                <w:color w:val="auto"/>
              </w:rPr>
              <w:t xml:space="preserve"> in 2022-23</w:t>
            </w:r>
            <w:r w:rsidR="1A0ED703" w:rsidRPr="270428C0">
              <w:rPr>
                <w:rFonts w:eastAsiaTheme="minorEastAsia"/>
                <w:color w:val="auto"/>
              </w:rPr>
              <w:t xml:space="preserve">. </w:t>
            </w:r>
            <w:r w:rsidR="4AE8F38B" w:rsidRPr="270428C0">
              <w:rPr>
                <w:rFonts w:eastAsiaTheme="minorEastAsia"/>
                <w:color w:val="auto"/>
              </w:rPr>
              <w:t>T</w:t>
            </w:r>
            <w:r w:rsidR="1A0ED703" w:rsidRPr="270428C0">
              <w:rPr>
                <w:rFonts w:eastAsiaTheme="minorEastAsia"/>
                <w:color w:val="auto"/>
              </w:rPr>
              <w:t xml:space="preserve">he </w:t>
            </w:r>
            <w:r w:rsidR="00764542" w:rsidRPr="270428C0">
              <w:rPr>
                <w:rFonts w:eastAsiaTheme="minorEastAsia"/>
                <w:color w:val="auto"/>
              </w:rPr>
              <w:t>G</w:t>
            </w:r>
            <w:r w:rsidR="004C4903" w:rsidRPr="270428C0">
              <w:rPr>
                <w:rFonts w:eastAsiaTheme="minorEastAsia"/>
                <w:color w:val="auto"/>
              </w:rPr>
              <w:t xml:space="preserve">overnment </w:t>
            </w:r>
            <w:r w:rsidR="00764542" w:rsidRPr="270428C0">
              <w:rPr>
                <w:rFonts w:eastAsiaTheme="minorEastAsia"/>
                <w:color w:val="auto"/>
              </w:rPr>
              <w:t xml:space="preserve">of Fiji </w:t>
            </w:r>
            <w:r w:rsidR="698EB58D" w:rsidRPr="270428C0">
              <w:rPr>
                <w:rFonts w:eastAsiaTheme="minorEastAsia"/>
                <w:color w:val="auto"/>
              </w:rPr>
              <w:t>(</w:t>
            </w:r>
            <w:proofErr w:type="spellStart"/>
            <w:r w:rsidR="698EB58D" w:rsidRPr="270428C0">
              <w:rPr>
                <w:rFonts w:eastAsiaTheme="minorEastAsia"/>
                <w:color w:val="auto"/>
              </w:rPr>
              <w:t>GoF</w:t>
            </w:r>
            <w:proofErr w:type="spellEnd"/>
            <w:r w:rsidR="698EB58D" w:rsidRPr="270428C0">
              <w:rPr>
                <w:rFonts w:eastAsiaTheme="minorEastAsia"/>
                <w:color w:val="auto"/>
              </w:rPr>
              <w:t xml:space="preserve">) </w:t>
            </w:r>
            <w:r w:rsidR="1A0ED703" w:rsidRPr="270428C0">
              <w:rPr>
                <w:rFonts w:eastAsiaTheme="minorEastAsia"/>
                <w:color w:val="auto"/>
              </w:rPr>
              <w:t xml:space="preserve">requested </w:t>
            </w:r>
            <w:r w:rsidR="6C605D4E" w:rsidRPr="270428C0">
              <w:rPr>
                <w:rFonts w:eastAsiaTheme="minorEastAsia"/>
                <w:color w:val="auto"/>
              </w:rPr>
              <w:t>Australia</w:t>
            </w:r>
            <w:r w:rsidR="7C16DA83" w:rsidRPr="270428C0">
              <w:rPr>
                <w:rFonts w:eastAsiaTheme="minorEastAsia"/>
                <w:color w:val="auto"/>
              </w:rPr>
              <w:t>’s</w:t>
            </w:r>
            <w:r w:rsidR="1A0ED703" w:rsidRPr="270428C0">
              <w:rPr>
                <w:rFonts w:eastAsiaTheme="minorEastAsia"/>
                <w:color w:val="auto"/>
              </w:rPr>
              <w:t xml:space="preserve"> support </w:t>
            </w:r>
            <w:r w:rsidR="2A0E9063" w:rsidRPr="270428C0">
              <w:rPr>
                <w:rFonts w:eastAsiaTheme="minorEastAsia"/>
                <w:color w:val="auto"/>
              </w:rPr>
              <w:t xml:space="preserve">to </w:t>
            </w:r>
            <w:r w:rsidR="1A0ED703" w:rsidRPr="270428C0">
              <w:rPr>
                <w:rFonts w:eastAsiaTheme="minorEastAsia"/>
                <w:color w:val="auto"/>
              </w:rPr>
              <w:t>implement</w:t>
            </w:r>
            <w:r w:rsidR="2A0E9063" w:rsidRPr="270428C0">
              <w:rPr>
                <w:rFonts w:eastAsiaTheme="minorEastAsia"/>
                <w:color w:val="auto"/>
              </w:rPr>
              <w:t xml:space="preserve"> </w:t>
            </w:r>
            <w:r w:rsidR="15525B55" w:rsidRPr="270428C0">
              <w:rPr>
                <w:rFonts w:eastAsiaTheme="minorEastAsia"/>
                <w:color w:val="auto"/>
              </w:rPr>
              <w:t xml:space="preserve">the </w:t>
            </w:r>
            <w:r w:rsidR="1A0ED703" w:rsidRPr="270428C0">
              <w:rPr>
                <w:rFonts w:eastAsiaTheme="minorEastAsia"/>
                <w:color w:val="auto"/>
              </w:rPr>
              <w:t>recommendations</w:t>
            </w:r>
            <w:r w:rsidR="473EF22D" w:rsidRPr="270428C0">
              <w:rPr>
                <w:rFonts w:eastAsiaTheme="minorEastAsia"/>
                <w:color w:val="auto"/>
              </w:rPr>
              <w:t xml:space="preserve">, </w:t>
            </w:r>
            <w:r w:rsidR="00273A0A" w:rsidRPr="270428C0">
              <w:rPr>
                <w:rFonts w:eastAsiaTheme="minorEastAsia"/>
                <w:color w:val="auto"/>
              </w:rPr>
              <w:t xml:space="preserve">including </w:t>
            </w:r>
            <w:r w:rsidR="7B108FE0" w:rsidRPr="270428C0">
              <w:rPr>
                <w:rFonts w:eastAsiaTheme="minorEastAsia"/>
                <w:color w:val="auto"/>
              </w:rPr>
              <w:t>reform</w:t>
            </w:r>
            <w:r w:rsidR="3908DB36" w:rsidRPr="270428C0">
              <w:rPr>
                <w:rFonts w:eastAsiaTheme="minorEastAsia"/>
                <w:color w:val="auto"/>
              </w:rPr>
              <w:t>ing</w:t>
            </w:r>
            <w:r w:rsidR="46E05B8F" w:rsidRPr="270428C0">
              <w:rPr>
                <w:rFonts w:eastAsiaTheme="minorEastAsia"/>
                <w:color w:val="auto"/>
              </w:rPr>
              <w:t xml:space="preserve"> care and protection allowance into a child </w:t>
            </w:r>
            <w:r w:rsidR="2EA3D953" w:rsidRPr="270428C0">
              <w:rPr>
                <w:rFonts w:eastAsiaTheme="minorEastAsia"/>
                <w:color w:val="auto"/>
              </w:rPr>
              <w:t>benefit,</w:t>
            </w:r>
            <w:r w:rsidR="6A4B14C8" w:rsidRPr="270428C0">
              <w:rPr>
                <w:rFonts w:eastAsiaTheme="minorEastAsia"/>
                <w:color w:val="auto"/>
              </w:rPr>
              <w:t xml:space="preserve"> and</w:t>
            </w:r>
            <w:r w:rsidR="46E05B8F" w:rsidRPr="270428C0">
              <w:rPr>
                <w:rFonts w:eastAsiaTheme="minorEastAsia"/>
                <w:color w:val="auto"/>
              </w:rPr>
              <w:t xml:space="preserve"> redesign</w:t>
            </w:r>
            <w:r w:rsidR="460CFBBB" w:rsidRPr="270428C0">
              <w:rPr>
                <w:rFonts w:eastAsiaTheme="minorEastAsia"/>
                <w:color w:val="auto"/>
              </w:rPr>
              <w:t>ing</w:t>
            </w:r>
            <w:r w:rsidR="46E05B8F" w:rsidRPr="270428C0">
              <w:rPr>
                <w:rFonts w:eastAsiaTheme="minorEastAsia"/>
                <w:color w:val="auto"/>
              </w:rPr>
              <w:t xml:space="preserve"> the </w:t>
            </w:r>
            <w:r w:rsidR="68D5A0AC" w:rsidRPr="270428C0">
              <w:rPr>
                <w:rFonts w:eastAsiaTheme="minorEastAsia"/>
                <w:color w:val="auto"/>
              </w:rPr>
              <w:t xml:space="preserve">national </w:t>
            </w:r>
            <w:r w:rsidR="46E05B8F" w:rsidRPr="270428C0">
              <w:rPr>
                <w:rFonts w:eastAsiaTheme="minorEastAsia"/>
                <w:color w:val="auto"/>
              </w:rPr>
              <w:t xml:space="preserve">Poverty Benefit Scheme for vulnerable families </w:t>
            </w:r>
            <w:r w:rsidR="2EA3D953" w:rsidRPr="270428C0">
              <w:rPr>
                <w:rFonts w:eastAsiaTheme="minorEastAsia"/>
                <w:color w:val="auto"/>
              </w:rPr>
              <w:t xml:space="preserve">who are </w:t>
            </w:r>
            <w:r w:rsidR="46E05B8F" w:rsidRPr="270428C0">
              <w:rPr>
                <w:rFonts w:eastAsiaTheme="minorEastAsia"/>
                <w:color w:val="auto"/>
              </w:rPr>
              <w:t>currently</w:t>
            </w:r>
            <w:r w:rsidR="2EA3D953" w:rsidRPr="270428C0">
              <w:rPr>
                <w:rFonts w:eastAsiaTheme="minorEastAsia"/>
                <w:color w:val="auto"/>
              </w:rPr>
              <w:t xml:space="preserve"> </w:t>
            </w:r>
            <w:r w:rsidR="004C4903" w:rsidRPr="270428C0">
              <w:rPr>
                <w:rFonts w:eastAsiaTheme="minorEastAsia"/>
                <w:color w:val="auto"/>
              </w:rPr>
              <w:t>not receiving</w:t>
            </w:r>
            <w:r w:rsidR="46E05B8F" w:rsidRPr="270428C0">
              <w:rPr>
                <w:color w:val="auto"/>
              </w:rPr>
              <w:t xml:space="preserve"> social assistance.   </w:t>
            </w:r>
          </w:p>
        </w:tc>
      </w:tr>
      <w:tr w:rsidR="00141511" w:rsidRPr="00141511" w14:paraId="0556A95D" w14:textId="77777777" w:rsidTr="270428C0">
        <w:trPr>
          <w:cantSplit/>
        </w:trPr>
        <w:tc>
          <w:tcPr>
            <w:tcW w:w="3539" w:type="dxa"/>
          </w:tcPr>
          <w:p w14:paraId="62F5276A" w14:textId="5DCE0DB1" w:rsidR="00CA5021" w:rsidRPr="00A901F1" w:rsidRDefault="1817A4D2" w:rsidP="00F721CA">
            <w:pPr>
              <w:widowControl w:val="0"/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lastRenderedPageBreak/>
              <w:t xml:space="preserve">More </w:t>
            </w:r>
            <w:r w:rsidR="59D6D935" w:rsidRPr="270428C0">
              <w:rPr>
                <w:rFonts w:ascii="Calibri Light" w:eastAsia="Calibri Light" w:hAnsi="Calibri Light" w:cs="Calibri Light"/>
                <w:color w:val="auto"/>
              </w:rPr>
              <w:t>women and girl survivors</w:t>
            </w: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 of violence in Fiji receive services such as counselling</w:t>
            </w:r>
            <w:r w:rsidR="59D6D935" w:rsidRPr="270428C0">
              <w:rPr>
                <w:rFonts w:ascii="Calibri Light" w:eastAsia="Calibri Light" w:hAnsi="Calibri Light" w:cs="Calibri Light"/>
                <w:color w:val="auto"/>
              </w:rPr>
              <w:t xml:space="preserve"> </w:t>
            </w:r>
          </w:p>
        </w:tc>
        <w:tc>
          <w:tcPr>
            <w:tcW w:w="6946" w:type="dxa"/>
          </w:tcPr>
          <w:p w14:paraId="7EC1F526" w14:textId="7EA92577" w:rsidR="0042705E" w:rsidRPr="00A901F1" w:rsidRDefault="641D2D70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3</w:t>
            </w:r>
            <w:r w:rsidR="0022654B" w:rsidRPr="270428C0">
              <w:rPr>
                <w:color w:val="auto"/>
              </w:rPr>
              <w:t>,</w:t>
            </w:r>
            <w:r w:rsidRPr="270428C0">
              <w:rPr>
                <w:color w:val="auto"/>
              </w:rPr>
              <w:t>019</w:t>
            </w:r>
            <w:r w:rsidR="2DE298A9" w:rsidRPr="270428C0">
              <w:rPr>
                <w:color w:val="auto"/>
              </w:rPr>
              <w:t xml:space="preserve"> </w:t>
            </w:r>
            <w:r w:rsidR="004C4903" w:rsidRPr="270428C0">
              <w:rPr>
                <w:color w:val="auto"/>
              </w:rPr>
              <w:t xml:space="preserve">women and girls </w:t>
            </w:r>
            <w:r w:rsidR="3721D57B" w:rsidRPr="270428C0">
              <w:rPr>
                <w:color w:val="auto"/>
              </w:rPr>
              <w:t>(2</w:t>
            </w:r>
            <w:r w:rsidRPr="270428C0">
              <w:rPr>
                <w:color w:val="auto"/>
              </w:rPr>
              <w:t>31</w:t>
            </w:r>
            <w:r w:rsidR="3721D57B" w:rsidRPr="270428C0">
              <w:rPr>
                <w:color w:val="auto"/>
              </w:rPr>
              <w:t xml:space="preserve"> with </w:t>
            </w:r>
            <w:r w:rsidR="00296627">
              <w:rPr>
                <w:color w:val="auto"/>
              </w:rPr>
              <w:t xml:space="preserve">a </w:t>
            </w:r>
            <w:r w:rsidR="3721D57B" w:rsidRPr="270428C0">
              <w:rPr>
                <w:color w:val="auto"/>
              </w:rPr>
              <w:t xml:space="preserve">disability) </w:t>
            </w:r>
            <w:r w:rsidR="2DE298A9" w:rsidRPr="270428C0">
              <w:rPr>
                <w:color w:val="auto"/>
              </w:rPr>
              <w:t xml:space="preserve">received counselling assistance from </w:t>
            </w:r>
            <w:r w:rsidR="15525B55" w:rsidRPr="270428C0">
              <w:rPr>
                <w:color w:val="auto"/>
              </w:rPr>
              <w:t xml:space="preserve">the </w:t>
            </w:r>
            <w:r w:rsidR="2DE298A9" w:rsidRPr="270428C0">
              <w:rPr>
                <w:color w:val="auto"/>
              </w:rPr>
              <w:t>Fiji Women’s Crisis Centre</w:t>
            </w:r>
            <w:r w:rsidR="6F7A6747" w:rsidRPr="270428C0">
              <w:rPr>
                <w:color w:val="auto"/>
              </w:rPr>
              <w:t>.</w:t>
            </w:r>
          </w:p>
          <w:p w14:paraId="38EFD6C0" w14:textId="18205F08" w:rsidR="0042705E" w:rsidRPr="00A901F1" w:rsidRDefault="658BDAB6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9</w:t>
            </w:r>
            <w:r w:rsidR="0022654B" w:rsidRPr="270428C0">
              <w:rPr>
                <w:color w:val="auto"/>
              </w:rPr>
              <w:t>,</w:t>
            </w:r>
            <w:r w:rsidRPr="270428C0">
              <w:rPr>
                <w:color w:val="auto"/>
              </w:rPr>
              <w:t>544</w:t>
            </w:r>
            <w:r w:rsidR="6F7A6747" w:rsidRPr="270428C0">
              <w:rPr>
                <w:color w:val="auto"/>
              </w:rPr>
              <w:t xml:space="preserve"> </w:t>
            </w:r>
            <w:r w:rsidR="004C4903" w:rsidRPr="270428C0">
              <w:rPr>
                <w:color w:val="auto"/>
              </w:rPr>
              <w:t xml:space="preserve">women and girls </w:t>
            </w:r>
            <w:r w:rsidR="6F7A6747" w:rsidRPr="270428C0">
              <w:rPr>
                <w:color w:val="auto"/>
              </w:rPr>
              <w:t>(</w:t>
            </w:r>
            <w:r w:rsidRPr="270428C0">
              <w:rPr>
                <w:color w:val="auto"/>
              </w:rPr>
              <w:t>18</w:t>
            </w:r>
            <w:r w:rsidR="6F7A6747" w:rsidRPr="270428C0">
              <w:rPr>
                <w:color w:val="auto"/>
              </w:rPr>
              <w:t xml:space="preserve"> with </w:t>
            </w:r>
            <w:r w:rsidR="00296627">
              <w:rPr>
                <w:color w:val="auto"/>
              </w:rPr>
              <w:t xml:space="preserve">a </w:t>
            </w:r>
            <w:r w:rsidR="6F7A6747" w:rsidRPr="270428C0">
              <w:rPr>
                <w:color w:val="auto"/>
              </w:rPr>
              <w:t>disability) received counselling assistance from</w:t>
            </w:r>
            <w:r w:rsidR="2A8A25D2" w:rsidRPr="270428C0">
              <w:rPr>
                <w:color w:val="auto"/>
              </w:rPr>
              <w:t xml:space="preserve"> local </w:t>
            </w:r>
            <w:r w:rsidR="006C04FD">
              <w:rPr>
                <w:color w:val="auto"/>
              </w:rPr>
              <w:t>non-governmental organisations</w:t>
            </w:r>
            <w:r w:rsidR="6CC1FFD9" w:rsidRPr="270428C0">
              <w:rPr>
                <w:color w:val="auto"/>
              </w:rPr>
              <w:t>,</w:t>
            </w:r>
            <w:r w:rsidR="2A8A25D2" w:rsidRPr="270428C0">
              <w:rPr>
                <w:color w:val="auto"/>
              </w:rPr>
              <w:t xml:space="preserve"> supported by </w:t>
            </w:r>
            <w:r w:rsidR="15525B55" w:rsidRPr="270428C0">
              <w:rPr>
                <w:color w:val="auto"/>
              </w:rPr>
              <w:t xml:space="preserve">the </w:t>
            </w:r>
            <w:r w:rsidR="2A8A25D2" w:rsidRPr="270428C0">
              <w:rPr>
                <w:color w:val="auto"/>
              </w:rPr>
              <w:t>Women’s Fund Fiji</w:t>
            </w:r>
            <w:r w:rsidR="6DC1C43B" w:rsidRPr="270428C0">
              <w:rPr>
                <w:color w:val="auto"/>
              </w:rPr>
              <w:t xml:space="preserve"> (WFF)</w:t>
            </w:r>
            <w:r w:rsidR="6F7A6747" w:rsidRPr="270428C0">
              <w:rPr>
                <w:color w:val="auto"/>
              </w:rPr>
              <w:t>.</w:t>
            </w:r>
            <w:r w:rsidR="6BB7B962" w:rsidRPr="270428C0">
              <w:rPr>
                <w:color w:val="auto"/>
              </w:rPr>
              <w:t xml:space="preserve"> </w:t>
            </w:r>
          </w:p>
          <w:p w14:paraId="71F5FF79" w14:textId="03D38323" w:rsidR="00AB0013" w:rsidRPr="00A901F1" w:rsidRDefault="6BB7B962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 xml:space="preserve">Australia supported </w:t>
            </w:r>
            <w:r w:rsidR="25AB09E8" w:rsidRPr="270428C0">
              <w:rPr>
                <w:color w:val="auto"/>
              </w:rPr>
              <w:t>Fiji</w:t>
            </w:r>
            <w:r w:rsidR="6904A376" w:rsidRPr="270428C0">
              <w:rPr>
                <w:color w:val="auto"/>
              </w:rPr>
              <w:t>’s</w:t>
            </w:r>
            <w:r w:rsidR="25AB09E8" w:rsidRPr="270428C0">
              <w:rPr>
                <w:color w:val="auto"/>
              </w:rPr>
              <w:t xml:space="preserve"> develop</w:t>
            </w:r>
            <w:r w:rsidR="6904A376" w:rsidRPr="270428C0">
              <w:rPr>
                <w:color w:val="auto"/>
              </w:rPr>
              <w:t>ment</w:t>
            </w:r>
            <w:r w:rsidR="25AB09E8" w:rsidRPr="270428C0">
              <w:rPr>
                <w:color w:val="auto"/>
              </w:rPr>
              <w:t xml:space="preserve"> </w:t>
            </w:r>
            <w:r w:rsidR="6904A376" w:rsidRPr="270428C0">
              <w:rPr>
                <w:color w:val="auto"/>
              </w:rPr>
              <w:t xml:space="preserve">of </w:t>
            </w:r>
            <w:r w:rsidR="25AB09E8" w:rsidRPr="270428C0">
              <w:rPr>
                <w:color w:val="auto"/>
              </w:rPr>
              <w:t xml:space="preserve">a new National Action Plan </w:t>
            </w:r>
            <w:r w:rsidR="4EA5E4DF" w:rsidRPr="270428C0">
              <w:rPr>
                <w:color w:val="auto"/>
              </w:rPr>
              <w:t>to</w:t>
            </w:r>
            <w:r w:rsidR="25AB09E8" w:rsidRPr="270428C0">
              <w:rPr>
                <w:color w:val="auto"/>
              </w:rPr>
              <w:t xml:space="preserve"> Prevent Violence Against Women and Girls.</w:t>
            </w:r>
          </w:p>
        </w:tc>
      </w:tr>
      <w:tr w:rsidR="00141511" w:rsidRPr="00141511" w14:paraId="3B6C88EA" w14:textId="77777777" w:rsidTr="270428C0">
        <w:trPr>
          <w:cantSplit/>
        </w:trPr>
        <w:tc>
          <w:tcPr>
            <w:tcW w:w="3539" w:type="dxa"/>
          </w:tcPr>
          <w:p w14:paraId="2BEBD728" w14:textId="7B27CBE8" w:rsidR="00612F0E" w:rsidRPr="00A901F1" w:rsidRDefault="2C2ADB30" w:rsidP="00F721CA">
            <w:pPr>
              <w:widowControl w:val="0"/>
              <w:spacing w:after="120"/>
              <w:rPr>
                <w:rFonts w:ascii="Calibri Light" w:eastAsia="Calibri Light" w:hAnsi="Calibri Light" w:cs="Calibri Light"/>
                <w:color w:val="auto"/>
              </w:rPr>
            </w:pPr>
            <w:r w:rsidRPr="270428C0">
              <w:rPr>
                <w:color w:val="auto"/>
              </w:rPr>
              <w:t>Number of additional girls and boys enrolled in school</w:t>
            </w:r>
          </w:p>
        </w:tc>
        <w:tc>
          <w:tcPr>
            <w:tcW w:w="6946" w:type="dxa"/>
          </w:tcPr>
          <w:p w14:paraId="11A9D567" w14:textId="74B52741" w:rsidR="00612F0E" w:rsidRPr="00A901F1" w:rsidRDefault="06421D25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 xml:space="preserve">Nil. </w:t>
            </w:r>
            <w:r w:rsidR="55530986" w:rsidRPr="270428C0">
              <w:rPr>
                <w:color w:val="auto"/>
              </w:rPr>
              <w:t>In 2022-23 the Fiji Education Program continue</w:t>
            </w:r>
            <w:r w:rsidR="00CD2C2D" w:rsidRPr="270428C0">
              <w:rPr>
                <w:color w:val="auto"/>
              </w:rPr>
              <w:t>d</w:t>
            </w:r>
            <w:r w:rsidR="55530986" w:rsidRPr="270428C0">
              <w:rPr>
                <w:color w:val="auto"/>
              </w:rPr>
              <w:t xml:space="preserve"> its focus on education quality (particularly literacy and numeracy curriculum development).</w:t>
            </w:r>
          </w:p>
        </w:tc>
      </w:tr>
      <w:tr w:rsidR="00141511" w:rsidRPr="00141511" w14:paraId="0AA5CB2C" w14:textId="77777777" w:rsidTr="270428C0">
        <w:trPr>
          <w:cantSplit/>
        </w:trPr>
        <w:tc>
          <w:tcPr>
            <w:tcW w:w="3539" w:type="dxa"/>
          </w:tcPr>
          <w:p w14:paraId="067E82D3" w14:textId="597AE1A8" w:rsidR="00612F0E" w:rsidRPr="00A901F1" w:rsidRDefault="6855B08F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Number of verified students with disabilities in Fiji Education Management Information System</w:t>
            </w:r>
          </w:p>
        </w:tc>
        <w:tc>
          <w:tcPr>
            <w:tcW w:w="6946" w:type="dxa"/>
          </w:tcPr>
          <w:p w14:paraId="3E6D8576" w14:textId="3E67F3AE" w:rsidR="00612F0E" w:rsidRPr="00A901F1" w:rsidRDefault="2F053FAA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535 (previous period 715)</w:t>
            </w:r>
            <w:r w:rsidR="0022654B" w:rsidRPr="270428C0">
              <w:rPr>
                <w:color w:val="auto"/>
              </w:rPr>
              <w:t>.</w:t>
            </w:r>
          </w:p>
        </w:tc>
      </w:tr>
      <w:tr w:rsidR="00141511" w:rsidRPr="00141511" w14:paraId="328E7C29" w14:textId="77777777" w:rsidTr="270428C0">
        <w:trPr>
          <w:cantSplit/>
        </w:trPr>
        <w:tc>
          <w:tcPr>
            <w:tcW w:w="3539" w:type="dxa"/>
          </w:tcPr>
          <w:p w14:paraId="3CC6EC1F" w14:textId="657CA245" w:rsidR="00874D7C" w:rsidRPr="00A901F1" w:rsidRDefault="6855B08F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Evidence Australian support has improved border control measures</w:t>
            </w:r>
          </w:p>
        </w:tc>
        <w:tc>
          <w:tcPr>
            <w:tcW w:w="6946" w:type="dxa"/>
          </w:tcPr>
          <w:p w14:paraId="365D40DF" w14:textId="53A2328A" w:rsidR="00874D7C" w:rsidRPr="00A901F1" w:rsidRDefault="5BCEE09E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t>Nil</w:t>
            </w:r>
            <w:r w:rsidR="5BB6EE5E" w:rsidRPr="270428C0">
              <w:rPr>
                <w:rFonts w:ascii="Calibri Light" w:eastAsia="Calibri Light" w:hAnsi="Calibri Light" w:cs="Calibri Light"/>
                <w:color w:val="auto"/>
              </w:rPr>
              <w:t>.</w:t>
            </w:r>
            <w:r w:rsidR="00CD2C2D" w:rsidRPr="270428C0">
              <w:rPr>
                <w:rFonts w:ascii="Calibri Light" w:eastAsia="Calibri Light" w:hAnsi="Calibri Light" w:cs="Calibri Light"/>
                <w:color w:val="auto"/>
              </w:rPr>
              <w:t xml:space="preserve"> </w:t>
            </w:r>
            <w:r w:rsidR="56A68A17" w:rsidRPr="270428C0">
              <w:rPr>
                <w:rFonts w:ascii="Calibri Light" w:eastAsia="Calibri Light" w:hAnsi="Calibri Light" w:cs="Calibri Light"/>
                <w:color w:val="auto"/>
              </w:rPr>
              <w:t xml:space="preserve">Support to </w:t>
            </w:r>
            <w:r w:rsidR="16EF42DF" w:rsidRPr="270428C0">
              <w:rPr>
                <w:rFonts w:ascii="Calibri Light" w:eastAsia="Calibri Light" w:hAnsi="Calibri Light" w:cs="Calibri Light"/>
                <w:color w:val="auto"/>
              </w:rPr>
              <w:t xml:space="preserve">border control measures reported in 2021-22 </w:t>
            </w:r>
            <w:r w:rsidR="56A68A17" w:rsidRPr="270428C0">
              <w:rPr>
                <w:rFonts w:ascii="Calibri Light" w:eastAsia="Calibri Light" w:hAnsi="Calibri Light" w:cs="Calibri Light"/>
                <w:color w:val="auto"/>
              </w:rPr>
              <w:t xml:space="preserve">has </w:t>
            </w:r>
            <w:r w:rsidR="16EF42DF" w:rsidRPr="270428C0">
              <w:rPr>
                <w:rFonts w:ascii="Calibri Light" w:eastAsia="Calibri Light" w:hAnsi="Calibri Light" w:cs="Calibri Light"/>
                <w:color w:val="auto"/>
              </w:rPr>
              <w:t>been completed</w:t>
            </w:r>
            <w:r w:rsidR="4CB5E5A4" w:rsidRPr="270428C0">
              <w:rPr>
                <w:rFonts w:ascii="Calibri Light" w:eastAsia="Calibri Light" w:hAnsi="Calibri Light" w:cs="Calibri Light"/>
                <w:color w:val="auto"/>
              </w:rPr>
              <w:t>.</w:t>
            </w:r>
          </w:p>
        </w:tc>
      </w:tr>
      <w:tr w:rsidR="00141511" w:rsidRPr="00141511" w14:paraId="154EB9B9" w14:textId="77777777" w:rsidTr="270428C0">
        <w:trPr>
          <w:cantSplit/>
        </w:trPr>
        <w:tc>
          <w:tcPr>
            <w:tcW w:w="3539" w:type="dxa"/>
          </w:tcPr>
          <w:p w14:paraId="09DA1CCD" w14:textId="77D577FE" w:rsidR="00612F0E" w:rsidRPr="00A901F1" w:rsidRDefault="6855B08F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 xml:space="preserve">Evidence of strengthened and effective coordination during disaster responses (including across </w:t>
            </w:r>
            <w:r w:rsidR="797D0E5A" w:rsidRPr="270428C0">
              <w:rPr>
                <w:color w:val="auto"/>
              </w:rPr>
              <w:t>Civil Society Organisations</w:t>
            </w:r>
            <w:r w:rsidRPr="270428C0">
              <w:rPr>
                <w:color w:val="auto"/>
              </w:rPr>
              <w:t xml:space="preserve"> and Government)</w:t>
            </w:r>
          </w:p>
        </w:tc>
        <w:tc>
          <w:tcPr>
            <w:tcW w:w="6946" w:type="dxa"/>
          </w:tcPr>
          <w:p w14:paraId="62ADAF50" w14:textId="2D98E075" w:rsidR="004A32CD" w:rsidRPr="00A901F1" w:rsidRDefault="61895EDB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 xml:space="preserve">There has been no </w:t>
            </w:r>
            <w:r w:rsidR="2268689A" w:rsidRPr="270428C0">
              <w:rPr>
                <w:color w:val="auto"/>
              </w:rPr>
              <w:t>disaster response</w:t>
            </w:r>
            <w:r w:rsidR="4E59422A" w:rsidRPr="270428C0">
              <w:rPr>
                <w:color w:val="auto"/>
              </w:rPr>
              <w:t xml:space="preserve"> in 2022-23</w:t>
            </w:r>
            <w:r w:rsidR="406A8596" w:rsidRPr="270428C0">
              <w:rPr>
                <w:color w:val="auto"/>
              </w:rPr>
              <w:t>.</w:t>
            </w:r>
            <w:r w:rsidR="1EF3678F" w:rsidRPr="270428C0">
              <w:rPr>
                <w:color w:val="auto"/>
              </w:rPr>
              <w:t xml:space="preserve"> </w:t>
            </w:r>
            <w:r w:rsidR="4628F155" w:rsidRPr="270428C0">
              <w:rPr>
                <w:color w:val="auto"/>
              </w:rPr>
              <w:t>As a result</w:t>
            </w:r>
            <w:r w:rsidR="64F22CB4" w:rsidRPr="270428C0">
              <w:rPr>
                <w:color w:val="auto"/>
              </w:rPr>
              <w:t xml:space="preserve">, </w:t>
            </w:r>
            <w:r w:rsidR="00A864EB" w:rsidRPr="270428C0">
              <w:rPr>
                <w:color w:val="auto"/>
              </w:rPr>
              <w:t>Australia</w:t>
            </w:r>
            <w:r w:rsidR="34A3740B" w:rsidRPr="270428C0">
              <w:rPr>
                <w:color w:val="auto"/>
              </w:rPr>
              <w:t xml:space="preserve"> supported</w:t>
            </w:r>
            <w:r w:rsidR="60A7008E" w:rsidRPr="270428C0">
              <w:rPr>
                <w:color w:val="auto"/>
              </w:rPr>
              <w:t>:</w:t>
            </w:r>
          </w:p>
          <w:p w14:paraId="2C67A06C" w14:textId="0248EF4C" w:rsidR="00F26396" w:rsidRPr="00A901F1" w:rsidRDefault="00A864EB" w:rsidP="00B22BD0">
            <w:pPr>
              <w:pStyle w:val="ListParagraph"/>
              <w:widowControl w:val="0"/>
              <w:numPr>
                <w:ilvl w:val="0"/>
                <w:numId w:val="34"/>
              </w:numPr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a</w:t>
            </w:r>
            <w:r w:rsidR="7DC77F9F" w:rsidRPr="270428C0">
              <w:rPr>
                <w:color w:val="auto"/>
              </w:rPr>
              <w:t>n embedded</w:t>
            </w:r>
            <w:r w:rsidRPr="270428C0">
              <w:rPr>
                <w:color w:val="auto"/>
              </w:rPr>
              <w:t xml:space="preserve"> logistics </w:t>
            </w:r>
            <w:r w:rsidR="00E9246E" w:rsidRPr="270428C0">
              <w:rPr>
                <w:color w:val="auto"/>
              </w:rPr>
              <w:t>official</w:t>
            </w:r>
            <w:r w:rsidRPr="270428C0">
              <w:rPr>
                <w:color w:val="auto"/>
              </w:rPr>
              <w:t xml:space="preserve"> in </w:t>
            </w:r>
            <w:r w:rsidR="00CD2C2D" w:rsidRPr="270428C0">
              <w:rPr>
                <w:color w:val="auto"/>
              </w:rPr>
              <w:t>the</w:t>
            </w:r>
            <w:r w:rsidR="01155B0F" w:rsidRPr="270428C0">
              <w:rPr>
                <w:color w:val="auto"/>
              </w:rPr>
              <w:t xml:space="preserve"> </w:t>
            </w:r>
            <w:proofErr w:type="gramStart"/>
            <w:r w:rsidR="01155B0F" w:rsidRPr="270428C0">
              <w:rPr>
                <w:color w:val="auto"/>
              </w:rPr>
              <w:t>NDMO;</w:t>
            </w:r>
            <w:proofErr w:type="gramEnd"/>
            <w:r w:rsidR="01155B0F" w:rsidRPr="270428C0">
              <w:rPr>
                <w:color w:val="auto"/>
              </w:rPr>
              <w:t xml:space="preserve"> </w:t>
            </w:r>
          </w:p>
          <w:p w14:paraId="0AE8BA32" w14:textId="1D40BB8F" w:rsidR="005225FB" w:rsidRPr="00A901F1" w:rsidRDefault="00A864EB" w:rsidP="00B22BD0">
            <w:pPr>
              <w:pStyle w:val="ListParagraph"/>
              <w:widowControl w:val="0"/>
              <w:numPr>
                <w:ilvl w:val="0"/>
                <w:numId w:val="34"/>
              </w:numPr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 xml:space="preserve">emergency communications and logistics, including installation of </w:t>
            </w:r>
            <w:r w:rsidR="525401FA" w:rsidRPr="270428C0">
              <w:rPr>
                <w:color w:val="auto"/>
              </w:rPr>
              <w:t>N</w:t>
            </w:r>
            <w:r w:rsidR="01155B0F" w:rsidRPr="270428C0">
              <w:rPr>
                <w:color w:val="auto"/>
              </w:rPr>
              <w:t xml:space="preserve">ew </w:t>
            </w:r>
            <w:r w:rsidR="525401FA" w:rsidRPr="270428C0">
              <w:rPr>
                <w:color w:val="auto"/>
              </w:rPr>
              <w:t>Z</w:t>
            </w:r>
            <w:r w:rsidR="01155B0F" w:rsidRPr="270428C0">
              <w:rPr>
                <w:color w:val="auto"/>
              </w:rPr>
              <w:t xml:space="preserve">ealand </w:t>
            </w:r>
            <w:r w:rsidRPr="270428C0">
              <w:rPr>
                <w:color w:val="auto"/>
              </w:rPr>
              <w:t>funded VHS radio repeaters to connect communications to the National Emergency Operations Centre</w:t>
            </w:r>
            <w:r w:rsidR="0DB0FF6F" w:rsidRPr="270428C0">
              <w:rPr>
                <w:color w:val="auto"/>
              </w:rPr>
              <w:t>;</w:t>
            </w:r>
            <w:r w:rsidR="4628F155" w:rsidRPr="270428C0">
              <w:rPr>
                <w:color w:val="auto"/>
              </w:rPr>
              <w:t xml:space="preserve"> and </w:t>
            </w:r>
          </w:p>
          <w:p w14:paraId="0F8FA8E3" w14:textId="69EAD281" w:rsidR="00612F0E" w:rsidRPr="00A901F1" w:rsidRDefault="00A864EB" w:rsidP="00B22BD0">
            <w:pPr>
              <w:pStyle w:val="ListParagraph"/>
              <w:widowControl w:val="0"/>
              <w:numPr>
                <w:ilvl w:val="0"/>
                <w:numId w:val="34"/>
              </w:numPr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complet</w:t>
            </w:r>
            <w:r w:rsidR="34EDDD0A" w:rsidRPr="270428C0">
              <w:rPr>
                <w:color w:val="auto"/>
              </w:rPr>
              <w:t xml:space="preserve">ion of </w:t>
            </w:r>
            <w:r w:rsidRPr="270428C0">
              <w:rPr>
                <w:color w:val="auto"/>
              </w:rPr>
              <w:t>a technical survey of 33</w:t>
            </w:r>
            <w:r w:rsidR="0022654B" w:rsidRPr="270428C0">
              <w:rPr>
                <w:color w:val="auto"/>
              </w:rPr>
              <w:t> </w:t>
            </w:r>
            <w:r w:rsidRPr="270428C0">
              <w:rPr>
                <w:color w:val="auto"/>
              </w:rPr>
              <w:t>potential tsunami sirens and radio repeaters.</w:t>
            </w:r>
          </w:p>
        </w:tc>
      </w:tr>
      <w:tr w:rsidR="00141511" w:rsidRPr="00141511" w14:paraId="0C2D904E" w14:textId="77777777" w:rsidTr="270428C0">
        <w:trPr>
          <w:cantSplit/>
        </w:trPr>
        <w:tc>
          <w:tcPr>
            <w:tcW w:w="3539" w:type="dxa"/>
          </w:tcPr>
          <w:p w14:paraId="0BF717D4" w14:textId="1E588EC3" w:rsidR="00AC2229" w:rsidRPr="00A901F1" w:rsidRDefault="16F4A8E5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rFonts w:ascii="Calibri Light" w:eastAsia="Calibri Light" w:hAnsi="Calibri Light" w:cs="Calibri Light"/>
                <w:color w:val="auto"/>
              </w:rPr>
              <w:t>Number of Ministries</w:t>
            </w:r>
            <w:r w:rsidR="2A946FBB" w:rsidRPr="270428C0">
              <w:rPr>
                <w:rFonts w:ascii="Calibri Light" w:eastAsia="Calibri Light" w:hAnsi="Calibri Light" w:cs="Calibri Light"/>
                <w:color w:val="auto"/>
              </w:rPr>
              <w:t xml:space="preserve">, Government </w:t>
            </w:r>
            <w:r w:rsidR="558AA429" w:rsidRPr="270428C0">
              <w:rPr>
                <w:rFonts w:ascii="Calibri Light" w:eastAsia="Calibri Light" w:hAnsi="Calibri Light" w:cs="Calibri Light"/>
                <w:color w:val="auto"/>
              </w:rPr>
              <w:t>Agencies,</w:t>
            </w:r>
            <w:r w:rsidR="2A946FBB" w:rsidRPr="270428C0">
              <w:rPr>
                <w:rFonts w:ascii="Calibri Light" w:eastAsia="Calibri Light" w:hAnsi="Calibri Light" w:cs="Calibri Light"/>
                <w:color w:val="auto"/>
              </w:rPr>
              <w:t xml:space="preserve"> and Institutions, </w:t>
            </w:r>
            <w:r w:rsidRPr="270428C0">
              <w:rPr>
                <w:rFonts w:ascii="Calibri Light" w:eastAsia="Calibri Light" w:hAnsi="Calibri Light" w:cs="Calibri Light"/>
                <w:color w:val="auto"/>
              </w:rPr>
              <w:t>in</w:t>
            </w:r>
            <w:r w:rsidR="2EA3D953" w:rsidRPr="270428C0">
              <w:rPr>
                <w:rFonts w:ascii="Calibri Light" w:eastAsia="Calibri Light" w:hAnsi="Calibri Light" w:cs="Calibri Light"/>
                <w:color w:val="auto"/>
              </w:rPr>
              <w:t xml:space="preserve"> </w:t>
            </w:r>
            <w:proofErr w:type="spellStart"/>
            <w:r w:rsidR="205ECDB9" w:rsidRPr="270428C0">
              <w:rPr>
                <w:rFonts w:ascii="Calibri Light" w:eastAsia="Calibri Light" w:hAnsi="Calibri Light" w:cs="Calibri Light"/>
                <w:color w:val="auto"/>
              </w:rPr>
              <w:t>GoF</w:t>
            </w:r>
            <w:proofErr w:type="spellEnd"/>
            <w:r w:rsidR="7CCCB5B3" w:rsidRPr="270428C0">
              <w:rPr>
                <w:rFonts w:ascii="Calibri Light" w:eastAsia="Calibri Light" w:hAnsi="Calibri Light" w:cs="Calibri Light"/>
                <w:color w:val="auto"/>
              </w:rPr>
              <w:t>,</w:t>
            </w: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 includ</w:t>
            </w:r>
            <w:r w:rsidR="7E9E9912" w:rsidRPr="270428C0">
              <w:rPr>
                <w:rFonts w:ascii="Calibri Light" w:eastAsia="Calibri Light" w:hAnsi="Calibri Light" w:cs="Calibri Light"/>
                <w:color w:val="auto"/>
              </w:rPr>
              <w:t>e</w:t>
            </w:r>
            <w:r w:rsidRPr="270428C0">
              <w:rPr>
                <w:rFonts w:ascii="Calibri Light" w:eastAsia="Calibri Light" w:hAnsi="Calibri Light" w:cs="Calibri Light"/>
                <w:color w:val="auto"/>
              </w:rPr>
              <w:t xml:space="preserve"> gender-responsive budgeting (GRB) in budget submissions</w:t>
            </w:r>
          </w:p>
        </w:tc>
        <w:tc>
          <w:tcPr>
            <w:tcW w:w="6946" w:type="dxa"/>
          </w:tcPr>
          <w:p w14:paraId="2159C6D5" w14:textId="28A296AF" w:rsidR="00AC2229" w:rsidRPr="00A901F1" w:rsidRDefault="105F2121" w:rsidP="00F721CA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 xml:space="preserve">Australia supported reform in Fiji, in partnership with the Asian Development Bank. </w:t>
            </w:r>
            <w:r w:rsidR="0463867B" w:rsidRPr="270428C0">
              <w:rPr>
                <w:color w:val="auto"/>
              </w:rPr>
              <w:t xml:space="preserve">Building on lessons from </w:t>
            </w:r>
            <w:r w:rsidR="4628F155" w:rsidRPr="270428C0">
              <w:rPr>
                <w:color w:val="auto"/>
              </w:rPr>
              <w:t>a</w:t>
            </w:r>
            <w:r w:rsidR="0463867B" w:rsidRPr="270428C0">
              <w:rPr>
                <w:color w:val="auto"/>
              </w:rPr>
              <w:t xml:space="preserve"> 2021 pilot,</w:t>
            </w:r>
            <w:r w:rsidR="2C4DB7DE" w:rsidRPr="270428C0">
              <w:rPr>
                <w:color w:val="auto"/>
              </w:rPr>
              <w:t xml:space="preserve"> </w:t>
            </w:r>
            <w:r w:rsidR="0022654B" w:rsidRPr="270428C0">
              <w:rPr>
                <w:color w:val="auto"/>
              </w:rPr>
              <w:t>eight</w:t>
            </w:r>
            <w:r w:rsidR="16F4A8E5" w:rsidRPr="270428C0">
              <w:rPr>
                <w:color w:val="auto"/>
              </w:rPr>
              <w:t xml:space="preserve"> Ministries and the Fiji Police Force</w:t>
            </w:r>
            <w:r w:rsidR="78990D4D" w:rsidRPr="270428C0">
              <w:rPr>
                <w:color w:val="auto"/>
              </w:rPr>
              <w:t xml:space="preserve"> </w:t>
            </w:r>
            <w:r w:rsidR="16F4A8E5" w:rsidRPr="270428C0">
              <w:rPr>
                <w:color w:val="auto"/>
              </w:rPr>
              <w:t>implemented GRB allocations for 14 programs</w:t>
            </w:r>
            <w:r w:rsidR="74CE72BB" w:rsidRPr="270428C0">
              <w:rPr>
                <w:color w:val="auto"/>
              </w:rPr>
              <w:t xml:space="preserve"> in 2022</w:t>
            </w:r>
            <w:r w:rsidR="16F4A8E5" w:rsidRPr="270428C0">
              <w:rPr>
                <w:color w:val="auto"/>
              </w:rPr>
              <w:t>, institutionali</w:t>
            </w:r>
            <w:r w:rsidR="63B5D1AF" w:rsidRPr="270428C0">
              <w:rPr>
                <w:color w:val="auto"/>
              </w:rPr>
              <w:t>s</w:t>
            </w:r>
            <w:r w:rsidR="16F4A8E5" w:rsidRPr="270428C0">
              <w:rPr>
                <w:color w:val="auto"/>
              </w:rPr>
              <w:t>ing the methodology and enabling a more equitable allocation of resources and outcomes for women.</w:t>
            </w:r>
          </w:p>
        </w:tc>
      </w:tr>
    </w:tbl>
    <w:p w14:paraId="31D1A18D" w14:textId="77777777" w:rsidR="00234FB0" w:rsidRPr="00A901F1" w:rsidRDefault="00234FB0" w:rsidP="00F721CA">
      <w:pPr>
        <w:widowControl w:val="0"/>
        <w:rPr>
          <w:rFonts w:ascii="Calibri Light" w:eastAsia="Calibri Light" w:hAnsi="Calibri Light" w:cs="Calibri Light"/>
          <w:color w:val="auto"/>
          <w:sz w:val="20"/>
          <w:szCs w:val="20"/>
        </w:rPr>
        <w:sectPr w:rsidR="00234FB0" w:rsidRPr="00A901F1" w:rsidSect="00952815">
          <w:headerReference w:type="default" r:id="rId11"/>
          <w:footerReference w:type="default" r:id="rId12"/>
          <w:headerReference w:type="first" r:id="rId13"/>
          <w:footnotePr>
            <w:numFmt w:val="chicago"/>
          </w:footnotePr>
          <w:pgSz w:w="11906" w:h="16838" w:code="9"/>
          <w:pgMar w:top="1559" w:right="680" w:bottom="1418" w:left="680" w:header="567" w:footer="340" w:gutter="0"/>
          <w:cols w:space="397"/>
          <w:docGrid w:linePitch="360"/>
        </w:sectPr>
      </w:pPr>
    </w:p>
    <w:p w14:paraId="522F7BF5" w14:textId="59BCBE4D" w:rsidR="00A7683C" w:rsidRPr="00A901F1" w:rsidRDefault="00A7683C" w:rsidP="00FB4C69">
      <w:pPr>
        <w:keepNext/>
        <w:widowControl w:val="0"/>
        <w:rPr>
          <w:rFonts w:ascii="Calibri Light" w:eastAsia="Calibri Light" w:hAnsi="Calibri Light" w:cs="Calibri Light"/>
          <w:color w:val="auto"/>
          <w:sz w:val="20"/>
          <w:szCs w:val="20"/>
        </w:rPr>
        <w:sectPr w:rsidR="00A7683C" w:rsidRPr="00A901F1" w:rsidSect="00234FB0">
          <w:type w:val="continuous"/>
          <w:pgSz w:w="11906" w:h="16838" w:code="9"/>
          <w:pgMar w:top="1559" w:right="680" w:bottom="1418" w:left="680" w:header="567" w:footer="340" w:gutter="0"/>
          <w:cols w:space="397"/>
          <w:docGrid w:linePitch="360"/>
        </w:sectPr>
      </w:pPr>
    </w:p>
    <w:p w14:paraId="02444F77" w14:textId="77777777" w:rsidR="006D0A9D" w:rsidRDefault="006D0A9D">
      <w:pPr>
        <w:spacing w:before="0" w:after="120"/>
        <w:rPr>
          <w:rFonts w:eastAsia="Times New Roman"/>
          <w:b/>
          <w:bCs/>
          <w:sz w:val="26"/>
          <w:szCs w:val="26"/>
        </w:rPr>
      </w:pPr>
      <w:r>
        <w:br w:type="page"/>
      </w:r>
    </w:p>
    <w:p w14:paraId="3F2619AB" w14:textId="06E7B62B" w:rsidR="00AE2B7B" w:rsidRPr="00A901F1" w:rsidRDefault="00AE2B7B" w:rsidP="006D0A9D">
      <w:pPr>
        <w:pStyle w:val="Heading3"/>
        <w:rPr>
          <w:rFonts w:eastAsiaTheme="majorEastAsia"/>
        </w:rPr>
      </w:pPr>
      <w:r w:rsidRPr="270428C0">
        <w:lastRenderedPageBreak/>
        <w:t>Economic Recovery</w:t>
      </w:r>
    </w:p>
    <w:tbl>
      <w:tblPr>
        <w:tblStyle w:val="TableGrid"/>
        <w:tblW w:w="10485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economic recovery"/>
      </w:tblPr>
      <w:tblGrid>
        <w:gridCol w:w="3681"/>
        <w:gridCol w:w="6804"/>
      </w:tblGrid>
      <w:tr w:rsidR="00141511" w:rsidRPr="00141511" w14:paraId="6541DEB5" w14:textId="77777777" w:rsidTr="270428C0">
        <w:trPr>
          <w:cantSplit/>
        </w:trPr>
        <w:tc>
          <w:tcPr>
            <w:tcW w:w="3681" w:type="dxa"/>
            <w:shd w:val="clear" w:color="auto" w:fill="A2DCD1" w:themeFill="accent1" w:themeFillTint="99"/>
            <w:vAlign w:val="bottom"/>
          </w:tcPr>
          <w:p w14:paraId="7B68B645" w14:textId="39A83BEA" w:rsidR="00CA5021" w:rsidRPr="00A901F1" w:rsidRDefault="00A96364" w:rsidP="00781CF0">
            <w:pPr>
              <w:pStyle w:val="TableHeaderRow"/>
            </w:pPr>
            <w:r w:rsidRPr="270428C0">
              <w:t xml:space="preserve">Key Results </w:t>
            </w:r>
            <w:r w:rsidR="192CFFE1" w:rsidRPr="270428C0">
              <w:t>Indicator</w:t>
            </w:r>
            <w:r w:rsidRPr="270428C0">
              <w:t>s</w:t>
            </w:r>
          </w:p>
        </w:tc>
        <w:tc>
          <w:tcPr>
            <w:tcW w:w="6804" w:type="dxa"/>
            <w:shd w:val="clear" w:color="auto" w:fill="A2DCD1" w:themeFill="accent1" w:themeFillTint="99"/>
            <w:vAlign w:val="bottom"/>
          </w:tcPr>
          <w:p w14:paraId="7B256934" w14:textId="69DE6F90" w:rsidR="00CA5021" w:rsidRPr="00A901F1" w:rsidRDefault="00AD19F7" w:rsidP="00781CF0">
            <w:pPr>
              <w:pStyle w:val="TableHeaderRow"/>
            </w:pPr>
            <w:r w:rsidRPr="270428C0">
              <w:t>Progress/Result</w:t>
            </w:r>
          </w:p>
        </w:tc>
      </w:tr>
      <w:tr w:rsidR="00141511" w:rsidRPr="00141511" w14:paraId="564E6F58" w14:textId="77777777" w:rsidTr="270428C0">
        <w:trPr>
          <w:cantSplit/>
        </w:trPr>
        <w:tc>
          <w:tcPr>
            <w:tcW w:w="3681" w:type="dxa"/>
          </w:tcPr>
          <w:p w14:paraId="234C1CE4" w14:textId="77777777" w:rsidR="00CA5021" w:rsidRPr="00A901F1" w:rsidRDefault="5E8AAAFF" w:rsidP="270428C0">
            <w:pPr>
              <w:widowControl w:val="0"/>
              <w:spacing w:after="120"/>
              <w:rPr>
                <w:rFonts w:eastAsia="Calibri Light"/>
                <w:color w:val="auto"/>
              </w:rPr>
            </w:pPr>
            <w:r w:rsidRPr="270428C0">
              <w:rPr>
                <w:rFonts w:eastAsia="Calibri Light"/>
                <w:color w:val="auto"/>
              </w:rPr>
              <w:t>Examples of Australian-funded technical advice in stimulus measures and longer-term economic recovery policy and planning, including for infrastructure</w:t>
            </w:r>
          </w:p>
        </w:tc>
        <w:tc>
          <w:tcPr>
            <w:tcW w:w="6804" w:type="dxa"/>
          </w:tcPr>
          <w:p w14:paraId="5A50515E" w14:textId="592A2C4E" w:rsidR="00CA5021" w:rsidRPr="00A901F1" w:rsidRDefault="7F9E99A8" w:rsidP="270428C0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auto"/>
              </w:rPr>
            </w:pPr>
            <w:r w:rsidRPr="270428C0">
              <w:rPr>
                <w:rFonts w:eastAsia="Calibri Light"/>
                <w:color w:val="auto"/>
              </w:rPr>
              <w:t>A p</w:t>
            </w:r>
            <w:r w:rsidR="0E7C342A" w:rsidRPr="270428C0">
              <w:rPr>
                <w:rFonts w:eastAsia="Calibri Light"/>
                <w:color w:val="auto"/>
              </w:rPr>
              <w:t xml:space="preserve">artnership with </w:t>
            </w:r>
            <w:r w:rsidRPr="270428C0">
              <w:rPr>
                <w:rFonts w:eastAsia="Calibri Light"/>
                <w:color w:val="auto"/>
              </w:rPr>
              <w:t xml:space="preserve">the International Finance Corporation </w:t>
            </w:r>
            <w:r w:rsidR="0E7C342A" w:rsidRPr="270428C0">
              <w:rPr>
                <w:rFonts w:eastAsia="Calibri Light"/>
                <w:color w:val="auto"/>
              </w:rPr>
              <w:t xml:space="preserve">supported </w:t>
            </w:r>
            <w:r w:rsidR="525401FA" w:rsidRPr="270428C0">
              <w:rPr>
                <w:rFonts w:eastAsia="Calibri Light"/>
                <w:color w:val="auto"/>
              </w:rPr>
              <w:t xml:space="preserve">the digitalisation of Fiji's payment infrastructure. </w:t>
            </w:r>
            <w:r w:rsidR="6A560D5C" w:rsidRPr="270428C0">
              <w:rPr>
                <w:rFonts w:eastAsia="Calibri Light"/>
                <w:color w:val="auto"/>
              </w:rPr>
              <w:t>T</w:t>
            </w:r>
            <w:r w:rsidR="0E7C342A" w:rsidRPr="270428C0">
              <w:rPr>
                <w:rFonts w:eastAsia="Calibri Light"/>
                <w:color w:val="auto"/>
              </w:rPr>
              <w:t xml:space="preserve">echnical assistance </w:t>
            </w:r>
            <w:r w:rsidR="6A560D5C" w:rsidRPr="270428C0">
              <w:rPr>
                <w:rFonts w:eastAsia="Calibri Light"/>
                <w:color w:val="auto"/>
              </w:rPr>
              <w:t xml:space="preserve">to </w:t>
            </w:r>
            <w:r w:rsidR="122F1695" w:rsidRPr="270428C0">
              <w:rPr>
                <w:rFonts w:eastAsia="Calibri Light"/>
                <w:color w:val="auto"/>
              </w:rPr>
              <w:t xml:space="preserve">the </w:t>
            </w:r>
            <w:r w:rsidR="6A560D5C" w:rsidRPr="270428C0">
              <w:rPr>
                <w:rFonts w:eastAsia="Calibri Light"/>
                <w:color w:val="auto"/>
              </w:rPr>
              <w:t xml:space="preserve">Reserve Bank of Fiji helped </w:t>
            </w:r>
            <w:r w:rsidR="0E7C342A" w:rsidRPr="270428C0">
              <w:rPr>
                <w:rFonts w:eastAsia="Calibri Light"/>
                <w:color w:val="auto"/>
              </w:rPr>
              <w:t>upgrade its National Payment System</w:t>
            </w:r>
            <w:r w:rsidR="525401FA" w:rsidRPr="270428C0">
              <w:rPr>
                <w:rFonts w:eastAsia="Calibri Light"/>
                <w:color w:val="auto"/>
              </w:rPr>
              <w:t xml:space="preserve"> and</w:t>
            </w:r>
            <w:r w:rsidR="0E7C342A" w:rsidRPr="270428C0">
              <w:rPr>
                <w:rFonts w:eastAsia="Calibri Light"/>
                <w:color w:val="auto"/>
              </w:rPr>
              <w:t xml:space="preserve"> </w:t>
            </w:r>
            <w:r w:rsidR="525401FA" w:rsidRPr="270428C0">
              <w:rPr>
                <w:rFonts w:eastAsia="Calibri Light"/>
                <w:color w:val="auto"/>
              </w:rPr>
              <w:t>establish</w:t>
            </w:r>
            <w:r w:rsidR="0E7C342A" w:rsidRPr="270428C0">
              <w:rPr>
                <w:rFonts w:eastAsia="Calibri Light"/>
                <w:color w:val="auto"/>
              </w:rPr>
              <w:t xml:space="preserve"> the Real Time Gross Settlement System and Central Securities Depository</w:t>
            </w:r>
            <w:r w:rsidR="6A560D5C" w:rsidRPr="270428C0">
              <w:rPr>
                <w:rFonts w:eastAsia="Calibri Light"/>
                <w:color w:val="auto"/>
              </w:rPr>
              <w:t>, creating</w:t>
            </w:r>
            <w:r w:rsidR="0022654B" w:rsidRPr="270428C0">
              <w:rPr>
                <w:rFonts w:eastAsia="Calibri Light"/>
                <w:color w:val="auto"/>
              </w:rPr>
              <w:t xml:space="preserve"> </w:t>
            </w:r>
            <w:r w:rsidR="0E7C342A" w:rsidRPr="270428C0">
              <w:rPr>
                <w:rFonts w:eastAsia="Calibri Light"/>
                <w:color w:val="auto"/>
              </w:rPr>
              <w:t xml:space="preserve">a secure, </w:t>
            </w:r>
            <w:r w:rsidR="012861F3" w:rsidRPr="270428C0">
              <w:rPr>
                <w:rFonts w:eastAsia="Calibri Light"/>
                <w:color w:val="auto"/>
              </w:rPr>
              <w:t>affordable,</w:t>
            </w:r>
            <w:r w:rsidR="0E7C342A" w:rsidRPr="270428C0">
              <w:rPr>
                <w:rFonts w:eastAsia="Calibri Light"/>
                <w:color w:val="auto"/>
              </w:rPr>
              <w:t xml:space="preserve"> and accessible payment system, improving Fiji’s national</w:t>
            </w:r>
            <w:r w:rsidR="0E7C342A" w:rsidRPr="270428C0">
              <w:rPr>
                <w:color w:val="auto"/>
              </w:rPr>
              <w:t xml:space="preserve"> investment climate.</w:t>
            </w:r>
          </w:p>
        </w:tc>
      </w:tr>
      <w:tr w:rsidR="00141511" w:rsidRPr="00141511" w14:paraId="1EAE2D66" w14:textId="77777777" w:rsidTr="270428C0">
        <w:trPr>
          <w:cantSplit/>
        </w:trPr>
        <w:tc>
          <w:tcPr>
            <w:tcW w:w="3681" w:type="dxa"/>
          </w:tcPr>
          <w:p w14:paraId="65838CB2" w14:textId="1A40EEE0" w:rsidR="00CA5021" w:rsidRPr="00A901F1" w:rsidRDefault="0D20F391" w:rsidP="270428C0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rFonts w:eastAsia="Calibri Light"/>
                <w:color w:val="auto"/>
              </w:rPr>
              <w:t>Aust</w:t>
            </w:r>
            <w:r w:rsidR="6AA01F15" w:rsidRPr="270428C0">
              <w:rPr>
                <w:rFonts w:eastAsia="Calibri Light"/>
                <w:color w:val="auto"/>
              </w:rPr>
              <w:t xml:space="preserve">ralian budget support, aligned with other development finance, supports the </w:t>
            </w:r>
            <w:proofErr w:type="spellStart"/>
            <w:r w:rsidR="205ECDB9" w:rsidRPr="270428C0">
              <w:rPr>
                <w:rFonts w:eastAsia="Calibri Light"/>
                <w:color w:val="auto"/>
              </w:rPr>
              <w:t>GoF</w:t>
            </w:r>
            <w:proofErr w:type="spellEnd"/>
            <w:r w:rsidR="205ECDB9" w:rsidRPr="270428C0">
              <w:rPr>
                <w:rFonts w:eastAsia="Calibri Light"/>
                <w:color w:val="auto"/>
              </w:rPr>
              <w:t xml:space="preserve"> </w:t>
            </w:r>
            <w:r w:rsidR="6AA01F15" w:rsidRPr="270428C0">
              <w:rPr>
                <w:rFonts w:eastAsia="Calibri Light"/>
                <w:color w:val="auto"/>
              </w:rPr>
              <w:t xml:space="preserve">to maintain </w:t>
            </w:r>
            <w:r w:rsidR="4C5939CD" w:rsidRPr="270428C0">
              <w:rPr>
                <w:rFonts w:eastAsia="Calibri Light"/>
                <w:color w:val="auto"/>
              </w:rPr>
              <w:t>macroeconomic stability and achieve PFM milestones</w:t>
            </w:r>
          </w:p>
        </w:tc>
        <w:tc>
          <w:tcPr>
            <w:tcW w:w="6804" w:type="dxa"/>
          </w:tcPr>
          <w:p w14:paraId="2AAFE417" w14:textId="4818C830" w:rsidR="00CA5021" w:rsidRPr="00A901F1" w:rsidRDefault="14B96CE1" w:rsidP="270428C0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 xml:space="preserve">In 2022-23, </w:t>
            </w:r>
            <w:r w:rsidR="2121251D" w:rsidRPr="270428C0">
              <w:rPr>
                <w:color w:val="auto"/>
              </w:rPr>
              <w:t xml:space="preserve">Australia provided </w:t>
            </w:r>
            <w:r w:rsidR="00FC6F3C" w:rsidRPr="270428C0">
              <w:rPr>
                <w:color w:val="auto"/>
              </w:rPr>
              <w:t>$4</w:t>
            </w:r>
            <w:r w:rsidR="25215520" w:rsidRPr="270428C0">
              <w:rPr>
                <w:color w:val="auto"/>
              </w:rPr>
              <w:t>5 million</w:t>
            </w:r>
            <w:r w:rsidR="00E9246E" w:rsidRPr="270428C0">
              <w:rPr>
                <w:color w:val="auto"/>
              </w:rPr>
              <w:t xml:space="preserve"> through the Pacific Fiscal Budget Support package </w:t>
            </w:r>
            <w:r w:rsidR="0B96BE43" w:rsidRPr="270428C0">
              <w:rPr>
                <w:color w:val="auto"/>
              </w:rPr>
              <w:t xml:space="preserve">to </w:t>
            </w:r>
            <w:r w:rsidR="26990E84" w:rsidRPr="270428C0">
              <w:rPr>
                <w:color w:val="auto"/>
              </w:rPr>
              <w:t>incentivise</w:t>
            </w:r>
            <w:r w:rsidR="0B96BE43" w:rsidRPr="270428C0">
              <w:rPr>
                <w:color w:val="auto"/>
              </w:rPr>
              <w:t xml:space="preserve"> implementation of reforms</w:t>
            </w:r>
            <w:r w:rsidR="08CF9787" w:rsidRPr="270428C0">
              <w:rPr>
                <w:color w:val="auto"/>
              </w:rPr>
              <w:t xml:space="preserve"> agreed in November 2021</w:t>
            </w:r>
            <w:r w:rsidR="00E9246E" w:rsidRPr="270428C0">
              <w:rPr>
                <w:color w:val="auto"/>
              </w:rPr>
              <w:t>, including</w:t>
            </w:r>
            <w:r w:rsidR="08CF9787" w:rsidRPr="270428C0">
              <w:rPr>
                <w:color w:val="auto"/>
              </w:rPr>
              <w:t>:</w:t>
            </w:r>
          </w:p>
          <w:p w14:paraId="0B893D6F" w14:textId="0317B538" w:rsidR="00657EAD" w:rsidRPr="00A901F1" w:rsidRDefault="37144557" w:rsidP="270428C0">
            <w:pPr>
              <w:pStyle w:val="ListParagraph"/>
              <w:widowControl w:val="0"/>
              <w:numPr>
                <w:ilvl w:val="0"/>
                <w:numId w:val="35"/>
              </w:numPr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s</w:t>
            </w:r>
            <w:r w:rsidR="08CF9787" w:rsidRPr="270428C0">
              <w:rPr>
                <w:color w:val="auto"/>
              </w:rPr>
              <w:t xml:space="preserve">trengthening public financial management for fiscal resilience and </w:t>
            </w:r>
            <w:proofErr w:type="gramStart"/>
            <w:r w:rsidR="45040959" w:rsidRPr="270428C0">
              <w:rPr>
                <w:color w:val="auto"/>
              </w:rPr>
              <w:t>sustainability;</w:t>
            </w:r>
            <w:proofErr w:type="gramEnd"/>
          </w:p>
          <w:p w14:paraId="206E1511" w14:textId="0BCB89FC" w:rsidR="00657EAD" w:rsidRPr="00A901F1" w:rsidRDefault="37144557" w:rsidP="270428C0">
            <w:pPr>
              <w:pStyle w:val="ListParagraph"/>
              <w:widowControl w:val="0"/>
              <w:numPr>
                <w:ilvl w:val="0"/>
                <w:numId w:val="35"/>
              </w:numPr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e</w:t>
            </w:r>
            <w:r w:rsidR="6B3D23D6" w:rsidRPr="270428C0">
              <w:rPr>
                <w:color w:val="auto"/>
              </w:rPr>
              <w:t>nhancing climate and social resilience; and</w:t>
            </w:r>
          </w:p>
          <w:p w14:paraId="02B96D99" w14:textId="396D936E" w:rsidR="00264A51" w:rsidRPr="00A901F1" w:rsidRDefault="37144557" w:rsidP="270428C0">
            <w:pPr>
              <w:pStyle w:val="ListParagraph"/>
              <w:widowControl w:val="0"/>
              <w:numPr>
                <w:ilvl w:val="0"/>
                <w:numId w:val="35"/>
              </w:numPr>
              <w:spacing w:after="120"/>
              <w:rPr>
                <w:color w:val="auto"/>
              </w:rPr>
            </w:pPr>
            <w:r w:rsidRPr="270428C0">
              <w:rPr>
                <w:color w:val="auto"/>
              </w:rPr>
              <w:t>s</w:t>
            </w:r>
            <w:r w:rsidR="6B3D23D6" w:rsidRPr="270428C0">
              <w:rPr>
                <w:color w:val="auto"/>
              </w:rPr>
              <w:t>trengthening the enabling environment for resilient private sector recovery and growth.</w:t>
            </w:r>
          </w:p>
        </w:tc>
      </w:tr>
      <w:tr w:rsidR="00141511" w:rsidRPr="00141511" w14:paraId="3A9DBB9B" w14:textId="77777777" w:rsidTr="270428C0">
        <w:trPr>
          <w:cantSplit/>
        </w:trPr>
        <w:tc>
          <w:tcPr>
            <w:tcW w:w="3681" w:type="dxa"/>
          </w:tcPr>
          <w:p w14:paraId="41F0BE5F" w14:textId="087C2391" w:rsidR="00161932" w:rsidRPr="00A901F1" w:rsidDel="00BF6DE4" w:rsidRDefault="4D9089D0" w:rsidP="270428C0">
            <w:pPr>
              <w:widowControl w:val="0"/>
              <w:spacing w:after="120"/>
              <w:rPr>
                <w:rFonts w:eastAsia="Calibri Light"/>
                <w:color w:val="auto"/>
              </w:rPr>
            </w:pPr>
            <w:r w:rsidRPr="270428C0">
              <w:rPr>
                <w:color w:val="auto"/>
              </w:rPr>
              <w:t>Number of women entrepreneurs provided with financial and/or business development services</w:t>
            </w:r>
          </w:p>
        </w:tc>
        <w:tc>
          <w:tcPr>
            <w:tcW w:w="6804" w:type="dxa"/>
          </w:tcPr>
          <w:p w14:paraId="13974741" w14:textId="6505F80F" w:rsidR="0042705E" w:rsidRPr="00A901F1" w:rsidRDefault="00E9246E" w:rsidP="270428C0">
            <w:pPr>
              <w:widowControl w:val="0"/>
              <w:spacing w:after="120"/>
              <w:rPr>
                <w:rFonts w:eastAsia="Calibri Light"/>
                <w:color w:val="auto"/>
              </w:rPr>
            </w:pPr>
            <w:r w:rsidRPr="270428C0">
              <w:rPr>
                <w:rFonts w:eastAsia="Calibri Light"/>
                <w:color w:val="auto"/>
              </w:rPr>
              <w:t xml:space="preserve">1,450 women entrepreneurs were supported through </w:t>
            </w:r>
            <w:r w:rsidR="6DC1C43B" w:rsidRPr="270428C0">
              <w:rPr>
                <w:rFonts w:eastAsia="Calibri Light"/>
                <w:color w:val="auto"/>
              </w:rPr>
              <w:t xml:space="preserve">WFF </w:t>
            </w:r>
            <w:r w:rsidR="33EE1B2A" w:rsidRPr="270428C0">
              <w:rPr>
                <w:rFonts w:eastAsia="Calibri Light"/>
                <w:color w:val="auto"/>
              </w:rPr>
              <w:t xml:space="preserve">such as </w:t>
            </w:r>
            <w:proofErr w:type="spellStart"/>
            <w:r w:rsidR="47A20A17" w:rsidRPr="270428C0">
              <w:rPr>
                <w:rFonts w:eastAsia="Calibri Light"/>
                <w:color w:val="auto"/>
              </w:rPr>
              <w:t>Kioa</w:t>
            </w:r>
            <w:proofErr w:type="spellEnd"/>
            <w:r w:rsidR="47A20A17" w:rsidRPr="270428C0">
              <w:rPr>
                <w:rFonts w:eastAsia="Calibri Light"/>
                <w:color w:val="auto"/>
              </w:rPr>
              <w:t xml:space="preserve"> Women’s Organisation</w:t>
            </w:r>
            <w:r w:rsidR="3367D385" w:rsidRPr="270428C0">
              <w:rPr>
                <w:rFonts w:eastAsia="Calibri Light"/>
                <w:color w:val="auto"/>
              </w:rPr>
              <w:t xml:space="preserve"> and </w:t>
            </w:r>
            <w:r w:rsidR="181096C5" w:rsidRPr="270428C0">
              <w:rPr>
                <w:rFonts w:eastAsia="Calibri Light"/>
                <w:i/>
                <w:iCs/>
                <w:color w:val="auto"/>
              </w:rPr>
              <w:t xml:space="preserve">Vanua </w:t>
            </w:r>
            <w:proofErr w:type="spellStart"/>
            <w:r w:rsidR="181096C5" w:rsidRPr="270428C0">
              <w:rPr>
                <w:rFonts w:eastAsia="Calibri Light"/>
                <w:i/>
                <w:iCs/>
                <w:color w:val="auto"/>
              </w:rPr>
              <w:t>Levu</w:t>
            </w:r>
            <w:proofErr w:type="spellEnd"/>
            <w:r w:rsidR="181096C5" w:rsidRPr="270428C0">
              <w:rPr>
                <w:rFonts w:eastAsia="Calibri Light"/>
                <w:i/>
                <w:iCs/>
                <w:color w:val="auto"/>
              </w:rPr>
              <w:t xml:space="preserve"> Arya </w:t>
            </w:r>
            <w:proofErr w:type="spellStart"/>
            <w:r w:rsidR="181096C5" w:rsidRPr="270428C0">
              <w:rPr>
                <w:rFonts w:eastAsia="Calibri Light"/>
                <w:i/>
                <w:iCs/>
                <w:color w:val="auto"/>
              </w:rPr>
              <w:t>Mahila</w:t>
            </w:r>
            <w:proofErr w:type="spellEnd"/>
            <w:r w:rsidR="181096C5" w:rsidRPr="270428C0">
              <w:rPr>
                <w:rFonts w:eastAsia="Calibri Light"/>
                <w:i/>
                <w:iCs/>
                <w:color w:val="auto"/>
              </w:rPr>
              <w:t xml:space="preserve"> Manda</w:t>
            </w:r>
            <w:r w:rsidRPr="270428C0">
              <w:rPr>
                <w:rFonts w:eastAsia="Calibri Light"/>
                <w:color w:val="auto"/>
              </w:rPr>
              <w:t>.</w:t>
            </w:r>
            <w:r w:rsidR="00FC6F3C" w:rsidRPr="270428C0">
              <w:rPr>
                <w:rFonts w:eastAsia="Calibri Light"/>
                <w:color w:val="auto"/>
              </w:rPr>
              <w:t xml:space="preserve"> </w:t>
            </w:r>
          </w:p>
          <w:p w14:paraId="4BC40918" w14:textId="6CBBE9F1" w:rsidR="00DA0DAA" w:rsidRPr="00A901F1" w:rsidRDefault="0022654B" w:rsidP="270428C0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rFonts w:eastAsia="Calibri Light"/>
                <w:color w:val="auto"/>
              </w:rPr>
              <w:t>Eight</w:t>
            </w:r>
            <w:r w:rsidR="00E9246E" w:rsidRPr="270428C0">
              <w:rPr>
                <w:rFonts w:eastAsia="Calibri Light"/>
                <w:color w:val="auto"/>
              </w:rPr>
              <w:t xml:space="preserve"> women </w:t>
            </w:r>
            <w:r w:rsidR="00CD2C2D" w:rsidRPr="270428C0">
              <w:rPr>
                <w:rFonts w:eastAsia="Calibri Light"/>
                <w:color w:val="auto"/>
              </w:rPr>
              <w:t xml:space="preserve">were </w:t>
            </w:r>
            <w:r w:rsidR="00E9246E" w:rsidRPr="270428C0">
              <w:rPr>
                <w:rFonts w:eastAsia="Calibri Light"/>
                <w:color w:val="auto"/>
              </w:rPr>
              <w:t>supported through</w:t>
            </w:r>
            <w:r w:rsidR="00CD2C2D" w:rsidRPr="270428C0">
              <w:rPr>
                <w:rFonts w:eastAsia="Calibri Light"/>
                <w:color w:val="auto"/>
              </w:rPr>
              <w:t xml:space="preserve"> the</w:t>
            </w:r>
            <w:r w:rsidR="00E9246E" w:rsidRPr="270428C0">
              <w:rPr>
                <w:rFonts w:eastAsia="Calibri Light"/>
                <w:color w:val="auto"/>
              </w:rPr>
              <w:t xml:space="preserve"> </w:t>
            </w:r>
            <w:r w:rsidR="313A70E3" w:rsidRPr="270428C0">
              <w:rPr>
                <w:rFonts w:eastAsia="Calibri Light"/>
                <w:color w:val="auto"/>
              </w:rPr>
              <w:t>M</w:t>
            </w:r>
            <w:r w:rsidR="062C4A35" w:rsidRPr="270428C0">
              <w:rPr>
                <w:rFonts w:eastAsia="Calibri Light"/>
                <w:color w:val="auto"/>
              </w:rPr>
              <w:t xml:space="preserve">arket </w:t>
            </w:r>
            <w:r w:rsidR="313A70E3" w:rsidRPr="270428C0">
              <w:rPr>
                <w:rFonts w:eastAsia="Calibri Light"/>
                <w:color w:val="auto"/>
              </w:rPr>
              <w:t>D</w:t>
            </w:r>
            <w:r w:rsidR="062C4A35" w:rsidRPr="270428C0">
              <w:rPr>
                <w:rFonts w:eastAsia="Calibri Light"/>
                <w:color w:val="auto"/>
              </w:rPr>
              <w:t xml:space="preserve">evelopment </w:t>
            </w:r>
            <w:r w:rsidR="313A70E3" w:rsidRPr="270428C0">
              <w:rPr>
                <w:rFonts w:eastAsia="Calibri Light"/>
                <w:color w:val="auto"/>
              </w:rPr>
              <w:t>F</w:t>
            </w:r>
            <w:r w:rsidR="062C4A35" w:rsidRPr="270428C0">
              <w:rPr>
                <w:rFonts w:eastAsia="Calibri Light"/>
                <w:color w:val="auto"/>
              </w:rPr>
              <w:t>acility</w:t>
            </w:r>
            <w:r w:rsidR="00E9246E" w:rsidRPr="270428C0">
              <w:rPr>
                <w:rFonts w:eastAsia="Calibri Light"/>
                <w:color w:val="auto"/>
              </w:rPr>
              <w:t>’s</w:t>
            </w:r>
            <w:r w:rsidR="313A70E3" w:rsidRPr="270428C0">
              <w:rPr>
                <w:rFonts w:eastAsia="Calibri Light"/>
                <w:color w:val="auto"/>
              </w:rPr>
              <w:t xml:space="preserve"> comprehensive </w:t>
            </w:r>
            <w:r w:rsidRPr="270428C0">
              <w:rPr>
                <w:rFonts w:eastAsia="Calibri Light"/>
                <w:color w:val="auto"/>
              </w:rPr>
              <w:t>six</w:t>
            </w:r>
            <w:r w:rsidR="3647BC5E" w:rsidRPr="270428C0">
              <w:rPr>
                <w:rFonts w:eastAsia="Calibri Light"/>
                <w:color w:val="auto"/>
              </w:rPr>
              <w:t>-month</w:t>
            </w:r>
            <w:r w:rsidR="313A70E3" w:rsidRPr="270428C0">
              <w:rPr>
                <w:rFonts w:eastAsia="Calibri Light"/>
                <w:color w:val="auto"/>
              </w:rPr>
              <w:t xml:space="preserve"> Business Acc</w:t>
            </w:r>
            <w:r w:rsidR="1A228D2B" w:rsidRPr="270428C0">
              <w:rPr>
                <w:rFonts w:eastAsia="Calibri Light"/>
                <w:color w:val="auto"/>
              </w:rPr>
              <w:t>eleration Training Program – the Fiji Enterprise Engine.</w:t>
            </w:r>
          </w:p>
        </w:tc>
      </w:tr>
      <w:tr w:rsidR="00141511" w:rsidRPr="00141511" w14:paraId="7B456713" w14:textId="77777777" w:rsidTr="270428C0">
        <w:trPr>
          <w:cantSplit/>
        </w:trPr>
        <w:tc>
          <w:tcPr>
            <w:tcW w:w="3681" w:type="dxa"/>
          </w:tcPr>
          <w:p w14:paraId="61C78DC1" w14:textId="1BB8B04A" w:rsidR="00161932" w:rsidRPr="00A901F1" w:rsidDel="00BF6DE4" w:rsidRDefault="4D9089D0" w:rsidP="270428C0">
            <w:pPr>
              <w:widowControl w:val="0"/>
              <w:spacing w:after="120"/>
              <w:rPr>
                <w:rFonts w:eastAsia="Calibri Light"/>
                <w:color w:val="auto"/>
              </w:rPr>
            </w:pPr>
            <w:r w:rsidRPr="270428C0">
              <w:rPr>
                <w:color w:val="auto"/>
              </w:rPr>
              <w:t>Examples of partnering, with private sector and others, to ensure supply lines are open</w:t>
            </w:r>
          </w:p>
        </w:tc>
        <w:tc>
          <w:tcPr>
            <w:tcW w:w="6804" w:type="dxa"/>
          </w:tcPr>
          <w:p w14:paraId="3F961236" w14:textId="34C4DB8E" w:rsidR="00161932" w:rsidRPr="00A901F1" w:rsidRDefault="4E174C91" w:rsidP="270428C0">
            <w:pPr>
              <w:widowControl w:val="0"/>
              <w:spacing w:after="120"/>
              <w:rPr>
                <w:color w:val="auto"/>
                <w:lang w:val="en-AU"/>
              </w:rPr>
            </w:pPr>
            <w:r w:rsidRPr="270428C0">
              <w:rPr>
                <w:color w:val="auto"/>
              </w:rPr>
              <w:t>PHAMA Plus supported Fijian kava exporters to better understand the Australian market and the export processes and requirements under the Commercial Kava Pilot.</w:t>
            </w:r>
            <w:r w:rsidR="691DED39" w:rsidRPr="270428C0">
              <w:rPr>
                <w:color w:val="auto"/>
              </w:rPr>
              <w:t xml:space="preserve"> This led to increases in kava suppliers from 128</w:t>
            </w:r>
            <w:r w:rsidR="0022654B" w:rsidRPr="270428C0">
              <w:rPr>
                <w:color w:val="auto"/>
              </w:rPr>
              <w:t> </w:t>
            </w:r>
            <w:r w:rsidR="691DED39" w:rsidRPr="270428C0">
              <w:rPr>
                <w:color w:val="auto"/>
              </w:rPr>
              <w:t>(2021-22) to 166 (2022-23).</w:t>
            </w:r>
            <w:r w:rsidR="00E9246E" w:rsidRPr="270428C0">
              <w:rPr>
                <w:color w:val="auto"/>
              </w:rPr>
              <w:t xml:space="preserve"> Fiji has exported over 59 tonnes of kava since the start of the pilot. </w:t>
            </w:r>
            <w:r w:rsidRPr="270428C0">
              <w:rPr>
                <w:color w:val="auto"/>
              </w:rPr>
              <w:t xml:space="preserve"> </w:t>
            </w:r>
          </w:p>
        </w:tc>
      </w:tr>
      <w:tr w:rsidR="00A7683C" w:rsidRPr="00A901F1" w14:paraId="4DF45926" w14:textId="77777777" w:rsidTr="270428C0">
        <w:trPr>
          <w:cantSplit/>
        </w:trPr>
        <w:tc>
          <w:tcPr>
            <w:tcW w:w="3681" w:type="dxa"/>
          </w:tcPr>
          <w:p w14:paraId="0B1E2DC4" w14:textId="19B9DF36" w:rsidR="00CA5021" w:rsidRPr="00A901F1" w:rsidRDefault="4C5939CD" w:rsidP="270428C0">
            <w:pPr>
              <w:widowControl w:val="0"/>
              <w:spacing w:after="120"/>
              <w:rPr>
                <w:color w:val="auto"/>
              </w:rPr>
            </w:pPr>
            <w:r w:rsidRPr="270428C0">
              <w:rPr>
                <w:rFonts w:eastAsia="Calibri Light"/>
                <w:color w:val="auto"/>
              </w:rPr>
              <w:t xml:space="preserve">Number of Awards in each intake focused on skills supporting health systems and services, economic </w:t>
            </w:r>
            <w:r w:rsidR="5D25D860" w:rsidRPr="270428C0">
              <w:rPr>
                <w:rFonts w:eastAsia="Calibri Light"/>
                <w:color w:val="auto"/>
              </w:rPr>
              <w:t>management,</w:t>
            </w:r>
            <w:r w:rsidRPr="270428C0">
              <w:rPr>
                <w:rFonts w:eastAsia="Calibri Light"/>
                <w:color w:val="auto"/>
              </w:rPr>
              <w:t xml:space="preserve"> and public sector reform</w:t>
            </w:r>
          </w:p>
        </w:tc>
        <w:tc>
          <w:tcPr>
            <w:tcW w:w="6804" w:type="dxa"/>
          </w:tcPr>
          <w:p w14:paraId="1FCE71E6" w14:textId="490485FA" w:rsidR="00CA5021" w:rsidRPr="00A901F1" w:rsidRDefault="761AB0BB" w:rsidP="270428C0">
            <w:pPr>
              <w:widowControl w:val="0"/>
              <w:spacing w:after="120"/>
              <w:rPr>
                <w:color w:val="auto"/>
                <w:lang w:val="en-AU"/>
              </w:rPr>
            </w:pPr>
            <w:r w:rsidRPr="270428C0">
              <w:rPr>
                <w:color w:val="auto"/>
              </w:rPr>
              <w:t xml:space="preserve">Eight out of </w:t>
            </w:r>
            <w:r w:rsidR="55C034DC" w:rsidRPr="270428C0">
              <w:rPr>
                <w:color w:val="auto"/>
              </w:rPr>
              <w:t xml:space="preserve">the </w:t>
            </w:r>
            <w:r w:rsidRPr="270428C0">
              <w:rPr>
                <w:color w:val="auto"/>
              </w:rPr>
              <w:t xml:space="preserve">ten Australia Awards </w:t>
            </w:r>
            <w:r w:rsidR="55C034DC" w:rsidRPr="270428C0">
              <w:rPr>
                <w:color w:val="auto"/>
              </w:rPr>
              <w:t xml:space="preserve">Scholarships </w:t>
            </w:r>
            <w:r w:rsidRPr="270428C0">
              <w:rPr>
                <w:color w:val="auto"/>
              </w:rPr>
              <w:t xml:space="preserve">offered for </w:t>
            </w:r>
            <w:r w:rsidR="00F467C9">
              <w:rPr>
                <w:color w:val="auto"/>
              </w:rPr>
              <w:t xml:space="preserve">the 2023 </w:t>
            </w:r>
            <w:r w:rsidRPr="270428C0">
              <w:rPr>
                <w:color w:val="auto"/>
              </w:rPr>
              <w:t xml:space="preserve">Intake </w:t>
            </w:r>
            <w:r w:rsidR="55C034DC" w:rsidRPr="270428C0">
              <w:rPr>
                <w:color w:val="auto"/>
              </w:rPr>
              <w:t xml:space="preserve">were </w:t>
            </w:r>
            <w:r w:rsidRPr="270428C0">
              <w:rPr>
                <w:color w:val="auto"/>
              </w:rPr>
              <w:t>in the priority areas of: health systems and services (</w:t>
            </w:r>
            <w:r w:rsidR="00F467C9">
              <w:rPr>
                <w:color w:val="auto"/>
              </w:rPr>
              <w:t>six scholars</w:t>
            </w:r>
            <w:r w:rsidRPr="270428C0">
              <w:rPr>
                <w:color w:val="auto"/>
              </w:rPr>
              <w:t>), economic management (</w:t>
            </w:r>
            <w:r w:rsidR="00F467C9">
              <w:rPr>
                <w:color w:val="auto"/>
              </w:rPr>
              <w:t>one scholar</w:t>
            </w:r>
            <w:r w:rsidRPr="270428C0">
              <w:rPr>
                <w:color w:val="auto"/>
              </w:rPr>
              <w:t>) and public sector reform (</w:t>
            </w:r>
            <w:r w:rsidR="008D1742">
              <w:rPr>
                <w:color w:val="auto"/>
              </w:rPr>
              <w:t>one scholar</w:t>
            </w:r>
            <w:r w:rsidR="4B9C12DA" w:rsidRPr="270428C0">
              <w:rPr>
                <w:color w:val="auto"/>
              </w:rPr>
              <w:t>)</w:t>
            </w:r>
            <w:r w:rsidR="008D1742">
              <w:rPr>
                <w:color w:val="auto"/>
              </w:rPr>
              <w:t>. Of these,</w:t>
            </w:r>
            <w:r w:rsidR="55C034DC" w:rsidRPr="270428C0">
              <w:rPr>
                <w:color w:val="auto"/>
              </w:rPr>
              <w:t xml:space="preserve"> six </w:t>
            </w:r>
            <w:r w:rsidR="008D1742">
              <w:rPr>
                <w:color w:val="auto"/>
              </w:rPr>
              <w:t xml:space="preserve">were </w:t>
            </w:r>
            <w:r w:rsidR="55C034DC" w:rsidRPr="270428C0">
              <w:rPr>
                <w:color w:val="auto"/>
              </w:rPr>
              <w:t>women</w:t>
            </w:r>
            <w:r w:rsidRPr="270428C0">
              <w:rPr>
                <w:color w:val="auto"/>
              </w:rPr>
              <w:t>.   </w:t>
            </w:r>
          </w:p>
        </w:tc>
      </w:tr>
    </w:tbl>
    <w:p w14:paraId="2F13E6BA" w14:textId="77777777" w:rsidR="008A6BB7" w:rsidRPr="00A901F1" w:rsidRDefault="008A6BB7" w:rsidP="00571B87">
      <w:pPr>
        <w:pStyle w:val="Heading2"/>
        <w:rPr>
          <w:color w:val="auto"/>
        </w:rPr>
        <w:sectPr w:rsidR="008A6BB7" w:rsidRPr="00A901F1" w:rsidSect="0042705E">
          <w:footnotePr>
            <w:numFmt w:val="chicago"/>
          </w:footnotePr>
          <w:type w:val="continuous"/>
          <w:pgSz w:w="11906" w:h="16838" w:code="9"/>
          <w:pgMar w:top="1559" w:right="680" w:bottom="1418" w:left="680" w:header="567" w:footer="340" w:gutter="0"/>
          <w:cols w:space="397"/>
          <w:docGrid w:linePitch="360"/>
        </w:sectPr>
      </w:pPr>
    </w:p>
    <w:p w14:paraId="13EB5902" w14:textId="2C0480DC" w:rsidR="00743A3F" w:rsidRPr="00A901F1" w:rsidRDefault="00D1231A" w:rsidP="006D0A9D">
      <w:pPr>
        <w:pStyle w:val="Heading3"/>
      </w:pPr>
      <w:r w:rsidRPr="270428C0">
        <w:lastRenderedPageBreak/>
        <w:t>Investment Performance</w:t>
      </w:r>
      <w:r w:rsidR="000F78C9" w:rsidRPr="270428C0">
        <w:t xml:space="preserve"> ratings</w:t>
      </w:r>
    </w:p>
    <w:tbl>
      <w:tblPr>
        <w:tblStyle w:val="DFATTable1"/>
        <w:tblW w:w="10485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098"/>
        <w:gridCol w:w="1134"/>
        <w:gridCol w:w="1418"/>
        <w:gridCol w:w="1134"/>
        <w:gridCol w:w="1701"/>
      </w:tblGrid>
      <w:tr w:rsidR="00141511" w:rsidRPr="00141511" w14:paraId="69FD1E5F" w14:textId="77777777" w:rsidTr="2704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2DCD1" w:themeFill="accent1" w:themeFillTint="99"/>
            <w:noWrap/>
            <w:hideMark/>
          </w:tcPr>
          <w:p w14:paraId="287BF78E" w14:textId="77777777" w:rsidR="00AC551D" w:rsidRPr="00A901F1" w:rsidRDefault="3B3D95DF" w:rsidP="00781CF0">
            <w:pPr>
              <w:pStyle w:val="TableHeaderRow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Investment Details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36D4C187" w14:textId="77777777" w:rsidR="00AC551D" w:rsidRPr="00A901F1" w:rsidRDefault="3B3D95DF" w:rsidP="00781CF0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Year</w:t>
            </w:r>
          </w:p>
        </w:tc>
        <w:tc>
          <w:tcPr>
            <w:tcW w:w="1418" w:type="dxa"/>
            <w:shd w:val="clear" w:color="auto" w:fill="A2DCD1" w:themeFill="accent1" w:themeFillTint="99"/>
            <w:noWrap/>
            <w:hideMark/>
          </w:tcPr>
          <w:p w14:paraId="1B1121B3" w14:textId="77777777" w:rsidR="00AC551D" w:rsidRPr="00A901F1" w:rsidRDefault="3B3D95DF" w:rsidP="00781CF0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Effectiveness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7B4698B4" w14:textId="77777777" w:rsidR="00AC551D" w:rsidRPr="00A901F1" w:rsidRDefault="3B3D95DF" w:rsidP="00781CF0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Efficiency</w:t>
            </w:r>
          </w:p>
        </w:tc>
        <w:tc>
          <w:tcPr>
            <w:tcW w:w="1701" w:type="dxa"/>
            <w:shd w:val="clear" w:color="auto" w:fill="A2DCD1" w:themeFill="accent1" w:themeFillTint="99"/>
            <w:noWrap/>
            <w:hideMark/>
          </w:tcPr>
          <w:p w14:paraId="5E5D38EF" w14:textId="4CC6B5C6" w:rsidR="00AC551D" w:rsidRPr="00A901F1" w:rsidRDefault="3B3D95DF" w:rsidP="00781CF0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Gender Equality</w:t>
            </w:r>
          </w:p>
        </w:tc>
      </w:tr>
      <w:tr w:rsidR="00141511" w:rsidRPr="00141511" w14:paraId="1867487D" w14:textId="77777777" w:rsidTr="2704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E831155" w14:textId="27ACD9DD" w:rsidR="00AC551D" w:rsidRPr="00A901F1" w:rsidRDefault="679E4655" w:rsidP="270428C0">
            <w:pPr>
              <w:widowControl w:val="0"/>
              <w:spacing w:before="0" w:after="0" w:line="240" w:lineRule="auto"/>
              <w:rPr>
                <w:rFonts w:asciiTheme="minorHAnsi" w:eastAsia="Times New Roman" w:hAnsiTheme="minorHAnsi"/>
                <w:b/>
                <w:bCs/>
                <w:color w:val="auto"/>
                <w:lang w:eastAsia="en-AU"/>
              </w:rPr>
            </w:pPr>
            <w:r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>Fiji Program Support Facility</w:t>
            </w:r>
            <w:r w:rsidR="6553930B"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753CB627" w14:textId="72728F46" w:rsidR="00AC551D" w:rsidRPr="00A901F1" w:rsidRDefault="3B3D95DF" w:rsidP="270428C0">
            <w:pPr>
              <w:widowControl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</w:t>
            </w:r>
            <w:r w:rsidR="26273FE1" w:rsidRPr="270428C0">
              <w:rPr>
                <w:rFonts w:asciiTheme="minorHAnsi" w:eastAsia="Times New Roman" w:hAnsiTheme="minorHAnsi"/>
                <w:color w:val="auto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3524F2ED" w14:textId="2D2EAE68" w:rsidR="00AC551D" w:rsidRPr="00A901F1" w:rsidRDefault="7650F331" w:rsidP="270428C0">
            <w:pPr>
              <w:widowControl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65883235" w14:textId="72E58B51" w:rsidR="00AC551D" w:rsidRPr="00A901F1" w:rsidRDefault="7650F331" w:rsidP="270428C0">
            <w:pPr>
              <w:widowControl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4FAF95D" w14:textId="6B1EA3D3" w:rsidR="00AC551D" w:rsidRPr="00A901F1" w:rsidRDefault="7650F331" w:rsidP="270428C0">
            <w:pPr>
              <w:widowControl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  <w:tr w:rsidR="00141511" w:rsidRPr="00141511" w14:paraId="3F9940CA" w14:textId="77777777" w:rsidTr="270428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4D54A0A0" w14:textId="22E5564D" w:rsidR="00AC551D" w:rsidRPr="00A901F1" w:rsidRDefault="6B98690A" w:rsidP="00361849">
            <w:pPr>
              <w:widowControl w:val="0"/>
              <w:spacing w:before="0" w:after="0" w:line="240" w:lineRule="auto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Investment d</w:t>
            </w:r>
            <w:r w:rsidR="7FECF91B" w:rsidRPr="270428C0">
              <w:rPr>
                <w:rFonts w:asciiTheme="minorHAnsi" w:eastAsia="Times New Roman" w:hAnsiTheme="minorHAnsi"/>
                <w:color w:val="auto"/>
              </w:rPr>
              <w:t xml:space="preserve">uration: </w:t>
            </w:r>
            <w:r w:rsidR="45330E69" w:rsidRPr="270428C0">
              <w:rPr>
                <w:rFonts w:asciiTheme="minorHAnsi" w:eastAsia="Times New Roman" w:hAnsiTheme="minorHAnsi"/>
                <w:color w:val="auto"/>
              </w:rPr>
              <w:t>2016</w:t>
            </w:r>
            <w:r w:rsidR="2310E059" w:rsidRPr="270428C0">
              <w:rPr>
                <w:rFonts w:asciiTheme="minorHAnsi" w:eastAsia="Times New Roman" w:hAnsiTheme="minorHAnsi"/>
                <w:color w:val="auto"/>
              </w:rPr>
              <w:t>-2</w:t>
            </w:r>
            <w:r w:rsidR="45330E69" w:rsidRPr="270428C0">
              <w:rPr>
                <w:rFonts w:asciiTheme="minorHAnsi" w:eastAsia="Times New Roman" w:hAnsiTheme="minorHAnsi"/>
                <w:color w:val="auto"/>
              </w:rPr>
              <w:t>5</w:t>
            </w:r>
            <w:r w:rsidR="7FECF91B" w:rsidRPr="270428C0">
              <w:rPr>
                <w:rFonts w:asciiTheme="minorHAnsi" w:eastAsia="Times New Roman" w:hAnsiTheme="minorHAnsi"/>
                <w:color w:val="auto"/>
              </w:rPr>
              <w:t>; Budget: $</w:t>
            </w:r>
            <w:r w:rsidR="6894A33C" w:rsidRPr="270428C0">
              <w:rPr>
                <w:rFonts w:asciiTheme="minorHAnsi" w:eastAsia="Times New Roman" w:hAnsiTheme="minorHAnsi"/>
                <w:color w:val="auto"/>
              </w:rPr>
              <w:t>140.6</w:t>
            </w:r>
            <w:r w:rsidR="45330E69" w:rsidRPr="270428C0">
              <w:rPr>
                <w:rFonts w:asciiTheme="minorHAnsi" w:eastAsia="Times New Roman" w:hAnsiTheme="minorHAnsi"/>
                <w:color w:val="auto"/>
              </w:rPr>
              <w:t xml:space="preserve">m 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42A30353" w14:textId="0E791758" w:rsidR="00AC551D" w:rsidRPr="00A901F1" w:rsidRDefault="3B3D95DF" w:rsidP="270428C0">
            <w:pPr>
              <w:widowControl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</w:t>
            </w:r>
            <w:r w:rsidR="26273FE1" w:rsidRPr="270428C0">
              <w:rPr>
                <w:rFonts w:asciiTheme="minorHAnsi" w:eastAsia="Times New Roman" w:hAnsiTheme="minorHAnsi"/>
                <w:color w:val="auto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02C361E5" w14:textId="0A45130A" w:rsidR="00AC551D" w:rsidRPr="00A901F1" w:rsidRDefault="023B3C04" w:rsidP="270428C0">
            <w:pPr>
              <w:widowControl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C8F4065" w14:textId="16F80AFA" w:rsidR="00AC551D" w:rsidRPr="00A901F1" w:rsidRDefault="023B3C04" w:rsidP="270428C0">
            <w:pPr>
              <w:widowControl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EA630FF" w14:textId="44C9CFF8" w:rsidR="00AC551D" w:rsidRPr="00A901F1" w:rsidRDefault="023B3C04" w:rsidP="270428C0">
            <w:pPr>
              <w:widowControl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  <w:tr w:rsidR="00141511" w:rsidRPr="00141511" w14:paraId="312A72B0" w14:textId="77777777" w:rsidTr="2704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bottom w:val="nil"/>
            </w:tcBorders>
            <w:shd w:val="clear" w:color="auto" w:fill="E0F3EF" w:themeFill="accent1" w:themeFillTint="33"/>
          </w:tcPr>
          <w:p w14:paraId="3B58D662" w14:textId="3FFFBE70" w:rsidR="00802BD5" w:rsidRPr="00A901F1" w:rsidRDefault="09734A9E" w:rsidP="270428C0">
            <w:pPr>
              <w:spacing w:before="0" w:after="0" w:line="240" w:lineRule="auto"/>
              <w:ind w:firstLineChars="11" w:firstLine="24"/>
              <w:rPr>
                <w:rFonts w:asciiTheme="minorHAnsi" w:eastAsia="Times New Roman" w:hAnsiTheme="minorHAnsi"/>
                <w:b/>
                <w:bCs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>Inclusive Economic Growth (Market Development Facility)</w:t>
            </w:r>
          </w:p>
        </w:tc>
        <w:tc>
          <w:tcPr>
            <w:tcW w:w="1134" w:type="dxa"/>
          </w:tcPr>
          <w:p w14:paraId="5A254DE2" w14:textId="37D4A308" w:rsidR="00802BD5" w:rsidRPr="00A901F1" w:rsidRDefault="30694F09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2023</w:t>
            </w:r>
          </w:p>
        </w:tc>
        <w:tc>
          <w:tcPr>
            <w:tcW w:w="1418" w:type="dxa"/>
            <w:noWrap/>
          </w:tcPr>
          <w:p w14:paraId="6429C099" w14:textId="10FB15CC" w:rsidR="00802BD5" w:rsidRPr="00A901F1" w:rsidRDefault="14C80F76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  <w:tc>
          <w:tcPr>
            <w:tcW w:w="1134" w:type="dxa"/>
            <w:noWrap/>
          </w:tcPr>
          <w:p w14:paraId="30CEA432" w14:textId="0C1EE214" w:rsidR="00802BD5" w:rsidRPr="00A901F1" w:rsidRDefault="14C80F76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  <w:tc>
          <w:tcPr>
            <w:tcW w:w="1701" w:type="dxa"/>
            <w:noWrap/>
          </w:tcPr>
          <w:p w14:paraId="027DDA40" w14:textId="399C12E0" w:rsidR="00802BD5" w:rsidRPr="00A901F1" w:rsidRDefault="14C80F76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  <w:tr w:rsidR="00141511" w:rsidRPr="00141511" w14:paraId="6A884DC6" w14:textId="77777777" w:rsidTr="270428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45E36D2B" w14:textId="07D45298" w:rsidR="00C87246" w:rsidRPr="00A901F1" w:rsidRDefault="30694F09" w:rsidP="00361849">
            <w:pPr>
              <w:spacing w:before="0" w:after="0" w:line="240" w:lineRule="auto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 xml:space="preserve">Investment duration: 2017-27; Budget: </w:t>
            </w:r>
            <w:r w:rsidR="5633A72F" w:rsidRPr="270428C0">
              <w:rPr>
                <w:rFonts w:asciiTheme="minorHAnsi" w:eastAsia="Times New Roman" w:hAnsiTheme="minorHAnsi"/>
                <w:color w:val="auto"/>
              </w:rPr>
              <w:t>$34.0m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40DFF29F" w14:textId="40553E71" w:rsidR="00C87246" w:rsidRPr="00A901F1" w:rsidRDefault="30694F09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2022</w:t>
            </w:r>
          </w:p>
        </w:tc>
        <w:tc>
          <w:tcPr>
            <w:tcW w:w="1418" w:type="dxa"/>
            <w:shd w:val="clear" w:color="auto" w:fill="E0F3EF" w:themeFill="accent1" w:themeFillTint="33"/>
            <w:noWrap/>
          </w:tcPr>
          <w:p w14:paraId="6A6B9C18" w14:textId="11CBE1CC" w:rsidR="00C87246" w:rsidRPr="00A901F1" w:rsidRDefault="75CF018B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3D5038DC" w14:textId="24FADA0E" w:rsidR="00C87246" w:rsidRPr="00A901F1" w:rsidRDefault="75CF018B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  <w:tc>
          <w:tcPr>
            <w:tcW w:w="1701" w:type="dxa"/>
            <w:shd w:val="clear" w:color="auto" w:fill="E0F3EF" w:themeFill="accent1" w:themeFillTint="33"/>
            <w:noWrap/>
          </w:tcPr>
          <w:p w14:paraId="49A2183A" w14:textId="3F114C32" w:rsidR="00C87246" w:rsidRPr="00A901F1" w:rsidRDefault="75CF018B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  <w:tr w:rsidR="00141511" w:rsidRPr="00141511" w14:paraId="5584E6F7" w14:textId="77777777" w:rsidTr="2704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bottom w:val="nil"/>
            </w:tcBorders>
            <w:shd w:val="clear" w:color="auto" w:fill="F2F2F2" w:themeFill="background1" w:themeFillShade="F2"/>
          </w:tcPr>
          <w:p w14:paraId="3785711A" w14:textId="620E8F74" w:rsidR="00802BD5" w:rsidRPr="00A901F1" w:rsidRDefault="594ADBC9" w:rsidP="270428C0">
            <w:pPr>
              <w:spacing w:before="0" w:after="0" w:line="240" w:lineRule="auto"/>
              <w:ind w:firstLineChars="11" w:firstLine="24"/>
              <w:rPr>
                <w:rFonts w:asciiTheme="minorHAnsi" w:eastAsia="Times New Roman" w:hAnsiTheme="minorHAnsi"/>
                <w:b/>
                <w:bCs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>Fiji-Australia Institutional Partnerships Program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50CA30" w14:textId="4868FCBA" w:rsidR="00802BD5" w:rsidRPr="00A901F1" w:rsidRDefault="3F5F7D21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2023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576961D0" w14:textId="2915DCDB" w:rsidR="00802BD5" w:rsidRPr="00A901F1" w:rsidRDefault="41109407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00DA4241" w14:textId="1A5033DC" w:rsidR="00802BD5" w:rsidRPr="00A901F1" w:rsidRDefault="41109407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02C7B59" w14:textId="5ABD0AD1" w:rsidR="00802BD5" w:rsidRPr="00A901F1" w:rsidRDefault="41109407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  <w:tr w:rsidR="00141511" w:rsidRPr="00141511" w14:paraId="4288A04B" w14:textId="77777777" w:rsidTr="270428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669D6AAB" w14:textId="6F092ED7" w:rsidR="00802BD5" w:rsidRPr="00A901F1" w:rsidRDefault="594ADBC9" w:rsidP="00361849">
            <w:pPr>
              <w:spacing w:before="0" w:after="0" w:line="240" w:lineRule="auto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 xml:space="preserve">Investment duration: </w:t>
            </w:r>
            <w:r w:rsidR="3F5F7D21" w:rsidRPr="270428C0">
              <w:rPr>
                <w:rFonts w:asciiTheme="minorHAnsi" w:eastAsia="Times New Roman" w:hAnsiTheme="minorHAnsi"/>
                <w:color w:val="auto"/>
              </w:rPr>
              <w:t>2019-25; Budget: $</w:t>
            </w:r>
            <w:r w:rsidR="2B08837D" w:rsidRPr="270428C0">
              <w:rPr>
                <w:rFonts w:asciiTheme="minorHAnsi" w:eastAsia="Times New Roman" w:hAnsiTheme="minorHAnsi"/>
                <w:color w:val="auto"/>
              </w:rPr>
              <w:t>22</w:t>
            </w:r>
            <w:r w:rsidR="3F5F7D21" w:rsidRPr="270428C0">
              <w:rPr>
                <w:rFonts w:asciiTheme="minorHAnsi" w:eastAsia="Times New Roman" w:hAnsiTheme="minorHAnsi"/>
                <w:color w:val="auto"/>
              </w:rPr>
              <w:t>.</w:t>
            </w:r>
            <w:r w:rsidR="2B08837D" w:rsidRPr="270428C0">
              <w:rPr>
                <w:rFonts w:asciiTheme="minorHAnsi" w:eastAsia="Times New Roman" w:hAnsiTheme="minorHAnsi"/>
                <w:color w:val="auto"/>
              </w:rPr>
              <w:t>0</w:t>
            </w:r>
            <w:r w:rsidR="3F5F7D21" w:rsidRPr="270428C0">
              <w:rPr>
                <w:rFonts w:asciiTheme="minorHAnsi" w:eastAsia="Times New Roman" w:hAnsiTheme="minorHAnsi"/>
                <w:color w:val="auto"/>
              </w:rPr>
              <w:t>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0121343" w14:textId="567BF785" w:rsidR="00802BD5" w:rsidRPr="00A901F1" w:rsidRDefault="3F5F7D21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2022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1079D5D2" w14:textId="6CCFD197" w:rsidR="00802BD5" w:rsidRPr="00A901F1" w:rsidRDefault="40E05791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2D0CA305" w14:textId="16CF70A9" w:rsidR="00802BD5" w:rsidRPr="00A901F1" w:rsidRDefault="40E05791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8D6C677" w14:textId="0738F62E" w:rsidR="00802BD5" w:rsidRPr="00A901F1" w:rsidRDefault="40E05791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  <w:tr w:rsidR="00141511" w:rsidRPr="00141511" w14:paraId="049BB34C" w14:textId="77777777" w:rsidTr="2704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bottom w:val="nil"/>
            </w:tcBorders>
            <w:shd w:val="clear" w:color="auto" w:fill="E0F3EF" w:themeFill="accent1" w:themeFillTint="33"/>
          </w:tcPr>
          <w:p w14:paraId="597A1C89" w14:textId="67E64E25" w:rsidR="00802BD5" w:rsidRPr="00A901F1" w:rsidRDefault="1C13C798" w:rsidP="270428C0">
            <w:pPr>
              <w:spacing w:before="0" w:after="0" w:line="240" w:lineRule="auto"/>
              <w:ind w:firstLineChars="11" w:firstLine="24"/>
              <w:rPr>
                <w:rFonts w:asciiTheme="minorHAnsi" w:eastAsia="Times New Roman" w:hAnsiTheme="minorHAnsi"/>
                <w:b/>
                <w:bCs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>DFAT-IFC Fiji Partnership Phase II</w:t>
            </w:r>
          </w:p>
        </w:tc>
        <w:tc>
          <w:tcPr>
            <w:tcW w:w="1134" w:type="dxa"/>
          </w:tcPr>
          <w:p w14:paraId="3CA590E8" w14:textId="4D0F283E" w:rsidR="00802BD5" w:rsidRPr="00A901F1" w:rsidRDefault="2B22D77A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2023</w:t>
            </w:r>
          </w:p>
        </w:tc>
        <w:tc>
          <w:tcPr>
            <w:tcW w:w="1418" w:type="dxa"/>
            <w:noWrap/>
          </w:tcPr>
          <w:p w14:paraId="36B4E5A7" w14:textId="00BFC76F" w:rsidR="00802BD5" w:rsidRPr="00A901F1" w:rsidRDefault="678E02E3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134" w:type="dxa"/>
            <w:noWrap/>
          </w:tcPr>
          <w:p w14:paraId="54DB1B8C" w14:textId="79390AD9" w:rsidR="00802BD5" w:rsidRPr="00A901F1" w:rsidRDefault="678E02E3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  <w:tc>
          <w:tcPr>
            <w:tcW w:w="1701" w:type="dxa"/>
            <w:noWrap/>
          </w:tcPr>
          <w:p w14:paraId="74BCA891" w14:textId="243B0773" w:rsidR="00802BD5" w:rsidRPr="00A901F1" w:rsidRDefault="678E02E3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  <w:tr w:rsidR="00141511" w:rsidRPr="00141511" w14:paraId="7FCF02FE" w14:textId="77777777" w:rsidTr="270428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643A1E62" w14:textId="44AEB1C7" w:rsidR="00802BD5" w:rsidRPr="00A901F1" w:rsidRDefault="2B22D77A" w:rsidP="00361849">
            <w:pPr>
              <w:spacing w:before="0" w:after="0" w:line="240" w:lineRule="auto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Investment duration:</w:t>
            </w:r>
            <w:r w:rsidR="5D41C346" w:rsidRPr="270428C0">
              <w:rPr>
                <w:rFonts w:asciiTheme="minorHAnsi" w:eastAsia="Times New Roman" w:hAnsiTheme="minorHAnsi"/>
                <w:color w:val="auto"/>
              </w:rPr>
              <w:t xml:space="preserve"> 2021-25</w:t>
            </w:r>
            <w:r w:rsidRPr="270428C0">
              <w:rPr>
                <w:rFonts w:asciiTheme="minorHAnsi" w:eastAsia="Times New Roman" w:hAnsiTheme="minorHAnsi"/>
                <w:color w:val="auto"/>
              </w:rPr>
              <w:t>; Budget</w:t>
            </w:r>
            <w:r w:rsidR="5D41C346" w:rsidRPr="270428C0">
              <w:rPr>
                <w:rFonts w:asciiTheme="minorHAnsi" w:eastAsia="Times New Roman" w:hAnsiTheme="minorHAnsi"/>
                <w:color w:val="auto"/>
              </w:rPr>
              <w:t>: $8.0m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24AC8326" w14:textId="4FD5370D" w:rsidR="00802BD5" w:rsidRPr="00A901F1" w:rsidRDefault="2B22D77A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2022</w:t>
            </w:r>
          </w:p>
        </w:tc>
        <w:tc>
          <w:tcPr>
            <w:tcW w:w="1418" w:type="dxa"/>
            <w:shd w:val="clear" w:color="auto" w:fill="E0F3EF" w:themeFill="accent1" w:themeFillTint="33"/>
            <w:noWrap/>
          </w:tcPr>
          <w:p w14:paraId="093011B7" w14:textId="01D1E5A7" w:rsidR="00802BD5" w:rsidRPr="00A901F1" w:rsidRDefault="002C4637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N/A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142442D8" w14:textId="4B7B9ED8" w:rsidR="00802BD5" w:rsidRPr="00A901F1" w:rsidRDefault="002C4637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N/A</w:t>
            </w:r>
          </w:p>
        </w:tc>
        <w:tc>
          <w:tcPr>
            <w:tcW w:w="1701" w:type="dxa"/>
            <w:shd w:val="clear" w:color="auto" w:fill="E0F3EF" w:themeFill="accent1" w:themeFillTint="33"/>
            <w:noWrap/>
          </w:tcPr>
          <w:p w14:paraId="4E251622" w14:textId="19A93552" w:rsidR="00802BD5" w:rsidRPr="00A901F1" w:rsidRDefault="002C4637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N/A</w:t>
            </w:r>
          </w:p>
        </w:tc>
      </w:tr>
      <w:tr w:rsidR="00141511" w:rsidRPr="00141511" w14:paraId="539E96A2" w14:textId="77777777" w:rsidTr="2704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bottom w:val="nil"/>
            </w:tcBorders>
            <w:shd w:val="clear" w:color="auto" w:fill="F2F2F2" w:themeFill="background1" w:themeFillShade="F2"/>
          </w:tcPr>
          <w:p w14:paraId="43B2D903" w14:textId="37F66D85" w:rsidR="00802BD5" w:rsidRPr="00A901F1" w:rsidRDefault="2B22D77A" w:rsidP="270428C0">
            <w:pPr>
              <w:spacing w:before="0" w:after="0" w:line="240" w:lineRule="auto"/>
              <w:ind w:firstLineChars="11" w:firstLine="24"/>
              <w:rPr>
                <w:rFonts w:asciiTheme="minorHAnsi" w:eastAsia="Times New Roman" w:hAnsiTheme="minorHAnsi"/>
                <w:b/>
                <w:bCs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 xml:space="preserve">Tropical Cyclone </w:t>
            </w:r>
            <w:proofErr w:type="spellStart"/>
            <w:r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>Yasa</w:t>
            </w:r>
            <w:proofErr w:type="spellEnd"/>
            <w:r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 xml:space="preserve"> Recovery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3C22FA" w14:textId="4DB512ED" w:rsidR="00802BD5" w:rsidRPr="00A901F1" w:rsidRDefault="2B22D77A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2023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0116B754" w14:textId="124B339D" w:rsidR="00802BD5" w:rsidRPr="00A901F1" w:rsidRDefault="678E02E3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F83B135" w14:textId="403B2256" w:rsidR="00802BD5" w:rsidRPr="00A901F1" w:rsidRDefault="678E02E3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A323816" w14:textId="0E570D98" w:rsidR="00802BD5" w:rsidRPr="00A901F1" w:rsidRDefault="678E02E3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  <w:tr w:rsidR="00141511" w:rsidRPr="00141511" w14:paraId="5C07D52C" w14:textId="77777777" w:rsidTr="270428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nil"/>
            </w:tcBorders>
            <w:shd w:val="clear" w:color="auto" w:fill="F2F2F2" w:themeFill="background1" w:themeFillShade="F2"/>
          </w:tcPr>
          <w:p w14:paraId="06059B3F" w14:textId="58D2C7AC" w:rsidR="00802BD5" w:rsidRPr="00A901F1" w:rsidRDefault="2B22D77A" w:rsidP="00361849">
            <w:pPr>
              <w:spacing w:before="0" w:after="0" w:line="240" w:lineRule="auto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 xml:space="preserve">Investment duration: </w:t>
            </w:r>
            <w:r w:rsidR="6429C327" w:rsidRPr="270428C0">
              <w:rPr>
                <w:rFonts w:asciiTheme="minorHAnsi" w:eastAsia="Times New Roman" w:hAnsiTheme="minorHAnsi"/>
                <w:color w:val="auto"/>
              </w:rPr>
              <w:t>2021-24</w:t>
            </w:r>
            <w:r w:rsidRPr="270428C0">
              <w:rPr>
                <w:rFonts w:asciiTheme="minorHAnsi" w:eastAsia="Times New Roman" w:hAnsiTheme="minorHAnsi"/>
                <w:color w:val="auto"/>
              </w:rPr>
              <w:t>; Budget</w:t>
            </w:r>
            <w:r w:rsidR="6429C327" w:rsidRPr="270428C0">
              <w:rPr>
                <w:rFonts w:asciiTheme="minorHAnsi" w:eastAsia="Times New Roman" w:hAnsiTheme="minorHAnsi"/>
                <w:color w:val="auto"/>
              </w:rPr>
              <w:t>: $</w:t>
            </w:r>
            <w:r w:rsidR="5BE75A36" w:rsidRPr="270428C0">
              <w:rPr>
                <w:rFonts w:asciiTheme="minorHAnsi" w:eastAsia="Times New Roman" w:hAnsiTheme="minorHAnsi"/>
                <w:color w:val="auto"/>
              </w:rPr>
              <w:t>3</w:t>
            </w:r>
            <w:r w:rsidR="2B08837D" w:rsidRPr="270428C0">
              <w:rPr>
                <w:rFonts w:asciiTheme="minorHAnsi" w:eastAsia="Times New Roman" w:hAnsiTheme="minorHAnsi"/>
                <w:color w:val="auto"/>
              </w:rPr>
              <w:t>4</w:t>
            </w:r>
            <w:r w:rsidR="5BE75A36" w:rsidRPr="270428C0">
              <w:rPr>
                <w:rFonts w:asciiTheme="minorHAnsi" w:eastAsia="Times New Roman" w:hAnsiTheme="minorHAnsi"/>
                <w:color w:val="auto"/>
              </w:rPr>
              <w:t>.</w:t>
            </w:r>
            <w:r w:rsidR="2B08837D" w:rsidRPr="270428C0">
              <w:rPr>
                <w:rFonts w:asciiTheme="minorHAnsi" w:eastAsia="Times New Roman" w:hAnsiTheme="minorHAnsi"/>
                <w:color w:val="auto"/>
              </w:rPr>
              <w:t>5</w:t>
            </w:r>
            <w:r w:rsidR="5BE75A36" w:rsidRPr="270428C0">
              <w:rPr>
                <w:rFonts w:asciiTheme="minorHAnsi" w:eastAsia="Times New Roman" w:hAnsiTheme="minorHAnsi"/>
                <w:color w:val="auto"/>
              </w:rPr>
              <w:t>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02183ED" w14:textId="78EFC75C" w:rsidR="00802BD5" w:rsidRPr="00A901F1" w:rsidRDefault="2B22D77A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2022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40CECBE0" w14:textId="08510AE5" w:rsidR="00802BD5" w:rsidRPr="00A901F1" w:rsidRDefault="002C4637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N/A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87033BB" w14:textId="23F7F046" w:rsidR="00802BD5" w:rsidRPr="00A901F1" w:rsidRDefault="002C4637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637D613A" w14:textId="24F1E0C7" w:rsidR="00802BD5" w:rsidRPr="00A901F1" w:rsidRDefault="002C4637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N/A</w:t>
            </w:r>
          </w:p>
        </w:tc>
      </w:tr>
    </w:tbl>
    <w:p w14:paraId="3800A196" w14:textId="692A1364" w:rsidR="00E221FA" w:rsidRPr="00A901F1" w:rsidRDefault="00E221FA" w:rsidP="006D0A9D">
      <w:pPr>
        <w:pStyle w:val="Heading3"/>
      </w:pPr>
      <w:r w:rsidRPr="270428C0">
        <w:t>Final Investment Performance ratings</w:t>
      </w:r>
    </w:p>
    <w:tbl>
      <w:tblPr>
        <w:tblStyle w:val="DFATTable1"/>
        <w:tblW w:w="10485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098"/>
        <w:gridCol w:w="1134"/>
        <w:gridCol w:w="1418"/>
        <w:gridCol w:w="1134"/>
        <w:gridCol w:w="1701"/>
      </w:tblGrid>
      <w:tr w:rsidR="00141511" w:rsidRPr="00141511" w14:paraId="1C7DF276" w14:textId="77777777" w:rsidTr="00551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2DCD1" w:themeFill="accent1" w:themeFillTint="99"/>
            <w:noWrap/>
            <w:vAlign w:val="center"/>
            <w:hideMark/>
          </w:tcPr>
          <w:p w14:paraId="5CB2E247" w14:textId="77777777" w:rsidR="00D7310B" w:rsidRPr="00A901F1" w:rsidRDefault="6705D4C7" w:rsidP="00781CF0">
            <w:pPr>
              <w:pStyle w:val="TableHeaderRow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Investment Details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vAlign w:val="center"/>
            <w:hideMark/>
          </w:tcPr>
          <w:p w14:paraId="559F947C" w14:textId="77777777" w:rsidR="00D7310B" w:rsidRPr="00A901F1" w:rsidRDefault="6705D4C7" w:rsidP="00781CF0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Year</w:t>
            </w:r>
          </w:p>
        </w:tc>
        <w:tc>
          <w:tcPr>
            <w:tcW w:w="1418" w:type="dxa"/>
            <w:shd w:val="clear" w:color="auto" w:fill="A2DCD1" w:themeFill="accent1" w:themeFillTint="99"/>
            <w:noWrap/>
            <w:vAlign w:val="center"/>
            <w:hideMark/>
          </w:tcPr>
          <w:p w14:paraId="661038F4" w14:textId="77777777" w:rsidR="00D7310B" w:rsidRPr="00A901F1" w:rsidRDefault="6705D4C7" w:rsidP="00781CF0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Effectiveness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vAlign w:val="center"/>
            <w:hideMark/>
          </w:tcPr>
          <w:p w14:paraId="1765D5AA" w14:textId="77777777" w:rsidR="00D7310B" w:rsidRPr="00A901F1" w:rsidRDefault="6705D4C7" w:rsidP="00781CF0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Efficiency</w:t>
            </w:r>
          </w:p>
        </w:tc>
        <w:tc>
          <w:tcPr>
            <w:tcW w:w="1701" w:type="dxa"/>
            <w:shd w:val="clear" w:color="auto" w:fill="A2DCD1" w:themeFill="accent1" w:themeFillTint="99"/>
            <w:noWrap/>
            <w:vAlign w:val="center"/>
            <w:hideMark/>
          </w:tcPr>
          <w:p w14:paraId="38C29940" w14:textId="77777777" w:rsidR="00D7310B" w:rsidRPr="00A901F1" w:rsidRDefault="6705D4C7" w:rsidP="00781CF0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270428C0">
              <w:rPr>
                <w:rFonts w:eastAsia="Times New Roman"/>
              </w:rPr>
              <w:t>Gender Equality</w:t>
            </w:r>
          </w:p>
        </w:tc>
      </w:tr>
      <w:tr w:rsidR="00141511" w:rsidRPr="00141511" w14:paraId="5FCAA806" w14:textId="77777777" w:rsidTr="00551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65C5B4" w:themeColor="accent1"/>
              <w:left w:val="single" w:sz="4" w:space="0" w:color="65C5B4" w:themeColor="accent1"/>
              <w:bottom w:val="nil"/>
              <w:right w:val="single" w:sz="4" w:space="0" w:color="65C5B4" w:themeColor="accent1"/>
            </w:tcBorders>
            <w:shd w:val="clear" w:color="auto" w:fill="auto"/>
            <w:vAlign w:val="bottom"/>
            <w:hideMark/>
          </w:tcPr>
          <w:p w14:paraId="26CB53EA" w14:textId="16F2214E" w:rsidR="00D7310B" w:rsidRPr="00A901F1" w:rsidRDefault="3F09A6FF" w:rsidP="270428C0">
            <w:pPr>
              <w:spacing w:before="0" w:after="0" w:line="240" w:lineRule="auto"/>
              <w:rPr>
                <w:rFonts w:asciiTheme="minorHAnsi" w:eastAsia="Times New Roman" w:hAnsiTheme="minorHAnsi"/>
                <w:b/>
                <w:bCs/>
                <w:color w:val="auto"/>
                <w:lang w:eastAsia="en-AU"/>
              </w:rPr>
            </w:pPr>
            <w:r w:rsidRPr="270428C0">
              <w:rPr>
                <w:rFonts w:asciiTheme="minorHAnsi" w:eastAsia="Times New Roman" w:hAnsiTheme="minorHAnsi"/>
                <w:b/>
                <w:bCs/>
                <w:color w:val="auto"/>
              </w:rPr>
              <w:t>Pacific Women Fiji Country Plan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bottom w:val="single" w:sz="4" w:space="0" w:color="65C5B4" w:themeColor="accent1"/>
            </w:tcBorders>
            <w:shd w:val="clear" w:color="auto" w:fill="auto"/>
            <w:hideMark/>
          </w:tcPr>
          <w:p w14:paraId="615EF094" w14:textId="01E9FDA8" w:rsidR="00D7310B" w:rsidRPr="00A901F1" w:rsidRDefault="6705D4C7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</w:t>
            </w:r>
            <w:r w:rsidR="018231DC" w:rsidRPr="270428C0">
              <w:rPr>
                <w:rFonts w:asciiTheme="minorHAnsi" w:eastAsia="Times New Roman" w:hAnsiTheme="minorHAnsi"/>
                <w:color w:val="auto"/>
              </w:rPr>
              <w:t>2</w:t>
            </w:r>
            <w:r w:rsidR="26273FE1" w:rsidRPr="270428C0">
              <w:rPr>
                <w:rFonts w:asciiTheme="minorHAnsi" w:eastAsia="Times New Roman" w:hAnsiTheme="minorHAnsi"/>
                <w:color w:val="auto"/>
              </w:rPr>
              <w:t>3</w:t>
            </w:r>
            <w:r w:rsidR="6F33616C" w:rsidRPr="270428C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A96364" w:rsidRPr="270428C0">
              <w:rPr>
                <w:rFonts w:asciiTheme="minorHAnsi" w:eastAsia="Times New Roman" w:hAnsiTheme="minorHAnsi"/>
                <w:color w:val="auto"/>
              </w:rPr>
              <w:t>FIMR</w:t>
            </w:r>
          </w:p>
        </w:tc>
        <w:tc>
          <w:tcPr>
            <w:tcW w:w="1418" w:type="dxa"/>
            <w:tcBorders>
              <w:bottom w:val="single" w:sz="4" w:space="0" w:color="65C5B4" w:themeColor="accent1"/>
            </w:tcBorders>
            <w:shd w:val="clear" w:color="auto" w:fill="auto"/>
            <w:noWrap/>
          </w:tcPr>
          <w:p w14:paraId="12403CED" w14:textId="61F46A40" w:rsidR="00D7310B" w:rsidRPr="00A901F1" w:rsidRDefault="1E9EBC25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65C5B4" w:themeColor="accent1"/>
            </w:tcBorders>
            <w:shd w:val="clear" w:color="auto" w:fill="auto"/>
            <w:noWrap/>
          </w:tcPr>
          <w:p w14:paraId="456E1DCC" w14:textId="4EA5C143" w:rsidR="00D7310B" w:rsidRPr="00A901F1" w:rsidRDefault="4B60F040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65C5B4" w:themeColor="accent1"/>
            </w:tcBorders>
            <w:shd w:val="clear" w:color="auto" w:fill="auto"/>
            <w:noWrap/>
          </w:tcPr>
          <w:p w14:paraId="2C7A02D0" w14:textId="789D0CF0" w:rsidR="00D7310B" w:rsidRPr="00A901F1" w:rsidRDefault="1E9EBC25" w:rsidP="270428C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</w:tr>
      <w:tr w:rsidR="00141511" w:rsidRPr="00141511" w14:paraId="48A88951" w14:textId="77777777" w:rsidTr="00551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nil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shd w:val="clear" w:color="auto" w:fill="auto"/>
            <w:hideMark/>
          </w:tcPr>
          <w:p w14:paraId="7C9CCC70" w14:textId="1DB30559" w:rsidR="00D7310B" w:rsidRPr="00A901F1" w:rsidRDefault="0913F967" w:rsidP="00C72A07">
            <w:pPr>
              <w:spacing w:before="0" w:after="0" w:line="240" w:lineRule="auto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 xml:space="preserve">Investment duration: </w:t>
            </w:r>
            <w:r w:rsidR="59854245" w:rsidRPr="270428C0">
              <w:rPr>
                <w:rFonts w:asciiTheme="minorHAnsi" w:eastAsia="Times New Roman" w:hAnsiTheme="minorHAnsi"/>
                <w:color w:val="auto"/>
              </w:rPr>
              <w:t>201</w:t>
            </w:r>
            <w:r w:rsidR="3F09A6FF" w:rsidRPr="270428C0">
              <w:rPr>
                <w:rFonts w:asciiTheme="minorHAnsi" w:eastAsia="Times New Roman" w:hAnsiTheme="minorHAnsi"/>
                <w:color w:val="auto"/>
              </w:rPr>
              <w:t>4</w:t>
            </w:r>
            <w:r w:rsidR="59854245" w:rsidRPr="270428C0">
              <w:rPr>
                <w:rFonts w:asciiTheme="minorHAnsi" w:eastAsia="Times New Roman" w:hAnsiTheme="minorHAnsi"/>
                <w:color w:val="auto"/>
              </w:rPr>
              <w:t>-2</w:t>
            </w:r>
            <w:r w:rsidR="3F09A6FF" w:rsidRPr="270428C0">
              <w:rPr>
                <w:rFonts w:asciiTheme="minorHAnsi" w:eastAsia="Times New Roman" w:hAnsiTheme="minorHAnsi"/>
                <w:color w:val="auto"/>
              </w:rPr>
              <w:t>5</w:t>
            </w:r>
            <w:r w:rsidRPr="270428C0">
              <w:rPr>
                <w:rFonts w:asciiTheme="minorHAnsi" w:eastAsia="Times New Roman" w:hAnsiTheme="minorHAnsi"/>
                <w:color w:val="auto"/>
              </w:rPr>
              <w:t xml:space="preserve">; Budget: </w:t>
            </w:r>
            <w:r w:rsidRPr="270428C0">
              <w:rPr>
                <w:rFonts w:eastAsia="Times New Roman"/>
                <w:color w:val="auto"/>
              </w:rPr>
              <w:t>$</w:t>
            </w:r>
            <w:r w:rsidR="3F09A6FF" w:rsidRPr="270428C0">
              <w:rPr>
                <w:rFonts w:eastAsia="Times New Roman"/>
                <w:color w:val="auto"/>
              </w:rPr>
              <w:t>33.1</w:t>
            </w:r>
            <w:r w:rsidRPr="270428C0">
              <w:rPr>
                <w:rFonts w:eastAsia="Times New Roman"/>
                <w:color w:val="auto"/>
              </w:rPr>
              <w:t>m</w:t>
            </w:r>
          </w:p>
        </w:tc>
        <w:tc>
          <w:tcPr>
            <w:tcW w:w="1134" w:type="dxa"/>
            <w:tcBorders>
              <w:top w:val="single" w:sz="4" w:space="0" w:color="65C5B4" w:themeColor="accent1"/>
              <w:left w:val="single" w:sz="4" w:space="0" w:color="65C5B4" w:themeColor="accent1"/>
            </w:tcBorders>
            <w:shd w:val="clear" w:color="auto" w:fill="auto"/>
            <w:hideMark/>
          </w:tcPr>
          <w:p w14:paraId="265BD1DC" w14:textId="17A9942D" w:rsidR="00193C49" w:rsidRPr="00A901F1" w:rsidRDefault="6705D4C7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20</w:t>
            </w:r>
            <w:r w:rsidR="00A96364" w:rsidRPr="270428C0">
              <w:rPr>
                <w:rFonts w:asciiTheme="minorHAnsi" w:eastAsia="Times New Roman" w:hAnsiTheme="minorHAnsi"/>
                <w:color w:val="auto"/>
              </w:rPr>
              <w:t>2</w:t>
            </w:r>
            <w:r w:rsidR="26273FE1" w:rsidRPr="270428C0">
              <w:rPr>
                <w:rFonts w:asciiTheme="minorHAnsi" w:eastAsia="Times New Roman" w:hAnsiTheme="minorHAnsi"/>
                <w:color w:val="auto"/>
              </w:rPr>
              <w:t>2</w:t>
            </w:r>
            <w:r w:rsidR="50592863" w:rsidRPr="270428C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A96364" w:rsidRPr="270428C0">
              <w:rPr>
                <w:rFonts w:asciiTheme="minorHAnsi" w:eastAsia="Times New Roman" w:hAnsiTheme="minorHAnsi"/>
                <w:color w:val="auto"/>
              </w:rPr>
              <w:t>IMR</w:t>
            </w:r>
          </w:p>
        </w:tc>
        <w:tc>
          <w:tcPr>
            <w:tcW w:w="1418" w:type="dxa"/>
            <w:tcBorders>
              <w:top w:val="single" w:sz="4" w:space="0" w:color="65C5B4" w:themeColor="accent1"/>
            </w:tcBorders>
            <w:shd w:val="clear" w:color="auto" w:fill="auto"/>
            <w:noWrap/>
          </w:tcPr>
          <w:p w14:paraId="2B8EB16D" w14:textId="575E423A" w:rsidR="00D7310B" w:rsidRPr="00A901F1" w:rsidRDefault="3EFAC82E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65C5B4" w:themeColor="accent1"/>
            </w:tcBorders>
            <w:shd w:val="clear" w:color="auto" w:fill="auto"/>
            <w:noWrap/>
          </w:tcPr>
          <w:p w14:paraId="1C396789" w14:textId="27D4C57F" w:rsidR="00D7310B" w:rsidRPr="00A901F1" w:rsidRDefault="3EFAC82E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65C5B4" w:themeColor="accent1"/>
            </w:tcBorders>
            <w:shd w:val="clear" w:color="auto" w:fill="auto"/>
            <w:noWrap/>
          </w:tcPr>
          <w:p w14:paraId="6145AA71" w14:textId="591C1BC3" w:rsidR="00D7310B" w:rsidRPr="00A901F1" w:rsidRDefault="3EFAC82E" w:rsidP="270428C0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  <w:lang w:val="en-AU" w:eastAsia="en-AU"/>
              </w:rPr>
            </w:pPr>
            <w:r w:rsidRPr="270428C0">
              <w:rPr>
                <w:rFonts w:asciiTheme="minorHAnsi" w:eastAsia="Times New Roman" w:hAnsiTheme="minorHAnsi"/>
                <w:color w:val="auto"/>
              </w:rPr>
              <w:t>4</w:t>
            </w:r>
          </w:p>
        </w:tc>
      </w:tr>
    </w:tbl>
    <w:p w14:paraId="17600418" w14:textId="351AF795" w:rsidR="00681633" w:rsidRPr="00A405D0" w:rsidRDefault="300E1F71" w:rsidP="006D0A9D">
      <w:pPr>
        <w:pStyle w:val="Heading3"/>
      </w:pPr>
      <w:r w:rsidRPr="00A405D0">
        <w:t>Definitions of rating scale</w:t>
      </w:r>
      <w:r w:rsidRPr="00A405D0">
        <w:tab/>
      </w:r>
    </w:p>
    <w:p w14:paraId="5989C7B0" w14:textId="77777777" w:rsidR="00681633" w:rsidRPr="00A901F1" w:rsidRDefault="00681633" w:rsidP="00681633">
      <w:pPr>
        <w:spacing w:before="20" w:after="20" w:line="180" w:lineRule="atLeast"/>
        <w:jc w:val="both"/>
        <w:rPr>
          <w:rFonts w:eastAsia="Times New Roman"/>
          <w:color w:val="auto"/>
          <w:sz w:val="20"/>
          <w:szCs w:val="20"/>
        </w:rPr>
      </w:pPr>
      <w:r w:rsidRPr="270428C0">
        <w:rPr>
          <w:rFonts w:eastAsia="Times New Roman"/>
          <w:color w:val="auto"/>
          <w:sz w:val="20"/>
          <w:szCs w:val="20"/>
          <w:u w:val="single"/>
        </w:rPr>
        <w:t>Satisfactory (4, 5 and 6)</w:t>
      </w:r>
    </w:p>
    <w:p w14:paraId="15BE82E8" w14:textId="77777777" w:rsidR="00681633" w:rsidRPr="00A901F1" w:rsidRDefault="00681633" w:rsidP="00681633">
      <w:pPr>
        <w:spacing w:line="240" w:lineRule="auto"/>
        <w:rPr>
          <w:color w:val="auto"/>
          <w:sz w:val="20"/>
          <w:szCs w:val="20"/>
        </w:rPr>
      </w:pPr>
      <w:r w:rsidRPr="270428C0">
        <w:rPr>
          <w:color w:val="auto"/>
          <w:sz w:val="20"/>
          <w:szCs w:val="20"/>
        </w:rPr>
        <w:t xml:space="preserve">6 = Very good; satisfies criteria in all areas. </w:t>
      </w:r>
      <w:r>
        <w:br/>
      </w:r>
      <w:r w:rsidRPr="270428C0">
        <w:rPr>
          <w:color w:val="auto"/>
          <w:sz w:val="20"/>
          <w:szCs w:val="20"/>
        </w:rPr>
        <w:t>5 = Good; satisfies criteria in almost all areas.</w:t>
      </w:r>
      <w:r>
        <w:br/>
      </w:r>
      <w:r w:rsidRPr="270428C0">
        <w:rPr>
          <w:color w:val="auto"/>
          <w:sz w:val="20"/>
          <w:szCs w:val="20"/>
        </w:rPr>
        <w:t>4 = Adequate; on balance, satisfies criteria; does not fail in any major area.</w:t>
      </w:r>
    </w:p>
    <w:p w14:paraId="48B0BB33" w14:textId="77777777" w:rsidR="00681633" w:rsidRPr="00A901F1" w:rsidRDefault="00681633" w:rsidP="00681633">
      <w:pPr>
        <w:spacing w:line="240" w:lineRule="auto"/>
        <w:rPr>
          <w:color w:val="auto"/>
          <w:sz w:val="20"/>
          <w:szCs w:val="20"/>
          <w:u w:val="single"/>
        </w:rPr>
      </w:pPr>
      <w:r w:rsidRPr="270428C0">
        <w:rPr>
          <w:color w:val="auto"/>
          <w:sz w:val="20"/>
          <w:szCs w:val="20"/>
          <w:u w:val="single"/>
        </w:rPr>
        <w:t>Less than satisfactory (1, 2 and 3)</w:t>
      </w:r>
    </w:p>
    <w:p w14:paraId="4DC45723" w14:textId="2A6CE460" w:rsidR="00681633" w:rsidRPr="00A901F1" w:rsidRDefault="00681633" w:rsidP="00996FC8">
      <w:pPr>
        <w:spacing w:line="240" w:lineRule="auto"/>
        <w:rPr>
          <w:color w:val="auto"/>
          <w:sz w:val="20"/>
          <w:szCs w:val="20"/>
        </w:rPr>
      </w:pPr>
      <w:r w:rsidRPr="270428C0">
        <w:rPr>
          <w:color w:val="auto"/>
          <w:sz w:val="20"/>
          <w:szCs w:val="20"/>
        </w:rPr>
        <w:t>3 = Less than adequate; on balance does not satisfy criteria and/or fails in at least one major area.</w:t>
      </w:r>
      <w:r>
        <w:br/>
      </w:r>
      <w:r w:rsidRPr="270428C0">
        <w:rPr>
          <w:color w:val="auto"/>
          <w:sz w:val="20"/>
          <w:szCs w:val="20"/>
        </w:rPr>
        <w:t>2 = Poor; does not satisfy criteria in major areas.</w:t>
      </w:r>
      <w:r>
        <w:br/>
      </w:r>
      <w:r w:rsidRPr="270428C0">
        <w:rPr>
          <w:color w:val="auto"/>
          <w:sz w:val="20"/>
          <w:szCs w:val="20"/>
        </w:rPr>
        <w:t xml:space="preserve">1 = Very poor; does not satisfy criteria in many major </w:t>
      </w:r>
      <w:r w:rsidR="002C4637" w:rsidRPr="270428C0">
        <w:rPr>
          <w:color w:val="auto"/>
          <w:sz w:val="20"/>
          <w:szCs w:val="20"/>
        </w:rPr>
        <w:t>areas</w:t>
      </w:r>
      <w:r w:rsidRPr="270428C0">
        <w:rPr>
          <w:color w:val="auto"/>
          <w:sz w:val="20"/>
          <w:szCs w:val="20"/>
        </w:rPr>
        <w:t>.</w:t>
      </w:r>
    </w:p>
    <w:sectPr w:rsidR="00681633" w:rsidRPr="00A901F1" w:rsidSect="00363A9F"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A517" w14:textId="77777777" w:rsidR="00BB5F10" w:rsidRDefault="00BB5F10" w:rsidP="00D37B04">
      <w:r>
        <w:separator/>
      </w:r>
    </w:p>
  </w:endnote>
  <w:endnote w:type="continuationSeparator" w:id="0">
    <w:p w14:paraId="6B6D5694" w14:textId="77777777" w:rsidR="00BB5F10" w:rsidRDefault="00BB5F10" w:rsidP="00D37B04">
      <w:r>
        <w:continuationSeparator/>
      </w:r>
    </w:p>
  </w:endnote>
  <w:endnote w:type="continuationNotice" w:id="1">
    <w:p w14:paraId="693D7D66" w14:textId="77777777" w:rsidR="00BB5F10" w:rsidRDefault="00BB5F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6EFC2" w14:textId="6EDBD731" w:rsidR="001D3DDD" w:rsidRPr="0042526D" w:rsidRDefault="0005564F" w:rsidP="00C86A33">
        <w:pPr>
          <w:spacing w:before="60"/>
          <w:jc w:val="center"/>
          <w:rPr>
            <w:noProof/>
            <w:color w:val="auto"/>
            <w:sz w:val="20"/>
            <w:szCs w:val="20"/>
          </w:rPr>
        </w:pPr>
        <w:r>
          <w:rPr>
            <w:noProof/>
            <w:color w:val="auto"/>
          </w:rPr>
          <w:drawing>
            <wp:anchor distT="0" distB="0" distL="114300" distR="114300" simplePos="0" relativeHeight="251658240" behindDoc="1" locked="0" layoutInCell="1" allowOverlap="1" wp14:anchorId="0A9940EE" wp14:editId="6DD611A9">
              <wp:simplePos x="0" y="0"/>
              <wp:positionH relativeFrom="margin">
                <wp:posOffset>8285</wp:posOffset>
              </wp:positionH>
              <wp:positionV relativeFrom="paragraph">
                <wp:posOffset>52321</wp:posOffset>
              </wp:positionV>
              <wp:extent cx="6629948" cy="357173"/>
              <wp:effectExtent l="0" t="0" r="0" b="5080"/>
              <wp:wrapNone/>
              <wp:docPr id="2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" name="Picture 28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948" cy="357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D3DDD" w:rsidRPr="270428C0">
          <w:rPr>
            <w:color w:val="auto"/>
            <w:sz w:val="20"/>
            <w:szCs w:val="20"/>
          </w:rPr>
          <w:fldChar w:fldCharType="begin"/>
        </w:r>
        <w:r w:rsidR="001D3DDD" w:rsidRPr="270428C0">
          <w:rPr>
            <w:color w:val="auto"/>
            <w:sz w:val="20"/>
            <w:szCs w:val="20"/>
          </w:rPr>
          <w:instrText xml:space="preserve"> PAGE   \* MERGEFORMAT </w:instrText>
        </w:r>
        <w:r w:rsidR="001D3DDD" w:rsidRPr="270428C0">
          <w:rPr>
            <w:color w:val="auto"/>
            <w:sz w:val="20"/>
            <w:szCs w:val="20"/>
          </w:rPr>
          <w:fldChar w:fldCharType="separate"/>
        </w:r>
        <w:r w:rsidR="270428C0" w:rsidRPr="270428C0">
          <w:rPr>
            <w:color w:val="auto"/>
            <w:sz w:val="20"/>
            <w:szCs w:val="20"/>
          </w:rPr>
          <w:t>2</w:t>
        </w:r>
        <w:r w:rsidR="001D3DDD" w:rsidRPr="270428C0">
          <w:rPr>
            <w:color w:val="auto"/>
            <w:sz w:val="20"/>
            <w:szCs w:val="20"/>
          </w:rPr>
          <w:fldChar w:fldCharType="end"/>
        </w:r>
      </w:p>
      <w:p w14:paraId="1E51B8D5" w14:textId="236DEC64" w:rsidR="001D3DDD" w:rsidRPr="001D3DDD" w:rsidRDefault="006C5811" w:rsidP="0005564F">
        <w:pPr>
          <w:pStyle w:val="Footer"/>
          <w:spacing w:line="240" w:lineRule="auto"/>
          <w:jc w:val="center"/>
          <w:rPr>
            <w:color w:val="auto"/>
          </w:rPr>
        </w:pPr>
      </w:p>
    </w:sdtContent>
  </w:sdt>
  <w:p w14:paraId="3A729F02" w14:textId="519EAB54" w:rsidR="009131E9" w:rsidRDefault="009131E9" w:rsidP="009131E9">
    <w:pPr>
      <w:pStyle w:val="Footer"/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0368" w14:textId="77777777" w:rsidR="00BB5F10" w:rsidRPr="008C5A0E" w:rsidRDefault="00BB5F10" w:rsidP="00D37B04">
      <w:pPr>
        <w:pStyle w:val="Footer"/>
      </w:pPr>
    </w:p>
  </w:footnote>
  <w:footnote w:type="continuationSeparator" w:id="0">
    <w:p w14:paraId="092BD50C" w14:textId="77777777" w:rsidR="00BB5F10" w:rsidRDefault="00BB5F10" w:rsidP="00D37B04">
      <w:r>
        <w:continuationSeparator/>
      </w:r>
    </w:p>
  </w:footnote>
  <w:footnote w:type="continuationNotice" w:id="1">
    <w:p w14:paraId="0F7DB45C" w14:textId="77777777" w:rsidR="00BB5F10" w:rsidRDefault="00BB5F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7E92" w14:textId="14278DCE" w:rsidR="009131E9" w:rsidRDefault="270428C0" w:rsidP="007A4493">
    <w:pPr>
      <w:pStyle w:val="Header"/>
      <w:ind w:left="0"/>
    </w:pPr>
    <w:r>
      <w:rPr>
        <w:noProof/>
      </w:rPr>
      <w:drawing>
        <wp:inline distT="0" distB="0" distL="0" distR="0" wp14:anchorId="7248A92F" wp14:editId="618E5519">
          <wp:extent cx="6718851" cy="7073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851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77D80D" w14:textId="77777777" w:rsidR="00571B87" w:rsidRDefault="00571B87" w:rsidP="007A4493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A5E" w14:textId="483FCFE4" w:rsidR="00920854" w:rsidRDefault="270428C0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053858D8">
          <wp:extent cx="6696074" cy="1247775"/>
          <wp:effectExtent l="0" t="0" r="9525" b="9525"/>
          <wp:docPr id="3" name="Picture 3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74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592AB9" w14:textId="77777777" w:rsidR="00920854" w:rsidRPr="00943730" w:rsidRDefault="00920854" w:rsidP="008C614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1CB16E85"/>
    <w:multiLevelType w:val="hybridMultilevel"/>
    <w:tmpl w:val="671AB364"/>
    <w:lvl w:ilvl="0" w:tplc="6D26DD18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7" w:hanging="360"/>
      </w:pPr>
    </w:lvl>
    <w:lvl w:ilvl="2" w:tplc="0C09001B" w:tentative="1">
      <w:start w:val="1"/>
      <w:numFmt w:val="lowerRoman"/>
      <w:lvlText w:val="%3."/>
      <w:lvlJc w:val="right"/>
      <w:pPr>
        <w:ind w:left="1897" w:hanging="180"/>
      </w:pPr>
    </w:lvl>
    <w:lvl w:ilvl="3" w:tplc="0C09000F" w:tentative="1">
      <w:start w:val="1"/>
      <w:numFmt w:val="decimal"/>
      <w:lvlText w:val="%4."/>
      <w:lvlJc w:val="left"/>
      <w:pPr>
        <w:ind w:left="2617" w:hanging="360"/>
      </w:pPr>
    </w:lvl>
    <w:lvl w:ilvl="4" w:tplc="0C090019" w:tentative="1">
      <w:start w:val="1"/>
      <w:numFmt w:val="lowerLetter"/>
      <w:lvlText w:val="%5."/>
      <w:lvlJc w:val="left"/>
      <w:pPr>
        <w:ind w:left="3337" w:hanging="360"/>
      </w:pPr>
    </w:lvl>
    <w:lvl w:ilvl="5" w:tplc="0C09001B" w:tentative="1">
      <w:start w:val="1"/>
      <w:numFmt w:val="lowerRoman"/>
      <w:lvlText w:val="%6."/>
      <w:lvlJc w:val="right"/>
      <w:pPr>
        <w:ind w:left="4057" w:hanging="180"/>
      </w:pPr>
    </w:lvl>
    <w:lvl w:ilvl="6" w:tplc="0C09000F" w:tentative="1">
      <w:start w:val="1"/>
      <w:numFmt w:val="decimal"/>
      <w:lvlText w:val="%7."/>
      <w:lvlJc w:val="left"/>
      <w:pPr>
        <w:ind w:left="4777" w:hanging="360"/>
      </w:pPr>
    </w:lvl>
    <w:lvl w:ilvl="7" w:tplc="0C090019" w:tentative="1">
      <w:start w:val="1"/>
      <w:numFmt w:val="lowerLetter"/>
      <w:lvlText w:val="%8."/>
      <w:lvlJc w:val="left"/>
      <w:pPr>
        <w:ind w:left="5497" w:hanging="360"/>
      </w:pPr>
    </w:lvl>
    <w:lvl w:ilvl="8" w:tplc="0C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4CD7"/>
    <w:multiLevelType w:val="hybridMultilevel"/>
    <w:tmpl w:val="06A66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885116E"/>
    <w:multiLevelType w:val="hybridMultilevel"/>
    <w:tmpl w:val="9F480B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32CE"/>
    <w:multiLevelType w:val="multilevel"/>
    <w:tmpl w:val="3B7A10DE"/>
    <w:numStyleLink w:val="BulletsList"/>
  </w:abstractNum>
  <w:abstractNum w:abstractNumId="10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F50F6"/>
    <w:multiLevelType w:val="hybridMultilevel"/>
    <w:tmpl w:val="9C608042"/>
    <w:lvl w:ilvl="0" w:tplc="0C090017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7" w:hanging="360"/>
      </w:pPr>
    </w:lvl>
    <w:lvl w:ilvl="2" w:tplc="FFFFFFFF" w:tentative="1">
      <w:start w:val="1"/>
      <w:numFmt w:val="lowerRoman"/>
      <w:lvlText w:val="%3."/>
      <w:lvlJc w:val="right"/>
      <w:pPr>
        <w:ind w:left="1897" w:hanging="180"/>
      </w:pPr>
    </w:lvl>
    <w:lvl w:ilvl="3" w:tplc="FFFFFFFF" w:tentative="1">
      <w:start w:val="1"/>
      <w:numFmt w:val="decimal"/>
      <w:lvlText w:val="%4."/>
      <w:lvlJc w:val="left"/>
      <w:pPr>
        <w:ind w:left="2617" w:hanging="360"/>
      </w:pPr>
    </w:lvl>
    <w:lvl w:ilvl="4" w:tplc="FFFFFFFF" w:tentative="1">
      <w:start w:val="1"/>
      <w:numFmt w:val="lowerLetter"/>
      <w:lvlText w:val="%5."/>
      <w:lvlJc w:val="left"/>
      <w:pPr>
        <w:ind w:left="3337" w:hanging="360"/>
      </w:pPr>
    </w:lvl>
    <w:lvl w:ilvl="5" w:tplc="FFFFFFFF" w:tentative="1">
      <w:start w:val="1"/>
      <w:numFmt w:val="lowerRoman"/>
      <w:lvlText w:val="%6."/>
      <w:lvlJc w:val="right"/>
      <w:pPr>
        <w:ind w:left="4057" w:hanging="180"/>
      </w:pPr>
    </w:lvl>
    <w:lvl w:ilvl="6" w:tplc="FFFFFFFF" w:tentative="1">
      <w:start w:val="1"/>
      <w:numFmt w:val="decimal"/>
      <w:lvlText w:val="%7."/>
      <w:lvlJc w:val="left"/>
      <w:pPr>
        <w:ind w:left="4777" w:hanging="360"/>
      </w:pPr>
    </w:lvl>
    <w:lvl w:ilvl="7" w:tplc="FFFFFFFF" w:tentative="1">
      <w:start w:val="1"/>
      <w:numFmt w:val="lowerLetter"/>
      <w:lvlText w:val="%8."/>
      <w:lvlJc w:val="left"/>
      <w:pPr>
        <w:ind w:left="5497" w:hanging="360"/>
      </w:pPr>
    </w:lvl>
    <w:lvl w:ilvl="8" w:tplc="FFFFFFFF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2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5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87345"/>
    <w:multiLevelType w:val="hybridMultilevel"/>
    <w:tmpl w:val="CA14F0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679BB"/>
    <w:multiLevelType w:val="hybridMultilevel"/>
    <w:tmpl w:val="80582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44AAA"/>
    <w:multiLevelType w:val="hybridMultilevel"/>
    <w:tmpl w:val="208AC2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0A5D7E"/>
    <w:multiLevelType w:val="hybridMultilevel"/>
    <w:tmpl w:val="F2404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5D6B4E"/>
    <w:multiLevelType w:val="hybridMultilevel"/>
    <w:tmpl w:val="B59E0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32929">
    <w:abstractNumId w:val="26"/>
  </w:num>
  <w:num w:numId="2" w16cid:durableId="789277552">
    <w:abstractNumId w:val="1"/>
  </w:num>
  <w:num w:numId="3" w16cid:durableId="415057235">
    <w:abstractNumId w:val="7"/>
  </w:num>
  <w:num w:numId="4" w16cid:durableId="1901938646">
    <w:abstractNumId w:val="17"/>
  </w:num>
  <w:num w:numId="5" w16cid:durableId="443766657">
    <w:abstractNumId w:val="20"/>
  </w:num>
  <w:num w:numId="6" w16cid:durableId="170418493">
    <w:abstractNumId w:val="7"/>
  </w:num>
  <w:num w:numId="7" w16cid:durableId="1559049292">
    <w:abstractNumId w:val="1"/>
  </w:num>
  <w:num w:numId="8" w16cid:durableId="502862737">
    <w:abstractNumId w:val="3"/>
  </w:num>
  <w:num w:numId="9" w16cid:durableId="946738712">
    <w:abstractNumId w:val="31"/>
  </w:num>
  <w:num w:numId="10" w16cid:durableId="1293439046">
    <w:abstractNumId w:val="9"/>
  </w:num>
  <w:num w:numId="11" w16cid:durableId="1616132132">
    <w:abstractNumId w:val="15"/>
  </w:num>
  <w:num w:numId="12" w16cid:durableId="749932280">
    <w:abstractNumId w:val="16"/>
  </w:num>
  <w:num w:numId="13" w16cid:durableId="1969509245">
    <w:abstractNumId w:val="0"/>
  </w:num>
  <w:num w:numId="14" w16cid:durableId="1665628068">
    <w:abstractNumId w:val="14"/>
  </w:num>
  <w:num w:numId="15" w16cid:durableId="1865093268">
    <w:abstractNumId w:val="18"/>
  </w:num>
  <w:num w:numId="16" w16cid:durableId="2062947188">
    <w:abstractNumId w:val="22"/>
  </w:num>
  <w:num w:numId="17" w16cid:durableId="1014069129">
    <w:abstractNumId w:val="5"/>
  </w:num>
  <w:num w:numId="18" w16cid:durableId="1134640017">
    <w:abstractNumId w:val="19"/>
  </w:num>
  <w:num w:numId="19" w16cid:durableId="462624606">
    <w:abstractNumId w:val="28"/>
  </w:num>
  <w:num w:numId="20" w16cid:durableId="946231716">
    <w:abstractNumId w:val="12"/>
  </w:num>
  <w:num w:numId="21" w16cid:durableId="1798178445">
    <w:abstractNumId w:val="27"/>
  </w:num>
  <w:num w:numId="22" w16cid:durableId="2003773460">
    <w:abstractNumId w:val="10"/>
  </w:num>
  <w:num w:numId="23" w16cid:durableId="408698333">
    <w:abstractNumId w:val="2"/>
  </w:num>
  <w:num w:numId="24" w16cid:durableId="39403587">
    <w:abstractNumId w:val="25"/>
  </w:num>
  <w:num w:numId="25" w16cid:durableId="103963916">
    <w:abstractNumId w:val="33"/>
  </w:num>
  <w:num w:numId="26" w16cid:durableId="2116366332">
    <w:abstractNumId w:val="13"/>
  </w:num>
  <w:num w:numId="27" w16cid:durableId="305089835">
    <w:abstractNumId w:val="21"/>
  </w:num>
  <w:num w:numId="28" w16cid:durableId="1176992414">
    <w:abstractNumId w:val="24"/>
  </w:num>
  <w:num w:numId="29" w16cid:durableId="273753688">
    <w:abstractNumId w:val="4"/>
  </w:num>
  <w:num w:numId="30" w16cid:durableId="759332270">
    <w:abstractNumId w:val="11"/>
  </w:num>
  <w:num w:numId="31" w16cid:durableId="189687429">
    <w:abstractNumId w:val="8"/>
  </w:num>
  <w:num w:numId="32" w16cid:durableId="1652827007">
    <w:abstractNumId w:val="23"/>
  </w:num>
  <w:num w:numId="33" w16cid:durableId="1297491646">
    <w:abstractNumId w:val="29"/>
  </w:num>
  <w:num w:numId="34" w16cid:durableId="461071689">
    <w:abstractNumId w:val="32"/>
  </w:num>
  <w:num w:numId="35" w16cid:durableId="436294958">
    <w:abstractNumId w:val="6"/>
  </w:num>
  <w:num w:numId="36" w16cid:durableId="94603957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DA8"/>
    <w:rsid w:val="000020C1"/>
    <w:rsid w:val="00005257"/>
    <w:rsid w:val="00005D01"/>
    <w:rsid w:val="00010006"/>
    <w:rsid w:val="00011235"/>
    <w:rsid w:val="00011B58"/>
    <w:rsid w:val="00012AF3"/>
    <w:rsid w:val="00015AB7"/>
    <w:rsid w:val="00015DC0"/>
    <w:rsid w:val="0002080A"/>
    <w:rsid w:val="00021BA5"/>
    <w:rsid w:val="000256BA"/>
    <w:rsid w:val="0002782F"/>
    <w:rsid w:val="00031486"/>
    <w:rsid w:val="000314BA"/>
    <w:rsid w:val="000340F6"/>
    <w:rsid w:val="00035BBF"/>
    <w:rsid w:val="00035CBC"/>
    <w:rsid w:val="000417C3"/>
    <w:rsid w:val="00041CA8"/>
    <w:rsid w:val="000444F3"/>
    <w:rsid w:val="00050806"/>
    <w:rsid w:val="00051F3B"/>
    <w:rsid w:val="000534B3"/>
    <w:rsid w:val="0005417C"/>
    <w:rsid w:val="000546D9"/>
    <w:rsid w:val="00054E4D"/>
    <w:rsid w:val="0005564F"/>
    <w:rsid w:val="00055880"/>
    <w:rsid w:val="00056F24"/>
    <w:rsid w:val="00060073"/>
    <w:rsid w:val="000616C6"/>
    <w:rsid w:val="00063667"/>
    <w:rsid w:val="00063BDE"/>
    <w:rsid w:val="0006423A"/>
    <w:rsid w:val="000663DB"/>
    <w:rsid w:val="000728A7"/>
    <w:rsid w:val="0007290F"/>
    <w:rsid w:val="000822AD"/>
    <w:rsid w:val="000854FD"/>
    <w:rsid w:val="000907A4"/>
    <w:rsid w:val="00092C4F"/>
    <w:rsid w:val="0009445F"/>
    <w:rsid w:val="0009676B"/>
    <w:rsid w:val="0009799A"/>
    <w:rsid w:val="000A330E"/>
    <w:rsid w:val="000A39DD"/>
    <w:rsid w:val="000A407E"/>
    <w:rsid w:val="000A7826"/>
    <w:rsid w:val="000B357F"/>
    <w:rsid w:val="000B37F5"/>
    <w:rsid w:val="000B3BA6"/>
    <w:rsid w:val="000B40E9"/>
    <w:rsid w:val="000B5DA7"/>
    <w:rsid w:val="000B78E6"/>
    <w:rsid w:val="000C3A4C"/>
    <w:rsid w:val="000C4411"/>
    <w:rsid w:val="000C4E38"/>
    <w:rsid w:val="000C5D8D"/>
    <w:rsid w:val="000D003A"/>
    <w:rsid w:val="000D2896"/>
    <w:rsid w:val="000D359C"/>
    <w:rsid w:val="000D3B1D"/>
    <w:rsid w:val="000D66D6"/>
    <w:rsid w:val="000E1045"/>
    <w:rsid w:val="000E1507"/>
    <w:rsid w:val="000E54EA"/>
    <w:rsid w:val="000E58BF"/>
    <w:rsid w:val="000E68C7"/>
    <w:rsid w:val="000E6C44"/>
    <w:rsid w:val="000E7277"/>
    <w:rsid w:val="000F1286"/>
    <w:rsid w:val="000F1466"/>
    <w:rsid w:val="000F1537"/>
    <w:rsid w:val="000F2600"/>
    <w:rsid w:val="000F5896"/>
    <w:rsid w:val="000F78C9"/>
    <w:rsid w:val="00100347"/>
    <w:rsid w:val="001051C0"/>
    <w:rsid w:val="00107DD9"/>
    <w:rsid w:val="00110C65"/>
    <w:rsid w:val="00113288"/>
    <w:rsid w:val="0011475A"/>
    <w:rsid w:val="00114F60"/>
    <w:rsid w:val="00116E9F"/>
    <w:rsid w:val="001203A0"/>
    <w:rsid w:val="001214BE"/>
    <w:rsid w:val="0012165D"/>
    <w:rsid w:val="00121DDD"/>
    <w:rsid w:val="001227F1"/>
    <w:rsid w:val="0013101C"/>
    <w:rsid w:val="0013385F"/>
    <w:rsid w:val="00134AEA"/>
    <w:rsid w:val="00137F4E"/>
    <w:rsid w:val="00141511"/>
    <w:rsid w:val="001443D1"/>
    <w:rsid w:val="00145BBB"/>
    <w:rsid w:val="001461D6"/>
    <w:rsid w:val="00146E07"/>
    <w:rsid w:val="00151702"/>
    <w:rsid w:val="00153FE1"/>
    <w:rsid w:val="001541EA"/>
    <w:rsid w:val="00157822"/>
    <w:rsid w:val="00161932"/>
    <w:rsid w:val="0016223D"/>
    <w:rsid w:val="00163DB1"/>
    <w:rsid w:val="00164134"/>
    <w:rsid w:val="001645F4"/>
    <w:rsid w:val="00166032"/>
    <w:rsid w:val="001662F8"/>
    <w:rsid w:val="00170D39"/>
    <w:rsid w:val="00171E56"/>
    <w:rsid w:val="00174043"/>
    <w:rsid w:val="001841C8"/>
    <w:rsid w:val="00186B4B"/>
    <w:rsid w:val="00190B09"/>
    <w:rsid w:val="00192A39"/>
    <w:rsid w:val="00193C49"/>
    <w:rsid w:val="00194F5B"/>
    <w:rsid w:val="001A50F1"/>
    <w:rsid w:val="001A51EE"/>
    <w:rsid w:val="001A7253"/>
    <w:rsid w:val="001A7815"/>
    <w:rsid w:val="001B426E"/>
    <w:rsid w:val="001B466C"/>
    <w:rsid w:val="001B78DA"/>
    <w:rsid w:val="001C14F4"/>
    <w:rsid w:val="001C1F11"/>
    <w:rsid w:val="001C483F"/>
    <w:rsid w:val="001C72C5"/>
    <w:rsid w:val="001D1A8F"/>
    <w:rsid w:val="001D2383"/>
    <w:rsid w:val="001D3C98"/>
    <w:rsid w:val="001D3DDD"/>
    <w:rsid w:val="001D4091"/>
    <w:rsid w:val="001D5252"/>
    <w:rsid w:val="001D591F"/>
    <w:rsid w:val="001D663E"/>
    <w:rsid w:val="001E03BE"/>
    <w:rsid w:val="001E1DC0"/>
    <w:rsid w:val="001E563B"/>
    <w:rsid w:val="001E6D20"/>
    <w:rsid w:val="001F04D6"/>
    <w:rsid w:val="001F16E7"/>
    <w:rsid w:val="001F5AE4"/>
    <w:rsid w:val="001F63EC"/>
    <w:rsid w:val="001F7A8B"/>
    <w:rsid w:val="001F7F4D"/>
    <w:rsid w:val="002053BD"/>
    <w:rsid w:val="00211D63"/>
    <w:rsid w:val="00212AC2"/>
    <w:rsid w:val="00213FCE"/>
    <w:rsid w:val="00216C55"/>
    <w:rsid w:val="00220F9E"/>
    <w:rsid w:val="00222BA5"/>
    <w:rsid w:val="002231BD"/>
    <w:rsid w:val="0022334D"/>
    <w:rsid w:val="00223CB5"/>
    <w:rsid w:val="0022654B"/>
    <w:rsid w:val="002270F7"/>
    <w:rsid w:val="0022790D"/>
    <w:rsid w:val="002326DD"/>
    <w:rsid w:val="00234FB0"/>
    <w:rsid w:val="002404E8"/>
    <w:rsid w:val="002406E9"/>
    <w:rsid w:val="00244229"/>
    <w:rsid w:val="002443C7"/>
    <w:rsid w:val="0024534F"/>
    <w:rsid w:val="002456A4"/>
    <w:rsid w:val="00247365"/>
    <w:rsid w:val="00247AFA"/>
    <w:rsid w:val="0025151B"/>
    <w:rsid w:val="00255F45"/>
    <w:rsid w:val="00257D14"/>
    <w:rsid w:val="00261565"/>
    <w:rsid w:val="00261671"/>
    <w:rsid w:val="00262E8E"/>
    <w:rsid w:val="00264A51"/>
    <w:rsid w:val="002674A8"/>
    <w:rsid w:val="00270C70"/>
    <w:rsid w:val="002717F0"/>
    <w:rsid w:val="002721B5"/>
    <w:rsid w:val="00272CFB"/>
    <w:rsid w:val="0027339F"/>
    <w:rsid w:val="00273A0A"/>
    <w:rsid w:val="00280721"/>
    <w:rsid w:val="0028358D"/>
    <w:rsid w:val="0028602A"/>
    <w:rsid w:val="00290445"/>
    <w:rsid w:val="002936E8"/>
    <w:rsid w:val="002945C4"/>
    <w:rsid w:val="00296627"/>
    <w:rsid w:val="0029663F"/>
    <w:rsid w:val="00297258"/>
    <w:rsid w:val="00297FD1"/>
    <w:rsid w:val="002A0101"/>
    <w:rsid w:val="002A47AC"/>
    <w:rsid w:val="002B3381"/>
    <w:rsid w:val="002B37AD"/>
    <w:rsid w:val="002B5E10"/>
    <w:rsid w:val="002C4637"/>
    <w:rsid w:val="002C65D8"/>
    <w:rsid w:val="002C793D"/>
    <w:rsid w:val="002D25D9"/>
    <w:rsid w:val="002D35C9"/>
    <w:rsid w:val="002D3814"/>
    <w:rsid w:val="002D4108"/>
    <w:rsid w:val="002D430F"/>
    <w:rsid w:val="002D5B25"/>
    <w:rsid w:val="002D626F"/>
    <w:rsid w:val="002D7462"/>
    <w:rsid w:val="002E2AF4"/>
    <w:rsid w:val="002E38B2"/>
    <w:rsid w:val="002E500A"/>
    <w:rsid w:val="002E526A"/>
    <w:rsid w:val="002F03FB"/>
    <w:rsid w:val="002F0903"/>
    <w:rsid w:val="002F0FCC"/>
    <w:rsid w:val="002F202B"/>
    <w:rsid w:val="002F2CA0"/>
    <w:rsid w:val="002F4F2B"/>
    <w:rsid w:val="002F6581"/>
    <w:rsid w:val="002F67AE"/>
    <w:rsid w:val="002F6CD0"/>
    <w:rsid w:val="003002C0"/>
    <w:rsid w:val="00300FBA"/>
    <w:rsid w:val="00301144"/>
    <w:rsid w:val="003031C6"/>
    <w:rsid w:val="00304984"/>
    <w:rsid w:val="003072C9"/>
    <w:rsid w:val="00310341"/>
    <w:rsid w:val="003107C4"/>
    <w:rsid w:val="00311946"/>
    <w:rsid w:val="00312BF8"/>
    <w:rsid w:val="003148B7"/>
    <w:rsid w:val="0031538D"/>
    <w:rsid w:val="003158C3"/>
    <w:rsid w:val="00317C8D"/>
    <w:rsid w:val="00320907"/>
    <w:rsid w:val="00320DC8"/>
    <w:rsid w:val="00321DB9"/>
    <w:rsid w:val="003255ED"/>
    <w:rsid w:val="003274CD"/>
    <w:rsid w:val="003275AF"/>
    <w:rsid w:val="003332FE"/>
    <w:rsid w:val="00333501"/>
    <w:rsid w:val="003336FA"/>
    <w:rsid w:val="003406AF"/>
    <w:rsid w:val="00341D0B"/>
    <w:rsid w:val="00342347"/>
    <w:rsid w:val="00344BA0"/>
    <w:rsid w:val="003457C4"/>
    <w:rsid w:val="0035119D"/>
    <w:rsid w:val="003528B7"/>
    <w:rsid w:val="003535F8"/>
    <w:rsid w:val="00353E98"/>
    <w:rsid w:val="00354641"/>
    <w:rsid w:val="0035532B"/>
    <w:rsid w:val="003563A9"/>
    <w:rsid w:val="00361849"/>
    <w:rsid w:val="003622C1"/>
    <w:rsid w:val="00363A9F"/>
    <w:rsid w:val="003664FE"/>
    <w:rsid w:val="003668A1"/>
    <w:rsid w:val="00367220"/>
    <w:rsid w:val="0036723D"/>
    <w:rsid w:val="00375429"/>
    <w:rsid w:val="00375D23"/>
    <w:rsid w:val="003806FE"/>
    <w:rsid w:val="00380763"/>
    <w:rsid w:val="00382CE7"/>
    <w:rsid w:val="00384D2A"/>
    <w:rsid w:val="00387EC8"/>
    <w:rsid w:val="0039215F"/>
    <w:rsid w:val="0039344A"/>
    <w:rsid w:val="003A2588"/>
    <w:rsid w:val="003A262C"/>
    <w:rsid w:val="003A33C5"/>
    <w:rsid w:val="003A4119"/>
    <w:rsid w:val="003A754F"/>
    <w:rsid w:val="003B3091"/>
    <w:rsid w:val="003B4F12"/>
    <w:rsid w:val="003B5132"/>
    <w:rsid w:val="003C068C"/>
    <w:rsid w:val="003C0DCB"/>
    <w:rsid w:val="003C6C4F"/>
    <w:rsid w:val="003C7B73"/>
    <w:rsid w:val="003C7D0E"/>
    <w:rsid w:val="003D1253"/>
    <w:rsid w:val="003D2BA5"/>
    <w:rsid w:val="003D3F6D"/>
    <w:rsid w:val="003E03B8"/>
    <w:rsid w:val="003E0545"/>
    <w:rsid w:val="003E24BA"/>
    <w:rsid w:val="003E4D0B"/>
    <w:rsid w:val="003F2041"/>
    <w:rsid w:val="003F4679"/>
    <w:rsid w:val="003F7BDC"/>
    <w:rsid w:val="003F7D26"/>
    <w:rsid w:val="004007ED"/>
    <w:rsid w:val="00400D50"/>
    <w:rsid w:val="00402ACC"/>
    <w:rsid w:val="00403741"/>
    <w:rsid w:val="00403FD8"/>
    <w:rsid w:val="00404443"/>
    <w:rsid w:val="00404602"/>
    <w:rsid w:val="00405A1E"/>
    <w:rsid w:val="0040617E"/>
    <w:rsid w:val="0040747A"/>
    <w:rsid w:val="00410025"/>
    <w:rsid w:val="0041092B"/>
    <w:rsid w:val="004120EC"/>
    <w:rsid w:val="004123CC"/>
    <w:rsid w:val="0041267F"/>
    <w:rsid w:val="00414AD9"/>
    <w:rsid w:val="00415310"/>
    <w:rsid w:val="00415A24"/>
    <w:rsid w:val="00417778"/>
    <w:rsid w:val="0042302D"/>
    <w:rsid w:val="00423DB9"/>
    <w:rsid w:val="00423DE0"/>
    <w:rsid w:val="00423F31"/>
    <w:rsid w:val="0042526D"/>
    <w:rsid w:val="00426340"/>
    <w:rsid w:val="0042705E"/>
    <w:rsid w:val="004303AA"/>
    <w:rsid w:val="004311AC"/>
    <w:rsid w:val="00431899"/>
    <w:rsid w:val="004321AB"/>
    <w:rsid w:val="00434AF3"/>
    <w:rsid w:val="00436CB2"/>
    <w:rsid w:val="00443F72"/>
    <w:rsid w:val="00446823"/>
    <w:rsid w:val="00446F46"/>
    <w:rsid w:val="00450381"/>
    <w:rsid w:val="00450774"/>
    <w:rsid w:val="004529F1"/>
    <w:rsid w:val="00453B1A"/>
    <w:rsid w:val="00454283"/>
    <w:rsid w:val="004600F9"/>
    <w:rsid w:val="00462A57"/>
    <w:rsid w:val="004645CA"/>
    <w:rsid w:val="004708FA"/>
    <w:rsid w:val="00470CD6"/>
    <w:rsid w:val="004728DD"/>
    <w:rsid w:val="00473F2D"/>
    <w:rsid w:val="00473F39"/>
    <w:rsid w:val="00474037"/>
    <w:rsid w:val="00475782"/>
    <w:rsid w:val="00481C90"/>
    <w:rsid w:val="004821BB"/>
    <w:rsid w:val="00482AE8"/>
    <w:rsid w:val="00485354"/>
    <w:rsid w:val="00486804"/>
    <w:rsid w:val="00487549"/>
    <w:rsid w:val="004923AF"/>
    <w:rsid w:val="00493F17"/>
    <w:rsid w:val="00494242"/>
    <w:rsid w:val="00496766"/>
    <w:rsid w:val="00497A76"/>
    <w:rsid w:val="004A0CBC"/>
    <w:rsid w:val="004A32CD"/>
    <w:rsid w:val="004A36ED"/>
    <w:rsid w:val="004A41B8"/>
    <w:rsid w:val="004A6E6F"/>
    <w:rsid w:val="004B3775"/>
    <w:rsid w:val="004B4812"/>
    <w:rsid w:val="004B4EF5"/>
    <w:rsid w:val="004B7A3A"/>
    <w:rsid w:val="004C00B5"/>
    <w:rsid w:val="004C35FE"/>
    <w:rsid w:val="004C4903"/>
    <w:rsid w:val="004D0BA0"/>
    <w:rsid w:val="004D4309"/>
    <w:rsid w:val="004D49B6"/>
    <w:rsid w:val="004D512E"/>
    <w:rsid w:val="004D7F36"/>
    <w:rsid w:val="004E058F"/>
    <w:rsid w:val="004E0723"/>
    <w:rsid w:val="004E1A3E"/>
    <w:rsid w:val="004E3B87"/>
    <w:rsid w:val="004E549D"/>
    <w:rsid w:val="004F2813"/>
    <w:rsid w:val="004F44F0"/>
    <w:rsid w:val="004F5615"/>
    <w:rsid w:val="004F744E"/>
    <w:rsid w:val="00502041"/>
    <w:rsid w:val="00503EB4"/>
    <w:rsid w:val="0050592F"/>
    <w:rsid w:val="00510921"/>
    <w:rsid w:val="00510AD3"/>
    <w:rsid w:val="00513348"/>
    <w:rsid w:val="00513AD8"/>
    <w:rsid w:val="0051503E"/>
    <w:rsid w:val="00517DD0"/>
    <w:rsid w:val="005204D2"/>
    <w:rsid w:val="0052111A"/>
    <w:rsid w:val="00522396"/>
    <w:rsid w:val="005225FB"/>
    <w:rsid w:val="00527AD8"/>
    <w:rsid w:val="005303B9"/>
    <w:rsid w:val="0053159D"/>
    <w:rsid w:val="00531B69"/>
    <w:rsid w:val="00533B5D"/>
    <w:rsid w:val="005344BD"/>
    <w:rsid w:val="00534D96"/>
    <w:rsid w:val="00535F44"/>
    <w:rsid w:val="00536343"/>
    <w:rsid w:val="00536BAB"/>
    <w:rsid w:val="005373E0"/>
    <w:rsid w:val="00540A22"/>
    <w:rsid w:val="005435FF"/>
    <w:rsid w:val="00546877"/>
    <w:rsid w:val="005474FC"/>
    <w:rsid w:val="00550474"/>
    <w:rsid w:val="00550891"/>
    <w:rsid w:val="005510A3"/>
    <w:rsid w:val="00551C4A"/>
    <w:rsid w:val="00553079"/>
    <w:rsid w:val="005579C6"/>
    <w:rsid w:val="00557C24"/>
    <w:rsid w:val="00560E83"/>
    <w:rsid w:val="00562031"/>
    <w:rsid w:val="00562891"/>
    <w:rsid w:val="0056D3BB"/>
    <w:rsid w:val="005701C8"/>
    <w:rsid w:val="005717FC"/>
    <w:rsid w:val="00571B87"/>
    <w:rsid w:val="005736BB"/>
    <w:rsid w:val="00575C48"/>
    <w:rsid w:val="00577432"/>
    <w:rsid w:val="00577815"/>
    <w:rsid w:val="00581188"/>
    <w:rsid w:val="005822D6"/>
    <w:rsid w:val="005838FD"/>
    <w:rsid w:val="005839E5"/>
    <w:rsid w:val="00586728"/>
    <w:rsid w:val="005A20F6"/>
    <w:rsid w:val="005A257E"/>
    <w:rsid w:val="005A3D07"/>
    <w:rsid w:val="005A4B11"/>
    <w:rsid w:val="005A6464"/>
    <w:rsid w:val="005B7577"/>
    <w:rsid w:val="005B768F"/>
    <w:rsid w:val="005C2EC9"/>
    <w:rsid w:val="005C38C9"/>
    <w:rsid w:val="005C532B"/>
    <w:rsid w:val="005D3655"/>
    <w:rsid w:val="005D5489"/>
    <w:rsid w:val="005D69AA"/>
    <w:rsid w:val="005D7F03"/>
    <w:rsid w:val="005E0058"/>
    <w:rsid w:val="005E454F"/>
    <w:rsid w:val="005E4830"/>
    <w:rsid w:val="005E5524"/>
    <w:rsid w:val="005E61A0"/>
    <w:rsid w:val="005E73CC"/>
    <w:rsid w:val="005F2F66"/>
    <w:rsid w:val="005F6D25"/>
    <w:rsid w:val="006031AC"/>
    <w:rsid w:val="00603321"/>
    <w:rsid w:val="006057F3"/>
    <w:rsid w:val="00612F0E"/>
    <w:rsid w:val="0061322D"/>
    <w:rsid w:val="00614039"/>
    <w:rsid w:val="006166C1"/>
    <w:rsid w:val="00616A58"/>
    <w:rsid w:val="00620A3D"/>
    <w:rsid w:val="00622B86"/>
    <w:rsid w:val="00623BA1"/>
    <w:rsid w:val="00623FB4"/>
    <w:rsid w:val="00625C17"/>
    <w:rsid w:val="00630092"/>
    <w:rsid w:val="00630372"/>
    <w:rsid w:val="00633179"/>
    <w:rsid w:val="006346BC"/>
    <w:rsid w:val="006362FF"/>
    <w:rsid w:val="006378FE"/>
    <w:rsid w:val="006403EA"/>
    <w:rsid w:val="006408FF"/>
    <w:rsid w:val="006416B0"/>
    <w:rsid w:val="00642696"/>
    <w:rsid w:val="00646D46"/>
    <w:rsid w:val="006471A5"/>
    <w:rsid w:val="00647FD2"/>
    <w:rsid w:val="00651A78"/>
    <w:rsid w:val="0065329A"/>
    <w:rsid w:val="00653E1F"/>
    <w:rsid w:val="0065649B"/>
    <w:rsid w:val="00657267"/>
    <w:rsid w:val="00657EAD"/>
    <w:rsid w:val="0066203A"/>
    <w:rsid w:val="00662976"/>
    <w:rsid w:val="0066652A"/>
    <w:rsid w:val="006719C3"/>
    <w:rsid w:val="006745FC"/>
    <w:rsid w:val="006750D9"/>
    <w:rsid w:val="00677DD7"/>
    <w:rsid w:val="00680115"/>
    <w:rsid w:val="00680522"/>
    <w:rsid w:val="00681633"/>
    <w:rsid w:val="0068172A"/>
    <w:rsid w:val="00682167"/>
    <w:rsid w:val="00686266"/>
    <w:rsid w:val="00690AE1"/>
    <w:rsid w:val="00694598"/>
    <w:rsid w:val="006A5801"/>
    <w:rsid w:val="006A6F52"/>
    <w:rsid w:val="006A791A"/>
    <w:rsid w:val="006B0064"/>
    <w:rsid w:val="006B0505"/>
    <w:rsid w:val="006B1BAA"/>
    <w:rsid w:val="006B3E95"/>
    <w:rsid w:val="006B51B2"/>
    <w:rsid w:val="006B6753"/>
    <w:rsid w:val="006B6F6D"/>
    <w:rsid w:val="006B7693"/>
    <w:rsid w:val="006C04FD"/>
    <w:rsid w:val="006C0B06"/>
    <w:rsid w:val="006C3BBD"/>
    <w:rsid w:val="006C42AF"/>
    <w:rsid w:val="006C50F1"/>
    <w:rsid w:val="006C565B"/>
    <w:rsid w:val="006C5811"/>
    <w:rsid w:val="006C6498"/>
    <w:rsid w:val="006D0A9D"/>
    <w:rsid w:val="006D15F1"/>
    <w:rsid w:val="006D208D"/>
    <w:rsid w:val="006D5A56"/>
    <w:rsid w:val="006E4323"/>
    <w:rsid w:val="006E5700"/>
    <w:rsid w:val="006E5F11"/>
    <w:rsid w:val="006E6D32"/>
    <w:rsid w:val="006F55DA"/>
    <w:rsid w:val="006F59F1"/>
    <w:rsid w:val="006F6BA7"/>
    <w:rsid w:val="00706136"/>
    <w:rsid w:val="007075DF"/>
    <w:rsid w:val="007100A8"/>
    <w:rsid w:val="00711AE7"/>
    <w:rsid w:val="00711D8E"/>
    <w:rsid w:val="00712672"/>
    <w:rsid w:val="00714B00"/>
    <w:rsid w:val="007178C4"/>
    <w:rsid w:val="00717C2F"/>
    <w:rsid w:val="00723267"/>
    <w:rsid w:val="0072463B"/>
    <w:rsid w:val="00727E09"/>
    <w:rsid w:val="00734E3F"/>
    <w:rsid w:val="00736985"/>
    <w:rsid w:val="007413B8"/>
    <w:rsid w:val="00743A3F"/>
    <w:rsid w:val="00745DF5"/>
    <w:rsid w:val="0074799D"/>
    <w:rsid w:val="00751718"/>
    <w:rsid w:val="00751D2B"/>
    <w:rsid w:val="00753924"/>
    <w:rsid w:val="0076250F"/>
    <w:rsid w:val="00764542"/>
    <w:rsid w:val="0076469C"/>
    <w:rsid w:val="007655A5"/>
    <w:rsid w:val="00765DA2"/>
    <w:rsid w:val="0077324F"/>
    <w:rsid w:val="007733DC"/>
    <w:rsid w:val="00774965"/>
    <w:rsid w:val="00775B42"/>
    <w:rsid w:val="00780762"/>
    <w:rsid w:val="00780FA5"/>
    <w:rsid w:val="00781CF0"/>
    <w:rsid w:val="00782489"/>
    <w:rsid w:val="007864CF"/>
    <w:rsid w:val="007941C2"/>
    <w:rsid w:val="00794D99"/>
    <w:rsid w:val="00796C39"/>
    <w:rsid w:val="00796F1C"/>
    <w:rsid w:val="007A40AD"/>
    <w:rsid w:val="007A4493"/>
    <w:rsid w:val="007A4DF5"/>
    <w:rsid w:val="007A5D96"/>
    <w:rsid w:val="007B53DB"/>
    <w:rsid w:val="007B53F9"/>
    <w:rsid w:val="007B6200"/>
    <w:rsid w:val="007C05F7"/>
    <w:rsid w:val="007C19B3"/>
    <w:rsid w:val="007C35DE"/>
    <w:rsid w:val="007C4D69"/>
    <w:rsid w:val="007C735B"/>
    <w:rsid w:val="007D5CA9"/>
    <w:rsid w:val="007E355A"/>
    <w:rsid w:val="007E5361"/>
    <w:rsid w:val="007E556D"/>
    <w:rsid w:val="007E768C"/>
    <w:rsid w:val="007E7BC7"/>
    <w:rsid w:val="007F3395"/>
    <w:rsid w:val="007F4D4A"/>
    <w:rsid w:val="007F5C0B"/>
    <w:rsid w:val="007F646C"/>
    <w:rsid w:val="00801B9F"/>
    <w:rsid w:val="0080204D"/>
    <w:rsid w:val="00802BD5"/>
    <w:rsid w:val="008058D9"/>
    <w:rsid w:val="00813EA6"/>
    <w:rsid w:val="008202D2"/>
    <w:rsid w:val="0082053C"/>
    <w:rsid w:val="00820E94"/>
    <w:rsid w:val="00822F43"/>
    <w:rsid w:val="008238F2"/>
    <w:rsid w:val="0083034F"/>
    <w:rsid w:val="00830866"/>
    <w:rsid w:val="008339D4"/>
    <w:rsid w:val="00836B54"/>
    <w:rsid w:val="0084191E"/>
    <w:rsid w:val="00843B76"/>
    <w:rsid w:val="00844737"/>
    <w:rsid w:val="008451C2"/>
    <w:rsid w:val="0084677E"/>
    <w:rsid w:val="008475F0"/>
    <w:rsid w:val="008501B7"/>
    <w:rsid w:val="008515AF"/>
    <w:rsid w:val="00851E5A"/>
    <w:rsid w:val="00852C32"/>
    <w:rsid w:val="00854F69"/>
    <w:rsid w:val="008557A7"/>
    <w:rsid w:val="008560A0"/>
    <w:rsid w:val="00856BFE"/>
    <w:rsid w:val="00857312"/>
    <w:rsid w:val="00860698"/>
    <w:rsid w:val="00862BCF"/>
    <w:rsid w:val="00865DE2"/>
    <w:rsid w:val="00866BE0"/>
    <w:rsid w:val="008675E9"/>
    <w:rsid w:val="00870928"/>
    <w:rsid w:val="00873AEA"/>
    <w:rsid w:val="008740B3"/>
    <w:rsid w:val="00874D7C"/>
    <w:rsid w:val="00875A33"/>
    <w:rsid w:val="00876B47"/>
    <w:rsid w:val="00877620"/>
    <w:rsid w:val="00881231"/>
    <w:rsid w:val="00881605"/>
    <w:rsid w:val="00884C7C"/>
    <w:rsid w:val="0088527D"/>
    <w:rsid w:val="00887404"/>
    <w:rsid w:val="00891585"/>
    <w:rsid w:val="00891900"/>
    <w:rsid w:val="0089377D"/>
    <w:rsid w:val="0089405C"/>
    <w:rsid w:val="00894FEB"/>
    <w:rsid w:val="00896F64"/>
    <w:rsid w:val="00897FA2"/>
    <w:rsid w:val="008A1503"/>
    <w:rsid w:val="008A5AFE"/>
    <w:rsid w:val="008A6BB7"/>
    <w:rsid w:val="008A745C"/>
    <w:rsid w:val="008A7B6F"/>
    <w:rsid w:val="008B4E65"/>
    <w:rsid w:val="008B669C"/>
    <w:rsid w:val="008C0031"/>
    <w:rsid w:val="008C1099"/>
    <w:rsid w:val="008C1A18"/>
    <w:rsid w:val="008C1F60"/>
    <w:rsid w:val="008C28D4"/>
    <w:rsid w:val="008C478C"/>
    <w:rsid w:val="008C5A0E"/>
    <w:rsid w:val="008C6149"/>
    <w:rsid w:val="008C708C"/>
    <w:rsid w:val="008D03B9"/>
    <w:rsid w:val="008D138D"/>
    <w:rsid w:val="008D1742"/>
    <w:rsid w:val="008D319A"/>
    <w:rsid w:val="008D6407"/>
    <w:rsid w:val="008E4B49"/>
    <w:rsid w:val="008E4BCA"/>
    <w:rsid w:val="008E4DF5"/>
    <w:rsid w:val="008E67ED"/>
    <w:rsid w:val="008E7820"/>
    <w:rsid w:val="008E7A6E"/>
    <w:rsid w:val="008F5048"/>
    <w:rsid w:val="008F6625"/>
    <w:rsid w:val="009040DF"/>
    <w:rsid w:val="0091011F"/>
    <w:rsid w:val="0091065A"/>
    <w:rsid w:val="009130DB"/>
    <w:rsid w:val="009131E9"/>
    <w:rsid w:val="00913875"/>
    <w:rsid w:val="009141FF"/>
    <w:rsid w:val="0091635C"/>
    <w:rsid w:val="00916582"/>
    <w:rsid w:val="00917A7A"/>
    <w:rsid w:val="00920854"/>
    <w:rsid w:val="0093173D"/>
    <w:rsid w:val="00937866"/>
    <w:rsid w:val="00940FAA"/>
    <w:rsid w:val="00941E8A"/>
    <w:rsid w:val="00941E94"/>
    <w:rsid w:val="00943730"/>
    <w:rsid w:val="0094444C"/>
    <w:rsid w:val="00944D50"/>
    <w:rsid w:val="00946F0B"/>
    <w:rsid w:val="00947AF8"/>
    <w:rsid w:val="009505AE"/>
    <w:rsid w:val="00950D65"/>
    <w:rsid w:val="00952815"/>
    <w:rsid w:val="009543B9"/>
    <w:rsid w:val="0096046E"/>
    <w:rsid w:val="00961C0C"/>
    <w:rsid w:val="00962D7D"/>
    <w:rsid w:val="009639C5"/>
    <w:rsid w:val="00975CA5"/>
    <w:rsid w:val="00977406"/>
    <w:rsid w:val="009774B4"/>
    <w:rsid w:val="00983D1F"/>
    <w:rsid w:val="00986590"/>
    <w:rsid w:val="00991579"/>
    <w:rsid w:val="00992C76"/>
    <w:rsid w:val="009944F4"/>
    <w:rsid w:val="0099593C"/>
    <w:rsid w:val="009969D6"/>
    <w:rsid w:val="00996FC8"/>
    <w:rsid w:val="009A112B"/>
    <w:rsid w:val="009A2619"/>
    <w:rsid w:val="009A58FC"/>
    <w:rsid w:val="009A6F4F"/>
    <w:rsid w:val="009A744E"/>
    <w:rsid w:val="009B2B85"/>
    <w:rsid w:val="009B394F"/>
    <w:rsid w:val="009B4D3B"/>
    <w:rsid w:val="009B745B"/>
    <w:rsid w:val="009C18DB"/>
    <w:rsid w:val="009C5A65"/>
    <w:rsid w:val="009D12D0"/>
    <w:rsid w:val="009D1F71"/>
    <w:rsid w:val="009D3438"/>
    <w:rsid w:val="009D44BF"/>
    <w:rsid w:val="009D5B02"/>
    <w:rsid w:val="009D7257"/>
    <w:rsid w:val="009D7407"/>
    <w:rsid w:val="009E0866"/>
    <w:rsid w:val="009E273C"/>
    <w:rsid w:val="009E299B"/>
    <w:rsid w:val="009F082A"/>
    <w:rsid w:val="009F0E5C"/>
    <w:rsid w:val="009F1350"/>
    <w:rsid w:val="009F35FB"/>
    <w:rsid w:val="009F6423"/>
    <w:rsid w:val="009F6858"/>
    <w:rsid w:val="00A02941"/>
    <w:rsid w:val="00A07A86"/>
    <w:rsid w:val="00A107B9"/>
    <w:rsid w:val="00A12B40"/>
    <w:rsid w:val="00A17461"/>
    <w:rsid w:val="00A22CD1"/>
    <w:rsid w:val="00A237B8"/>
    <w:rsid w:val="00A24A62"/>
    <w:rsid w:val="00A27F08"/>
    <w:rsid w:val="00A31C9F"/>
    <w:rsid w:val="00A33149"/>
    <w:rsid w:val="00A405D0"/>
    <w:rsid w:val="00A4144F"/>
    <w:rsid w:val="00A46B28"/>
    <w:rsid w:val="00A47135"/>
    <w:rsid w:val="00A478E3"/>
    <w:rsid w:val="00A50220"/>
    <w:rsid w:val="00A51518"/>
    <w:rsid w:val="00A52135"/>
    <w:rsid w:val="00A5320E"/>
    <w:rsid w:val="00A54479"/>
    <w:rsid w:val="00A54C6A"/>
    <w:rsid w:val="00A61B4D"/>
    <w:rsid w:val="00A70193"/>
    <w:rsid w:val="00A71167"/>
    <w:rsid w:val="00A72201"/>
    <w:rsid w:val="00A74192"/>
    <w:rsid w:val="00A750B2"/>
    <w:rsid w:val="00A75B84"/>
    <w:rsid w:val="00A7683C"/>
    <w:rsid w:val="00A80123"/>
    <w:rsid w:val="00A80305"/>
    <w:rsid w:val="00A80F95"/>
    <w:rsid w:val="00A854F9"/>
    <w:rsid w:val="00A85B48"/>
    <w:rsid w:val="00A864EB"/>
    <w:rsid w:val="00A868CB"/>
    <w:rsid w:val="00A901F1"/>
    <w:rsid w:val="00A935F4"/>
    <w:rsid w:val="00A94E38"/>
    <w:rsid w:val="00A96364"/>
    <w:rsid w:val="00A97244"/>
    <w:rsid w:val="00A97BF1"/>
    <w:rsid w:val="00AA20A2"/>
    <w:rsid w:val="00AA298A"/>
    <w:rsid w:val="00AA33CB"/>
    <w:rsid w:val="00AA3AA8"/>
    <w:rsid w:val="00AA5CB6"/>
    <w:rsid w:val="00AB0013"/>
    <w:rsid w:val="00AB4795"/>
    <w:rsid w:val="00AB5D49"/>
    <w:rsid w:val="00AB6748"/>
    <w:rsid w:val="00AB6BD2"/>
    <w:rsid w:val="00AB6FB0"/>
    <w:rsid w:val="00AC107C"/>
    <w:rsid w:val="00AC164A"/>
    <w:rsid w:val="00AC2117"/>
    <w:rsid w:val="00AC2229"/>
    <w:rsid w:val="00AC3944"/>
    <w:rsid w:val="00AC551D"/>
    <w:rsid w:val="00AD006D"/>
    <w:rsid w:val="00AD19F7"/>
    <w:rsid w:val="00AD1D78"/>
    <w:rsid w:val="00AD2C2E"/>
    <w:rsid w:val="00AE1022"/>
    <w:rsid w:val="00AE1C48"/>
    <w:rsid w:val="00AE2B7B"/>
    <w:rsid w:val="00AE448A"/>
    <w:rsid w:val="00AE4B3B"/>
    <w:rsid w:val="00AE74DA"/>
    <w:rsid w:val="00AE7AB3"/>
    <w:rsid w:val="00AF18F4"/>
    <w:rsid w:val="00AF2050"/>
    <w:rsid w:val="00AF4103"/>
    <w:rsid w:val="00AF4A1C"/>
    <w:rsid w:val="00AF592F"/>
    <w:rsid w:val="00AF7ECC"/>
    <w:rsid w:val="00B0082D"/>
    <w:rsid w:val="00B00BF4"/>
    <w:rsid w:val="00B0299F"/>
    <w:rsid w:val="00B02B2A"/>
    <w:rsid w:val="00B03CA8"/>
    <w:rsid w:val="00B04428"/>
    <w:rsid w:val="00B05B87"/>
    <w:rsid w:val="00B12991"/>
    <w:rsid w:val="00B12D9A"/>
    <w:rsid w:val="00B16EF6"/>
    <w:rsid w:val="00B20572"/>
    <w:rsid w:val="00B20986"/>
    <w:rsid w:val="00B22BD0"/>
    <w:rsid w:val="00B22F0E"/>
    <w:rsid w:val="00B242D7"/>
    <w:rsid w:val="00B24808"/>
    <w:rsid w:val="00B249EC"/>
    <w:rsid w:val="00B31421"/>
    <w:rsid w:val="00B325DB"/>
    <w:rsid w:val="00B32AE3"/>
    <w:rsid w:val="00B33C0A"/>
    <w:rsid w:val="00B34763"/>
    <w:rsid w:val="00B401AF"/>
    <w:rsid w:val="00B50ED0"/>
    <w:rsid w:val="00B51405"/>
    <w:rsid w:val="00B51C2F"/>
    <w:rsid w:val="00B53861"/>
    <w:rsid w:val="00B55E19"/>
    <w:rsid w:val="00B56E71"/>
    <w:rsid w:val="00B579A6"/>
    <w:rsid w:val="00B634E0"/>
    <w:rsid w:val="00B6464F"/>
    <w:rsid w:val="00B65BD8"/>
    <w:rsid w:val="00B664A8"/>
    <w:rsid w:val="00B66D3E"/>
    <w:rsid w:val="00B71AD8"/>
    <w:rsid w:val="00B74D25"/>
    <w:rsid w:val="00B75AEC"/>
    <w:rsid w:val="00B77699"/>
    <w:rsid w:val="00B84B3C"/>
    <w:rsid w:val="00B857E1"/>
    <w:rsid w:val="00B8599B"/>
    <w:rsid w:val="00B86990"/>
    <w:rsid w:val="00B872DD"/>
    <w:rsid w:val="00B91FE7"/>
    <w:rsid w:val="00B929BE"/>
    <w:rsid w:val="00B94758"/>
    <w:rsid w:val="00B94D34"/>
    <w:rsid w:val="00B9776D"/>
    <w:rsid w:val="00BA03D1"/>
    <w:rsid w:val="00BA1B89"/>
    <w:rsid w:val="00BA4B6D"/>
    <w:rsid w:val="00BA5466"/>
    <w:rsid w:val="00BA76E9"/>
    <w:rsid w:val="00BB19A4"/>
    <w:rsid w:val="00BB26C5"/>
    <w:rsid w:val="00BB2F84"/>
    <w:rsid w:val="00BB3ECB"/>
    <w:rsid w:val="00BB3FD0"/>
    <w:rsid w:val="00BB5F10"/>
    <w:rsid w:val="00BB79FA"/>
    <w:rsid w:val="00BC1FED"/>
    <w:rsid w:val="00BC59CA"/>
    <w:rsid w:val="00BC63A8"/>
    <w:rsid w:val="00BD0F5C"/>
    <w:rsid w:val="00BD3ED8"/>
    <w:rsid w:val="00BD4535"/>
    <w:rsid w:val="00BD472A"/>
    <w:rsid w:val="00BD6304"/>
    <w:rsid w:val="00BD710C"/>
    <w:rsid w:val="00BD7EEF"/>
    <w:rsid w:val="00BE04FD"/>
    <w:rsid w:val="00BE12B6"/>
    <w:rsid w:val="00BE13CC"/>
    <w:rsid w:val="00BE1D97"/>
    <w:rsid w:val="00BE3113"/>
    <w:rsid w:val="00BF1579"/>
    <w:rsid w:val="00BF4DE6"/>
    <w:rsid w:val="00BF6703"/>
    <w:rsid w:val="00BF6DE4"/>
    <w:rsid w:val="00BF7736"/>
    <w:rsid w:val="00C0246F"/>
    <w:rsid w:val="00C04D72"/>
    <w:rsid w:val="00C06722"/>
    <w:rsid w:val="00C06B13"/>
    <w:rsid w:val="00C101A6"/>
    <w:rsid w:val="00C1513A"/>
    <w:rsid w:val="00C16A47"/>
    <w:rsid w:val="00C17E02"/>
    <w:rsid w:val="00C22B1B"/>
    <w:rsid w:val="00C26942"/>
    <w:rsid w:val="00C27D25"/>
    <w:rsid w:val="00C3189C"/>
    <w:rsid w:val="00C31EA3"/>
    <w:rsid w:val="00C32726"/>
    <w:rsid w:val="00C33E8A"/>
    <w:rsid w:val="00C34DAE"/>
    <w:rsid w:val="00C35791"/>
    <w:rsid w:val="00C3692D"/>
    <w:rsid w:val="00C37697"/>
    <w:rsid w:val="00C42541"/>
    <w:rsid w:val="00C42CDE"/>
    <w:rsid w:val="00C42E91"/>
    <w:rsid w:val="00C435F1"/>
    <w:rsid w:val="00C45941"/>
    <w:rsid w:val="00C45B46"/>
    <w:rsid w:val="00C46052"/>
    <w:rsid w:val="00C50B58"/>
    <w:rsid w:val="00C5182A"/>
    <w:rsid w:val="00C52463"/>
    <w:rsid w:val="00C52B3D"/>
    <w:rsid w:val="00C55983"/>
    <w:rsid w:val="00C611F0"/>
    <w:rsid w:val="00C61649"/>
    <w:rsid w:val="00C61935"/>
    <w:rsid w:val="00C63EE9"/>
    <w:rsid w:val="00C64B2A"/>
    <w:rsid w:val="00C659D9"/>
    <w:rsid w:val="00C72A07"/>
    <w:rsid w:val="00C75AA2"/>
    <w:rsid w:val="00C80B5A"/>
    <w:rsid w:val="00C80F99"/>
    <w:rsid w:val="00C81566"/>
    <w:rsid w:val="00C83F4E"/>
    <w:rsid w:val="00C84C30"/>
    <w:rsid w:val="00C86A33"/>
    <w:rsid w:val="00C87246"/>
    <w:rsid w:val="00C87B9B"/>
    <w:rsid w:val="00C90867"/>
    <w:rsid w:val="00C908C7"/>
    <w:rsid w:val="00C92805"/>
    <w:rsid w:val="00CA16F3"/>
    <w:rsid w:val="00CA3403"/>
    <w:rsid w:val="00CA37B1"/>
    <w:rsid w:val="00CA3FD8"/>
    <w:rsid w:val="00CA4CB4"/>
    <w:rsid w:val="00CA5021"/>
    <w:rsid w:val="00CA575B"/>
    <w:rsid w:val="00CB1488"/>
    <w:rsid w:val="00CB1959"/>
    <w:rsid w:val="00CB252C"/>
    <w:rsid w:val="00CB3A8E"/>
    <w:rsid w:val="00CB40BD"/>
    <w:rsid w:val="00CB58D4"/>
    <w:rsid w:val="00CB7AF9"/>
    <w:rsid w:val="00CC0FD1"/>
    <w:rsid w:val="00CC118E"/>
    <w:rsid w:val="00CC1D45"/>
    <w:rsid w:val="00CC5ECD"/>
    <w:rsid w:val="00CC741B"/>
    <w:rsid w:val="00CC7AC1"/>
    <w:rsid w:val="00CD0E4B"/>
    <w:rsid w:val="00CD2C2D"/>
    <w:rsid w:val="00CD3F5D"/>
    <w:rsid w:val="00CD4AD4"/>
    <w:rsid w:val="00CE0DB0"/>
    <w:rsid w:val="00CE2CF5"/>
    <w:rsid w:val="00CE3A42"/>
    <w:rsid w:val="00CE3CAD"/>
    <w:rsid w:val="00CE4C89"/>
    <w:rsid w:val="00CF07BA"/>
    <w:rsid w:val="00CF21A3"/>
    <w:rsid w:val="00CF2BBB"/>
    <w:rsid w:val="00CF3F57"/>
    <w:rsid w:val="00CF4D46"/>
    <w:rsid w:val="00D00BD8"/>
    <w:rsid w:val="00D00FC5"/>
    <w:rsid w:val="00D028D0"/>
    <w:rsid w:val="00D0296C"/>
    <w:rsid w:val="00D05E55"/>
    <w:rsid w:val="00D1231A"/>
    <w:rsid w:val="00D123D7"/>
    <w:rsid w:val="00D20A30"/>
    <w:rsid w:val="00D20BC7"/>
    <w:rsid w:val="00D21BB6"/>
    <w:rsid w:val="00D25BEA"/>
    <w:rsid w:val="00D2641E"/>
    <w:rsid w:val="00D26E48"/>
    <w:rsid w:val="00D30234"/>
    <w:rsid w:val="00D3068D"/>
    <w:rsid w:val="00D3170B"/>
    <w:rsid w:val="00D32B50"/>
    <w:rsid w:val="00D32D6F"/>
    <w:rsid w:val="00D34D5D"/>
    <w:rsid w:val="00D34F1E"/>
    <w:rsid w:val="00D37B04"/>
    <w:rsid w:val="00D40D1C"/>
    <w:rsid w:val="00D45555"/>
    <w:rsid w:val="00D4628C"/>
    <w:rsid w:val="00D462F8"/>
    <w:rsid w:val="00D479B5"/>
    <w:rsid w:val="00D540C6"/>
    <w:rsid w:val="00D5489F"/>
    <w:rsid w:val="00D54FF0"/>
    <w:rsid w:val="00D552EB"/>
    <w:rsid w:val="00D62068"/>
    <w:rsid w:val="00D64BD1"/>
    <w:rsid w:val="00D6508A"/>
    <w:rsid w:val="00D67DA6"/>
    <w:rsid w:val="00D71F34"/>
    <w:rsid w:val="00D7310B"/>
    <w:rsid w:val="00D83096"/>
    <w:rsid w:val="00D84E17"/>
    <w:rsid w:val="00D85F0B"/>
    <w:rsid w:val="00D85F77"/>
    <w:rsid w:val="00D875B2"/>
    <w:rsid w:val="00D87D1F"/>
    <w:rsid w:val="00D90B37"/>
    <w:rsid w:val="00D91E82"/>
    <w:rsid w:val="00D92254"/>
    <w:rsid w:val="00D924D3"/>
    <w:rsid w:val="00D94CF9"/>
    <w:rsid w:val="00DA0DAA"/>
    <w:rsid w:val="00DA1B52"/>
    <w:rsid w:val="00DA4B3C"/>
    <w:rsid w:val="00DB0A40"/>
    <w:rsid w:val="00DB0FCC"/>
    <w:rsid w:val="00DB5349"/>
    <w:rsid w:val="00DB6928"/>
    <w:rsid w:val="00DB7DAD"/>
    <w:rsid w:val="00DC0996"/>
    <w:rsid w:val="00DC238C"/>
    <w:rsid w:val="00DC35F7"/>
    <w:rsid w:val="00DC3701"/>
    <w:rsid w:val="00DC5A4E"/>
    <w:rsid w:val="00DC6D78"/>
    <w:rsid w:val="00DD0AD5"/>
    <w:rsid w:val="00DD3E88"/>
    <w:rsid w:val="00DE084C"/>
    <w:rsid w:val="00DE2913"/>
    <w:rsid w:val="00DE2FC1"/>
    <w:rsid w:val="00DF12B6"/>
    <w:rsid w:val="00DF2254"/>
    <w:rsid w:val="00DF68CF"/>
    <w:rsid w:val="00E0138E"/>
    <w:rsid w:val="00E0219B"/>
    <w:rsid w:val="00E0497E"/>
    <w:rsid w:val="00E055AB"/>
    <w:rsid w:val="00E14E3E"/>
    <w:rsid w:val="00E14E55"/>
    <w:rsid w:val="00E14F51"/>
    <w:rsid w:val="00E15A6C"/>
    <w:rsid w:val="00E1666D"/>
    <w:rsid w:val="00E16D5F"/>
    <w:rsid w:val="00E20945"/>
    <w:rsid w:val="00E221FA"/>
    <w:rsid w:val="00E239CC"/>
    <w:rsid w:val="00E263BA"/>
    <w:rsid w:val="00E3060A"/>
    <w:rsid w:val="00E3076E"/>
    <w:rsid w:val="00E31001"/>
    <w:rsid w:val="00E31432"/>
    <w:rsid w:val="00E32094"/>
    <w:rsid w:val="00E348C1"/>
    <w:rsid w:val="00E357B7"/>
    <w:rsid w:val="00E40E8B"/>
    <w:rsid w:val="00E410F8"/>
    <w:rsid w:val="00E42990"/>
    <w:rsid w:val="00E42E50"/>
    <w:rsid w:val="00E4359E"/>
    <w:rsid w:val="00E44731"/>
    <w:rsid w:val="00E4584F"/>
    <w:rsid w:val="00E46DE0"/>
    <w:rsid w:val="00E509B5"/>
    <w:rsid w:val="00E532A8"/>
    <w:rsid w:val="00E53800"/>
    <w:rsid w:val="00E540EE"/>
    <w:rsid w:val="00E57BC3"/>
    <w:rsid w:val="00E6081F"/>
    <w:rsid w:val="00E614AA"/>
    <w:rsid w:val="00E61DD1"/>
    <w:rsid w:val="00E624EC"/>
    <w:rsid w:val="00E70C37"/>
    <w:rsid w:val="00E71269"/>
    <w:rsid w:val="00E71A30"/>
    <w:rsid w:val="00E8296D"/>
    <w:rsid w:val="00E8457B"/>
    <w:rsid w:val="00E85BAE"/>
    <w:rsid w:val="00E9246E"/>
    <w:rsid w:val="00E944AA"/>
    <w:rsid w:val="00EA04B2"/>
    <w:rsid w:val="00EA20F3"/>
    <w:rsid w:val="00EA36D9"/>
    <w:rsid w:val="00EA5277"/>
    <w:rsid w:val="00EA6225"/>
    <w:rsid w:val="00EA7745"/>
    <w:rsid w:val="00EB32C5"/>
    <w:rsid w:val="00EB720B"/>
    <w:rsid w:val="00EC1271"/>
    <w:rsid w:val="00EC2B54"/>
    <w:rsid w:val="00EC608A"/>
    <w:rsid w:val="00EC6785"/>
    <w:rsid w:val="00EC6D38"/>
    <w:rsid w:val="00ED179A"/>
    <w:rsid w:val="00ED18EE"/>
    <w:rsid w:val="00ED2831"/>
    <w:rsid w:val="00ED3B2D"/>
    <w:rsid w:val="00ED43D1"/>
    <w:rsid w:val="00ED68F4"/>
    <w:rsid w:val="00ED6E38"/>
    <w:rsid w:val="00EE0466"/>
    <w:rsid w:val="00EE1475"/>
    <w:rsid w:val="00EE1CFF"/>
    <w:rsid w:val="00EE4EE1"/>
    <w:rsid w:val="00EE7305"/>
    <w:rsid w:val="00EF4574"/>
    <w:rsid w:val="00EF5B55"/>
    <w:rsid w:val="00EF6047"/>
    <w:rsid w:val="00F003E0"/>
    <w:rsid w:val="00F01921"/>
    <w:rsid w:val="00F02B72"/>
    <w:rsid w:val="00F063ED"/>
    <w:rsid w:val="00F06982"/>
    <w:rsid w:val="00F13373"/>
    <w:rsid w:val="00F13B47"/>
    <w:rsid w:val="00F20898"/>
    <w:rsid w:val="00F251BE"/>
    <w:rsid w:val="00F258BF"/>
    <w:rsid w:val="00F25A93"/>
    <w:rsid w:val="00F26396"/>
    <w:rsid w:val="00F2684E"/>
    <w:rsid w:val="00F27235"/>
    <w:rsid w:val="00F3015E"/>
    <w:rsid w:val="00F32763"/>
    <w:rsid w:val="00F32F70"/>
    <w:rsid w:val="00F3322D"/>
    <w:rsid w:val="00F36A85"/>
    <w:rsid w:val="00F37DC2"/>
    <w:rsid w:val="00F430F2"/>
    <w:rsid w:val="00F45486"/>
    <w:rsid w:val="00F467C9"/>
    <w:rsid w:val="00F47942"/>
    <w:rsid w:val="00F53309"/>
    <w:rsid w:val="00F53E91"/>
    <w:rsid w:val="00F5404C"/>
    <w:rsid w:val="00F54DCC"/>
    <w:rsid w:val="00F55791"/>
    <w:rsid w:val="00F60D06"/>
    <w:rsid w:val="00F60F99"/>
    <w:rsid w:val="00F64397"/>
    <w:rsid w:val="00F64AD5"/>
    <w:rsid w:val="00F650C7"/>
    <w:rsid w:val="00F65E08"/>
    <w:rsid w:val="00F67C6A"/>
    <w:rsid w:val="00F70504"/>
    <w:rsid w:val="00F707E0"/>
    <w:rsid w:val="00F71133"/>
    <w:rsid w:val="00F71CB4"/>
    <w:rsid w:val="00F721CA"/>
    <w:rsid w:val="00F729EF"/>
    <w:rsid w:val="00F735EB"/>
    <w:rsid w:val="00F746B7"/>
    <w:rsid w:val="00F760AE"/>
    <w:rsid w:val="00F77BDC"/>
    <w:rsid w:val="00F77CAE"/>
    <w:rsid w:val="00F82271"/>
    <w:rsid w:val="00F83428"/>
    <w:rsid w:val="00F875A8"/>
    <w:rsid w:val="00F90B17"/>
    <w:rsid w:val="00F93D19"/>
    <w:rsid w:val="00F96BB9"/>
    <w:rsid w:val="00F96F2F"/>
    <w:rsid w:val="00F975C0"/>
    <w:rsid w:val="00FA11D5"/>
    <w:rsid w:val="00FA268F"/>
    <w:rsid w:val="00FA4D1A"/>
    <w:rsid w:val="00FA5EFD"/>
    <w:rsid w:val="00FB285A"/>
    <w:rsid w:val="00FB3752"/>
    <w:rsid w:val="00FB4C69"/>
    <w:rsid w:val="00FB56EE"/>
    <w:rsid w:val="00FB7835"/>
    <w:rsid w:val="00FC07D1"/>
    <w:rsid w:val="00FC1216"/>
    <w:rsid w:val="00FC464E"/>
    <w:rsid w:val="00FC5365"/>
    <w:rsid w:val="00FC5837"/>
    <w:rsid w:val="00FC6F3C"/>
    <w:rsid w:val="00FD1850"/>
    <w:rsid w:val="00FD710F"/>
    <w:rsid w:val="00FE3C29"/>
    <w:rsid w:val="00FE40A8"/>
    <w:rsid w:val="00FE44C8"/>
    <w:rsid w:val="00FE6D51"/>
    <w:rsid w:val="00FE6F2A"/>
    <w:rsid w:val="00FF0590"/>
    <w:rsid w:val="00FF551B"/>
    <w:rsid w:val="01155B0F"/>
    <w:rsid w:val="012861F3"/>
    <w:rsid w:val="018231DC"/>
    <w:rsid w:val="023B3C04"/>
    <w:rsid w:val="02ED7AD8"/>
    <w:rsid w:val="03742070"/>
    <w:rsid w:val="0463867B"/>
    <w:rsid w:val="050FF0D1"/>
    <w:rsid w:val="05353499"/>
    <w:rsid w:val="05F53B74"/>
    <w:rsid w:val="062C4A35"/>
    <w:rsid w:val="06421D25"/>
    <w:rsid w:val="07BFF5F4"/>
    <w:rsid w:val="08479193"/>
    <w:rsid w:val="08CF9787"/>
    <w:rsid w:val="0913F967"/>
    <w:rsid w:val="09734A9E"/>
    <w:rsid w:val="0A22D4D0"/>
    <w:rsid w:val="0B7F3255"/>
    <w:rsid w:val="0B96BE43"/>
    <w:rsid w:val="0C19B50A"/>
    <w:rsid w:val="0C76811D"/>
    <w:rsid w:val="0C8F1C9A"/>
    <w:rsid w:val="0D20F391"/>
    <w:rsid w:val="0D583FEB"/>
    <w:rsid w:val="0D836C6D"/>
    <w:rsid w:val="0DB0FF6F"/>
    <w:rsid w:val="0E7C342A"/>
    <w:rsid w:val="0EB6D317"/>
    <w:rsid w:val="0EC34891"/>
    <w:rsid w:val="0ED914AA"/>
    <w:rsid w:val="0FAE21DF"/>
    <w:rsid w:val="10142F8E"/>
    <w:rsid w:val="1052A378"/>
    <w:rsid w:val="105F2121"/>
    <w:rsid w:val="1102BFE0"/>
    <w:rsid w:val="118AE76E"/>
    <w:rsid w:val="11FAE953"/>
    <w:rsid w:val="122F1695"/>
    <w:rsid w:val="134AED97"/>
    <w:rsid w:val="13ECEC14"/>
    <w:rsid w:val="1461AD0A"/>
    <w:rsid w:val="14B96CE1"/>
    <w:rsid w:val="14C80F76"/>
    <w:rsid w:val="15323006"/>
    <w:rsid w:val="15525B55"/>
    <w:rsid w:val="16E5F9D4"/>
    <w:rsid w:val="16EF42DF"/>
    <w:rsid w:val="16F4A8E5"/>
    <w:rsid w:val="17F09CDA"/>
    <w:rsid w:val="181096C5"/>
    <w:rsid w:val="1817A4D2"/>
    <w:rsid w:val="192CFFE1"/>
    <w:rsid w:val="1A0ED703"/>
    <w:rsid w:val="1A228D2B"/>
    <w:rsid w:val="1A56DA97"/>
    <w:rsid w:val="1A93A3CC"/>
    <w:rsid w:val="1C13C798"/>
    <w:rsid w:val="1E6F230C"/>
    <w:rsid w:val="1E9EBC25"/>
    <w:rsid w:val="1EF3678F"/>
    <w:rsid w:val="1FCACEA6"/>
    <w:rsid w:val="205ECDB9"/>
    <w:rsid w:val="2121251D"/>
    <w:rsid w:val="214897FC"/>
    <w:rsid w:val="220DB0D9"/>
    <w:rsid w:val="2228AC7B"/>
    <w:rsid w:val="2268689A"/>
    <w:rsid w:val="2310E059"/>
    <w:rsid w:val="23C47CDC"/>
    <w:rsid w:val="23F83131"/>
    <w:rsid w:val="25215520"/>
    <w:rsid w:val="25AB09E8"/>
    <w:rsid w:val="2610161C"/>
    <w:rsid w:val="26273FE1"/>
    <w:rsid w:val="26990E84"/>
    <w:rsid w:val="270428C0"/>
    <w:rsid w:val="295AE937"/>
    <w:rsid w:val="2970B550"/>
    <w:rsid w:val="2A0E9063"/>
    <w:rsid w:val="2A33BE60"/>
    <w:rsid w:val="2A8A25D2"/>
    <w:rsid w:val="2A946FBB"/>
    <w:rsid w:val="2B08837D"/>
    <w:rsid w:val="2B0AA791"/>
    <w:rsid w:val="2B22D77A"/>
    <w:rsid w:val="2BA34280"/>
    <w:rsid w:val="2BB54A97"/>
    <w:rsid w:val="2C1AD208"/>
    <w:rsid w:val="2C2ADB30"/>
    <w:rsid w:val="2C4DB7DE"/>
    <w:rsid w:val="2CA85612"/>
    <w:rsid w:val="2CCB28A3"/>
    <w:rsid w:val="2DE298A9"/>
    <w:rsid w:val="2E2AFE16"/>
    <w:rsid w:val="2E45F9B8"/>
    <w:rsid w:val="2EA3D953"/>
    <w:rsid w:val="2F053FAA"/>
    <w:rsid w:val="2FC6CE77"/>
    <w:rsid w:val="300E1F71"/>
    <w:rsid w:val="30694F09"/>
    <w:rsid w:val="313A70E3"/>
    <w:rsid w:val="317BC735"/>
    <w:rsid w:val="3309AF61"/>
    <w:rsid w:val="33181F71"/>
    <w:rsid w:val="3367D385"/>
    <w:rsid w:val="33EE1B2A"/>
    <w:rsid w:val="34A3740B"/>
    <w:rsid w:val="34B367F7"/>
    <w:rsid w:val="34EDDD0A"/>
    <w:rsid w:val="3564A37A"/>
    <w:rsid w:val="36360FFB"/>
    <w:rsid w:val="363DFD81"/>
    <w:rsid w:val="3647BC5E"/>
    <w:rsid w:val="364F3858"/>
    <w:rsid w:val="36510B9D"/>
    <w:rsid w:val="37144557"/>
    <w:rsid w:val="3721D57B"/>
    <w:rsid w:val="373A411E"/>
    <w:rsid w:val="3908DB36"/>
    <w:rsid w:val="39D7A7F9"/>
    <w:rsid w:val="3B08556E"/>
    <w:rsid w:val="3B167EE0"/>
    <w:rsid w:val="3B3D95DF"/>
    <w:rsid w:val="3CDC5E57"/>
    <w:rsid w:val="3D803B95"/>
    <w:rsid w:val="3DF609F7"/>
    <w:rsid w:val="3E046DB7"/>
    <w:rsid w:val="3E4630F0"/>
    <w:rsid w:val="3E5C1D82"/>
    <w:rsid w:val="3EFAC82E"/>
    <w:rsid w:val="3F09A6FF"/>
    <w:rsid w:val="3F5F7D21"/>
    <w:rsid w:val="3F67F39B"/>
    <w:rsid w:val="3FE4DFC7"/>
    <w:rsid w:val="406A8596"/>
    <w:rsid w:val="407E0DAB"/>
    <w:rsid w:val="40E05791"/>
    <w:rsid w:val="41109407"/>
    <w:rsid w:val="411EBEC2"/>
    <w:rsid w:val="4193BE44"/>
    <w:rsid w:val="43149303"/>
    <w:rsid w:val="44BE394D"/>
    <w:rsid w:val="45040959"/>
    <w:rsid w:val="45330E69"/>
    <w:rsid w:val="460CFBBB"/>
    <w:rsid w:val="4628F155"/>
    <w:rsid w:val="46397161"/>
    <w:rsid w:val="464C33C5"/>
    <w:rsid w:val="4654214B"/>
    <w:rsid w:val="46E05B8F"/>
    <w:rsid w:val="46E89917"/>
    <w:rsid w:val="47121FA6"/>
    <w:rsid w:val="473EF22D"/>
    <w:rsid w:val="47A20A17"/>
    <w:rsid w:val="47DB72C8"/>
    <w:rsid w:val="4A40E94A"/>
    <w:rsid w:val="4A4C8765"/>
    <w:rsid w:val="4A7F8500"/>
    <w:rsid w:val="4AE8F38B"/>
    <w:rsid w:val="4B60F040"/>
    <w:rsid w:val="4B9C12DA"/>
    <w:rsid w:val="4C22734C"/>
    <w:rsid w:val="4C5939CD"/>
    <w:rsid w:val="4CB5E5A4"/>
    <w:rsid w:val="4D9089D0"/>
    <w:rsid w:val="4E167E60"/>
    <w:rsid w:val="4E174C91"/>
    <w:rsid w:val="4E59422A"/>
    <w:rsid w:val="4E7421A6"/>
    <w:rsid w:val="4EA5E4DF"/>
    <w:rsid w:val="4EE9990E"/>
    <w:rsid w:val="4F480448"/>
    <w:rsid w:val="4F52F623"/>
    <w:rsid w:val="50592863"/>
    <w:rsid w:val="51325D80"/>
    <w:rsid w:val="51B39B0E"/>
    <w:rsid w:val="525401FA"/>
    <w:rsid w:val="52716E88"/>
    <w:rsid w:val="53347798"/>
    <w:rsid w:val="5390AAAC"/>
    <w:rsid w:val="540D3EE9"/>
    <w:rsid w:val="54C414E5"/>
    <w:rsid w:val="54D14DE7"/>
    <w:rsid w:val="55530986"/>
    <w:rsid w:val="558AA429"/>
    <w:rsid w:val="55C034DC"/>
    <w:rsid w:val="5633A72F"/>
    <w:rsid w:val="56911A96"/>
    <w:rsid w:val="56A68A17"/>
    <w:rsid w:val="57196E63"/>
    <w:rsid w:val="572D204D"/>
    <w:rsid w:val="58E3B241"/>
    <w:rsid w:val="594ADBC9"/>
    <w:rsid w:val="59854245"/>
    <w:rsid w:val="59A1E5D7"/>
    <w:rsid w:val="59D6D935"/>
    <w:rsid w:val="5B223644"/>
    <w:rsid w:val="5B295360"/>
    <w:rsid w:val="5B561869"/>
    <w:rsid w:val="5BB6EE5E"/>
    <w:rsid w:val="5BCEE09E"/>
    <w:rsid w:val="5BE75A36"/>
    <w:rsid w:val="5C2DA45D"/>
    <w:rsid w:val="5D04A77E"/>
    <w:rsid w:val="5D25D860"/>
    <w:rsid w:val="5D41C346"/>
    <w:rsid w:val="5D969B5C"/>
    <w:rsid w:val="5E8AAAFF"/>
    <w:rsid w:val="60192EA7"/>
    <w:rsid w:val="60A7008E"/>
    <w:rsid w:val="60CE3C1E"/>
    <w:rsid w:val="61895EDB"/>
    <w:rsid w:val="62271D5A"/>
    <w:rsid w:val="62D075B3"/>
    <w:rsid w:val="638DBAF6"/>
    <w:rsid w:val="63B5D1AF"/>
    <w:rsid w:val="641D2D70"/>
    <w:rsid w:val="6429C327"/>
    <w:rsid w:val="64B4FB4D"/>
    <w:rsid w:val="64F22CB4"/>
    <w:rsid w:val="651EF096"/>
    <w:rsid w:val="65534BFF"/>
    <w:rsid w:val="6553930B"/>
    <w:rsid w:val="658BDAB6"/>
    <w:rsid w:val="65BE0764"/>
    <w:rsid w:val="6639283B"/>
    <w:rsid w:val="6699CDAA"/>
    <w:rsid w:val="669D204C"/>
    <w:rsid w:val="6705D4C7"/>
    <w:rsid w:val="678E02E3"/>
    <w:rsid w:val="679E4655"/>
    <w:rsid w:val="6855B08F"/>
    <w:rsid w:val="6894A33C"/>
    <w:rsid w:val="68D5A0AC"/>
    <w:rsid w:val="68E30A31"/>
    <w:rsid w:val="6904A376"/>
    <w:rsid w:val="691DED39"/>
    <w:rsid w:val="69452C73"/>
    <w:rsid w:val="698EB58D"/>
    <w:rsid w:val="69D16E6C"/>
    <w:rsid w:val="69ECF6EE"/>
    <w:rsid w:val="6A4B14C8"/>
    <w:rsid w:val="6A560D5C"/>
    <w:rsid w:val="6AA01F15"/>
    <w:rsid w:val="6B3D23D6"/>
    <w:rsid w:val="6B98690A"/>
    <w:rsid w:val="6BB7B962"/>
    <w:rsid w:val="6C2E7498"/>
    <w:rsid w:val="6C605D4E"/>
    <w:rsid w:val="6CC1FFD9"/>
    <w:rsid w:val="6D2497B0"/>
    <w:rsid w:val="6D89C2A6"/>
    <w:rsid w:val="6DAFF0EC"/>
    <w:rsid w:val="6DC1C43B"/>
    <w:rsid w:val="6DE8C46F"/>
    <w:rsid w:val="6EB61A66"/>
    <w:rsid w:val="6F2F672A"/>
    <w:rsid w:val="6F33616C"/>
    <w:rsid w:val="6F710515"/>
    <w:rsid w:val="6F7A6747"/>
    <w:rsid w:val="7040AFF0"/>
    <w:rsid w:val="70431015"/>
    <w:rsid w:val="70744D1D"/>
    <w:rsid w:val="7074D3EF"/>
    <w:rsid w:val="71693A3F"/>
    <w:rsid w:val="71CE2CDF"/>
    <w:rsid w:val="729F8961"/>
    <w:rsid w:val="738E07A8"/>
    <w:rsid w:val="74461D11"/>
    <w:rsid w:val="74CE72BB"/>
    <w:rsid w:val="75047D13"/>
    <w:rsid w:val="75CF018B"/>
    <w:rsid w:val="75DF264F"/>
    <w:rsid w:val="761AB0BB"/>
    <w:rsid w:val="7650F331"/>
    <w:rsid w:val="76EFDE7E"/>
    <w:rsid w:val="7701A923"/>
    <w:rsid w:val="77430F72"/>
    <w:rsid w:val="78990D4D"/>
    <w:rsid w:val="797D0E5A"/>
    <w:rsid w:val="79B7DEC0"/>
    <w:rsid w:val="79E9F25B"/>
    <w:rsid w:val="7B108FE0"/>
    <w:rsid w:val="7B516A13"/>
    <w:rsid w:val="7C16DA83"/>
    <w:rsid w:val="7C7985AF"/>
    <w:rsid w:val="7CCCB5B3"/>
    <w:rsid w:val="7DC77F9F"/>
    <w:rsid w:val="7E9E9912"/>
    <w:rsid w:val="7EB36C9C"/>
    <w:rsid w:val="7EDB5663"/>
    <w:rsid w:val="7F9E99A8"/>
    <w:rsid w:val="7FECF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270428C0"/>
    <w:pPr>
      <w:spacing w:before="120" w:after="60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270428C0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3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270428C0"/>
    <w:pPr>
      <w:spacing w:before="240" w:after="120" w:line="240" w:lineRule="auto"/>
      <w:outlineLvl w:val="1"/>
    </w:pPr>
    <w:rPr>
      <w:rFonts w:eastAsia="Times New Roman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270428C0"/>
    <w:pPr>
      <w:keepNext w:val="0"/>
      <w:keepLines w:val="0"/>
      <w:widowControl w:val="0"/>
      <w:outlineLvl w:val="2"/>
    </w:pPr>
    <w:rPr>
      <w:rFonts w:asciiTheme="minorHAnsi" w:hAnsiTheme="minorHAnsi" w:cstheme="minorBidi"/>
      <w:cap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270428C0"/>
    <w:pPr>
      <w:spacing w:line="280" w:lineRule="atLeas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270428C0"/>
    <w:pPr>
      <w:outlineLvl w:val="4"/>
    </w:pPr>
    <w:rPr>
      <w:b w:val="0"/>
      <w:bCs w:val="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270428C0"/>
    <w:pPr>
      <w:spacing w:before="40"/>
      <w:outlineLvl w:val="5"/>
    </w:pPr>
    <w:rPr>
      <w:color w:val="286B5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270428C0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270428C0"/>
    <w:pPr>
      <w:outlineLvl w:val="7"/>
    </w:pPr>
    <w:rPr>
      <w:color w:val="272727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270428C0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270428C0"/>
    <w:rPr>
      <w:rFonts w:asciiTheme="majorHAnsi" w:eastAsiaTheme="majorEastAsia" w:hAnsiTheme="majorHAnsi" w:cstheme="majorBidi"/>
      <w:b/>
      <w:bCs/>
      <w:caps/>
      <w:noProof w:val="0"/>
      <w:color w:val="495965" w:themeColor="text2"/>
      <w:sz w:val="38"/>
      <w:szCs w:val="3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270428C0"/>
    <w:rPr>
      <w:rFonts w:asciiTheme="majorHAnsi" w:eastAsia="Times New Roman" w:hAnsiTheme="majorHAnsi" w:cstheme="majorBidi"/>
      <w:b/>
      <w:bCs/>
      <w:caps/>
      <w:noProof w:val="0"/>
      <w:color w:val="495965" w:themeColor="text2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70428C0"/>
    <w:rPr>
      <w:rFonts w:asciiTheme="minorHAnsi" w:eastAsiaTheme="majorEastAsia" w:hAnsiTheme="minorHAnsi" w:cstheme="minorBidi"/>
      <w:b/>
      <w:bCs/>
      <w:noProof w:val="0"/>
      <w:color w:val="495965" w:themeColor="text2"/>
      <w:sz w:val="26"/>
      <w:szCs w:val="26"/>
      <w:lang w:val="en-GB"/>
    </w:rPr>
  </w:style>
  <w:style w:type="paragraph" w:customStyle="1" w:styleId="NormalIndented">
    <w:name w:val="Normal Indented"/>
    <w:basedOn w:val="Normal"/>
    <w:uiPriority w:val="1"/>
    <w:qFormat/>
    <w:rsid w:val="270428C0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270428C0"/>
    <w:pPr>
      <w:spacing w:after="0"/>
    </w:pPr>
  </w:style>
  <w:style w:type="character" w:customStyle="1" w:styleId="TitleChar">
    <w:name w:val="Title Char"/>
    <w:basedOn w:val="DefaultParagraphFont"/>
    <w:link w:val="Title"/>
    <w:uiPriority w:val="10"/>
    <w:rsid w:val="270428C0"/>
    <w:rPr>
      <w:rFonts w:asciiTheme="majorHAnsi" w:eastAsiaTheme="majorEastAsia" w:hAnsiTheme="majorHAnsi" w:cstheme="majorBidi"/>
      <w:b/>
      <w:bCs/>
      <w:caps/>
      <w:noProof w:val="0"/>
      <w:color w:val="495965" w:themeColor="text2"/>
      <w:sz w:val="38"/>
      <w:szCs w:val="38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270428C0"/>
    <w:pPr>
      <w:spacing w:before="60" w:after="300"/>
    </w:pPr>
    <w:rPr>
      <w:rFonts w:asciiTheme="minorHAnsi" w:hAnsiTheme="minorHAnsi"/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270428C0"/>
    <w:rPr>
      <w:rFonts w:asciiTheme="minorHAnsi" w:eastAsiaTheme="majorEastAsia" w:hAnsiTheme="minorHAnsi" w:cstheme="majorBidi"/>
      <w:caps/>
      <w:noProof w:val="0"/>
      <w:color w:val="495965" w:themeColor="text2"/>
      <w:sz w:val="38"/>
      <w:szCs w:val="38"/>
      <w:lang w:val="en-GB"/>
    </w:rPr>
  </w:style>
  <w:style w:type="paragraph" w:customStyle="1" w:styleId="Bullet1">
    <w:name w:val="Bullet 1"/>
    <w:basedOn w:val="Normal"/>
    <w:uiPriority w:val="1"/>
    <w:qFormat/>
    <w:rsid w:val="270428C0"/>
    <w:pPr>
      <w:numPr>
        <w:numId w:val="10"/>
      </w:numPr>
      <w:spacing w:before="0"/>
    </w:pPr>
  </w:style>
  <w:style w:type="paragraph" w:customStyle="1" w:styleId="Bullet2">
    <w:name w:val="Bullet 2"/>
    <w:basedOn w:val="Bullet1"/>
    <w:uiPriority w:val="1"/>
    <w:qFormat/>
    <w:rsid w:val="270428C0"/>
  </w:style>
  <w:style w:type="paragraph" w:customStyle="1" w:styleId="Bullet3">
    <w:name w:val="Bullet 3"/>
    <w:basedOn w:val="Bullet2"/>
    <w:uiPriority w:val="1"/>
    <w:qFormat/>
    <w:rsid w:val="270428C0"/>
  </w:style>
  <w:style w:type="paragraph" w:customStyle="1" w:styleId="NumberedList1">
    <w:name w:val="Numbered List 1"/>
    <w:basedOn w:val="Normal"/>
    <w:uiPriority w:val="1"/>
    <w:qFormat/>
    <w:rsid w:val="270428C0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uiPriority w:val="1"/>
    <w:qFormat/>
    <w:rsid w:val="270428C0"/>
  </w:style>
  <w:style w:type="paragraph" w:customStyle="1" w:styleId="NumberedList3">
    <w:name w:val="Numbered List 3"/>
    <w:basedOn w:val="NumberedList2"/>
    <w:uiPriority w:val="1"/>
    <w:qFormat/>
    <w:rsid w:val="270428C0"/>
  </w:style>
  <w:style w:type="paragraph" w:customStyle="1" w:styleId="Heading1Numbered">
    <w:name w:val="Heading 1 Numbered"/>
    <w:basedOn w:val="Heading1"/>
    <w:next w:val="Normal"/>
    <w:uiPriority w:val="1"/>
    <w:qFormat/>
    <w:rsid w:val="270428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uiPriority w:val="1"/>
    <w:qFormat/>
    <w:rsid w:val="270428C0"/>
    <w:pPr>
      <w:numPr>
        <w:ilvl w:val="1"/>
        <w:numId w:val="6"/>
      </w:numPr>
      <w:spacing w:after="60"/>
    </w:pPr>
  </w:style>
  <w:style w:type="paragraph" w:customStyle="1" w:styleId="Heading3Numbered">
    <w:name w:val="Heading 3 Numbered"/>
    <w:basedOn w:val="Heading3"/>
    <w:next w:val="Normal"/>
    <w:uiPriority w:val="1"/>
    <w:qFormat/>
    <w:rsid w:val="270428C0"/>
    <w:pPr>
      <w:numPr>
        <w:ilvl w:val="2"/>
        <w:numId w:val="6"/>
      </w:numPr>
      <w:spacing w:before="300" w:after="60"/>
    </w:p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270428C0"/>
    <w:pPr>
      <w:spacing w:after="600"/>
    </w:pPr>
  </w:style>
  <w:style w:type="character" w:customStyle="1" w:styleId="Heading4Char">
    <w:name w:val="Heading 4 Char"/>
    <w:basedOn w:val="DefaultParagraphFont"/>
    <w:link w:val="Heading4"/>
    <w:uiPriority w:val="9"/>
    <w:rsid w:val="270428C0"/>
    <w:rPr>
      <w:rFonts w:asciiTheme="majorHAnsi" w:eastAsiaTheme="majorEastAsia" w:hAnsiTheme="majorHAnsi" w:cstheme="majorBidi"/>
      <w:noProof w:val="0"/>
      <w:color w:val="495965" w:themeColor="text2"/>
      <w:sz w:val="24"/>
      <w:szCs w:val="24"/>
      <w:lang w:val="en-GB"/>
    </w:rPr>
  </w:style>
  <w:style w:type="paragraph" w:styleId="TOC1">
    <w:name w:val="toc 1"/>
    <w:basedOn w:val="Normal"/>
    <w:next w:val="Normal"/>
    <w:uiPriority w:val="39"/>
    <w:unhideWhenUsed/>
    <w:rsid w:val="270428C0"/>
    <w:pPr>
      <w:tabs>
        <w:tab w:val="right" w:pos="9639"/>
      </w:tabs>
      <w:spacing w:after="100"/>
    </w:pPr>
    <w:rPr>
      <w:b/>
      <w:bCs/>
      <w:caps/>
      <w:color w:val="65C5B4" w:themeColor="accent1"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rsid w:val="270428C0"/>
    <w:pPr>
      <w:spacing w:after="100"/>
      <w:ind w:left="199" w:right="454"/>
    </w:pPr>
  </w:style>
  <w:style w:type="paragraph" w:styleId="TOC3">
    <w:name w:val="toc 3"/>
    <w:basedOn w:val="Normal"/>
    <w:next w:val="Normal"/>
    <w:uiPriority w:val="39"/>
    <w:unhideWhenUsed/>
    <w:rsid w:val="270428C0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270428C0"/>
    <w:pPr>
      <w:tabs>
        <w:tab w:val="center" w:pos="4513"/>
        <w:tab w:val="right" w:pos="9026"/>
      </w:tabs>
      <w:spacing w:before="0" w:after="0"/>
      <w:ind w:left="227"/>
    </w:pPr>
    <w:rPr>
      <w:b/>
      <w:bCs/>
      <w:caps/>
      <w:sz w:val="20"/>
      <w:szCs w:val="20"/>
    </w:rPr>
  </w:style>
  <w:style w:type="paragraph" w:styleId="TOC4">
    <w:name w:val="toc 4"/>
    <w:basedOn w:val="Normal"/>
    <w:next w:val="Normal"/>
    <w:uiPriority w:val="39"/>
    <w:unhideWhenUsed/>
    <w:rsid w:val="270428C0"/>
    <w:pPr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uiPriority w:val="39"/>
    <w:unhideWhenUsed/>
    <w:rsid w:val="270428C0"/>
    <w:pPr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uiPriority w:val="39"/>
    <w:unhideWhenUsed/>
    <w:rsid w:val="270428C0"/>
    <w:pPr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uiPriority w:val="39"/>
    <w:unhideWhenUsed/>
    <w:rsid w:val="270428C0"/>
    <w:pPr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uiPriority w:val="39"/>
    <w:unhideWhenUsed/>
    <w:rsid w:val="270428C0"/>
    <w:pPr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uiPriority w:val="39"/>
    <w:unhideWhenUsed/>
    <w:rsid w:val="270428C0"/>
    <w:pPr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270428C0"/>
    <w:pPr>
      <w:spacing w:after="0"/>
      <w:ind w:left="907" w:hanging="907"/>
    </w:pPr>
  </w:style>
  <w:style w:type="paragraph" w:customStyle="1" w:styleId="IntroPara">
    <w:name w:val="Intro Para"/>
    <w:basedOn w:val="Normal"/>
    <w:uiPriority w:val="1"/>
    <w:qFormat/>
    <w:rsid w:val="270428C0"/>
    <w:pPr>
      <w:spacing w:before="400" w:after="400" w:line="280" w:lineRule="exact"/>
    </w:pPr>
    <w:rPr>
      <w:b/>
      <w:bCs/>
      <w:color w:val="ACD08C" w:themeColor="accent2"/>
      <w:sz w:val="28"/>
      <w:szCs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270428C0"/>
    <w:rPr>
      <w:b/>
      <w:bCs/>
      <w:caps/>
      <w:noProof w:val="0"/>
      <w:color w:val="495965" w:themeColor="text2"/>
      <w:sz w:val="20"/>
      <w:szCs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270428C0"/>
    <w:rPr>
      <w:rFonts w:asciiTheme="majorHAnsi" w:eastAsiaTheme="majorEastAsia" w:hAnsiTheme="majorHAnsi" w:cstheme="majorBidi"/>
      <w:b/>
      <w:bCs/>
      <w:noProof w:val="0"/>
      <w:color w:val="495965" w:themeColor="text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270428C0"/>
    <w:pPr>
      <w:spacing w:before="240" w:after="180"/>
      <w:contextualSpacing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270428C0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270428C0"/>
    <w:rPr>
      <w:noProof w:val="0"/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270428C0"/>
    <w:rPr>
      <w:rFonts w:asciiTheme="majorHAnsi" w:eastAsiaTheme="majorEastAsia" w:hAnsiTheme="majorHAnsi" w:cstheme="majorBidi"/>
      <w:noProof w:val="0"/>
      <w:color w:val="286B5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270428C0"/>
    <w:rPr>
      <w:rFonts w:asciiTheme="majorHAnsi" w:eastAsiaTheme="majorEastAsia" w:hAnsiTheme="majorHAnsi" w:cstheme="majorBidi"/>
      <w:i/>
      <w:iCs/>
      <w:noProof w:val="0"/>
      <w:color w:val="286B5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270428C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270428C0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270428C0"/>
    <w:pPr>
      <w:spacing w:before="0" w:after="180"/>
    </w:pPr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270428C0"/>
    <w:rPr>
      <w:noProof w:val="0"/>
      <w:color w:val="495965" w:themeColor="text2"/>
      <w:sz w:val="28"/>
      <w:szCs w:val="28"/>
      <w:lang w:val="en-GB"/>
    </w:rPr>
  </w:style>
  <w:style w:type="paragraph" w:customStyle="1" w:styleId="QuoteHeading">
    <w:name w:val="Quote Heading"/>
    <w:basedOn w:val="Quote"/>
    <w:uiPriority w:val="1"/>
    <w:qFormat/>
    <w:rsid w:val="270428C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70428C0"/>
    <w:pPr>
      <w:spacing w:before="60" w:after="0"/>
      <w:ind w:left="170" w:hanging="170"/>
    </w:pPr>
    <w:rPr>
      <w:sz w:val="12"/>
      <w:szCs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70428C0"/>
    <w:rPr>
      <w:noProof w:val="0"/>
      <w:color w:val="495965" w:themeColor="text2"/>
      <w:sz w:val="12"/>
      <w:szCs w:val="12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uiPriority w:val="1"/>
    <w:qFormat/>
    <w:rsid w:val="270428C0"/>
    <w:pPr>
      <w:spacing w:before="0"/>
    </w:pPr>
    <w:rPr>
      <w:b/>
      <w:bCs/>
      <w:caps/>
      <w:color w:val="FFFFFF" w:themeColor="background1"/>
      <w:sz w:val="18"/>
      <w:szCs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uiPriority w:val="1"/>
    <w:qFormat/>
    <w:rsid w:val="270428C0"/>
  </w:style>
  <w:style w:type="paragraph" w:customStyle="1" w:styleId="PhotoLeft">
    <w:name w:val="Photo Left"/>
    <w:basedOn w:val="PhotoMargins"/>
    <w:uiPriority w:val="1"/>
    <w:qFormat/>
    <w:rsid w:val="270428C0"/>
    <w:pPr>
      <w:ind w:left="-851"/>
    </w:pPr>
  </w:style>
  <w:style w:type="paragraph" w:customStyle="1" w:styleId="PhotoRight">
    <w:name w:val="Photo Right"/>
    <w:basedOn w:val="PhotoMargins"/>
    <w:uiPriority w:val="1"/>
    <w:qFormat/>
    <w:rsid w:val="270428C0"/>
    <w:pPr>
      <w:ind w:right="-851"/>
      <w:jc w:val="right"/>
    </w:pPr>
  </w:style>
  <w:style w:type="paragraph" w:customStyle="1" w:styleId="PhotoCaption">
    <w:name w:val="Photo Caption"/>
    <w:basedOn w:val="Normal"/>
    <w:uiPriority w:val="1"/>
    <w:qFormat/>
    <w:rsid w:val="270428C0"/>
    <w:pPr>
      <w:spacing w:after="200"/>
      <w:jc w:val="right"/>
    </w:pPr>
    <w:rPr>
      <w:sz w:val="16"/>
      <w:szCs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uiPriority w:val="1"/>
    <w:qFormat/>
    <w:rsid w:val="270428C0"/>
    <w:pP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  <w:szCs w:val="14"/>
    </w:rPr>
  </w:style>
  <w:style w:type="paragraph" w:customStyle="1" w:styleId="Heading1smallspaceafter">
    <w:name w:val="Heading 1 small space after"/>
    <w:basedOn w:val="Heading1"/>
    <w:uiPriority w:val="1"/>
    <w:qFormat/>
    <w:rsid w:val="270428C0"/>
    <w:pPr>
      <w:spacing w:after="600"/>
    </w:pPr>
  </w:style>
  <w:style w:type="paragraph" w:customStyle="1" w:styleId="TableBullet1">
    <w:name w:val="Table Bullet 1"/>
    <w:basedOn w:val="Bullet1"/>
    <w:uiPriority w:val="1"/>
    <w:qFormat/>
    <w:rsid w:val="270428C0"/>
    <w:pPr>
      <w:spacing w:before="60"/>
    </w:pPr>
    <w:rPr>
      <w:rFonts w:ascii="Calibri" w:eastAsiaTheme="minorEastAsia" w:hAnsi="Calibri"/>
      <w:sz w:val="18"/>
      <w:szCs w:val="18"/>
    </w:rPr>
  </w:style>
  <w:style w:type="paragraph" w:customStyle="1" w:styleId="TableBullet2">
    <w:name w:val="Table Bullet 2"/>
    <w:basedOn w:val="Bullet2"/>
    <w:uiPriority w:val="1"/>
    <w:qFormat/>
    <w:rsid w:val="270428C0"/>
    <w:pPr>
      <w:spacing w:before="60"/>
      <w:ind w:left="568"/>
    </w:pPr>
    <w:rPr>
      <w:rFonts w:ascii="Calibri" w:eastAsiaTheme="minorEastAsia" w:hAnsi="Calibri"/>
      <w:sz w:val="18"/>
      <w:szCs w:val="18"/>
    </w:rPr>
  </w:style>
  <w:style w:type="paragraph" w:customStyle="1" w:styleId="TableBullet3">
    <w:name w:val="Table Bullet 3"/>
    <w:basedOn w:val="Bullet3"/>
    <w:uiPriority w:val="1"/>
    <w:qFormat/>
    <w:rsid w:val="270428C0"/>
    <w:pPr>
      <w:spacing w:before="60"/>
      <w:ind w:left="852"/>
    </w:pPr>
    <w:rPr>
      <w:rFonts w:ascii="Calibri" w:eastAsiaTheme="minorEastAsia" w:hAnsi="Calibri"/>
      <w:sz w:val="18"/>
      <w:szCs w:val="18"/>
    </w:rPr>
  </w:style>
  <w:style w:type="paragraph" w:customStyle="1" w:styleId="TableHeaderRow">
    <w:name w:val="Table Header Row"/>
    <w:basedOn w:val="Normal"/>
    <w:uiPriority w:val="1"/>
    <w:qFormat/>
    <w:rsid w:val="00781CF0"/>
    <w:pPr>
      <w:spacing w:before="60"/>
    </w:pPr>
    <w:rPr>
      <w:rFonts w:ascii="Calibri" w:eastAsiaTheme="minorEastAsia" w:hAnsi="Calibri"/>
      <w:b/>
      <w:bCs/>
      <w:color w:val="auto"/>
    </w:rPr>
  </w:style>
  <w:style w:type="paragraph" w:customStyle="1" w:styleId="TableNumberedList1">
    <w:name w:val="Table Numbered List 1"/>
    <w:basedOn w:val="NumberedList1"/>
    <w:uiPriority w:val="1"/>
    <w:qFormat/>
    <w:rsid w:val="270428C0"/>
    <w:pPr>
      <w:spacing w:before="60"/>
    </w:pPr>
    <w:rPr>
      <w:rFonts w:ascii="Calibri" w:eastAsiaTheme="minorEastAsia" w:hAnsi="Calibri"/>
      <w:sz w:val="18"/>
      <w:szCs w:val="18"/>
    </w:rPr>
  </w:style>
  <w:style w:type="paragraph" w:customStyle="1" w:styleId="TableNumberedList2">
    <w:name w:val="Table Numbered List 2"/>
    <w:basedOn w:val="NumberedList2"/>
    <w:uiPriority w:val="1"/>
    <w:qFormat/>
    <w:rsid w:val="270428C0"/>
    <w:pPr>
      <w:spacing w:before="60"/>
    </w:pPr>
    <w:rPr>
      <w:rFonts w:ascii="Calibri" w:eastAsiaTheme="minorEastAsia" w:hAnsi="Calibri"/>
      <w:sz w:val="18"/>
      <w:szCs w:val="18"/>
    </w:rPr>
  </w:style>
  <w:style w:type="paragraph" w:customStyle="1" w:styleId="TableNumberedList3">
    <w:name w:val="Table Numbered List 3"/>
    <w:basedOn w:val="NumberedList3"/>
    <w:uiPriority w:val="1"/>
    <w:qFormat/>
    <w:rsid w:val="270428C0"/>
    <w:pPr>
      <w:spacing w:before="60"/>
      <w:ind w:left="851"/>
    </w:pPr>
    <w:rPr>
      <w:rFonts w:ascii="Calibri" w:eastAsiaTheme="minorEastAsia" w:hAnsi="Calibri"/>
      <w:sz w:val="18"/>
      <w:szCs w:val="18"/>
    </w:rPr>
  </w:style>
  <w:style w:type="paragraph" w:customStyle="1" w:styleId="TableSourceNotes">
    <w:name w:val="Table Source Notes"/>
    <w:basedOn w:val="Normal"/>
    <w:uiPriority w:val="1"/>
    <w:qFormat/>
    <w:rsid w:val="270428C0"/>
    <w:pPr>
      <w:tabs>
        <w:tab w:val="left" w:pos="284"/>
      </w:tabs>
      <w:ind w:left="284" w:hanging="284"/>
      <w:contextualSpacing/>
    </w:pPr>
    <w:rPr>
      <w:sz w:val="12"/>
      <w:szCs w:val="12"/>
    </w:rPr>
  </w:style>
  <w:style w:type="paragraph" w:customStyle="1" w:styleId="TableTotalRow">
    <w:name w:val="Table Total Row"/>
    <w:basedOn w:val="Normal"/>
    <w:uiPriority w:val="1"/>
    <w:qFormat/>
    <w:rsid w:val="270428C0"/>
    <w:pPr>
      <w:spacing w:before="60"/>
    </w:pPr>
    <w:rPr>
      <w:rFonts w:ascii="Calibri" w:eastAsiaTheme="minorEastAsia" w:hAnsi="Calibri"/>
      <w:b/>
      <w:bCs/>
      <w:color w:val="FFFFFF" w:themeColor="background1"/>
    </w:rPr>
  </w:style>
  <w:style w:type="paragraph" w:customStyle="1" w:styleId="BoxHeading">
    <w:name w:val="Box Heading"/>
    <w:basedOn w:val="Heading3"/>
    <w:uiPriority w:val="1"/>
    <w:qFormat/>
    <w:rsid w:val="270428C0"/>
    <w:pPr>
      <w:spacing w:before="60"/>
    </w:pPr>
  </w:style>
  <w:style w:type="paragraph" w:customStyle="1" w:styleId="QuoteAuthor">
    <w:name w:val="Quote Author"/>
    <w:basedOn w:val="Quote"/>
    <w:uiPriority w:val="1"/>
    <w:qFormat/>
    <w:rsid w:val="270428C0"/>
    <w:pPr>
      <w:spacing w:after="60"/>
    </w:pPr>
    <w:rPr>
      <w:sz w:val="16"/>
      <w:szCs w:val="16"/>
    </w:rPr>
  </w:style>
  <w:style w:type="paragraph" w:customStyle="1" w:styleId="TableText">
    <w:name w:val="Table Text"/>
    <w:basedOn w:val="Normal"/>
    <w:uiPriority w:val="1"/>
    <w:qFormat/>
    <w:rsid w:val="270428C0"/>
    <w:pPr>
      <w:spacing w:before="60"/>
    </w:pPr>
    <w:rPr>
      <w:rFonts w:ascii="Calibri" w:eastAsiaTheme="minorEastAsia" w:hAnsi="Calibri"/>
    </w:rPr>
  </w:style>
  <w:style w:type="paragraph" w:customStyle="1" w:styleId="PhotoCredit">
    <w:name w:val="Photo Credit"/>
    <w:basedOn w:val="Normal"/>
    <w:uiPriority w:val="1"/>
    <w:qFormat/>
    <w:rsid w:val="270428C0"/>
    <w:pPr>
      <w:spacing w:after="200"/>
      <w:jc w:val="right"/>
    </w:pPr>
    <w:rPr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70428C0"/>
    <w:pPr>
      <w:spacing w:before="0"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70428C0"/>
    <w:rPr>
      <w:rFonts w:ascii="Tahoma" w:eastAsiaTheme="minorEastAsia" w:hAnsi="Tahoma" w:cs="Tahoma"/>
      <w:noProof w:val="0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uiPriority w:val="1"/>
    <w:qFormat/>
    <w:rsid w:val="270428C0"/>
    <w:pPr>
      <w:spacing w:after="900"/>
    </w:pPr>
  </w:style>
  <w:style w:type="paragraph" w:customStyle="1" w:styleId="Box1Text">
    <w:name w:val="Box 1 Text"/>
    <w:basedOn w:val="Normal"/>
    <w:uiPriority w:val="1"/>
    <w:qFormat/>
    <w:rsid w:val="270428C0"/>
    <w:pPr>
      <w:spacing w:before="180" w:after="80"/>
      <w:ind w:left="284" w:right="284"/>
    </w:pPr>
    <w:rPr>
      <w:sz w:val="20"/>
      <w:szCs w:val="20"/>
      <w:lang w:val="en-AU"/>
    </w:rPr>
  </w:style>
  <w:style w:type="paragraph" w:customStyle="1" w:styleId="Box1Heading">
    <w:name w:val="Box 1 Heading"/>
    <w:basedOn w:val="Box1Text"/>
    <w:uiPriority w:val="1"/>
    <w:qFormat/>
    <w:rsid w:val="270428C0"/>
    <w:pPr>
      <w:keepNext/>
    </w:pPr>
    <w:rPr>
      <w:b/>
      <w:bCs/>
      <w:sz w:val="26"/>
      <w:szCs w:val="26"/>
    </w:rPr>
  </w:style>
  <w:style w:type="paragraph" w:customStyle="1" w:styleId="Box2Text">
    <w:name w:val="Box 2 Text"/>
    <w:basedOn w:val="Box1Text"/>
    <w:uiPriority w:val="1"/>
    <w:qFormat/>
    <w:rsid w:val="270428C0"/>
    <w:rPr>
      <w:color w:val="FFFFFF" w:themeColor="background1"/>
    </w:rPr>
  </w:style>
  <w:style w:type="paragraph" w:customStyle="1" w:styleId="Box2Heading">
    <w:name w:val="Box 2 Heading"/>
    <w:basedOn w:val="Box2Text"/>
    <w:uiPriority w:val="1"/>
    <w:qFormat/>
    <w:rsid w:val="270428C0"/>
    <w:pPr>
      <w:keepNext/>
    </w:pPr>
    <w:rPr>
      <w:b/>
      <w:bCs/>
      <w:sz w:val="26"/>
      <w:szCs w:val="26"/>
    </w:rPr>
  </w:style>
  <w:style w:type="paragraph" w:customStyle="1" w:styleId="Box1Bullet">
    <w:name w:val="Box 1 Bullet"/>
    <w:basedOn w:val="Box1Text"/>
    <w:uiPriority w:val="1"/>
    <w:qFormat/>
    <w:rsid w:val="270428C0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uiPriority w:val="1"/>
    <w:qFormat/>
    <w:rsid w:val="270428C0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270428C0"/>
  </w:style>
  <w:style w:type="character" w:customStyle="1" w:styleId="BodyTextChar">
    <w:name w:val="Body Text Char"/>
    <w:basedOn w:val="DefaultParagraphFont"/>
    <w:link w:val="BodyText"/>
    <w:uiPriority w:val="99"/>
    <w:rsid w:val="270428C0"/>
    <w:rPr>
      <w:noProof w:val="0"/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270428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270428C0"/>
    <w:rPr>
      <w:noProof w:val="0"/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270428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270428C0"/>
    <w:rPr>
      <w:noProof w:val="0"/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270428C0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270428C0"/>
    <w:rPr>
      <w:noProof w:val="0"/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270428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270428C0"/>
    <w:rPr>
      <w:noProof w:val="0"/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270428C0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270428C0"/>
    <w:rPr>
      <w:noProof w:val="0"/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rsid w:val="270428C0"/>
    <w:pP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27042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70428C0"/>
    <w:rPr>
      <w:noProof w:val="0"/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7042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70428C0"/>
    <w:rPr>
      <w:b/>
      <w:bCs/>
      <w:noProof w:val="0"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270428C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270428C0"/>
    <w:rPr>
      <w:noProof w:val="0"/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Aptos" w:hAnsi="Aptos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27042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270428C0"/>
    <w:rPr>
      <w:rFonts w:ascii="Courier New" w:eastAsia="Times New Roman" w:hAnsi="Courier New" w:cs="Courier New"/>
      <w:noProof w:val="0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semiHidden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3AEA"/>
    <w:pPr>
      <w:spacing w:after="0" w:line="240" w:lineRule="auto"/>
    </w:pPr>
    <w:rPr>
      <w:color w:val="495965" w:themeColor="text2"/>
      <w:lang w:val="en-GB"/>
    </w:rPr>
  </w:style>
  <w:style w:type="character" w:customStyle="1" w:styleId="eop">
    <w:name w:val="eop"/>
    <w:basedOn w:val="DefaultParagraphFont"/>
    <w:rsid w:val="00CF2BBB"/>
  </w:style>
  <w:style w:type="character" w:styleId="Mention">
    <w:name w:val="Mention"/>
    <w:basedOn w:val="DefaultParagraphFont"/>
    <w:uiPriority w:val="99"/>
    <w:unhideWhenUsed/>
    <w:rsid w:val="004B4812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70428C0"/>
    <w:pPr>
      <w:spacing w:before="360" w:after="360"/>
      <w:ind w:left="864" w:right="864"/>
      <w:jc w:val="center"/>
    </w:pPr>
    <w:rPr>
      <w:i/>
      <w:iCs/>
      <w:color w:val="65C5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70428C0"/>
    <w:rPr>
      <w:i/>
      <w:iCs/>
      <w:noProof w:val="0"/>
      <w:color w:val="65C5B4" w:themeColor="accent1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270428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70428C0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4CF51C84DCD4692C0DBE656617F0B" ma:contentTypeVersion="9" ma:contentTypeDescription="Create a new document." ma:contentTypeScope="" ma:versionID="b43cc67f5971412b5aa5e1fe230ff620">
  <xsd:schema xmlns:xsd="http://www.w3.org/2001/XMLSchema" xmlns:xs="http://www.w3.org/2001/XMLSchema" xmlns:p="http://schemas.microsoft.com/office/2006/metadata/properties" xmlns:ns2="78d0bf03-9cf1-435a-9150-bb1741ef4aca" xmlns:ns3="b968483e-5775-4ddf-9a20-dc883da9a1ba" targetNamespace="http://schemas.microsoft.com/office/2006/metadata/properties" ma:root="true" ma:fieldsID="188315cb295a3cf91f28238864ed215d" ns2:_="" ns3:_="">
    <xsd:import namespace="78d0bf03-9cf1-435a-9150-bb1741ef4aca"/>
    <xsd:import namespace="b968483e-5775-4ddf-9a20-dc883da9a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bf03-9cf1-435a-9150-bb1741ef4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8483e-5775-4ddf-9a20-dc883da9a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48E43-4209-4146-8E59-4D0F09FF9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F7C50-A1A6-47D4-B013-2A4EC618A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0bf03-9cf1-435a-9150-bb1741ef4aca"/>
    <ds:schemaRef ds:uri="b968483e-5775-4ddf-9a20-dc883da9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55413-C6F6-4B2E-946E-42B4E26591A6}">
  <ds:schemaRefs>
    <ds:schemaRef ds:uri="78d0bf03-9cf1-435a-9150-bb1741ef4aca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968483e-5775-4ddf-9a20-dc883da9a1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6872</Characters>
  <Application>Microsoft Office Word</Application>
  <DocSecurity>0</DocSecurity>
  <Lines>232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FIJI DEVELOPMENT PROGRAM PROGRESS REPORTING</vt:lpstr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Fiji Development Program Progress Report</dc:title>
  <dc:subject/>
  <dc:creator/>
  <cp:keywords>[SEC=OFFICIAL]</cp:keywords>
  <cp:lastModifiedBy/>
  <cp:revision>1</cp:revision>
  <dcterms:created xsi:type="dcterms:W3CDTF">2023-10-30T03:07:00Z</dcterms:created>
  <dcterms:modified xsi:type="dcterms:W3CDTF">2023-11-22T02:25:00Z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64e0aaa1-fff8-40c4-b3d5-ccbb449ce979</vt:lpwstr>
  </property>
  <property fmtid="{D5CDD505-2E9C-101B-9397-08002B2CF9AE}" pid="3" name="SEC">
    <vt:lpwstr>OFFICIAL</vt:lpwstr>
  </property>
  <property fmtid="{D5CDD505-2E9C-101B-9397-08002B2CF9AE}" pid="4" name="PM_MinimumSecurityClassification">
    <vt:lpwstr>OFFICIAL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63FA5E0138FE4A06847B5F31F02136CD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OriginationTimeStamp">
    <vt:lpwstr>2023-04-17T02:14:26Z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2022.1</vt:lpwstr>
  </property>
  <property fmtid="{D5CDD505-2E9C-101B-9397-08002B2CF9AE}" pid="22" name="PM_Hash_Salt_Prev">
    <vt:lpwstr>C53DA15116F863F22790E40FED82587E</vt:lpwstr>
  </property>
  <property fmtid="{D5CDD505-2E9C-101B-9397-08002B2CF9AE}" pid="23" name="PM_Hash_Salt">
    <vt:lpwstr>16D69148D36C70F38D1E849200EF47B8</vt:lpwstr>
  </property>
  <property fmtid="{D5CDD505-2E9C-101B-9397-08002B2CF9AE}" pid="24" name="PM_Hash_SHA1">
    <vt:lpwstr>CCC5495BEF82290293937AB64F8DF6E442ECB26B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0x0101007D14CF51C84DCD4692C0DBE656617F0B</vt:lpwstr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3E9DB5AB808CA91EB3E8EC398CDB7F67B110581D6BB28BC88565729DCE387350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PMHMAC">
    <vt:lpwstr>v=2022.1;a=SHA256;h=1E58ECA89926571B6F31657C89EE7899AC9668FC209932C40EC7E5AF185E3DE1</vt:lpwstr>
  </property>
</Properties>
</file>