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16760C0B" w:rsidR="0068172A" w:rsidRPr="00AA5E2E" w:rsidRDefault="46A43244" w:rsidP="00FC465C">
      <w:pPr>
        <w:pStyle w:val="Heading1"/>
      </w:pPr>
      <w:r w:rsidRPr="00AA5E2E">
        <w:t>202</w:t>
      </w:r>
      <w:r w:rsidR="525C9AAB" w:rsidRPr="00AA5E2E">
        <w:t>2</w:t>
      </w:r>
      <w:r w:rsidRPr="00AA5E2E">
        <w:t>-2</w:t>
      </w:r>
      <w:r w:rsidR="525C9AAB" w:rsidRPr="00AA5E2E">
        <w:t>3</w:t>
      </w:r>
      <w:r w:rsidRPr="00AA5E2E">
        <w:t xml:space="preserve"> </w:t>
      </w:r>
      <w:r w:rsidR="00283917" w:rsidRPr="00AA5E2E">
        <w:t xml:space="preserve">NaURU </w:t>
      </w:r>
      <w:r w:rsidR="7D99A64C" w:rsidRPr="00AA5E2E">
        <w:t>D</w:t>
      </w:r>
      <w:r w:rsidR="31D73AD1" w:rsidRPr="00AA5E2E">
        <w:t>evelopment</w:t>
      </w:r>
      <w:r w:rsidR="7D99A64C" w:rsidRPr="00AA5E2E">
        <w:t xml:space="preserve"> </w:t>
      </w:r>
      <w:r w:rsidRPr="00AA5E2E">
        <w:t>P</w:t>
      </w:r>
      <w:r w:rsidR="31D73AD1" w:rsidRPr="00AA5E2E">
        <w:t xml:space="preserve">rogram </w:t>
      </w:r>
      <w:r w:rsidRPr="00AA5E2E">
        <w:t>P</w:t>
      </w:r>
      <w:r w:rsidR="31D73AD1" w:rsidRPr="00AA5E2E">
        <w:t>rogress</w:t>
      </w:r>
      <w:r w:rsidRPr="00AA5E2E">
        <w:t xml:space="preserve"> </w:t>
      </w:r>
      <w:r w:rsidR="35153C04" w:rsidRPr="00AA5E2E">
        <w:t>Reporting</w:t>
      </w:r>
      <w:r w:rsidR="7D99A64C" w:rsidRPr="00AA5E2E">
        <w:t xml:space="preserve"> </w:t>
      </w:r>
    </w:p>
    <w:p w14:paraId="12E24BAE" w14:textId="3992E382" w:rsidR="00BC1FED" w:rsidRPr="00AA5E2E" w:rsidRDefault="0068172A" w:rsidP="00FC465C">
      <w:pPr>
        <w:pStyle w:val="Heading2"/>
        <w:rPr>
          <w:bCs/>
        </w:rPr>
      </w:pPr>
      <w:r w:rsidRPr="00AA5E2E">
        <w:t xml:space="preserve">Progress against COVID-19 </w:t>
      </w:r>
      <w:r w:rsidR="008C1A18" w:rsidRPr="00AA5E2E">
        <w:t xml:space="preserve">development </w:t>
      </w:r>
      <w:r w:rsidR="008A1503" w:rsidRPr="00AA5E2E">
        <w:t xml:space="preserve">Response plan </w:t>
      </w:r>
      <w:r w:rsidR="00E1666D" w:rsidRPr="00AA5E2E">
        <w:t>results indicators</w:t>
      </w:r>
    </w:p>
    <w:p w14:paraId="53E0B1CB" w14:textId="67CD2500" w:rsidR="00AE2B7B" w:rsidRPr="00AA5E2E" w:rsidRDefault="00AE2B7B" w:rsidP="00FC465C">
      <w:pPr>
        <w:pStyle w:val="Heading3"/>
      </w:pPr>
      <w:r w:rsidRPr="00AA5E2E">
        <w:t xml:space="preserve">Health </w:t>
      </w:r>
      <w:r w:rsidRPr="00FC465C">
        <w:t>Security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530"/>
        <w:gridCol w:w="6006"/>
      </w:tblGrid>
      <w:tr w:rsidR="00AA5E2E" w:rsidRPr="00AA5E2E" w14:paraId="0F663071" w14:textId="77777777" w:rsidTr="4EBBBB62">
        <w:trPr>
          <w:tblHeader/>
        </w:trPr>
        <w:tc>
          <w:tcPr>
            <w:tcW w:w="4530" w:type="dxa"/>
            <w:shd w:val="clear" w:color="auto" w:fill="A2DCD1" w:themeFill="accent1" w:themeFillTint="99"/>
          </w:tcPr>
          <w:p w14:paraId="6B78B11D" w14:textId="77777777" w:rsidR="00283917" w:rsidRPr="00AA5E2E" w:rsidRDefault="00283917">
            <w:pPr>
              <w:spacing w:after="120" w:line="240" w:lineRule="auto"/>
              <w:jc w:val="center"/>
              <w:rPr>
                <w:b/>
                <w:color w:val="auto"/>
              </w:rPr>
            </w:pPr>
            <w:r w:rsidRPr="00AA5E2E">
              <w:rPr>
                <w:b/>
                <w:color w:val="auto"/>
              </w:rPr>
              <w:t>Key Results Indicators</w:t>
            </w:r>
          </w:p>
        </w:tc>
        <w:tc>
          <w:tcPr>
            <w:tcW w:w="6006" w:type="dxa"/>
            <w:shd w:val="clear" w:color="auto" w:fill="A2DCD1" w:themeFill="accent1" w:themeFillTint="99"/>
          </w:tcPr>
          <w:p w14:paraId="102FA8AA" w14:textId="77777777" w:rsidR="00283917" w:rsidRPr="00AA5E2E" w:rsidRDefault="00283917">
            <w:pPr>
              <w:spacing w:after="120" w:line="240" w:lineRule="auto"/>
              <w:jc w:val="center"/>
              <w:rPr>
                <w:color w:val="auto"/>
              </w:rPr>
            </w:pPr>
            <w:r w:rsidRPr="00AA5E2E">
              <w:rPr>
                <w:b/>
                <w:color w:val="auto"/>
              </w:rPr>
              <w:t>Progress/Result</w:t>
            </w:r>
          </w:p>
        </w:tc>
      </w:tr>
      <w:tr w:rsidR="00AA5E2E" w:rsidRPr="00AA5E2E" w14:paraId="0F7B1112" w14:textId="77777777" w:rsidTr="4EBBBB62">
        <w:trPr>
          <w:tblHeader/>
        </w:trPr>
        <w:tc>
          <w:tcPr>
            <w:tcW w:w="4530" w:type="dxa"/>
          </w:tcPr>
          <w:p w14:paraId="5E5D18BE" w14:textId="77777777"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Evidence that Australia has contributed to strengthened health systems, including examples of implementation of health information systems</w:t>
            </w:r>
          </w:p>
        </w:tc>
        <w:tc>
          <w:tcPr>
            <w:tcW w:w="6006" w:type="dxa"/>
          </w:tcPr>
          <w:p w14:paraId="348B2BFB" w14:textId="143BDDE3"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 xml:space="preserve">Australia supported the development of </w:t>
            </w:r>
            <w:r w:rsidRPr="00AA5E2E">
              <w:rPr>
                <w:rFonts w:ascii="Calibri Light" w:eastAsia="Calibri Light" w:hAnsi="Calibri Light" w:cs="Calibri Light"/>
                <w:i/>
                <w:iCs/>
                <w:color w:val="auto"/>
              </w:rPr>
              <w:t>Tamanu</w:t>
            </w:r>
            <w:r w:rsidRPr="00AA5E2E">
              <w:rPr>
                <w:rFonts w:ascii="Calibri Light" w:eastAsia="Calibri Light" w:hAnsi="Calibri Light" w:cs="Calibri Light"/>
                <w:color w:val="auto"/>
              </w:rPr>
              <w:t>, an online platform which securely stores patients’ medical records</w:t>
            </w:r>
            <w:r w:rsidR="006E5EC1" w:rsidRPr="00AA5E2E">
              <w:rPr>
                <w:rFonts w:ascii="Calibri Light" w:eastAsia="Calibri Light" w:hAnsi="Calibri Light" w:cs="Calibri Light"/>
                <w:color w:val="auto"/>
              </w:rPr>
              <w:t>.</w:t>
            </w:r>
            <w:r w:rsidRPr="00AA5E2E">
              <w:rPr>
                <w:rFonts w:ascii="Calibri Light" w:eastAsia="Calibri Light" w:hAnsi="Calibri Light" w:cs="Calibri Light"/>
                <w:color w:val="auto"/>
              </w:rPr>
              <w:t xml:space="preserve"> </w:t>
            </w:r>
            <w:r w:rsidR="006E5EC1" w:rsidRPr="00AA5E2E">
              <w:rPr>
                <w:rFonts w:ascii="Calibri Light" w:eastAsia="Calibri Light" w:hAnsi="Calibri Light" w:cs="Calibri Light"/>
                <w:color w:val="auto"/>
              </w:rPr>
              <w:t>T</w:t>
            </w:r>
            <w:r w:rsidR="00B52507" w:rsidRPr="00AA5E2E">
              <w:rPr>
                <w:rFonts w:ascii="Calibri Light" w:eastAsia="Calibri Light" w:hAnsi="Calibri Light" w:cs="Calibri Light"/>
                <w:color w:val="auto"/>
              </w:rPr>
              <w:t xml:space="preserve">his </w:t>
            </w:r>
            <w:r w:rsidRPr="00AA5E2E">
              <w:rPr>
                <w:rFonts w:ascii="Calibri Light" w:eastAsia="Calibri Light" w:hAnsi="Calibri Light" w:cs="Calibri Light"/>
                <w:color w:val="auto"/>
              </w:rPr>
              <w:t xml:space="preserve">went live across all Nauru hospitals in June 2023. All hospital visits, radiology, lab requests and reports are now recorded and Health ID cards for patients printed.  </w:t>
            </w:r>
          </w:p>
          <w:p w14:paraId="5A2318CB" w14:textId="41A70E41" w:rsidR="00283917" w:rsidRPr="00AA5E2E" w:rsidRDefault="00283917">
            <w:pPr>
              <w:spacing w:after="120" w:line="240" w:lineRule="auto"/>
              <w:rPr>
                <w:rFonts w:ascii="Calibri Light" w:eastAsia="Calibri Light" w:hAnsi="Calibri Light" w:cs="Calibri Light"/>
                <w:color w:val="auto"/>
              </w:rPr>
            </w:pPr>
            <w:r w:rsidRPr="4EBBBB62">
              <w:rPr>
                <w:rFonts w:ascii="Calibri Light" w:eastAsia="Calibri Light" w:hAnsi="Calibri Light" w:cs="Calibri Light"/>
                <w:color w:val="auto"/>
              </w:rPr>
              <w:t>An in-country design mission for the new Australian health program “</w:t>
            </w:r>
            <w:r w:rsidRPr="4EBBBB62">
              <w:rPr>
                <w:rFonts w:ascii="Calibri Light" w:eastAsia="Calibri Light" w:hAnsi="Calibri Light" w:cs="Calibri Light"/>
                <w:i/>
                <w:iCs/>
                <w:color w:val="auto"/>
              </w:rPr>
              <w:t xml:space="preserve">Rana </w:t>
            </w:r>
            <w:proofErr w:type="spellStart"/>
            <w:r w:rsidRPr="4EBBBB62">
              <w:rPr>
                <w:rFonts w:ascii="Calibri Light" w:eastAsia="Calibri Light" w:hAnsi="Calibri Light" w:cs="Calibri Light"/>
                <w:i/>
                <w:iCs/>
                <w:color w:val="auto"/>
              </w:rPr>
              <w:t>Tsimorum</w:t>
            </w:r>
            <w:proofErr w:type="spellEnd"/>
            <w:r w:rsidRPr="4EBBBB62">
              <w:rPr>
                <w:rFonts w:ascii="Calibri Light" w:eastAsia="Calibri Light" w:hAnsi="Calibri Light" w:cs="Calibri Light"/>
                <w:color w:val="auto"/>
              </w:rPr>
              <w:t>” (Look after your life) was undertaken in 2022</w:t>
            </w:r>
            <w:r w:rsidR="7BAB137C" w:rsidRPr="4EBBBB62">
              <w:rPr>
                <w:rFonts w:ascii="Calibri Light" w:eastAsia="Calibri Light" w:hAnsi="Calibri Light" w:cs="Calibri Light"/>
                <w:color w:val="auto"/>
              </w:rPr>
              <w:t>-</w:t>
            </w:r>
            <w:r w:rsidRPr="4EBBBB62">
              <w:rPr>
                <w:rFonts w:ascii="Calibri Light" w:eastAsia="Calibri Light" w:hAnsi="Calibri Light" w:cs="Calibri Light"/>
                <w:color w:val="auto"/>
              </w:rPr>
              <w:t xml:space="preserve">23 drawing on the lessons from past health programs and the pandemic response.  </w:t>
            </w:r>
          </w:p>
        </w:tc>
      </w:tr>
      <w:tr w:rsidR="00AA5E2E" w:rsidRPr="00AA5E2E" w14:paraId="08E24C0C" w14:textId="77777777" w:rsidTr="4EBBBB62">
        <w:trPr>
          <w:tblHeader/>
        </w:trPr>
        <w:tc>
          <w:tcPr>
            <w:tcW w:w="4530" w:type="dxa"/>
          </w:tcPr>
          <w:p w14:paraId="7F4A9389" w14:textId="77777777" w:rsidR="00283917" w:rsidRPr="00AA5E2E" w:rsidRDefault="00283917">
            <w:pPr>
              <w:spacing w:after="120" w:line="240" w:lineRule="auto"/>
              <w:rPr>
                <w:color w:val="auto"/>
              </w:rPr>
            </w:pPr>
            <w:r w:rsidRPr="00AA5E2E">
              <w:rPr>
                <w:rFonts w:ascii="Calibri Light" w:eastAsia="Calibri Light" w:hAnsi="Calibri Light" w:cs="Calibri Light"/>
                <w:color w:val="auto"/>
              </w:rPr>
              <w:t>Evidence that Nauru has improved responses to health security threats, including progress toward community based primary health care</w:t>
            </w:r>
          </w:p>
        </w:tc>
        <w:tc>
          <w:tcPr>
            <w:tcW w:w="6006" w:type="dxa"/>
          </w:tcPr>
          <w:p w14:paraId="6B0AF138" w14:textId="19E87B01" w:rsidR="00283917" w:rsidRPr="00AA5E2E" w:rsidRDefault="00283917">
            <w:pPr>
              <w:spacing w:after="120" w:line="240" w:lineRule="auto"/>
              <w:rPr>
                <w:rFonts w:ascii="Calibri Light" w:eastAsia="Calibri Light" w:hAnsi="Calibri Light" w:cs="Calibri Light"/>
                <w:color w:val="auto"/>
              </w:rPr>
            </w:pPr>
            <w:r w:rsidRPr="4EBBBB62">
              <w:rPr>
                <w:rFonts w:ascii="Calibri Light" w:eastAsia="Calibri Light" w:hAnsi="Calibri Light" w:cs="Calibri Light"/>
                <w:color w:val="auto"/>
              </w:rPr>
              <w:t>Australia supported Nauru’s C</w:t>
            </w:r>
            <w:r w:rsidR="0051686F" w:rsidRPr="4EBBBB62">
              <w:rPr>
                <w:rFonts w:ascii="Calibri Light" w:eastAsia="Calibri Light" w:hAnsi="Calibri Light" w:cs="Calibri Light"/>
                <w:color w:val="auto"/>
              </w:rPr>
              <w:t>OVID-19</w:t>
            </w:r>
            <w:r w:rsidRPr="4EBBBB62">
              <w:rPr>
                <w:rFonts w:ascii="Calibri Light" w:eastAsia="Calibri Light" w:hAnsi="Calibri Light" w:cs="Calibri Light"/>
                <w:color w:val="auto"/>
              </w:rPr>
              <w:t xml:space="preserve"> Taskforce to undertake screening at hospital</w:t>
            </w:r>
            <w:r w:rsidR="009B077F" w:rsidRPr="4EBBBB62">
              <w:rPr>
                <w:rFonts w:ascii="Calibri Light" w:eastAsia="Calibri Light" w:hAnsi="Calibri Light" w:cs="Calibri Light"/>
                <w:color w:val="auto"/>
              </w:rPr>
              <w:t>s</w:t>
            </w:r>
            <w:r w:rsidRPr="4EBBBB62">
              <w:rPr>
                <w:rFonts w:ascii="Calibri Light" w:eastAsia="Calibri Light" w:hAnsi="Calibri Light" w:cs="Calibri Light"/>
                <w:color w:val="auto"/>
              </w:rPr>
              <w:t xml:space="preserve">, </w:t>
            </w:r>
            <w:r w:rsidR="000770C7">
              <w:rPr>
                <w:rFonts w:ascii="Calibri Light" w:eastAsia="Calibri Light" w:hAnsi="Calibri Light" w:cs="Calibri Light"/>
                <w:color w:val="auto"/>
              </w:rPr>
              <w:t xml:space="preserve">the </w:t>
            </w:r>
            <w:r w:rsidR="009B077F" w:rsidRPr="4EBBBB62">
              <w:rPr>
                <w:rFonts w:ascii="Calibri Light" w:eastAsia="Calibri Light" w:hAnsi="Calibri Light" w:cs="Calibri Light"/>
                <w:color w:val="auto"/>
              </w:rPr>
              <w:t>airport,</w:t>
            </w:r>
            <w:r w:rsidRPr="4EBBBB62">
              <w:rPr>
                <w:rFonts w:ascii="Calibri Light" w:eastAsia="Calibri Light" w:hAnsi="Calibri Light" w:cs="Calibri Light"/>
                <w:color w:val="auto"/>
              </w:rPr>
              <w:t xml:space="preserve"> and designated locations; complete a COVID-19 Acute Care Ward with equipment for critical care and management; introduce a patient flow system to triage COVID</w:t>
            </w:r>
            <w:r w:rsidR="5DA58298" w:rsidRPr="4EBBBB62">
              <w:rPr>
                <w:rFonts w:ascii="Calibri Light" w:eastAsia="Calibri Light" w:hAnsi="Calibri Light" w:cs="Calibri Light"/>
                <w:color w:val="auto"/>
              </w:rPr>
              <w:t>-</w:t>
            </w:r>
            <w:r w:rsidRPr="4EBBBB62">
              <w:rPr>
                <w:rFonts w:ascii="Calibri Light" w:eastAsia="Calibri Light" w:hAnsi="Calibri Light" w:cs="Calibri Light"/>
                <w:color w:val="auto"/>
              </w:rPr>
              <w:t>19 cases; develop surge and treatment protocols</w:t>
            </w:r>
            <w:r w:rsidR="00340CC4" w:rsidRPr="4EBBBB62">
              <w:rPr>
                <w:rFonts w:ascii="Calibri Light" w:eastAsia="Calibri Light" w:hAnsi="Calibri Light" w:cs="Calibri Light"/>
                <w:color w:val="auto"/>
              </w:rPr>
              <w:t xml:space="preserve">; and </w:t>
            </w:r>
            <w:r w:rsidRPr="4EBBBB62">
              <w:rPr>
                <w:rFonts w:ascii="Calibri Light" w:eastAsia="Calibri Light" w:hAnsi="Calibri Light" w:cs="Calibri Light"/>
                <w:color w:val="auto"/>
              </w:rPr>
              <w:t xml:space="preserve">home care COVID-19 </w:t>
            </w:r>
            <w:r w:rsidR="00A05946" w:rsidRPr="4EBBBB62">
              <w:rPr>
                <w:rFonts w:ascii="Calibri Light" w:eastAsia="Calibri Light" w:hAnsi="Calibri Light" w:cs="Calibri Light"/>
                <w:color w:val="auto"/>
              </w:rPr>
              <w:t xml:space="preserve">information. </w:t>
            </w:r>
          </w:p>
          <w:p w14:paraId="1DD4D454" w14:textId="62B8A710"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 xml:space="preserve">Australia </w:t>
            </w:r>
            <w:r w:rsidR="00CB0DC5">
              <w:rPr>
                <w:rFonts w:ascii="Calibri Light" w:eastAsia="Calibri Light" w:hAnsi="Calibri Light" w:cs="Calibri Light"/>
                <w:color w:val="auto"/>
              </w:rPr>
              <w:t xml:space="preserve">provided technical assistance </w:t>
            </w:r>
            <w:r w:rsidRPr="00AA5E2E">
              <w:rPr>
                <w:rFonts w:ascii="Calibri Light" w:eastAsia="Calibri Light" w:hAnsi="Calibri Light" w:cs="Calibri Light"/>
                <w:color w:val="auto"/>
              </w:rPr>
              <w:t xml:space="preserve">to prepare a Capital Development Plan for staged improvement of Nauru’s health infrastructure. The first stage, which included a site and desktop analysis, scoping </w:t>
            </w:r>
            <w:r w:rsidR="005B5B6A" w:rsidRPr="00AA5E2E">
              <w:rPr>
                <w:rFonts w:ascii="Calibri Light" w:eastAsia="Calibri Light" w:hAnsi="Calibri Light" w:cs="Calibri Light"/>
                <w:color w:val="auto"/>
              </w:rPr>
              <w:t>study,</w:t>
            </w:r>
            <w:r w:rsidRPr="00AA5E2E">
              <w:rPr>
                <w:rFonts w:ascii="Calibri Light" w:eastAsia="Calibri Light" w:hAnsi="Calibri Light" w:cs="Calibri Light"/>
                <w:color w:val="auto"/>
              </w:rPr>
              <w:t xml:space="preserve"> and stakeholder engagement, </w:t>
            </w:r>
            <w:r w:rsidR="005B5B6A">
              <w:rPr>
                <w:rFonts w:ascii="Calibri Light" w:eastAsia="Calibri Light" w:hAnsi="Calibri Light" w:cs="Calibri Light"/>
                <w:color w:val="auto"/>
              </w:rPr>
              <w:t>was</w:t>
            </w:r>
            <w:r w:rsidRPr="00AA5E2E">
              <w:rPr>
                <w:rFonts w:ascii="Calibri Light" w:eastAsia="Calibri Light" w:hAnsi="Calibri Light" w:cs="Calibri Light"/>
                <w:color w:val="auto"/>
              </w:rPr>
              <w:t xml:space="preserve"> complete</w:t>
            </w:r>
            <w:r w:rsidR="005B5B6A">
              <w:rPr>
                <w:rFonts w:ascii="Calibri Light" w:eastAsia="Calibri Light" w:hAnsi="Calibri Light" w:cs="Calibri Light"/>
                <w:color w:val="auto"/>
              </w:rPr>
              <w:t>d in the reporting period</w:t>
            </w:r>
            <w:r w:rsidRPr="00AA5E2E">
              <w:rPr>
                <w:rFonts w:ascii="Calibri Light" w:eastAsia="Calibri Light" w:hAnsi="Calibri Light" w:cs="Calibri Light"/>
                <w:color w:val="auto"/>
              </w:rPr>
              <w:t xml:space="preserve">.  </w:t>
            </w:r>
          </w:p>
        </w:tc>
      </w:tr>
      <w:tr w:rsidR="002F0989" w:rsidRPr="00AA5E2E" w14:paraId="50E42D57" w14:textId="77777777" w:rsidTr="4EBBBB62">
        <w:trPr>
          <w:tblHeader/>
        </w:trPr>
        <w:tc>
          <w:tcPr>
            <w:tcW w:w="4530" w:type="dxa"/>
          </w:tcPr>
          <w:p w14:paraId="6C8C1E4E" w14:textId="1BBC9A1F"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 xml:space="preserve">Number of new or improved therapeutics, diagnostics, </w:t>
            </w:r>
            <w:r w:rsidR="001A1D2C" w:rsidRPr="00AA5E2E">
              <w:rPr>
                <w:rFonts w:ascii="Calibri Light" w:eastAsia="Calibri Light" w:hAnsi="Calibri Light" w:cs="Calibri Light"/>
                <w:color w:val="auto"/>
              </w:rPr>
              <w:t>vaccines,</w:t>
            </w:r>
            <w:r w:rsidRPr="00AA5E2E">
              <w:rPr>
                <w:rFonts w:ascii="Calibri Light" w:eastAsia="Calibri Light" w:hAnsi="Calibri Light" w:cs="Calibri Light"/>
                <w:color w:val="auto"/>
              </w:rPr>
              <w:t xml:space="preserve"> and additional equipment available in Nauru</w:t>
            </w:r>
          </w:p>
        </w:tc>
        <w:tc>
          <w:tcPr>
            <w:tcW w:w="6006" w:type="dxa"/>
          </w:tcPr>
          <w:p w14:paraId="287ED9BF" w14:textId="77777777" w:rsidR="002E3E21"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Australia provided 15,500 rapid antigen tests and 500 GeneXpert C</w:t>
            </w:r>
            <w:r w:rsidR="005B5B6A">
              <w:rPr>
                <w:rFonts w:ascii="Calibri Light" w:eastAsia="Calibri Light" w:hAnsi="Calibri Light" w:cs="Calibri Light"/>
                <w:color w:val="auto"/>
              </w:rPr>
              <w:t>OVID-19</w:t>
            </w:r>
            <w:r w:rsidRPr="00AA5E2E">
              <w:rPr>
                <w:rFonts w:ascii="Calibri Light" w:eastAsia="Calibri Light" w:hAnsi="Calibri Light" w:cs="Calibri Light"/>
                <w:color w:val="auto"/>
              </w:rPr>
              <w:t xml:space="preserve"> test kits to increase Nauru’s </w:t>
            </w:r>
            <w:r w:rsidR="002F0989">
              <w:rPr>
                <w:rFonts w:ascii="Calibri Light" w:eastAsia="Calibri Light" w:hAnsi="Calibri Light" w:cs="Calibri Light"/>
                <w:color w:val="auto"/>
              </w:rPr>
              <w:t>capacity</w:t>
            </w:r>
            <w:r w:rsidRPr="00AA5E2E">
              <w:rPr>
                <w:rFonts w:ascii="Calibri Light" w:eastAsia="Calibri Light" w:hAnsi="Calibri Light" w:cs="Calibri Light"/>
                <w:color w:val="auto"/>
              </w:rPr>
              <w:t xml:space="preserve"> to </w:t>
            </w:r>
            <w:r w:rsidR="002F0989">
              <w:rPr>
                <w:rFonts w:ascii="Calibri Light" w:eastAsia="Calibri Light" w:hAnsi="Calibri Light" w:cs="Calibri Light"/>
                <w:color w:val="auto"/>
              </w:rPr>
              <w:t>rapidly</w:t>
            </w:r>
            <w:r w:rsidRPr="00AA5E2E">
              <w:rPr>
                <w:rFonts w:ascii="Calibri Light" w:eastAsia="Calibri Light" w:hAnsi="Calibri Light" w:cs="Calibri Light"/>
                <w:color w:val="auto"/>
              </w:rPr>
              <w:t xml:space="preserve"> test for COVID-19</w:t>
            </w:r>
            <w:r w:rsidR="002F0989">
              <w:rPr>
                <w:rFonts w:ascii="Calibri Light" w:eastAsia="Calibri Light" w:hAnsi="Calibri Light" w:cs="Calibri Light"/>
                <w:color w:val="auto"/>
              </w:rPr>
              <w:t xml:space="preserve">. </w:t>
            </w:r>
          </w:p>
          <w:p w14:paraId="2A210C5E" w14:textId="450D40E1"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 xml:space="preserve">Australia </w:t>
            </w:r>
            <w:r w:rsidR="002F0989">
              <w:rPr>
                <w:rFonts w:ascii="Calibri Light" w:eastAsia="Calibri Light" w:hAnsi="Calibri Light" w:cs="Calibri Light"/>
                <w:color w:val="auto"/>
              </w:rPr>
              <w:t xml:space="preserve">also </w:t>
            </w:r>
            <w:r w:rsidRPr="00AA5E2E">
              <w:rPr>
                <w:rFonts w:ascii="Calibri Light" w:eastAsia="Calibri Light" w:hAnsi="Calibri Light" w:cs="Calibri Light"/>
                <w:color w:val="auto"/>
              </w:rPr>
              <w:t xml:space="preserve">funded a COVID-19 clinical </w:t>
            </w:r>
            <w:r w:rsidR="00464663">
              <w:rPr>
                <w:rFonts w:ascii="Calibri Light" w:eastAsia="Calibri Light" w:hAnsi="Calibri Light" w:cs="Calibri Light"/>
                <w:color w:val="auto"/>
              </w:rPr>
              <w:t xml:space="preserve">specialist </w:t>
            </w:r>
            <w:r w:rsidRPr="00AA5E2E">
              <w:rPr>
                <w:rFonts w:ascii="Calibri Light" w:eastAsia="Calibri Light" w:hAnsi="Calibri Light" w:cs="Calibri Light"/>
                <w:color w:val="auto"/>
              </w:rPr>
              <w:t xml:space="preserve">to support the Nauru Ministry of Health and Medical </w:t>
            </w:r>
            <w:r w:rsidR="001A1D2C" w:rsidRPr="00AA5E2E">
              <w:rPr>
                <w:rFonts w:ascii="Calibri Light" w:eastAsia="Calibri Light" w:hAnsi="Calibri Light" w:cs="Calibri Light"/>
                <w:color w:val="auto"/>
              </w:rPr>
              <w:t>Services monitor</w:t>
            </w:r>
            <w:r w:rsidRPr="00AA5E2E">
              <w:rPr>
                <w:rFonts w:ascii="Calibri Light" w:eastAsia="Calibri Light" w:hAnsi="Calibri Light" w:cs="Calibri Light"/>
                <w:color w:val="auto"/>
              </w:rPr>
              <w:t xml:space="preserve"> </w:t>
            </w:r>
            <w:r w:rsidR="00874A06">
              <w:rPr>
                <w:rFonts w:ascii="Calibri Light" w:eastAsia="Calibri Light" w:hAnsi="Calibri Light" w:cs="Calibri Light"/>
                <w:color w:val="auto"/>
              </w:rPr>
              <w:t xml:space="preserve">the supply of </w:t>
            </w:r>
            <w:r w:rsidRPr="00AA5E2E">
              <w:rPr>
                <w:rFonts w:ascii="Calibri Light" w:eastAsia="Calibri Light" w:hAnsi="Calibri Light" w:cs="Calibri Light"/>
                <w:color w:val="auto"/>
              </w:rPr>
              <w:t>COVID-19 vaccines and other supplies. An additional 1</w:t>
            </w:r>
            <w:r w:rsidR="0051686F" w:rsidRPr="00AA5E2E">
              <w:rPr>
                <w:rFonts w:ascii="Calibri Light" w:eastAsia="Calibri Light" w:hAnsi="Calibri Light" w:cs="Calibri Light"/>
                <w:color w:val="auto"/>
              </w:rPr>
              <w:t>,</w:t>
            </w:r>
            <w:r w:rsidRPr="00AA5E2E">
              <w:rPr>
                <w:rFonts w:ascii="Calibri Light" w:eastAsia="Calibri Light" w:hAnsi="Calibri Light" w:cs="Calibri Light"/>
                <w:color w:val="auto"/>
              </w:rPr>
              <w:t>665 vaccines and 2</w:t>
            </w:r>
            <w:r w:rsidR="0051686F" w:rsidRPr="00AA5E2E">
              <w:rPr>
                <w:rFonts w:ascii="Calibri Light" w:eastAsia="Calibri Light" w:hAnsi="Calibri Light" w:cs="Calibri Light"/>
                <w:color w:val="auto"/>
              </w:rPr>
              <w:t>,</w:t>
            </w:r>
            <w:r w:rsidRPr="00AA5E2E">
              <w:rPr>
                <w:rFonts w:ascii="Calibri Light" w:eastAsia="Calibri Light" w:hAnsi="Calibri Light" w:cs="Calibri Light"/>
                <w:color w:val="auto"/>
              </w:rPr>
              <w:t>000 courses of anti-viral treatments were provided to protect the people of Nauru from the impacts of COVID-19 in 2022-23.</w:t>
            </w:r>
          </w:p>
        </w:tc>
      </w:tr>
    </w:tbl>
    <w:p w14:paraId="44115375" w14:textId="67BB7CE7" w:rsidR="00283917" w:rsidRPr="00AA5E2E" w:rsidRDefault="00283917" w:rsidP="00283917">
      <w:pPr>
        <w:rPr>
          <w:color w:val="auto"/>
        </w:rPr>
      </w:pPr>
    </w:p>
    <w:p w14:paraId="1EB39C1C" w14:textId="77777777" w:rsidR="00283917" w:rsidRPr="00AA5E2E" w:rsidRDefault="00283917" w:rsidP="00283917">
      <w:pPr>
        <w:rPr>
          <w:color w:val="auto"/>
        </w:rPr>
      </w:pPr>
    </w:p>
    <w:p w14:paraId="4AABE335" w14:textId="077C2A85" w:rsidR="00C00B6C" w:rsidRPr="00AA5E2E" w:rsidRDefault="00C00B6C" w:rsidP="0086008C">
      <w:pPr>
        <w:pStyle w:val="Heading3"/>
      </w:pPr>
      <w:bookmarkStart w:id="0" w:name="_Hlk142312920"/>
      <w:r w:rsidRPr="00AA5E2E">
        <w:lastRenderedPageBreak/>
        <w:t>Stability</w:t>
      </w:r>
      <w:r w:rsidR="00B062B8" w:rsidRPr="00AA5E2E">
        <w:t xml:space="preserve"> </w:t>
      </w:r>
    </w:p>
    <w:tbl>
      <w:tblPr>
        <w:tblStyle w:val="TableGrid"/>
        <w:tblW w:w="0" w:type="auto"/>
        <w:tblInd w:w="-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60"/>
        <w:gridCol w:w="6101"/>
      </w:tblGrid>
      <w:tr w:rsidR="00AA5E2E" w:rsidRPr="00AA5E2E" w14:paraId="6A31641B" w14:textId="77777777" w:rsidTr="4EBBBB62">
        <w:trPr>
          <w:tblHeader/>
        </w:trPr>
        <w:tc>
          <w:tcPr>
            <w:tcW w:w="4360" w:type="dxa"/>
            <w:shd w:val="clear" w:color="auto" w:fill="A2DCD1" w:themeFill="accent1" w:themeFillTint="99"/>
            <w:vAlign w:val="bottom"/>
          </w:tcPr>
          <w:p w14:paraId="473AEBD7" w14:textId="77777777" w:rsidR="00283917" w:rsidRPr="00AA5E2E" w:rsidRDefault="00283917">
            <w:pPr>
              <w:widowControl w:val="0"/>
              <w:spacing w:after="120" w:line="240" w:lineRule="auto"/>
              <w:jc w:val="center"/>
              <w:rPr>
                <w:color w:val="auto"/>
              </w:rPr>
            </w:pPr>
            <w:r w:rsidRPr="00AA5E2E">
              <w:rPr>
                <w:b/>
                <w:color w:val="auto"/>
              </w:rPr>
              <w:t>Key Results Indicators</w:t>
            </w:r>
          </w:p>
        </w:tc>
        <w:tc>
          <w:tcPr>
            <w:tcW w:w="6101" w:type="dxa"/>
            <w:shd w:val="clear" w:color="auto" w:fill="A2DCD1" w:themeFill="accent1" w:themeFillTint="99"/>
            <w:vAlign w:val="bottom"/>
          </w:tcPr>
          <w:p w14:paraId="3A765F43" w14:textId="77777777" w:rsidR="00283917" w:rsidRPr="00AA5E2E" w:rsidRDefault="00283917">
            <w:pPr>
              <w:widowControl w:val="0"/>
              <w:spacing w:after="120" w:line="240" w:lineRule="auto"/>
              <w:jc w:val="center"/>
              <w:rPr>
                <w:color w:val="auto"/>
              </w:rPr>
            </w:pPr>
            <w:r w:rsidRPr="00AA5E2E">
              <w:rPr>
                <w:b/>
                <w:color w:val="auto"/>
              </w:rPr>
              <w:t>Progress/Result</w:t>
            </w:r>
          </w:p>
        </w:tc>
      </w:tr>
      <w:tr w:rsidR="00AA5E2E" w:rsidRPr="00AA5E2E" w14:paraId="702A8F1F" w14:textId="77777777" w:rsidTr="4EBBBB62">
        <w:trPr>
          <w:tblHeader/>
        </w:trPr>
        <w:tc>
          <w:tcPr>
            <w:tcW w:w="4360" w:type="dxa"/>
          </w:tcPr>
          <w:p w14:paraId="03DA46B0" w14:textId="77777777"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Pivoted education sector support established with examples of progress toward COVID-19 responses, links to Australian systems, and strengthened focus on early childhood</w:t>
            </w:r>
          </w:p>
        </w:tc>
        <w:tc>
          <w:tcPr>
            <w:tcW w:w="6101" w:type="dxa"/>
          </w:tcPr>
          <w:p w14:paraId="67D69079" w14:textId="65CC9C8F" w:rsidR="00283917" w:rsidRPr="00AA5E2E" w:rsidRDefault="00283917">
            <w:pPr>
              <w:spacing w:after="120" w:line="240" w:lineRule="auto"/>
              <w:rPr>
                <w:rFonts w:ascii="Calibri Light" w:eastAsia="Calibri Light" w:hAnsi="Calibri Light" w:cs="Calibri Light"/>
                <w:color w:val="auto"/>
              </w:rPr>
            </w:pPr>
            <w:r w:rsidRPr="4EBBBB62">
              <w:rPr>
                <w:rFonts w:ascii="Calibri Light" w:eastAsia="Calibri Light" w:hAnsi="Calibri Light" w:cs="Calibri Light"/>
                <w:color w:val="auto"/>
              </w:rPr>
              <w:t xml:space="preserve">The inception phase of </w:t>
            </w:r>
            <w:r w:rsidR="5589EA7D" w:rsidRPr="4EBBBB62">
              <w:rPr>
                <w:rFonts w:ascii="Calibri Light" w:eastAsia="Calibri Light" w:hAnsi="Calibri Light" w:cs="Calibri Light"/>
                <w:color w:val="auto"/>
              </w:rPr>
              <w:t>a new</w:t>
            </w:r>
            <w:r w:rsidRPr="4EBBBB62">
              <w:rPr>
                <w:rFonts w:ascii="Calibri Light" w:eastAsia="Calibri Light" w:hAnsi="Calibri Light" w:cs="Calibri Light"/>
                <w:color w:val="auto"/>
              </w:rPr>
              <w:t xml:space="preserve"> education program</w:t>
            </w:r>
            <w:r w:rsidR="001A1D2C" w:rsidRPr="4EBBBB62">
              <w:rPr>
                <w:rFonts w:ascii="Calibri Light" w:eastAsia="Calibri Light" w:hAnsi="Calibri Light" w:cs="Calibri Light"/>
                <w:color w:val="auto"/>
              </w:rPr>
              <w:t xml:space="preserve"> </w:t>
            </w:r>
            <w:r w:rsidRPr="4EBBBB62">
              <w:rPr>
                <w:rFonts w:ascii="Calibri Light" w:eastAsia="Calibri Light" w:hAnsi="Calibri Light" w:cs="Calibri Light"/>
                <w:color w:val="auto"/>
              </w:rPr>
              <w:t>focus</w:t>
            </w:r>
            <w:r w:rsidR="5589EA7D" w:rsidRPr="4EBBBB62">
              <w:rPr>
                <w:rFonts w:ascii="Calibri Light" w:eastAsia="Calibri Light" w:hAnsi="Calibri Light" w:cs="Calibri Light"/>
                <w:color w:val="auto"/>
              </w:rPr>
              <w:t>ed</w:t>
            </w:r>
            <w:r w:rsidRPr="4EBBBB62">
              <w:rPr>
                <w:rFonts w:ascii="Calibri Light" w:eastAsia="Calibri Light" w:hAnsi="Calibri Light" w:cs="Calibri Light"/>
                <w:color w:val="auto"/>
              </w:rPr>
              <w:t xml:space="preserve"> on early education and literacy</w:t>
            </w:r>
            <w:r w:rsidR="5589EA7D" w:rsidRPr="4EBBBB62">
              <w:rPr>
                <w:rFonts w:ascii="Calibri Light" w:eastAsia="Calibri Light" w:hAnsi="Calibri Light" w:cs="Calibri Light"/>
                <w:color w:val="auto"/>
              </w:rPr>
              <w:t>, includ</w:t>
            </w:r>
            <w:r w:rsidR="672E4073" w:rsidRPr="4EBBBB62">
              <w:rPr>
                <w:rFonts w:ascii="Calibri Light" w:eastAsia="Calibri Light" w:hAnsi="Calibri Light" w:cs="Calibri Light"/>
                <w:color w:val="auto"/>
              </w:rPr>
              <w:t>ing</w:t>
            </w:r>
            <w:r w:rsidR="5589EA7D" w:rsidRPr="4EBBBB62">
              <w:rPr>
                <w:rFonts w:ascii="Calibri Light" w:eastAsia="Calibri Light" w:hAnsi="Calibri Light" w:cs="Calibri Light"/>
                <w:color w:val="auto"/>
              </w:rPr>
              <w:t xml:space="preserve"> </w:t>
            </w:r>
            <w:r w:rsidRPr="4EBBBB62">
              <w:rPr>
                <w:rFonts w:ascii="Calibri Light" w:eastAsia="Calibri Light" w:hAnsi="Calibri Light" w:cs="Calibri Light"/>
                <w:color w:val="auto"/>
              </w:rPr>
              <w:t xml:space="preserve">mobilisation and recruitment of key personnel, establishing governance </w:t>
            </w:r>
            <w:r w:rsidR="001A1D2C" w:rsidRPr="4EBBBB62">
              <w:rPr>
                <w:rFonts w:ascii="Calibri Light" w:eastAsia="Calibri Light" w:hAnsi="Calibri Light" w:cs="Calibri Light"/>
                <w:color w:val="auto"/>
              </w:rPr>
              <w:t>arrangements,</w:t>
            </w:r>
            <w:r w:rsidRPr="4EBBBB62">
              <w:rPr>
                <w:rFonts w:ascii="Calibri Light" w:eastAsia="Calibri Light" w:hAnsi="Calibri Light" w:cs="Calibri Light"/>
                <w:color w:val="auto"/>
              </w:rPr>
              <w:t xml:space="preserve"> and planning for the delivery of </w:t>
            </w:r>
            <w:r w:rsidR="6DAAF607" w:rsidRPr="4EBBBB62">
              <w:rPr>
                <w:rFonts w:ascii="Calibri Light" w:eastAsia="Calibri Light" w:hAnsi="Calibri Light" w:cs="Calibri Light"/>
                <w:color w:val="auto"/>
              </w:rPr>
              <w:t xml:space="preserve">first year </w:t>
            </w:r>
            <w:r w:rsidRPr="4EBBBB62">
              <w:rPr>
                <w:rFonts w:ascii="Calibri Light" w:eastAsia="Calibri Light" w:hAnsi="Calibri Light" w:cs="Calibri Light"/>
                <w:color w:val="auto"/>
              </w:rPr>
              <w:t>program activities.</w:t>
            </w:r>
          </w:p>
          <w:p w14:paraId="2D715730" w14:textId="038F47BF" w:rsidR="00283917" w:rsidRPr="00AA5E2E" w:rsidRDefault="00283917">
            <w:pPr>
              <w:suppressAutoHyphens w:val="0"/>
              <w:spacing w:after="120" w:line="240" w:lineRule="auto"/>
              <w:rPr>
                <w:rFonts w:ascii="Calibri Light" w:eastAsia="Calibri Light" w:hAnsi="Calibri Light" w:cs="Calibri Light"/>
                <w:color w:val="auto"/>
              </w:rPr>
            </w:pPr>
            <w:r w:rsidRPr="4EBBBB62">
              <w:rPr>
                <w:rFonts w:ascii="Calibri Light" w:eastAsia="Calibri Light" w:hAnsi="Calibri Light" w:cs="Calibri Light"/>
                <w:color w:val="auto"/>
              </w:rPr>
              <w:t xml:space="preserve">Australia </w:t>
            </w:r>
            <w:r w:rsidR="6DAAF607" w:rsidRPr="4EBBBB62">
              <w:rPr>
                <w:rFonts w:ascii="Calibri Light" w:eastAsia="Calibri Light" w:hAnsi="Calibri Light" w:cs="Calibri Light"/>
                <w:color w:val="auto"/>
              </w:rPr>
              <w:t xml:space="preserve">also </w:t>
            </w:r>
            <w:r w:rsidRPr="4EBBBB62">
              <w:rPr>
                <w:rFonts w:ascii="Calibri Light" w:eastAsia="Calibri Light" w:hAnsi="Calibri Light" w:cs="Calibri Light"/>
                <w:color w:val="auto"/>
              </w:rPr>
              <w:t>awarded nine scholarships in Business, Commerce, Engineering and Science to Nauruan students (four</w:t>
            </w:r>
            <w:r w:rsidR="0051686F" w:rsidRPr="4EBBBB62">
              <w:rPr>
                <w:rFonts w:ascii="Calibri Light" w:eastAsia="Calibri Light" w:hAnsi="Calibri Light" w:cs="Calibri Light"/>
                <w:color w:val="auto"/>
              </w:rPr>
              <w:t> </w:t>
            </w:r>
            <w:r w:rsidR="009E6480">
              <w:rPr>
                <w:rFonts w:ascii="Calibri Light" w:eastAsia="Calibri Light" w:hAnsi="Calibri Light" w:cs="Calibri Light"/>
                <w:color w:val="auto"/>
              </w:rPr>
              <w:t xml:space="preserve">women and </w:t>
            </w:r>
            <w:r w:rsidRPr="4EBBBB62">
              <w:rPr>
                <w:rFonts w:ascii="Calibri Light" w:eastAsia="Calibri Light" w:hAnsi="Calibri Light" w:cs="Calibri Light"/>
                <w:color w:val="auto"/>
              </w:rPr>
              <w:t>five m</w:t>
            </w:r>
            <w:r w:rsidR="009E6480">
              <w:rPr>
                <w:rFonts w:ascii="Calibri Light" w:eastAsia="Calibri Light" w:hAnsi="Calibri Light" w:cs="Calibri Light"/>
                <w:color w:val="auto"/>
              </w:rPr>
              <w:t>en</w:t>
            </w:r>
            <w:r w:rsidRPr="4EBBBB62">
              <w:rPr>
                <w:rFonts w:ascii="Calibri Light" w:eastAsia="Calibri Light" w:hAnsi="Calibri Light" w:cs="Calibri Light"/>
                <w:color w:val="auto"/>
              </w:rPr>
              <w:t>) under the Australia Award</w:t>
            </w:r>
            <w:r w:rsidR="017F3EA5" w:rsidRPr="4EBBBB62">
              <w:rPr>
                <w:rFonts w:ascii="Calibri Light" w:eastAsia="Calibri Light" w:hAnsi="Calibri Light" w:cs="Calibri Light"/>
                <w:color w:val="auto"/>
              </w:rPr>
              <w:t>s</w:t>
            </w:r>
            <w:r w:rsidRPr="4EBBBB62">
              <w:rPr>
                <w:rFonts w:ascii="Calibri Light" w:eastAsia="Calibri Light" w:hAnsi="Calibri Light" w:cs="Calibri Light"/>
                <w:color w:val="auto"/>
              </w:rPr>
              <w:t xml:space="preserve"> Scholarship</w:t>
            </w:r>
            <w:r w:rsidR="16BA959B" w:rsidRPr="4EBBBB62">
              <w:rPr>
                <w:rFonts w:ascii="Calibri Light" w:eastAsia="Calibri Light" w:hAnsi="Calibri Light" w:cs="Calibri Light"/>
                <w:color w:val="auto"/>
              </w:rPr>
              <w:t>s</w:t>
            </w:r>
            <w:r w:rsidRPr="4EBBBB62">
              <w:rPr>
                <w:rFonts w:ascii="Calibri Light" w:eastAsia="Calibri Light" w:hAnsi="Calibri Light" w:cs="Calibri Light"/>
                <w:color w:val="auto"/>
              </w:rPr>
              <w:t xml:space="preserve"> and Australia Award</w:t>
            </w:r>
            <w:r w:rsidR="6BA28DAF" w:rsidRPr="4EBBBB62">
              <w:rPr>
                <w:rFonts w:ascii="Calibri Light" w:eastAsia="Calibri Light" w:hAnsi="Calibri Light" w:cs="Calibri Light"/>
                <w:color w:val="auto"/>
              </w:rPr>
              <w:t>s</w:t>
            </w:r>
            <w:r w:rsidRPr="4EBBBB62">
              <w:rPr>
                <w:rFonts w:ascii="Calibri Light" w:eastAsia="Calibri Light" w:hAnsi="Calibri Light" w:cs="Calibri Light"/>
                <w:color w:val="auto"/>
              </w:rPr>
              <w:t xml:space="preserve"> Pacific Scholarship</w:t>
            </w:r>
            <w:r w:rsidR="3E20B2A2" w:rsidRPr="4EBBBB62">
              <w:rPr>
                <w:rFonts w:ascii="Calibri Light" w:eastAsia="Calibri Light" w:hAnsi="Calibri Light" w:cs="Calibri Light"/>
                <w:color w:val="auto"/>
              </w:rPr>
              <w:t>s</w:t>
            </w:r>
            <w:r w:rsidRPr="4EBBBB62">
              <w:rPr>
                <w:rFonts w:ascii="Calibri Light" w:eastAsia="Calibri Light" w:hAnsi="Calibri Light" w:cs="Calibri Light"/>
                <w:color w:val="auto"/>
              </w:rPr>
              <w:t xml:space="preserve"> Program. </w:t>
            </w:r>
          </w:p>
        </w:tc>
      </w:tr>
      <w:tr w:rsidR="00AA5E2E" w:rsidRPr="00AA5E2E" w14:paraId="3E550434" w14:textId="77777777" w:rsidTr="4EBBBB62">
        <w:trPr>
          <w:tblHeader/>
        </w:trPr>
        <w:tc>
          <w:tcPr>
            <w:tcW w:w="4360" w:type="dxa"/>
          </w:tcPr>
          <w:p w14:paraId="2BC18B6E" w14:textId="77777777"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Examples of Australia contributing to policing responses to COVID-19 and improved services for women and girl survivors of violence</w:t>
            </w:r>
          </w:p>
        </w:tc>
        <w:tc>
          <w:tcPr>
            <w:tcW w:w="6101" w:type="dxa"/>
          </w:tcPr>
          <w:p w14:paraId="3B0EB57B" w14:textId="731FFDEE" w:rsidR="00283917" w:rsidRPr="00AA5E2E" w:rsidRDefault="00283917">
            <w:pPr>
              <w:spacing w:after="120" w:line="240" w:lineRule="auto"/>
              <w:rPr>
                <w:rFonts w:ascii="Calibri Light" w:eastAsia="Calibri Light" w:hAnsi="Calibri Light" w:cs="Calibri Light"/>
                <w:color w:val="auto"/>
              </w:rPr>
            </w:pPr>
            <w:r w:rsidRPr="4EBBBB62">
              <w:rPr>
                <w:rFonts w:ascii="Calibri Light" w:eastAsia="Calibri Light" w:hAnsi="Calibri Light" w:cs="Calibri Light"/>
                <w:color w:val="auto"/>
              </w:rPr>
              <w:t xml:space="preserve">The Australian Federal Police partnered with the Nauru Women’s and Social Affairs Department to provide continued education and training for the Nauru Police Force on the implementation of Nauru’s Domestic Violence Family Protection Law. This will </w:t>
            </w:r>
            <w:r w:rsidR="60D1B13D" w:rsidRPr="4EBBBB62">
              <w:rPr>
                <w:rFonts w:ascii="Calibri Light" w:eastAsia="Calibri Light" w:hAnsi="Calibri Light" w:cs="Calibri Light"/>
                <w:color w:val="auto"/>
              </w:rPr>
              <w:t>strengthen consistent</w:t>
            </w:r>
            <w:r w:rsidRPr="4EBBBB62">
              <w:rPr>
                <w:rFonts w:ascii="Calibri Light" w:eastAsia="Calibri Light" w:hAnsi="Calibri Light" w:cs="Calibri Light"/>
                <w:color w:val="auto"/>
              </w:rPr>
              <w:t xml:space="preserve"> support to survivors of gender</w:t>
            </w:r>
            <w:r w:rsidR="2E256EA7" w:rsidRPr="4EBBBB62">
              <w:rPr>
                <w:rFonts w:ascii="Calibri Light" w:eastAsia="Calibri Light" w:hAnsi="Calibri Light" w:cs="Calibri Light"/>
                <w:color w:val="auto"/>
              </w:rPr>
              <w:t>-</w:t>
            </w:r>
            <w:r w:rsidRPr="4EBBBB62">
              <w:rPr>
                <w:rFonts w:ascii="Calibri Light" w:eastAsia="Calibri Light" w:hAnsi="Calibri Light" w:cs="Calibri Light"/>
                <w:color w:val="auto"/>
              </w:rPr>
              <w:t xml:space="preserve">based violence and child abuse. </w:t>
            </w:r>
          </w:p>
        </w:tc>
      </w:tr>
      <w:tr w:rsidR="00AA5E2E" w:rsidRPr="00AA5E2E" w14:paraId="6FCB9FB3" w14:textId="77777777" w:rsidTr="4EBBBB62">
        <w:trPr>
          <w:trHeight w:val="3312"/>
          <w:tblHeader/>
        </w:trPr>
        <w:tc>
          <w:tcPr>
            <w:tcW w:w="4360" w:type="dxa"/>
          </w:tcPr>
          <w:p w14:paraId="5E8F1488" w14:textId="77777777" w:rsidR="00283917" w:rsidRPr="00AA5E2E" w:rsidRDefault="00283917">
            <w:pPr>
              <w:spacing w:after="120" w:line="240" w:lineRule="auto"/>
              <w:rPr>
                <w:rFonts w:ascii="Calibri Light" w:eastAsia="Calibri Light" w:hAnsi="Calibri Light" w:cs="Calibri Light"/>
                <w:color w:val="auto"/>
              </w:rPr>
            </w:pPr>
            <w:bookmarkStart w:id="1" w:name="_Hlk142638461"/>
            <w:r w:rsidRPr="00AA5E2E">
              <w:rPr>
                <w:rFonts w:ascii="Calibri Light" w:eastAsia="Calibri Light" w:hAnsi="Calibri Light" w:cs="Calibri Light"/>
                <w:color w:val="auto"/>
              </w:rPr>
              <w:t xml:space="preserve">Number of significant evidence-based policy changes in key sectors of engagement </w:t>
            </w:r>
          </w:p>
        </w:tc>
        <w:tc>
          <w:tcPr>
            <w:tcW w:w="6101" w:type="dxa"/>
          </w:tcPr>
          <w:p w14:paraId="321396D9" w14:textId="77777777" w:rsidR="00283917" w:rsidRPr="00AA5E2E" w:rsidRDefault="00283917">
            <w:pPr>
              <w:spacing w:after="120" w:line="240" w:lineRule="auto"/>
              <w:rPr>
                <w:rFonts w:ascii="Calibri Light" w:eastAsia="Calibri Light" w:hAnsi="Calibri Light" w:cs="Calibri Light"/>
                <w:color w:val="auto"/>
              </w:rPr>
            </w:pPr>
            <w:r w:rsidRPr="00AA5E2E">
              <w:rPr>
                <w:rFonts w:ascii="Calibri Light" w:eastAsia="Calibri Light" w:hAnsi="Calibri Light" w:cs="Calibri Light"/>
                <w:color w:val="auto"/>
              </w:rPr>
              <w:t>Total No: 2</w:t>
            </w:r>
          </w:p>
          <w:p w14:paraId="348EDCD2" w14:textId="7E3EFA5B" w:rsidR="00283917" w:rsidRPr="00AA5E2E" w:rsidRDefault="00BD689D">
            <w:pPr>
              <w:spacing w:after="120" w:line="240" w:lineRule="auto"/>
              <w:rPr>
                <w:rFonts w:ascii="Calibri Light" w:eastAsia="Calibri Light" w:hAnsi="Calibri Light" w:cs="Calibri Light"/>
                <w:color w:val="auto"/>
              </w:rPr>
            </w:pPr>
            <w:bookmarkStart w:id="2" w:name="_Hlk143587130"/>
            <w:r>
              <w:rPr>
                <w:rFonts w:ascii="Calibri Light" w:eastAsia="Calibri Light" w:hAnsi="Calibri Light" w:cs="Calibri Light"/>
                <w:color w:val="auto"/>
              </w:rPr>
              <w:t xml:space="preserve">Australia supported the </w:t>
            </w:r>
            <w:r w:rsidR="00283917" w:rsidRPr="00AA5E2E">
              <w:rPr>
                <w:rFonts w:ascii="Calibri Light" w:eastAsia="Calibri Light" w:hAnsi="Calibri Light" w:cs="Calibri Light"/>
                <w:color w:val="auto"/>
              </w:rPr>
              <w:t xml:space="preserve">Nauru Customs Agency </w:t>
            </w:r>
            <w:r w:rsidR="00400656">
              <w:rPr>
                <w:rFonts w:ascii="Calibri Light" w:eastAsia="Calibri Light" w:hAnsi="Calibri Light" w:cs="Calibri Light"/>
                <w:color w:val="auto"/>
              </w:rPr>
              <w:t xml:space="preserve">to </w:t>
            </w:r>
            <w:r w:rsidR="00283917" w:rsidRPr="00AA5E2E">
              <w:rPr>
                <w:rFonts w:ascii="Calibri Light" w:eastAsia="Calibri Light" w:hAnsi="Calibri Light" w:cs="Calibri Light"/>
                <w:color w:val="auto"/>
              </w:rPr>
              <w:t>introduce changes to legislative frameworks that will improve revenue mobilisation and duty collection. This will result in</w:t>
            </w:r>
            <w:r w:rsidR="00606C98" w:rsidRPr="00AA5E2E">
              <w:rPr>
                <w:rFonts w:ascii="Calibri Light" w:eastAsia="Calibri Light" w:hAnsi="Calibri Light" w:cs="Calibri Light"/>
                <w:color w:val="auto"/>
              </w:rPr>
              <w:t xml:space="preserve"> </w:t>
            </w:r>
            <w:r w:rsidR="00BE2FFC" w:rsidRPr="00AA5E2E">
              <w:rPr>
                <w:rFonts w:ascii="Calibri Light" w:eastAsia="Calibri Light" w:hAnsi="Calibri Light" w:cs="Calibri Light"/>
                <w:color w:val="auto"/>
              </w:rPr>
              <w:t xml:space="preserve">an </w:t>
            </w:r>
            <w:r w:rsidR="00606C98" w:rsidRPr="00AA5E2E">
              <w:rPr>
                <w:rFonts w:ascii="Calibri Light" w:eastAsia="Calibri Light" w:hAnsi="Calibri Light" w:cs="Calibri Light"/>
                <w:color w:val="auto"/>
              </w:rPr>
              <w:t xml:space="preserve">estimated </w:t>
            </w:r>
            <w:r w:rsidR="0078409E" w:rsidRPr="00AA5E2E">
              <w:rPr>
                <w:rFonts w:ascii="Calibri Light" w:eastAsia="Calibri Light" w:hAnsi="Calibri Light" w:cs="Calibri Light"/>
                <w:color w:val="auto"/>
              </w:rPr>
              <w:t>10</w:t>
            </w:r>
            <w:r w:rsidR="002D60EA" w:rsidRPr="00AA5E2E">
              <w:rPr>
                <w:rFonts w:ascii="Calibri Light" w:eastAsia="Calibri Light" w:hAnsi="Calibri Light" w:cs="Calibri Light"/>
                <w:color w:val="auto"/>
              </w:rPr>
              <w:t xml:space="preserve"> per cent</w:t>
            </w:r>
            <w:r w:rsidR="0078409E" w:rsidRPr="00AA5E2E">
              <w:rPr>
                <w:rFonts w:ascii="Calibri Light" w:eastAsia="Calibri Light" w:hAnsi="Calibri Light" w:cs="Calibri Light"/>
                <w:color w:val="auto"/>
              </w:rPr>
              <w:t xml:space="preserve"> </w:t>
            </w:r>
            <w:r w:rsidR="00283917" w:rsidRPr="00AA5E2E">
              <w:rPr>
                <w:rFonts w:ascii="Calibri Light" w:eastAsia="Calibri Light" w:hAnsi="Calibri Light" w:cs="Calibri Light"/>
                <w:color w:val="auto"/>
              </w:rPr>
              <w:t xml:space="preserve">more revenue to support service delivery to Nauru. </w:t>
            </w:r>
          </w:p>
          <w:bookmarkEnd w:id="2"/>
          <w:p w14:paraId="67BA43E5" w14:textId="0E311E00" w:rsidR="00283917" w:rsidRPr="00AA5E2E" w:rsidRDefault="00BD689D">
            <w:pPr>
              <w:spacing w:after="120" w:line="240" w:lineRule="auto"/>
              <w:rPr>
                <w:rFonts w:ascii="Calibri Light" w:eastAsia="Calibri Light" w:hAnsi="Calibri Light" w:cs="Calibri Light"/>
                <w:color w:val="auto"/>
              </w:rPr>
            </w:pPr>
            <w:r>
              <w:rPr>
                <w:rFonts w:ascii="Calibri Light" w:eastAsia="Calibri Light" w:hAnsi="Calibri Light" w:cs="Calibri Light"/>
                <w:color w:val="auto"/>
              </w:rPr>
              <w:t xml:space="preserve">With Australia’s assistance, the </w:t>
            </w:r>
            <w:r w:rsidR="00283917" w:rsidRPr="00AA5E2E">
              <w:rPr>
                <w:rFonts w:ascii="Calibri Light" w:eastAsia="Calibri Light" w:hAnsi="Calibri Light" w:cs="Calibri Light"/>
                <w:color w:val="auto"/>
              </w:rPr>
              <w:t>Nauru Revenue Office commenced implementation of a Core Tax Administration System. This will modernise and digitise Nauru’s tax administration processes</w:t>
            </w:r>
            <w:r w:rsidR="00E033A9">
              <w:rPr>
                <w:rFonts w:ascii="Calibri Light" w:eastAsia="Calibri Light" w:hAnsi="Calibri Light" w:cs="Calibri Light"/>
                <w:color w:val="auto"/>
              </w:rPr>
              <w:t xml:space="preserve"> </w:t>
            </w:r>
            <w:r w:rsidR="001A1D2C">
              <w:rPr>
                <w:rFonts w:ascii="Calibri Light" w:eastAsia="Calibri Light" w:hAnsi="Calibri Light" w:cs="Calibri Light"/>
                <w:color w:val="auto"/>
              </w:rPr>
              <w:t xml:space="preserve">and </w:t>
            </w:r>
            <w:r w:rsidR="001A1D2C" w:rsidRPr="00AA5E2E">
              <w:rPr>
                <w:rFonts w:ascii="Calibri Light" w:eastAsia="Calibri Light" w:hAnsi="Calibri Light" w:cs="Calibri Light"/>
                <w:color w:val="auto"/>
              </w:rPr>
              <w:t>reduce</w:t>
            </w:r>
            <w:r w:rsidR="00283917" w:rsidRPr="00AA5E2E">
              <w:rPr>
                <w:rFonts w:ascii="Calibri Light" w:eastAsia="Calibri Light" w:hAnsi="Calibri Light" w:cs="Calibri Light"/>
                <w:color w:val="auto"/>
              </w:rPr>
              <w:t xml:space="preserve"> administrative </w:t>
            </w:r>
            <w:r w:rsidR="00E033A9" w:rsidRPr="00AA5E2E">
              <w:rPr>
                <w:rFonts w:ascii="Calibri Light" w:eastAsia="Calibri Light" w:hAnsi="Calibri Light" w:cs="Calibri Light"/>
                <w:color w:val="auto"/>
              </w:rPr>
              <w:t>burdens</w:t>
            </w:r>
            <w:r w:rsidR="00E033A9">
              <w:rPr>
                <w:rFonts w:ascii="Calibri Light" w:eastAsia="Calibri Light" w:hAnsi="Calibri Light" w:cs="Calibri Light"/>
                <w:color w:val="auto"/>
              </w:rPr>
              <w:t xml:space="preserve">. </w:t>
            </w:r>
          </w:p>
        </w:tc>
      </w:tr>
      <w:bookmarkEnd w:id="1"/>
    </w:tbl>
    <w:p w14:paraId="4177E2F8" w14:textId="2F4B15D8" w:rsidR="00283917" w:rsidRPr="00AA5E2E" w:rsidRDefault="00283917" w:rsidP="00283917">
      <w:pPr>
        <w:rPr>
          <w:color w:val="auto"/>
        </w:rPr>
      </w:pPr>
    </w:p>
    <w:bookmarkEnd w:id="0"/>
    <w:p w14:paraId="5208FEB9" w14:textId="77777777" w:rsidR="009E68F5" w:rsidRPr="00AA5E2E" w:rsidRDefault="009E68F5" w:rsidP="0086008C">
      <w:pPr>
        <w:pStyle w:val="Heading3"/>
      </w:pPr>
    </w:p>
    <w:p w14:paraId="1063CE4E" w14:textId="77777777" w:rsidR="009E68F5" w:rsidRPr="00AA5E2E" w:rsidRDefault="009E68F5" w:rsidP="0086008C">
      <w:pPr>
        <w:pStyle w:val="Heading3"/>
      </w:pPr>
    </w:p>
    <w:p w14:paraId="53EFD26B" w14:textId="77777777" w:rsidR="009E68F5" w:rsidRPr="00AA5E2E" w:rsidRDefault="009E68F5" w:rsidP="0086008C">
      <w:pPr>
        <w:pStyle w:val="Heading3"/>
      </w:pPr>
    </w:p>
    <w:p w14:paraId="14EA8C31" w14:textId="77777777" w:rsidR="009E68F5" w:rsidRPr="00AA5E2E" w:rsidRDefault="009E68F5">
      <w:pPr>
        <w:suppressAutoHyphens w:val="0"/>
        <w:spacing w:before="0" w:after="120" w:line="440" w:lineRule="atLeast"/>
        <w:rPr>
          <w:rFonts w:eastAsiaTheme="majorEastAsia" w:cstheme="minorHAnsi"/>
          <w:b/>
          <w:bCs/>
          <w:iCs/>
          <w:color w:val="auto"/>
        </w:rPr>
      </w:pPr>
      <w:r w:rsidRPr="00AA5E2E">
        <w:rPr>
          <w:color w:val="auto"/>
        </w:rPr>
        <w:br w:type="page"/>
      </w:r>
    </w:p>
    <w:p w14:paraId="3F2619AB" w14:textId="028859C9" w:rsidR="00AE2B7B" w:rsidRPr="00AA5E2E" w:rsidRDefault="00AE2B7B" w:rsidP="0086008C">
      <w:pPr>
        <w:pStyle w:val="Heading3"/>
      </w:pPr>
      <w:r w:rsidRPr="00AA5E2E">
        <w:lastRenderedPageBreak/>
        <w:t>Economic Recovery</w:t>
      </w:r>
      <w:r w:rsidR="002D6754" w:rsidRPr="00AA5E2E">
        <w:t xml:space="preserve"> </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106"/>
        <w:gridCol w:w="6430"/>
      </w:tblGrid>
      <w:tr w:rsidR="00B7225D" w:rsidRPr="00B7225D" w14:paraId="3C91F545" w14:textId="77777777" w:rsidTr="00FC465C">
        <w:trPr>
          <w:cantSplit/>
          <w:tblHeader/>
        </w:trPr>
        <w:tc>
          <w:tcPr>
            <w:tcW w:w="4106" w:type="dxa"/>
            <w:shd w:val="clear" w:color="auto" w:fill="A2DCD1" w:themeFill="accent1" w:themeFillTint="99"/>
            <w:vAlign w:val="bottom"/>
          </w:tcPr>
          <w:p w14:paraId="02EA2777" w14:textId="77777777" w:rsidR="00B7225D" w:rsidRPr="00B7225D" w:rsidRDefault="00B7225D">
            <w:pPr>
              <w:widowControl w:val="0"/>
              <w:spacing w:after="120" w:line="240" w:lineRule="auto"/>
              <w:jc w:val="center"/>
              <w:rPr>
                <w:color w:val="auto"/>
              </w:rPr>
            </w:pPr>
            <w:r w:rsidRPr="00B7225D">
              <w:rPr>
                <w:b/>
                <w:color w:val="auto"/>
              </w:rPr>
              <w:t>Key Results Indicators</w:t>
            </w:r>
          </w:p>
        </w:tc>
        <w:tc>
          <w:tcPr>
            <w:tcW w:w="6430" w:type="dxa"/>
            <w:shd w:val="clear" w:color="auto" w:fill="A2DCD1" w:themeFill="accent1" w:themeFillTint="99"/>
            <w:vAlign w:val="bottom"/>
          </w:tcPr>
          <w:p w14:paraId="6BF8A2FF" w14:textId="77777777" w:rsidR="00B7225D" w:rsidRPr="00B7225D" w:rsidRDefault="00B7225D">
            <w:pPr>
              <w:widowControl w:val="0"/>
              <w:spacing w:after="120" w:line="240" w:lineRule="auto"/>
              <w:jc w:val="center"/>
              <w:rPr>
                <w:color w:val="auto"/>
              </w:rPr>
            </w:pPr>
            <w:r w:rsidRPr="00B7225D">
              <w:rPr>
                <w:b/>
                <w:color w:val="auto"/>
              </w:rPr>
              <w:t>Progress/Result</w:t>
            </w:r>
          </w:p>
        </w:tc>
      </w:tr>
      <w:tr w:rsidR="00B7225D" w:rsidRPr="00B7225D" w14:paraId="740925C2" w14:textId="77777777">
        <w:trPr>
          <w:cantSplit/>
        </w:trPr>
        <w:tc>
          <w:tcPr>
            <w:tcW w:w="4106" w:type="dxa"/>
          </w:tcPr>
          <w:p w14:paraId="467B205F" w14:textId="3A3D1142" w:rsidR="00B7225D" w:rsidRPr="00B7225D" w:rsidRDefault="002E3E21">
            <w:pPr>
              <w:spacing w:after="120" w:line="240" w:lineRule="auto"/>
              <w:rPr>
                <w:color w:val="auto"/>
              </w:rPr>
            </w:pPr>
            <w:r w:rsidRPr="002E3E21">
              <w:rPr>
                <w:color w:val="auto"/>
              </w:rPr>
              <w:t>Examples of policy and technical advice on longer term economic recovery, including accounting for the impacts of climate change</w:t>
            </w:r>
          </w:p>
        </w:tc>
        <w:tc>
          <w:tcPr>
            <w:tcW w:w="6430" w:type="dxa"/>
          </w:tcPr>
          <w:p w14:paraId="5A31EFA0" w14:textId="4C84A873" w:rsidR="00D32E2B" w:rsidRDefault="00D32E2B" w:rsidP="002E3E21">
            <w:pPr>
              <w:spacing w:after="120" w:line="240" w:lineRule="auto"/>
              <w:rPr>
                <w:color w:val="auto"/>
              </w:rPr>
            </w:pPr>
            <w:r w:rsidRPr="00D32E2B">
              <w:rPr>
                <w:color w:val="auto"/>
              </w:rPr>
              <w:t>Seven Australian advisors in the Nauru Ministry of Finance and Nauru Ministry of Infrastructure Development have helped improve public financial management systems and processes. This includes management of national budget, tax and revenue collection, debt management, public accounts, national development planning, international development coordination and infrastructure planning.</w:t>
            </w:r>
          </w:p>
          <w:p w14:paraId="1822399E" w14:textId="1E5912C6" w:rsidR="00B7225D" w:rsidRPr="00B7225D" w:rsidRDefault="002E3E21" w:rsidP="002E3E21">
            <w:pPr>
              <w:spacing w:after="120" w:line="240" w:lineRule="auto"/>
              <w:rPr>
                <w:color w:val="auto"/>
              </w:rPr>
            </w:pPr>
            <w:r w:rsidRPr="002E3E21">
              <w:rPr>
                <w:color w:val="auto"/>
              </w:rPr>
              <w:t>A joint Maritime Capability Needs Assessment was undertaken by Australia to enable Nauru to respond more effectively to national and transnational security challenges. A draft report assessed the maritime security environment, current maritime capabilities and captured a baseline of existing maritime gaps and challenges to inform future cooperation.</w:t>
            </w:r>
          </w:p>
        </w:tc>
      </w:tr>
      <w:tr w:rsidR="00B7225D" w:rsidRPr="00B7225D" w14:paraId="7649D3B3" w14:textId="77777777">
        <w:trPr>
          <w:cantSplit/>
        </w:trPr>
        <w:tc>
          <w:tcPr>
            <w:tcW w:w="4106" w:type="dxa"/>
          </w:tcPr>
          <w:p w14:paraId="1DFA68A2" w14:textId="5423DE40" w:rsidR="00B7225D" w:rsidRPr="00B7225D" w:rsidRDefault="002E3E21">
            <w:pPr>
              <w:spacing w:after="120" w:line="240" w:lineRule="auto"/>
              <w:rPr>
                <w:rFonts w:ascii="Calibri Light" w:eastAsia="Calibri Light" w:hAnsi="Calibri Light" w:cs="Calibri Light"/>
                <w:color w:val="auto"/>
              </w:rPr>
            </w:pPr>
            <w:bookmarkStart w:id="3" w:name="_Hlk142315738"/>
            <w:r w:rsidRPr="002E3E21">
              <w:rPr>
                <w:rFonts w:ascii="Calibri Light" w:eastAsia="Calibri Light" w:hAnsi="Calibri Light" w:cs="Calibri Light"/>
                <w:color w:val="auto"/>
              </w:rPr>
              <w:t>Examples of Australia supporting Nauru’s transport connectivity, including port project progress; progress toward airport runway upgrade; and support for Nauru Airlines</w:t>
            </w:r>
          </w:p>
        </w:tc>
        <w:tc>
          <w:tcPr>
            <w:tcW w:w="6430" w:type="dxa"/>
          </w:tcPr>
          <w:p w14:paraId="18F8501B" w14:textId="06CFE2B3" w:rsidR="002E3E21" w:rsidRPr="002E3E21" w:rsidRDefault="002E3E21" w:rsidP="002E3E21">
            <w:pPr>
              <w:spacing w:after="120" w:line="240" w:lineRule="auto"/>
              <w:rPr>
                <w:color w:val="auto"/>
              </w:rPr>
            </w:pPr>
            <w:r w:rsidRPr="002E3E21">
              <w:rPr>
                <w:color w:val="auto"/>
              </w:rPr>
              <w:t>The Australia – North Pacific Connector was established with Nauru Airlines to improve connectivity and contribute to aviation sector recovery post COVID-19.</w:t>
            </w:r>
          </w:p>
          <w:p w14:paraId="2A8CCAB9" w14:textId="123C31D6" w:rsidR="00B7225D" w:rsidRPr="00B7225D" w:rsidRDefault="002E3E21" w:rsidP="002E3E21">
            <w:pPr>
              <w:spacing w:after="120" w:line="240" w:lineRule="auto"/>
              <w:rPr>
                <w:color w:val="auto"/>
              </w:rPr>
            </w:pPr>
            <w:r w:rsidRPr="002E3E21">
              <w:rPr>
                <w:color w:val="auto"/>
              </w:rPr>
              <w:t xml:space="preserve">A survey of unexploded ordnance was undertaken in preparation for the Nauru Airport Refurbishment Project and the East Micronesian Cable project led by Australian Infrastructure Financing Facility </w:t>
            </w:r>
            <w:r w:rsidR="003759CA">
              <w:rPr>
                <w:color w:val="auto"/>
              </w:rPr>
              <w:t xml:space="preserve">for the Pacific. </w:t>
            </w:r>
            <w:r w:rsidR="000C22BA">
              <w:rPr>
                <w:color w:val="auto"/>
              </w:rPr>
              <w:t xml:space="preserve"> </w:t>
            </w:r>
          </w:p>
        </w:tc>
      </w:tr>
      <w:tr w:rsidR="00B7225D" w:rsidRPr="00B7225D" w14:paraId="3A4FDA7A" w14:textId="77777777">
        <w:trPr>
          <w:cantSplit/>
          <w:trHeight w:val="300"/>
        </w:trPr>
        <w:tc>
          <w:tcPr>
            <w:tcW w:w="4106" w:type="dxa"/>
          </w:tcPr>
          <w:p w14:paraId="094B7896" w14:textId="2BF763C2" w:rsidR="00B7225D" w:rsidRPr="00B7225D" w:rsidRDefault="002E3E21">
            <w:pPr>
              <w:spacing w:after="120" w:line="240" w:lineRule="auto"/>
              <w:rPr>
                <w:rFonts w:ascii="Calibri Light" w:eastAsia="Calibri Light" w:hAnsi="Calibri Light" w:cs="Calibri Light"/>
                <w:color w:val="auto"/>
              </w:rPr>
            </w:pPr>
            <w:bookmarkStart w:id="4" w:name="_Hlk142050030"/>
            <w:bookmarkEnd w:id="3"/>
            <w:r w:rsidRPr="002E3E21">
              <w:rPr>
                <w:rFonts w:ascii="Calibri Light" w:eastAsia="Calibri Light" w:hAnsi="Calibri Light" w:cs="Calibri Light"/>
                <w:color w:val="auto"/>
              </w:rPr>
              <w:t>Examples of partnering with the private sector and other partners to ensure supply lines are open</w:t>
            </w:r>
          </w:p>
        </w:tc>
        <w:tc>
          <w:tcPr>
            <w:tcW w:w="6430" w:type="dxa"/>
          </w:tcPr>
          <w:p w14:paraId="5BAE8CE7" w14:textId="4CFBE3AA" w:rsidR="002E3E21" w:rsidRPr="002E3E21" w:rsidRDefault="002E3E21" w:rsidP="002E3E21">
            <w:pPr>
              <w:spacing w:after="120" w:line="240" w:lineRule="auto"/>
              <w:rPr>
                <w:rFonts w:cstheme="minorHAnsi"/>
                <w:color w:val="auto"/>
              </w:rPr>
            </w:pPr>
            <w:r w:rsidRPr="002E3E21">
              <w:rPr>
                <w:rFonts w:cstheme="minorHAnsi"/>
                <w:color w:val="auto"/>
              </w:rPr>
              <w:t>Australia</w:t>
            </w:r>
            <w:r w:rsidR="000C22BA">
              <w:rPr>
                <w:rFonts w:cstheme="minorHAnsi"/>
                <w:color w:val="auto"/>
              </w:rPr>
              <w:t>n</w:t>
            </w:r>
            <w:r w:rsidRPr="002E3E21">
              <w:rPr>
                <w:rFonts w:cstheme="minorHAnsi"/>
                <w:color w:val="auto"/>
              </w:rPr>
              <w:t xml:space="preserve"> budget support to Nauru helped maintain supplies of essential food and goods by contributing to the cost of 39 freight flights by Nauru Airlines. </w:t>
            </w:r>
          </w:p>
          <w:p w14:paraId="2F5DBE07" w14:textId="7585C798" w:rsidR="00B7225D" w:rsidRPr="00B7225D" w:rsidRDefault="00052E7D" w:rsidP="00052E7D">
            <w:pPr>
              <w:spacing w:after="120" w:line="240" w:lineRule="auto"/>
              <w:rPr>
                <w:rFonts w:cstheme="minorHAnsi"/>
                <w:color w:val="auto"/>
              </w:rPr>
            </w:pPr>
            <w:r w:rsidRPr="00052E7D">
              <w:rPr>
                <w:rFonts w:cstheme="minorHAnsi"/>
                <w:color w:val="auto"/>
              </w:rPr>
              <w:t>The Australian supported Port Redevelopment Project opened an operational wharf for interim shipping. This enabled discharge of cargo from Nauru’s shipping vessel, the Micronesian Pride, to occur safely.</w:t>
            </w:r>
          </w:p>
        </w:tc>
      </w:tr>
      <w:bookmarkEnd w:id="4"/>
    </w:tbl>
    <w:p w14:paraId="11BFAD1F" w14:textId="01613497" w:rsidR="00283917" w:rsidRPr="00B7225D" w:rsidRDefault="00283917" w:rsidP="00283917">
      <w:pPr>
        <w:rPr>
          <w:color w:val="auto"/>
        </w:rPr>
      </w:pPr>
    </w:p>
    <w:p w14:paraId="092B2C6C" w14:textId="77777777" w:rsidR="00283917" w:rsidRPr="00B7225D" w:rsidRDefault="00283917" w:rsidP="00283917">
      <w:pPr>
        <w:rPr>
          <w:color w:val="auto"/>
        </w:rPr>
      </w:pPr>
    </w:p>
    <w:p w14:paraId="2F13E6BA" w14:textId="77777777" w:rsidR="008A6BB7" w:rsidRPr="00AA5E2E" w:rsidRDefault="008A6BB7" w:rsidP="0086008C">
      <w:pPr>
        <w:pStyle w:val="Heading2"/>
        <w:sectPr w:rsidR="008A6BB7" w:rsidRPr="00AA5E2E" w:rsidSect="00952815">
          <w:headerReference w:type="default" r:id="rId8"/>
          <w:footerReference w:type="default" r:id="rId9"/>
          <w:headerReference w:type="first" r:id="rId10"/>
          <w:pgSz w:w="11906" w:h="16838" w:code="9"/>
          <w:pgMar w:top="1559" w:right="680" w:bottom="1418" w:left="680" w:header="567" w:footer="340" w:gutter="0"/>
          <w:cols w:space="397"/>
          <w:docGrid w:linePitch="360"/>
        </w:sectPr>
      </w:pPr>
    </w:p>
    <w:p w14:paraId="0755CEE6" w14:textId="77777777" w:rsidR="00AE5925" w:rsidRPr="00AA5E2E" w:rsidRDefault="00AE5925" w:rsidP="00FC465C">
      <w:pPr>
        <w:pStyle w:val="Heading3"/>
      </w:pPr>
      <w:r w:rsidRPr="00AA5E2E">
        <w:lastRenderedPageBreak/>
        <w:t>Investment Performance ratings</w:t>
      </w:r>
    </w:p>
    <w:tbl>
      <w:tblPr>
        <w:tblStyle w:val="DFATTable1"/>
        <w:tblW w:w="1048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none" w:sz="0" w:space="0" w:color="auto"/>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673"/>
        <w:gridCol w:w="1418"/>
        <w:gridCol w:w="1417"/>
        <w:gridCol w:w="1276"/>
        <w:gridCol w:w="1701"/>
      </w:tblGrid>
      <w:tr w:rsidR="00AA5E2E" w:rsidRPr="00AA5E2E" w14:paraId="7FE9AED3" w14:textId="77777777" w:rsidTr="008F5B97">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673" w:type="dxa"/>
            <w:shd w:val="clear" w:color="auto" w:fill="A2DCD1" w:themeFill="accent1" w:themeFillTint="99"/>
            <w:noWrap/>
            <w:hideMark/>
          </w:tcPr>
          <w:p w14:paraId="01EEF9D7" w14:textId="77777777" w:rsidR="00AE5925" w:rsidRPr="00AA5E2E" w:rsidRDefault="00AE5925">
            <w:pPr>
              <w:suppressAutoHyphens w:val="0"/>
              <w:spacing w:before="0" w:after="0" w:line="240" w:lineRule="auto"/>
              <w:jc w:val="center"/>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Investment Details</w:t>
            </w:r>
          </w:p>
        </w:tc>
        <w:tc>
          <w:tcPr>
            <w:tcW w:w="1418" w:type="dxa"/>
            <w:shd w:val="clear" w:color="auto" w:fill="A2DCD1" w:themeFill="accent1" w:themeFillTint="99"/>
            <w:noWrap/>
            <w:hideMark/>
          </w:tcPr>
          <w:p w14:paraId="47F36DFE"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Year</w:t>
            </w:r>
          </w:p>
        </w:tc>
        <w:tc>
          <w:tcPr>
            <w:tcW w:w="1417" w:type="dxa"/>
            <w:shd w:val="clear" w:color="auto" w:fill="A2DCD1" w:themeFill="accent1" w:themeFillTint="99"/>
            <w:noWrap/>
            <w:hideMark/>
          </w:tcPr>
          <w:p w14:paraId="60CF8EA7"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Effectiveness</w:t>
            </w:r>
          </w:p>
        </w:tc>
        <w:tc>
          <w:tcPr>
            <w:tcW w:w="1276" w:type="dxa"/>
            <w:shd w:val="clear" w:color="auto" w:fill="A2DCD1" w:themeFill="accent1" w:themeFillTint="99"/>
            <w:noWrap/>
            <w:hideMark/>
          </w:tcPr>
          <w:p w14:paraId="15A0844C"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Efficiency</w:t>
            </w:r>
          </w:p>
        </w:tc>
        <w:tc>
          <w:tcPr>
            <w:tcW w:w="1701" w:type="dxa"/>
            <w:shd w:val="clear" w:color="auto" w:fill="A2DCD1" w:themeFill="accent1" w:themeFillTint="99"/>
            <w:noWrap/>
            <w:hideMark/>
          </w:tcPr>
          <w:p w14:paraId="4A00131A"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Gender Equality</w:t>
            </w:r>
          </w:p>
        </w:tc>
      </w:tr>
      <w:tr w:rsidR="00AA5E2E" w:rsidRPr="00AA5E2E" w14:paraId="34E659A1" w14:textId="77777777" w:rsidTr="008F5B97">
        <w:trPr>
          <w:cnfStyle w:val="000000100000" w:firstRow="0" w:lastRow="0" w:firstColumn="0" w:lastColumn="0" w:oddVBand="0" w:evenVBand="0" w:oddHBand="1" w:evenHBand="0" w:firstRowFirstColumn="0" w:firstRowLastColumn="0" w:lastRowFirstColumn="0" w:lastRowLastColumn="0"/>
          <w:cantSplit/>
          <w:trHeight w:hRule="exact" w:val="364"/>
        </w:trPr>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vAlign w:val="bottom"/>
            <w:hideMark/>
          </w:tcPr>
          <w:p w14:paraId="42E4C173" w14:textId="77777777" w:rsidR="00AE5925" w:rsidRPr="00AA5E2E" w:rsidRDefault="00AE5925">
            <w:pPr>
              <w:widowControl w:val="0"/>
              <w:suppressAutoHyphens w:val="0"/>
              <w:spacing w:before="0" w:after="0" w:line="240" w:lineRule="auto"/>
              <w:rPr>
                <w:rFonts w:asciiTheme="minorHAnsi" w:eastAsia="Times New Roman" w:hAnsiTheme="minorHAnsi" w:cstheme="minorHAnsi"/>
                <w:b/>
                <w:bCs/>
                <w:color w:val="auto"/>
                <w:lang w:eastAsia="en-AU"/>
              </w:rPr>
            </w:pPr>
            <w:r w:rsidRPr="00AA5E2E">
              <w:rPr>
                <w:rFonts w:asciiTheme="minorHAnsi" w:eastAsia="Times New Roman" w:hAnsiTheme="minorHAnsi" w:cstheme="minorHAnsi"/>
                <w:b/>
                <w:bCs/>
                <w:color w:val="auto"/>
                <w:lang w:eastAsia="en-AU"/>
              </w:rPr>
              <w:t xml:space="preserve">Nauru Infrastructure and Services </w:t>
            </w:r>
          </w:p>
          <w:p w14:paraId="5CDE28B9" w14:textId="77777777" w:rsidR="00AE5925" w:rsidRPr="00AA5E2E" w:rsidRDefault="00AE5925">
            <w:pPr>
              <w:spacing w:before="0" w:after="0" w:line="240" w:lineRule="auto"/>
              <w:rPr>
                <w:color w:val="auto"/>
              </w:rPr>
            </w:pPr>
          </w:p>
        </w:tc>
        <w:tc>
          <w:tcPr>
            <w:tcW w:w="1418" w:type="dxa"/>
            <w:tcBorders>
              <w:top w:val="single" w:sz="4" w:space="0" w:color="65C5B4" w:themeColor="accent1"/>
              <w:bottom w:val="single" w:sz="4" w:space="0" w:color="65C5B4" w:themeColor="accent1"/>
            </w:tcBorders>
            <w:shd w:val="clear" w:color="auto" w:fill="F2F2F2" w:themeFill="background1" w:themeFillShade="F2"/>
          </w:tcPr>
          <w:p w14:paraId="51CD3A24" w14:textId="77777777" w:rsidR="00AE5925" w:rsidRPr="00AA5E2E" w:rsidRDefault="00AE5925">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AA5E2E">
              <w:rPr>
                <w:rFonts w:asciiTheme="minorHAnsi" w:eastAsia="Times New Roman" w:hAnsiTheme="minorHAnsi" w:cstheme="minorHAnsi"/>
                <w:color w:val="auto"/>
                <w:lang w:eastAsia="en-AU"/>
              </w:rPr>
              <w:t>2023</w:t>
            </w:r>
          </w:p>
        </w:tc>
        <w:tc>
          <w:tcPr>
            <w:tcW w:w="1417" w:type="dxa"/>
            <w:tcBorders>
              <w:top w:val="single" w:sz="4" w:space="0" w:color="65C5B4" w:themeColor="accent1"/>
              <w:bottom w:val="single" w:sz="4" w:space="0" w:color="65C5B4" w:themeColor="accent1"/>
            </w:tcBorders>
            <w:shd w:val="clear" w:color="auto" w:fill="F2F2F2" w:themeFill="background1" w:themeFillShade="F2"/>
            <w:noWrap/>
          </w:tcPr>
          <w:p w14:paraId="493C575C" w14:textId="77777777" w:rsidR="00AE5925" w:rsidRPr="00AA5E2E" w:rsidRDefault="00AE5925">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c>
          <w:tcPr>
            <w:tcW w:w="1276" w:type="dxa"/>
            <w:tcBorders>
              <w:top w:val="single" w:sz="4" w:space="0" w:color="65C5B4" w:themeColor="accent1"/>
              <w:bottom w:val="single" w:sz="4" w:space="0" w:color="65C5B4" w:themeColor="accent1"/>
            </w:tcBorders>
            <w:shd w:val="clear" w:color="auto" w:fill="F2F2F2" w:themeFill="background1" w:themeFillShade="F2"/>
            <w:noWrap/>
          </w:tcPr>
          <w:p w14:paraId="2AF04DEC" w14:textId="77777777" w:rsidR="00AE5925" w:rsidRPr="00AA5E2E" w:rsidRDefault="00AE5925">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3</w:t>
            </w:r>
          </w:p>
        </w:tc>
        <w:tc>
          <w:tcPr>
            <w:tcW w:w="1701" w:type="dxa"/>
            <w:tcBorders>
              <w:top w:val="single" w:sz="4" w:space="0" w:color="65C5B4" w:themeColor="accent1"/>
              <w:bottom w:val="single" w:sz="4" w:space="0" w:color="65C5B4" w:themeColor="accent1"/>
            </w:tcBorders>
            <w:shd w:val="clear" w:color="auto" w:fill="F2F2F2" w:themeFill="background1" w:themeFillShade="F2"/>
            <w:noWrap/>
          </w:tcPr>
          <w:p w14:paraId="5FEA26FB" w14:textId="77777777" w:rsidR="00AE5925" w:rsidRPr="00AA5E2E" w:rsidRDefault="00AE5925">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3</w:t>
            </w:r>
          </w:p>
        </w:tc>
      </w:tr>
      <w:tr w:rsidR="00AA5E2E" w:rsidRPr="00AA5E2E" w14:paraId="38165A12" w14:textId="77777777" w:rsidTr="008F5B9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hideMark/>
          </w:tcPr>
          <w:p w14:paraId="0409454A" w14:textId="77777777" w:rsidR="00AE5925" w:rsidRPr="00AA5E2E" w:rsidRDefault="00AE5925" w:rsidP="001A4F43">
            <w:pPr>
              <w:suppressAutoHyphens w:val="0"/>
              <w:spacing w:before="0" w:after="0" w:line="240" w:lineRule="auto"/>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Investment duration: 2009-24; Budget: $76.7m</w:t>
            </w:r>
          </w:p>
        </w:tc>
        <w:tc>
          <w:tcPr>
            <w:tcW w:w="1418" w:type="dxa"/>
            <w:tcBorders>
              <w:top w:val="single" w:sz="4" w:space="0" w:color="65C5B4" w:themeColor="accent1"/>
              <w:bottom w:val="single" w:sz="4" w:space="0" w:color="65C5B4" w:themeColor="accent1"/>
            </w:tcBorders>
            <w:shd w:val="clear" w:color="auto" w:fill="F2F2F2" w:themeFill="background1" w:themeFillShade="F2"/>
          </w:tcPr>
          <w:p w14:paraId="72B3EC84" w14:textId="77777777" w:rsidR="00AE5925" w:rsidRPr="00AA5E2E" w:rsidRDefault="00AE592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AA5E2E">
              <w:rPr>
                <w:rFonts w:asciiTheme="minorHAnsi" w:eastAsia="Times New Roman" w:hAnsiTheme="minorHAnsi" w:cstheme="minorHAnsi"/>
                <w:color w:val="auto"/>
                <w:lang w:eastAsia="en-AU"/>
              </w:rPr>
              <w:t>2022</w:t>
            </w:r>
          </w:p>
        </w:tc>
        <w:tc>
          <w:tcPr>
            <w:tcW w:w="1417" w:type="dxa"/>
            <w:tcBorders>
              <w:top w:val="single" w:sz="4" w:space="0" w:color="65C5B4" w:themeColor="accent1"/>
              <w:bottom w:val="single" w:sz="4" w:space="0" w:color="65C5B4" w:themeColor="accent1"/>
            </w:tcBorders>
            <w:shd w:val="clear" w:color="auto" w:fill="F2F2F2" w:themeFill="background1" w:themeFillShade="F2"/>
            <w:noWrap/>
          </w:tcPr>
          <w:p w14:paraId="7B856C7A" w14:textId="77777777" w:rsidR="00AE5925" w:rsidRPr="00AA5E2E" w:rsidRDefault="00AE592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c>
          <w:tcPr>
            <w:tcW w:w="1276" w:type="dxa"/>
            <w:tcBorders>
              <w:top w:val="single" w:sz="4" w:space="0" w:color="65C5B4" w:themeColor="accent1"/>
              <w:bottom w:val="single" w:sz="4" w:space="0" w:color="65C5B4" w:themeColor="accent1"/>
            </w:tcBorders>
            <w:shd w:val="clear" w:color="auto" w:fill="F2F2F2" w:themeFill="background1" w:themeFillShade="F2"/>
            <w:noWrap/>
          </w:tcPr>
          <w:p w14:paraId="489F6D25" w14:textId="77777777" w:rsidR="00AE5925" w:rsidRPr="00AA5E2E" w:rsidRDefault="00AE592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c>
          <w:tcPr>
            <w:tcW w:w="1701" w:type="dxa"/>
            <w:tcBorders>
              <w:top w:val="single" w:sz="4" w:space="0" w:color="65C5B4" w:themeColor="accent1"/>
              <w:bottom w:val="single" w:sz="4" w:space="0" w:color="65C5B4" w:themeColor="accent1"/>
            </w:tcBorders>
            <w:shd w:val="clear" w:color="auto" w:fill="F2F2F2" w:themeFill="background1" w:themeFillShade="F2"/>
            <w:noWrap/>
          </w:tcPr>
          <w:p w14:paraId="272B02C7" w14:textId="77777777" w:rsidR="00AE5925" w:rsidRPr="00AA5E2E" w:rsidRDefault="00AE592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r>
    </w:tbl>
    <w:p w14:paraId="4C8A2CD8" w14:textId="77777777" w:rsidR="00AE5925" w:rsidRPr="00AA5E2E" w:rsidRDefault="00AE5925" w:rsidP="00FC465C">
      <w:pPr>
        <w:pStyle w:val="Heading3"/>
      </w:pPr>
      <w:r w:rsidRPr="00AA5E2E">
        <w:t>Final Investment Performance ratings</w:t>
      </w:r>
    </w:p>
    <w:tbl>
      <w:tblPr>
        <w:tblStyle w:val="DFATTable1"/>
        <w:tblW w:w="1048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673"/>
        <w:gridCol w:w="1418"/>
        <w:gridCol w:w="1417"/>
        <w:gridCol w:w="1276"/>
        <w:gridCol w:w="1701"/>
      </w:tblGrid>
      <w:tr w:rsidR="00AA5E2E" w:rsidRPr="00AA5E2E" w14:paraId="2EBB9BC8" w14:textId="77777777" w:rsidTr="008F5B97">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673" w:type="dxa"/>
            <w:shd w:val="clear" w:color="auto" w:fill="A2DCD1" w:themeFill="accent1" w:themeFillTint="99"/>
            <w:noWrap/>
            <w:hideMark/>
          </w:tcPr>
          <w:p w14:paraId="6BE73F2C" w14:textId="77777777" w:rsidR="00AE5925" w:rsidRPr="00AA5E2E" w:rsidRDefault="00AE5925">
            <w:pPr>
              <w:suppressAutoHyphens w:val="0"/>
              <w:spacing w:before="0" w:after="0" w:line="240" w:lineRule="auto"/>
              <w:jc w:val="center"/>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Investment Details</w:t>
            </w:r>
          </w:p>
        </w:tc>
        <w:tc>
          <w:tcPr>
            <w:tcW w:w="1418" w:type="dxa"/>
            <w:shd w:val="clear" w:color="auto" w:fill="A2DCD1" w:themeFill="accent1" w:themeFillTint="99"/>
            <w:noWrap/>
            <w:hideMark/>
          </w:tcPr>
          <w:p w14:paraId="216F599F"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Year</w:t>
            </w:r>
          </w:p>
        </w:tc>
        <w:tc>
          <w:tcPr>
            <w:tcW w:w="1417" w:type="dxa"/>
            <w:shd w:val="clear" w:color="auto" w:fill="A2DCD1" w:themeFill="accent1" w:themeFillTint="99"/>
            <w:noWrap/>
            <w:hideMark/>
          </w:tcPr>
          <w:p w14:paraId="47CDEC1F"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Effectiveness</w:t>
            </w:r>
          </w:p>
        </w:tc>
        <w:tc>
          <w:tcPr>
            <w:tcW w:w="1276" w:type="dxa"/>
            <w:shd w:val="clear" w:color="auto" w:fill="A2DCD1" w:themeFill="accent1" w:themeFillTint="99"/>
            <w:noWrap/>
            <w:hideMark/>
          </w:tcPr>
          <w:p w14:paraId="41E8466A"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Efficiency</w:t>
            </w:r>
          </w:p>
        </w:tc>
        <w:tc>
          <w:tcPr>
            <w:tcW w:w="1701" w:type="dxa"/>
            <w:shd w:val="clear" w:color="auto" w:fill="A2DCD1" w:themeFill="accent1" w:themeFillTint="99"/>
            <w:noWrap/>
            <w:hideMark/>
          </w:tcPr>
          <w:p w14:paraId="06E23298" w14:textId="77777777" w:rsidR="00AE5925" w:rsidRPr="00AA5E2E" w:rsidRDefault="00AE592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AA5E2E">
              <w:rPr>
                <w:rFonts w:asciiTheme="minorHAnsi" w:eastAsia="Times New Roman" w:hAnsiTheme="minorHAnsi" w:cstheme="minorHAnsi"/>
                <w:b/>
                <w:bCs/>
                <w:color w:val="auto"/>
                <w:lang w:val="en-AU" w:eastAsia="en-AU"/>
              </w:rPr>
              <w:t>Gender Equality</w:t>
            </w:r>
          </w:p>
        </w:tc>
      </w:tr>
      <w:tr w:rsidR="00AA5E2E" w:rsidRPr="00AA5E2E" w14:paraId="6A640BA7" w14:textId="77777777" w:rsidTr="008F5B97">
        <w:trPr>
          <w:cnfStyle w:val="000000100000" w:firstRow="0" w:lastRow="0" w:firstColumn="0" w:lastColumn="0" w:oddVBand="0" w:evenVBand="0" w:oddHBand="1" w:evenHBand="0" w:firstRowFirstColumn="0" w:firstRowLastColumn="0" w:lastRowFirstColumn="0" w:lastRowLastColumn="0"/>
          <w:cantSplit/>
          <w:trHeight w:hRule="exact" w:val="364"/>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vAlign w:val="bottom"/>
            <w:hideMark/>
          </w:tcPr>
          <w:p w14:paraId="6E5401B9" w14:textId="77777777" w:rsidR="00AE5925" w:rsidRPr="00AA5E2E" w:rsidRDefault="00AE5925">
            <w:pPr>
              <w:spacing w:before="0" w:after="0" w:line="240" w:lineRule="auto"/>
              <w:rPr>
                <w:color w:val="auto"/>
              </w:rPr>
            </w:pPr>
            <w:r w:rsidRPr="00AA5E2E">
              <w:rPr>
                <w:rFonts w:asciiTheme="minorHAnsi" w:eastAsia="Times New Roman" w:hAnsiTheme="minorHAnsi" w:cstheme="minorHAnsi"/>
                <w:b/>
                <w:bCs/>
                <w:color w:val="auto"/>
                <w:lang w:eastAsia="en-AU"/>
              </w:rPr>
              <w:t>Nauru Public Sector Reform</w:t>
            </w:r>
          </w:p>
        </w:tc>
        <w:tc>
          <w:tcPr>
            <w:tcW w:w="1418" w:type="dxa"/>
            <w:tcBorders>
              <w:left w:val="single" w:sz="4" w:space="0" w:color="65C5B4" w:themeColor="accent1"/>
            </w:tcBorders>
            <w:shd w:val="clear" w:color="auto" w:fill="F2F2F2" w:themeFill="background1" w:themeFillShade="F2"/>
          </w:tcPr>
          <w:p w14:paraId="27D30DA5" w14:textId="77777777" w:rsidR="00AE5925" w:rsidRPr="00AA5E2E" w:rsidRDefault="00AE5925" w:rsidP="0051686F">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AA5E2E">
              <w:rPr>
                <w:rFonts w:asciiTheme="minorHAnsi" w:eastAsia="Times New Roman" w:hAnsiTheme="minorHAnsi" w:cstheme="minorHAnsi"/>
                <w:color w:val="auto"/>
                <w:lang w:val="en-AU" w:eastAsia="en-AU"/>
              </w:rPr>
              <w:t>2023 FIMR</w:t>
            </w:r>
          </w:p>
        </w:tc>
        <w:tc>
          <w:tcPr>
            <w:tcW w:w="1417" w:type="dxa"/>
            <w:shd w:val="clear" w:color="auto" w:fill="F2F2F2" w:themeFill="background1" w:themeFillShade="F2"/>
            <w:noWrap/>
          </w:tcPr>
          <w:p w14:paraId="66BF3B18" w14:textId="77777777" w:rsidR="00AE5925" w:rsidRPr="00AA5E2E" w:rsidRDefault="00AE5925">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c>
          <w:tcPr>
            <w:tcW w:w="1276" w:type="dxa"/>
            <w:shd w:val="clear" w:color="auto" w:fill="F2F2F2" w:themeFill="background1" w:themeFillShade="F2"/>
            <w:noWrap/>
          </w:tcPr>
          <w:p w14:paraId="514B04D9" w14:textId="77777777" w:rsidR="00AE5925" w:rsidRPr="00AA5E2E" w:rsidRDefault="00AE5925">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c>
          <w:tcPr>
            <w:tcW w:w="1701" w:type="dxa"/>
            <w:shd w:val="clear" w:color="auto" w:fill="F2F2F2" w:themeFill="background1" w:themeFillShade="F2"/>
            <w:noWrap/>
          </w:tcPr>
          <w:p w14:paraId="4605DFB5" w14:textId="77777777" w:rsidR="00AE5925" w:rsidRPr="00AA5E2E" w:rsidRDefault="00AE5925">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2</w:t>
            </w:r>
          </w:p>
        </w:tc>
      </w:tr>
      <w:tr w:rsidR="00AA5E2E" w:rsidRPr="00AA5E2E" w14:paraId="4B151223" w14:textId="77777777" w:rsidTr="008F5B9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673"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1B1FEAE6" w14:textId="77777777" w:rsidR="00AE5925" w:rsidRPr="00AA5E2E" w:rsidRDefault="00AE5925" w:rsidP="001A4F43">
            <w:pPr>
              <w:suppressAutoHyphens w:val="0"/>
              <w:spacing w:before="0" w:after="0" w:line="240" w:lineRule="auto"/>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Investment duration: 2009-23; Budget: $71.0m</w:t>
            </w:r>
          </w:p>
        </w:tc>
        <w:tc>
          <w:tcPr>
            <w:tcW w:w="1418" w:type="dxa"/>
            <w:tcBorders>
              <w:left w:val="single" w:sz="4" w:space="0" w:color="65C5B4" w:themeColor="accent1"/>
              <w:bottom w:val="single" w:sz="4" w:space="0" w:color="65C5B4" w:themeColor="accent1"/>
            </w:tcBorders>
            <w:shd w:val="clear" w:color="auto" w:fill="F2F2F2" w:themeFill="background1" w:themeFillShade="F2"/>
          </w:tcPr>
          <w:p w14:paraId="32833C3E" w14:textId="77777777" w:rsidR="00AE5925" w:rsidRPr="00AA5E2E" w:rsidRDefault="00AE5925" w:rsidP="0051686F">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AA5E2E">
              <w:rPr>
                <w:rFonts w:asciiTheme="minorHAnsi" w:eastAsia="Times New Roman" w:hAnsiTheme="minorHAnsi" w:cstheme="minorHAnsi"/>
                <w:color w:val="auto"/>
                <w:lang w:val="en-AU" w:eastAsia="en-AU"/>
              </w:rPr>
              <w:t>2022 IMR</w:t>
            </w:r>
          </w:p>
        </w:tc>
        <w:tc>
          <w:tcPr>
            <w:tcW w:w="1417" w:type="dxa"/>
            <w:tcBorders>
              <w:bottom w:val="single" w:sz="4" w:space="0" w:color="65C5B4" w:themeColor="accent1"/>
            </w:tcBorders>
            <w:shd w:val="clear" w:color="auto" w:fill="F2F2F2" w:themeFill="background1" w:themeFillShade="F2"/>
            <w:noWrap/>
          </w:tcPr>
          <w:p w14:paraId="6FAAE353" w14:textId="77777777" w:rsidR="00AE5925" w:rsidRPr="00AA5E2E" w:rsidRDefault="00AE592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c>
          <w:tcPr>
            <w:tcW w:w="1276" w:type="dxa"/>
            <w:tcBorders>
              <w:bottom w:val="single" w:sz="4" w:space="0" w:color="65C5B4" w:themeColor="accent1"/>
            </w:tcBorders>
            <w:shd w:val="clear" w:color="auto" w:fill="F2F2F2" w:themeFill="background1" w:themeFillShade="F2"/>
            <w:noWrap/>
          </w:tcPr>
          <w:p w14:paraId="09DFC7F7" w14:textId="77777777" w:rsidR="00AE5925" w:rsidRPr="00AA5E2E" w:rsidRDefault="00AE592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4</w:t>
            </w:r>
          </w:p>
        </w:tc>
        <w:tc>
          <w:tcPr>
            <w:tcW w:w="1701" w:type="dxa"/>
            <w:tcBorders>
              <w:bottom w:val="single" w:sz="4" w:space="0" w:color="65C5B4" w:themeColor="accent1"/>
            </w:tcBorders>
            <w:shd w:val="clear" w:color="auto" w:fill="F2F2F2" w:themeFill="background1" w:themeFillShade="F2"/>
            <w:noWrap/>
          </w:tcPr>
          <w:p w14:paraId="6906F5EA" w14:textId="77777777" w:rsidR="00AE5925" w:rsidRPr="00AA5E2E" w:rsidRDefault="00AE592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AA5E2E">
              <w:rPr>
                <w:rFonts w:asciiTheme="minorHAnsi" w:eastAsia="Times New Roman" w:hAnsiTheme="minorHAnsi" w:cstheme="minorHAnsi"/>
                <w:color w:val="auto"/>
                <w:lang w:val="en-AU" w:eastAsia="en-AU"/>
              </w:rPr>
              <w:t>3</w:t>
            </w:r>
          </w:p>
        </w:tc>
      </w:tr>
    </w:tbl>
    <w:p w14:paraId="17600418" w14:textId="6B37AFAC" w:rsidR="00681633" w:rsidRPr="00AA5E2E" w:rsidRDefault="300E1F71" w:rsidP="00FC465C">
      <w:pPr>
        <w:pStyle w:val="Heading3"/>
        <w:rPr>
          <w:rFonts w:eastAsia="Times New Roman"/>
        </w:rPr>
      </w:pPr>
      <w:r w:rsidRPr="00AA5E2E">
        <w:rPr>
          <w:rFonts w:eastAsia="Times New Roman"/>
        </w:rPr>
        <w:t>Definitions of rating scale:</w:t>
      </w:r>
      <w:r w:rsidR="00681633" w:rsidRPr="00AA5E2E">
        <w:tab/>
      </w:r>
    </w:p>
    <w:p w14:paraId="5989C7B0" w14:textId="77777777" w:rsidR="00681633" w:rsidRPr="00AA5E2E" w:rsidRDefault="00681633" w:rsidP="00681633">
      <w:pPr>
        <w:spacing w:before="20" w:after="20" w:line="180" w:lineRule="atLeast"/>
        <w:jc w:val="both"/>
        <w:rPr>
          <w:rFonts w:eastAsia="Times New Roman"/>
          <w:color w:val="auto"/>
          <w:sz w:val="20"/>
          <w:szCs w:val="20"/>
        </w:rPr>
      </w:pPr>
      <w:r w:rsidRPr="00AA5E2E">
        <w:rPr>
          <w:rFonts w:eastAsia="Times New Roman"/>
          <w:color w:val="auto"/>
          <w:sz w:val="20"/>
          <w:szCs w:val="20"/>
          <w:u w:val="single"/>
        </w:rPr>
        <w:t>Satisfactory (4, 5 and 6)</w:t>
      </w:r>
    </w:p>
    <w:p w14:paraId="15BE82E8" w14:textId="77777777" w:rsidR="00681633" w:rsidRPr="00AA5E2E" w:rsidRDefault="00681633" w:rsidP="00681633">
      <w:pPr>
        <w:spacing w:line="240" w:lineRule="auto"/>
        <w:rPr>
          <w:color w:val="auto"/>
          <w:sz w:val="20"/>
          <w:szCs w:val="20"/>
        </w:rPr>
      </w:pPr>
      <w:r w:rsidRPr="00AA5E2E">
        <w:rPr>
          <w:color w:val="auto"/>
          <w:sz w:val="20"/>
          <w:szCs w:val="20"/>
        </w:rPr>
        <w:t xml:space="preserve">6 = Very good; satisfies criteria in all areas. </w:t>
      </w:r>
      <w:r w:rsidRPr="00AA5E2E">
        <w:rPr>
          <w:color w:val="auto"/>
          <w:sz w:val="20"/>
          <w:szCs w:val="20"/>
        </w:rPr>
        <w:br/>
        <w:t>5 = Good; satisfies criteria in almost all areas.</w:t>
      </w:r>
      <w:r w:rsidRPr="00AA5E2E">
        <w:rPr>
          <w:color w:val="auto"/>
          <w:sz w:val="20"/>
          <w:szCs w:val="20"/>
        </w:rPr>
        <w:br/>
        <w:t>4 = Adequate; on balance, satisfies criteria; does not fail in any major area.</w:t>
      </w:r>
    </w:p>
    <w:p w14:paraId="48B0BB33" w14:textId="77777777" w:rsidR="00681633" w:rsidRPr="00AA5E2E" w:rsidRDefault="00681633" w:rsidP="00681633">
      <w:pPr>
        <w:spacing w:line="240" w:lineRule="auto"/>
        <w:rPr>
          <w:color w:val="auto"/>
          <w:sz w:val="20"/>
          <w:szCs w:val="20"/>
          <w:u w:val="single"/>
        </w:rPr>
      </w:pPr>
      <w:r w:rsidRPr="00AA5E2E">
        <w:rPr>
          <w:color w:val="auto"/>
          <w:sz w:val="20"/>
          <w:szCs w:val="20"/>
          <w:u w:val="single"/>
        </w:rPr>
        <w:t>Less than satisfactory (1, 2 and 3)</w:t>
      </w:r>
    </w:p>
    <w:p w14:paraId="4DC45723" w14:textId="71EDD40F" w:rsidR="00681633" w:rsidRPr="00AA5E2E" w:rsidRDefault="00681633" w:rsidP="00996FC8">
      <w:pPr>
        <w:spacing w:line="240" w:lineRule="auto"/>
        <w:rPr>
          <w:color w:val="auto"/>
          <w:sz w:val="20"/>
          <w:szCs w:val="20"/>
        </w:rPr>
      </w:pPr>
      <w:r w:rsidRPr="00AA5E2E">
        <w:rPr>
          <w:color w:val="auto"/>
          <w:sz w:val="20"/>
          <w:szCs w:val="20"/>
        </w:rPr>
        <w:t>3 = Less than adequate; on balance does not satisfy criteria and/or fails in at least one major area.</w:t>
      </w:r>
      <w:r w:rsidRPr="00AA5E2E">
        <w:rPr>
          <w:color w:val="auto"/>
          <w:sz w:val="20"/>
          <w:szCs w:val="20"/>
        </w:rPr>
        <w:br/>
        <w:t>2 = Poor; does not satisfy criteria in major areas.</w:t>
      </w:r>
      <w:r w:rsidR="00996FC8" w:rsidRPr="00AA5E2E">
        <w:rPr>
          <w:color w:val="auto"/>
          <w:sz w:val="20"/>
          <w:szCs w:val="20"/>
        </w:rPr>
        <w:br/>
      </w:r>
      <w:r w:rsidRPr="00AA5E2E">
        <w:rPr>
          <w:color w:val="auto"/>
          <w:sz w:val="20"/>
          <w:szCs w:val="20"/>
        </w:rPr>
        <w:t xml:space="preserve">1 = Very poor; does not satisfy criteria in many major </w:t>
      </w:r>
      <w:r w:rsidR="00F030E0" w:rsidRPr="00AA5E2E">
        <w:rPr>
          <w:color w:val="auto"/>
          <w:sz w:val="20"/>
          <w:szCs w:val="20"/>
        </w:rPr>
        <w:t>areas</w:t>
      </w:r>
      <w:r w:rsidRPr="00AA5E2E">
        <w:rPr>
          <w:color w:val="auto"/>
          <w:sz w:val="20"/>
          <w:szCs w:val="20"/>
        </w:rPr>
        <w:t>.</w:t>
      </w:r>
    </w:p>
    <w:sectPr w:rsidR="00681633" w:rsidRPr="00AA5E2E"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DE30" w14:textId="77777777" w:rsidR="00C6417E" w:rsidRDefault="00C6417E" w:rsidP="00D37B04">
      <w:r>
        <w:separator/>
      </w:r>
    </w:p>
  </w:endnote>
  <w:endnote w:type="continuationSeparator" w:id="0">
    <w:p w14:paraId="6F2AC259" w14:textId="77777777" w:rsidR="00C6417E" w:rsidRDefault="00C6417E" w:rsidP="00D37B04">
      <w:r>
        <w:continuationSeparator/>
      </w:r>
    </w:p>
  </w:endnote>
  <w:endnote w:type="continuationNotice" w:id="1">
    <w:p w14:paraId="749365E4" w14:textId="77777777" w:rsidR="00C6417E" w:rsidRDefault="00C641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02D8396A" w14:textId="2B5EBB86" w:rsidR="0005564F" w:rsidRDefault="0005564F" w:rsidP="007330BC">
        <w:pPr>
          <w:spacing w:before="60"/>
          <w:ind w:left="170" w:hanging="170"/>
          <w:rPr>
            <w:rFonts w:ascii="Calibri" w:eastAsia="Calibri" w:hAnsi="Calibri" w:cs="Calibri"/>
            <w:sz w:val="12"/>
            <w:szCs w:val="12"/>
          </w:rPr>
        </w:pPr>
      </w:p>
      <w:p w14:paraId="64E5C2BA" w14:textId="2A3359E1" w:rsidR="0005564F" w:rsidRDefault="00EB0A0E" w:rsidP="00EB0A0E">
        <w:pPr>
          <w:spacing w:before="60"/>
          <w:rPr>
            <w:rFonts w:ascii="Calibri" w:eastAsia="Calibri" w:hAnsi="Calibri" w:cs="Calibri"/>
            <w:sz w:val="12"/>
            <w:szCs w:val="12"/>
          </w:rPr>
        </w:pPr>
        <w:r>
          <w:rPr>
            <w:noProof/>
            <w:color w:val="auto"/>
          </w:rPr>
          <w:drawing>
            <wp:anchor distT="0" distB="0" distL="114300" distR="114300" simplePos="0" relativeHeight="251658240" behindDoc="1" locked="0" layoutInCell="1" allowOverlap="1" wp14:anchorId="0A9940EE" wp14:editId="544E1B93">
              <wp:simplePos x="0" y="0"/>
              <wp:positionH relativeFrom="margin">
                <wp:posOffset>5076</wp:posOffset>
              </wp:positionH>
              <wp:positionV relativeFrom="paragraph">
                <wp:posOffset>48792</wp:posOffset>
              </wp:positionV>
              <wp:extent cx="6629948" cy="357173"/>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2A94D16F"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B07614"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5F8F" w14:textId="77777777" w:rsidR="00C6417E" w:rsidRPr="008C5A0E" w:rsidRDefault="00C6417E" w:rsidP="00D37B04">
      <w:pPr>
        <w:pStyle w:val="Footer"/>
      </w:pPr>
    </w:p>
  </w:footnote>
  <w:footnote w:type="continuationSeparator" w:id="0">
    <w:p w14:paraId="394A6880" w14:textId="77777777" w:rsidR="00C6417E" w:rsidRDefault="00C6417E" w:rsidP="00D37B04">
      <w:r>
        <w:continuationSeparator/>
      </w:r>
    </w:p>
  </w:footnote>
  <w:footnote w:type="continuationNotice" w:id="1">
    <w:p w14:paraId="3A84DB3E" w14:textId="77777777" w:rsidR="00C6417E" w:rsidRDefault="00C641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6D6EA53A"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p w14:paraId="48C59ED3" w14:textId="77777777" w:rsidR="0086008C" w:rsidRDefault="0086008C" w:rsidP="007A4493">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 name="Picture 3"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0" w:firstLine="0"/>
      </w:pPr>
      <w:rPr>
        <w:rFonts w:ascii="Symbol" w:eastAsia="Symbol" w:hAnsi="Symbol" w:cs="Symbol"/>
        <w:sz w:val="20"/>
      </w:rPr>
    </w:lvl>
    <w:lvl w:ilvl="1">
      <w:start w:val="1"/>
      <w:numFmt w:val="bullet"/>
      <w:lvlText w:val="o"/>
      <w:lvlJc w:val="left"/>
      <w:pPr>
        <w:ind w:left="0" w:firstLine="0"/>
      </w:pPr>
      <w:rPr>
        <w:rFonts w:ascii="Courier New" w:eastAsia="Courier New" w:hAnsi="Courier New" w:cs="Courier New"/>
        <w:sz w:val="20"/>
      </w:rPr>
    </w:lvl>
    <w:lvl w:ilvl="2">
      <w:start w:val="1"/>
      <w:numFmt w:val="bullet"/>
      <w:lvlText w:val="§"/>
      <w:lvlJc w:val="left"/>
      <w:pPr>
        <w:ind w:left="0" w:firstLine="0"/>
      </w:pPr>
      <w:rPr>
        <w:rFonts w:ascii="Wingdings" w:eastAsia="Wingdings" w:hAnsi="Wingdings" w:cs="Wingdings"/>
        <w:sz w:val="20"/>
      </w:rPr>
    </w:lvl>
    <w:lvl w:ilvl="3">
      <w:start w:val="1"/>
      <w:numFmt w:val="bullet"/>
      <w:lvlText w:val="·"/>
      <w:lvlJc w:val="left"/>
      <w:pPr>
        <w:ind w:left="0" w:firstLine="0"/>
      </w:pPr>
      <w:rPr>
        <w:rFonts w:ascii="Symbol" w:eastAsia="Symbol" w:hAnsi="Symbol" w:cs="Symbol"/>
        <w:sz w:val="20"/>
      </w:rPr>
    </w:lvl>
    <w:lvl w:ilvl="4">
      <w:start w:val="1"/>
      <w:numFmt w:val="bullet"/>
      <w:lvlText w:val="o"/>
      <w:lvlJc w:val="left"/>
      <w:pPr>
        <w:ind w:left="0" w:firstLine="0"/>
      </w:pPr>
      <w:rPr>
        <w:rFonts w:ascii="Courier New" w:eastAsia="Courier New" w:hAnsi="Courier New" w:cs="Courier New"/>
        <w:sz w:val="20"/>
      </w:rPr>
    </w:lvl>
    <w:lvl w:ilvl="5">
      <w:start w:val="1"/>
      <w:numFmt w:val="bullet"/>
      <w:lvlText w:val="§"/>
      <w:lvlJc w:val="left"/>
      <w:pPr>
        <w:ind w:left="0" w:firstLine="0"/>
      </w:pPr>
      <w:rPr>
        <w:rFonts w:ascii="Wingdings" w:eastAsia="Wingdings" w:hAnsi="Wingdings" w:cs="Wingdings"/>
        <w:sz w:val="20"/>
      </w:rPr>
    </w:lvl>
    <w:lvl w:ilvl="6">
      <w:start w:val="1"/>
      <w:numFmt w:val="bullet"/>
      <w:lvlText w:val="·"/>
      <w:lvlJc w:val="left"/>
      <w:pPr>
        <w:ind w:left="0" w:firstLine="0"/>
      </w:pPr>
      <w:rPr>
        <w:rFonts w:ascii="Symbol" w:eastAsia="Symbol" w:hAnsi="Symbol" w:cs="Symbol"/>
        <w:sz w:val="20"/>
      </w:rPr>
    </w:lvl>
    <w:lvl w:ilvl="7">
      <w:start w:val="1"/>
      <w:numFmt w:val="bullet"/>
      <w:lvlText w:val="o"/>
      <w:lvlJc w:val="left"/>
      <w:pPr>
        <w:ind w:left="0" w:firstLine="0"/>
      </w:pPr>
      <w:rPr>
        <w:rFonts w:ascii="Courier New" w:eastAsia="Courier New" w:hAnsi="Courier New" w:cs="Courier New"/>
        <w:sz w:val="20"/>
      </w:rPr>
    </w:lvl>
    <w:lvl w:ilvl="8">
      <w:start w:val="1"/>
      <w:numFmt w:val="bullet"/>
      <w:lvlText w:val="§"/>
      <w:lvlJc w:val="left"/>
      <w:pPr>
        <w:ind w:left="0" w:firstLine="0"/>
      </w:pPr>
      <w:rPr>
        <w:rFonts w:ascii="Wingdings" w:eastAsia="Wingdings" w:hAnsi="Wingdings" w:cs="Wingdings"/>
        <w:sz w:val="20"/>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8F132CE"/>
    <w:multiLevelType w:val="multilevel"/>
    <w:tmpl w:val="3B7A10DE"/>
    <w:numStyleLink w:val="BulletsList"/>
  </w:abstractNum>
  <w:abstractNum w:abstractNumId="8"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2"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3"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2929">
    <w:abstractNumId w:val="22"/>
  </w:num>
  <w:num w:numId="2" w16cid:durableId="789277552">
    <w:abstractNumId w:val="2"/>
  </w:num>
  <w:num w:numId="3" w16cid:durableId="415057235">
    <w:abstractNumId w:val="6"/>
  </w:num>
  <w:num w:numId="4" w16cid:durableId="1901938646">
    <w:abstractNumId w:val="14"/>
  </w:num>
  <w:num w:numId="5" w16cid:durableId="443766657">
    <w:abstractNumId w:val="17"/>
  </w:num>
  <w:num w:numId="6" w16cid:durableId="170418493">
    <w:abstractNumId w:val="6"/>
  </w:num>
  <w:num w:numId="7" w16cid:durableId="1559049292">
    <w:abstractNumId w:val="2"/>
  </w:num>
  <w:num w:numId="8" w16cid:durableId="502862737">
    <w:abstractNumId w:val="4"/>
  </w:num>
  <w:num w:numId="9" w16cid:durableId="946738712">
    <w:abstractNumId w:val="25"/>
  </w:num>
  <w:num w:numId="10" w16cid:durableId="1293439046">
    <w:abstractNumId w:val="7"/>
  </w:num>
  <w:num w:numId="11" w16cid:durableId="1616132132">
    <w:abstractNumId w:val="12"/>
  </w:num>
  <w:num w:numId="12" w16cid:durableId="749932280">
    <w:abstractNumId w:val="13"/>
  </w:num>
  <w:num w:numId="13" w16cid:durableId="1969509245">
    <w:abstractNumId w:val="0"/>
  </w:num>
  <w:num w:numId="14" w16cid:durableId="1665628068">
    <w:abstractNumId w:val="11"/>
  </w:num>
  <w:num w:numId="15" w16cid:durableId="1865093268">
    <w:abstractNumId w:val="15"/>
  </w:num>
  <w:num w:numId="16" w16cid:durableId="2062947188">
    <w:abstractNumId w:val="19"/>
  </w:num>
  <w:num w:numId="17" w16cid:durableId="1014069129">
    <w:abstractNumId w:val="5"/>
  </w:num>
  <w:num w:numId="18" w16cid:durableId="1134640017">
    <w:abstractNumId w:val="16"/>
  </w:num>
  <w:num w:numId="19" w16cid:durableId="462624606">
    <w:abstractNumId w:val="24"/>
  </w:num>
  <w:num w:numId="20" w16cid:durableId="946231716">
    <w:abstractNumId w:val="9"/>
  </w:num>
  <w:num w:numId="21" w16cid:durableId="1798178445">
    <w:abstractNumId w:val="23"/>
  </w:num>
  <w:num w:numId="22" w16cid:durableId="2003773460">
    <w:abstractNumId w:val="8"/>
  </w:num>
  <w:num w:numId="23" w16cid:durableId="408698333">
    <w:abstractNumId w:val="3"/>
  </w:num>
  <w:num w:numId="24" w16cid:durableId="39403587">
    <w:abstractNumId w:val="21"/>
  </w:num>
  <w:num w:numId="25" w16cid:durableId="103963916">
    <w:abstractNumId w:val="26"/>
  </w:num>
  <w:num w:numId="26" w16cid:durableId="2116366332">
    <w:abstractNumId w:val="10"/>
  </w:num>
  <w:num w:numId="27" w16cid:durableId="305089835">
    <w:abstractNumId w:val="18"/>
  </w:num>
  <w:num w:numId="28" w16cid:durableId="1176992414">
    <w:abstractNumId w:val="20"/>
  </w:num>
  <w:num w:numId="29" w16cid:durableId="201399114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B1"/>
    <w:rsid w:val="000005F0"/>
    <w:rsid w:val="00001DA8"/>
    <w:rsid w:val="000020C1"/>
    <w:rsid w:val="00003DF8"/>
    <w:rsid w:val="00010006"/>
    <w:rsid w:val="00011235"/>
    <w:rsid w:val="000115AA"/>
    <w:rsid w:val="00015AB7"/>
    <w:rsid w:val="00015DC0"/>
    <w:rsid w:val="0002080A"/>
    <w:rsid w:val="0002782F"/>
    <w:rsid w:val="00031486"/>
    <w:rsid w:val="000314BA"/>
    <w:rsid w:val="00033A14"/>
    <w:rsid w:val="00035BBF"/>
    <w:rsid w:val="00035CBC"/>
    <w:rsid w:val="00037F52"/>
    <w:rsid w:val="000417C3"/>
    <w:rsid w:val="00041CA8"/>
    <w:rsid w:val="000444F3"/>
    <w:rsid w:val="00050806"/>
    <w:rsid w:val="00051F3B"/>
    <w:rsid w:val="00052E7D"/>
    <w:rsid w:val="000534B3"/>
    <w:rsid w:val="0005417C"/>
    <w:rsid w:val="000546D9"/>
    <w:rsid w:val="00054E4D"/>
    <w:rsid w:val="0005564F"/>
    <w:rsid w:val="00055880"/>
    <w:rsid w:val="00056F24"/>
    <w:rsid w:val="00060073"/>
    <w:rsid w:val="000616C6"/>
    <w:rsid w:val="00066A25"/>
    <w:rsid w:val="00074748"/>
    <w:rsid w:val="000770C7"/>
    <w:rsid w:val="000822AD"/>
    <w:rsid w:val="000854FD"/>
    <w:rsid w:val="0009676B"/>
    <w:rsid w:val="000973FD"/>
    <w:rsid w:val="000A39DD"/>
    <w:rsid w:val="000A407E"/>
    <w:rsid w:val="000A7826"/>
    <w:rsid w:val="000B37F5"/>
    <w:rsid w:val="000B40E9"/>
    <w:rsid w:val="000B5DA7"/>
    <w:rsid w:val="000B78E6"/>
    <w:rsid w:val="000C049C"/>
    <w:rsid w:val="000C1571"/>
    <w:rsid w:val="000C22BA"/>
    <w:rsid w:val="000C3A4C"/>
    <w:rsid w:val="000C4411"/>
    <w:rsid w:val="000C5D8D"/>
    <w:rsid w:val="000D003A"/>
    <w:rsid w:val="000D2896"/>
    <w:rsid w:val="000D66D6"/>
    <w:rsid w:val="000E1045"/>
    <w:rsid w:val="000E58BF"/>
    <w:rsid w:val="000E6C44"/>
    <w:rsid w:val="000F1286"/>
    <w:rsid w:val="000F2600"/>
    <w:rsid w:val="000F78C9"/>
    <w:rsid w:val="00100347"/>
    <w:rsid w:val="00113288"/>
    <w:rsid w:val="0011475A"/>
    <w:rsid w:val="00115FEC"/>
    <w:rsid w:val="00116E9F"/>
    <w:rsid w:val="001203A0"/>
    <w:rsid w:val="001214BE"/>
    <w:rsid w:val="0012165D"/>
    <w:rsid w:val="00121DDD"/>
    <w:rsid w:val="001227F1"/>
    <w:rsid w:val="00123FDA"/>
    <w:rsid w:val="0012634D"/>
    <w:rsid w:val="00126511"/>
    <w:rsid w:val="001271C5"/>
    <w:rsid w:val="0013101C"/>
    <w:rsid w:val="00131966"/>
    <w:rsid w:val="00133174"/>
    <w:rsid w:val="0013385F"/>
    <w:rsid w:val="00134AEA"/>
    <w:rsid w:val="00137062"/>
    <w:rsid w:val="00137F4E"/>
    <w:rsid w:val="001461D6"/>
    <w:rsid w:val="00146E07"/>
    <w:rsid w:val="001541EA"/>
    <w:rsid w:val="0016223D"/>
    <w:rsid w:val="00163DB1"/>
    <w:rsid w:val="00165E47"/>
    <w:rsid w:val="00166032"/>
    <w:rsid w:val="001662F8"/>
    <w:rsid w:val="001841C8"/>
    <w:rsid w:val="00186B4B"/>
    <w:rsid w:val="00193C49"/>
    <w:rsid w:val="001A1D2C"/>
    <w:rsid w:val="001A4F43"/>
    <w:rsid w:val="001A51EE"/>
    <w:rsid w:val="001A5C4C"/>
    <w:rsid w:val="001A7815"/>
    <w:rsid w:val="001B78DA"/>
    <w:rsid w:val="001C14F4"/>
    <w:rsid w:val="001C1F11"/>
    <w:rsid w:val="001C483F"/>
    <w:rsid w:val="001C72C5"/>
    <w:rsid w:val="001D1A8F"/>
    <w:rsid w:val="001D3C98"/>
    <w:rsid w:val="001D3DDD"/>
    <w:rsid w:val="001D4091"/>
    <w:rsid w:val="001D663E"/>
    <w:rsid w:val="001E03BE"/>
    <w:rsid w:val="001E1DC0"/>
    <w:rsid w:val="001E269B"/>
    <w:rsid w:val="001E563B"/>
    <w:rsid w:val="001E6D20"/>
    <w:rsid w:val="001F16E7"/>
    <w:rsid w:val="001F63EC"/>
    <w:rsid w:val="001F7A8B"/>
    <w:rsid w:val="001F7F4D"/>
    <w:rsid w:val="00216126"/>
    <w:rsid w:val="00216C55"/>
    <w:rsid w:val="00222607"/>
    <w:rsid w:val="00222FCA"/>
    <w:rsid w:val="002231BD"/>
    <w:rsid w:val="002270F7"/>
    <w:rsid w:val="0022790D"/>
    <w:rsid w:val="002326DD"/>
    <w:rsid w:val="002330EC"/>
    <w:rsid w:val="00235FAE"/>
    <w:rsid w:val="002401BA"/>
    <w:rsid w:val="002404E8"/>
    <w:rsid w:val="00244229"/>
    <w:rsid w:val="002443C7"/>
    <w:rsid w:val="00245F73"/>
    <w:rsid w:val="00247365"/>
    <w:rsid w:val="00247C2D"/>
    <w:rsid w:val="0025030F"/>
    <w:rsid w:val="00255F45"/>
    <w:rsid w:val="00261565"/>
    <w:rsid w:val="00270C70"/>
    <w:rsid w:val="002721B5"/>
    <w:rsid w:val="00283917"/>
    <w:rsid w:val="0028602A"/>
    <w:rsid w:val="002945C4"/>
    <w:rsid w:val="0029663F"/>
    <w:rsid w:val="00297258"/>
    <w:rsid w:val="00297FD1"/>
    <w:rsid w:val="002A2275"/>
    <w:rsid w:val="002B3381"/>
    <w:rsid w:val="002B5E10"/>
    <w:rsid w:val="002C1CF7"/>
    <w:rsid w:val="002C793D"/>
    <w:rsid w:val="002D1C26"/>
    <w:rsid w:val="002D25D9"/>
    <w:rsid w:val="002D35C9"/>
    <w:rsid w:val="002D4108"/>
    <w:rsid w:val="002D430F"/>
    <w:rsid w:val="002D5B25"/>
    <w:rsid w:val="002D60EA"/>
    <w:rsid w:val="002D626F"/>
    <w:rsid w:val="002D6754"/>
    <w:rsid w:val="002E215F"/>
    <w:rsid w:val="002E2AF4"/>
    <w:rsid w:val="002E38B2"/>
    <w:rsid w:val="002E3E21"/>
    <w:rsid w:val="002E500A"/>
    <w:rsid w:val="002F03FB"/>
    <w:rsid w:val="002F0903"/>
    <w:rsid w:val="002F0989"/>
    <w:rsid w:val="002F140F"/>
    <w:rsid w:val="002F3101"/>
    <w:rsid w:val="002F4F2B"/>
    <w:rsid w:val="002F6581"/>
    <w:rsid w:val="002F67AE"/>
    <w:rsid w:val="003002C0"/>
    <w:rsid w:val="00300FBA"/>
    <w:rsid w:val="00301144"/>
    <w:rsid w:val="003031C6"/>
    <w:rsid w:val="00304984"/>
    <w:rsid w:val="00311946"/>
    <w:rsid w:val="00312BF8"/>
    <w:rsid w:val="003148B7"/>
    <w:rsid w:val="00315362"/>
    <w:rsid w:val="003158C3"/>
    <w:rsid w:val="00320DC8"/>
    <w:rsid w:val="003274CD"/>
    <w:rsid w:val="003275AF"/>
    <w:rsid w:val="00333501"/>
    <w:rsid w:val="003406AF"/>
    <w:rsid w:val="00340CC4"/>
    <w:rsid w:val="003417E1"/>
    <w:rsid w:val="003457C4"/>
    <w:rsid w:val="0035119D"/>
    <w:rsid w:val="003535F8"/>
    <w:rsid w:val="00354641"/>
    <w:rsid w:val="0035532B"/>
    <w:rsid w:val="00361E9C"/>
    <w:rsid w:val="003622C1"/>
    <w:rsid w:val="003625F6"/>
    <w:rsid w:val="00363A9F"/>
    <w:rsid w:val="003664FE"/>
    <w:rsid w:val="003717D3"/>
    <w:rsid w:val="003759CA"/>
    <w:rsid w:val="00375D23"/>
    <w:rsid w:val="003806FE"/>
    <w:rsid w:val="00382CE7"/>
    <w:rsid w:val="00384D2A"/>
    <w:rsid w:val="00385E9F"/>
    <w:rsid w:val="00387EC8"/>
    <w:rsid w:val="0039215F"/>
    <w:rsid w:val="0039344A"/>
    <w:rsid w:val="003A0BBE"/>
    <w:rsid w:val="003A20A6"/>
    <w:rsid w:val="003B3091"/>
    <w:rsid w:val="003B4F12"/>
    <w:rsid w:val="003B5132"/>
    <w:rsid w:val="003B7426"/>
    <w:rsid w:val="003C6C4F"/>
    <w:rsid w:val="003C7D0E"/>
    <w:rsid w:val="003D1253"/>
    <w:rsid w:val="003E03B8"/>
    <w:rsid w:val="003E0545"/>
    <w:rsid w:val="003E17C7"/>
    <w:rsid w:val="003E24BA"/>
    <w:rsid w:val="003F2041"/>
    <w:rsid w:val="003F4679"/>
    <w:rsid w:val="003F4880"/>
    <w:rsid w:val="003F7D26"/>
    <w:rsid w:val="00400656"/>
    <w:rsid w:val="004007ED"/>
    <w:rsid w:val="00400D50"/>
    <w:rsid w:val="00402ACC"/>
    <w:rsid w:val="00403FD8"/>
    <w:rsid w:val="00404443"/>
    <w:rsid w:val="00404602"/>
    <w:rsid w:val="0041092B"/>
    <w:rsid w:val="00411A15"/>
    <w:rsid w:val="004120EC"/>
    <w:rsid w:val="0041267F"/>
    <w:rsid w:val="00413AA4"/>
    <w:rsid w:val="00413AA6"/>
    <w:rsid w:val="00414AD9"/>
    <w:rsid w:val="00423DB9"/>
    <w:rsid w:val="00423DE0"/>
    <w:rsid w:val="00423F31"/>
    <w:rsid w:val="004243C9"/>
    <w:rsid w:val="0042526D"/>
    <w:rsid w:val="00426340"/>
    <w:rsid w:val="004303AA"/>
    <w:rsid w:val="004311AC"/>
    <w:rsid w:val="00431899"/>
    <w:rsid w:val="00441395"/>
    <w:rsid w:val="00443F72"/>
    <w:rsid w:val="00446F46"/>
    <w:rsid w:val="00450381"/>
    <w:rsid w:val="004529F1"/>
    <w:rsid w:val="00453B1A"/>
    <w:rsid w:val="004612E2"/>
    <w:rsid w:val="00462A57"/>
    <w:rsid w:val="00464663"/>
    <w:rsid w:val="004708FA"/>
    <w:rsid w:val="004728DD"/>
    <w:rsid w:val="00473F2D"/>
    <w:rsid w:val="00473F39"/>
    <w:rsid w:val="00474037"/>
    <w:rsid w:val="00475182"/>
    <w:rsid w:val="00475782"/>
    <w:rsid w:val="00477364"/>
    <w:rsid w:val="00480A63"/>
    <w:rsid w:val="004821BB"/>
    <w:rsid w:val="00482AE8"/>
    <w:rsid w:val="00486804"/>
    <w:rsid w:val="00487549"/>
    <w:rsid w:val="00490727"/>
    <w:rsid w:val="00493F17"/>
    <w:rsid w:val="00494242"/>
    <w:rsid w:val="00496766"/>
    <w:rsid w:val="00497E8C"/>
    <w:rsid w:val="004A41B8"/>
    <w:rsid w:val="004A64F0"/>
    <w:rsid w:val="004B3775"/>
    <w:rsid w:val="004B4EF5"/>
    <w:rsid w:val="004C0534"/>
    <w:rsid w:val="004C5FB1"/>
    <w:rsid w:val="004C604D"/>
    <w:rsid w:val="004C79D9"/>
    <w:rsid w:val="004D0B47"/>
    <w:rsid w:val="004D0BA0"/>
    <w:rsid w:val="004D7F36"/>
    <w:rsid w:val="004E058F"/>
    <w:rsid w:val="004E29BF"/>
    <w:rsid w:val="004E3B87"/>
    <w:rsid w:val="004E549D"/>
    <w:rsid w:val="004F0AD6"/>
    <w:rsid w:val="004F5366"/>
    <w:rsid w:val="004F5615"/>
    <w:rsid w:val="005015D9"/>
    <w:rsid w:val="00502041"/>
    <w:rsid w:val="005035FB"/>
    <w:rsid w:val="00503EB4"/>
    <w:rsid w:val="0050592F"/>
    <w:rsid w:val="0050662C"/>
    <w:rsid w:val="00507F70"/>
    <w:rsid w:val="00510921"/>
    <w:rsid w:val="00510AD3"/>
    <w:rsid w:val="00513348"/>
    <w:rsid w:val="00513AD8"/>
    <w:rsid w:val="00514ECF"/>
    <w:rsid w:val="0051686F"/>
    <w:rsid w:val="00517DD0"/>
    <w:rsid w:val="005204D2"/>
    <w:rsid w:val="00522396"/>
    <w:rsid w:val="00527AD8"/>
    <w:rsid w:val="005303B9"/>
    <w:rsid w:val="0053159D"/>
    <w:rsid w:val="00531B69"/>
    <w:rsid w:val="00533B5D"/>
    <w:rsid w:val="00534D96"/>
    <w:rsid w:val="00536343"/>
    <w:rsid w:val="00536BAB"/>
    <w:rsid w:val="00540A22"/>
    <w:rsid w:val="00543F33"/>
    <w:rsid w:val="00546877"/>
    <w:rsid w:val="005474FC"/>
    <w:rsid w:val="00553079"/>
    <w:rsid w:val="00554665"/>
    <w:rsid w:val="005579C6"/>
    <w:rsid w:val="00560E83"/>
    <w:rsid w:val="0056D3BB"/>
    <w:rsid w:val="00570BBB"/>
    <w:rsid w:val="005736BB"/>
    <w:rsid w:val="005762E9"/>
    <w:rsid w:val="00577815"/>
    <w:rsid w:val="005822D6"/>
    <w:rsid w:val="005838FD"/>
    <w:rsid w:val="005839E5"/>
    <w:rsid w:val="00597A5F"/>
    <w:rsid w:val="005A20F6"/>
    <w:rsid w:val="005A257E"/>
    <w:rsid w:val="005A2D8E"/>
    <w:rsid w:val="005A3D07"/>
    <w:rsid w:val="005B5B6A"/>
    <w:rsid w:val="005B7577"/>
    <w:rsid w:val="005C2EC9"/>
    <w:rsid w:val="005C532B"/>
    <w:rsid w:val="005D3655"/>
    <w:rsid w:val="005D3F50"/>
    <w:rsid w:val="005D4D40"/>
    <w:rsid w:val="005D5489"/>
    <w:rsid w:val="005D69AA"/>
    <w:rsid w:val="005D7F03"/>
    <w:rsid w:val="005E0058"/>
    <w:rsid w:val="005E4830"/>
    <w:rsid w:val="005E5524"/>
    <w:rsid w:val="005E73CC"/>
    <w:rsid w:val="005F2F66"/>
    <w:rsid w:val="005F314D"/>
    <w:rsid w:val="006005ED"/>
    <w:rsid w:val="006031AC"/>
    <w:rsid w:val="00603321"/>
    <w:rsid w:val="00606C98"/>
    <w:rsid w:val="00607177"/>
    <w:rsid w:val="00616A58"/>
    <w:rsid w:val="00620A3D"/>
    <w:rsid w:val="00622B86"/>
    <w:rsid w:val="00623BA1"/>
    <w:rsid w:val="00626FAB"/>
    <w:rsid w:val="00630092"/>
    <w:rsid w:val="006346BC"/>
    <w:rsid w:val="006362FF"/>
    <w:rsid w:val="006378FE"/>
    <w:rsid w:val="006408FF"/>
    <w:rsid w:val="00643C25"/>
    <w:rsid w:val="00645220"/>
    <w:rsid w:val="0065649B"/>
    <w:rsid w:val="0066203A"/>
    <w:rsid w:val="0066652A"/>
    <w:rsid w:val="006719C3"/>
    <w:rsid w:val="00672F36"/>
    <w:rsid w:val="006745FC"/>
    <w:rsid w:val="006750D9"/>
    <w:rsid w:val="00677DD7"/>
    <w:rsid w:val="00680115"/>
    <w:rsid w:val="00680522"/>
    <w:rsid w:val="00681633"/>
    <w:rsid w:val="0068172A"/>
    <w:rsid w:val="00682167"/>
    <w:rsid w:val="00690AE1"/>
    <w:rsid w:val="00694598"/>
    <w:rsid w:val="006A6F52"/>
    <w:rsid w:val="006A791A"/>
    <w:rsid w:val="006B0064"/>
    <w:rsid w:val="006B1E54"/>
    <w:rsid w:val="006B38DA"/>
    <w:rsid w:val="006B3E95"/>
    <w:rsid w:val="006B51B2"/>
    <w:rsid w:val="006B6F6D"/>
    <w:rsid w:val="006C0B06"/>
    <w:rsid w:val="006C3BBD"/>
    <w:rsid w:val="006C3E48"/>
    <w:rsid w:val="006C42AF"/>
    <w:rsid w:val="006C565B"/>
    <w:rsid w:val="006C6498"/>
    <w:rsid w:val="006D15F1"/>
    <w:rsid w:val="006D5A56"/>
    <w:rsid w:val="006D7409"/>
    <w:rsid w:val="006E4323"/>
    <w:rsid w:val="006E5EC1"/>
    <w:rsid w:val="006F59F1"/>
    <w:rsid w:val="006F6BA7"/>
    <w:rsid w:val="00706136"/>
    <w:rsid w:val="007075DF"/>
    <w:rsid w:val="00711D8E"/>
    <w:rsid w:val="00712672"/>
    <w:rsid w:val="007178C4"/>
    <w:rsid w:val="00720CF7"/>
    <w:rsid w:val="00727E09"/>
    <w:rsid w:val="007330BC"/>
    <w:rsid w:val="00734E3F"/>
    <w:rsid w:val="00736985"/>
    <w:rsid w:val="0074350D"/>
    <w:rsid w:val="00745DF5"/>
    <w:rsid w:val="00751718"/>
    <w:rsid w:val="00753924"/>
    <w:rsid w:val="0076250F"/>
    <w:rsid w:val="0077324F"/>
    <w:rsid w:val="007733DC"/>
    <w:rsid w:val="00773E62"/>
    <w:rsid w:val="007777D5"/>
    <w:rsid w:val="00780F08"/>
    <w:rsid w:val="00780FA5"/>
    <w:rsid w:val="0078409E"/>
    <w:rsid w:val="007864CF"/>
    <w:rsid w:val="007925FB"/>
    <w:rsid w:val="00794D99"/>
    <w:rsid w:val="00795ED7"/>
    <w:rsid w:val="00796F1C"/>
    <w:rsid w:val="007A3AAF"/>
    <w:rsid w:val="007A4493"/>
    <w:rsid w:val="007A4A9F"/>
    <w:rsid w:val="007A4DF5"/>
    <w:rsid w:val="007B2A2E"/>
    <w:rsid w:val="007B53DB"/>
    <w:rsid w:val="007B53F9"/>
    <w:rsid w:val="007B6200"/>
    <w:rsid w:val="007B6CF5"/>
    <w:rsid w:val="007C05F7"/>
    <w:rsid w:val="007C1446"/>
    <w:rsid w:val="007C19B3"/>
    <w:rsid w:val="007C35DE"/>
    <w:rsid w:val="007C4D69"/>
    <w:rsid w:val="007C735B"/>
    <w:rsid w:val="007E5361"/>
    <w:rsid w:val="007E556D"/>
    <w:rsid w:val="007E7BC7"/>
    <w:rsid w:val="007F3395"/>
    <w:rsid w:val="007F5C0B"/>
    <w:rsid w:val="007F646C"/>
    <w:rsid w:val="00801B9F"/>
    <w:rsid w:val="0080204D"/>
    <w:rsid w:val="00813EA6"/>
    <w:rsid w:val="0082053C"/>
    <w:rsid w:val="0082142B"/>
    <w:rsid w:val="00822F43"/>
    <w:rsid w:val="008279F8"/>
    <w:rsid w:val="00830866"/>
    <w:rsid w:val="00836B54"/>
    <w:rsid w:val="0084191E"/>
    <w:rsid w:val="0084257A"/>
    <w:rsid w:val="00843B76"/>
    <w:rsid w:val="00844737"/>
    <w:rsid w:val="0084677E"/>
    <w:rsid w:val="008475F0"/>
    <w:rsid w:val="008515AF"/>
    <w:rsid w:val="00852C32"/>
    <w:rsid w:val="00854F69"/>
    <w:rsid w:val="008557A7"/>
    <w:rsid w:val="00856BFE"/>
    <w:rsid w:val="00857312"/>
    <w:rsid w:val="008579A9"/>
    <w:rsid w:val="0086008C"/>
    <w:rsid w:val="00860698"/>
    <w:rsid w:val="008610E7"/>
    <w:rsid w:val="008624F0"/>
    <w:rsid w:val="00862BCF"/>
    <w:rsid w:val="00864874"/>
    <w:rsid w:val="00865DE2"/>
    <w:rsid w:val="008667EF"/>
    <w:rsid w:val="00870928"/>
    <w:rsid w:val="00873AEA"/>
    <w:rsid w:val="00873D59"/>
    <w:rsid w:val="008740B3"/>
    <w:rsid w:val="00874A06"/>
    <w:rsid w:val="00876B47"/>
    <w:rsid w:val="00877620"/>
    <w:rsid w:val="00881605"/>
    <w:rsid w:val="00882117"/>
    <w:rsid w:val="00887404"/>
    <w:rsid w:val="0089405C"/>
    <w:rsid w:val="00894FEB"/>
    <w:rsid w:val="00897FA2"/>
    <w:rsid w:val="008A1503"/>
    <w:rsid w:val="008A2AE9"/>
    <w:rsid w:val="008A5AFE"/>
    <w:rsid w:val="008A6BB7"/>
    <w:rsid w:val="008A745C"/>
    <w:rsid w:val="008A7B6F"/>
    <w:rsid w:val="008B4E65"/>
    <w:rsid w:val="008C1A18"/>
    <w:rsid w:val="008C1F60"/>
    <w:rsid w:val="008C478C"/>
    <w:rsid w:val="008C5A0E"/>
    <w:rsid w:val="008C6149"/>
    <w:rsid w:val="008C6163"/>
    <w:rsid w:val="008C708C"/>
    <w:rsid w:val="008D0118"/>
    <w:rsid w:val="008D4C3E"/>
    <w:rsid w:val="008D6785"/>
    <w:rsid w:val="008E4B49"/>
    <w:rsid w:val="008E4BCA"/>
    <w:rsid w:val="008E7A6E"/>
    <w:rsid w:val="008F0265"/>
    <w:rsid w:val="008F5B97"/>
    <w:rsid w:val="008F6625"/>
    <w:rsid w:val="008F72A7"/>
    <w:rsid w:val="009131E9"/>
    <w:rsid w:val="00913875"/>
    <w:rsid w:val="00916582"/>
    <w:rsid w:val="00917A7A"/>
    <w:rsid w:val="00920854"/>
    <w:rsid w:val="0093173D"/>
    <w:rsid w:val="00937866"/>
    <w:rsid w:val="00941E94"/>
    <w:rsid w:val="00943730"/>
    <w:rsid w:val="009456AD"/>
    <w:rsid w:val="009505AE"/>
    <w:rsid w:val="00950D65"/>
    <w:rsid w:val="00950EDE"/>
    <w:rsid w:val="00952815"/>
    <w:rsid w:val="009543B9"/>
    <w:rsid w:val="00966E3A"/>
    <w:rsid w:val="00970116"/>
    <w:rsid w:val="0097377A"/>
    <w:rsid w:val="00975CA5"/>
    <w:rsid w:val="00976DA6"/>
    <w:rsid w:val="009774B4"/>
    <w:rsid w:val="0098449D"/>
    <w:rsid w:val="00985827"/>
    <w:rsid w:val="00986590"/>
    <w:rsid w:val="00991579"/>
    <w:rsid w:val="00992C76"/>
    <w:rsid w:val="009969D6"/>
    <w:rsid w:val="00996FC8"/>
    <w:rsid w:val="009A112B"/>
    <w:rsid w:val="009A2619"/>
    <w:rsid w:val="009A58FC"/>
    <w:rsid w:val="009A744E"/>
    <w:rsid w:val="009B077F"/>
    <w:rsid w:val="009B29DC"/>
    <w:rsid w:val="009B394F"/>
    <w:rsid w:val="009B4D3B"/>
    <w:rsid w:val="009B59AB"/>
    <w:rsid w:val="009B5FFB"/>
    <w:rsid w:val="009C18DB"/>
    <w:rsid w:val="009C60FF"/>
    <w:rsid w:val="009D1F71"/>
    <w:rsid w:val="009D3438"/>
    <w:rsid w:val="009D7407"/>
    <w:rsid w:val="009E0866"/>
    <w:rsid w:val="009E273C"/>
    <w:rsid w:val="009E6480"/>
    <w:rsid w:val="009E68F5"/>
    <w:rsid w:val="009F1350"/>
    <w:rsid w:val="009F6423"/>
    <w:rsid w:val="00A05946"/>
    <w:rsid w:val="00A07A86"/>
    <w:rsid w:val="00A107B9"/>
    <w:rsid w:val="00A11083"/>
    <w:rsid w:val="00A118E1"/>
    <w:rsid w:val="00A12B40"/>
    <w:rsid w:val="00A17461"/>
    <w:rsid w:val="00A17CBA"/>
    <w:rsid w:val="00A22CD1"/>
    <w:rsid w:val="00A237B8"/>
    <w:rsid w:val="00A24A62"/>
    <w:rsid w:val="00A31C9F"/>
    <w:rsid w:val="00A33149"/>
    <w:rsid w:val="00A4144F"/>
    <w:rsid w:val="00A46B28"/>
    <w:rsid w:val="00A47135"/>
    <w:rsid w:val="00A61B4D"/>
    <w:rsid w:val="00A70592"/>
    <w:rsid w:val="00A71167"/>
    <w:rsid w:val="00A72201"/>
    <w:rsid w:val="00A74192"/>
    <w:rsid w:val="00A75B84"/>
    <w:rsid w:val="00A80123"/>
    <w:rsid w:val="00A80305"/>
    <w:rsid w:val="00A80F95"/>
    <w:rsid w:val="00A84FEA"/>
    <w:rsid w:val="00A854F9"/>
    <w:rsid w:val="00A868CB"/>
    <w:rsid w:val="00A918D0"/>
    <w:rsid w:val="00A93DFA"/>
    <w:rsid w:val="00A94BB3"/>
    <w:rsid w:val="00A96364"/>
    <w:rsid w:val="00A97244"/>
    <w:rsid w:val="00A97BF1"/>
    <w:rsid w:val="00AA298A"/>
    <w:rsid w:val="00AA3AA8"/>
    <w:rsid w:val="00AA5E2E"/>
    <w:rsid w:val="00AB12CA"/>
    <w:rsid w:val="00AB4795"/>
    <w:rsid w:val="00AB5D49"/>
    <w:rsid w:val="00AB6748"/>
    <w:rsid w:val="00AB6BD2"/>
    <w:rsid w:val="00AC107C"/>
    <w:rsid w:val="00AC164A"/>
    <w:rsid w:val="00AC3944"/>
    <w:rsid w:val="00AC551D"/>
    <w:rsid w:val="00AD19F7"/>
    <w:rsid w:val="00AD2C2E"/>
    <w:rsid w:val="00AD67D0"/>
    <w:rsid w:val="00AE0872"/>
    <w:rsid w:val="00AE2B7B"/>
    <w:rsid w:val="00AE2F04"/>
    <w:rsid w:val="00AE3AD9"/>
    <w:rsid w:val="00AE448A"/>
    <w:rsid w:val="00AE5925"/>
    <w:rsid w:val="00AE74DA"/>
    <w:rsid w:val="00AE7AB3"/>
    <w:rsid w:val="00AF18F4"/>
    <w:rsid w:val="00AF2050"/>
    <w:rsid w:val="00AF4103"/>
    <w:rsid w:val="00AF4A1C"/>
    <w:rsid w:val="00AF7ECC"/>
    <w:rsid w:val="00B00BF4"/>
    <w:rsid w:val="00B02B2A"/>
    <w:rsid w:val="00B03CA8"/>
    <w:rsid w:val="00B05B87"/>
    <w:rsid w:val="00B062B8"/>
    <w:rsid w:val="00B12991"/>
    <w:rsid w:val="00B16EF6"/>
    <w:rsid w:val="00B20EDF"/>
    <w:rsid w:val="00B2238E"/>
    <w:rsid w:val="00B22F0E"/>
    <w:rsid w:val="00B249EC"/>
    <w:rsid w:val="00B33C0A"/>
    <w:rsid w:val="00B34763"/>
    <w:rsid w:val="00B401AF"/>
    <w:rsid w:val="00B50ED0"/>
    <w:rsid w:val="00B51C2F"/>
    <w:rsid w:val="00B52507"/>
    <w:rsid w:val="00B55E19"/>
    <w:rsid w:val="00B56E71"/>
    <w:rsid w:val="00B579A6"/>
    <w:rsid w:val="00B664A8"/>
    <w:rsid w:val="00B66D3E"/>
    <w:rsid w:val="00B71AD8"/>
    <w:rsid w:val="00B7225D"/>
    <w:rsid w:val="00B84B3C"/>
    <w:rsid w:val="00B857E1"/>
    <w:rsid w:val="00B8599B"/>
    <w:rsid w:val="00B86990"/>
    <w:rsid w:val="00B91FE7"/>
    <w:rsid w:val="00B929BE"/>
    <w:rsid w:val="00B92A77"/>
    <w:rsid w:val="00B94758"/>
    <w:rsid w:val="00B95060"/>
    <w:rsid w:val="00BA1B89"/>
    <w:rsid w:val="00BA3366"/>
    <w:rsid w:val="00BA4B6D"/>
    <w:rsid w:val="00BB26C5"/>
    <w:rsid w:val="00BB2F84"/>
    <w:rsid w:val="00BB3FD0"/>
    <w:rsid w:val="00BB71FC"/>
    <w:rsid w:val="00BC1FED"/>
    <w:rsid w:val="00BC4C60"/>
    <w:rsid w:val="00BC63A8"/>
    <w:rsid w:val="00BD0F5C"/>
    <w:rsid w:val="00BD4597"/>
    <w:rsid w:val="00BD59D9"/>
    <w:rsid w:val="00BD6304"/>
    <w:rsid w:val="00BD689D"/>
    <w:rsid w:val="00BD710C"/>
    <w:rsid w:val="00BD7EE1"/>
    <w:rsid w:val="00BD7EEF"/>
    <w:rsid w:val="00BE00F3"/>
    <w:rsid w:val="00BE12B6"/>
    <w:rsid w:val="00BE1586"/>
    <w:rsid w:val="00BE2FFC"/>
    <w:rsid w:val="00BE7FC1"/>
    <w:rsid w:val="00BF1579"/>
    <w:rsid w:val="00BF4DE6"/>
    <w:rsid w:val="00BF6703"/>
    <w:rsid w:val="00C00B6C"/>
    <w:rsid w:val="00C04D72"/>
    <w:rsid w:val="00C06B13"/>
    <w:rsid w:val="00C11863"/>
    <w:rsid w:val="00C16A47"/>
    <w:rsid w:val="00C2101E"/>
    <w:rsid w:val="00C248A4"/>
    <w:rsid w:val="00C27D25"/>
    <w:rsid w:val="00C35791"/>
    <w:rsid w:val="00C37697"/>
    <w:rsid w:val="00C42541"/>
    <w:rsid w:val="00C42CDE"/>
    <w:rsid w:val="00C45941"/>
    <w:rsid w:val="00C45B7B"/>
    <w:rsid w:val="00C50B58"/>
    <w:rsid w:val="00C5182A"/>
    <w:rsid w:val="00C52463"/>
    <w:rsid w:val="00C52B3D"/>
    <w:rsid w:val="00C55983"/>
    <w:rsid w:val="00C61649"/>
    <w:rsid w:val="00C61935"/>
    <w:rsid w:val="00C62957"/>
    <w:rsid w:val="00C63EE9"/>
    <w:rsid w:val="00C6417E"/>
    <w:rsid w:val="00C7596C"/>
    <w:rsid w:val="00C80F99"/>
    <w:rsid w:val="00C83F4E"/>
    <w:rsid w:val="00C84C30"/>
    <w:rsid w:val="00C87B9B"/>
    <w:rsid w:val="00C908C7"/>
    <w:rsid w:val="00C92805"/>
    <w:rsid w:val="00CA019D"/>
    <w:rsid w:val="00CA16F3"/>
    <w:rsid w:val="00CA2669"/>
    <w:rsid w:val="00CA3403"/>
    <w:rsid w:val="00CA37B1"/>
    <w:rsid w:val="00CA3FD8"/>
    <w:rsid w:val="00CA5021"/>
    <w:rsid w:val="00CA575B"/>
    <w:rsid w:val="00CB0DC5"/>
    <w:rsid w:val="00CB1488"/>
    <w:rsid w:val="00CB1959"/>
    <w:rsid w:val="00CB40BD"/>
    <w:rsid w:val="00CC0216"/>
    <w:rsid w:val="00CC0FD1"/>
    <w:rsid w:val="00CC1D45"/>
    <w:rsid w:val="00CC741B"/>
    <w:rsid w:val="00CC779A"/>
    <w:rsid w:val="00CC7AC1"/>
    <w:rsid w:val="00CD0E4B"/>
    <w:rsid w:val="00CD3F5D"/>
    <w:rsid w:val="00CD4AD4"/>
    <w:rsid w:val="00CE2CF5"/>
    <w:rsid w:val="00CE30BD"/>
    <w:rsid w:val="00CE4C89"/>
    <w:rsid w:val="00CE58DD"/>
    <w:rsid w:val="00CF07BA"/>
    <w:rsid w:val="00CF21A3"/>
    <w:rsid w:val="00CF2BBB"/>
    <w:rsid w:val="00CF74D3"/>
    <w:rsid w:val="00D0296C"/>
    <w:rsid w:val="00D05E55"/>
    <w:rsid w:val="00D11718"/>
    <w:rsid w:val="00D1231A"/>
    <w:rsid w:val="00D1593E"/>
    <w:rsid w:val="00D207F7"/>
    <w:rsid w:val="00D20A30"/>
    <w:rsid w:val="00D20BC7"/>
    <w:rsid w:val="00D2641E"/>
    <w:rsid w:val="00D3068D"/>
    <w:rsid w:val="00D3170B"/>
    <w:rsid w:val="00D32D6F"/>
    <w:rsid w:val="00D32E2B"/>
    <w:rsid w:val="00D34D5D"/>
    <w:rsid w:val="00D34FF6"/>
    <w:rsid w:val="00D37B04"/>
    <w:rsid w:val="00D43C77"/>
    <w:rsid w:val="00D45555"/>
    <w:rsid w:val="00D4628C"/>
    <w:rsid w:val="00D462F8"/>
    <w:rsid w:val="00D479B5"/>
    <w:rsid w:val="00D540C6"/>
    <w:rsid w:val="00D64B38"/>
    <w:rsid w:val="00D64BD1"/>
    <w:rsid w:val="00D71F34"/>
    <w:rsid w:val="00D7310B"/>
    <w:rsid w:val="00D84E17"/>
    <w:rsid w:val="00D85F0B"/>
    <w:rsid w:val="00D90B37"/>
    <w:rsid w:val="00D92254"/>
    <w:rsid w:val="00D924D3"/>
    <w:rsid w:val="00D94CF9"/>
    <w:rsid w:val="00D953B3"/>
    <w:rsid w:val="00D958DC"/>
    <w:rsid w:val="00DA1B52"/>
    <w:rsid w:val="00DA4B3C"/>
    <w:rsid w:val="00DB0A2E"/>
    <w:rsid w:val="00DB47DE"/>
    <w:rsid w:val="00DB69C7"/>
    <w:rsid w:val="00DC0996"/>
    <w:rsid w:val="00DC238C"/>
    <w:rsid w:val="00DC5A4E"/>
    <w:rsid w:val="00DC6D78"/>
    <w:rsid w:val="00DD0AA4"/>
    <w:rsid w:val="00DD3E88"/>
    <w:rsid w:val="00DE084C"/>
    <w:rsid w:val="00DF1B4B"/>
    <w:rsid w:val="00DF2254"/>
    <w:rsid w:val="00DF68CF"/>
    <w:rsid w:val="00E0138E"/>
    <w:rsid w:val="00E033A9"/>
    <w:rsid w:val="00E0497E"/>
    <w:rsid w:val="00E055AB"/>
    <w:rsid w:val="00E14E3E"/>
    <w:rsid w:val="00E14E55"/>
    <w:rsid w:val="00E14F51"/>
    <w:rsid w:val="00E15A6C"/>
    <w:rsid w:val="00E1666D"/>
    <w:rsid w:val="00E16D5F"/>
    <w:rsid w:val="00E20945"/>
    <w:rsid w:val="00E221FA"/>
    <w:rsid w:val="00E3076E"/>
    <w:rsid w:val="00E32094"/>
    <w:rsid w:val="00E357B7"/>
    <w:rsid w:val="00E40E8B"/>
    <w:rsid w:val="00E410F8"/>
    <w:rsid w:val="00E42990"/>
    <w:rsid w:val="00E42E50"/>
    <w:rsid w:val="00E4584F"/>
    <w:rsid w:val="00E51B25"/>
    <w:rsid w:val="00E532A8"/>
    <w:rsid w:val="00E53800"/>
    <w:rsid w:val="00E5700B"/>
    <w:rsid w:val="00E6081F"/>
    <w:rsid w:val="00E614AA"/>
    <w:rsid w:val="00E624EC"/>
    <w:rsid w:val="00E70C37"/>
    <w:rsid w:val="00E8296D"/>
    <w:rsid w:val="00E8457B"/>
    <w:rsid w:val="00E944AA"/>
    <w:rsid w:val="00EA04B2"/>
    <w:rsid w:val="00EA20F3"/>
    <w:rsid w:val="00EA36D9"/>
    <w:rsid w:val="00EA611B"/>
    <w:rsid w:val="00EA7BDE"/>
    <w:rsid w:val="00EB0A0E"/>
    <w:rsid w:val="00EC2B54"/>
    <w:rsid w:val="00EC58C1"/>
    <w:rsid w:val="00EC608A"/>
    <w:rsid w:val="00EC6D38"/>
    <w:rsid w:val="00ED179A"/>
    <w:rsid w:val="00ED18EE"/>
    <w:rsid w:val="00ED2831"/>
    <w:rsid w:val="00ED361F"/>
    <w:rsid w:val="00ED3B2D"/>
    <w:rsid w:val="00ED43D1"/>
    <w:rsid w:val="00ED6D71"/>
    <w:rsid w:val="00ED6E38"/>
    <w:rsid w:val="00EE0466"/>
    <w:rsid w:val="00EE109E"/>
    <w:rsid w:val="00EE1CFF"/>
    <w:rsid w:val="00EE4EE1"/>
    <w:rsid w:val="00EF4574"/>
    <w:rsid w:val="00F003E0"/>
    <w:rsid w:val="00F01921"/>
    <w:rsid w:val="00F030E0"/>
    <w:rsid w:val="00F06982"/>
    <w:rsid w:val="00F104ED"/>
    <w:rsid w:val="00F13373"/>
    <w:rsid w:val="00F20898"/>
    <w:rsid w:val="00F23219"/>
    <w:rsid w:val="00F251BE"/>
    <w:rsid w:val="00F258BF"/>
    <w:rsid w:val="00F25A93"/>
    <w:rsid w:val="00F2684E"/>
    <w:rsid w:val="00F27235"/>
    <w:rsid w:val="00F306EF"/>
    <w:rsid w:val="00F32F70"/>
    <w:rsid w:val="00F44F3E"/>
    <w:rsid w:val="00F45486"/>
    <w:rsid w:val="00F47942"/>
    <w:rsid w:val="00F53309"/>
    <w:rsid w:val="00F53E91"/>
    <w:rsid w:val="00F5404C"/>
    <w:rsid w:val="00F55791"/>
    <w:rsid w:val="00F64397"/>
    <w:rsid w:val="00F64AD5"/>
    <w:rsid w:val="00F650C7"/>
    <w:rsid w:val="00F67C6A"/>
    <w:rsid w:val="00F70504"/>
    <w:rsid w:val="00F707E0"/>
    <w:rsid w:val="00F71CB4"/>
    <w:rsid w:val="00F729EF"/>
    <w:rsid w:val="00F746B7"/>
    <w:rsid w:val="00F760AE"/>
    <w:rsid w:val="00F77CAE"/>
    <w:rsid w:val="00F82271"/>
    <w:rsid w:val="00F83428"/>
    <w:rsid w:val="00F875A8"/>
    <w:rsid w:val="00F90B17"/>
    <w:rsid w:val="00F96BB9"/>
    <w:rsid w:val="00F975C0"/>
    <w:rsid w:val="00FA4D1A"/>
    <w:rsid w:val="00FA5EFD"/>
    <w:rsid w:val="00FC1216"/>
    <w:rsid w:val="00FC465C"/>
    <w:rsid w:val="00FC5365"/>
    <w:rsid w:val="00FD1850"/>
    <w:rsid w:val="00FD4F18"/>
    <w:rsid w:val="00FD710F"/>
    <w:rsid w:val="00FE407B"/>
    <w:rsid w:val="00FE6D51"/>
    <w:rsid w:val="00FE6F2A"/>
    <w:rsid w:val="00FF0590"/>
    <w:rsid w:val="00FF3E51"/>
    <w:rsid w:val="00FF551B"/>
    <w:rsid w:val="017F3EA5"/>
    <w:rsid w:val="02ED7AD8"/>
    <w:rsid w:val="03742070"/>
    <w:rsid w:val="050FF0D1"/>
    <w:rsid w:val="05353499"/>
    <w:rsid w:val="05F53B74"/>
    <w:rsid w:val="07BFF5F4"/>
    <w:rsid w:val="08479193"/>
    <w:rsid w:val="0913F967"/>
    <w:rsid w:val="095FDE45"/>
    <w:rsid w:val="0A22D4D0"/>
    <w:rsid w:val="0B7F3255"/>
    <w:rsid w:val="0C19B50A"/>
    <w:rsid w:val="0C76811D"/>
    <w:rsid w:val="0C8F1C9A"/>
    <w:rsid w:val="0D583FEB"/>
    <w:rsid w:val="0D836C6D"/>
    <w:rsid w:val="0EB6D317"/>
    <w:rsid w:val="0EC34891"/>
    <w:rsid w:val="0ED914AA"/>
    <w:rsid w:val="0FAE21DF"/>
    <w:rsid w:val="10142F8E"/>
    <w:rsid w:val="1052A378"/>
    <w:rsid w:val="1102BFE0"/>
    <w:rsid w:val="118AE76E"/>
    <w:rsid w:val="11FAE953"/>
    <w:rsid w:val="134AED97"/>
    <w:rsid w:val="13ECEC14"/>
    <w:rsid w:val="1461AD0A"/>
    <w:rsid w:val="15323006"/>
    <w:rsid w:val="16BA959B"/>
    <w:rsid w:val="16E5F9D4"/>
    <w:rsid w:val="17B7CD36"/>
    <w:rsid w:val="17F09CDA"/>
    <w:rsid w:val="1A56DA97"/>
    <w:rsid w:val="1A93A3CC"/>
    <w:rsid w:val="1D8B802E"/>
    <w:rsid w:val="1DBA3B33"/>
    <w:rsid w:val="1FCACEA6"/>
    <w:rsid w:val="220DB0D9"/>
    <w:rsid w:val="2228AC7B"/>
    <w:rsid w:val="23C47CDC"/>
    <w:rsid w:val="23F83131"/>
    <w:rsid w:val="252D22D5"/>
    <w:rsid w:val="2610161C"/>
    <w:rsid w:val="295AE937"/>
    <w:rsid w:val="2970B550"/>
    <w:rsid w:val="2A33BE60"/>
    <w:rsid w:val="2B0AA791"/>
    <w:rsid w:val="2BA34280"/>
    <w:rsid w:val="2BB54A97"/>
    <w:rsid w:val="2C1AD208"/>
    <w:rsid w:val="2CA85612"/>
    <w:rsid w:val="2CCB28A3"/>
    <w:rsid w:val="2E256EA7"/>
    <w:rsid w:val="2E2AFE16"/>
    <w:rsid w:val="2E45200A"/>
    <w:rsid w:val="2E45F9B8"/>
    <w:rsid w:val="2FC6CE77"/>
    <w:rsid w:val="2FE0F06B"/>
    <w:rsid w:val="300E1F71"/>
    <w:rsid w:val="317BC735"/>
    <w:rsid w:val="31D73AD1"/>
    <w:rsid w:val="33181F71"/>
    <w:rsid w:val="33E1E354"/>
    <w:rsid w:val="34B367F7"/>
    <w:rsid w:val="35153C04"/>
    <w:rsid w:val="3564A37A"/>
    <w:rsid w:val="36360FFB"/>
    <w:rsid w:val="363DFD81"/>
    <w:rsid w:val="364F3858"/>
    <w:rsid w:val="36510B9D"/>
    <w:rsid w:val="373A411E"/>
    <w:rsid w:val="39D7A7F9"/>
    <w:rsid w:val="3B08556E"/>
    <w:rsid w:val="3CDC5E57"/>
    <w:rsid w:val="3D803B95"/>
    <w:rsid w:val="3DF609F7"/>
    <w:rsid w:val="3E046DB7"/>
    <w:rsid w:val="3E20B2A2"/>
    <w:rsid w:val="3E4630F0"/>
    <w:rsid w:val="3E5C1D82"/>
    <w:rsid w:val="3F67F39B"/>
    <w:rsid w:val="3FE4DFC7"/>
    <w:rsid w:val="407E0DAB"/>
    <w:rsid w:val="411EBEC2"/>
    <w:rsid w:val="417C95F7"/>
    <w:rsid w:val="4193BE44"/>
    <w:rsid w:val="43149303"/>
    <w:rsid w:val="46397161"/>
    <w:rsid w:val="464C33C5"/>
    <w:rsid w:val="4654214B"/>
    <w:rsid w:val="46A43244"/>
    <w:rsid w:val="46E89917"/>
    <w:rsid w:val="47121FA6"/>
    <w:rsid w:val="47DB72C8"/>
    <w:rsid w:val="4A40E94A"/>
    <w:rsid w:val="4A4C8765"/>
    <w:rsid w:val="4A7F8500"/>
    <w:rsid w:val="4C22734C"/>
    <w:rsid w:val="4D970976"/>
    <w:rsid w:val="4E7421A6"/>
    <w:rsid w:val="4EBBBB62"/>
    <w:rsid w:val="4EE9990E"/>
    <w:rsid w:val="4F480448"/>
    <w:rsid w:val="4F52F623"/>
    <w:rsid w:val="51325D80"/>
    <w:rsid w:val="51B39B0E"/>
    <w:rsid w:val="525C9AAB"/>
    <w:rsid w:val="52716E88"/>
    <w:rsid w:val="53347798"/>
    <w:rsid w:val="5390AAAC"/>
    <w:rsid w:val="540D3EE9"/>
    <w:rsid w:val="54C414E5"/>
    <w:rsid w:val="54D14DE7"/>
    <w:rsid w:val="5589EA7D"/>
    <w:rsid w:val="55A21B5B"/>
    <w:rsid w:val="56911A96"/>
    <w:rsid w:val="572D204D"/>
    <w:rsid w:val="58E3B241"/>
    <w:rsid w:val="59A1E5D7"/>
    <w:rsid w:val="5B223644"/>
    <w:rsid w:val="5B295360"/>
    <w:rsid w:val="5B561869"/>
    <w:rsid w:val="5C2DA45D"/>
    <w:rsid w:val="5D04A77E"/>
    <w:rsid w:val="5D969B5C"/>
    <w:rsid w:val="5DA58298"/>
    <w:rsid w:val="5EC5A90C"/>
    <w:rsid w:val="60192EA7"/>
    <w:rsid w:val="60CE3C1E"/>
    <w:rsid w:val="60D1B13D"/>
    <w:rsid w:val="62271D5A"/>
    <w:rsid w:val="638DBAF6"/>
    <w:rsid w:val="64245C4A"/>
    <w:rsid w:val="64B4FB4D"/>
    <w:rsid w:val="651EF096"/>
    <w:rsid w:val="65534BFF"/>
    <w:rsid w:val="65BE0764"/>
    <w:rsid w:val="661BBB46"/>
    <w:rsid w:val="6639283B"/>
    <w:rsid w:val="6699CDAA"/>
    <w:rsid w:val="672E4073"/>
    <w:rsid w:val="68E30A31"/>
    <w:rsid w:val="69452C73"/>
    <w:rsid w:val="69C40D8D"/>
    <w:rsid w:val="69D16E6C"/>
    <w:rsid w:val="69ECF6EE"/>
    <w:rsid w:val="6BA28DAF"/>
    <w:rsid w:val="6C2E7498"/>
    <w:rsid w:val="6D2497B0"/>
    <w:rsid w:val="6D89C2A6"/>
    <w:rsid w:val="6DAAF607"/>
    <w:rsid w:val="6DAFF0EC"/>
    <w:rsid w:val="6DE8C46F"/>
    <w:rsid w:val="6EB61A66"/>
    <w:rsid w:val="6F2F672A"/>
    <w:rsid w:val="6F710515"/>
    <w:rsid w:val="7040AFF0"/>
    <w:rsid w:val="70431015"/>
    <w:rsid w:val="70744D1D"/>
    <w:rsid w:val="7074D3EF"/>
    <w:rsid w:val="71693A3F"/>
    <w:rsid w:val="729F8961"/>
    <w:rsid w:val="738E07A8"/>
    <w:rsid w:val="74461D11"/>
    <w:rsid w:val="75047D13"/>
    <w:rsid w:val="75505491"/>
    <w:rsid w:val="75DF264F"/>
    <w:rsid w:val="76EFDE7E"/>
    <w:rsid w:val="7701A923"/>
    <w:rsid w:val="77430F72"/>
    <w:rsid w:val="79B7DEC0"/>
    <w:rsid w:val="79E9F25B"/>
    <w:rsid w:val="7B516A13"/>
    <w:rsid w:val="7BAB137C"/>
    <w:rsid w:val="7C7985AF"/>
    <w:rsid w:val="7D99A64C"/>
    <w:rsid w:val="7EB36C9C"/>
    <w:rsid w:val="7EDB5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C465C"/>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86008C"/>
    <w:pPr>
      <w:spacing w:before="240" w:after="120" w:line="240" w:lineRule="auto"/>
      <w:outlineLvl w:val="1"/>
    </w:pPr>
    <w:rPr>
      <w:bCs w:val="0"/>
      <w:sz w:val="26"/>
      <w:szCs w:val="30"/>
    </w:rPr>
  </w:style>
  <w:style w:type="paragraph" w:styleId="Heading3">
    <w:name w:val="heading 3"/>
    <w:basedOn w:val="Heading2"/>
    <w:next w:val="Normal"/>
    <w:link w:val="Heading3Char"/>
    <w:autoRedefine/>
    <w:uiPriority w:val="9"/>
    <w:unhideWhenUsed/>
    <w:qFormat/>
    <w:rsid w:val="00FC465C"/>
    <w:pPr>
      <w:outlineLvl w:val="2"/>
    </w:pPr>
    <w:rPr>
      <w:rFonts w:asciiTheme="minorHAnsi" w:hAnsiTheme="minorHAnsi" w:cstheme="minorHAnsi"/>
      <w:bCs/>
      <w:iCs/>
      <w:caps w:val="0"/>
      <w:szCs w:val="26"/>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65C"/>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86008C"/>
    <w:rPr>
      <w:rFonts w:asciiTheme="majorHAnsi" w:eastAsiaTheme="majorEastAsia" w:hAnsiTheme="majorHAnsi" w:cstheme="majorBidi"/>
      <w:b/>
      <w:caps/>
      <w:color w:val="495965" w:themeColor="text2"/>
      <w:sz w:val="26"/>
      <w:szCs w:val="30"/>
      <w:lang w:val="en-GB"/>
    </w:rPr>
  </w:style>
  <w:style w:type="character" w:customStyle="1" w:styleId="Heading3Char">
    <w:name w:val="Heading 3 Char"/>
    <w:basedOn w:val="DefaultParagraphFont"/>
    <w:link w:val="Heading3"/>
    <w:uiPriority w:val="9"/>
    <w:rsid w:val="00FC465C"/>
    <w:rPr>
      <w:rFonts w:eastAsiaTheme="majorEastAsia" w:cstheme="minorHAnsi"/>
      <w:b/>
      <w:bCs/>
      <w:iCs/>
      <w:sz w:val="26"/>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andara" w:hAnsi="Candar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 w:type="paragraph" w:customStyle="1" w:styleId="paragraph">
    <w:name w:val="paragraph"/>
    <w:basedOn w:val="Normal"/>
    <w:rsid w:val="009C60F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9C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39420612">
      <w:bodyDiv w:val="1"/>
      <w:marLeft w:val="0"/>
      <w:marRight w:val="0"/>
      <w:marTop w:val="0"/>
      <w:marBottom w:val="0"/>
      <w:divBdr>
        <w:top w:val="none" w:sz="0" w:space="0" w:color="auto"/>
        <w:left w:val="none" w:sz="0" w:space="0" w:color="auto"/>
        <w:bottom w:val="none" w:sz="0" w:space="0" w:color="auto"/>
        <w:right w:val="none" w:sz="0" w:space="0" w:color="auto"/>
      </w:divBdr>
    </w:div>
    <w:div w:id="1033922933">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26531536">
      <w:bodyDiv w:val="1"/>
      <w:marLeft w:val="0"/>
      <w:marRight w:val="0"/>
      <w:marTop w:val="0"/>
      <w:marBottom w:val="0"/>
      <w:divBdr>
        <w:top w:val="none" w:sz="0" w:space="0" w:color="auto"/>
        <w:left w:val="none" w:sz="0" w:space="0" w:color="auto"/>
        <w:bottom w:val="none" w:sz="0" w:space="0" w:color="auto"/>
        <w:right w:val="none" w:sz="0" w:space="0" w:color="auto"/>
      </w:divBdr>
    </w:div>
    <w:div w:id="1504079930">
      <w:bodyDiv w:val="1"/>
      <w:marLeft w:val="0"/>
      <w:marRight w:val="0"/>
      <w:marTop w:val="0"/>
      <w:marBottom w:val="0"/>
      <w:divBdr>
        <w:top w:val="none" w:sz="0" w:space="0" w:color="auto"/>
        <w:left w:val="none" w:sz="0" w:space="0" w:color="auto"/>
        <w:bottom w:val="none" w:sz="0" w:space="0" w:color="auto"/>
        <w:right w:val="none" w:sz="0" w:space="0" w:color="auto"/>
      </w:divBdr>
    </w:div>
    <w:div w:id="1505976222">
      <w:bodyDiv w:val="1"/>
      <w:marLeft w:val="0"/>
      <w:marRight w:val="0"/>
      <w:marTop w:val="0"/>
      <w:marBottom w:val="0"/>
      <w:divBdr>
        <w:top w:val="none" w:sz="0" w:space="0" w:color="auto"/>
        <w:left w:val="none" w:sz="0" w:space="0" w:color="auto"/>
        <w:bottom w:val="none" w:sz="0" w:space="0" w:color="auto"/>
        <w:right w:val="none" w:sz="0" w:space="0" w:color="auto"/>
      </w:divBdr>
    </w:div>
    <w:div w:id="1633095785">
      <w:bodyDiv w:val="1"/>
      <w:marLeft w:val="0"/>
      <w:marRight w:val="0"/>
      <w:marTop w:val="0"/>
      <w:marBottom w:val="0"/>
      <w:divBdr>
        <w:top w:val="none" w:sz="0" w:space="0" w:color="auto"/>
        <w:left w:val="none" w:sz="0" w:space="0" w:color="auto"/>
        <w:bottom w:val="none" w:sz="0" w:space="0" w:color="auto"/>
        <w:right w:val="none" w:sz="0" w:space="0" w:color="auto"/>
      </w:divBdr>
    </w:div>
    <w:div w:id="171576344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21359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5727</Characters>
  <Application>Microsoft Office Word</Application>
  <DocSecurity>0</DocSecurity>
  <Lines>168</Lines>
  <Paragraphs>75</Paragraphs>
  <ScaleCrop>false</ScaleCrop>
  <HeadingPairs>
    <vt:vector size="2" baseType="variant">
      <vt:variant>
        <vt:lpstr>Title</vt:lpstr>
      </vt:variant>
      <vt:variant>
        <vt:i4>1</vt:i4>
      </vt:variant>
    </vt:vector>
  </HeadingPairs>
  <TitlesOfParts>
    <vt:vector size="1" baseType="lpstr">
      <vt:lpstr>2022-23 Nauru Development Program Progress Report</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Nauru Development Program Progress Report</dc:title>
  <dc:subject/>
  <dc:creator/>
  <cp:keywords>[SEC=OFFICIAL]</cp:keywords>
  <cp:lastModifiedBy/>
  <cp:revision>1</cp:revision>
  <dcterms:created xsi:type="dcterms:W3CDTF">2024-01-24T05:25:00Z</dcterms:created>
  <dcterms:modified xsi:type="dcterms:W3CDTF">2024-01-24T05:26:00Z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v=2022.1;a=SHA256;h=178238FBEB1C75205B2A3539856840F9907DFEC219426E2AABAB45F3321F3E15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2024-01-24T05:26:09Z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352CE73207FE4F65B8E0C3E52ADC0A2F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D9BA225FC5A9620FD8C1BD4BD3933FDF</vt:lpwstr>
  </property>
  <property fmtid="{D5CDD505-2E9C-101B-9397-08002B2CF9AE}" pid="25" name="PM_Hash_Salt">
    <vt:lpwstr>39A0141974413018E9FD0B9BFA9A8AD6</vt:lpwstr>
  </property>
  <property fmtid="{D5CDD505-2E9C-101B-9397-08002B2CF9AE}" pid="26" name="PM_Hash_SHA1">
    <vt:lpwstr>8D13DFAD61D8F2F5F1DF650E36D4121C61C86422</vt:lpwstr>
  </property>
</Properties>
</file>