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97AB" w14:textId="2C93419A" w:rsidR="0068172A" w:rsidRPr="003D48D1" w:rsidRDefault="002E500A" w:rsidP="0080226D">
      <w:pPr>
        <w:pStyle w:val="Heading1"/>
      </w:pPr>
      <w:r w:rsidRPr="003D48D1">
        <w:t>202</w:t>
      </w:r>
      <w:r w:rsidR="00996FC8" w:rsidRPr="003D48D1">
        <w:t>2</w:t>
      </w:r>
      <w:r w:rsidRPr="003D48D1">
        <w:t>-2</w:t>
      </w:r>
      <w:r w:rsidR="00996FC8" w:rsidRPr="003D48D1">
        <w:t>3</w:t>
      </w:r>
      <w:r w:rsidRPr="003D48D1">
        <w:t xml:space="preserve"> </w:t>
      </w:r>
      <w:r w:rsidR="14607E33" w:rsidRPr="003D48D1">
        <w:t xml:space="preserve">Pacific </w:t>
      </w:r>
      <w:r w:rsidR="00382CE7" w:rsidRPr="003D48D1">
        <w:t>Regional</w:t>
      </w:r>
      <w:r w:rsidR="001F7F4D" w:rsidRPr="003D48D1">
        <w:t xml:space="preserve"> D</w:t>
      </w:r>
      <w:r w:rsidR="00382CE7" w:rsidRPr="003D48D1">
        <w:t>evelopment</w:t>
      </w:r>
      <w:r w:rsidR="001F7F4D" w:rsidRPr="003D48D1">
        <w:t xml:space="preserve"> </w:t>
      </w:r>
      <w:r w:rsidRPr="003D48D1">
        <w:t>P</w:t>
      </w:r>
      <w:r w:rsidR="00382CE7" w:rsidRPr="003D48D1">
        <w:t xml:space="preserve">rogram </w:t>
      </w:r>
      <w:r w:rsidRPr="003D48D1">
        <w:t>P</w:t>
      </w:r>
      <w:r w:rsidR="00382CE7" w:rsidRPr="003D48D1">
        <w:t>rogress</w:t>
      </w:r>
      <w:r w:rsidRPr="003D48D1">
        <w:t xml:space="preserve"> R</w:t>
      </w:r>
      <w:r w:rsidR="00382CE7" w:rsidRPr="003D48D1">
        <w:t>eport</w:t>
      </w:r>
      <w:r w:rsidR="0068172A" w:rsidRPr="003D48D1">
        <w:t>ING</w:t>
      </w:r>
      <w:r w:rsidR="001F7F4D" w:rsidRPr="003D48D1">
        <w:t xml:space="preserve"> </w:t>
      </w:r>
    </w:p>
    <w:p w14:paraId="12E24BAE" w14:textId="3992E382" w:rsidR="00BC1FED" w:rsidRPr="003D48D1" w:rsidRDefault="0068172A" w:rsidP="0080226D">
      <w:pPr>
        <w:pStyle w:val="Heading2"/>
        <w:rPr>
          <w:bCs/>
        </w:rPr>
      </w:pPr>
      <w:r w:rsidRPr="003D48D1">
        <w:t xml:space="preserve">Progress against COVID-19 </w:t>
      </w:r>
      <w:r w:rsidR="008C1A18" w:rsidRPr="003D48D1">
        <w:t xml:space="preserve">development </w:t>
      </w:r>
      <w:r w:rsidR="008A1503" w:rsidRPr="003D48D1">
        <w:t xml:space="preserve">Response plan </w:t>
      </w:r>
      <w:r w:rsidR="00E1666D" w:rsidRPr="003D48D1">
        <w:t>results indicators</w:t>
      </w:r>
    </w:p>
    <w:tbl>
      <w:tblPr>
        <w:tblStyle w:val="TableGrid"/>
        <w:tblW w:w="1049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3119"/>
        <w:gridCol w:w="7371"/>
      </w:tblGrid>
      <w:tr w:rsidR="003D48D1" w:rsidRPr="003D48D1" w14:paraId="04570545" w14:textId="77777777" w:rsidTr="00F39C77">
        <w:trPr>
          <w:cantSplit/>
        </w:trPr>
        <w:tc>
          <w:tcPr>
            <w:tcW w:w="3118" w:type="dxa"/>
            <w:tcBorders>
              <w:top w:val="nil"/>
              <w:left w:val="nil"/>
              <w:right w:val="nil"/>
            </w:tcBorders>
            <w:shd w:val="clear" w:color="auto" w:fill="auto"/>
          </w:tcPr>
          <w:p w14:paraId="1C07581B" w14:textId="61C48497" w:rsidR="00A2635A" w:rsidRPr="00896275" w:rsidRDefault="00A2635A" w:rsidP="00896275">
            <w:pPr>
              <w:pStyle w:val="Heading3"/>
            </w:pPr>
            <w:r w:rsidRPr="00896275">
              <w:t>Health Security</w:t>
            </w:r>
          </w:p>
        </w:tc>
        <w:tc>
          <w:tcPr>
            <w:tcW w:w="7372" w:type="dxa"/>
            <w:tcBorders>
              <w:top w:val="nil"/>
              <w:left w:val="nil"/>
              <w:right w:val="nil"/>
            </w:tcBorders>
            <w:shd w:val="clear" w:color="auto" w:fill="auto"/>
          </w:tcPr>
          <w:p w14:paraId="60CBC525" w14:textId="77777777" w:rsidR="00A2635A" w:rsidRPr="003D48D1" w:rsidRDefault="00A2635A" w:rsidP="001D3AAE">
            <w:pPr>
              <w:spacing w:after="120" w:line="240" w:lineRule="auto"/>
              <w:rPr>
                <w:b/>
                <w:color w:val="auto"/>
                <w:sz w:val="26"/>
                <w:szCs w:val="26"/>
              </w:rPr>
            </w:pPr>
          </w:p>
        </w:tc>
      </w:tr>
      <w:tr w:rsidR="003D48D1" w:rsidRPr="003D48D1" w14:paraId="228F7F02" w14:textId="77777777" w:rsidTr="00F39C77">
        <w:trPr>
          <w:cantSplit/>
        </w:trPr>
        <w:tc>
          <w:tcPr>
            <w:tcW w:w="3118" w:type="dxa"/>
            <w:shd w:val="clear" w:color="auto" w:fill="A2DCD1" w:themeFill="accent1" w:themeFillTint="99"/>
          </w:tcPr>
          <w:p w14:paraId="7116F4F5" w14:textId="2BCC79D7" w:rsidR="004F5615" w:rsidRPr="003D48D1" w:rsidRDefault="00A96364" w:rsidP="00ED2FE1">
            <w:pPr>
              <w:spacing w:after="120" w:line="240" w:lineRule="auto"/>
              <w:jc w:val="center"/>
              <w:rPr>
                <w:b/>
                <w:color w:val="auto"/>
              </w:rPr>
            </w:pPr>
            <w:r w:rsidRPr="003D48D1">
              <w:rPr>
                <w:b/>
                <w:color w:val="auto"/>
              </w:rPr>
              <w:t xml:space="preserve">Key Results </w:t>
            </w:r>
            <w:r w:rsidR="00E1666D" w:rsidRPr="003D48D1">
              <w:rPr>
                <w:b/>
                <w:color w:val="auto"/>
              </w:rPr>
              <w:t>Indicators</w:t>
            </w:r>
          </w:p>
        </w:tc>
        <w:tc>
          <w:tcPr>
            <w:tcW w:w="7372" w:type="dxa"/>
            <w:shd w:val="clear" w:color="auto" w:fill="A2DCD1" w:themeFill="accent1" w:themeFillTint="99"/>
          </w:tcPr>
          <w:p w14:paraId="18C04122" w14:textId="30B10914" w:rsidR="004F5615" w:rsidRPr="003D48D1" w:rsidRDefault="00AD19F7" w:rsidP="00ED2FE1">
            <w:pPr>
              <w:spacing w:after="120" w:line="240" w:lineRule="auto"/>
              <w:jc w:val="center"/>
              <w:rPr>
                <w:color w:val="auto"/>
              </w:rPr>
            </w:pPr>
            <w:r w:rsidRPr="003D48D1">
              <w:rPr>
                <w:b/>
                <w:color w:val="auto"/>
              </w:rPr>
              <w:t>Progress/Result</w:t>
            </w:r>
          </w:p>
        </w:tc>
      </w:tr>
      <w:tr w:rsidR="003D48D1" w:rsidRPr="003D48D1" w14:paraId="5D4066B5" w14:textId="77777777" w:rsidTr="00F39C77">
        <w:trPr>
          <w:cantSplit/>
        </w:trPr>
        <w:tc>
          <w:tcPr>
            <w:tcW w:w="3118" w:type="dxa"/>
          </w:tcPr>
          <w:p w14:paraId="354112BD" w14:textId="49AB60BA" w:rsidR="0009285F" w:rsidRPr="003D48D1" w:rsidRDefault="0009285F" w:rsidP="00ED2FE1">
            <w:pPr>
              <w:spacing w:after="120" w:line="240" w:lineRule="auto"/>
              <w:rPr>
                <w:rFonts w:ascii="Calibri Light" w:eastAsia="Calibri Light" w:hAnsi="Calibri Light" w:cs="Calibri Light"/>
                <w:color w:val="auto"/>
              </w:rPr>
            </w:pPr>
            <w:r w:rsidRPr="003D48D1">
              <w:rPr>
                <w:rFonts w:ascii="Calibri Light" w:eastAsia="Times New Roman" w:hAnsi="Calibri Light" w:cs="Calibri Light"/>
                <w:color w:val="auto"/>
              </w:rPr>
              <w:t>Number of partner countries where Australia has contributed to strengthened health systems including preparedness for health emergencies (with examples) [</w:t>
            </w:r>
            <w:r w:rsidR="0008168E">
              <w:rPr>
                <w:rFonts w:ascii="Calibri Light" w:eastAsia="Times New Roman" w:hAnsi="Calibri Light" w:cs="Calibri Light"/>
                <w:color w:val="auto"/>
              </w:rPr>
              <w:t>T</w:t>
            </w:r>
            <w:r w:rsidRPr="003D48D1">
              <w:rPr>
                <w:rFonts w:ascii="Calibri Light" w:eastAsia="Times New Roman" w:hAnsi="Calibri Light" w:cs="Calibri Light"/>
                <w:color w:val="auto"/>
              </w:rPr>
              <w:t xml:space="preserve">arget: fourteen] </w:t>
            </w:r>
          </w:p>
        </w:tc>
        <w:tc>
          <w:tcPr>
            <w:tcW w:w="7372" w:type="dxa"/>
          </w:tcPr>
          <w:p w14:paraId="0B2EB13A" w14:textId="15632ADF" w:rsidR="0009285F" w:rsidRPr="003D48D1" w:rsidRDefault="001D30A6" w:rsidP="00ED2FE1">
            <w:pPr>
              <w:spacing w:after="120" w:line="240" w:lineRule="auto"/>
              <w:rPr>
                <w:rFonts w:eastAsia="Calibri Light" w:cstheme="minorHAnsi"/>
                <w:color w:val="auto"/>
              </w:rPr>
            </w:pPr>
            <w:r w:rsidRPr="003D48D1">
              <w:rPr>
                <w:rFonts w:eastAsia="Calibri Light" w:cstheme="minorHAnsi"/>
                <w:color w:val="auto"/>
              </w:rPr>
              <w:t xml:space="preserve">In 2022-23 </w:t>
            </w:r>
            <w:r w:rsidR="00BC239A" w:rsidRPr="003D48D1">
              <w:rPr>
                <w:rFonts w:eastAsia="Calibri Light" w:cstheme="minorHAnsi"/>
                <w:color w:val="auto"/>
              </w:rPr>
              <w:t xml:space="preserve">Australia contributed to strengthened health systems </w:t>
            </w:r>
            <w:r w:rsidR="00F95926" w:rsidRPr="003D48D1">
              <w:rPr>
                <w:rFonts w:eastAsia="Calibri Light" w:cstheme="minorHAnsi"/>
                <w:color w:val="auto"/>
              </w:rPr>
              <w:t>i</w:t>
            </w:r>
            <w:r w:rsidR="008B0A0A" w:rsidRPr="003D48D1">
              <w:rPr>
                <w:rFonts w:eastAsia="Calibri Light" w:cstheme="minorHAnsi"/>
                <w:color w:val="auto"/>
              </w:rPr>
              <w:t>n</w:t>
            </w:r>
            <w:r w:rsidR="00BC239A" w:rsidRPr="003D48D1">
              <w:rPr>
                <w:rFonts w:eastAsia="Calibri Light" w:cstheme="minorHAnsi"/>
                <w:color w:val="auto"/>
              </w:rPr>
              <w:t xml:space="preserve"> 1</w:t>
            </w:r>
            <w:r w:rsidR="00085895" w:rsidRPr="003D48D1">
              <w:rPr>
                <w:rFonts w:eastAsia="Calibri Light" w:cstheme="minorHAnsi"/>
                <w:color w:val="auto"/>
              </w:rPr>
              <w:t>5</w:t>
            </w:r>
            <w:r w:rsidR="004C2870" w:rsidRPr="003D48D1">
              <w:rPr>
                <w:rFonts w:eastAsia="Calibri Light" w:cstheme="minorHAnsi"/>
                <w:color w:val="auto"/>
              </w:rPr>
              <w:t xml:space="preserve"> Pacific countries.</w:t>
            </w:r>
          </w:p>
          <w:p w14:paraId="01A60BFE" w14:textId="77777777" w:rsidR="00AD17D6" w:rsidRDefault="00085895" w:rsidP="00ED2FE1">
            <w:pPr>
              <w:suppressAutoHyphens w:val="0"/>
              <w:spacing w:after="120" w:line="240" w:lineRule="auto"/>
              <w:rPr>
                <w:rFonts w:eastAsia="Times New Roman" w:cstheme="minorHAnsi"/>
                <w:color w:val="auto"/>
              </w:rPr>
            </w:pPr>
            <w:r w:rsidRPr="003D48D1">
              <w:rPr>
                <w:rFonts w:eastAsia="Times New Roman" w:cstheme="minorHAnsi"/>
                <w:color w:val="auto"/>
              </w:rPr>
              <w:t>Our regional health investments</w:t>
            </w:r>
            <w:r w:rsidR="00A07B31" w:rsidRPr="003D48D1">
              <w:rPr>
                <w:rFonts w:eastAsia="Times New Roman" w:cstheme="minorHAnsi"/>
                <w:color w:val="auto"/>
              </w:rPr>
              <w:t xml:space="preserve"> </w:t>
            </w:r>
            <w:r w:rsidR="007E3A2D" w:rsidRPr="003D48D1">
              <w:rPr>
                <w:rFonts w:eastAsia="Times New Roman" w:cstheme="minorHAnsi"/>
                <w:color w:val="auto"/>
              </w:rPr>
              <w:t>support</w:t>
            </w:r>
            <w:r w:rsidRPr="003D48D1">
              <w:rPr>
                <w:rFonts w:eastAsia="Times New Roman" w:cstheme="minorHAnsi"/>
                <w:color w:val="auto"/>
              </w:rPr>
              <w:t>ed</w:t>
            </w:r>
            <w:r w:rsidR="007E3A2D" w:rsidRPr="003D48D1">
              <w:rPr>
                <w:rFonts w:eastAsia="Times New Roman" w:cstheme="minorHAnsi"/>
                <w:color w:val="auto"/>
              </w:rPr>
              <w:t xml:space="preserve"> </w:t>
            </w:r>
            <w:r w:rsidR="00A07B31" w:rsidRPr="003D48D1">
              <w:rPr>
                <w:rFonts w:eastAsia="Times New Roman" w:cstheme="minorHAnsi"/>
                <w:color w:val="auto"/>
              </w:rPr>
              <w:t xml:space="preserve">specialised clinical services, research, service delivery, </w:t>
            </w:r>
            <w:r w:rsidR="007E3A2D" w:rsidRPr="003D48D1">
              <w:rPr>
                <w:rFonts w:eastAsia="Times New Roman" w:cstheme="minorHAnsi"/>
                <w:color w:val="auto"/>
              </w:rPr>
              <w:t xml:space="preserve">treatment and prevention of </w:t>
            </w:r>
            <w:r w:rsidR="00A07B31" w:rsidRPr="003D48D1">
              <w:rPr>
                <w:rFonts w:eastAsia="Times New Roman" w:cstheme="minorHAnsi"/>
                <w:color w:val="auto"/>
              </w:rPr>
              <w:t>communicable and non</w:t>
            </w:r>
            <w:r w:rsidR="008F5DD0" w:rsidRPr="003D48D1">
              <w:rPr>
                <w:rFonts w:eastAsia="Times New Roman" w:cstheme="minorHAnsi"/>
                <w:color w:val="auto"/>
              </w:rPr>
              <w:noBreakHyphen/>
            </w:r>
            <w:r w:rsidR="00A07B31" w:rsidRPr="003D48D1">
              <w:rPr>
                <w:rFonts w:eastAsia="Times New Roman" w:cstheme="minorHAnsi"/>
                <w:color w:val="auto"/>
              </w:rPr>
              <w:t xml:space="preserve">communicable diseases, health workforce improvement, basic healthcare, </w:t>
            </w:r>
            <w:r w:rsidR="00AD17D6">
              <w:rPr>
                <w:rFonts w:eastAsia="Times New Roman" w:cstheme="minorHAnsi"/>
                <w:color w:val="auto"/>
              </w:rPr>
              <w:t xml:space="preserve">and </w:t>
            </w:r>
            <w:r w:rsidR="00A07B31" w:rsidRPr="003D48D1">
              <w:rPr>
                <w:rFonts w:eastAsia="Times New Roman" w:cstheme="minorHAnsi"/>
                <w:color w:val="auto"/>
              </w:rPr>
              <w:t>health information systems</w:t>
            </w:r>
            <w:r w:rsidR="00F553A6" w:rsidRPr="003D48D1">
              <w:rPr>
                <w:rFonts w:eastAsia="Times New Roman" w:cstheme="minorHAnsi"/>
                <w:color w:val="auto"/>
              </w:rPr>
              <w:t xml:space="preserve">. </w:t>
            </w:r>
          </w:p>
          <w:p w14:paraId="5BD88CC8" w14:textId="77777777" w:rsidR="000F2759" w:rsidRDefault="00F553A6" w:rsidP="00ED2FE1">
            <w:pPr>
              <w:suppressAutoHyphens w:val="0"/>
              <w:spacing w:after="120" w:line="240" w:lineRule="auto"/>
              <w:rPr>
                <w:color w:val="auto"/>
              </w:rPr>
            </w:pPr>
            <w:r w:rsidRPr="003D48D1">
              <w:rPr>
                <w:color w:val="auto"/>
              </w:rPr>
              <w:t xml:space="preserve">Australia’s support to the Pacific Community’s (SPC) strengthened strategic direction and policy development </w:t>
            </w:r>
            <w:r w:rsidR="00AD17D6">
              <w:rPr>
                <w:color w:val="auto"/>
              </w:rPr>
              <w:t>by</w:t>
            </w:r>
            <w:r w:rsidRPr="003D48D1">
              <w:rPr>
                <w:color w:val="auto"/>
              </w:rPr>
              <w:t xml:space="preserve"> convening technical and development partners in Directors of Clinical Services and Pacific Heads of Health meetings. </w:t>
            </w:r>
          </w:p>
          <w:p w14:paraId="1C78B18E" w14:textId="2089A701" w:rsidR="006D0C51" w:rsidRPr="003D48D1" w:rsidRDefault="00F553A6" w:rsidP="00ED2FE1">
            <w:pPr>
              <w:suppressAutoHyphens w:val="0"/>
              <w:spacing w:after="120" w:line="240" w:lineRule="auto"/>
              <w:rPr>
                <w:rFonts w:eastAsia="Times New Roman" w:cstheme="minorHAnsi"/>
                <w:color w:val="auto"/>
              </w:rPr>
            </w:pPr>
            <w:r w:rsidRPr="003D48D1">
              <w:rPr>
                <w:color w:val="auto"/>
              </w:rPr>
              <w:t xml:space="preserve">Our support to Fiji National University enabled knowledge sharing and evidence gathering on policy issues in the Pacific through the launch of the Pacific Health Observatory data repository. </w:t>
            </w:r>
          </w:p>
        </w:tc>
      </w:tr>
      <w:tr w:rsidR="003D48D1" w:rsidRPr="003D48D1" w14:paraId="4AD746D8" w14:textId="77777777" w:rsidTr="00F39C77">
        <w:trPr>
          <w:cantSplit/>
        </w:trPr>
        <w:tc>
          <w:tcPr>
            <w:tcW w:w="3118" w:type="dxa"/>
          </w:tcPr>
          <w:p w14:paraId="0AB10A98" w14:textId="711D014B" w:rsidR="0009285F" w:rsidRPr="003D48D1" w:rsidRDefault="0009285F" w:rsidP="00ED2FE1">
            <w:pPr>
              <w:suppressAutoHyphens w:val="0"/>
              <w:spacing w:after="120" w:line="240" w:lineRule="auto"/>
              <w:rPr>
                <w:rFonts w:ascii="Calibri Light" w:eastAsia="Calibri Light" w:hAnsi="Calibri Light" w:cs="Calibri Light"/>
                <w:color w:val="auto"/>
              </w:rPr>
            </w:pPr>
            <w:r w:rsidRPr="003D48D1">
              <w:rPr>
                <w:color w:val="auto"/>
              </w:rPr>
              <w:t>Evidence that partner countries have improved responses to health security threats</w:t>
            </w:r>
            <w:r w:rsidRPr="003D48D1">
              <w:rPr>
                <w:rFonts w:ascii="Calibri Light" w:eastAsia="Times New Roman" w:hAnsi="Calibri Light" w:cs="Calibri Light"/>
                <w:color w:val="auto"/>
              </w:rPr>
              <w:t xml:space="preserve"> </w:t>
            </w:r>
          </w:p>
        </w:tc>
        <w:tc>
          <w:tcPr>
            <w:tcW w:w="7372" w:type="dxa"/>
          </w:tcPr>
          <w:p w14:paraId="22A02C48" w14:textId="77777777" w:rsidR="00B757FB" w:rsidRDefault="001E0691" w:rsidP="00F39C77">
            <w:pPr>
              <w:spacing w:after="120" w:line="240" w:lineRule="auto"/>
              <w:rPr>
                <w:rFonts w:eastAsia="Times New Roman"/>
                <w:color w:val="auto"/>
              </w:rPr>
            </w:pPr>
            <w:r w:rsidRPr="00F39C77">
              <w:rPr>
                <w:rFonts w:eastAsia="Times New Roman"/>
                <w:color w:val="auto"/>
              </w:rPr>
              <w:t xml:space="preserve">Through the Stronger Systems for Health Security program, </w:t>
            </w:r>
            <w:r w:rsidR="00B24AC5" w:rsidRPr="00F39C77">
              <w:rPr>
                <w:rFonts w:eastAsia="Times New Roman"/>
                <w:color w:val="auto"/>
              </w:rPr>
              <w:t xml:space="preserve">Australia </w:t>
            </w:r>
            <w:r w:rsidRPr="00F39C77">
              <w:rPr>
                <w:rFonts w:eastAsia="Times New Roman"/>
                <w:color w:val="auto"/>
              </w:rPr>
              <w:t>support</w:t>
            </w:r>
            <w:r w:rsidR="00791AAB" w:rsidRPr="00F39C77">
              <w:rPr>
                <w:rFonts w:eastAsia="Times New Roman"/>
                <w:color w:val="auto"/>
              </w:rPr>
              <w:t>ed</w:t>
            </w:r>
            <w:r w:rsidRPr="00F39C77">
              <w:rPr>
                <w:rFonts w:eastAsia="Times New Roman"/>
                <w:color w:val="auto"/>
              </w:rPr>
              <w:t xml:space="preserve"> </w:t>
            </w:r>
            <w:r w:rsidR="0CAA7F14" w:rsidRPr="00F39C77">
              <w:rPr>
                <w:rFonts w:eastAsia="Times New Roman"/>
                <w:color w:val="auto"/>
              </w:rPr>
              <w:t xml:space="preserve">Fiji to </w:t>
            </w:r>
            <w:r w:rsidR="00DF2AF0" w:rsidRPr="00F39C77">
              <w:rPr>
                <w:rFonts w:eastAsia="Times New Roman"/>
                <w:color w:val="auto"/>
              </w:rPr>
              <w:t xml:space="preserve">strengthen </w:t>
            </w:r>
            <w:r w:rsidRPr="00F39C77">
              <w:rPr>
                <w:rFonts w:eastAsia="Times New Roman"/>
                <w:color w:val="auto"/>
              </w:rPr>
              <w:t xml:space="preserve">health systems and integrate water management to </w:t>
            </w:r>
            <w:r w:rsidR="00472B9F" w:rsidRPr="00F39C77">
              <w:rPr>
                <w:rFonts w:eastAsia="Times New Roman"/>
                <w:color w:val="auto"/>
              </w:rPr>
              <w:t xml:space="preserve">address </w:t>
            </w:r>
            <w:r w:rsidR="00DF2AF0" w:rsidRPr="00F39C77">
              <w:rPr>
                <w:rFonts w:eastAsia="Times New Roman"/>
                <w:color w:val="auto"/>
              </w:rPr>
              <w:t xml:space="preserve">the </w:t>
            </w:r>
            <w:r w:rsidRPr="00F39C77">
              <w:rPr>
                <w:rFonts w:eastAsia="Times New Roman"/>
                <w:color w:val="auto"/>
              </w:rPr>
              <w:t xml:space="preserve">“Three Plagues”: typhoid, </w:t>
            </w:r>
            <w:proofErr w:type="gramStart"/>
            <w:r w:rsidRPr="00F39C77">
              <w:rPr>
                <w:rFonts w:eastAsia="Times New Roman"/>
                <w:color w:val="auto"/>
              </w:rPr>
              <w:t>dengue</w:t>
            </w:r>
            <w:proofErr w:type="gramEnd"/>
            <w:r w:rsidRPr="00F39C77">
              <w:rPr>
                <w:rFonts w:eastAsia="Times New Roman"/>
                <w:color w:val="auto"/>
              </w:rPr>
              <w:t xml:space="preserve"> and leptospirosis. </w:t>
            </w:r>
          </w:p>
          <w:p w14:paraId="0A96D39B" w14:textId="586E6323" w:rsidR="00F235A9" w:rsidRPr="003D48D1" w:rsidRDefault="001E0691" w:rsidP="00F39C77">
            <w:pPr>
              <w:spacing w:after="120" w:line="240" w:lineRule="auto"/>
              <w:rPr>
                <w:rFonts w:eastAsia="Times New Roman"/>
                <w:i/>
                <w:iCs/>
                <w:color w:val="auto"/>
              </w:rPr>
            </w:pPr>
            <w:r w:rsidRPr="00F39C77">
              <w:rPr>
                <w:rFonts w:eastAsia="Times New Roman"/>
                <w:color w:val="auto"/>
              </w:rPr>
              <w:t>Research programs in P</w:t>
            </w:r>
            <w:r w:rsidR="007A4390" w:rsidRPr="00F39C77">
              <w:rPr>
                <w:rFonts w:eastAsia="Times New Roman"/>
                <w:color w:val="auto"/>
              </w:rPr>
              <w:t>a</w:t>
            </w:r>
            <w:r w:rsidR="003D63AC">
              <w:rPr>
                <w:rFonts w:eastAsia="Times New Roman"/>
                <w:color w:val="auto"/>
              </w:rPr>
              <w:t>pua</w:t>
            </w:r>
            <w:r w:rsidR="007A4390" w:rsidRPr="00F39C77">
              <w:rPr>
                <w:rFonts w:eastAsia="Times New Roman"/>
                <w:color w:val="auto"/>
              </w:rPr>
              <w:t xml:space="preserve"> New Guinea (PNG)</w:t>
            </w:r>
            <w:r w:rsidRPr="00F39C77">
              <w:rPr>
                <w:rFonts w:eastAsia="Times New Roman"/>
                <w:color w:val="auto"/>
              </w:rPr>
              <w:t xml:space="preserve"> supported stronger surveillance and rapid containment of resistant vector borne pathogens, and development of evidence-based policy and practice. </w:t>
            </w:r>
          </w:p>
          <w:p w14:paraId="7ADBE2B4" w14:textId="67221863" w:rsidR="001A2EFF" w:rsidRPr="003D48D1" w:rsidRDefault="00FA75F4" w:rsidP="00ED2FE1">
            <w:pPr>
              <w:spacing w:after="120" w:line="240" w:lineRule="auto"/>
              <w:rPr>
                <w:rFonts w:eastAsia="Times New Roman"/>
                <w:color w:val="auto"/>
              </w:rPr>
            </w:pPr>
            <w:r w:rsidRPr="003D48D1">
              <w:rPr>
                <w:rFonts w:eastAsia="Times New Roman"/>
                <w:color w:val="auto"/>
              </w:rPr>
              <w:t xml:space="preserve">Australia’s support enabled </w:t>
            </w:r>
            <w:r w:rsidR="005545CA">
              <w:rPr>
                <w:rFonts w:eastAsia="Times New Roman"/>
                <w:color w:val="auto"/>
              </w:rPr>
              <w:t xml:space="preserve">the </w:t>
            </w:r>
            <w:r w:rsidRPr="003D48D1">
              <w:rPr>
                <w:rFonts w:eastAsia="Times New Roman"/>
                <w:color w:val="auto"/>
              </w:rPr>
              <w:t xml:space="preserve">Fiji National University to design and commence the first COVID-19 vaccination impact research in the Pacific to guide ongoing vaccination strategies. </w:t>
            </w:r>
            <w:r w:rsidR="002D26E7" w:rsidRPr="003D48D1">
              <w:rPr>
                <w:rFonts w:eastAsia="Times New Roman"/>
                <w:color w:val="auto"/>
              </w:rPr>
              <w:t xml:space="preserve"> </w:t>
            </w:r>
          </w:p>
          <w:p w14:paraId="44F01EB8" w14:textId="6E58E2E9" w:rsidR="00742936" w:rsidRPr="003D48D1" w:rsidRDefault="002D26E7" w:rsidP="00ED2FE1">
            <w:pPr>
              <w:spacing w:after="120" w:line="240" w:lineRule="auto"/>
              <w:rPr>
                <w:rFonts w:eastAsia="Times New Roman"/>
                <w:color w:val="auto"/>
              </w:rPr>
            </w:pPr>
            <w:r w:rsidRPr="003D48D1">
              <w:rPr>
                <w:rFonts w:eastAsia="Times New Roman"/>
                <w:color w:val="auto"/>
              </w:rPr>
              <w:t>Australia worked with</w:t>
            </w:r>
            <w:r w:rsidR="00C70FDC">
              <w:t xml:space="preserve"> the </w:t>
            </w:r>
            <w:r w:rsidR="00C70FDC" w:rsidRPr="00C70FDC">
              <w:rPr>
                <w:rFonts w:eastAsia="Times New Roman"/>
                <w:color w:val="auto"/>
              </w:rPr>
              <w:t>United Nations Children's Fund</w:t>
            </w:r>
            <w:r w:rsidRPr="003D48D1">
              <w:rPr>
                <w:rFonts w:eastAsia="Times New Roman"/>
                <w:color w:val="auto"/>
              </w:rPr>
              <w:t xml:space="preserve"> to assist partner governments in Fiji, Kiribati, Solomon Islands and Tuvalu increase demand for COVID-19 vaccinations in target populations through public information campaigns</w:t>
            </w:r>
            <w:r w:rsidR="004D1F59" w:rsidRPr="003D48D1">
              <w:rPr>
                <w:rFonts w:eastAsia="Times New Roman"/>
                <w:color w:val="auto"/>
              </w:rPr>
              <w:t>.</w:t>
            </w:r>
          </w:p>
        </w:tc>
      </w:tr>
      <w:tr w:rsidR="003D48D1" w:rsidRPr="003D48D1" w14:paraId="561E10FB" w14:textId="77777777" w:rsidTr="00F39C77">
        <w:trPr>
          <w:cantSplit/>
        </w:trPr>
        <w:tc>
          <w:tcPr>
            <w:tcW w:w="3118" w:type="dxa"/>
          </w:tcPr>
          <w:p w14:paraId="3FC5A9AE" w14:textId="0285F616" w:rsidR="0009285F" w:rsidRPr="003D48D1" w:rsidRDefault="0009285F" w:rsidP="00ED2FE1">
            <w:pPr>
              <w:spacing w:after="120" w:line="240" w:lineRule="auto"/>
              <w:rPr>
                <w:rFonts w:ascii="Calibri Light" w:eastAsia="Calibri Light" w:hAnsi="Calibri Light" w:cs="Calibri Light"/>
                <w:color w:val="auto"/>
              </w:rPr>
            </w:pPr>
            <w:r w:rsidRPr="003D48D1">
              <w:rPr>
                <w:rFonts w:ascii="Calibri Light" w:eastAsia="Calibri Light" w:hAnsi="Calibri Light" w:cs="Calibri Light"/>
                <w:color w:val="auto"/>
              </w:rPr>
              <w:lastRenderedPageBreak/>
              <w:t xml:space="preserve">Number of new or improved therapeutics, diagnostics, </w:t>
            </w:r>
            <w:proofErr w:type="gramStart"/>
            <w:r w:rsidRPr="003D48D1">
              <w:rPr>
                <w:rFonts w:ascii="Calibri Light" w:eastAsia="Calibri Light" w:hAnsi="Calibri Light" w:cs="Calibri Light"/>
                <w:color w:val="auto"/>
              </w:rPr>
              <w:t>vaccines</w:t>
            </w:r>
            <w:proofErr w:type="gramEnd"/>
            <w:r w:rsidRPr="003D48D1">
              <w:rPr>
                <w:rFonts w:ascii="Calibri Light" w:eastAsia="Calibri Light" w:hAnsi="Calibri Light" w:cs="Calibri Light"/>
                <w:color w:val="auto"/>
              </w:rPr>
              <w:t xml:space="preserve"> and additional equipment to which Australia has contributed that are accessible in partner countries</w:t>
            </w:r>
            <w:r w:rsidRPr="003D48D1">
              <w:rPr>
                <w:rFonts w:ascii="Calibri Light" w:eastAsia="Times New Roman" w:hAnsi="Calibri Light" w:cs="Calibri Light"/>
                <w:color w:val="auto"/>
              </w:rPr>
              <w:t xml:space="preserve"> </w:t>
            </w:r>
          </w:p>
        </w:tc>
        <w:tc>
          <w:tcPr>
            <w:tcW w:w="7372" w:type="dxa"/>
          </w:tcPr>
          <w:p w14:paraId="47F25DC2" w14:textId="7B76A17C" w:rsidR="0025542A" w:rsidRDefault="0025542A" w:rsidP="00ED2FE1">
            <w:pPr>
              <w:spacing w:after="120" w:line="240" w:lineRule="auto"/>
              <w:rPr>
                <w:rFonts w:ascii="Calibri Light" w:eastAsia="Calibri Light" w:hAnsi="Calibri Light" w:cs="Calibri Light"/>
                <w:color w:val="auto"/>
              </w:rPr>
            </w:pPr>
            <w:r w:rsidRPr="0025542A">
              <w:rPr>
                <w:rFonts w:ascii="Calibri Light" w:eastAsia="Calibri Light" w:hAnsi="Calibri Light" w:cs="Calibri Light"/>
                <w:color w:val="auto"/>
              </w:rPr>
              <w:t xml:space="preserve">Australia continued supporting immunisation by delivering over 224,100 adult and paediatric COVID-19 vaccine doses to Fiji, 60,000 doses to Papua New Guinea, and 2,200 adult and paediatric doses to </w:t>
            </w:r>
            <w:proofErr w:type="gramStart"/>
            <w:r w:rsidRPr="0025542A">
              <w:rPr>
                <w:rFonts w:ascii="Calibri Light" w:eastAsia="Calibri Light" w:hAnsi="Calibri Light" w:cs="Calibri Light"/>
                <w:color w:val="auto"/>
              </w:rPr>
              <w:t>Tonga</w:t>
            </w:r>
            <w:proofErr w:type="gramEnd"/>
          </w:p>
          <w:p w14:paraId="1D0B508E" w14:textId="01DC8CAF" w:rsidR="00E72054" w:rsidRPr="003D48D1" w:rsidRDefault="00D84185" w:rsidP="00ED2FE1">
            <w:pPr>
              <w:spacing w:after="120" w:line="240" w:lineRule="auto"/>
              <w:rPr>
                <w:rFonts w:eastAsia="Times New Roman"/>
                <w:i/>
                <w:color w:val="auto"/>
              </w:rPr>
            </w:pPr>
            <w:r w:rsidRPr="003D48D1">
              <w:rPr>
                <w:rFonts w:ascii="Calibri Light" w:eastAsia="Calibri Light" w:hAnsi="Calibri Light" w:cs="Calibri Light"/>
                <w:color w:val="auto"/>
              </w:rPr>
              <w:t xml:space="preserve">In 2022 new technology and training to assess HIV treatment effectiveness was introduced to </w:t>
            </w:r>
            <w:r w:rsidR="004C4F0D" w:rsidRPr="003D48D1">
              <w:rPr>
                <w:rFonts w:ascii="Calibri Light" w:eastAsia="Calibri Light" w:hAnsi="Calibri Light" w:cs="Calibri Light"/>
                <w:color w:val="auto"/>
              </w:rPr>
              <w:t>two</w:t>
            </w:r>
            <w:r w:rsidRPr="003D48D1">
              <w:rPr>
                <w:rFonts w:ascii="Calibri Light" w:eastAsia="Calibri Light" w:hAnsi="Calibri Light" w:cs="Calibri Light"/>
                <w:color w:val="auto"/>
              </w:rPr>
              <w:t xml:space="preserve"> laboratories in PNG</w:t>
            </w:r>
            <w:r w:rsidR="00FD3B5B">
              <w:rPr>
                <w:rFonts w:ascii="Calibri Light" w:eastAsia="Calibri Light" w:hAnsi="Calibri Light" w:cs="Calibri Light"/>
                <w:color w:val="auto"/>
              </w:rPr>
              <w:t>, with</w:t>
            </w:r>
            <w:r w:rsidR="00F34CA4">
              <w:rPr>
                <w:rFonts w:ascii="Calibri Light" w:eastAsia="Calibri Light" w:hAnsi="Calibri Light" w:cs="Calibri Light"/>
                <w:color w:val="auto"/>
              </w:rPr>
              <w:t xml:space="preserve"> </w:t>
            </w:r>
            <w:r w:rsidR="0087748B">
              <w:rPr>
                <w:rFonts w:ascii="Calibri Light" w:eastAsia="Calibri Light" w:hAnsi="Calibri Light" w:cs="Calibri Light"/>
                <w:color w:val="auto"/>
              </w:rPr>
              <w:t>three</w:t>
            </w:r>
            <w:r w:rsidR="00C441F7" w:rsidRPr="003D48D1">
              <w:rPr>
                <w:rFonts w:ascii="Calibri Light" w:eastAsia="Calibri Light" w:hAnsi="Calibri Light" w:cs="Calibri Light"/>
                <w:color w:val="auto"/>
              </w:rPr>
              <w:t> </w:t>
            </w:r>
            <w:r w:rsidRPr="003D48D1">
              <w:rPr>
                <w:rFonts w:ascii="Calibri Light" w:eastAsia="Calibri Light" w:hAnsi="Calibri Light" w:cs="Calibri Light"/>
                <w:color w:val="auto"/>
              </w:rPr>
              <w:t xml:space="preserve">laboratory and health workers </w:t>
            </w:r>
            <w:r w:rsidR="006742B0">
              <w:rPr>
                <w:rFonts w:ascii="Calibri Light" w:eastAsia="Calibri Light" w:hAnsi="Calibri Light" w:cs="Calibri Light"/>
                <w:color w:val="auto"/>
              </w:rPr>
              <w:t xml:space="preserve">using </w:t>
            </w:r>
            <w:r w:rsidRPr="003D48D1">
              <w:rPr>
                <w:rFonts w:ascii="Calibri Light" w:eastAsia="Calibri Light" w:hAnsi="Calibri Light" w:cs="Calibri Light"/>
                <w:color w:val="auto"/>
              </w:rPr>
              <w:t>this technology to test children aged six weeks to 10 years</w:t>
            </w:r>
            <w:r w:rsidR="006742B0">
              <w:rPr>
                <w:rFonts w:ascii="Calibri Light" w:eastAsia="Calibri Light" w:hAnsi="Calibri Light" w:cs="Calibri Light"/>
                <w:color w:val="auto"/>
              </w:rPr>
              <w:t>. This</w:t>
            </w:r>
            <w:r w:rsidRPr="003D48D1">
              <w:rPr>
                <w:rFonts w:ascii="Calibri Light" w:eastAsia="Calibri Light" w:hAnsi="Calibri Light" w:cs="Calibri Light"/>
                <w:color w:val="auto"/>
              </w:rPr>
              <w:t xml:space="preserve"> generat</w:t>
            </w:r>
            <w:r w:rsidR="006742B0">
              <w:rPr>
                <w:rFonts w:ascii="Calibri Light" w:eastAsia="Calibri Light" w:hAnsi="Calibri Light" w:cs="Calibri Light"/>
                <w:color w:val="auto"/>
              </w:rPr>
              <w:t>ed</w:t>
            </w:r>
            <w:r w:rsidRPr="003D48D1">
              <w:rPr>
                <w:rFonts w:ascii="Calibri Light" w:eastAsia="Calibri Light" w:hAnsi="Calibri Light" w:cs="Calibri Light"/>
                <w:color w:val="auto"/>
              </w:rPr>
              <w:t xml:space="preserve"> results for 198 children who previously </w:t>
            </w:r>
            <w:r w:rsidR="00A12FE8">
              <w:rPr>
                <w:rFonts w:ascii="Calibri Light" w:eastAsia="Calibri Light" w:hAnsi="Calibri Light" w:cs="Calibri Light"/>
                <w:color w:val="auto"/>
              </w:rPr>
              <w:t>did</w:t>
            </w:r>
            <w:r w:rsidRPr="003D48D1">
              <w:rPr>
                <w:rFonts w:ascii="Calibri Light" w:eastAsia="Calibri Light" w:hAnsi="Calibri Light" w:cs="Calibri Light"/>
                <w:color w:val="auto"/>
              </w:rPr>
              <w:t xml:space="preserve"> not had access to viral load testing</w:t>
            </w:r>
            <w:r w:rsidR="00A12FE8">
              <w:rPr>
                <w:rFonts w:ascii="Calibri Light" w:eastAsia="Calibri Light" w:hAnsi="Calibri Light" w:cs="Calibri Light"/>
                <w:color w:val="auto"/>
              </w:rPr>
              <w:t xml:space="preserve"> and </w:t>
            </w:r>
            <w:r w:rsidRPr="003D48D1">
              <w:rPr>
                <w:rFonts w:ascii="Calibri Light" w:eastAsia="Calibri Light" w:hAnsi="Calibri Light" w:cs="Calibri Light"/>
                <w:color w:val="auto"/>
              </w:rPr>
              <w:t>help</w:t>
            </w:r>
            <w:r w:rsidR="00A12FE8">
              <w:rPr>
                <w:rFonts w:ascii="Calibri Light" w:eastAsia="Calibri Light" w:hAnsi="Calibri Light" w:cs="Calibri Light"/>
                <w:color w:val="auto"/>
              </w:rPr>
              <w:t>ed</w:t>
            </w:r>
            <w:r w:rsidRPr="003D48D1">
              <w:rPr>
                <w:rFonts w:ascii="Calibri Light" w:eastAsia="Calibri Light" w:hAnsi="Calibri Light" w:cs="Calibri Light"/>
                <w:color w:val="auto"/>
              </w:rPr>
              <w:t xml:space="preserve"> to ensure young children are not left behind in PNG’s HIV response. </w:t>
            </w:r>
          </w:p>
        </w:tc>
      </w:tr>
      <w:tr w:rsidR="003D48D1" w:rsidRPr="003D48D1" w14:paraId="6024B2EE" w14:textId="77777777" w:rsidTr="00F39C77">
        <w:trPr>
          <w:cantSplit/>
        </w:trPr>
        <w:tc>
          <w:tcPr>
            <w:tcW w:w="3118" w:type="dxa"/>
          </w:tcPr>
          <w:p w14:paraId="5A7E4C44" w14:textId="3A5B4FDD" w:rsidR="0009285F" w:rsidRPr="003D48D1" w:rsidRDefault="0009285F" w:rsidP="00ED2FE1">
            <w:pPr>
              <w:spacing w:after="120" w:line="240" w:lineRule="auto"/>
              <w:rPr>
                <w:rFonts w:ascii="Calibri Light" w:eastAsia="Calibri Light" w:hAnsi="Calibri Light" w:cs="Calibri Light"/>
                <w:color w:val="auto"/>
              </w:rPr>
            </w:pPr>
            <w:r w:rsidRPr="003D48D1">
              <w:rPr>
                <w:rFonts w:ascii="Calibri Light" w:eastAsia="Calibri Light" w:hAnsi="Calibri Light" w:cs="Calibri Light"/>
                <w:color w:val="auto"/>
              </w:rPr>
              <w:t xml:space="preserve">Contraceptive protection from unplanned pregnancies made available through Australian support </w:t>
            </w:r>
          </w:p>
        </w:tc>
        <w:tc>
          <w:tcPr>
            <w:tcW w:w="7372" w:type="dxa"/>
          </w:tcPr>
          <w:p w14:paraId="5EA26A04" w14:textId="5D299FDD" w:rsidR="00E72054" w:rsidRPr="003D48D1" w:rsidRDefault="00B24AC5" w:rsidP="00ED2FE1">
            <w:pPr>
              <w:spacing w:after="120" w:line="240" w:lineRule="auto"/>
              <w:rPr>
                <w:rFonts w:ascii="Calibri Light" w:eastAsia="Calibri Light" w:hAnsi="Calibri Light" w:cs="Calibri Light"/>
                <w:color w:val="auto"/>
              </w:rPr>
            </w:pPr>
            <w:r w:rsidRPr="003D48D1">
              <w:rPr>
                <w:rFonts w:ascii="Calibri Light" w:eastAsia="Calibri Light" w:hAnsi="Calibri Light" w:cs="Calibri Light"/>
                <w:color w:val="auto"/>
              </w:rPr>
              <w:t xml:space="preserve">Australia supported </w:t>
            </w:r>
            <w:r w:rsidR="00B8411A" w:rsidRPr="003D48D1">
              <w:rPr>
                <w:rFonts w:ascii="Calibri Light" w:eastAsia="Calibri Light" w:hAnsi="Calibri Light" w:cs="Calibri Light"/>
                <w:color w:val="auto"/>
              </w:rPr>
              <w:t xml:space="preserve">the delivery of 205,152 </w:t>
            </w:r>
            <w:proofErr w:type="gramStart"/>
            <w:r w:rsidR="004C4F0D" w:rsidRPr="003D48D1">
              <w:rPr>
                <w:rFonts w:ascii="Calibri Light" w:eastAsia="Calibri Light" w:hAnsi="Calibri Light" w:cs="Calibri Light"/>
                <w:color w:val="auto"/>
              </w:rPr>
              <w:t>C</w:t>
            </w:r>
            <w:r w:rsidR="00B8411A" w:rsidRPr="003D48D1">
              <w:rPr>
                <w:rFonts w:ascii="Calibri Light" w:eastAsia="Calibri Light" w:hAnsi="Calibri Light" w:cs="Calibri Light"/>
                <w:color w:val="auto"/>
              </w:rPr>
              <w:t>ouple</w:t>
            </w:r>
            <w:proofErr w:type="gramEnd"/>
            <w:r w:rsidR="006E50CB" w:rsidRPr="003D48D1">
              <w:rPr>
                <w:rFonts w:ascii="Calibri Light" w:eastAsia="Calibri Light" w:hAnsi="Calibri Light" w:cs="Calibri Light"/>
                <w:color w:val="auto"/>
              </w:rPr>
              <w:t xml:space="preserve"> </w:t>
            </w:r>
            <w:r w:rsidR="004C4F0D" w:rsidRPr="003D48D1">
              <w:rPr>
                <w:rFonts w:ascii="Calibri Light" w:eastAsia="Calibri Light" w:hAnsi="Calibri Light" w:cs="Calibri Light"/>
                <w:color w:val="auto"/>
              </w:rPr>
              <w:t>Y</w:t>
            </w:r>
            <w:r w:rsidR="00B8411A" w:rsidRPr="003D48D1">
              <w:rPr>
                <w:rFonts w:ascii="Calibri Light" w:eastAsia="Calibri Light" w:hAnsi="Calibri Light" w:cs="Calibri Light"/>
                <w:color w:val="auto"/>
              </w:rPr>
              <w:t xml:space="preserve">ears of </w:t>
            </w:r>
            <w:r w:rsidR="004C4F0D" w:rsidRPr="003D48D1">
              <w:rPr>
                <w:rFonts w:ascii="Calibri Light" w:eastAsia="Calibri Light" w:hAnsi="Calibri Light" w:cs="Calibri Light"/>
                <w:color w:val="auto"/>
              </w:rPr>
              <w:t>P</w:t>
            </w:r>
            <w:r w:rsidR="00B8411A" w:rsidRPr="003D48D1">
              <w:rPr>
                <w:rFonts w:ascii="Calibri Light" w:eastAsia="Calibri Light" w:hAnsi="Calibri Light" w:cs="Calibri Light"/>
                <w:color w:val="auto"/>
              </w:rPr>
              <w:t>rotection</w:t>
            </w:r>
            <w:r w:rsidR="00615C60" w:rsidRPr="003D48D1">
              <w:rPr>
                <w:rStyle w:val="FootnoteReference"/>
                <w:rFonts w:ascii="Calibri Light" w:eastAsia="Calibri Light" w:hAnsi="Calibri Light" w:cs="Calibri Light"/>
                <w:color w:val="auto"/>
              </w:rPr>
              <w:footnoteReference w:id="2"/>
            </w:r>
            <w:r w:rsidR="00B8411A" w:rsidRPr="003D48D1">
              <w:rPr>
                <w:rFonts w:ascii="Calibri Light" w:eastAsia="Calibri Light" w:hAnsi="Calibri Light" w:cs="Calibri Light"/>
                <w:color w:val="auto"/>
              </w:rPr>
              <w:t xml:space="preserve"> against unwanted pregnancies through UNFPA, Marie Stopes International, and the International Planned Parenthood Federation across 15</w:t>
            </w:r>
            <w:r w:rsidR="00D07B90">
              <w:rPr>
                <w:rFonts w:ascii="Calibri Light" w:eastAsia="Calibri Light" w:hAnsi="Calibri Light" w:cs="Calibri Light"/>
                <w:color w:val="auto"/>
              </w:rPr>
              <w:t xml:space="preserve"> Pacific</w:t>
            </w:r>
            <w:r w:rsidR="00C41AA2">
              <w:rPr>
                <w:rFonts w:ascii="Calibri Light" w:eastAsia="Calibri Light" w:hAnsi="Calibri Light" w:cs="Calibri Light"/>
                <w:color w:val="auto"/>
              </w:rPr>
              <w:t xml:space="preserve"> countries.</w:t>
            </w:r>
          </w:p>
        </w:tc>
      </w:tr>
      <w:tr w:rsidR="003D48D1" w:rsidRPr="003D48D1" w14:paraId="0772F667" w14:textId="77777777" w:rsidTr="00F39C77">
        <w:trPr>
          <w:cantSplit/>
        </w:trPr>
        <w:tc>
          <w:tcPr>
            <w:tcW w:w="3119" w:type="dxa"/>
            <w:tcBorders>
              <w:top w:val="nil"/>
              <w:left w:val="nil"/>
              <w:right w:val="nil"/>
            </w:tcBorders>
            <w:shd w:val="clear" w:color="auto" w:fill="FFFFFF" w:themeFill="background1"/>
            <w:vAlign w:val="bottom"/>
          </w:tcPr>
          <w:p w14:paraId="5B4A8824" w14:textId="77777777" w:rsidR="001D3AAE" w:rsidRPr="003D48D1" w:rsidRDefault="001D3AAE" w:rsidP="003D63AC">
            <w:pPr>
              <w:pStyle w:val="Heading3"/>
            </w:pPr>
          </w:p>
          <w:p w14:paraId="4D18825C" w14:textId="5D4C8300" w:rsidR="00771CD2" w:rsidRPr="003D48D1" w:rsidRDefault="00B23247" w:rsidP="001D3AAE">
            <w:pPr>
              <w:pStyle w:val="Heading3"/>
            </w:pPr>
            <w:r w:rsidRPr="003D48D1">
              <w:t>St</w:t>
            </w:r>
            <w:r w:rsidR="00771CD2" w:rsidRPr="003D48D1">
              <w:t>ability</w:t>
            </w:r>
          </w:p>
        </w:tc>
        <w:tc>
          <w:tcPr>
            <w:tcW w:w="7371" w:type="dxa"/>
            <w:tcBorders>
              <w:top w:val="nil"/>
              <w:left w:val="nil"/>
              <w:right w:val="nil"/>
            </w:tcBorders>
            <w:shd w:val="clear" w:color="auto" w:fill="FFFFFF" w:themeFill="background1"/>
            <w:vAlign w:val="bottom"/>
          </w:tcPr>
          <w:p w14:paraId="404DE5BA" w14:textId="77777777" w:rsidR="00771CD2" w:rsidRPr="003D48D1" w:rsidRDefault="00771CD2" w:rsidP="001D3AAE">
            <w:pPr>
              <w:pStyle w:val="Heading3"/>
            </w:pPr>
          </w:p>
        </w:tc>
      </w:tr>
      <w:tr w:rsidR="003D48D1" w:rsidRPr="003D48D1" w14:paraId="14EF210E" w14:textId="77777777" w:rsidTr="00F39C77">
        <w:trPr>
          <w:cantSplit/>
        </w:trPr>
        <w:tc>
          <w:tcPr>
            <w:tcW w:w="3119" w:type="dxa"/>
            <w:shd w:val="clear" w:color="auto" w:fill="A2DCD1" w:themeFill="accent1" w:themeFillTint="99"/>
            <w:vAlign w:val="bottom"/>
          </w:tcPr>
          <w:p w14:paraId="47014330" w14:textId="7A7E2C4C" w:rsidR="00CA5021" w:rsidRPr="003D48D1" w:rsidRDefault="00A96364" w:rsidP="00ED2FE1">
            <w:pPr>
              <w:widowControl w:val="0"/>
              <w:spacing w:after="120" w:line="240" w:lineRule="auto"/>
              <w:jc w:val="center"/>
              <w:rPr>
                <w:color w:val="auto"/>
              </w:rPr>
            </w:pPr>
            <w:r w:rsidRPr="003D48D1">
              <w:rPr>
                <w:b/>
                <w:color w:val="auto"/>
              </w:rPr>
              <w:t>Key Results</w:t>
            </w:r>
            <w:r w:rsidR="00CA5021" w:rsidRPr="003D48D1">
              <w:rPr>
                <w:b/>
                <w:color w:val="auto"/>
              </w:rPr>
              <w:t xml:space="preserve"> Indicator</w:t>
            </w:r>
            <w:r w:rsidRPr="003D48D1">
              <w:rPr>
                <w:b/>
                <w:color w:val="auto"/>
              </w:rPr>
              <w:t>s</w:t>
            </w:r>
          </w:p>
        </w:tc>
        <w:tc>
          <w:tcPr>
            <w:tcW w:w="7371" w:type="dxa"/>
            <w:shd w:val="clear" w:color="auto" w:fill="A2DCD1" w:themeFill="accent1" w:themeFillTint="99"/>
            <w:vAlign w:val="bottom"/>
          </w:tcPr>
          <w:p w14:paraId="167B5817" w14:textId="5D4B3A72" w:rsidR="00CA5021" w:rsidRPr="003D48D1" w:rsidRDefault="00AD19F7" w:rsidP="00ED2FE1">
            <w:pPr>
              <w:widowControl w:val="0"/>
              <w:spacing w:after="120" w:line="240" w:lineRule="auto"/>
              <w:jc w:val="center"/>
              <w:rPr>
                <w:color w:val="auto"/>
              </w:rPr>
            </w:pPr>
            <w:r w:rsidRPr="003D48D1">
              <w:rPr>
                <w:b/>
                <w:bCs/>
                <w:color w:val="auto"/>
              </w:rPr>
              <w:t>Progress</w:t>
            </w:r>
            <w:r w:rsidRPr="003D48D1">
              <w:rPr>
                <w:b/>
                <w:color w:val="auto"/>
              </w:rPr>
              <w:t>/Result</w:t>
            </w:r>
          </w:p>
        </w:tc>
      </w:tr>
      <w:tr w:rsidR="003D48D1" w:rsidRPr="003D48D1" w14:paraId="593A8551" w14:textId="77777777" w:rsidTr="00F39C77">
        <w:trPr>
          <w:cantSplit/>
        </w:trPr>
        <w:tc>
          <w:tcPr>
            <w:tcW w:w="3119" w:type="dxa"/>
            <w:shd w:val="clear" w:color="auto" w:fill="auto"/>
          </w:tcPr>
          <w:p w14:paraId="2AA59D1C" w14:textId="63236C62" w:rsidR="00FD614D" w:rsidRPr="003D48D1" w:rsidRDefault="00FD614D" w:rsidP="00ED2FE1">
            <w:pPr>
              <w:spacing w:after="120" w:line="240" w:lineRule="auto"/>
              <w:rPr>
                <w:rFonts w:ascii="Calibri Light" w:eastAsia="Calibri Light" w:hAnsi="Calibri Light" w:cs="Calibri Light"/>
                <w:color w:val="auto"/>
              </w:rPr>
            </w:pPr>
            <w:r w:rsidRPr="003D48D1">
              <w:rPr>
                <w:rFonts w:ascii="Calibri Light" w:eastAsia="Times New Roman" w:hAnsi="Calibri Light" w:cs="Calibri Light"/>
                <w:color w:val="auto"/>
              </w:rPr>
              <w:t>Examples of partnering with regional organisations</w:t>
            </w:r>
            <w:r w:rsidR="00333CFF" w:rsidRPr="003D48D1">
              <w:rPr>
                <w:rFonts w:ascii="Calibri Light" w:eastAsia="Times New Roman" w:hAnsi="Calibri Light" w:cs="Calibri Light"/>
                <w:color w:val="auto"/>
              </w:rPr>
              <w:t>, particularly</w:t>
            </w:r>
            <w:r w:rsidRPr="003D48D1">
              <w:rPr>
                <w:rFonts w:ascii="Calibri Light" w:eastAsia="Times New Roman" w:hAnsi="Calibri Light" w:cs="Calibri Light"/>
                <w:color w:val="auto"/>
              </w:rPr>
              <w:t xml:space="preserve"> to support regional COVID-19 measures </w:t>
            </w:r>
            <w:r w:rsidR="00CC2645" w:rsidRPr="003D48D1">
              <w:rPr>
                <w:rStyle w:val="FootnoteReference"/>
                <w:rFonts w:ascii="Calibri Light" w:eastAsia="Calibri Light" w:hAnsi="Calibri Light" w:cs="Calibri Light"/>
                <w:color w:val="auto"/>
              </w:rPr>
              <w:footnoteReference w:id="3"/>
            </w:r>
          </w:p>
        </w:tc>
        <w:tc>
          <w:tcPr>
            <w:tcW w:w="7371" w:type="dxa"/>
            <w:shd w:val="clear" w:color="auto" w:fill="auto"/>
          </w:tcPr>
          <w:p w14:paraId="6382567C" w14:textId="17991189" w:rsidR="00977E06" w:rsidRPr="003D48D1" w:rsidRDefault="00972294" w:rsidP="00ED2FE1">
            <w:pPr>
              <w:spacing w:after="120" w:line="240" w:lineRule="auto"/>
              <w:rPr>
                <w:rFonts w:ascii="Calibri Light" w:eastAsia="Calibri Light" w:hAnsi="Calibri Light" w:cs="Calibri Light"/>
                <w:color w:val="auto"/>
              </w:rPr>
            </w:pPr>
            <w:r w:rsidRPr="003D48D1">
              <w:rPr>
                <w:rFonts w:ascii="Calibri Light" w:eastAsia="Calibri Light" w:hAnsi="Calibri Light" w:cs="Calibri Light"/>
                <w:color w:val="auto"/>
              </w:rPr>
              <w:t>In 2022-23,</w:t>
            </w:r>
            <w:r w:rsidR="00B24AC5" w:rsidRPr="003D48D1">
              <w:rPr>
                <w:rFonts w:ascii="Calibri Light" w:eastAsia="Calibri Light" w:hAnsi="Calibri Light" w:cs="Calibri Light"/>
                <w:color w:val="auto"/>
              </w:rPr>
              <w:t xml:space="preserve"> Australia</w:t>
            </w:r>
            <w:r w:rsidRPr="003D48D1">
              <w:rPr>
                <w:rFonts w:ascii="Calibri Light" w:eastAsia="Calibri Light" w:hAnsi="Calibri Light" w:cs="Calibri Light"/>
                <w:color w:val="auto"/>
              </w:rPr>
              <w:t xml:space="preserve"> </w:t>
            </w:r>
            <w:r w:rsidR="00C53169" w:rsidRPr="003D48D1">
              <w:rPr>
                <w:rFonts w:ascii="Calibri Light" w:eastAsia="Calibri Light" w:hAnsi="Calibri Light" w:cs="Calibri Light"/>
                <w:color w:val="auto"/>
              </w:rPr>
              <w:t xml:space="preserve">continued its </w:t>
            </w:r>
            <w:r w:rsidRPr="003D48D1">
              <w:rPr>
                <w:rFonts w:ascii="Calibri Light" w:eastAsia="Calibri Light" w:hAnsi="Calibri Light" w:cs="Calibri Light"/>
                <w:color w:val="auto"/>
              </w:rPr>
              <w:t>partner</w:t>
            </w:r>
            <w:r w:rsidR="00C53169" w:rsidRPr="003D48D1">
              <w:rPr>
                <w:rFonts w:ascii="Calibri Light" w:eastAsia="Calibri Light" w:hAnsi="Calibri Light" w:cs="Calibri Light"/>
                <w:color w:val="auto"/>
              </w:rPr>
              <w:t>ship</w:t>
            </w:r>
            <w:r w:rsidRPr="003D48D1">
              <w:rPr>
                <w:rFonts w:ascii="Calibri Light" w:eastAsia="Calibri Light" w:hAnsi="Calibri Light" w:cs="Calibri Light"/>
                <w:color w:val="auto"/>
              </w:rPr>
              <w:t xml:space="preserve"> with </w:t>
            </w:r>
            <w:r w:rsidR="004C4F0D" w:rsidRPr="003D48D1">
              <w:rPr>
                <w:rFonts w:ascii="Calibri Light" w:eastAsia="Calibri Light" w:hAnsi="Calibri Light" w:cs="Calibri Light"/>
                <w:color w:val="auto"/>
              </w:rPr>
              <w:t xml:space="preserve">SPC </w:t>
            </w:r>
            <w:r w:rsidRPr="003D48D1">
              <w:rPr>
                <w:rFonts w:ascii="Calibri Light" w:eastAsia="Calibri Light" w:hAnsi="Calibri Light" w:cs="Calibri Light"/>
                <w:color w:val="auto"/>
              </w:rPr>
              <w:t xml:space="preserve">to strengthen COVID-19 </w:t>
            </w:r>
            <w:r w:rsidR="00581244">
              <w:rPr>
                <w:rFonts w:ascii="Calibri Light" w:eastAsia="Calibri Light" w:hAnsi="Calibri Light" w:cs="Calibri Light"/>
                <w:color w:val="auto"/>
              </w:rPr>
              <w:t xml:space="preserve">responses </w:t>
            </w:r>
            <w:r w:rsidR="00CA1286" w:rsidRPr="003D48D1">
              <w:rPr>
                <w:rFonts w:ascii="Calibri Light" w:eastAsia="Calibri Light" w:hAnsi="Calibri Light" w:cs="Calibri Light"/>
                <w:color w:val="auto"/>
              </w:rPr>
              <w:t xml:space="preserve">and other disease </w:t>
            </w:r>
            <w:r w:rsidRPr="003D48D1">
              <w:rPr>
                <w:rFonts w:ascii="Calibri Light" w:eastAsia="Calibri Light" w:hAnsi="Calibri Light" w:cs="Calibri Light"/>
                <w:color w:val="auto"/>
              </w:rPr>
              <w:t xml:space="preserve">outbreaks and support 10 Pacific countries in COVID-19 and routine immunisation. </w:t>
            </w:r>
          </w:p>
          <w:p w14:paraId="19B658BE" w14:textId="2093C7D4" w:rsidR="0069542D" w:rsidRPr="003D48D1" w:rsidRDefault="00972294" w:rsidP="00ED2FE1">
            <w:pPr>
              <w:spacing w:after="120" w:line="240" w:lineRule="auto"/>
              <w:rPr>
                <w:rFonts w:ascii="Calibri Light" w:eastAsia="Calibri Light" w:hAnsi="Calibri Light" w:cs="Calibri Light"/>
                <w:color w:val="auto"/>
              </w:rPr>
            </w:pPr>
            <w:r w:rsidRPr="00F39C77">
              <w:rPr>
                <w:rFonts w:ascii="Calibri Light" w:eastAsia="Calibri Light" w:hAnsi="Calibri Light" w:cs="Calibri Light"/>
                <w:color w:val="auto"/>
              </w:rPr>
              <w:t xml:space="preserve">Australia provides annual core funding to the Pacific Islands Forum (PIF) Secretariat. The Secretariat convened the 2022 Forum Economic Ministers Meeting to provide economic policy support to the 18 PIF members to strengthen members’ resilience efforts to recover from the impacts of COVID-19. </w:t>
            </w:r>
          </w:p>
          <w:p w14:paraId="2E8902BB" w14:textId="69A20D56" w:rsidR="00ED6DE3" w:rsidRPr="003D48D1" w:rsidRDefault="0097149D" w:rsidP="00ED2FE1">
            <w:pPr>
              <w:spacing w:after="120" w:line="240" w:lineRule="auto"/>
              <w:rPr>
                <w:rFonts w:ascii="Calibri Light" w:eastAsia="Calibri Light" w:hAnsi="Calibri Light" w:cs="Calibri Light"/>
                <w:color w:val="auto"/>
                <w:spacing w:val="-4"/>
              </w:rPr>
            </w:pPr>
            <w:r w:rsidRPr="003D48D1">
              <w:rPr>
                <w:rFonts w:ascii="Calibri Light" w:eastAsia="Calibri Light" w:hAnsi="Calibri Light" w:cs="Calibri Light"/>
                <w:color w:val="auto"/>
                <w:spacing w:val="-4"/>
              </w:rPr>
              <w:t xml:space="preserve">Our partnership with the University of the South Pacific continued to strengthen the University </w:t>
            </w:r>
            <w:r w:rsidR="004C4F0D" w:rsidRPr="003D48D1">
              <w:rPr>
                <w:rFonts w:ascii="Calibri Light" w:eastAsia="Calibri Light" w:hAnsi="Calibri Light" w:cs="Calibri Light"/>
                <w:color w:val="auto"/>
                <w:spacing w:val="-4"/>
              </w:rPr>
              <w:t xml:space="preserve">which </w:t>
            </w:r>
            <w:r w:rsidRPr="003D48D1">
              <w:rPr>
                <w:rFonts w:ascii="Calibri Light" w:eastAsia="Calibri Light" w:hAnsi="Calibri Light" w:cs="Calibri Light"/>
                <w:color w:val="auto"/>
                <w:spacing w:val="-4"/>
              </w:rPr>
              <w:t>deliver</w:t>
            </w:r>
            <w:r w:rsidR="00B24AC5" w:rsidRPr="003D48D1">
              <w:rPr>
                <w:rFonts w:ascii="Calibri Light" w:eastAsia="Calibri Light" w:hAnsi="Calibri Light" w:cs="Calibri Light"/>
                <w:color w:val="auto"/>
                <w:spacing w:val="-4"/>
              </w:rPr>
              <w:t xml:space="preserve">ed </w:t>
            </w:r>
            <w:r w:rsidRPr="003D48D1">
              <w:rPr>
                <w:rFonts w:ascii="Calibri Light" w:eastAsia="Calibri Light" w:hAnsi="Calibri Light" w:cs="Calibri Light"/>
                <w:color w:val="auto"/>
                <w:spacing w:val="-4"/>
              </w:rPr>
              <w:t>tertiary education services to over 30,000 students and support</w:t>
            </w:r>
            <w:r w:rsidR="00B24AC5" w:rsidRPr="003D48D1">
              <w:rPr>
                <w:rFonts w:ascii="Calibri Light" w:eastAsia="Calibri Light" w:hAnsi="Calibri Light" w:cs="Calibri Light"/>
                <w:color w:val="auto"/>
                <w:spacing w:val="-4"/>
              </w:rPr>
              <w:t>ed</w:t>
            </w:r>
            <w:r w:rsidR="000F2F84" w:rsidRPr="003D48D1">
              <w:rPr>
                <w:rFonts w:ascii="Calibri Light" w:eastAsia="Calibri Light" w:hAnsi="Calibri Light" w:cs="Calibri Light"/>
                <w:color w:val="auto"/>
                <w:spacing w:val="-4"/>
              </w:rPr>
              <w:t xml:space="preserve"> </w:t>
            </w:r>
            <w:r w:rsidRPr="003D48D1">
              <w:rPr>
                <w:rFonts w:ascii="Calibri Light" w:eastAsia="Calibri Light" w:hAnsi="Calibri Light" w:cs="Calibri Light"/>
                <w:color w:val="auto"/>
                <w:spacing w:val="-4"/>
              </w:rPr>
              <w:t>Pacific TAFE to expand its course delivery across the Pacific.</w:t>
            </w:r>
            <w:r w:rsidR="00C93043" w:rsidRPr="003D48D1">
              <w:rPr>
                <w:rFonts w:ascii="Calibri Light" w:eastAsia="Calibri Light" w:hAnsi="Calibri Light" w:cs="Calibri Light"/>
                <w:color w:val="auto"/>
                <w:spacing w:val="-4"/>
              </w:rPr>
              <w:t xml:space="preserve"> </w:t>
            </w:r>
          </w:p>
        </w:tc>
      </w:tr>
      <w:tr w:rsidR="003D48D1" w:rsidRPr="003D48D1" w14:paraId="0556A95D" w14:textId="77777777" w:rsidTr="00F39C77">
        <w:trPr>
          <w:cantSplit/>
        </w:trPr>
        <w:tc>
          <w:tcPr>
            <w:tcW w:w="3119" w:type="dxa"/>
            <w:shd w:val="clear" w:color="auto" w:fill="auto"/>
          </w:tcPr>
          <w:p w14:paraId="62F5276A" w14:textId="2FF6B39E" w:rsidR="00FD614D" w:rsidRPr="003D48D1" w:rsidRDefault="00FD614D" w:rsidP="00ED2FE1">
            <w:pPr>
              <w:spacing w:after="120" w:line="240" w:lineRule="auto"/>
              <w:rPr>
                <w:rFonts w:ascii="Calibri Light" w:eastAsia="Calibri Light" w:hAnsi="Calibri Light" w:cs="Calibri Light"/>
                <w:color w:val="auto"/>
              </w:rPr>
            </w:pPr>
            <w:r w:rsidRPr="003D48D1">
              <w:rPr>
                <w:color w:val="auto"/>
              </w:rPr>
              <w:t>Number of people reached with new or improved social protection programs [</w:t>
            </w:r>
            <w:r w:rsidR="004C2B5F">
              <w:rPr>
                <w:color w:val="auto"/>
              </w:rPr>
              <w:t>T</w:t>
            </w:r>
            <w:r w:rsidRPr="003D48D1">
              <w:rPr>
                <w:color w:val="auto"/>
              </w:rPr>
              <w:t>arget: 150,000]</w:t>
            </w:r>
            <w:r w:rsidRPr="003D48D1">
              <w:rPr>
                <w:rFonts w:ascii="Calibri Light" w:eastAsia="Times New Roman" w:hAnsi="Calibri Light" w:cs="Calibri Light"/>
                <w:color w:val="auto"/>
              </w:rPr>
              <w:t xml:space="preserve"> </w:t>
            </w:r>
          </w:p>
        </w:tc>
        <w:tc>
          <w:tcPr>
            <w:tcW w:w="7371" w:type="dxa"/>
            <w:shd w:val="clear" w:color="auto" w:fill="auto"/>
          </w:tcPr>
          <w:p w14:paraId="666A1691" w14:textId="73514153" w:rsidR="002B0A24" w:rsidRPr="003D48D1" w:rsidRDefault="002B0A24" w:rsidP="00ED2FE1">
            <w:pPr>
              <w:spacing w:after="120" w:line="240" w:lineRule="auto"/>
              <w:rPr>
                <w:rFonts w:ascii="Calibri Light" w:eastAsia="Calibri Light" w:hAnsi="Calibri Light" w:cs="Calibri Light"/>
                <w:color w:val="auto"/>
              </w:rPr>
            </w:pPr>
            <w:r w:rsidRPr="003D48D1">
              <w:rPr>
                <w:rFonts w:ascii="Calibri Light" w:eastAsia="Calibri Light" w:hAnsi="Calibri Light" w:cs="Calibri Light"/>
                <w:color w:val="auto"/>
              </w:rPr>
              <w:t xml:space="preserve">Target </w:t>
            </w:r>
            <w:r w:rsidR="005201C9" w:rsidRPr="003D48D1">
              <w:rPr>
                <w:rFonts w:ascii="Calibri Light" w:eastAsia="Calibri Light" w:hAnsi="Calibri Light" w:cs="Calibri Light"/>
                <w:color w:val="auto"/>
              </w:rPr>
              <w:t xml:space="preserve">was </w:t>
            </w:r>
            <w:r w:rsidRPr="003D48D1">
              <w:rPr>
                <w:rFonts w:ascii="Calibri Light" w:eastAsia="Calibri Light" w:hAnsi="Calibri Light" w:cs="Calibri Light"/>
                <w:color w:val="auto"/>
              </w:rPr>
              <w:t>exceeded in 2020-21 (185,000 people reached). In</w:t>
            </w:r>
            <w:r w:rsidR="00E72054" w:rsidRPr="003D48D1">
              <w:rPr>
                <w:rFonts w:ascii="Calibri Light" w:eastAsia="Calibri Light" w:hAnsi="Calibri Light" w:cs="Calibri Light"/>
                <w:color w:val="auto"/>
              </w:rPr>
              <w:t> </w:t>
            </w:r>
            <w:r w:rsidRPr="003D48D1">
              <w:rPr>
                <w:rFonts w:ascii="Calibri Light" w:eastAsia="Calibri Light" w:hAnsi="Calibri Light" w:cs="Calibri Light"/>
                <w:color w:val="auto"/>
              </w:rPr>
              <w:t>202</w:t>
            </w:r>
            <w:r w:rsidR="00216475" w:rsidRPr="003D48D1">
              <w:rPr>
                <w:rFonts w:ascii="Calibri Light" w:eastAsia="Calibri Light" w:hAnsi="Calibri Light" w:cs="Calibri Light"/>
                <w:color w:val="auto"/>
              </w:rPr>
              <w:t>2</w:t>
            </w:r>
            <w:r w:rsidR="1CDEE442" w:rsidRPr="003D48D1">
              <w:rPr>
                <w:rFonts w:ascii="Calibri Light" w:eastAsia="Calibri Light" w:hAnsi="Calibri Light" w:cs="Calibri Light"/>
                <w:color w:val="auto"/>
              </w:rPr>
              <w:t>-</w:t>
            </w:r>
            <w:r w:rsidR="00C80D97" w:rsidRPr="003D48D1">
              <w:rPr>
                <w:rFonts w:ascii="Calibri Light" w:eastAsia="Calibri Light" w:hAnsi="Calibri Light" w:cs="Calibri Light"/>
                <w:color w:val="auto"/>
              </w:rPr>
              <w:noBreakHyphen/>
            </w:r>
            <w:r w:rsidR="00216475" w:rsidRPr="003D48D1">
              <w:rPr>
                <w:rFonts w:ascii="Calibri Light" w:eastAsia="Calibri Light" w:hAnsi="Calibri Light" w:cs="Calibri Light"/>
                <w:color w:val="auto"/>
              </w:rPr>
              <w:t xml:space="preserve">23, an additional 62,098 people </w:t>
            </w:r>
            <w:r w:rsidR="005201C9" w:rsidRPr="003D48D1">
              <w:rPr>
                <w:rFonts w:ascii="Calibri Light" w:eastAsia="Calibri Light" w:hAnsi="Calibri Light" w:cs="Calibri Light"/>
                <w:color w:val="auto"/>
              </w:rPr>
              <w:t>were assisted</w:t>
            </w:r>
            <w:r w:rsidR="007617BA" w:rsidRPr="003D48D1">
              <w:rPr>
                <w:rFonts w:ascii="Calibri Light" w:eastAsia="Calibri Light" w:hAnsi="Calibri Light" w:cs="Calibri Light"/>
                <w:color w:val="auto"/>
              </w:rPr>
              <w:t>.</w:t>
            </w:r>
          </w:p>
          <w:p w14:paraId="71F5FF79" w14:textId="12065CF6" w:rsidR="00FD614D" w:rsidRPr="003D48D1" w:rsidRDefault="00AD1F11" w:rsidP="00ED2FE1">
            <w:pPr>
              <w:spacing w:after="120" w:line="240" w:lineRule="auto"/>
              <w:rPr>
                <w:rFonts w:ascii="Calibri Light" w:eastAsia="Calibri Light" w:hAnsi="Calibri Light" w:cs="Calibri Light"/>
                <w:color w:val="auto"/>
              </w:rPr>
            </w:pPr>
            <w:r w:rsidRPr="00F39C77">
              <w:rPr>
                <w:rFonts w:ascii="Calibri Light" w:eastAsia="Calibri Light" w:hAnsi="Calibri Light" w:cs="Calibri Light"/>
                <w:color w:val="auto"/>
              </w:rPr>
              <w:t>Australia provided budget support to four countries</w:t>
            </w:r>
            <w:r w:rsidR="00DE17E4" w:rsidRPr="00F39C77">
              <w:rPr>
                <w:rFonts w:ascii="Calibri Light" w:eastAsia="Calibri Light" w:hAnsi="Calibri Light" w:cs="Calibri Light"/>
                <w:color w:val="auto"/>
              </w:rPr>
              <w:t xml:space="preserve"> in 2022-23</w:t>
            </w:r>
            <w:r w:rsidRPr="00F39C77">
              <w:rPr>
                <w:rFonts w:ascii="Calibri Light" w:eastAsia="Calibri Light" w:hAnsi="Calibri Light" w:cs="Calibri Light"/>
                <w:color w:val="auto"/>
              </w:rPr>
              <w:t xml:space="preserve"> (Fiji, </w:t>
            </w:r>
            <w:r w:rsidR="00B06304" w:rsidRPr="00F39C77">
              <w:rPr>
                <w:rFonts w:ascii="Calibri Light" w:eastAsia="Calibri Light" w:hAnsi="Calibri Light" w:cs="Calibri Light"/>
                <w:color w:val="auto"/>
              </w:rPr>
              <w:t xml:space="preserve">Kiribati, Samoa, and </w:t>
            </w:r>
            <w:r w:rsidRPr="00F39C77">
              <w:rPr>
                <w:rFonts w:ascii="Calibri Light" w:eastAsia="Calibri Light" w:hAnsi="Calibri Light" w:cs="Calibri Light"/>
                <w:color w:val="auto"/>
              </w:rPr>
              <w:t>Timor</w:t>
            </w:r>
            <w:r w:rsidR="00B06304" w:rsidRPr="00F39C77">
              <w:rPr>
                <w:rFonts w:ascii="Calibri Light" w:eastAsia="Calibri Light" w:hAnsi="Calibri Light" w:cs="Calibri Light"/>
                <w:color w:val="auto"/>
              </w:rPr>
              <w:t>-</w:t>
            </w:r>
            <w:r w:rsidRPr="00F39C77">
              <w:rPr>
                <w:rFonts w:ascii="Calibri Light" w:eastAsia="Calibri Light" w:hAnsi="Calibri Light" w:cs="Calibri Light"/>
                <w:color w:val="auto"/>
              </w:rPr>
              <w:t>Leste) that leveraged system</w:t>
            </w:r>
            <w:r w:rsidR="2C49EE6D" w:rsidRPr="00F39C77">
              <w:rPr>
                <w:rFonts w:ascii="Calibri Light" w:eastAsia="Calibri Light" w:hAnsi="Calibri Light" w:cs="Calibri Light"/>
                <w:color w:val="auto"/>
              </w:rPr>
              <w:t>-</w:t>
            </w:r>
            <w:r w:rsidRPr="00F39C77">
              <w:rPr>
                <w:rFonts w:ascii="Calibri Light" w:eastAsia="Calibri Light" w:hAnsi="Calibri Light" w:cs="Calibri Light"/>
                <w:color w:val="auto"/>
              </w:rPr>
              <w:t xml:space="preserve">wide policy </w:t>
            </w:r>
            <w:r w:rsidR="009E69BC" w:rsidRPr="00F39C77">
              <w:rPr>
                <w:rFonts w:ascii="Calibri Light" w:eastAsia="Calibri Light" w:hAnsi="Calibri Light" w:cs="Calibri Light"/>
                <w:color w:val="auto"/>
              </w:rPr>
              <w:t>reform</w:t>
            </w:r>
            <w:r w:rsidRPr="00F39C77">
              <w:rPr>
                <w:rFonts w:ascii="Calibri Light" w:eastAsia="Calibri Light" w:hAnsi="Calibri Light" w:cs="Calibri Light"/>
                <w:color w:val="auto"/>
              </w:rPr>
              <w:t>s on social protection.</w:t>
            </w:r>
            <w:r w:rsidR="004E591E" w:rsidRPr="00F39C77">
              <w:rPr>
                <w:rFonts w:ascii="Calibri Light" w:eastAsia="Calibri Light" w:hAnsi="Calibri Light" w:cs="Calibri Light"/>
                <w:color w:val="auto"/>
              </w:rPr>
              <w:t xml:space="preserve"> </w:t>
            </w:r>
            <w:r w:rsidR="009E69BC" w:rsidRPr="00F39C77">
              <w:rPr>
                <w:rFonts w:ascii="Calibri Light" w:eastAsia="Calibri Light" w:hAnsi="Calibri Light" w:cs="Calibri Light"/>
                <w:color w:val="auto"/>
              </w:rPr>
              <w:t xml:space="preserve">To support this, </w:t>
            </w:r>
            <w:r w:rsidR="008B7CCF" w:rsidRPr="00F39C77">
              <w:rPr>
                <w:rFonts w:ascii="Calibri Light" w:eastAsia="Calibri Light" w:hAnsi="Calibri Light" w:cs="Calibri Light"/>
                <w:color w:val="auto"/>
              </w:rPr>
              <w:t>Australia mobilised technical assistance:</w:t>
            </w:r>
            <w:r w:rsidRPr="00F39C77">
              <w:rPr>
                <w:rFonts w:ascii="Calibri Light" w:eastAsia="Calibri Light" w:hAnsi="Calibri Light" w:cs="Calibri Light"/>
                <w:color w:val="auto"/>
              </w:rPr>
              <w:t xml:space="preserve"> </w:t>
            </w:r>
            <w:r w:rsidR="009006C0" w:rsidRPr="00F39C77">
              <w:rPr>
                <w:rFonts w:ascii="Calibri Light" w:eastAsia="Calibri Light" w:hAnsi="Calibri Light" w:cs="Calibri Light"/>
                <w:color w:val="auto"/>
              </w:rPr>
              <w:t>i</w:t>
            </w:r>
            <w:r w:rsidRPr="00F39C77">
              <w:rPr>
                <w:rFonts w:ascii="Calibri Light" w:eastAsia="Calibri Light" w:hAnsi="Calibri Light" w:cs="Calibri Light"/>
                <w:color w:val="auto"/>
              </w:rPr>
              <w:t xml:space="preserve">n Kiribati, we supported the </w:t>
            </w:r>
            <w:r w:rsidR="00A8728B" w:rsidRPr="00F39C77">
              <w:rPr>
                <w:rFonts w:ascii="Calibri Light" w:eastAsia="Calibri Light" w:hAnsi="Calibri Light" w:cs="Calibri Light"/>
                <w:color w:val="auto"/>
              </w:rPr>
              <w:t xml:space="preserve">establishment of a new Social Protection Unit improving payment processes and </w:t>
            </w:r>
            <w:r w:rsidRPr="00F39C77">
              <w:rPr>
                <w:rFonts w:ascii="Calibri Light" w:eastAsia="Calibri Light" w:hAnsi="Calibri Light" w:cs="Calibri Light"/>
                <w:color w:val="auto"/>
              </w:rPr>
              <w:t>enabling government to directly reach 62,098</w:t>
            </w:r>
            <w:r w:rsidR="00A8728B" w:rsidRPr="00F39C77">
              <w:rPr>
                <w:rFonts w:ascii="Calibri Light" w:eastAsia="Calibri Light" w:hAnsi="Calibri Light" w:cs="Calibri Light"/>
                <w:color w:val="auto"/>
              </w:rPr>
              <w:t> beneficiaries (more than 50 per</w:t>
            </w:r>
            <w:r w:rsidR="00DC7885" w:rsidRPr="00F39C77">
              <w:rPr>
                <w:rFonts w:ascii="Calibri Light" w:eastAsia="Calibri Light" w:hAnsi="Calibri Light" w:cs="Calibri Light"/>
                <w:color w:val="auto"/>
              </w:rPr>
              <w:t xml:space="preserve"> </w:t>
            </w:r>
            <w:r w:rsidR="00A8728B" w:rsidRPr="00F39C77">
              <w:rPr>
                <w:rFonts w:ascii="Calibri Light" w:eastAsia="Calibri Light" w:hAnsi="Calibri Light" w:cs="Calibri Light"/>
                <w:color w:val="auto"/>
              </w:rPr>
              <w:t>cent of the population) through cash transfers</w:t>
            </w:r>
            <w:r w:rsidR="00F80F73" w:rsidRPr="00F39C77">
              <w:rPr>
                <w:rFonts w:ascii="Calibri Light" w:eastAsia="Calibri Light" w:hAnsi="Calibri Light" w:cs="Calibri Light"/>
                <w:color w:val="auto"/>
              </w:rPr>
              <w:t>.</w:t>
            </w:r>
            <w:r w:rsidR="00C93043" w:rsidRPr="00F39C77">
              <w:rPr>
                <w:rFonts w:ascii="Calibri Light" w:eastAsia="Calibri Light" w:hAnsi="Calibri Light" w:cs="Calibri Light"/>
                <w:color w:val="auto"/>
              </w:rPr>
              <w:t xml:space="preserve"> </w:t>
            </w:r>
          </w:p>
        </w:tc>
      </w:tr>
      <w:tr w:rsidR="003D48D1" w:rsidRPr="003D48D1" w14:paraId="5DF0BAD4" w14:textId="77777777" w:rsidTr="00F39C77">
        <w:trPr>
          <w:cantSplit/>
        </w:trPr>
        <w:tc>
          <w:tcPr>
            <w:tcW w:w="3119" w:type="dxa"/>
          </w:tcPr>
          <w:p w14:paraId="476782F7" w14:textId="57BE5218" w:rsidR="00FD614D" w:rsidRPr="003D48D1" w:rsidRDefault="00FD614D" w:rsidP="00ED2FE1">
            <w:pPr>
              <w:suppressAutoHyphens w:val="0"/>
              <w:spacing w:after="120" w:line="240" w:lineRule="auto"/>
              <w:rPr>
                <w:rFonts w:eastAsia="Times New Roman"/>
                <w:color w:val="auto"/>
              </w:rPr>
            </w:pPr>
            <w:r w:rsidRPr="003D48D1">
              <w:rPr>
                <w:color w:val="auto"/>
              </w:rPr>
              <w:lastRenderedPageBreak/>
              <w:t>Number of services provided to women and girl survivors of violence, such as counselling</w:t>
            </w:r>
            <w:r w:rsidR="007D31DB" w:rsidRPr="003D48D1">
              <w:rPr>
                <w:rStyle w:val="FootnoteReference"/>
                <w:rFonts w:ascii="Calibri Light" w:eastAsia="Times New Roman" w:hAnsi="Calibri Light" w:cs="Calibri Light"/>
                <w:color w:val="auto"/>
              </w:rPr>
              <w:footnoteReference w:id="4"/>
            </w:r>
            <w:r w:rsidRPr="003D48D1">
              <w:rPr>
                <w:rFonts w:ascii="Calibri Light" w:eastAsia="Times New Roman" w:hAnsi="Calibri Light" w:cs="Calibri Light"/>
                <w:color w:val="auto"/>
              </w:rPr>
              <w:t>.</w:t>
            </w:r>
          </w:p>
        </w:tc>
        <w:tc>
          <w:tcPr>
            <w:tcW w:w="7371" w:type="dxa"/>
          </w:tcPr>
          <w:p w14:paraId="17F2FD15" w14:textId="659D6148" w:rsidR="00894943" w:rsidRPr="003D48D1" w:rsidRDefault="00F873E7" w:rsidP="00ED2FE1">
            <w:pPr>
              <w:spacing w:after="120" w:line="240" w:lineRule="auto"/>
              <w:rPr>
                <w:color w:val="auto"/>
              </w:rPr>
            </w:pPr>
            <w:r w:rsidRPr="003D48D1">
              <w:rPr>
                <w:color w:val="auto"/>
              </w:rPr>
              <w:t>In 2022-23</w:t>
            </w:r>
            <w:r w:rsidR="0022582D">
              <w:rPr>
                <w:color w:val="auto"/>
              </w:rPr>
              <w:t xml:space="preserve">, </w:t>
            </w:r>
            <w:r w:rsidR="002D6F1B" w:rsidRPr="003D48D1">
              <w:rPr>
                <w:color w:val="auto"/>
              </w:rPr>
              <w:t xml:space="preserve">56,269 services </w:t>
            </w:r>
            <w:r w:rsidR="00E17BAA" w:rsidRPr="003D48D1">
              <w:rPr>
                <w:color w:val="auto"/>
              </w:rPr>
              <w:t xml:space="preserve">were </w:t>
            </w:r>
            <w:r w:rsidR="002D6F1B" w:rsidRPr="003D48D1">
              <w:rPr>
                <w:color w:val="auto"/>
              </w:rPr>
              <w:t>provided to women and girl survivors of sexual and gender</w:t>
            </w:r>
            <w:r w:rsidR="008252D3" w:rsidRPr="003D48D1">
              <w:rPr>
                <w:color w:val="auto"/>
              </w:rPr>
              <w:t>-</w:t>
            </w:r>
            <w:r w:rsidR="002D6F1B" w:rsidRPr="003D48D1">
              <w:rPr>
                <w:color w:val="auto"/>
              </w:rPr>
              <w:t>based violence</w:t>
            </w:r>
            <w:r w:rsidR="009006C0">
              <w:rPr>
                <w:color w:val="auto"/>
              </w:rPr>
              <w:t xml:space="preserve"> (SGBV)</w:t>
            </w:r>
            <w:r w:rsidR="002D6F1B" w:rsidRPr="003D48D1">
              <w:rPr>
                <w:color w:val="auto"/>
              </w:rPr>
              <w:t xml:space="preserve"> in nine Pacific countries through bilateral and regional programs</w:t>
            </w:r>
            <w:r w:rsidR="008252D3" w:rsidRPr="003D48D1">
              <w:rPr>
                <w:color w:val="auto"/>
              </w:rPr>
              <w:t>.</w:t>
            </w:r>
            <w:r w:rsidR="00931D47" w:rsidRPr="003D48D1">
              <w:rPr>
                <w:color w:val="auto"/>
              </w:rPr>
              <w:t xml:space="preserve"> </w:t>
            </w:r>
          </w:p>
          <w:p w14:paraId="69182282" w14:textId="3DF081F4" w:rsidR="006203E9" w:rsidRPr="003D48D1" w:rsidRDefault="00F34E35" w:rsidP="00ED2FE1">
            <w:pPr>
              <w:spacing w:after="120" w:line="240" w:lineRule="auto"/>
              <w:rPr>
                <w:color w:val="auto"/>
              </w:rPr>
            </w:pPr>
            <w:r w:rsidRPr="003D48D1">
              <w:rPr>
                <w:color w:val="auto"/>
              </w:rPr>
              <w:t xml:space="preserve">Pacific </w:t>
            </w:r>
            <w:r w:rsidR="00AE35F2" w:rsidRPr="003D48D1">
              <w:rPr>
                <w:color w:val="auto"/>
              </w:rPr>
              <w:t>r</w:t>
            </w:r>
            <w:r w:rsidRPr="003D48D1">
              <w:rPr>
                <w:color w:val="auto"/>
              </w:rPr>
              <w:t xml:space="preserve">egional programming focused on </w:t>
            </w:r>
            <w:r w:rsidR="001B2407" w:rsidRPr="003D48D1">
              <w:rPr>
                <w:color w:val="auto"/>
              </w:rPr>
              <w:t>support</w:t>
            </w:r>
            <w:r w:rsidRPr="003D48D1">
              <w:rPr>
                <w:color w:val="auto"/>
              </w:rPr>
              <w:t>ing</w:t>
            </w:r>
            <w:r w:rsidR="001B2407" w:rsidRPr="003D48D1">
              <w:rPr>
                <w:color w:val="auto"/>
              </w:rPr>
              <w:t xml:space="preserve"> partner governments in strengthening</w:t>
            </w:r>
            <w:r w:rsidR="00FC0C5D" w:rsidRPr="003D48D1">
              <w:rPr>
                <w:color w:val="auto"/>
              </w:rPr>
              <w:t xml:space="preserve"> policy and </w:t>
            </w:r>
            <w:r w:rsidR="001B2407" w:rsidRPr="003D48D1">
              <w:rPr>
                <w:color w:val="auto"/>
              </w:rPr>
              <w:t>service provision to</w:t>
            </w:r>
            <w:r w:rsidR="00F34CA4">
              <w:rPr>
                <w:color w:val="auto"/>
              </w:rPr>
              <w:t xml:space="preserve"> </w:t>
            </w:r>
            <w:r w:rsidR="00D7186D">
              <w:rPr>
                <w:color w:val="auto"/>
              </w:rPr>
              <w:t>SGBV</w:t>
            </w:r>
            <w:r w:rsidR="00F34CA4">
              <w:rPr>
                <w:color w:val="auto"/>
              </w:rPr>
              <w:t xml:space="preserve">. </w:t>
            </w:r>
            <w:r w:rsidR="00F35A50" w:rsidRPr="003D48D1">
              <w:rPr>
                <w:color w:val="auto"/>
              </w:rPr>
              <w:t>Through Australian partner funding, UN Women and SPC brought together 150</w:t>
            </w:r>
            <w:r w:rsidR="004C4F0D" w:rsidRPr="003D48D1">
              <w:rPr>
                <w:color w:val="auto"/>
              </w:rPr>
              <w:t> </w:t>
            </w:r>
            <w:r w:rsidR="00F35A50" w:rsidRPr="003D48D1">
              <w:rPr>
                <w:color w:val="auto"/>
              </w:rPr>
              <w:t xml:space="preserve">government and </w:t>
            </w:r>
            <w:r w:rsidR="00DC032E" w:rsidRPr="003D48D1">
              <w:rPr>
                <w:color w:val="auto"/>
              </w:rPr>
              <w:t xml:space="preserve">civil society organisation </w:t>
            </w:r>
            <w:r w:rsidR="00F35A50" w:rsidRPr="003D48D1">
              <w:rPr>
                <w:color w:val="auto"/>
              </w:rPr>
              <w:t xml:space="preserve">delegates from 12 countries to discuss best practice </w:t>
            </w:r>
            <w:r w:rsidR="00AE1E64" w:rsidRPr="003D48D1">
              <w:rPr>
                <w:color w:val="auto"/>
              </w:rPr>
              <w:t xml:space="preserve">for </w:t>
            </w:r>
            <w:r w:rsidR="007A7871" w:rsidRPr="003D48D1">
              <w:rPr>
                <w:color w:val="auto"/>
              </w:rPr>
              <w:t xml:space="preserve">providing </w:t>
            </w:r>
            <w:r w:rsidR="00F35A50" w:rsidRPr="003D48D1">
              <w:rPr>
                <w:color w:val="auto"/>
              </w:rPr>
              <w:t>service</w:t>
            </w:r>
            <w:r w:rsidR="007A7871" w:rsidRPr="003D48D1">
              <w:rPr>
                <w:color w:val="auto"/>
              </w:rPr>
              <w:t xml:space="preserve">s to </w:t>
            </w:r>
            <w:r w:rsidR="00F35A50" w:rsidRPr="003D48D1">
              <w:rPr>
                <w:color w:val="auto"/>
              </w:rPr>
              <w:t>survivors of violence</w:t>
            </w:r>
            <w:r w:rsidR="00044C2B">
              <w:rPr>
                <w:color w:val="auto"/>
              </w:rPr>
              <w:t>,</w:t>
            </w:r>
            <w:r w:rsidR="001D6740" w:rsidRPr="003D48D1">
              <w:rPr>
                <w:color w:val="auto"/>
              </w:rPr>
              <w:t xml:space="preserve"> including </w:t>
            </w:r>
            <w:r w:rsidR="00044C2B">
              <w:rPr>
                <w:color w:val="auto"/>
              </w:rPr>
              <w:t xml:space="preserve">GBV </w:t>
            </w:r>
            <w:r w:rsidR="00F35A50" w:rsidRPr="003D48D1">
              <w:rPr>
                <w:color w:val="auto"/>
              </w:rPr>
              <w:t xml:space="preserve">related health care, policing for safety, </w:t>
            </w:r>
            <w:r w:rsidR="001D6740" w:rsidRPr="003D48D1">
              <w:rPr>
                <w:color w:val="auto"/>
              </w:rPr>
              <w:t xml:space="preserve">and </w:t>
            </w:r>
            <w:r w:rsidR="00F35A50" w:rsidRPr="003D48D1">
              <w:rPr>
                <w:color w:val="auto"/>
              </w:rPr>
              <w:t>cross-cutting issues of disabilities and diverse sexualities, the role of the women’s rights movement and access to justice</w:t>
            </w:r>
            <w:r w:rsidR="00BF0710" w:rsidRPr="003D48D1">
              <w:rPr>
                <w:color w:val="auto"/>
              </w:rPr>
              <w:t>.</w:t>
            </w:r>
            <w:r w:rsidR="004D33AA" w:rsidRPr="003D48D1">
              <w:rPr>
                <w:color w:val="auto"/>
              </w:rPr>
              <w:t xml:space="preserve"> </w:t>
            </w:r>
          </w:p>
        </w:tc>
      </w:tr>
      <w:tr w:rsidR="003D48D1" w:rsidRPr="003D48D1" w14:paraId="7E704FEB" w14:textId="77777777" w:rsidTr="00F39C77">
        <w:trPr>
          <w:cantSplit/>
        </w:trPr>
        <w:tc>
          <w:tcPr>
            <w:tcW w:w="3119" w:type="dxa"/>
            <w:shd w:val="clear" w:color="auto" w:fill="auto"/>
          </w:tcPr>
          <w:p w14:paraId="1CC2F0CD" w14:textId="6CAF768F" w:rsidR="00FD614D" w:rsidRPr="003D48D1" w:rsidRDefault="00FD614D" w:rsidP="00ED2FE1">
            <w:pPr>
              <w:spacing w:after="120" w:line="240" w:lineRule="auto"/>
              <w:rPr>
                <w:color w:val="auto"/>
              </w:rPr>
            </w:pPr>
            <w:r w:rsidRPr="003D48D1">
              <w:rPr>
                <w:color w:val="auto"/>
              </w:rPr>
              <w:t xml:space="preserve">Climate change and disaster resilience is integrated into all relevant regional investments </w:t>
            </w:r>
          </w:p>
        </w:tc>
        <w:tc>
          <w:tcPr>
            <w:tcW w:w="7371" w:type="dxa"/>
            <w:shd w:val="clear" w:color="auto" w:fill="auto"/>
          </w:tcPr>
          <w:p w14:paraId="2796FB5C" w14:textId="61A9E471" w:rsidR="00650916" w:rsidRPr="003D48D1" w:rsidRDefault="004421EF" w:rsidP="00ED2FE1">
            <w:pPr>
              <w:spacing w:after="120" w:line="240" w:lineRule="auto"/>
              <w:rPr>
                <w:color w:val="auto"/>
              </w:rPr>
            </w:pPr>
            <w:r w:rsidRPr="003D48D1">
              <w:rPr>
                <w:color w:val="auto"/>
              </w:rPr>
              <w:t>The Australia Pacific Climate Partnership</w:t>
            </w:r>
            <w:r w:rsidR="004563E6" w:rsidRPr="003D48D1">
              <w:rPr>
                <w:color w:val="auto"/>
              </w:rPr>
              <w:t xml:space="preserve"> </w:t>
            </w:r>
            <w:r w:rsidRPr="003D48D1">
              <w:rPr>
                <w:color w:val="auto"/>
              </w:rPr>
              <w:t xml:space="preserve">ensures Australian </w:t>
            </w:r>
            <w:r w:rsidR="00044C2B">
              <w:rPr>
                <w:color w:val="auto"/>
              </w:rPr>
              <w:t>development</w:t>
            </w:r>
            <w:r w:rsidR="0022582D">
              <w:rPr>
                <w:color w:val="auto"/>
              </w:rPr>
              <w:t xml:space="preserve"> </w:t>
            </w:r>
            <w:r w:rsidRPr="003D48D1">
              <w:rPr>
                <w:color w:val="auto"/>
              </w:rPr>
              <w:t>investments are climate informed</w:t>
            </w:r>
            <w:r w:rsidR="00174335" w:rsidRPr="003D48D1">
              <w:rPr>
                <w:color w:val="auto"/>
              </w:rPr>
              <w:t>,</w:t>
            </w:r>
            <w:r w:rsidR="00D13416" w:rsidRPr="003D48D1">
              <w:rPr>
                <w:color w:val="auto"/>
              </w:rPr>
              <w:t xml:space="preserve"> </w:t>
            </w:r>
            <w:r w:rsidR="00174335" w:rsidRPr="003D48D1">
              <w:rPr>
                <w:color w:val="auto"/>
              </w:rPr>
              <w:t>f</w:t>
            </w:r>
            <w:r w:rsidR="00D13416" w:rsidRPr="003D48D1">
              <w:rPr>
                <w:color w:val="auto"/>
              </w:rPr>
              <w:t xml:space="preserve">or example through </w:t>
            </w:r>
            <w:r w:rsidR="004563E6" w:rsidRPr="003D48D1">
              <w:rPr>
                <w:color w:val="auto"/>
              </w:rPr>
              <w:t xml:space="preserve">technical advice on solar options for partners in Fiji to reduce greenhouse gas emissions and build energy security for transport of goods. </w:t>
            </w:r>
          </w:p>
          <w:p w14:paraId="557F2C72" w14:textId="0DFBC23B" w:rsidR="00EA0EAC" w:rsidRPr="003D48D1" w:rsidRDefault="00EA0EAC" w:rsidP="00ED2FE1">
            <w:pPr>
              <w:spacing w:after="120" w:line="240" w:lineRule="auto"/>
              <w:rPr>
                <w:color w:val="auto"/>
              </w:rPr>
            </w:pPr>
            <w:r w:rsidRPr="003D48D1">
              <w:rPr>
                <w:rFonts w:cstheme="minorHAnsi"/>
                <w:color w:val="auto"/>
                <w:lang w:val="en-AU"/>
              </w:rPr>
              <w:t>In 2022</w:t>
            </w:r>
            <w:r w:rsidR="004A4C96" w:rsidRPr="003D48D1">
              <w:rPr>
                <w:rFonts w:cstheme="minorHAnsi"/>
                <w:color w:val="auto"/>
                <w:lang w:val="en-AU"/>
              </w:rPr>
              <w:t>,</w:t>
            </w:r>
            <w:r w:rsidRPr="003D48D1">
              <w:rPr>
                <w:rFonts w:cstheme="minorHAnsi"/>
                <w:color w:val="auto"/>
                <w:lang w:val="en-AU"/>
              </w:rPr>
              <w:t xml:space="preserve"> </w:t>
            </w:r>
            <w:r w:rsidR="00190D95" w:rsidRPr="003D48D1">
              <w:rPr>
                <w:rFonts w:cstheme="minorHAnsi"/>
                <w:color w:val="auto"/>
                <w:lang w:val="en-AU"/>
              </w:rPr>
              <w:t xml:space="preserve">Australia </w:t>
            </w:r>
            <w:r w:rsidRPr="003D48D1">
              <w:rPr>
                <w:rFonts w:cstheme="minorHAnsi"/>
                <w:color w:val="auto"/>
                <w:lang w:val="en-AU"/>
              </w:rPr>
              <w:t xml:space="preserve">established the Pacific Climate Infrastructure Financing Partnership under the Australia Infrastructure Financing Facility for the Pacific (AIFFP). </w:t>
            </w:r>
            <w:r w:rsidR="00B73782" w:rsidRPr="003D48D1">
              <w:rPr>
                <w:rFonts w:cstheme="minorHAnsi"/>
                <w:color w:val="auto"/>
                <w:lang w:val="en-AU"/>
              </w:rPr>
              <w:t xml:space="preserve">All AIFFP projects have a focus on </w:t>
            </w:r>
            <w:r w:rsidR="00AD64B3" w:rsidRPr="003D48D1">
              <w:rPr>
                <w:rFonts w:cstheme="minorHAnsi"/>
                <w:color w:val="auto"/>
                <w:lang w:val="en-AU"/>
              </w:rPr>
              <w:t xml:space="preserve">improving climate resilience. </w:t>
            </w:r>
          </w:p>
          <w:p w14:paraId="464DA320" w14:textId="5F34FB5B" w:rsidR="00650916" w:rsidRPr="003D48D1" w:rsidRDefault="007E33FC" w:rsidP="00ED2FE1">
            <w:pPr>
              <w:spacing w:after="120" w:line="240" w:lineRule="auto"/>
              <w:rPr>
                <w:color w:val="auto"/>
              </w:rPr>
            </w:pPr>
            <w:r>
              <w:rPr>
                <w:color w:val="auto"/>
              </w:rPr>
              <w:t xml:space="preserve">Australia </w:t>
            </w:r>
            <w:r w:rsidR="00650916" w:rsidRPr="003D48D1">
              <w:rPr>
                <w:color w:val="auto"/>
              </w:rPr>
              <w:t>partnered with the Pacific Disability Forum</w:t>
            </w:r>
            <w:r w:rsidR="00773030">
              <w:rPr>
                <w:color w:val="auto"/>
              </w:rPr>
              <w:t xml:space="preserve"> </w:t>
            </w:r>
            <w:r w:rsidR="00650916" w:rsidRPr="003D48D1">
              <w:rPr>
                <w:color w:val="auto"/>
              </w:rPr>
              <w:t xml:space="preserve">to support research on the impact of climate change on people with disabilities in </w:t>
            </w:r>
            <w:r w:rsidR="00D37174" w:rsidRPr="003D48D1">
              <w:rPr>
                <w:color w:val="auto"/>
              </w:rPr>
              <w:t>three Pacific countries</w:t>
            </w:r>
            <w:r w:rsidR="00650916" w:rsidRPr="003D48D1">
              <w:rPr>
                <w:color w:val="auto"/>
              </w:rPr>
              <w:t xml:space="preserve">, helping members become more visible advocates. </w:t>
            </w:r>
          </w:p>
          <w:p w14:paraId="7D9CAB9B" w14:textId="5CA728F2" w:rsidR="00C426C8" w:rsidRPr="003D48D1" w:rsidRDefault="00EA7DD4" w:rsidP="00ED2FE1">
            <w:pPr>
              <w:spacing w:after="120" w:line="240" w:lineRule="auto"/>
              <w:rPr>
                <w:color w:val="auto"/>
              </w:rPr>
            </w:pPr>
            <w:r w:rsidRPr="003D48D1">
              <w:rPr>
                <w:color w:val="auto"/>
              </w:rPr>
              <w:t>In 2023</w:t>
            </w:r>
            <w:r w:rsidR="001830C1" w:rsidRPr="003D48D1">
              <w:rPr>
                <w:color w:val="auto"/>
              </w:rPr>
              <w:t xml:space="preserve"> </w:t>
            </w:r>
            <w:r w:rsidR="003B0336" w:rsidRPr="003D48D1">
              <w:rPr>
                <w:color w:val="auto"/>
              </w:rPr>
              <w:t xml:space="preserve">Australia </w:t>
            </w:r>
            <w:r w:rsidR="001830C1" w:rsidRPr="003D48D1">
              <w:rPr>
                <w:color w:val="auto"/>
              </w:rPr>
              <w:t xml:space="preserve">became </w:t>
            </w:r>
            <w:r w:rsidR="003B0336" w:rsidRPr="003D48D1">
              <w:rPr>
                <w:color w:val="auto"/>
              </w:rPr>
              <w:t xml:space="preserve">the first formal partner to strengthen early warning systems in the Pacific </w:t>
            </w:r>
            <w:r w:rsidR="00604B45" w:rsidRPr="003D48D1">
              <w:rPr>
                <w:color w:val="auto"/>
              </w:rPr>
              <w:t xml:space="preserve">through </w:t>
            </w:r>
            <w:r w:rsidR="73EFF928" w:rsidRPr="003D48D1">
              <w:rPr>
                <w:color w:val="auto"/>
              </w:rPr>
              <w:t>its</w:t>
            </w:r>
            <w:r w:rsidR="00604B45" w:rsidRPr="003D48D1">
              <w:rPr>
                <w:color w:val="auto"/>
              </w:rPr>
              <w:t xml:space="preserve"> commitment to support the Pacific-led Weather Ready Pacific initiative. </w:t>
            </w:r>
          </w:p>
        </w:tc>
      </w:tr>
      <w:tr w:rsidR="003D48D1" w:rsidRPr="003D48D1" w14:paraId="2D9FE5C3" w14:textId="77777777" w:rsidTr="00F39C77">
        <w:trPr>
          <w:cantSplit/>
          <w:trHeight w:val="300"/>
        </w:trPr>
        <w:tc>
          <w:tcPr>
            <w:tcW w:w="3119" w:type="dxa"/>
          </w:tcPr>
          <w:p w14:paraId="16A798FA" w14:textId="1D364757" w:rsidR="00875269" w:rsidRPr="003D48D1" w:rsidRDefault="00FD614D" w:rsidP="00ED2FE1">
            <w:pPr>
              <w:suppressAutoHyphens w:val="0"/>
              <w:spacing w:after="120" w:line="240" w:lineRule="auto"/>
              <w:rPr>
                <w:color w:val="auto"/>
              </w:rPr>
            </w:pPr>
            <w:r w:rsidRPr="003D48D1">
              <w:rPr>
                <w:color w:val="auto"/>
              </w:rPr>
              <w:lastRenderedPageBreak/>
              <w:t xml:space="preserve">Countries Australia has supported in the last 12 months with policy and technical advice on building capacity for: </w:t>
            </w:r>
          </w:p>
          <w:p w14:paraId="578C8C38" w14:textId="1D364757" w:rsidR="00520CB6" w:rsidRPr="003D48D1" w:rsidRDefault="00FD614D" w:rsidP="001D3AAE">
            <w:pPr>
              <w:pStyle w:val="ListParagraph"/>
              <w:numPr>
                <w:ilvl w:val="0"/>
                <w:numId w:val="14"/>
              </w:numPr>
              <w:suppressAutoHyphens w:val="0"/>
              <w:spacing w:after="120" w:line="240" w:lineRule="auto"/>
              <w:rPr>
                <w:color w:val="auto"/>
              </w:rPr>
            </w:pPr>
            <w:r w:rsidRPr="003D48D1">
              <w:rPr>
                <w:color w:val="auto"/>
              </w:rPr>
              <w:t>security</w:t>
            </w:r>
          </w:p>
          <w:p w14:paraId="6E965198" w14:textId="1D364757" w:rsidR="00520CB6" w:rsidRPr="003D48D1" w:rsidRDefault="00FD614D" w:rsidP="001D3AAE">
            <w:pPr>
              <w:pStyle w:val="ListParagraph"/>
              <w:numPr>
                <w:ilvl w:val="0"/>
                <w:numId w:val="14"/>
              </w:numPr>
              <w:suppressAutoHyphens w:val="0"/>
              <w:spacing w:after="120" w:line="240" w:lineRule="auto"/>
              <w:rPr>
                <w:color w:val="auto"/>
              </w:rPr>
            </w:pPr>
            <w:r w:rsidRPr="003D48D1">
              <w:rPr>
                <w:color w:val="auto"/>
              </w:rPr>
              <w:t>climate change and disaster resilience</w:t>
            </w:r>
          </w:p>
          <w:p w14:paraId="6402A8CD" w14:textId="1D364757" w:rsidR="00520CB6" w:rsidRPr="003D48D1" w:rsidRDefault="00FD614D" w:rsidP="001D3AAE">
            <w:pPr>
              <w:pStyle w:val="ListParagraph"/>
              <w:numPr>
                <w:ilvl w:val="0"/>
                <w:numId w:val="14"/>
              </w:numPr>
              <w:suppressAutoHyphens w:val="0"/>
              <w:spacing w:after="120" w:line="240" w:lineRule="auto"/>
              <w:rPr>
                <w:color w:val="auto"/>
              </w:rPr>
            </w:pPr>
            <w:r w:rsidRPr="003D48D1">
              <w:rPr>
                <w:color w:val="auto"/>
              </w:rPr>
              <w:t>maritime boundaries</w:t>
            </w:r>
          </w:p>
          <w:p w14:paraId="486EB46B" w14:textId="1D364757" w:rsidR="00520CB6" w:rsidRPr="003D48D1" w:rsidRDefault="00FD614D" w:rsidP="001D3AAE">
            <w:pPr>
              <w:pStyle w:val="ListParagraph"/>
              <w:numPr>
                <w:ilvl w:val="0"/>
                <w:numId w:val="14"/>
              </w:numPr>
              <w:suppressAutoHyphens w:val="0"/>
              <w:spacing w:after="120" w:line="240" w:lineRule="auto"/>
              <w:rPr>
                <w:color w:val="auto"/>
              </w:rPr>
            </w:pPr>
            <w:r w:rsidRPr="003D48D1">
              <w:rPr>
                <w:color w:val="auto"/>
              </w:rPr>
              <w:t>fisheries</w:t>
            </w:r>
          </w:p>
          <w:p w14:paraId="7AF1BF69" w14:textId="1D364757" w:rsidR="00520CB6" w:rsidRPr="003D48D1" w:rsidRDefault="00FD614D" w:rsidP="001D3AAE">
            <w:pPr>
              <w:pStyle w:val="ListParagraph"/>
              <w:numPr>
                <w:ilvl w:val="0"/>
                <w:numId w:val="14"/>
              </w:numPr>
              <w:suppressAutoHyphens w:val="0"/>
              <w:spacing w:after="120" w:line="240" w:lineRule="auto"/>
              <w:rPr>
                <w:color w:val="auto"/>
              </w:rPr>
            </w:pPr>
            <w:r w:rsidRPr="003D48D1">
              <w:rPr>
                <w:color w:val="auto"/>
              </w:rPr>
              <w:t>food security</w:t>
            </w:r>
            <w:r w:rsidR="00520CB6" w:rsidRPr="003D48D1">
              <w:rPr>
                <w:color w:val="auto"/>
              </w:rPr>
              <w:t xml:space="preserve"> </w:t>
            </w:r>
          </w:p>
          <w:p w14:paraId="72821602" w14:textId="1D364757" w:rsidR="00520CB6" w:rsidRPr="003D48D1" w:rsidRDefault="00FD614D" w:rsidP="001D3AAE">
            <w:pPr>
              <w:pStyle w:val="ListParagraph"/>
              <w:numPr>
                <w:ilvl w:val="0"/>
                <w:numId w:val="14"/>
              </w:numPr>
              <w:suppressAutoHyphens w:val="0"/>
              <w:spacing w:after="120" w:line="240" w:lineRule="auto"/>
              <w:rPr>
                <w:color w:val="auto"/>
              </w:rPr>
            </w:pPr>
            <w:r w:rsidRPr="003D48D1">
              <w:rPr>
                <w:color w:val="auto"/>
              </w:rPr>
              <w:t>gender equity</w:t>
            </w:r>
          </w:p>
          <w:p w14:paraId="2AD0D9E1" w14:textId="1D364757" w:rsidR="00520CB6" w:rsidRPr="003D48D1" w:rsidRDefault="00FD614D" w:rsidP="001D3AAE">
            <w:pPr>
              <w:pStyle w:val="ListParagraph"/>
              <w:numPr>
                <w:ilvl w:val="0"/>
                <w:numId w:val="14"/>
              </w:numPr>
              <w:suppressAutoHyphens w:val="0"/>
              <w:spacing w:after="120" w:line="240" w:lineRule="auto"/>
              <w:rPr>
                <w:color w:val="auto"/>
              </w:rPr>
            </w:pPr>
            <w:r w:rsidRPr="003D48D1">
              <w:rPr>
                <w:color w:val="auto"/>
              </w:rPr>
              <w:t>education</w:t>
            </w:r>
            <w:r w:rsidR="00C3642C" w:rsidRPr="003D48D1">
              <w:rPr>
                <w:color w:val="auto"/>
              </w:rPr>
              <w:t>,</w:t>
            </w:r>
            <w:r w:rsidR="00520CB6" w:rsidRPr="003D48D1">
              <w:rPr>
                <w:color w:val="auto"/>
              </w:rPr>
              <w:t xml:space="preserve"> </w:t>
            </w:r>
            <w:r w:rsidRPr="003D48D1">
              <w:rPr>
                <w:color w:val="auto"/>
              </w:rPr>
              <w:t xml:space="preserve">or </w:t>
            </w:r>
          </w:p>
          <w:p w14:paraId="7B3D97C2" w14:textId="41210530" w:rsidR="00FD614D" w:rsidRPr="003D48D1" w:rsidRDefault="00FD614D" w:rsidP="001D3AAE">
            <w:pPr>
              <w:pStyle w:val="ListParagraph"/>
              <w:numPr>
                <w:ilvl w:val="0"/>
                <w:numId w:val="14"/>
              </w:numPr>
              <w:suppressAutoHyphens w:val="0"/>
              <w:spacing w:after="120" w:line="240" w:lineRule="auto"/>
              <w:rPr>
                <w:color w:val="auto"/>
              </w:rPr>
            </w:pPr>
            <w:r w:rsidRPr="003D48D1">
              <w:rPr>
                <w:color w:val="auto"/>
              </w:rPr>
              <w:t>media</w:t>
            </w:r>
            <w:r w:rsidR="00251942" w:rsidRPr="003D48D1">
              <w:rPr>
                <w:rStyle w:val="FootnoteReference"/>
                <w:rFonts w:ascii="Calibri Light" w:eastAsia="Times New Roman" w:hAnsi="Calibri Light" w:cs="Calibri Light"/>
                <w:color w:val="auto"/>
              </w:rPr>
              <w:footnoteReference w:id="5"/>
            </w:r>
            <w:r w:rsidRPr="003D48D1">
              <w:rPr>
                <w:rFonts w:ascii="Calibri Light" w:eastAsia="Times New Roman" w:hAnsi="Calibri Light" w:cs="Calibri Light"/>
                <w:color w:val="auto"/>
              </w:rPr>
              <w:t xml:space="preserve"> </w:t>
            </w:r>
          </w:p>
          <w:p w14:paraId="4201CB86" w14:textId="77777777" w:rsidR="00081871" w:rsidRPr="003D48D1" w:rsidRDefault="00081871" w:rsidP="00ED2FE1">
            <w:pPr>
              <w:pStyle w:val="ListParagraph"/>
              <w:suppressAutoHyphens w:val="0"/>
              <w:spacing w:after="120" w:line="240" w:lineRule="auto"/>
              <w:ind w:left="0"/>
              <w:contextualSpacing w:val="0"/>
              <w:rPr>
                <w:color w:val="auto"/>
              </w:rPr>
            </w:pPr>
          </w:p>
          <w:p w14:paraId="07505657" w14:textId="63EA40CC" w:rsidR="00FD614D" w:rsidRPr="003D48D1" w:rsidRDefault="00FD614D" w:rsidP="00ED2FE1">
            <w:pPr>
              <w:pStyle w:val="ListParagraph"/>
              <w:spacing w:after="120" w:line="240" w:lineRule="auto"/>
              <w:ind w:left="0"/>
              <w:contextualSpacing w:val="0"/>
              <w:rPr>
                <w:rFonts w:ascii="Calibri Light" w:eastAsia="Calibri Light" w:hAnsi="Calibri Light" w:cs="Calibri Light"/>
                <w:color w:val="auto"/>
              </w:rPr>
            </w:pPr>
            <w:r w:rsidRPr="003D48D1">
              <w:rPr>
                <w:color w:val="auto"/>
              </w:rPr>
              <w:t>(</w:t>
            </w:r>
            <w:proofErr w:type="gramStart"/>
            <w:r w:rsidRPr="003D48D1">
              <w:rPr>
                <w:color w:val="auto"/>
              </w:rPr>
              <w:t>including</w:t>
            </w:r>
            <w:proofErr w:type="gramEnd"/>
            <w:r w:rsidRPr="003D48D1">
              <w:rPr>
                <w:color w:val="auto"/>
              </w:rPr>
              <w:t xml:space="preserve"> examples of assistance provided and results achieved) [</w:t>
            </w:r>
            <w:r w:rsidR="00A122A4">
              <w:rPr>
                <w:color w:val="auto"/>
              </w:rPr>
              <w:t>T</w:t>
            </w:r>
            <w:r w:rsidRPr="003D48D1">
              <w:rPr>
                <w:color w:val="auto"/>
              </w:rPr>
              <w:t>arget: fourteen]</w:t>
            </w:r>
          </w:p>
        </w:tc>
        <w:tc>
          <w:tcPr>
            <w:tcW w:w="7371" w:type="dxa"/>
          </w:tcPr>
          <w:p w14:paraId="48912387" w14:textId="2B02DB44" w:rsidR="00FD614D" w:rsidRPr="003D48D1" w:rsidRDefault="00B03CD5" w:rsidP="00ED2FE1">
            <w:pPr>
              <w:spacing w:after="120" w:line="240" w:lineRule="auto"/>
              <w:rPr>
                <w:color w:val="auto"/>
              </w:rPr>
            </w:pPr>
            <w:r w:rsidRPr="003D48D1">
              <w:rPr>
                <w:color w:val="auto"/>
              </w:rPr>
              <w:t>1</w:t>
            </w:r>
            <w:r w:rsidR="009C4E57" w:rsidRPr="003D48D1">
              <w:rPr>
                <w:color w:val="auto"/>
              </w:rPr>
              <w:t xml:space="preserve">7 </w:t>
            </w:r>
            <w:r w:rsidR="003D2C6A" w:rsidRPr="003D48D1">
              <w:rPr>
                <w:color w:val="auto"/>
              </w:rPr>
              <w:t>countries supported</w:t>
            </w:r>
            <w:r w:rsidR="00050D72" w:rsidRPr="003D48D1">
              <w:rPr>
                <w:color w:val="auto"/>
              </w:rPr>
              <w:t>:</w:t>
            </w:r>
          </w:p>
          <w:p w14:paraId="58DC7829" w14:textId="61A2889D" w:rsidR="0083448C" w:rsidRPr="003D48D1" w:rsidRDefault="0083448C" w:rsidP="00ED2FE1">
            <w:pPr>
              <w:spacing w:after="120" w:line="240" w:lineRule="auto"/>
              <w:rPr>
                <w:color w:val="auto"/>
              </w:rPr>
            </w:pPr>
            <w:r w:rsidRPr="00F39C77">
              <w:rPr>
                <w:color w:val="auto"/>
              </w:rPr>
              <w:t xml:space="preserve">The Australia Pacific Security College </w:t>
            </w:r>
            <w:r w:rsidR="005D77A9" w:rsidRPr="00F39C77">
              <w:rPr>
                <w:color w:val="auto"/>
              </w:rPr>
              <w:t xml:space="preserve">continues to </w:t>
            </w:r>
            <w:r w:rsidRPr="00F39C77">
              <w:rPr>
                <w:color w:val="auto"/>
              </w:rPr>
              <w:t>partner with national officials from the Pacific to strengthen national security policy development</w:t>
            </w:r>
            <w:r w:rsidR="7415BEBF" w:rsidRPr="00F39C77">
              <w:rPr>
                <w:color w:val="auto"/>
              </w:rPr>
              <w:t>. M</w:t>
            </w:r>
            <w:r w:rsidRPr="00F39C77">
              <w:rPr>
                <w:color w:val="auto"/>
              </w:rPr>
              <w:t xml:space="preserve">ilestones </w:t>
            </w:r>
            <w:r w:rsidR="5C7ADFC9" w:rsidRPr="00F39C77">
              <w:rPr>
                <w:color w:val="auto"/>
              </w:rPr>
              <w:t xml:space="preserve">included </w:t>
            </w:r>
            <w:r w:rsidR="008E3204" w:rsidRPr="00F39C77">
              <w:rPr>
                <w:color w:val="auto"/>
              </w:rPr>
              <w:t xml:space="preserve">the </w:t>
            </w:r>
            <w:r w:rsidRPr="00F39C77">
              <w:rPr>
                <w:color w:val="auto"/>
              </w:rPr>
              <w:t xml:space="preserve">Cook Islands’ National Security Policy launch during </w:t>
            </w:r>
            <w:r w:rsidR="00501B10" w:rsidRPr="00F39C77">
              <w:rPr>
                <w:color w:val="auto"/>
              </w:rPr>
              <w:t>the</w:t>
            </w:r>
            <w:r w:rsidRPr="00F39C77">
              <w:rPr>
                <w:color w:val="auto"/>
              </w:rPr>
              <w:t xml:space="preserve"> A</w:t>
            </w:r>
            <w:r w:rsidR="00F91595" w:rsidRPr="00F39C77">
              <w:rPr>
                <w:color w:val="auto"/>
              </w:rPr>
              <w:t>ustralian Public Service Commission</w:t>
            </w:r>
            <w:r w:rsidR="48E096F3" w:rsidRPr="00F39C77">
              <w:rPr>
                <w:color w:val="auto"/>
              </w:rPr>
              <w:t>-</w:t>
            </w:r>
            <w:r w:rsidRPr="00F39C77">
              <w:rPr>
                <w:color w:val="auto"/>
              </w:rPr>
              <w:t>supported National Security Strategies Workshop in June 2023.</w:t>
            </w:r>
          </w:p>
          <w:p w14:paraId="29548BDF" w14:textId="34D1CDCC" w:rsidR="00CD345C" w:rsidRDefault="1FF0C89B" w:rsidP="00F39C77">
            <w:pPr>
              <w:pStyle w:val="ListParagraph"/>
              <w:spacing w:after="120" w:line="240" w:lineRule="auto"/>
              <w:ind w:left="0"/>
              <w:rPr>
                <w:color w:val="auto"/>
              </w:rPr>
            </w:pPr>
            <w:r w:rsidRPr="00F39C77">
              <w:rPr>
                <w:color w:val="auto"/>
              </w:rPr>
              <w:t xml:space="preserve">An </w:t>
            </w:r>
            <w:r w:rsidR="001E3C21" w:rsidRPr="00F39C77">
              <w:rPr>
                <w:color w:val="auto"/>
              </w:rPr>
              <w:t>Australia</w:t>
            </w:r>
            <w:r w:rsidR="12EB84BC" w:rsidRPr="00F39C77">
              <w:rPr>
                <w:color w:val="auto"/>
              </w:rPr>
              <w:t xml:space="preserve">-led </w:t>
            </w:r>
            <w:r w:rsidR="00656547" w:rsidRPr="00F39C77">
              <w:rPr>
                <w:color w:val="auto"/>
              </w:rPr>
              <w:t>pilot</w:t>
            </w:r>
            <w:r w:rsidR="001E3C21" w:rsidRPr="00F39C77">
              <w:rPr>
                <w:color w:val="auto"/>
              </w:rPr>
              <w:t xml:space="preserve"> </w:t>
            </w:r>
            <w:r w:rsidR="00F56CCE" w:rsidRPr="00F39C77">
              <w:rPr>
                <w:color w:val="auto"/>
              </w:rPr>
              <w:t>provid</w:t>
            </w:r>
            <w:r w:rsidR="00AC5CF6" w:rsidRPr="00F39C77">
              <w:rPr>
                <w:color w:val="auto"/>
              </w:rPr>
              <w:t>ed</w:t>
            </w:r>
            <w:r w:rsidR="00F56CCE" w:rsidRPr="00F39C77">
              <w:rPr>
                <w:color w:val="auto"/>
              </w:rPr>
              <w:t xml:space="preserve"> real-time, integrated</w:t>
            </w:r>
            <w:r w:rsidR="7A7C5523" w:rsidRPr="00F39C77">
              <w:rPr>
                <w:color w:val="auto"/>
              </w:rPr>
              <w:t>,</w:t>
            </w:r>
            <w:r w:rsidR="00F56CCE" w:rsidRPr="00F39C77">
              <w:rPr>
                <w:color w:val="auto"/>
              </w:rPr>
              <w:t xml:space="preserve"> and cost-effective information </w:t>
            </w:r>
            <w:r w:rsidR="0BE5950C" w:rsidRPr="00F39C77">
              <w:rPr>
                <w:color w:val="auto"/>
              </w:rPr>
              <w:t xml:space="preserve">to enhance </w:t>
            </w:r>
            <w:r w:rsidR="00F56CCE" w:rsidRPr="00F39C77">
              <w:rPr>
                <w:color w:val="auto"/>
              </w:rPr>
              <w:t xml:space="preserve">Pacific maritime </w:t>
            </w:r>
            <w:r w:rsidR="3C4C26FE" w:rsidRPr="00F39C77">
              <w:rPr>
                <w:color w:val="auto"/>
              </w:rPr>
              <w:t>domain awareness</w:t>
            </w:r>
            <w:r w:rsidR="00F56CCE" w:rsidRPr="00F39C77">
              <w:rPr>
                <w:color w:val="auto"/>
              </w:rPr>
              <w:t xml:space="preserve">. Commercially available satellite radio data provides </w:t>
            </w:r>
            <w:r w:rsidR="00557EEF" w:rsidRPr="00F39C77">
              <w:rPr>
                <w:color w:val="auto"/>
              </w:rPr>
              <w:t xml:space="preserve">the </w:t>
            </w:r>
            <w:r w:rsidR="00F56CCE" w:rsidRPr="00F39C77">
              <w:rPr>
                <w:color w:val="auto"/>
              </w:rPr>
              <w:t xml:space="preserve">Pacific Islands Forum Fisheries Agency and its members </w:t>
            </w:r>
            <w:r w:rsidR="0084113F" w:rsidRPr="00F39C77">
              <w:rPr>
                <w:color w:val="auto"/>
              </w:rPr>
              <w:t>information needed t</w:t>
            </w:r>
            <w:r w:rsidR="00F56CCE" w:rsidRPr="00F39C77">
              <w:rPr>
                <w:color w:val="auto"/>
              </w:rPr>
              <w:t>o</w:t>
            </w:r>
            <w:r w:rsidR="001E3C21" w:rsidRPr="00F39C77">
              <w:rPr>
                <w:color w:val="auto"/>
              </w:rPr>
              <w:t xml:space="preserve"> protect their resources and sovereignty, </w:t>
            </w:r>
            <w:r w:rsidR="00041568" w:rsidRPr="00F39C77">
              <w:rPr>
                <w:color w:val="auto"/>
              </w:rPr>
              <w:t>and com</w:t>
            </w:r>
            <w:r w:rsidR="001E3C21" w:rsidRPr="00F39C77">
              <w:rPr>
                <w:color w:val="auto"/>
              </w:rPr>
              <w:t xml:space="preserve">bat illegal, </w:t>
            </w:r>
            <w:proofErr w:type="gramStart"/>
            <w:r w:rsidR="001E3C21" w:rsidRPr="00F39C77">
              <w:rPr>
                <w:color w:val="auto"/>
              </w:rPr>
              <w:t>unreported</w:t>
            </w:r>
            <w:proofErr w:type="gramEnd"/>
            <w:r w:rsidR="001E3C21" w:rsidRPr="00F39C77">
              <w:rPr>
                <w:color w:val="auto"/>
              </w:rPr>
              <w:t xml:space="preserve"> and unregulated fishing. </w:t>
            </w:r>
          </w:p>
          <w:p w14:paraId="4746CD16" w14:textId="77777777" w:rsidR="00D175A0" w:rsidRPr="003D48D1" w:rsidRDefault="00D175A0" w:rsidP="00F39C77">
            <w:pPr>
              <w:pStyle w:val="ListParagraph"/>
              <w:spacing w:after="120" w:line="240" w:lineRule="auto"/>
              <w:ind w:left="0"/>
              <w:rPr>
                <w:color w:val="auto"/>
              </w:rPr>
            </w:pPr>
          </w:p>
          <w:p w14:paraId="3076895D" w14:textId="2A7A2FC0" w:rsidR="00B81916" w:rsidRDefault="00F15862" w:rsidP="00F39C77">
            <w:pPr>
              <w:pStyle w:val="ListParagraph"/>
              <w:spacing w:after="120" w:line="240" w:lineRule="auto"/>
              <w:ind w:left="0"/>
              <w:rPr>
                <w:color w:val="auto"/>
              </w:rPr>
            </w:pPr>
            <w:r w:rsidRPr="00F39C77">
              <w:rPr>
                <w:color w:val="auto"/>
              </w:rPr>
              <w:t>Th</w:t>
            </w:r>
            <w:r w:rsidR="009F50E9" w:rsidRPr="00F39C77">
              <w:rPr>
                <w:color w:val="auto"/>
              </w:rPr>
              <w:t>e Pacific Media Assistance Scheme</w:t>
            </w:r>
            <w:r w:rsidR="00B81916" w:rsidRPr="00F39C77">
              <w:rPr>
                <w:color w:val="auto"/>
              </w:rPr>
              <w:t xml:space="preserve"> is supporting </w:t>
            </w:r>
            <w:proofErr w:type="spellStart"/>
            <w:r w:rsidR="00597BC3">
              <w:rPr>
                <w:color w:val="auto"/>
              </w:rPr>
              <w:t>higher</w:t>
            </w:r>
            <w:r w:rsidR="00B81916" w:rsidRPr="00F39C77">
              <w:rPr>
                <w:color w:val="auto"/>
              </w:rPr>
              <w:t>quality</w:t>
            </w:r>
            <w:proofErr w:type="spellEnd"/>
            <w:r w:rsidR="00B81916" w:rsidRPr="00F39C77">
              <w:rPr>
                <w:color w:val="auto"/>
              </w:rPr>
              <w:t xml:space="preserve"> media</w:t>
            </w:r>
            <w:r w:rsidR="00BA2F99" w:rsidRPr="00F39C77">
              <w:rPr>
                <w:color w:val="auto"/>
              </w:rPr>
              <w:t xml:space="preserve"> across the region</w:t>
            </w:r>
            <w:r w:rsidR="00B81916" w:rsidRPr="00F39C77">
              <w:rPr>
                <w:color w:val="auto"/>
              </w:rPr>
              <w:t xml:space="preserve">. </w:t>
            </w:r>
            <w:r w:rsidR="00D67930" w:rsidRPr="00F39C77">
              <w:rPr>
                <w:color w:val="auto"/>
              </w:rPr>
              <w:t>Media training a</w:t>
            </w:r>
            <w:r w:rsidR="00B81916" w:rsidRPr="00F39C77">
              <w:rPr>
                <w:color w:val="auto"/>
              </w:rPr>
              <w:t xml:space="preserve">ctivities </w:t>
            </w:r>
            <w:r w:rsidR="00597BC3">
              <w:rPr>
                <w:color w:val="auto"/>
              </w:rPr>
              <w:t xml:space="preserve">included </w:t>
            </w:r>
            <w:r w:rsidR="00B81916" w:rsidRPr="00F39C77">
              <w:rPr>
                <w:color w:val="auto"/>
              </w:rPr>
              <w:t xml:space="preserve">parliamentary reporting, investigative journalism and election education workshops enabled </w:t>
            </w:r>
            <w:r w:rsidR="00A53A0C" w:rsidRPr="00F39C77">
              <w:rPr>
                <w:color w:val="auto"/>
              </w:rPr>
              <w:t xml:space="preserve">over </w:t>
            </w:r>
            <w:r w:rsidR="00C07829" w:rsidRPr="00F39C77">
              <w:rPr>
                <w:color w:val="auto"/>
              </w:rPr>
              <w:t xml:space="preserve">370 </w:t>
            </w:r>
            <w:r w:rsidR="00B81916" w:rsidRPr="00F39C77">
              <w:rPr>
                <w:color w:val="auto"/>
              </w:rPr>
              <w:t xml:space="preserve">participants to become more proactive in </w:t>
            </w:r>
            <w:r w:rsidR="00503E6F" w:rsidRPr="00F39C77">
              <w:rPr>
                <w:color w:val="auto"/>
              </w:rPr>
              <w:t xml:space="preserve">accurate, timely </w:t>
            </w:r>
            <w:r w:rsidR="00B81916" w:rsidRPr="00F39C77">
              <w:rPr>
                <w:color w:val="auto"/>
              </w:rPr>
              <w:t>communicat</w:t>
            </w:r>
            <w:r w:rsidR="00503E6F" w:rsidRPr="00F39C77">
              <w:rPr>
                <w:color w:val="auto"/>
              </w:rPr>
              <w:t>ion</w:t>
            </w:r>
            <w:r w:rsidR="00B81916" w:rsidRPr="00F39C77">
              <w:rPr>
                <w:color w:val="auto"/>
              </w:rPr>
              <w:t>, and issues related to misinformation.</w:t>
            </w:r>
            <w:r w:rsidR="00BA2F99" w:rsidRPr="00F39C77">
              <w:rPr>
                <w:color w:val="auto"/>
              </w:rPr>
              <w:t xml:space="preserve"> </w:t>
            </w:r>
          </w:p>
          <w:p w14:paraId="02C61695" w14:textId="77777777" w:rsidR="00D175A0" w:rsidRPr="003D48D1" w:rsidRDefault="00D175A0" w:rsidP="00F39C77">
            <w:pPr>
              <w:pStyle w:val="ListParagraph"/>
              <w:spacing w:after="120" w:line="240" w:lineRule="auto"/>
              <w:ind w:left="0"/>
              <w:rPr>
                <w:color w:val="auto"/>
              </w:rPr>
            </w:pPr>
          </w:p>
          <w:p w14:paraId="4C82CAEA" w14:textId="182EA8B3" w:rsidR="00A464C8" w:rsidRDefault="003E3C71" w:rsidP="00F39C77">
            <w:pPr>
              <w:pStyle w:val="ListParagraph"/>
              <w:spacing w:after="120" w:line="240" w:lineRule="auto"/>
              <w:ind w:left="0"/>
              <w:rPr>
                <w:color w:val="auto"/>
              </w:rPr>
            </w:pPr>
            <w:r w:rsidRPr="00F39C77">
              <w:rPr>
                <w:color w:val="auto"/>
              </w:rPr>
              <w:t>In 2022</w:t>
            </w:r>
            <w:r w:rsidR="00454DBA" w:rsidRPr="00F39C77">
              <w:rPr>
                <w:color w:val="auto"/>
              </w:rPr>
              <w:t xml:space="preserve">, </w:t>
            </w:r>
            <w:r w:rsidR="00F43F03" w:rsidRPr="00F39C77">
              <w:rPr>
                <w:color w:val="auto"/>
              </w:rPr>
              <w:t>P</w:t>
            </w:r>
            <w:r w:rsidR="00597BC3">
              <w:rPr>
                <w:color w:val="auto"/>
              </w:rPr>
              <w:t xml:space="preserve">acific Women Lead (PWL) </w:t>
            </w:r>
            <w:r w:rsidR="00356E31" w:rsidRPr="00F39C77">
              <w:rPr>
                <w:color w:val="auto"/>
              </w:rPr>
              <w:t>supported the Women’s Environment and Development Organisation to deliver capacity building for Pacific women climate change negotiators</w:t>
            </w:r>
            <w:r w:rsidR="00FE69E9" w:rsidRPr="00F39C77">
              <w:rPr>
                <w:color w:val="auto"/>
              </w:rPr>
              <w:t xml:space="preserve"> </w:t>
            </w:r>
            <w:r w:rsidR="008D5713" w:rsidRPr="00F39C77">
              <w:rPr>
                <w:color w:val="auto"/>
              </w:rPr>
              <w:t xml:space="preserve">and </w:t>
            </w:r>
            <w:r w:rsidR="008C2462" w:rsidRPr="00F39C77">
              <w:rPr>
                <w:color w:val="auto"/>
              </w:rPr>
              <w:t>support</w:t>
            </w:r>
            <w:r w:rsidR="00454DBA" w:rsidRPr="00F39C77">
              <w:rPr>
                <w:color w:val="auto"/>
              </w:rPr>
              <w:t>ed</w:t>
            </w:r>
            <w:r w:rsidR="008C2462" w:rsidRPr="00F39C77">
              <w:rPr>
                <w:color w:val="auto"/>
              </w:rPr>
              <w:t xml:space="preserve"> </w:t>
            </w:r>
            <w:r w:rsidR="00954C33" w:rsidRPr="00F39C77">
              <w:rPr>
                <w:color w:val="auto"/>
              </w:rPr>
              <w:t xml:space="preserve">13 </w:t>
            </w:r>
            <w:r w:rsidR="00356E31" w:rsidRPr="00F39C77">
              <w:rPr>
                <w:color w:val="auto"/>
              </w:rPr>
              <w:t>Pacific women participat</w:t>
            </w:r>
            <w:r w:rsidR="008C2462" w:rsidRPr="00F39C77">
              <w:rPr>
                <w:color w:val="auto"/>
              </w:rPr>
              <w:t>e</w:t>
            </w:r>
            <w:r w:rsidR="00356E31" w:rsidRPr="00F39C77">
              <w:rPr>
                <w:color w:val="auto"/>
              </w:rPr>
              <w:t xml:space="preserve"> in the 2022 United Nations Climate Change Conference</w:t>
            </w:r>
            <w:r w:rsidR="00FA5307" w:rsidRPr="00F39C77">
              <w:rPr>
                <w:color w:val="auto"/>
              </w:rPr>
              <w:t>.</w:t>
            </w:r>
            <w:r w:rsidR="00356E31" w:rsidRPr="00F39C77">
              <w:rPr>
                <w:color w:val="auto"/>
              </w:rPr>
              <w:t xml:space="preserve"> </w:t>
            </w:r>
          </w:p>
          <w:p w14:paraId="00E08625" w14:textId="77777777" w:rsidR="00D175A0" w:rsidRPr="003D48D1" w:rsidRDefault="00D175A0" w:rsidP="00F39C77">
            <w:pPr>
              <w:pStyle w:val="ListParagraph"/>
              <w:spacing w:after="120" w:line="240" w:lineRule="auto"/>
              <w:ind w:left="0"/>
              <w:rPr>
                <w:color w:val="auto"/>
              </w:rPr>
            </w:pPr>
          </w:p>
          <w:p w14:paraId="588EE7BB" w14:textId="464B75AD" w:rsidR="00474F88" w:rsidRPr="003D48D1" w:rsidRDefault="00FB14E9" w:rsidP="00F39C77">
            <w:pPr>
              <w:pStyle w:val="ListParagraph"/>
              <w:spacing w:after="120" w:line="240" w:lineRule="auto"/>
              <w:ind w:left="0"/>
              <w:rPr>
                <w:color w:val="auto"/>
              </w:rPr>
            </w:pPr>
            <w:r w:rsidRPr="00F39C77">
              <w:rPr>
                <w:color w:val="auto"/>
              </w:rPr>
              <w:t xml:space="preserve">Australia supported </w:t>
            </w:r>
            <w:r w:rsidR="00D278FA" w:rsidRPr="00F39C77">
              <w:rPr>
                <w:color w:val="auto"/>
              </w:rPr>
              <w:t>the 7th Pacific Regional Disability Conference, enabling broad and inclusive regional consensus on priorities for disability inclusion and equity</w:t>
            </w:r>
            <w:r w:rsidR="39213A55" w:rsidRPr="00F39C77">
              <w:rPr>
                <w:color w:val="auto"/>
              </w:rPr>
              <w:t>,</w:t>
            </w:r>
            <w:r w:rsidR="00D278FA" w:rsidRPr="00F39C77">
              <w:rPr>
                <w:color w:val="auto"/>
              </w:rPr>
              <w:t xml:space="preserve"> which are now informing implementation planning for the 2050 Strategy</w:t>
            </w:r>
            <w:r w:rsidR="003608CD" w:rsidRPr="00F39C77">
              <w:rPr>
                <w:color w:val="auto"/>
              </w:rPr>
              <w:t xml:space="preserve"> for the Blue Pacific Continent. </w:t>
            </w:r>
          </w:p>
        </w:tc>
      </w:tr>
    </w:tbl>
    <w:p w14:paraId="21CC8BDA" w14:textId="0F47883E" w:rsidR="00896275" w:rsidRPr="00896275" w:rsidRDefault="00915066" w:rsidP="00896275">
      <w:pPr>
        <w:pStyle w:val="Heading3"/>
      </w:pPr>
      <w:r w:rsidRPr="003D48D1">
        <w:br w:type="page"/>
      </w:r>
      <w:r w:rsidR="00896275" w:rsidRPr="003D48D1">
        <w:lastRenderedPageBreak/>
        <w:t>Economic Recovery</w:t>
      </w:r>
    </w:p>
    <w:tbl>
      <w:tblPr>
        <w:tblStyle w:val="TableGrid"/>
        <w:tblW w:w="0" w:type="auto"/>
        <w:tblInd w:w="-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3686"/>
        <w:gridCol w:w="6850"/>
      </w:tblGrid>
      <w:tr w:rsidR="003D48D1" w:rsidRPr="003D48D1" w14:paraId="4F1A5562" w14:textId="77777777" w:rsidTr="00896275">
        <w:trPr>
          <w:cantSplit/>
        </w:trPr>
        <w:tc>
          <w:tcPr>
            <w:tcW w:w="3686" w:type="dxa"/>
            <w:shd w:val="clear" w:color="auto" w:fill="A2DCD1" w:themeFill="accent1" w:themeFillTint="99"/>
            <w:vAlign w:val="bottom"/>
          </w:tcPr>
          <w:p w14:paraId="6F32E1E8" w14:textId="5206D0BF" w:rsidR="0039094D" w:rsidRPr="003D48D1" w:rsidRDefault="0039094D" w:rsidP="001D3AAE">
            <w:pPr>
              <w:widowControl w:val="0"/>
              <w:spacing w:after="120" w:line="240" w:lineRule="auto"/>
              <w:jc w:val="center"/>
              <w:rPr>
                <w:b/>
                <w:bCs/>
                <w:color w:val="auto"/>
              </w:rPr>
            </w:pPr>
            <w:r w:rsidRPr="003D48D1">
              <w:rPr>
                <w:b/>
                <w:color w:val="auto"/>
              </w:rPr>
              <w:t>Key Results Indicators</w:t>
            </w:r>
          </w:p>
        </w:tc>
        <w:tc>
          <w:tcPr>
            <w:tcW w:w="6850" w:type="dxa"/>
            <w:shd w:val="clear" w:color="auto" w:fill="A2DCD1" w:themeFill="accent1" w:themeFillTint="99"/>
            <w:vAlign w:val="bottom"/>
          </w:tcPr>
          <w:p w14:paraId="0E11774C" w14:textId="587C83C2" w:rsidR="0039094D" w:rsidRPr="003D48D1" w:rsidRDefault="0039094D" w:rsidP="001D3AAE">
            <w:pPr>
              <w:widowControl w:val="0"/>
              <w:spacing w:after="120" w:line="240" w:lineRule="auto"/>
              <w:jc w:val="center"/>
              <w:rPr>
                <w:b/>
                <w:color w:val="auto"/>
              </w:rPr>
            </w:pPr>
            <w:r w:rsidRPr="003D48D1">
              <w:rPr>
                <w:b/>
                <w:color w:val="auto"/>
              </w:rPr>
              <w:t>Progress/Result</w:t>
            </w:r>
          </w:p>
        </w:tc>
      </w:tr>
      <w:tr w:rsidR="003D48D1" w:rsidRPr="003D48D1" w14:paraId="564E6F58" w14:textId="77777777" w:rsidTr="00896275">
        <w:trPr>
          <w:cantSplit/>
        </w:trPr>
        <w:tc>
          <w:tcPr>
            <w:tcW w:w="3686" w:type="dxa"/>
          </w:tcPr>
          <w:p w14:paraId="234C1CE4" w14:textId="108C74E0" w:rsidR="0039094D" w:rsidRPr="003D48D1" w:rsidRDefault="0039094D" w:rsidP="001D3AAE">
            <w:pPr>
              <w:spacing w:after="120" w:line="240" w:lineRule="auto"/>
              <w:rPr>
                <w:color w:val="auto"/>
              </w:rPr>
            </w:pPr>
            <w:r w:rsidRPr="003D48D1">
              <w:rPr>
                <w:color w:val="auto"/>
              </w:rPr>
              <w:t xml:space="preserve">Countries receiving </w:t>
            </w:r>
            <w:r w:rsidR="00F96BFA" w:rsidRPr="003D48D1">
              <w:rPr>
                <w:color w:val="auto"/>
              </w:rPr>
              <w:t>AIFFP</w:t>
            </w:r>
            <w:r w:rsidR="00535AE4">
              <w:rPr>
                <w:color w:val="auto"/>
              </w:rPr>
              <w:t xml:space="preserve"> </w:t>
            </w:r>
            <w:r w:rsidRPr="003D48D1">
              <w:rPr>
                <w:color w:val="auto"/>
              </w:rPr>
              <w:t>financing includes inclusive local jobs creation [</w:t>
            </w:r>
            <w:r w:rsidR="00A122A4">
              <w:rPr>
                <w:color w:val="auto"/>
              </w:rPr>
              <w:t>T</w:t>
            </w:r>
            <w:r w:rsidRPr="003D48D1">
              <w:rPr>
                <w:color w:val="auto"/>
              </w:rPr>
              <w:t xml:space="preserve">arget: six] </w:t>
            </w:r>
          </w:p>
        </w:tc>
        <w:tc>
          <w:tcPr>
            <w:tcW w:w="6850" w:type="dxa"/>
          </w:tcPr>
          <w:p w14:paraId="528C5B4B" w14:textId="44C440BF" w:rsidR="003644E6" w:rsidRPr="003D48D1" w:rsidRDefault="00C066CB" w:rsidP="001D3AAE">
            <w:pPr>
              <w:spacing w:after="120" w:line="240" w:lineRule="auto"/>
              <w:rPr>
                <w:color w:val="auto"/>
              </w:rPr>
            </w:pPr>
            <w:r w:rsidRPr="003D48D1">
              <w:rPr>
                <w:color w:val="auto"/>
              </w:rPr>
              <w:t>Australia has</w:t>
            </w:r>
            <w:r w:rsidR="003644E6" w:rsidRPr="003D48D1">
              <w:rPr>
                <w:color w:val="auto"/>
              </w:rPr>
              <w:t xml:space="preserve"> now agreed to finance 14 critical infrastructure projects in nine countries</w:t>
            </w:r>
            <w:r w:rsidR="00D61ED0" w:rsidRPr="003D48D1">
              <w:rPr>
                <w:color w:val="auto"/>
              </w:rPr>
              <w:t xml:space="preserve"> through the AIFFP</w:t>
            </w:r>
            <w:r w:rsidR="003644E6" w:rsidRPr="003D48D1">
              <w:rPr>
                <w:color w:val="auto"/>
              </w:rPr>
              <w:t>, with a total value of over $1.25 billion, including approximately $900 million in loan agreements.</w:t>
            </w:r>
          </w:p>
          <w:p w14:paraId="5A50515E" w14:textId="0671EF70" w:rsidR="0039094D" w:rsidRPr="003D48D1" w:rsidRDefault="0039094D" w:rsidP="001D3AAE">
            <w:pPr>
              <w:spacing w:after="120" w:line="240" w:lineRule="auto"/>
              <w:rPr>
                <w:color w:val="auto"/>
              </w:rPr>
            </w:pPr>
            <w:r w:rsidRPr="003D48D1">
              <w:rPr>
                <w:color w:val="auto"/>
              </w:rPr>
              <w:t xml:space="preserve">The </w:t>
            </w:r>
            <w:r w:rsidR="00F96BFA" w:rsidRPr="003D48D1">
              <w:rPr>
                <w:color w:val="auto"/>
              </w:rPr>
              <w:t>AIFFP</w:t>
            </w:r>
            <w:r w:rsidRPr="003D48D1">
              <w:rPr>
                <w:color w:val="auto"/>
              </w:rPr>
              <w:t xml:space="preserve"> encourages local labour involvement in all nine countries where capital works are being completed. AIFFP is the first sovereign lender in </w:t>
            </w:r>
            <w:r w:rsidR="008F23F6">
              <w:rPr>
                <w:color w:val="auto"/>
              </w:rPr>
              <w:t xml:space="preserve">PNG </w:t>
            </w:r>
            <w:r w:rsidRPr="003D48D1">
              <w:rPr>
                <w:color w:val="auto"/>
              </w:rPr>
              <w:t xml:space="preserve">to support a state-owned enterprise to establish local </w:t>
            </w:r>
            <w:r w:rsidR="00AA3362" w:rsidRPr="003D48D1">
              <w:rPr>
                <w:color w:val="auto"/>
              </w:rPr>
              <w:t>content planning obligations</w:t>
            </w:r>
            <w:r w:rsidRPr="003D48D1">
              <w:rPr>
                <w:color w:val="auto"/>
              </w:rPr>
              <w:t>. This includes a mandatory minimum target of 30 per</w:t>
            </w:r>
            <w:r w:rsidR="00526418" w:rsidRPr="003D48D1">
              <w:rPr>
                <w:color w:val="auto"/>
              </w:rPr>
              <w:t xml:space="preserve"> </w:t>
            </w:r>
            <w:r w:rsidRPr="003D48D1">
              <w:rPr>
                <w:color w:val="auto"/>
              </w:rPr>
              <w:t xml:space="preserve">cent local expenditure to support local jobs and skill acquisition. For the Fiji Transport Infrastructure Restoration Project, all road renewal contractors are locally registered and employ </w:t>
            </w:r>
            <w:proofErr w:type="gramStart"/>
            <w:r w:rsidRPr="003D48D1">
              <w:rPr>
                <w:color w:val="auto"/>
              </w:rPr>
              <w:t>a majority of</w:t>
            </w:r>
            <w:proofErr w:type="gramEnd"/>
            <w:r w:rsidRPr="003D48D1">
              <w:rPr>
                <w:color w:val="auto"/>
              </w:rPr>
              <w:t xml:space="preserve"> local Fijian workers. </w:t>
            </w:r>
          </w:p>
        </w:tc>
      </w:tr>
      <w:tr w:rsidR="003D48D1" w:rsidRPr="003D48D1" w14:paraId="1EAE2D66" w14:textId="77777777" w:rsidTr="00896275">
        <w:trPr>
          <w:cantSplit/>
        </w:trPr>
        <w:tc>
          <w:tcPr>
            <w:tcW w:w="3686" w:type="dxa"/>
          </w:tcPr>
          <w:p w14:paraId="65838CB2" w14:textId="7F0CE9DB" w:rsidR="0039094D" w:rsidRPr="003D48D1" w:rsidRDefault="0039094D" w:rsidP="001D3AAE">
            <w:pPr>
              <w:spacing w:after="120" w:line="240" w:lineRule="auto"/>
              <w:rPr>
                <w:color w:val="auto"/>
              </w:rPr>
            </w:pPr>
            <w:r w:rsidRPr="003D48D1">
              <w:rPr>
                <w:color w:val="auto"/>
              </w:rPr>
              <w:t xml:space="preserve">Examples of support for changing labour market needs, Pacific workers in Australia and skill development activities </w:t>
            </w:r>
          </w:p>
        </w:tc>
        <w:tc>
          <w:tcPr>
            <w:tcW w:w="6850" w:type="dxa"/>
          </w:tcPr>
          <w:p w14:paraId="0EEF6109" w14:textId="6FFA9967" w:rsidR="00B72E04" w:rsidRPr="003D48D1" w:rsidRDefault="7B61833B" w:rsidP="00B72E04">
            <w:pPr>
              <w:rPr>
                <w:color w:val="auto"/>
              </w:rPr>
            </w:pPr>
            <w:r w:rsidRPr="003D48D1">
              <w:rPr>
                <w:color w:val="auto"/>
              </w:rPr>
              <w:t xml:space="preserve">The </w:t>
            </w:r>
            <w:r w:rsidR="00FB14E9" w:rsidRPr="003D48D1">
              <w:rPr>
                <w:color w:val="auto"/>
              </w:rPr>
              <w:t>Pacific Australia Labour Mobility (</w:t>
            </w:r>
            <w:r w:rsidRPr="003D48D1">
              <w:rPr>
                <w:color w:val="auto"/>
              </w:rPr>
              <w:t>PALM</w:t>
            </w:r>
            <w:r w:rsidR="00FB14E9" w:rsidRPr="003D48D1">
              <w:rPr>
                <w:color w:val="auto"/>
              </w:rPr>
              <w:t>)</w:t>
            </w:r>
            <w:r w:rsidRPr="003D48D1">
              <w:rPr>
                <w:color w:val="auto"/>
              </w:rPr>
              <w:t xml:space="preserve"> </w:t>
            </w:r>
            <w:r w:rsidR="00FB14E9" w:rsidRPr="003D48D1">
              <w:rPr>
                <w:color w:val="auto"/>
              </w:rPr>
              <w:t xml:space="preserve">Scheme </w:t>
            </w:r>
            <w:r w:rsidRPr="003D48D1">
              <w:rPr>
                <w:color w:val="auto"/>
              </w:rPr>
              <w:t xml:space="preserve">has grown rapidly, reaching the </w:t>
            </w:r>
            <w:r w:rsidR="00FA0887">
              <w:rPr>
                <w:color w:val="auto"/>
              </w:rPr>
              <w:t xml:space="preserve">Australian </w:t>
            </w:r>
            <w:r w:rsidRPr="003D48D1">
              <w:rPr>
                <w:color w:val="auto"/>
              </w:rPr>
              <w:t>government’s target of 35,000 workers in Australia by December 2022 (six months early), and increasing to more than 39,000</w:t>
            </w:r>
            <w:r w:rsidR="0051503C" w:rsidRPr="003D48D1">
              <w:rPr>
                <w:rStyle w:val="FootnoteReference"/>
                <w:color w:val="auto"/>
              </w:rPr>
              <w:footnoteReference w:id="6"/>
            </w:r>
            <w:r w:rsidRPr="003D48D1">
              <w:rPr>
                <w:color w:val="auto"/>
              </w:rPr>
              <w:t xml:space="preserve"> workers by June 2023. The number of women participating more than doubled from 2021</w:t>
            </w:r>
            <w:r w:rsidR="507C198E" w:rsidRPr="003D48D1">
              <w:rPr>
                <w:color w:val="auto"/>
              </w:rPr>
              <w:t xml:space="preserve"> (1,294)</w:t>
            </w:r>
            <w:r w:rsidRPr="003D48D1">
              <w:rPr>
                <w:color w:val="auto"/>
              </w:rPr>
              <w:t xml:space="preserve"> to 2022</w:t>
            </w:r>
            <w:r w:rsidR="4FF8B9D6" w:rsidRPr="003D48D1" w:rsidDel="00B72E04">
              <w:rPr>
                <w:color w:val="auto"/>
              </w:rPr>
              <w:t xml:space="preserve"> (2,887)</w:t>
            </w:r>
            <w:r w:rsidR="004C4F0D" w:rsidRPr="003D48D1" w:rsidDel="00B72E04">
              <w:rPr>
                <w:color w:val="auto"/>
              </w:rPr>
              <w:t xml:space="preserve">. </w:t>
            </w:r>
          </w:p>
          <w:p w14:paraId="21BAC39C" w14:textId="5BFB54DB" w:rsidR="00B72E04" w:rsidRPr="003D48D1" w:rsidRDefault="50A01188" w:rsidP="7719E89B">
            <w:pPr>
              <w:rPr>
                <w:color w:val="auto"/>
                <w:lang w:val="en-AU"/>
              </w:rPr>
            </w:pPr>
            <w:r w:rsidRPr="003D48D1">
              <w:rPr>
                <w:color w:val="auto"/>
              </w:rPr>
              <w:t xml:space="preserve">PALM is delivering training that better meets the needs of workers and employers, including industry-specific worker preparation and work/life skills training and qualifications. An ‘Aged Care Expansion program’ upskills workers and increased the number of qualified aged care workers participating in the scheme. </w:t>
            </w:r>
          </w:p>
          <w:p w14:paraId="02B96D99" w14:textId="7909594C" w:rsidR="0039094D" w:rsidRPr="003D48D1" w:rsidRDefault="002315C1" w:rsidP="001D3AAE">
            <w:pPr>
              <w:spacing w:after="120" w:line="240" w:lineRule="auto"/>
              <w:rPr>
                <w:color w:val="auto"/>
              </w:rPr>
            </w:pPr>
            <w:r w:rsidRPr="003D48D1">
              <w:rPr>
                <w:color w:val="auto"/>
              </w:rPr>
              <w:t>In 2022-23, t</w:t>
            </w:r>
            <w:r w:rsidR="00CD6AAE" w:rsidRPr="003D48D1">
              <w:rPr>
                <w:color w:val="auto"/>
              </w:rPr>
              <w:t>he Australia Pacific Training Coalition (APTC) developed country skills strategies</w:t>
            </w:r>
            <w:r w:rsidRPr="003D48D1">
              <w:rPr>
                <w:color w:val="auto"/>
              </w:rPr>
              <w:t xml:space="preserve">. </w:t>
            </w:r>
            <w:r w:rsidR="00F84660" w:rsidRPr="003D48D1">
              <w:rPr>
                <w:color w:val="auto"/>
              </w:rPr>
              <w:t xml:space="preserve">Priority training </w:t>
            </w:r>
            <w:r w:rsidR="00CD6AAE" w:rsidRPr="003D48D1">
              <w:rPr>
                <w:color w:val="auto"/>
              </w:rPr>
              <w:t>sectors</w:t>
            </w:r>
            <w:r w:rsidR="00534A62" w:rsidRPr="003D48D1">
              <w:rPr>
                <w:color w:val="auto"/>
              </w:rPr>
              <w:t xml:space="preserve"> for Australia’s labour market</w:t>
            </w:r>
            <w:r w:rsidR="00CD6AAE" w:rsidRPr="003D48D1">
              <w:rPr>
                <w:color w:val="auto"/>
              </w:rPr>
              <w:t xml:space="preserve"> includ</w:t>
            </w:r>
            <w:r w:rsidR="006C3DF2" w:rsidRPr="003D48D1">
              <w:rPr>
                <w:color w:val="auto"/>
              </w:rPr>
              <w:t>e</w:t>
            </w:r>
            <w:r w:rsidR="005C6102" w:rsidRPr="003D48D1">
              <w:rPr>
                <w:color w:val="auto"/>
              </w:rPr>
              <w:t xml:space="preserve"> </w:t>
            </w:r>
            <w:r w:rsidR="00CD6AAE" w:rsidRPr="003D48D1">
              <w:rPr>
                <w:color w:val="auto"/>
              </w:rPr>
              <w:t xml:space="preserve">aged care (Fiji) and meat works (Tuvalu). </w:t>
            </w:r>
            <w:r w:rsidR="00953114" w:rsidRPr="003D48D1">
              <w:rPr>
                <w:color w:val="auto"/>
              </w:rPr>
              <w:t xml:space="preserve">In 2022, 5,592 training qualifications and courses were completed </w:t>
            </w:r>
            <w:r w:rsidR="00FE171B" w:rsidRPr="003D48D1">
              <w:rPr>
                <w:color w:val="auto"/>
              </w:rPr>
              <w:t>across</w:t>
            </w:r>
            <w:r w:rsidR="00D14ECC" w:rsidRPr="003D48D1">
              <w:rPr>
                <w:color w:val="auto"/>
              </w:rPr>
              <w:t xml:space="preserve"> the</w:t>
            </w:r>
            <w:r w:rsidR="00FE171B" w:rsidRPr="003D48D1">
              <w:rPr>
                <w:color w:val="auto"/>
              </w:rPr>
              <w:t xml:space="preserve"> Pacific </w:t>
            </w:r>
            <w:r w:rsidR="00D14ECC" w:rsidRPr="003D48D1">
              <w:rPr>
                <w:color w:val="auto"/>
              </w:rPr>
              <w:t>and Timor-Leste</w:t>
            </w:r>
            <w:r w:rsidR="00644D4B" w:rsidRPr="003D48D1">
              <w:rPr>
                <w:color w:val="auto"/>
              </w:rPr>
              <w:t xml:space="preserve"> to support workers’ </w:t>
            </w:r>
            <w:r w:rsidR="004B68BC" w:rsidRPr="003D48D1">
              <w:rPr>
                <w:color w:val="auto"/>
              </w:rPr>
              <w:t>skills development</w:t>
            </w:r>
            <w:r w:rsidR="00644D4B" w:rsidRPr="003D48D1">
              <w:rPr>
                <w:color w:val="auto"/>
              </w:rPr>
              <w:t>.</w:t>
            </w:r>
          </w:p>
        </w:tc>
      </w:tr>
      <w:tr w:rsidR="003D48D1" w:rsidRPr="003D48D1" w14:paraId="4DF45926" w14:textId="77777777" w:rsidTr="00896275">
        <w:trPr>
          <w:cantSplit/>
        </w:trPr>
        <w:tc>
          <w:tcPr>
            <w:tcW w:w="3686" w:type="dxa"/>
          </w:tcPr>
          <w:p w14:paraId="0B1E2DC4" w14:textId="67A3CC85" w:rsidR="0039094D" w:rsidRPr="003D48D1" w:rsidRDefault="0039094D" w:rsidP="001D3AAE">
            <w:pPr>
              <w:spacing w:after="120" w:line="240" w:lineRule="auto"/>
              <w:rPr>
                <w:color w:val="auto"/>
              </w:rPr>
            </w:pPr>
            <w:r w:rsidRPr="003D48D1">
              <w:rPr>
                <w:color w:val="auto"/>
              </w:rPr>
              <w:t xml:space="preserve">Examples of partnering with the private sector and other regional partners to ensure supply lines are open </w:t>
            </w:r>
          </w:p>
        </w:tc>
        <w:tc>
          <w:tcPr>
            <w:tcW w:w="6850" w:type="dxa"/>
          </w:tcPr>
          <w:p w14:paraId="1FCE71E6" w14:textId="5AD8F029" w:rsidR="0039094D" w:rsidRPr="003D48D1" w:rsidRDefault="0A4ADDA1" w:rsidP="001D3AAE">
            <w:pPr>
              <w:spacing w:after="120" w:line="240" w:lineRule="auto"/>
              <w:rPr>
                <w:color w:val="auto"/>
              </w:rPr>
            </w:pPr>
            <w:r w:rsidRPr="003D48D1">
              <w:rPr>
                <w:color w:val="auto"/>
              </w:rPr>
              <w:t>In 2022-23</w:t>
            </w:r>
            <w:r w:rsidR="2A653FBE" w:rsidRPr="003D48D1">
              <w:rPr>
                <w:color w:val="auto"/>
              </w:rPr>
              <w:t xml:space="preserve"> </w:t>
            </w:r>
            <w:r w:rsidRPr="003D48D1">
              <w:rPr>
                <w:color w:val="auto"/>
              </w:rPr>
              <w:t xml:space="preserve">Australia </w:t>
            </w:r>
            <w:r w:rsidR="2A653FBE" w:rsidRPr="003D48D1">
              <w:rPr>
                <w:color w:val="auto"/>
              </w:rPr>
              <w:t>supported</w:t>
            </w:r>
            <w:r w:rsidRPr="003D48D1">
              <w:rPr>
                <w:color w:val="auto"/>
              </w:rPr>
              <w:t xml:space="preserve"> the Australia-North Pacific Connector (</w:t>
            </w:r>
            <w:proofErr w:type="spellStart"/>
            <w:r w:rsidR="4DA5A49B" w:rsidRPr="003D48D1">
              <w:rPr>
                <w:color w:val="auto"/>
              </w:rPr>
              <w:t>Aus</w:t>
            </w:r>
            <w:proofErr w:type="spellEnd"/>
            <w:r w:rsidR="004C4F0D" w:rsidRPr="003D48D1">
              <w:rPr>
                <w:color w:val="auto"/>
              </w:rPr>
              <w:noBreakHyphen/>
            </w:r>
            <w:r w:rsidR="4DA5A49B" w:rsidRPr="003D48D1">
              <w:rPr>
                <w:color w:val="auto"/>
              </w:rPr>
              <w:t>NPC</w:t>
            </w:r>
            <w:r w:rsidRPr="003D48D1">
              <w:rPr>
                <w:color w:val="auto"/>
              </w:rPr>
              <w:t>) flight, linking Australia with</w:t>
            </w:r>
            <w:r w:rsidR="2952B88D">
              <w:rPr>
                <w:color w:val="auto"/>
              </w:rPr>
              <w:t xml:space="preserve"> the Federates States of </w:t>
            </w:r>
            <w:proofErr w:type="spellStart"/>
            <w:r w:rsidR="2952B88D">
              <w:rPr>
                <w:color w:val="auto"/>
              </w:rPr>
              <w:t>Mirconesia</w:t>
            </w:r>
            <w:proofErr w:type="spellEnd"/>
            <w:r w:rsidR="2952B88D">
              <w:rPr>
                <w:color w:val="auto"/>
              </w:rPr>
              <w:t xml:space="preserve">, Kiribati, </w:t>
            </w:r>
            <w:proofErr w:type="gramStart"/>
            <w:r w:rsidRPr="003D48D1">
              <w:rPr>
                <w:color w:val="auto"/>
              </w:rPr>
              <w:t>Nauru</w:t>
            </w:r>
            <w:proofErr w:type="gramEnd"/>
            <w:r w:rsidR="2952B88D">
              <w:rPr>
                <w:color w:val="auto"/>
              </w:rPr>
              <w:t xml:space="preserve"> and the </w:t>
            </w:r>
            <w:r w:rsidRPr="003D48D1">
              <w:rPr>
                <w:color w:val="auto"/>
              </w:rPr>
              <w:t>Republic of Marshall Islands</w:t>
            </w:r>
            <w:r w:rsidR="2A653FBE" w:rsidRPr="003D48D1">
              <w:rPr>
                <w:color w:val="auto"/>
              </w:rPr>
              <w:t xml:space="preserve">. This </w:t>
            </w:r>
            <w:r w:rsidRPr="003D48D1">
              <w:rPr>
                <w:color w:val="auto"/>
              </w:rPr>
              <w:t>creat</w:t>
            </w:r>
            <w:r w:rsidR="2A653FBE" w:rsidRPr="003D48D1">
              <w:rPr>
                <w:color w:val="auto"/>
              </w:rPr>
              <w:t>ed</w:t>
            </w:r>
            <w:r w:rsidRPr="003D48D1">
              <w:rPr>
                <w:color w:val="auto"/>
              </w:rPr>
              <w:t xml:space="preserve"> market access opportunities and strengthen</w:t>
            </w:r>
            <w:r w:rsidR="2A653FBE" w:rsidRPr="003D48D1">
              <w:rPr>
                <w:color w:val="auto"/>
              </w:rPr>
              <w:t>ed</w:t>
            </w:r>
            <w:r w:rsidRPr="003D48D1">
              <w:rPr>
                <w:color w:val="auto"/>
              </w:rPr>
              <w:t xml:space="preserve"> supply chains in the North Pacific</w:t>
            </w:r>
            <w:r w:rsidR="2A653FBE" w:rsidRPr="003D48D1">
              <w:rPr>
                <w:color w:val="auto"/>
              </w:rPr>
              <w:t xml:space="preserve"> by </w:t>
            </w:r>
            <w:r w:rsidRPr="003D48D1">
              <w:rPr>
                <w:color w:val="auto"/>
              </w:rPr>
              <w:t>increas</w:t>
            </w:r>
            <w:r w:rsidR="5FE33208" w:rsidRPr="003D48D1">
              <w:rPr>
                <w:color w:val="auto"/>
              </w:rPr>
              <w:t>ing</w:t>
            </w:r>
            <w:r w:rsidRPr="003D48D1">
              <w:rPr>
                <w:color w:val="auto"/>
              </w:rPr>
              <w:t xml:space="preserve"> tourism and trade and connectivity for passengers to access services including education and </w:t>
            </w:r>
            <w:proofErr w:type="spellStart"/>
            <w:proofErr w:type="gramStart"/>
            <w:r w:rsidRPr="003D48D1">
              <w:rPr>
                <w:color w:val="auto"/>
              </w:rPr>
              <w:t>health.T</w:t>
            </w:r>
            <w:r w:rsidR="2E6B27BA" w:rsidRPr="003D48D1">
              <w:rPr>
                <w:color w:val="auto"/>
              </w:rPr>
              <w:t>hrough</w:t>
            </w:r>
            <w:proofErr w:type="spellEnd"/>
            <w:proofErr w:type="gramEnd"/>
            <w:r w:rsidR="2E6B27BA" w:rsidRPr="003D48D1">
              <w:rPr>
                <w:color w:val="auto"/>
              </w:rPr>
              <w:t xml:space="preserve"> our support, t</w:t>
            </w:r>
            <w:r w:rsidRPr="003D48D1">
              <w:rPr>
                <w:color w:val="auto"/>
              </w:rPr>
              <w:t xml:space="preserve">he </w:t>
            </w:r>
            <w:proofErr w:type="spellStart"/>
            <w:r w:rsidR="0FFD4A83" w:rsidRPr="003D48D1">
              <w:rPr>
                <w:color w:val="auto"/>
              </w:rPr>
              <w:t>Aus</w:t>
            </w:r>
            <w:proofErr w:type="spellEnd"/>
            <w:r w:rsidR="0FFD4A83" w:rsidRPr="003D48D1">
              <w:rPr>
                <w:color w:val="auto"/>
              </w:rPr>
              <w:t xml:space="preserve">-NPC </w:t>
            </w:r>
            <w:r w:rsidRPr="003D48D1">
              <w:rPr>
                <w:color w:val="auto"/>
              </w:rPr>
              <w:t xml:space="preserve">has transported over </w:t>
            </w:r>
            <w:r w:rsidR="0FFD4A83" w:rsidRPr="003D48D1">
              <w:rPr>
                <w:color w:val="auto"/>
              </w:rPr>
              <w:t xml:space="preserve">8,600 </w:t>
            </w:r>
            <w:r w:rsidRPr="003D48D1">
              <w:rPr>
                <w:color w:val="auto"/>
              </w:rPr>
              <w:t xml:space="preserve">passengers and </w:t>
            </w:r>
            <w:r w:rsidR="0FFD4A83" w:rsidRPr="003D48D1">
              <w:rPr>
                <w:color w:val="auto"/>
              </w:rPr>
              <w:t>145</w:t>
            </w:r>
            <w:r w:rsidRPr="003D48D1">
              <w:rPr>
                <w:color w:val="auto"/>
              </w:rPr>
              <w:t xml:space="preserve"> tonnes of cargo across all sectors. </w:t>
            </w:r>
          </w:p>
        </w:tc>
      </w:tr>
      <w:tr w:rsidR="003D48D1" w:rsidRPr="003D48D1" w14:paraId="51A15CF9" w14:textId="77777777" w:rsidTr="00896275">
        <w:trPr>
          <w:cantSplit/>
        </w:trPr>
        <w:tc>
          <w:tcPr>
            <w:tcW w:w="3686" w:type="dxa"/>
          </w:tcPr>
          <w:p w14:paraId="3C75C9F9" w14:textId="14A628E1" w:rsidR="0039094D" w:rsidRPr="003D48D1" w:rsidRDefault="0039094D" w:rsidP="001D3AAE">
            <w:pPr>
              <w:spacing w:after="120" w:line="240" w:lineRule="auto"/>
              <w:rPr>
                <w:color w:val="auto"/>
              </w:rPr>
            </w:pPr>
            <w:r w:rsidRPr="003D48D1">
              <w:rPr>
                <w:color w:val="auto"/>
              </w:rPr>
              <w:lastRenderedPageBreak/>
              <w:t>Countries Australia has supported in the last 12 months with policy and technical advice on stimulus measures and longer-term fiscal and economic recovery initiatives (including examples of assistance provided and results achieved) [</w:t>
            </w:r>
            <w:r w:rsidR="00A122A4">
              <w:rPr>
                <w:color w:val="auto"/>
              </w:rPr>
              <w:t>T</w:t>
            </w:r>
            <w:r w:rsidRPr="003D48D1">
              <w:rPr>
                <w:color w:val="auto"/>
              </w:rPr>
              <w:t xml:space="preserve">arget: fourteen] </w:t>
            </w:r>
          </w:p>
        </w:tc>
        <w:tc>
          <w:tcPr>
            <w:tcW w:w="6850" w:type="dxa"/>
          </w:tcPr>
          <w:p w14:paraId="68DD0089" w14:textId="675CA7E5" w:rsidR="009015AA" w:rsidRPr="003D48D1" w:rsidRDefault="00777BFE" w:rsidP="001D3AAE">
            <w:pPr>
              <w:spacing w:after="120" w:line="240" w:lineRule="auto"/>
              <w:rPr>
                <w:color w:val="auto"/>
              </w:rPr>
            </w:pPr>
            <w:r w:rsidRPr="003D48D1">
              <w:rPr>
                <w:color w:val="auto"/>
              </w:rPr>
              <w:t>Supported</w:t>
            </w:r>
            <w:r w:rsidR="00011C85" w:rsidRPr="003D48D1">
              <w:rPr>
                <w:color w:val="auto"/>
              </w:rPr>
              <w:t xml:space="preserve"> 17</w:t>
            </w:r>
            <w:r w:rsidR="00BA5C0C" w:rsidRPr="003D48D1">
              <w:rPr>
                <w:color w:val="auto"/>
              </w:rPr>
              <w:t xml:space="preserve"> countries: </w:t>
            </w:r>
            <w:r w:rsidR="00EF7C47" w:rsidRPr="003D48D1">
              <w:rPr>
                <w:color w:val="auto"/>
              </w:rPr>
              <w:t xml:space="preserve"> </w:t>
            </w:r>
          </w:p>
          <w:p w14:paraId="2FA454D2" w14:textId="23C94A4F" w:rsidR="008F5DD0" w:rsidRPr="003D48D1" w:rsidRDefault="299DD7F0" w:rsidP="008F5DD0">
            <w:pPr>
              <w:rPr>
                <w:color w:val="auto"/>
              </w:rPr>
            </w:pPr>
            <w:r w:rsidRPr="003D48D1">
              <w:rPr>
                <w:color w:val="auto"/>
              </w:rPr>
              <w:t>In 2022-23, the Fiscal and Budget Support Package</w:t>
            </w:r>
            <w:r w:rsidR="4090489A" w:rsidRPr="003D48D1">
              <w:rPr>
                <w:color w:val="auto"/>
              </w:rPr>
              <w:t xml:space="preserve"> provided $200.5</w:t>
            </w:r>
            <w:r w:rsidR="49080AA7" w:rsidRPr="003D48D1">
              <w:rPr>
                <w:color w:val="auto"/>
              </w:rPr>
              <w:t> </w:t>
            </w:r>
            <w:r w:rsidR="4090489A" w:rsidRPr="003D48D1">
              <w:rPr>
                <w:color w:val="auto"/>
              </w:rPr>
              <w:t xml:space="preserve">million in budget support to </w:t>
            </w:r>
            <w:r w:rsidRPr="003D48D1">
              <w:rPr>
                <w:color w:val="auto"/>
              </w:rPr>
              <w:t>reduce fiscal pressures on government budgets and enabl</w:t>
            </w:r>
            <w:r w:rsidR="49080AA7" w:rsidRPr="003D48D1">
              <w:rPr>
                <w:color w:val="auto"/>
              </w:rPr>
              <w:t>e</w:t>
            </w:r>
            <w:r w:rsidRPr="003D48D1">
              <w:rPr>
                <w:color w:val="auto"/>
              </w:rPr>
              <w:t xml:space="preserve"> </w:t>
            </w:r>
            <w:r w:rsidR="6515CDD8">
              <w:rPr>
                <w:color w:val="auto"/>
              </w:rPr>
              <w:t xml:space="preserve">ongoing </w:t>
            </w:r>
            <w:r w:rsidRPr="003D48D1">
              <w:rPr>
                <w:color w:val="auto"/>
              </w:rPr>
              <w:t xml:space="preserve">critical health and education services </w:t>
            </w:r>
            <w:r w:rsidR="6515CDD8">
              <w:rPr>
                <w:color w:val="auto"/>
              </w:rPr>
              <w:t>amidst the</w:t>
            </w:r>
            <w:r w:rsidRPr="003D48D1">
              <w:rPr>
                <w:color w:val="auto"/>
              </w:rPr>
              <w:t>COVID</w:t>
            </w:r>
            <w:r w:rsidR="00FB4BC5" w:rsidRPr="003D48D1">
              <w:rPr>
                <w:color w:val="auto"/>
              </w:rPr>
              <w:noBreakHyphen/>
            </w:r>
            <w:r w:rsidRPr="003D48D1">
              <w:rPr>
                <w:color w:val="auto"/>
              </w:rPr>
              <w:t>19 pandemic.</w:t>
            </w:r>
            <w:r w:rsidR="51D43073" w:rsidRPr="003D48D1">
              <w:rPr>
                <w:color w:val="auto"/>
              </w:rPr>
              <w:t xml:space="preserve"> </w:t>
            </w:r>
            <w:r w:rsidR="45928EAA" w:rsidRPr="003D48D1">
              <w:rPr>
                <w:color w:val="auto"/>
              </w:rPr>
              <w:t>This funding</w:t>
            </w:r>
            <w:r w:rsidR="0A3259D3">
              <w:rPr>
                <w:color w:val="auto"/>
              </w:rPr>
              <w:t xml:space="preserve"> </w:t>
            </w:r>
            <w:r w:rsidR="45928EAA" w:rsidRPr="003D48D1">
              <w:rPr>
                <w:color w:val="auto"/>
              </w:rPr>
              <w:t xml:space="preserve">contributed to Pacific countries experiencing no debt default in 2022, and no increase of the level of debt distress (as assessed by </w:t>
            </w:r>
            <w:r w:rsidR="5D6BB661">
              <w:rPr>
                <w:color w:val="auto"/>
              </w:rPr>
              <w:t>the International Monetary Fund</w:t>
            </w:r>
            <w:r w:rsidR="45928EAA" w:rsidRPr="003D48D1">
              <w:rPr>
                <w:color w:val="auto"/>
              </w:rPr>
              <w:t>) compared with 2021.</w:t>
            </w:r>
          </w:p>
          <w:p w14:paraId="0DD22350" w14:textId="58F26B26" w:rsidR="0039094D" w:rsidRPr="003D48D1" w:rsidRDefault="000A4436" w:rsidP="008F5DD0">
            <w:pPr>
              <w:rPr>
                <w:color w:val="auto"/>
              </w:rPr>
            </w:pPr>
            <w:r w:rsidRPr="003D48D1">
              <w:rPr>
                <w:color w:val="auto"/>
              </w:rPr>
              <w:t xml:space="preserve">In 2022-23, </w:t>
            </w:r>
            <w:r w:rsidR="00E70CA5" w:rsidRPr="003D48D1">
              <w:rPr>
                <w:color w:val="auto"/>
              </w:rPr>
              <w:t>Australia</w:t>
            </w:r>
            <w:r w:rsidR="00BF0E07" w:rsidRPr="003D48D1">
              <w:rPr>
                <w:color w:val="auto"/>
              </w:rPr>
              <w:t xml:space="preserve"> also f</w:t>
            </w:r>
            <w:r w:rsidR="00272849" w:rsidRPr="003D48D1">
              <w:rPr>
                <w:color w:val="auto"/>
              </w:rPr>
              <w:t xml:space="preserve">ostered payments and trade reform across the Pacific by supporting a Regional Trade Facilitation Strategy that provided a framework to support </w:t>
            </w:r>
            <w:r w:rsidR="0060711B">
              <w:rPr>
                <w:color w:val="auto"/>
              </w:rPr>
              <w:t>the World Trade organisation</w:t>
            </w:r>
            <w:r w:rsidR="00272849" w:rsidRPr="003D48D1">
              <w:rPr>
                <w:color w:val="auto"/>
              </w:rPr>
              <w:t xml:space="preserve"> Trade Facilitation Agreement alignment and Pacer Plus implementation.  </w:t>
            </w:r>
          </w:p>
        </w:tc>
      </w:tr>
      <w:tr w:rsidR="003D48D1" w:rsidRPr="003D48D1" w14:paraId="7C98E7D8" w14:textId="77777777" w:rsidTr="00896275">
        <w:trPr>
          <w:cantSplit/>
        </w:trPr>
        <w:tc>
          <w:tcPr>
            <w:tcW w:w="3686" w:type="dxa"/>
          </w:tcPr>
          <w:p w14:paraId="10CBD59F" w14:textId="4C97A475" w:rsidR="0039094D" w:rsidRPr="003D48D1" w:rsidRDefault="0039094D" w:rsidP="001D3AAE">
            <w:pPr>
              <w:spacing w:after="120" w:line="240" w:lineRule="auto"/>
              <w:rPr>
                <w:color w:val="auto"/>
              </w:rPr>
            </w:pPr>
            <w:r w:rsidRPr="003D48D1">
              <w:rPr>
                <w:color w:val="auto"/>
              </w:rPr>
              <w:t xml:space="preserve">Increased capacity and influence of women and girls to contribute to local, </w:t>
            </w:r>
            <w:proofErr w:type="gramStart"/>
            <w:r w:rsidRPr="003D48D1">
              <w:rPr>
                <w:color w:val="auto"/>
              </w:rPr>
              <w:t>national</w:t>
            </w:r>
            <w:proofErr w:type="gramEnd"/>
            <w:r w:rsidRPr="003D48D1">
              <w:rPr>
                <w:color w:val="auto"/>
              </w:rPr>
              <w:t xml:space="preserve"> and regional economic growth, stability and security </w:t>
            </w:r>
          </w:p>
        </w:tc>
        <w:tc>
          <w:tcPr>
            <w:tcW w:w="6850" w:type="dxa"/>
          </w:tcPr>
          <w:p w14:paraId="2F88F9EE" w14:textId="5BD3B073" w:rsidR="0039094D" w:rsidRPr="003D48D1" w:rsidRDefault="00F43F03" w:rsidP="001D3AAE">
            <w:pPr>
              <w:spacing w:after="120" w:line="240" w:lineRule="auto"/>
              <w:rPr>
                <w:color w:val="auto"/>
              </w:rPr>
            </w:pPr>
            <w:r w:rsidRPr="00F39C77">
              <w:rPr>
                <w:color w:val="auto"/>
              </w:rPr>
              <w:t xml:space="preserve">PWL </w:t>
            </w:r>
            <w:r w:rsidR="38515067" w:rsidRPr="00F39C77">
              <w:rPr>
                <w:color w:val="auto"/>
              </w:rPr>
              <w:t>assisted</w:t>
            </w:r>
            <w:r w:rsidR="0A4ADDA1" w:rsidRPr="00F39C77">
              <w:rPr>
                <w:color w:val="auto"/>
              </w:rPr>
              <w:t xml:space="preserve"> </w:t>
            </w:r>
            <w:r w:rsidR="6236E90B" w:rsidRPr="00F39C77">
              <w:rPr>
                <w:color w:val="auto"/>
              </w:rPr>
              <w:t>1</w:t>
            </w:r>
            <w:r w:rsidR="61CCEA91" w:rsidRPr="00F39C77">
              <w:rPr>
                <w:color w:val="auto"/>
              </w:rPr>
              <w:t>,</w:t>
            </w:r>
            <w:r w:rsidR="6236E90B" w:rsidRPr="00F39C77">
              <w:rPr>
                <w:color w:val="auto"/>
              </w:rPr>
              <w:t xml:space="preserve">437 </w:t>
            </w:r>
            <w:r w:rsidR="0A4ADDA1" w:rsidRPr="00F39C77">
              <w:rPr>
                <w:color w:val="auto"/>
              </w:rPr>
              <w:t>women to access financial literacy training and financial services. Australia supported partners to deliver 193 activities with a primary focus on women’s economic empowerment including finance and business-related trainings, market opportunities created for women to sell their products</w:t>
            </w:r>
            <w:r w:rsidR="46A6DE66" w:rsidRPr="00F39C77">
              <w:rPr>
                <w:color w:val="auto"/>
              </w:rPr>
              <w:t>,</w:t>
            </w:r>
            <w:r w:rsidR="0A4ADDA1" w:rsidRPr="00F39C77">
              <w:rPr>
                <w:color w:val="auto"/>
              </w:rPr>
              <w:t xml:space="preserve"> and women supported to access financial services. </w:t>
            </w:r>
          </w:p>
          <w:p w14:paraId="76CEF4F9" w14:textId="4BACDA14" w:rsidR="00B35A4C" w:rsidRPr="003D48D1" w:rsidRDefault="2AD9EDDE" w:rsidP="00F39C77">
            <w:pPr>
              <w:pStyle w:val="ListParagraph"/>
              <w:spacing w:after="120" w:line="240" w:lineRule="auto"/>
              <w:ind w:left="0"/>
              <w:rPr>
                <w:color w:val="auto"/>
              </w:rPr>
            </w:pPr>
            <w:r w:rsidRPr="00F39C77">
              <w:rPr>
                <w:color w:val="auto"/>
              </w:rPr>
              <w:t>We s</w:t>
            </w:r>
            <w:r w:rsidR="0A4ADDA1" w:rsidRPr="00F39C77">
              <w:rPr>
                <w:color w:val="auto"/>
              </w:rPr>
              <w:t xml:space="preserve">upported economic empowerment program workshops </w:t>
            </w:r>
            <w:r w:rsidR="0A5E7B51" w:rsidRPr="00F39C77">
              <w:rPr>
                <w:color w:val="auto"/>
              </w:rPr>
              <w:t xml:space="preserve">through UNDP </w:t>
            </w:r>
            <w:r w:rsidR="0A4ADDA1" w:rsidRPr="00F39C77">
              <w:rPr>
                <w:color w:val="auto"/>
              </w:rPr>
              <w:t>in Fiji, Solomon Islands and Vanuatu, with 2</w:t>
            </w:r>
            <w:r w:rsidR="09375FD9" w:rsidRPr="00F39C77">
              <w:rPr>
                <w:color w:val="auto"/>
              </w:rPr>
              <w:t>,</w:t>
            </w:r>
            <w:r w:rsidR="0A4ADDA1" w:rsidRPr="00F39C77">
              <w:rPr>
                <w:color w:val="auto"/>
              </w:rPr>
              <w:t>130</w:t>
            </w:r>
            <w:r w:rsidRPr="00F39C77">
              <w:rPr>
                <w:color w:val="auto"/>
              </w:rPr>
              <w:t> </w:t>
            </w:r>
            <w:r w:rsidR="0A4ADDA1" w:rsidRPr="00F39C77">
              <w:rPr>
                <w:color w:val="auto"/>
              </w:rPr>
              <w:t xml:space="preserve">women from rural and peri-urban and urban centres participating. This resulted in a marked increase in women participation in small and micro-enterprises in the three countries and upskilling on business and digital literacy such as mobile or internet banking. </w:t>
            </w:r>
          </w:p>
        </w:tc>
      </w:tr>
    </w:tbl>
    <w:p w14:paraId="2F13E6BA" w14:textId="77777777" w:rsidR="008A6BB7" w:rsidRPr="003D48D1" w:rsidRDefault="008A6BB7" w:rsidP="008B6727">
      <w:pPr>
        <w:pStyle w:val="Heading2"/>
        <w:sectPr w:rsidR="008A6BB7" w:rsidRPr="003D48D1" w:rsidSect="00BD4350">
          <w:headerReference w:type="default" r:id="rId8"/>
          <w:footerReference w:type="default" r:id="rId9"/>
          <w:headerReference w:type="first" r:id="rId10"/>
          <w:pgSz w:w="11906" w:h="16838" w:code="9"/>
          <w:pgMar w:top="1276" w:right="680" w:bottom="1134" w:left="680" w:header="567" w:footer="340" w:gutter="0"/>
          <w:cols w:space="397"/>
          <w:docGrid w:linePitch="360"/>
        </w:sectPr>
      </w:pPr>
    </w:p>
    <w:p w14:paraId="00BEAC3E" w14:textId="5FE6F2FD" w:rsidR="00765A95" w:rsidRPr="003D48D1" w:rsidRDefault="00765A95" w:rsidP="0080226D">
      <w:pPr>
        <w:pStyle w:val="Heading3"/>
      </w:pPr>
      <w:r w:rsidRPr="003D48D1">
        <w:lastRenderedPageBreak/>
        <w:t xml:space="preserve">Annex </w:t>
      </w:r>
      <w:r w:rsidR="00630005" w:rsidRPr="003D48D1">
        <w:t>1</w:t>
      </w:r>
      <w:r w:rsidRPr="003D48D1">
        <w:t>: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505"/>
        <w:gridCol w:w="869"/>
        <w:gridCol w:w="1418"/>
        <w:gridCol w:w="1134"/>
        <w:gridCol w:w="1701"/>
      </w:tblGrid>
      <w:tr w:rsidR="003D48D1" w:rsidRPr="003D48D1" w14:paraId="6166FEA4" w14:textId="77777777" w:rsidTr="3EC1C998">
        <w:trPr>
          <w:cnfStyle w:val="100000000000" w:firstRow="1" w:lastRow="0" w:firstColumn="0" w:lastColumn="0" w:oddVBand="0" w:evenVBand="0" w:oddHBand="0" w:evenHBand="0" w:firstRowFirstColumn="0" w:firstRowLastColumn="0" w:lastRowFirstColumn="0" w:lastRowLastColumn="0"/>
          <w:cantSplit/>
          <w:trHeight w:hRule="exact" w:val="340"/>
          <w:tblHeader/>
        </w:trPr>
        <w:tc>
          <w:tcPr>
            <w:cnfStyle w:val="001000000000" w:firstRow="0" w:lastRow="0" w:firstColumn="1" w:lastColumn="0" w:oddVBand="0" w:evenVBand="0" w:oddHBand="0" w:evenHBand="0" w:firstRowFirstColumn="0" w:firstRowLastColumn="0" w:lastRowFirstColumn="0" w:lastRowLastColumn="0"/>
            <w:tcW w:w="5505" w:type="dxa"/>
            <w:shd w:val="clear" w:color="auto" w:fill="A2DCD1" w:themeFill="accent1" w:themeFillTint="99"/>
            <w:noWrap/>
            <w:vAlign w:val="center"/>
            <w:hideMark/>
          </w:tcPr>
          <w:p w14:paraId="1E9E92F6" w14:textId="77777777" w:rsidR="00765A95" w:rsidRPr="003D48D1" w:rsidRDefault="00765A95" w:rsidP="000254D9">
            <w:pPr>
              <w:suppressAutoHyphens w:val="0"/>
              <w:spacing w:before="0" w:after="0" w:line="240" w:lineRule="auto"/>
              <w:jc w:val="center"/>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val="en-AU" w:eastAsia="en-AU"/>
              </w:rPr>
              <w:t>Investment Details</w:t>
            </w:r>
          </w:p>
          <w:p w14:paraId="2DE27BF3" w14:textId="7758A428" w:rsidR="00BC0587" w:rsidRPr="003D48D1" w:rsidRDefault="00BC0587" w:rsidP="000254D9">
            <w:pPr>
              <w:suppressAutoHyphens w:val="0"/>
              <w:spacing w:before="0" w:after="0" w:line="240" w:lineRule="auto"/>
              <w:jc w:val="center"/>
              <w:rPr>
                <w:rFonts w:asciiTheme="minorHAnsi" w:eastAsia="Times New Roman" w:hAnsiTheme="minorHAnsi" w:cstheme="minorHAnsi"/>
                <w:b/>
                <w:bCs/>
                <w:color w:val="auto"/>
                <w:lang w:val="en-AU" w:eastAsia="en-AU"/>
              </w:rPr>
            </w:pPr>
          </w:p>
        </w:tc>
        <w:tc>
          <w:tcPr>
            <w:tcW w:w="869" w:type="dxa"/>
            <w:shd w:val="clear" w:color="auto" w:fill="A2DCD1" w:themeFill="accent1" w:themeFillTint="99"/>
            <w:noWrap/>
            <w:vAlign w:val="center"/>
            <w:hideMark/>
          </w:tcPr>
          <w:p w14:paraId="64B9E04F" w14:textId="77777777" w:rsidR="00765A95" w:rsidRPr="003D48D1" w:rsidRDefault="00765A95" w:rsidP="000254D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val="en-AU" w:eastAsia="en-AU"/>
              </w:rPr>
              <w:t>Year</w:t>
            </w:r>
          </w:p>
        </w:tc>
        <w:tc>
          <w:tcPr>
            <w:tcW w:w="1418" w:type="dxa"/>
            <w:shd w:val="clear" w:color="auto" w:fill="A2DCD1" w:themeFill="accent1" w:themeFillTint="99"/>
            <w:noWrap/>
            <w:vAlign w:val="center"/>
            <w:hideMark/>
          </w:tcPr>
          <w:p w14:paraId="49DF2388" w14:textId="77777777" w:rsidR="00765A95" w:rsidRPr="003D48D1" w:rsidRDefault="00765A95" w:rsidP="000254D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val="en-AU" w:eastAsia="en-AU"/>
              </w:rPr>
              <w:t>Effectiveness</w:t>
            </w:r>
          </w:p>
        </w:tc>
        <w:tc>
          <w:tcPr>
            <w:tcW w:w="1134" w:type="dxa"/>
            <w:shd w:val="clear" w:color="auto" w:fill="A2DCD1" w:themeFill="accent1" w:themeFillTint="99"/>
            <w:noWrap/>
            <w:vAlign w:val="center"/>
            <w:hideMark/>
          </w:tcPr>
          <w:p w14:paraId="1062FF10" w14:textId="77777777" w:rsidR="00765A95" w:rsidRPr="003D48D1" w:rsidRDefault="00765A95" w:rsidP="000254D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val="en-AU" w:eastAsia="en-AU"/>
              </w:rPr>
              <w:t>Efficiency</w:t>
            </w:r>
          </w:p>
        </w:tc>
        <w:tc>
          <w:tcPr>
            <w:tcW w:w="1701" w:type="dxa"/>
            <w:shd w:val="clear" w:color="auto" w:fill="A2DCD1" w:themeFill="accent1" w:themeFillTint="99"/>
            <w:noWrap/>
            <w:vAlign w:val="center"/>
            <w:hideMark/>
          </w:tcPr>
          <w:p w14:paraId="40DFB672" w14:textId="77777777" w:rsidR="00765A95" w:rsidRPr="003D48D1" w:rsidRDefault="00765A95" w:rsidP="000254D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val="en-AU" w:eastAsia="en-AU"/>
              </w:rPr>
              <w:t>Gender Equality</w:t>
            </w:r>
          </w:p>
        </w:tc>
      </w:tr>
      <w:tr w:rsidR="003D48D1" w:rsidRPr="003D48D1" w14:paraId="5224FA10"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noWrap/>
            <w:vAlign w:val="center"/>
            <w:hideMark/>
          </w:tcPr>
          <w:p w14:paraId="330D8619" w14:textId="2A2376D0" w:rsidR="670D0F15" w:rsidRPr="003D48D1" w:rsidRDefault="4CB5BAA3" w:rsidP="000254D9">
            <w:pPr>
              <w:spacing w:before="0" w:after="0" w:line="240" w:lineRule="auto"/>
              <w:rPr>
                <w:rFonts w:asciiTheme="minorHAnsi" w:eastAsia="Times New Roman" w:hAnsiTheme="minorHAnsi"/>
                <w:b/>
                <w:bCs/>
                <w:color w:val="auto"/>
                <w:lang w:val="en-AU" w:eastAsia="en-AU"/>
              </w:rPr>
            </w:pPr>
            <w:r w:rsidRPr="003D48D1">
              <w:rPr>
                <w:rFonts w:asciiTheme="minorHAnsi" w:eastAsia="Times New Roman" w:hAnsiTheme="minorHAnsi"/>
                <w:b/>
                <w:bCs/>
                <w:color w:val="auto"/>
                <w:lang w:val="en-AU" w:eastAsia="en-AU"/>
              </w:rPr>
              <w:t>AIFFP Program Implementation Support</w:t>
            </w:r>
          </w:p>
        </w:tc>
        <w:tc>
          <w:tcPr>
            <w:tcW w:w="869" w:type="dxa"/>
            <w:tcBorders>
              <w:left w:val="single" w:sz="4" w:space="0" w:color="65C5B4" w:themeColor="accent1"/>
            </w:tcBorders>
            <w:shd w:val="clear" w:color="auto" w:fill="F2F2F2" w:themeFill="background1" w:themeFillShade="F2"/>
            <w:noWrap/>
            <w:vAlign w:val="center"/>
            <w:hideMark/>
          </w:tcPr>
          <w:p w14:paraId="73907956" w14:textId="2B576089"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2023</w:t>
            </w:r>
          </w:p>
        </w:tc>
        <w:tc>
          <w:tcPr>
            <w:tcW w:w="1418" w:type="dxa"/>
            <w:shd w:val="clear" w:color="auto" w:fill="F2F2F2" w:themeFill="background1" w:themeFillShade="F2"/>
            <w:noWrap/>
            <w:vAlign w:val="center"/>
            <w:hideMark/>
          </w:tcPr>
          <w:p w14:paraId="360A466B" w14:textId="372E139B"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134" w:type="dxa"/>
            <w:shd w:val="clear" w:color="auto" w:fill="F2F2F2" w:themeFill="background1" w:themeFillShade="F2"/>
            <w:noWrap/>
            <w:vAlign w:val="center"/>
            <w:hideMark/>
          </w:tcPr>
          <w:p w14:paraId="314EA5AB" w14:textId="0B87F106"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701" w:type="dxa"/>
            <w:shd w:val="clear" w:color="auto" w:fill="F2F2F2" w:themeFill="background1" w:themeFillShade="F2"/>
            <w:noWrap/>
            <w:vAlign w:val="center"/>
            <w:hideMark/>
          </w:tcPr>
          <w:p w14:paraId="617FFE1B" w14:textId="20F86A2C"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r>
      <w:tr w:rsidR="003D48D1" w:rsidRPr="003D48D1" w14:paraId="79823168"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62F53971" w14:textId="07F69108" w:rsidR="4CB5BAA3" w:rsidRPr="003D48D1" w:rsidRDefault="4CB5BAA3" w:rsidP="00F159EE">
            <w:pPr>
              <w:spacing w:before="0" w:after="0" w:line="240" w:lineRule="auto"/>
              <w:rPr>
                <w:rFonts w:asciiTheme="minorHAnsi" w:hAnsiTheme="minorHAnsi"/>
                <w:color w:val="auto"/>
              </w:rPr>
            </w:pPr>
            <w:r w:rsidRPr="003D48D1">
              <w:rPr>
                <w:rFonts w:asciiTheme="minorHAnsi" w:hAnsiTheme="minorHAnsi"/>
                <w:color w:val="auto"/>
              </w:rPr>
              <w:t>Investment duration: 2022-26; Budget: $30.5m</w:t>
            </w:r>
          </w:p>
        </w:tc>
        <w:tc>
          <w:tcPr>
            <w:tcW w:w="869" w:type="dxa"/>
            <w:tcBorders>
              <w:left w:val="single" w:sz="4" w:space="0" w:color="65C5B4" w:themeColor="accent1"/>
            </w:tcBorders>
            <w:shd w:val="clear" w:color="auto" w:fill="F2F2F2" w:themeFill="background1" w:themeFillShade="F2"/>
            <w:noWrap/>
            <w:vAlign w:val="center"/>
            <w:hideMark/>
          </w:tcPr>
          <w:p w14:paraId="349C1708" w14:textId="3664D5FF" w:rsidR="4CB5BAA3" w:rsidRPr="003D48D1" w:rsidRDefault="4CB5BAA3"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2022</w:t>
            </w:r>
          </w:p>
        </w:tc>
        <w:tc>
          <w:tcPr>
            <w:tcW w:w="1418" w:type="dxa"/>
            <w:shd w:val="clear" w:color="auto" w:fill="F2F2F2" w:themeFill="background1" w:themeFillShade="F2"/>
            <w:noWrap/>
            <w:vAlign w:val="center"/>
            <w:hideMark/>
          </w:tcPr>
          <w:p w14:paraId="6290AE2C" w14:textId="449331FD" w:rsidR="4CB5BAA3" w:rsidRPr="003D48D1" w:rsidRDefault="001D3AAE"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F2F2F2" w:themeFill="background1" w:themeFillShade="F2"/>
            <w:noWrap/>
            <w:vAlign w:val="center"/>
            <w:hideMark/>
          </w:tcPr>
          <w:p w14:paraId="7FC189F1" w14:textId="01222468" w:rsidR="4CB5BAA3" w:rsidRPr="003D48D1" w:rsidRDefault="001D3AAE"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F2F2F2" w:themeFill="background1" w:themeFillShade="F2"/>
            <w:noWrap/>
            <w:vAlign w:val="center"/>
            <w:hideMark/>
          </w:tcPr>
          <w:p w14:paraId="50CE3AE3" w14:textId="6D6FAFDC" w:rsidR="4CB5BAA3" w:rsidRPr="003D48D1" w:rsidRDefault="001D3AAE"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r>
      <w:tr w:rsidR="003D48D1" w:rsidRPr="003D48D1" w14:paraId="3B94A2AA"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single" w:sz="4" w:space="0" w:color="65C5B4" w:themeColor="accent1"/>
              <w:bottom w:val="nil"/>
            </w:tcBorders>
            <w:shd w:val="clear" w:color="auto" w:fill="E0F3EF" w:themeFill="accent1" w:themeFillTint="33"/>
            <w:noWrap/>
            <w:vAlign w:val="center"/>
            <w:hideMark/>
          </w:tcPr>
          <w:p w14:paraId="75CBFB9B" w14:textId="2A5E1584" w:rsidR="670D0F15" w:rsidRPr="003D48D1" w:rsidRDefault="1B8DF160" w:rsidP="7719E89B">
            <w:pPr>
              <w:spacing w:before="0" w:after="0" w:line="240" w:lineRule="auto"/>
              <w:rPr>
                <w:rFonts w:asciiTheme="minorHAnsi" w:hAnsiTheme="minorHAnsi"/>
                <w:b/>
                <w:bCs/>
                <w:color w:val="auto"/>
              </w:rPr>
            </w:pPr>
            <w:r w:rsidRPr="003D48D1">
              <w:rPr>
                <w:rFonts w:asciiTheme="minorHAnsi" w:hAnsiTheme="minorHAnsi"/>
                <w:b/>
                <w:bCs/>
                <w:color w:val="auto"/>
              </w:rPr>
              <w:t xml:space="preserve">AIFFP: </w:t>
            </w:r>
            <w:r w:rsidR="13BFA334" w:rsidRPr="003D48D1">
              <w:rPr>
                <w:rFonts w:asciiTheme="minorHAnsi" w:hAnsiTheme="minorHAnsi"/>
                <w:b/>
                <w:bCs/>
                <w:color w:val="auto"/>
              </w:rPr>
              <w:t>Connect PNG Roads - PNG – Transport</w:t>
            </w:r>
            <w:r w:rsidR="7A05EFE1" w:rsidRPr="003D48D1">
              <w:rPr>
                <w:rFonts w:asciiTheme="minorHAnsi" w:hAnsiTheme="minorHAnsi"/>
                <w:b/>
                <w:bCs/>
                <w:color w:val="auto"/>
              </w:rPr>
              <w:t xml:space="preserve"> </w:t>
            </w:r>
          </w:p>
        </w:tc>
        <w:tc>
          <w:tcPr>
            <w:tcW w:w="869" w:type="dxa"/>
            <w:noWrap/>
            <w:vAlign w:val="center"/>
            <w:hideMark/>
          </w:tcPr>
          <w:p w14:paraId="55B5E478" w14:textId="380E3CA8"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2023</w:t>
            </w:r>
          </w:p>
        </w:tc>
        <w:tc>
          <w:tcPr>
            <w:tcW w:w="1418" w:type="dxa"/>
            <w:noWrap/>
            <w:vAlign w:val="center"/>
            <w:hideMark/>
          </w:tcPr>
          <w:p w14:paraId="301DF2D4" w14:textId="32823A58"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134" w:type="dxa"/>
            <w:noWrap/>
            <w:vAlign w:val="center"/>
            <w:hideMark/>
          </w:tcPr>
          <w:p w14:paraId="58B88478" w14:textId="0272AB09"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701" w:type="dxa"/>
            <w:noWrap/>
            <w:vAlign w:val="center"/>
            <w:hideMark/>
          </w:tcPr>
          <w:p w14:paraId="59AAC26E" w14:textId="54B46451"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r>
      <w:tr w:rsidR="003D48D1" w:rsidRPr="003D48D1" w14:paraId="562C6D4D"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noWrap/>
            <w:vAlign w:val="center"/>
            <w:hideMark/>
          </w:tcPr>
          <w:p w14:paraId="466F22EF" w14:textId="15C4CC55" w:rsidR="4CB5BAA3" w:rsidRPr="003D48D1" w:rsidRDefault="4CB5BAA3" w:rsidP="00F159EE">
            <w:pPr>
              <w:spacing w:before="0" w:after="0" w:line="240" w:lineRule="auto"/>
              <w:rPr>
                <w:rFonts w:asciiTheme="minorHAnsi" w:hAnsiTheme="minorHAnsi"/>
                <w:color w:val="auto"/>
              </w:rPr>
            </w:pPr>
            <w:r w:rsidRPr="003D48D1">
              <w:rPr>
                <w:rFonts w:asciiTheme="minorHAnsi" w:hAnsiTheme="minorHAnsi"/>
                <w:color w:val="auto"/>
              </w:rPr>
              <w:t>Investment duration: 2020-28; Budget: $23.2m</w:t>
            </w:r>
          </w:p>
        </w:tc>
        <w:tc>
          <w:tcPr>
            <w:tcW w:w="869" w:type="dxa"/>
            <w:shd w:val="clear" w:color="auto" w:fill="E0F3EF" w:themeFill="accent1" w:themeFillTint="33"/>
            <w:noWrap/>
            <w:vAlign w:val="center"/>
            <w:hideMark/>
          </w:tcPr>
          <w:p w14:paraId="71AA8F43" w14:textId="5B2B5043" w:rsidR="4CB5BAA3" w:rsidRPr="003D48D1" w:rsidRDefault="4CB5BAA3"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2022</w:t>
            </w:r>
          </w:p>
        </w:tc>
        <w:tc>
          <w:tcPr>
            <w:tcW w:w="1418" w:type="dxa"/>
            <w:shd w:val="clear" w:color="auto" w:fill="E0F3EF" w:themeFill="accent1" w:themeFillTint="33"/>
            <w:noWrap/>
            <w:vAlign w:val="center"/>
            <w:hideMark/>
          </w:tcPr>
          <w:p w14:paraId="4FA02165" w14:textId="2156799F" w:rsidR="4CB5BAA3"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E0F3EF" w:themeFill="accent1" w:themeFillTint="33"/>
            <w:noWrap/>
            <w:vAlign w:val="center"/>
            <w:hideMark/>
          </w:tcPr>
          <w:p w14:paraId="2E88B94E" w14:textId="328D1492" w:rsidR="4CB5BAA3"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E0F3EF" w:themeFill="accent1" w:themeFillTint="33"/>
            <w:noWrap/>
            <w:vAlign w:val="center"/>
            <w:hideMark/>
          </w:tcPr>
          <w:p w14:paraId="00CAE9C9" w14:textId="5F6FF7C2" w:rsidR="4CB5BAA3"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r>
      <w:tr w:rsidR="003D48D1" w:rsidRPr="003D48D1" w14:paraId="27B91706"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noWrap/>
            <w:vAlign w:val="center"/>
            <w:hideMark/>
          </w:tcPr>
          <w:p w14:paraId="34ED8DB2" w14:textId="1A895BDE" w:rsidR="08E7579E" w:rsidRPr="003D48D1" w:rsidRDefault="1B8DF160" w:rsidP="7719E89B">
            <w:pPr>
              <w:spacing w:before="0" w:after="0" w:line="240" w:lineRule="auto"/>
              <w:rPr>
                <w:rFonts w:asciiTheme="minorHAnsi" w:hAnsiTheme="minorHAnsi"/>
                <w:b/>
                <w:bCs/>
                <w:color w:val="auto"/>
              </w:rPr>
            </w:pPr>
            <w:r w:rsidRPr="003D48D1">
              <w:rPr>
                <w:rFonts w:asciiTheme="minorHAnsi" w:hAnsiTheme="minorHAnsi"/>
                <w:b/>
                <w:bCs/>
                <w:color w:val="auto"/>
              </w:rPr>
              <w:t xml:space="preserve">AIFFP: </w:t>
            </w:r>
            <w:r w:rsidR="13BFA334" w:rsidRPr="003D48D1">
              <w:rPr>
                <w:rFonts w:asciiTheme="minorHAnsi" w:hAnsiTheme="minorHAnsi"/>
                <w:b/>
                <w:bCs/>
                <w:color w:val="auto"/>
              </w:rPr>
              <w:t xml:space="preserve">Fiji Transport Infrastructure Restoration </w:t>
            </w:r>
          </w:p>
        </w:tc>
        <w:tc>
          <w:tcPr>
            <w:tcW w:w="869" w:type="dxa"/>
            <w:shd w:val="clear" w:color="auto" w:fill="F2F2F2" w:themeFill="background1" w:themeFillShade="F2"/>
            <w:noWrap/>
            <w:vAlign w:val="center"/>
            <w:hideMark/>
          </w:tcPr>
          <w:p w14:paraId="44ACB1CF" w14:textId="79361843" w:rsidR="08E7579E"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2023</w:t>
            </w:r>
          </w:p>
        </w:tc>
        <w:tc>
          <w:tcPr>
            <w:tcW w:w="1418" w:type="dxa"/>
            <w:shd w:val="clear" w:color="auto" w:fill="F2F2F2" w:themeFill="background1" w:themeFillShade="F2"/>
            <w:noWrap/>
            <w:vAlign w:val="center"/>
            <w:hideMark/>
          </w:tcPr>
          <w:p w14:paraId="2A4C56F0" w14:textId="60E7B72A" w:rsidR="08E7579E"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134" w:type="dxa"/>
            <w:shd w:val="clear" w:color="auto" w:fill="F2F2F2" w:themeFill="background1" w:themeFillShade="F2"/>
            <w:noWrap/>
            <w:vAlign w:val="center"/>
            <w:hideMark/>
          </w:tcPr>
          <w:p w14:paraId="3DE9DC13" w14:textId="49A2ED46" w:rsidR="08E7579E"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701" w:type="dxa"/>
            <w:shd w:val="clear" w:color="auto" w:fill="F2F2F2" w:themeFill="background1" w:themeFillShade="F2"/>
            <w:noWrap/>
            <w:vAlign w:val="center"/>
            <w:hideMark/>
          </w:tcPr>
          <w:p w14:paraId="7D23172E" w14:textId="477560B5" w:rsidR="08E7579E"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r>
      <w:tr w:rsidR="003D48D1" w:rsidRPr="003D48D1" w14:paraId="7FC60808"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hideMark/>
          </w:tcPr>
          <w:p w14:paraId="7D91FC9B" w14:textId="60F8584E" w:rsidR="36100777" w:rsidRPr="003D48D1" w:rsidRDefault="4CB5BAA3" w:rsidP="00F159EE">
            <w:pPr>
              <w:spacing w:before="0" w:after="0" w:line="240" w:lineRule="auto"/>
              <w:rPr>
                <w:rFonts w:asciiTheme="minorHAnsi" w:hAnsiTheme="minorHAnsi"/>
                <w:color w:val="auto"/>
              </w:rPr>
            </w:pPr>
            <w:r w:rsidRPr="003D48D1">
              <w:rPr>
                <w:rFonts w:asciiTheme="minorHAnsi" w:hAnsiTheme="minorHAnsi"/>
                <w:color w:val="auto"/>
              </w:rPr>
              <w:t>Investment duration: 2021-25; Budget: $15.6m</w:t>
            </w:r>
          </w:p>
        </w:tc>
        <w:tc>
          <w:tcPr>
            <w:tcW w:w="869" w:type="dxa"/>
            <w:shd w:val="clear" w:color="auto" w:fill="F2F2F2" w:themeFill="background1" w:themeFillShade="F2"/>
            <w:hideMark/>
          </w:tcPr>
          <w:p w14:paraId="3318B156" w14:textId="35A543C9" w:rsidR="36100777" w:rsidRPr="003D48D1" w:rsidRDefault="4CB5BAA3"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2022</w:t>
            </w:r>
          </w:p>
        </w:tc>
        <w:tc>
          <w:tcPr>
            <w:tcW w:w="1418" w:type="dxa"/>
            <w:shd w:val="clear" w:color="auto" w:fill="F2F2F2" w:themeFill="background1" w:themeFillShade="F2"/>
            <w:noWrap/>
            <w:vAlign w:val="center"/>
            <w:hideMark/>
          </w:tcPr>
          <w:p w14:paraId="432D8E33" w14:textId="16853EBC" w:rsidR="36100777"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F2F2F2" w:themeFill="background1" w:themeFillShade="F2"/>
            <w:noWrap/>
            <w:vAlign w:val="center"/>
            <w:hideMark/>
          </w:tcPr>
          <w:p w14:paraId="0752685D" w14:textId="5B139C7F" w:rsidR="36100777"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F2F2F2" w:themeFill="background1" w:themeFillShade="F2"/>
            <w:noWrap/>
            <w:vAlign w:val="center"/>
            <w:hideMark/>
          </w:tcPr>
          <w:p w14:paraId="354C97B7" w14:textId="1173C4DC" w:rsidR="36100777"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r>
      <w:tr w:rsidR="003D48D1" w:rsidRPr="003D48D1" w14:paraId="055F5717"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hideMark/>
          </w:tcPr>
          <w:p w14:paraId="57988AB5" w14:textId="32B83BB5" w:rsidR="755292B2" w:rsidRPr="003D48D1" w:rsidRDefault="1B8DF160" w:rsidP="7719E89B">
            <w:pPr>
              <w:spacing w:before="0" w:after="0" w:line="240" w:lineRule="auto"/>
              <w:rPr>
                <w:rFonts w:asciiTheme="minorHAnsi" w:hAnsiTheme="minorHAnsi"/>
                <w:b/>
                <w:bCs/>
                <w:color w:val="auto"/>
              </w:rPr>
            </w:pPr>
            <w:r w:rsidRPr="003D48D1">
              <w:rPr>
                <w:rFonts w:asciiTheme="minorHAnsi" w:hAnsiTheme="minorHAnsi"/>
                <w:b/>
                <w:bCs/>
                <w:color w:val="auto"/>
              </w:rPr>
              <w:t xml:space="preserve">AIFFP: </w:t>
            </w:r>
            <w:r w:rsidR="13BFA334" w:rsidRPr="003D48D1">
              <w:rPr>
                <w:rFonts w:asciiTheme="minorHAnsi" w:hAnsiTheme="minorHAnsi"/>
                <w:b/>
                <w:bCs/>
                <w:color w:val="auto"/>
              </w:rPr>
              <w:t>Papua New Guinea Ports Project</w:t>
            </w:r>
            <w:r w:rsidR="7A05EFE1" w:rsidRPr="003D48D1">
              <w:rPr>
                <w:rFonts w:asciiTheme="minorHAnsi" w:hAnsiTheme="minorHAnsi"/>
                <w:b/>
                <w:bCs/>
                <w:color w:val="auto"/>
              </w:rPr>
              <w:t xml:space="preserve"> </w:t>
            </w:r>
          </w:p>
        </w:tc>
        <w:tc>
          <w:tcPr>
            <w:tcW w:w="869" w:type="dxa"/>
            <w:hideMark/>
          </w:tcPr>
          <w:p w14:paraId="33C899AF" w14:textId="6770D430"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2023</w:t>
            </w:r>
          </w:p>
        </w:tc>
        <w:tc>
          <w:tcPr>
            <w:tcW w:w="1418" w:type="dxa"/>
            <w:noWrap/>
            <w:vAlign w:val="center"/>
            <w:hideMark/>
          </w:tcPr>
          <w:p w14:paraId="2D90F873" w14:textId="30D5B4B6" w:rsidR="7097B67A" w:rsidRPr="003D48D1" w:rsidRDefault="7097B67A"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134" w:type="dxa"/>
            <w:noWrap/>
            <w:vAlign w:val="center"/>
            <w:hideMark/>
          </w:tcPr>
          <w:p w14:paraId="06A0D568" w14:textId="6D4844BE" w:rsidR="7097B67A" w:rsidRPr="003D48D1" w:rsidRDefault="7097B67A"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701" w:type="dxa"/>
            <w:noWrap/>
            <w:vAlign w:val="center"/>
            <w:hideMark/>
          </w:tcPr>
          <w:p w14:paraId="6A723BBA" w14:textId="2F8CE9C2" w:rsidR="7097B67A" w:rsidRPr="003D48D1" w:rsidRDefault="7097B67A"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r>
      <w:tr w:rsidR="003D48D1" w:rsidRPr="003D48D1" w14:paraId="0EEFBB89"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hideMark/>
          </w:tcPr>
          <w:p w14:paraId="08565A54" w14:textId="3958A42A" w:rsidR="7097B67A" w:rsidRPr="003D48D1" w:rsidRDefault="7097B67A" w:rsidP="00F159EE">
            <w:pPr>
              <w:spacing w:before="0" w:after="0" w:line="240" w:lineRule="auto"/>
              <w:rPr>
                <w:rFonts w:asciiTheme="minorHAnsi" w:hAnsiTheme="minorHAnsi"/>
                <w:color w:val="auto"/>
              </w:rPr>
            </w:pPr>
            <w:r w:rsidRPr="003D48D1">
              <w:rPr>
                <w:rFonts w:asciiTheme="minorHAnsi" w:hAnsiTheme="minorHAnsi"/>
                <w:color w:val="auto"/>
              </w:rPr>
              <w:t>Investment duration: 2021-28; Budget: $111.4m</w:t>
            </w:r>
          </w:p>
        </w:tc>
        <w:tc>
          <w:tcPr>
            <w:tcW w:w="869" w:type="dxa"/>
            <w:shd w:val="clear" w:color="auto" w:fill="E0F3EF" w:themeFill="accent1" w:themeFillTint="33"/>
            <w:hideMark/>
          </w:tcPr>
          <w:p w14:paraId="049E95FB" w14:textId="3B3A39F0" w:rsidR="7097B67A" w:rsidRPr="003D48D1" w:rsidRDefault="7097B67A"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2022</w:t>
            </w:r>
          </w:p>
        </w:tc>
        <w:tc>
          <w:tcPr>
            <w:tcW w:w="1418" w:type="dxa"/>
            <w:shd w:val="clear" w:color="auto" w:fill="E0F3EF" w:themeFill="accent1" w:themeFillTint="33"/>
            <w:noWrap/>
            <w:vAlign w:val="center"/>
            <w:hideMark/>
          </w:tcPr>
          <w:p w14:paraId="593468E5" w14:textId="286C2C36" w:rsidR="7097B67A"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E0F3EF" w:themeFill="accent1" w:themeFillTint="33"/>
            <w:noWrap/>
            <w:vAlign w:val="center"/>
            <w:hideMark/>
          </w:tcPr>
          <w:p w14:paraId="58E83EEF" w14:textId="7B0731E1" w:rsidR="7097B67A"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E0F3EF" w:themeFill="accent1" w:themeFillTint="33"/>
            <w:noWrap/>
            <w:vAlign w:val="center"/>
            <w:hideMark/>
          </w:tcPr>
          <w:p w14:paraId="1266498D" w14:textId="60A768FC" w:rsidR="7097B67A"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r>
      <w:tr w:rsidR="003D48D1" w:rsidRPr="003D48D1" w14:paraId="7DC70C2E"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hideMark/>
          </w:tcPr>
          <w:p w14:paraId="27D662E9" w14:textId="18D5FF26" w:rsidR="7097B67A" w:rsidRPr="003D48D1" w:rsidRDefault="1B8DF160" w:rsidP="7719E89B">
            <w:pPr>
              <w:spacing w:before="0" w:after="0" w:line="240" w:lineRule="auto"/>
              <w:rPr>
                <w:rFonts w:asciiTheme="minorHAnsi" w:hAnsiTheme="minorHAnsi"/>
                <w:b/>
                <w:bCs/>
                <w:color w:val="auto"/>
              </w:rPr>
            </w:pPr>
            <w:r w:rsidRPr="003D48D1">
              <w:rPr>
                <w:rFonts w:asciiTheme="minorHAnsi" w:hAnsiTheme="minorHAnsi"/>
                <w:b/>
                <w:bCs/>
                <w:color w:val="auto"/>
              </w:rPr>
              <w:t xml:space="preserve">AIFFP: </w:t>
            </w:r>
            <w:r w:rsidR="19365925" w:rsidRPr="003D48D1">
              <w:rPr>
                <w:rFonts w:asciiTheme="minorHAnsi" w:hAnsiTheme="minorHAnsi"/>
                <w:b/>
                <w:bCs/>
                <w:color w:val="auto"/>
              </w:rPr>
              <w:t>Tina River Transmission - Solomon Islands – Energy</w:t>
            </w:r>
            <w:r w:rsidR="7A05EFE1" w:rsidRPr="003D48D1">
              <w:rPr>
                <w:rFonts w:asciiTheme="minorHAnsi" w:hAnsiTheme="minorHAnsi"/>
                <w:b/>
                <w:bCs/>
                <w:color w:val="auto"/>
              </w:rPr>
              <w:t xml:space="preserve"> </w:t>
            </w:r>
          </w:p>
        </w:tc>
        <w:tc>
          <w:tcPr>
            <w:tcW w:w="869" w:type="dxa"/>
            <w:shd w:val="clear" w:color="auto" w:fill="F2F2F2" w:themeFill="background1" w:themeFillShade="F2"/>
            <w:hideMark/>
          </w:tcPr>
          <w:p w14:paraId="17343BBD" w14:textId="3CF80314" w:rsidR="7097B67A" w:rsidRPr="003D48D1" w:rsidRDefault="7097B67A"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2023</w:t>
            </w:r>
          </w:p>
        </w:tc>
        <w:tc>
          <w:tcPr>
            <w:tcW w:w="1418" w:type="dxa"/>
            <w:shd w:val="clear" w:color="auto" w:fill="F2F2F2" w:themeFill="background1" w:themeFillShade="F2"/>
            <w:noWrap/>
            <w:vAlign w:val="center"/>
            <w:hideMark/>
          </w:tcPr>
          <w:p w14:paraId="5447B9C7" w14:textId="30D5B4B6" w:rsidR="524AA438" w:rsidRPr="003D48D1" w:rsidRDefault="524AA438"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134" w:type="dxa"/>
            <w:shd w:val="clear" w:color="auto" w:fill="F2F2F2" w:themeFill="background1" w:themeFillShade="F2"/>
            <w:noWrap/>
            <w:vAlign w:val="center"/>
            <w:hideMark/>
          </w:tcPr>
          <w:p w14:paraId="159705B5" w14:textId="6D4844BE" w:rsidR="524AA438" w:rsidRPr="003D48D1" w:rsidRDefault="524AA438"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701" w:type="dxa"/>
            <w:shd w:val="clear" w:color="auto" w:fill="F2F2F2" w:themeFill="background1" w:themeFillShade="F2"/>
            <w:noWrap/>
            <w:vAlign w:val="center"/>
            <w:hideMark/>
          </w:tcPr>
          <w:p w14:paraId="2361D6A5" w14:textId="2F8CE9C2" w:rsidR="524AA438" w:rsidRPr="003D48D1" w:rsidRDefault="524AA438"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r>
      <w:tr w:rsidR="003D48D1" w:rsidRPr="003D48D1" w14:paraId="29876500"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hideMark/>
          </w:tcPr>
          <w:p w14:paraId="4CEC0B0D" w14:textId="5AF8F40D" w:rsidR="2950921B" w:rsidRPr="003D48D1" w:rsidRDefault="2950921B" w:rsidP="00F159EE">
            <w:pPr>
              <w:spacing w:before="0" w:after="0" w:line="240" w:lineRule="auto"/>
              <w:rPr>
                <w:rFonts w:asciiTheme="minorHAnsi" w:hAnsiTheme="minorHAnsi"/>
                <w:color w:val="auto"/>
              </w:rPr>
            </w:pPr>
            <w:r w:rsidRPr="003D48D1">
              <w:rPr>
                <w:rFonts w:asciiTheme="minorHAnsi" w:hAnsiTheme="minorHAnsi"/>
                <w:color w:val="auto"/>
              </w:rPr>
              <w:t>Investment duration: 2020-25; Budget: $18.2m</w:t>
            </w:r>
          </w:p>
        </w:tc>
        <w:tc>
          <w:tcPr>
            <w:tcW w:w="869" w:type="dxa"/>
            <w:shd w:val="clear" w:color="auto" w:fill="F2F2F2" w:themeFill="background1" w:themeFillShade="F2"/>
            <w:hideMark/>
          </w:tcPr>
          <w:p w14:paraId="4D99205B" w14:textId="3B3A39F0" w:rsidR="524AA438" w:rsidRPr="003D48D1" w:rsidRDefault="524AA438"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2022</w:t>
            </w:r>
          </w:p>
        </w:tc>
        <w:tc>
          <w:tcPr>
            <w:tcW w:w="1418" w:type="dxa"/>
            <w:shd w:val="clear" w:color="auto" w:fill="F2F2F2" w:themeFill="background1" w:themeFillShade="F2"/>
            <w:noWrap/>
            <w:vAlign w:val="center"/>
            <w:hideMark/>
          </w:tcPr>
          <w:p w14:paraId="46969ACE" w14:textId="182CBD47" w:rsidR="524AA438"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F2F2F2" w:themeFill="background1" w:themeFillShade="F2"/>
            <w:noWrap/>
            <w:vAlign w:val="center"/>
            <w:hideMark/>
          </w:tcPr>
          <w:p w14:paraId="47C692A0" w14:textId="73105B9A" w:rsidR="524AA438"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F2F2F2" w:themeFill="background1" w:themeFillShade="F2"/>
            <w:noWrap/>
            <w:vAlign w:val="center"/>
            <w:hideMark/>
          </w:tcPr>
          <w:p w14:paraId="1383390D" w14:textId="1F497BDE" w:rsidR="524AA438"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r>
      <w:tr w:rsidR="003D48D1" w:rsidRPr="003D48D1" w14:paraId="24F6733B"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hideMark/>
          </w:tcPr>
          <w:p w14:paraId="1B0C058E" w14:textId="1CA3E4E4" w:rsidR="00765A95" w:rsidRPr="003D48D1" w:rsidRDefault="3D84F87B" w:rsidP="7719E89B">
            <w:pPr>
              <w:spacing w:before="0" w:after="0" w:line="240" w:lineRule="auto"/>
              <w:rPr>
                <w:rFonts w:asciiTheme="minorHAnsi" w:hAnsiTheme="minorHAnsi"/>
                <w:b/>
                <w:bCs/>
                <w:color w:val="auto"/>
              </w:rPr>
            </w:pPr>
            <w:r w:rsidRPr="003D48D1">
              <w:rPr>
                <w:rFonts w:asciiTheme="minorHAnsi" w:hAnsiTheme="minorHAnsi"/>
                <w:b/>
                <w:bCs/>
                <w:color w:val="auto"/>
              </w:rPr>
              <w:t xml:space="preserve">AIFFP: </w:t>
            </w:r>
            <w:r w:rsidR="7F5BDB42" w:rsidRPr="003D48D1">
              <w:rPr>
                <w:rFonts w:asciiTheme="minorHAnsi" w:hAnsiTheme="minorHAnsi"/>
                <w:b/>
                <w:bCs/>
                <w:color w:val="auto"/>
              </w:rPr>
              <w:t>Submarine Cable - Palau - Telecommunications</w:t>
            </w:r>
            <w:r w:rsidR="7A05EFE1" w:rsidRPr="003D48D1">
              <w:rPr>
                <w:rFonts w:asciiTheme="minorHAnsi" w:hAnsiTheme="minorHAnsi"/>
                <w:b/>
                <w:bCs/>
                <w:color w:val="auto"/>
              </w:rPr>
              <w:t xml:space="preserve"> </w:t>
            </w:r>
          </w:p>
        </w:tc>
        <w:tc>
          <w:tcPr>
            <w:tcW w:w="869" w:type="dxa"/>
            <w:hideMark/>
          </w:tcPr>
          <w:p w14:paraId="06B56015" w14:textId="37FEC4B4" w:rsidR="68AFA1AB" w:rsidRPr="003D48D1" w:rsidRDefault="68AFA1AB"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2023</w:t>
            </w:r>
          </w:p>
        </w:tc>
        <w:tc>
          <w:tcPr>
            <w:tcW w:w="1418" w:type="dxa"/>
            <w:noWrap/>
            <w:vAlign w:val="center"/>
            <w:hideMark/>
          </w:tcPr>
          <w:p w14:paraId="49CFEDE2" w14:textId="2AB22283" w:rsidR="68AFA1AB" w:rsidRPr="003D48D1" w:rsidRDefault="68AFA1AB"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134" w:type="dxa"/>
            <w:noWrap/>
            <w:vAlign w:val="center"/>
            <w:hideMark/>
          </w:tcPr>
          <w:p w14:paraId="0B7DA74F" w14:textId="0D0AB0EF" w:rsidR="68AFA1AB" w:rsidRPr="003D48D1" w:rsidRDefault="68AFA1AB"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701" w:type="dxa"/>
            <w:noWrap/>
            <w:vAlign w:val="center"/>
            <w:hideMark/>
          </w:tcPr>
          <w:p w14:paraId="197A917C" w14:textId="080BE5D5" w:rsidR="68AFA1AB" w:rsidRPr="003D48D1" w:rsidRDefault="68AFA1AB"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r>
      <w:tr w:rsidR="003D48D1" w:rsidRPr="003D48D1" w14:paraId="3335B29A"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hideMark/>
          </w:tcPr>
          <w:p w14:paraId="3C2592FD" w14:textId="4DCA9828" w:rsidR="2D7BD5CC" w:rsidRPr="003D48D1" w:rsidRDefault="2D7BD5CC" w:rsidP="00F159EE">
            <w:pPr>
              <w:spacing w:before="0" w:after="0" w:line="240" w:lineRule="auto"/>
              <w:rPr>
                <w:rFonts w:asciiTheme="minorHAnsi" w:hAnsiTheme="minorHAnsi"/>
                <w:color w:val="auto"/>
              </w:rPr>
            </w:pPr>
            <w:r w:rsidRPr="003D48D1">
              <w:rPr>
                <w:rFonts w:asciiTheme="minorHAnsi" w:hAnsiTheme="minorHAnsi"/>
                <w:color w:val="auto"/>
              </w:rPr>
              <w:t>Investment duration: 2020-23; Budget: $2.2m</w:t>
            </w:r>
          </w:p>
        </w:tc>
        <w:tc>
          <w:tcPr>
            <w:tcW w:w="869" w:type="dxa"/>
            <w:shd w:val="clear" w:color="auto" w:fill="E0F3EF" w:themeFill="accent1" w:themeFillTint="33"/>
            <w:hideMark/>
          </w:tcPr>
          <w:p w14:paraId="33680789" w14:textId="0CEC8EC9" w:rsidR="2D7BD5CC" w:rsidRPr="003D48D1" w:rsidRDefault="2D7BD5CC"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2022</w:t>
            </w:r>
          </w:p>
        </w:tc>
        <w:tc>
          <w:tcPr>
            <w:tcW w:w="1418" w:type="dxa"/>
            <w:shd w:val="clear" w:color="auto" w:fill="E0F3EF" w:themeFill="accent1" w:themeFillTint="33"/>
            <w:noWrap/>
            <w:vAlign w:val="center"/>
            <w:hideMark/>
          </w:tcPr>
          <w:p w14:paraId="1C7CD57E" w14:textId="62D8EB03" w:rsidR="524AA438"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E0F3EF" w:themeFill="accent1" w:themeFillTint="33"/>
            <w:noWrap/>
            <w:vAlign w:val="center"/>
            <w:hideMark/>
          </w:tcPr>
          <w:p w14:paraId="39F8B767" w14:textId="0083EAF9" w:rsidR="524AA438"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E0F3EF" w:themeFill="accent1" w:themeFillTint="33"/>
            <w:noWrap/>
            <w:vAlign w:val="center"/>
            <w:hideMark/>
          </w:tcPr>
          <w:p w14:paraId="334EF2A0" w14:textId="479BB098" w:rsidR="524AA438"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r>
      <w:tr w:rsidR="003D48D1" w:rsidRPr="003D48D1" w14:paraId="171FBFC5"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567"/>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hideMark/>
          </w:tcPr>
          <w:p w14:paraId="6E75E100" w14:textId="17172023" w:rsidR="00765A95" w:rsidRPr="003D48D1" w:rsidRDefault="193E279B" w:rsidP="7719E89B">
            <w:pPr>
              <w:spacing w:before="0" w:after="0" w:line="240" w:lineRule="auto"/>
              <w:rPr>
                <w:rFonts w:asciiTheme="minorHAnsi" w:hAnsiTheme="minorHAnsi"/>
                <w:b/>
                <w:bCs/>
                <w:color w:val="auto"/>
              </w:rPr>
            </w:pPr>
            <w:r w:rsidRPr="003D48D1">
              <w:rPr>
                <w:rFonts w:asciiTheme="minorHAnsi" w:hAnsiTheme="minorHAnsi"/>
                <w:b/>
                <w:bCs/>
                <w:color w:val="auto"/>
              </w:rPr>
              <w:t xml:space="preserve">AIFFP: </w:t>
            </w:r>
            <w:r w:rsidR="558315C1" w:rsidRPr="003D48D1">
              <w:rPr>
                <w:rFonts w:asciiTheme="minorHAnsi" w:hAnsiTheme="minorHAnsi"/>
                <w:b/>
                <w:bCs/>
                <w:color w:val="auto"/>
              </w:rPr>
              <w:t>Submarine Cable - Timor-Leste - Telecommunications</w:t>
            </w:r>
            <w:r w:rsidR="7A05EFE1" w:rsidRPr="003D48D1">
              <w:rPr>
                <w:rFonts w:asciiTheme="minorHAnsi" w:hAnsiTheme="minorHAnsi"/>
                <w:b/>
                <w:bCs/>
                <w:color w:val="auto"/>
              </w:rPr>
              <w:t xml:space="preserve"> </w:t>
            </w:r>
          </w:p>
        </w:tc>
        <w:tc>
          <w:tcPr>
            <w:tcW w:w="869" w:type="dxa"/>
            <w:shd w:val="clear" w:color="auto" w:fill="F2F2F2" w:themeFill="background1" w:themeFillShade="F2"/>
            <w:hideMark/>
          </w:tcPr>
          <w:p w14:paraId="252CCEE0" w14:textId="16FCCA59" w:rsidR="62BD2112" w:rsidRPr="003D48D1" w:rsidRDefault="62BD2112"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2023</w:t>
            </w:r>
          </w:p>
        </w:tc>
        <w:tc>
          <w:tcPr>
            <w:tcW w:w="1418" w:type="dxa"/>
            <w:shd w:val="clear" w:color="auto" w:fill="F2F2F2" w:themeFill="background1" w:themeFillShade="F2"/>
            <w:noWrap/>
            <w:vAlign w:val="center"/>
            <w:hideMark/>
          </w:tcPr>
          <w:p w14:paraId="2BF436FA" w14:textId="7BFC1FB3" w:rsidR="62BD2112" w:rsidRPr="003D48D1" w:rsidRDefault="62BD2112"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134" w:type="dxa"/>
            <w:shd w:val="clear" w:color="auto" w:fill="F2F2F2" w:themeFill="background1" w:themeFillShade="F2"/>
            <w:noWrap/>
            <w:vAlign w:val="center"/>
            <w:hideMark/>
          </w:tcPr>
          <w:p w14:paraId="672B10D4" w14:textId="280523B1" w:rsidR="62BD2112" w:rsidRPr="003D48D1" w:rsidRDefault="62BD2112"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701" w:type="dxa"/>
            <w:shd w:val="clear" w:color="auto" w:fill="F2F2F2" w:themeFill="background1" w:themeFillShade="F2"/>
            <w:noWrap/>
            <w:vAlign w:val="center"/>
            <w:hideMark/>
          </w:tcPr>
          <w:p w14:paraId="1FC1A5A0" w14:textId="41057B51" w:rsidR="62BD2112" w:rsidRPr="003D48D1" w:rsidRDefault="62BD2112"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r>
      <w:tr w:rsidR="003D48D1" w:rsidRPr="003D48D1" w14:paraId="41699147"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hideMark/>
          </w:tcPr>
          <w:p w14:paraId="0D688D02" w14:textId="076159E6" w:rsidR="74A3954D" w:rsidRPr="003D48D1" w:rsidRDefault="74A3954D" w:rsidP="00F159EE">
            <w:pPr>
              <w:spacing w:before="0" w:after="0" w:line="240" w:lineRule="auto"/>
              <w:rPr>
                <w:rFonts w:asciiTheme="minorHAnsi" w:eastAsia="Times New Roman" w:hAnsiTheme="minorHAnsi"/>
                <w:color w:val="auto"/>
                <w:lang w:eastAsia="en-AU"/>
              </w:rPr>
            </w:pPr>
            <w:r w:rsidRPr="003D48D1">
              <w:rPr>
                <w:rFonts w:asciiTheme="minorHAnsi" w:eastAsia="Times New Roman" w:hAnsiTheme="minorHAnsi"/>
                <w:color w:val="auto"/>
                <w:lang w:eastAsia="en-AU"/>
              </w:rPr>
              <w:t>Investment duration: 2019-24; Budget: $7.9m</w:t>
            </w:r>
          </w:p>
        </w:tc>
        <w:tc>
          <w:tcPr>
            <w:tcW w:w="869" w:type="dxa"/>
            <w:shd w:val="clear" w:color="auto" w:fill="F2F2F2" w:themeFill="background1" w:themeFillShade="F2"/>
            <w:hideMark/>
          </w:tcPr>
          <w:p w14:paraId="6B951ACC" w14:textId="6322468E" w:rsidR="62BD2112" w:rsidRPr="003D48D1" w:rsidRDefault="62BD2112"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2022</w:t>
            </w:r>
          </w:p>
        </w:tc>
        <w:tc>
          <w:tcPr>
            <w:tcW w:w="1418" w:type="dxa"/>
            <w:shd w:val="clear" w:color="auto" w:fill="F2F2F2" w:themeFill="background1" w:themeFillShade="F2"/>
            <w:noWrap/>
            <w:vAlign w:val="center"/>
            <w:hideMark/>
          </w:tcPr>
          <w:p w14:paraId="7E1099F9" w14:textId="3DB45FDC" w:rsidR="524AA438"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F2F2F2" w:themeFill="background1" w:themeFillShade="F2"/>
            <w:noWrap/>
            <w:vAlign w:val="center"/>
            <w:hideMark/>
          </w:tcPr>
          <w:p w14:paraId="266CEBBB" w14:textId="44BC1857" w:rsidR="524AA438"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F2F2F2" w:themeFill="background1" w:themeFillShade="F2"/>
            <w:noWrap/>
            <w:vAlign w:val="center"/>
            <w:hideMark/>
          </w:tcPr>
          <w:p w14:paraId="6088C4A9" w14:textId="097E6C01" w:rsidR="524AA438"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r>
      <w:tr w:rsidR="003D48D1" w:rsidRPr="003D48D1" w14:paraId="58A93B45"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hideMark/>
          </w:tcPr>
          <w:p w14:paraId="2A38FDBA" w14:textId="3B959A91" w:rsidR="4CB5BAA3" w:rsidRPr="003D48D1" w:rsidRDefault="4CB5BAA3" w:rsidP="000254D9">
            <w:pPr>
              <w:spacing w:before="0" w:after="0" w:line="240" w:lineRule="auto"/>
              <w:rPr>
                <w:rFonts w:asciiTheme="minorHAnsi" w:eastAsia="Times New Roman" w:hAnsiTheme="minorHAnsi"/>
                <w:b/>
                <w:bCs/>
                <w:color w:val="auto"/>
                <w:lang w:val="en-AU" w:eastAsia="en-AU"/>
              </w:rPr>
            </w:pPr>
            <w:r w:rsidRPr="003D48D1">
              <w:rPr>
                <w:rFonts w:asciiTheme="minorHAnsi" w:eastAsia="Times New Roman" w:hAnsiTheme="minorHAnsi"/>
                <w:b/>
                <w:bCs/>
                <w:color w:val="auto"/>
                <w:lang w:val="en-AU" w:eastAsia="en-AU"/>
              </w:rPr>
              <w:t>Access to Agricultural Markets for Pacific Products Phase 2</w:t>
            </w:r>
            <w:r w:rsidR="00AA474B" w:rsidRPr="003D48D1">
              <w:rPr>
                <w:rFonts w:asciiTheme="minorHAnsi" w:eastAsia="Times New Roman" w:hAnsiTheme="minorHAnsi"/>
                <w:b/>
                <w:bCs/>
                <w:color w:val="auto"/>
                <w:lang w:val="en-AU" w:eastAsia="en-AU"/>
              </w:rPr>
              <w:t xml:space="preserve"> </w:t>
            </w:r>
          </w:p>
        </w:tc>
        <w:tc>
          <w:tcPr>
            <w:tcW w:w="869" w:type="dxa"/>
            <w:hideMark/>
          </w:tcPr>
          <w:p w14:paraId="5B7BE2F4" w14:textId="17D28C16"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2023</w:t>
            </w:r>
          </w:p>
        </w:tc>
        <w:tc>
          <w:tcPr>
            <w:tcW w:w="1418" w:type="dxa"/>
            <w:noWrap/>
            <w:vAlign w:val="center"/>
            <w:hideMark/>
          </w:tcPr>
          <w:p w14:paraId="361E9B98" w14:textId="686D085F"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c>
          <w:tcPr>
            <w:tcW w:w="1134" w:type="dxa"/>
            <w:noWrap/>
            <w:vAlign w:val="center"/>
            <w:hideMark/>
          </w:tcPr>
          <w:p w14:paraId="1DC813A1" w14:textId="037C47C1"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4</w:t>
            </w:r>
          </w:p>
        </w:tc>
        <w:tc>
          <w:tcPr>
            <w:tcW w:w="1701" w:type="dxa"/>
            <w:noWrap/>
            <w:vAlign w:val="center"/>
            <w:hideMark/>
          </w:tcPr>
          <w:p w14:paraId="7857FDDA" w14:textId="06A767DF" w:rsidR="4CB5BAA3" w:rsidRPr="003D48D1" w:rsidRDefault="4CB5BAA3"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4</w:t>
            </w:r>
          </w:p>
        </w:tc>
      </w:tr>
      <w:tr w:rsidR="003D48D1" w:rsidRPr="003D48D1" w14:paraId="7CB281A9"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hideMark/>
          </w:tcPr>
          <w:p w14:paraId="2915EFB5" w14:textId="210C3D10" w:rsidR="4CB5BAA3" w:rsidRPr="003D48D1" w:rsidRDefault="4CB5BAA3" w:rsidP="00F159EE">
            <w:pPr>
              <w:spacing w:before="0" w:after="0" w:line="240" w:lineRule="auto"/>
              <w:rPr>
                <w:rFonts w:asciiTheme="minorHAnsi" w:hAnsiTheme="minorHAnsi"/>
                <w:color w:val="auto"/>
              </w:rPr>
            </w:pPr>
            <w:r w:rsidRPr="003D48D1">
              <w:rPr>
                <w:rFonts w:asciiTheme="minorHAnsi" w:hAnsiTheme="minorHAnsi"/>
                <w:color w:val="auto"/>
              </w:rPr>
              <w:t>Investment duration: 2019-25; Budget: $5.2m</w:t>
            </w:r>
          </w:p>
        </w:tc>
        <w:tc>
          <w:tcPr>
            <w:tcW w:w="869" w:type="dxa"/>
            <w:shd w:val="clear" w:color="auto" w:fill="E0F3EF" w:themeFill="accent1" w:themeFillTint="33"/>
            <w:hideMark/>
          </w:tcPr>
          <w:p w14:paraId="1BCD4737" w14:textId="3B7E3223" w:rsidR="4CB5BAA3" w:rsidRPr="003D48D1" w:rsidRDefault="4CB5BAA3"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2022</w:t>
            </w:r>
          </w:p>
        </w:tc>
        <w:tc>
          <w:tcPr>
            <w:tcW w:w="1418" w:type="dxa"/>
            <w:shd w:val="clear" w:color="auto" w:fill="E0F3EF" w:themeFill="accent1" w:themeFillTint="33"/>
            <w:noWrap/>
            <w:vAlign w:val="center"/>
            <w:hideMark/>
          </w:tcPr>
          <w:p w14:paraId="7F12665B" w14:textId="32CDC4A5" w:rsidR="4CB5BAA3"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E0F3EF" w:themeFill="accent1" w:themeFillTint="33"/>
            <w:noWrap/>
            <w:vAlign w:val="center"/>
            <w:hideMark/>
          </w:tcPr>
          <w:p w14:paraId="016B3533" w14:textId="11DDF840" w:rsidR="4CB5BAA3"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E0F3EF" w:themeFill="accent1" w:themeFillTint="33"/>
            <w:noWrap/>
            <w:vAlign w:val="center"/>
            <w:hideMark/>
          </w:tcPr>
          <w:p w14:paraId="3446E6D2" w14:textId="3091CBC3" w:rsidR="4CB5BAA3"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N/A</w:t>
            </w:r>
          </w:p>
        </w:tc>
      </w:tr>
      <w:tr w:rsidR="003D48D1" w:rsidRPr="003D48D1" w14:paraId="02357411"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hideMark/>
          </w:tcPr>
          <w:p w14:paraId="40F35A73" w14:textId="136840C7" w:rsidR="473EFDEC" w:rsidRPr="003D48D1" w:rsidRDefault="473EFDEC" w:rsidP="000254D9">
            <w:pPr>
              <w:spacing w:before="0" w:after="0" w:line="240" w:lineRule="auto"/>
              <w:rPr>
                <w:rFonts w:asciiTheme="minorHAnsi" w:eastAsia="Times New Roman" w:hAnsiTheme="minorHAnsi"/>
                <w:b/>
                <w:bCs/>
                <w:color w:val="auto"/>
                <w:lang w:eastAsia="en-AU"/>
              </w:rPr>
            </w:pPr>
            <w:r w:rsidRPr="003D48D1">
              <w:rPr>
                <w:rFonts w:asciiTheme="minorHAnsi" w:eastAsia="Times New Roman" w:hAnsiTheme="minorHAnsi"/>
                <w:b/>
                <w:bCs/>
                <w:color w:val="auto"/>
                <w:lang w:eastAsia="en-AU"/>
              </w:rPr>
              <w:t>Australia Pacific Climate Partnership</w:t>
            </w:r>
          </w:p>
        </w:tc>
        <w:tc>
          <w:tcPr>
            <w:tcW w:w="869" w:type="dxa"/>
            <w:shd w:val="clear" w:color="auto" w:fill="F2F2F2" w:themeFill="background1" w:themeFillShade="F2"/>
            <w:hideMark/>
          </w:tcPr>
          <w:p w14:paraId="439FC180" w14:textId="1BAB8C7F" w:rsidR="473EFDEC" w:rsidRPr="003D48D1" w:rsidRDefault="473EFDEC"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2023</w:t>
            </w:r>
          </w:p>
        </w:tc>
        <w:tc>
          <w:tcPr>
            <w:tcW w:w="1418" w:type="dxa"/>
            <w:shd w:val="clear" w:color="auto" w:fill="F2F2F2" w:themeFill="background1" w:themeFillShade="F2"/>
            <w:noWrap/>
            <w:vAlign w:val="center"/>
            <w:hideMark/>
          </w:tcPr>
          <w:p w14:paraId="0BD01E8B" w14:textId="6E3635A8" w:rsidR="473EFDEC" w:rsidRPr="003D48D1" w:rsidRDefault="473EFDEC"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4</w:t>
            </w:r>
          </w:p>
        </w:tc>
        <w:tc>
          <w:tcPr>
            <w:tcW w:w="1134" w:type="dxa"/>
            <w:shd w:val="clear" w:color="auto" w:fill="F2F2F2" w:themeFill="background1" w:themeFillShade="F2"/>
            <w:noWrap/>
            <w:vAlign w:val="center"/>
            <w:hideMark/>
          </w:tcPr>
          <w:p w14:paraId="34CAC05B" w14:textId="0A19B713" w:rsidR="473EFDEC" w:rsidRPr="003D48D1" w:rsidRDefault="473EFDEC"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4</w:t>
            </w:r>
          </w:p>
        </w:tc>
        <w:tc>
          <w:tcPr>
            <w:tcW w:w="1701" w:type="dxa"/>
            <w:shd w:val="clear" w:color="auto" w:fill="F2F2F2" w:themeFill="background1" w:themeFillShade="F2"/>
            <w:noWrap/>
            <w:vAlign w:val="center"/>
            <w:hideMark/>
          </w:tcPr>
          <w:p w14:paraId="624626CD" w14:textId="2F477948" w:rsidR="473EFDEC" w:rsidRPr="003D48D1" w:rsidRDefault="473EFDEC"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4</w:t>
            </w:r>
          </w:p>
        </w:tc>
      </w:tr>
      <w:tr w:rsidR="003D48D1" w:rsidRPr="003D48D1" w14:paraId="3A66CE5C"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hideMark/>
          </w:tcPr>
          <w:p w14:paraId="5F6FEF4B" w14:textId="7B20D19C" w:rsidR="473EFDEC" w:rsidRPr="003D48D1" w:rsidRDefault="473EFDEC" w:rsidP="00F159EE">
            <w:pPr>
              <w:spacing w:before="0" w:after="0" w:line="240" w:lineRule="auto"/>
              <w:rPr>
                <w:rFonts w:asciiTheme="minorHAnsi" w:hAnsiTheme="minorHAnsi"/>
                <w:color w:val="auto"/>
                <w:lang w:val="en-AU"/>
              </w:rPr>
            </w:pPr>
            <w:r w:rsidRPr="003D48D1">
              <w:rPr>
                <w:rFonts w:asciiTheme="minorHAnsi" w:hAnsiTheme="minorHAnsi"/>
                <w:color w:val="auto"/>
              </w:rPr>
              <w:t>Investment duration: 2018-26; Budget: $119.8m</w:t>
            </w:r>
          </w:p>
        </w:tc>
        <w:tc>
          <w:tcPr>
            <w:tcW w:w="869" w:type="dxa"/>
            <w:shd w:val="clear" w:color="auto" w:fill="F2F2F2" w:themeFill="background1" w:themeFillShade="F2"/>
            <w:hideMark/>
          </w:tcPr>
          <w:p w14:paraId="131AE7A4" w14:textId="08EA5F0E" w:rsidR="473EFDEC" w:rsidRPr="003D48D1" w:rsidRDefault="473EFDEC"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3D48D1">
              <w:rPr>
                <w:rFonts w:asciiTheme="minorHAnsi" w:eastAsia="Times New Roman" w:hAnsiTheme="minorHAnsi"/>
                <w:color w:val="auto"/>
                <w:lang w:val="en-AU" w:eastAsia="en-AU"/>
              </w:rPr>
              <w:t>2022</w:t>
            </w:r>
          </w:p>
        </w:tc>
        <w:tc>
          <w:tcPr>
            <w:tcW w:w="1418" w:type="dxa"/>
            <w:shd w:val="clear" w:color="auto" w:fill="F2F2F2" w:themeFill="background1" w:themeFillShade="F2"/>
            <w:noWrap/>
            <w:vAlign w:val="center"/>
            <w:hideMark/>
          </w:tcPr>
          <w:p w14:paraId="26E41961" w14:textId="5D06F7C8" w:rsidR="473EFDEC" w:rsidRPr="003D48D1" w:rsidRDefault="473EFDEC"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4</w:t>
            </w:r>
          </w:p>
        </w:tc>
        <w:tc>
          <w:tcPr>
            <w:tcW w:w="1134" w:type="dxa"/>
            <w:shd w:val="clear" w:color="auto" w:fill="F2F2F2" w:themeFill="background1" w:themeFillShade="F2"/>
            <w:noWrap/>
            <w:vAlign w:val="center"/>
            <w:hideMark/>
          </w:tcPr>
          <w:p w14:paraId="3382E766" w14:textId="7F61A269" w:rsidR="473EFDEC" w:rsidRPr="003D48D1" w:rsidRDefault="473EFDEC"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4</w:t>
            </w:r>
          </w:p>
        </w:tc>
        <w:tc>
          <w:tcPr>
            <w:tcW w:w="1701" w:type="dxa"/>
            <w:shd w:val="clear" w:color="auto" w:fill="F2F2F2" w:themeFill="background1" w:themeFillShade="F2"/>
            <w:noWrap/>
            <w:vAlign w:val="center"/>
            <w:hideMark/>
          </w:tcPr>
          <w:p w14:paraId="402A3233" w14:textId="23CE387A" w:rsidR="473EFDEC" w:rsidRPr="003D48D1" w:rsidRDefault="473EFDEC"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5</w:t>
            </w:r>
          </w:p>
        </w:tc>
      </w:tr>
      <w:tr w:rsidR="003D48D1" w:rsidRPr="003D48D1" w14:paraId="2D264BDB"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hideMark/>
          </w:tcPr>
          <w:p w14:paraId="2B47E13E" w14:textId="77777777" w:rsidR="00765A95" w:rsidRPr="003D48D1" w:rsidRDefault="00765A95" w:rsidP="000254D9">
            <w:pPr>
              <w:spacing w:before="0" w:after="0" w:line="240" w:lineRule="auto"/>
              <w:rPr>
                <w:rFonts w:asciiTheme="minorHAnsi" w:hAnsiTheme="minorHAnsi" w:cstheme="minorHAnsi"/>
                <w:b/>
                <w:bCs/>
                <w:color w:val="auto"/>
                <w:lang w:val="en-AU"/>
              </w:rPr>
            </w:pPr>
            <w:r w:rsidRPr="003D48D1">
              <w:rPr>
                <w:rFonts w:asciiTheme="minorHAnsi" w:hAnsiTheme="minorHAnsi" w:cstheme="minorHAnsi"/>
                <w:b/>
                <w:bCs/>
                <w:color w:val="auto"/>
              </w:rPr>
              <w:t>Australia Pacific Partnerships Platform AusP3 - Smaller Pacific Countries</w:t>
            </w:r>
          </w:p>
        </w:tc>
        <w:tc>
          <w:tcPr>
            <w:tcW w:w="869" w:type="dxa"/>
            <w:hideMark/>
          </w:tcPr>
          <w:p w14:paraId="7F98C2CA"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2275B339"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186964A8"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1E47376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2DEBDCDB"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hideMark/>
          </w:tcPr>
          <w:p w14:paraId="3138E2AE" w14:textId="77777777" w:rsidR="00765A95" w:rsidRPr="003D48D1" w:rsidRDefault="00765A95" w:rsidP="00F159EE">
            <w:pPr>
              <w:spacing w:before="0" w:after="0" w:line="240" w:lineRule="auto"/>
              <w:rPr>
                <w:rFonts w:asciiTheme="minorHAnsi" w:hAnsiTheme="minorHAnsi" w:cstheme="minorHAnsi"/>
                <w:color w:val="auto"/>
                <w:lang w:val="en-AU"/>
              </w:rPr>
            </w:pPr>
            <w:r w:rsidRPr="003D48D1">
              <w:rPr>
                <w:rFonts w:asciiTheme="minorHAnsi" w:hAnsiTheme="minorHAnsi" w:cstheme="minorHAnsi"/>
                <w:color w:val="auto"/>
              </w:rPr>
              <w:t>Investment duration: 2020-25; Budget: $9.1m</w:t>
            </w:r>
          </w:p>
        </w:tc>
        <w:tc>
          <w:tcPr>
            <w:tcW w:w="869" w:type="dxa"/>
            <w:shd w:val="clear" w:color="auto" w:fill="E0F3EF" w:themeFill="accent1" w:themeFillTint="33"/>
            <w:hideMark/>
          </w:tcPr>
          <w:p w14:paraId="6E5D0A0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E0F3EF" w:themeFill="accent1" w:themeFillTint="33"/>
            <w:noWrap/>
            <w:vAlign w:val="center"/>
            <w:hideMark/>
          </w:tcPr>
          <w:p w14:paraId="02574A3A"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E0F3EF" w:themeFill="accent1" w:themeFillTint="33"/>
            <w:noWrap/>
            <w:vAlign w:val="center"/>
            <w:hideMark/>
          </w:tcPr>
          <w:p w14:paraId="69C73AD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E0F3EF" w:themeFill="accent1" w:themeFillTint="33"/>
            <w:noWrap/>
            <w:vAlign w:val="center"/>
            <w:hideMark/>
          </w:tcPr>
          <w:p w14:paraId="1B29CEB6"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53D6A96D"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hideMark/>
          </w:tcPr>
          <w:p w14:paraId="4C849500" w14:textId="77777777" w:rsidR="00765A95" w:rsidRPr="003D48D1" w:rsidRDefault="00765A95"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hAnsiTheme="minorHAnsi" w:cstheme="minorHAnsi"/>
                <w:b/>
                <w:bCs/>
                <w:color w:val="auto"/>
              </w:rPr>
              <w:t>Australia Pacific Security College Establishment</w:t>
            </w:r>
          </w:p>
        </w:tc>
        <w:tc>
          <w:tcPr>
            <w:tcW w:w="869" w:type="dxa"/>
            <w:shd w:val="clear" w:color="auto" w:fill="F2F2F2" w:themeFill="background1" w:themeFillShade="F2"/>
            <w:hideMark/>
          </w:tcPr>
          <w:p w14:paraId="1554F9D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hideMark/>
          </w:tcPr>
          <w:p w14:paraId="78027D75"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1293DA1B"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4D23072A"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69A4BCF0"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hideMark/>
          </w:tcPr>
          <w:p w14:paraId="6D2EAC43" w14:textId="3F0DD557" w:rsidR="00E903AC"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2019-26; Budget: $32.6m</w:t>
            </w:r>
          </w:p>
        </w:tc>
        <w:tc>
          <w:tcPr>
            <w:tcW w:w="869" w:type="dxa"/>
            <w:shd w:val="clear" w:color="auto" w:fill="F2F2F2" w:themeFill="background1" w:themeFillShade="F2"/>
            <w:hideMark/>
          </w:tcPr>
          <w:p w14:paraId="3293753C"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hideMark/>
          </w:tcPr>
          <w:p w14:paraId="5E05520A"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3</w:t>
            </w:r>
          </w:p>
        </w:tc>
        <w:tc>
          <w:tcPr>
            <w:tcW w:w="1134" w:type="dxa"/>
            <w:shd w:val="clear" w:color="auto" w:fill="F2F2F2" w:themeFill="background1" w:themeFillShade="F2"/>
            <w:noWrap/>
            <w:vAlign w:val="center"/>
            <w:hideMark/>
          </w:tcPr>
          <w:p w14:paraId="0D29424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02E0157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7A3CB0E9"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hideMark/>
          </w:tcPr>
          <w:p w14:paraId="6FF1384D" w14:textId="77777777" w:rsidR="00765A95" w:rsidRPr="003D48D1" w:rsidRDefault="00765A95"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eastAsia="en-AU"/>
              </w:rPr>
              <w:t>Australia Pacific Training Coalition (Stage 3)</w:t>
            </w:r>
          </w:p>
        </w:tc>
        <w:tc>
          <w:tcPr>
            <w:tcW w:w="869" w:type="dxa"/>
            <w:hideMark/>
          </w:tcPr>
          <w:p w14:paraId="1409CF25"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575C8AF1"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c>
          <w:tcPr>
            <w:tcW w:w="1134" w:type="dxa"/>
            <w:noWrap/>
            <w:vAlign w:val="center"/>
            <w:hideMark/>
          </w:tcPr>
          <w:p w14:paraId="144B2ADA"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c>
          <w:tcPr>
            <w:tcW w:w="1701" w:type="dxa"/>
            <w:noWrap/>
            <w:vAlign w:val="center"/>
            <w:hideMark/>
          </w:tcPr>
          <w:p w14:paraId="22B7A4D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r>
      <w:tr w:rsidR="003D48D1" w:rsidRPr="003D48D1" w14:paraId="31A41A95"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hideMark/>
          </w:tcPr>
          <w:p w14:paraId="055BD9CD" w14:textId="77777777"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hAnsiTheme="minorHAnsi" w:cstheme="minorHAnsi"/>
                <w:color w:val="auto"/>
              </w:rPr>
              <w:t>Investment duration: 2017-26; Budget: $252.6m</w:t>
            </w:r>
          </w:p>
        </w:tc>
        <w:tc>
          <w:tcPr>
            <w:tcW w:w="869" w:type="dxa"/>
            <w:shd w:val="clear" w:color="auto" w:fill="E0F3EF" w:themeFill="accent1" w:themeFillTint="33"/>
            <w:hideMark/>
          </w:tcPr>
          <w:p w14:paraId="2FBF4A64"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E0F3EF" w:themeFill="accent1" w:themeFillTint="33"/>
            <w:noWrap/>
            <w:vAlign w:val="center"/>
            <w:hideMark/>
          </w:tcPr>
          <w:p w14:paraId="5895ABA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shd w:val="clear" w:color="auto" w:fill="E0F3EF" w:themeFill="accent1" w:themeFillTint="33"/>
            <w:noWrap/>
            <w:vAlign w:val="center"/>
            <w:hideMark/>
          </w:tcPr>
          <w:p w14:paraId="00E710E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3</w:t>
            </w:r>
          </w:p>
        </w:tc>
        <w:tc>
          <w:tcPr>
            <w:tcW w:w="1701" w:type="dxa"/>
            <w:shd w:val="clear" w:color="auto" w:fill="E0F3EF" w:themeFill="accent1" w:themeFillTint="33"/>
            <w:noWrap/>
            <w:vAlign w:val="center"/>
            <w:hideMark/>
          </w:tcPr>
          <w:p w14:paraId="3B7FD1E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3</w:t>
            </w:r>
          </w:p>
        </w:tc>
      </w:tr>
      <w:tr w:rsidR="003D48D1" w:rsidRPr="003D48D1" w14:paraId="3BB69C3C"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noWrap/>
            <w:vAlign w:val="bottom"/>
            <w:hideMark/>
          </w:tcPr>
          <w:p w14:paraId="2A64B82E" w14:textId="77777777" w:rsidR="00765A95" w:rsidRPr="003D48D1" w:rsidRDefault="00765A95" w:rsidP="000254D9">
            <w:pPr>
              <w:suppressAutoHyphens w:val="0"/>
              <w:spacing w:before="0" w:after="0" w:line="240" w:lineRule="auto"/>
              <w:rPr>
                <w:rFonts w:asciiTheme="minorHAnsi" w:eastAsia="Times New Roman" w:hAnsiTheme="minorHAnsi" w:cstheme="minorHAnsi"/>
                <w:b/>
                <w:bCs/>
                <w:color w:val="auto"/>
                <w:lang w:eastAsia="en-AU"/>
              </w:rPr>
            </w:pPr>
            <w:r w:rsidRPr="003D48D1">
              <w:rPr>
                <w:rFonts w:asciiTheme="minorHAnsi" w:eastAsia="Times New Roman" w:hAnsiTheme="minorHAnsi" w:cstheme="minorHAnsi"/>
                <w:b/>
                <w:bCs/>
                <w:color w:val="auto"/>
                <w:lang w:eastAsia="en-AU"/>
              </w:rPr>
              <w:t>DFAT-Education Quality and Assessment Program Partnership</w:t>
            </w:r>
          </w:p>
        </w:tc>
        <w:tc>
          <w:tcPr>
            <w:tcW w:w="869" w:type="dxa"/>
            <w:shd w:val="clear" w:color="auto" w:fill="F2F2F2" w:themeFill="background1" w:themeFillShade="F2"/>
            <w:hideMark/>
          </w:tcPr>
          <w:p w14:paraId="74FA7594" w14:textId="77777777" w:rsidR="00765A95" w:rsidRPr="003D48D1" w:rsidRDefault="00765A95" w:rsidP="000254D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bottom"/>
            <w:hideMark/>
          </w:tcPr>
          <w:p w14:paraId="477DA9CC" w14:textId="77777777" w:rsidR="00765A95" w:rsidRPr="003D48D1" w:rsidRDefault="00765A95" w:rsidP="000254D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c>
          <w:tcPr>
            <w:tcW w:w="1134" w:type="dxa"/>
            <w:shd w:val="clear" w:color="auto" w:fill="F2F2F2" w:themeFill="background1" w:themeFillShade="F2"/>
            <w:noWrap/>
            <w:vAlign w:val="bottom"/>
            <w:hideMark/>
          </w:tcPr>
          <w:p w14:paraId="3AE7DAD7" w14:textId="77777777" w:rsidR="00765A95" w:rsidRPr="003D48D1" w:rsidRDefault="00765A95" w:rsidP="000254D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c>
          <w:tcPr>
            <w:tcW w:w="1701" w:type="dxa"/>
            <w:shd w:val="clear" w:color="auto" w:fill="F2F2F2" w:themeFill="background1" w:themeFillShade="F2"/>
            <w:noWrap/>
            <w:vAlign w:val="bottom"/>
            <w:hideMark/>
          </w:tcPr>
          <w:p w14:paraId="6BC33AE0" w14:textId="77777777" w:rsidR="00765A95" w:rsidRPr="003D48D1" w:rsidRDefault="00765A95" w:rsidP="000254D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3</w:t>
            </w:r>
          </w:p>
        </w:tc>
      </w:tr>
      <w:tr w:rsidR="003D48D1" w:rsidRPr="003D48D1" w14:paraId="7BE9F58A"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hideMark/>
          </w:tcPr>
          <w:p w14:paraId="6794832F" w14:textId="77777777" w:rsidR="00765A95" w:rsidRPr="003D48D1" w:rsidRDefault="00765A95" w:rsidP="00F159EE">
            <w:pPr>
              <w:suppressAutoHyphens w:val="0"/>
              <w:spacing w:before="0" w:after="0" w:line="240" w:lineRule="auto"/>
              <w:rPr>
                <w:rFonts w:asciiTheme="minorHAnsi" w:eastAsia="Times New Roman" w:hAnsiTheme="minorHAnsi" w:cstheme="minorHAnsi"/>
                <w:color w:val="auto"/>
                <w:lang w:val="en-AU" w:eastAsia="en-AU"/>
              </w:rPr>
            </w:pPr>
            <w:r w:rsidRPr="003D48D1">
              <w:rPr>
                <w:rFonts w:asciiTheme="minorHAnsi" w:hAnsiTheme="minorHAnsi" w:cstheme="minorHAnsi"/>
                <w:color w:val="auto"/>
              </w:rPr>
              <w:t>Investment duration: 2017-26; Budget: $28.4m</w:t>
            </w:r>
          </w:p>
        </w:tc>
        <w:tc>
          <w:tcPr>
            <w:tcW w:w="869" w:type="dxa"/>
            <w:shd w:val="clear" w:color="auto" w:fill="F2F2F2" w:themeFill="background1" w:themeFillShade="F2"/>
            <w:hideMark/>
          </w:tcPr>
          <w:p w14:paraId="477996AA"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hideMark/>
          </w:tcPr>
          <w:p w14:paraId="1E95C383"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727A4490"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701" w:type="dxa"/>
            <w:shd w:val="clear" w:color="auto" w:fill="F2F2F2" w:themeFill="background1" w:themeFillShade="F2"/>
            <w:noWrap/>
            <w:vAlign w:val="center"/>
            <w:hideMark/>
          </w:tcPr>
          <w:p w14:paraId="57A54F8F"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7CB61B28"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hideMark/>
          </w:tcPr>
          <w:p w14:paraId="597DB21B" w14:textId="77777777" w:rsidR="00765A95" w:rsidRPr="003D48D1" w:rsidRDefault="00765A95"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hAnsiTheme="minorHAnsi" w:cstheme="minorHAnsi"/>
                <w:b/>
                <w:bCs/>
                <w:color w:val="auto"/>
              </w:rPr>
              <w:t>Enhanced Anti-Corruption Efforts in the Pacific</w:t>
            </w:r>
          </w:p>
        </w:tc>
        <w:tc>
          <w:tcPr>
            <w:tcW w:w="869" w:type="dxa"/>
            <w:hideMark/>
          </w:tcPr>
          <w:p w14:paraId="4626A321"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noWrap/>
            <w:vAlign w:val="center"/>
            <w:hideMark/>
          </w:tcPr>
          <w:p w14:paraId="534D035A"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134" w:type="dxa"/>
            <w:noWrap/>
            <w:vAlign w:val="center"/>
            <w:hideMark/>
          </w:tcPr>
          <w:p w14:paraId="4C866FC8"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701" w:type="dxa"/>
            <w:noWrap/>
            <w:vAlign w:val="center"/>
            <w:hideMark/>
          </w:tcPr>
          <w:p w14:paraId="5C7B2E8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12132C77"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hideMark/>
          </w:tcPr>
          <w:p w14:paraId="713CCD5B"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2020-25; Budget: $6.9m</w:t>
            </w:r>
          </w:p>
        </w:tc>
        <w:tc>
          <w:tcPr>
            <w:tcW w:w="869" w:type="dxa"/>
            <w:shd w:val="clear" w:color="auto" w:fill="E0F3EF" w:themeFill="accent1" w:themeFillTint="33"/>
            <w:hideMark/>
          </w:tcPr>
          <w:p w14:paraId="449F17C4"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2022</w:t>
            </w:r>
          </w:p>
        </w:tc>
        <w:tc>
          <w:tcPr>
            <w:tcW w:w="1418" w:type="dxa"/>
            <w:shd w:val="clear" w:color="auto" w:fill="E0F3EF" w:themeFill="accent1" w:themeFillTint="33"/>
            <w:noWrap/>
            <w:vAlign w:val="center"/>
            <w:hideMark/>
          </w:tcPr>
          <w:p w14:paraId="265F8FD9"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E0F3EF" w:themeFill="accent1" w:themeFillTint="33"/>
            <w:noWrap/>
            <w:vAlign w:val="center"/>
            <w:hideMark/>
          </w:tcPr>
          <w:p w14:paraId="3B1E42E9"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701" w:type="dxa"/>
            <w:shd w:val="clear" w:color="auto" w:fill="E0F3EF" w:themeFill="accent1" w:themeFillTint="33"/>
            <w:noWrap/>
            <w:vAlign w:val="center"/>
            <w:hideMark/>
          </w:tcPr>
          <w:p w14:paraId="12F9BEA3"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r>
      <w:tr w:rsidR="003D48D1" w:rsidRPr="003D48D1" w14:paraId="2A546B6D"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tcPr>
          <w:p w14:paraId="049D7C05" w14:textId="21F5BD3F"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t>Enhancing Donor Coordination and Effectiveness</w:t>
            </w:r>
          </w:p>
        </w:tc>
        <w:tc>
          <w:tcPr>
            <w:tcW w:w="869" w:type="dxa"/>
            <w:shd w:val="clear" w:color="auto" w:fill="F2F2F2" w:themeFill="background1" w:themeFillShade="F2"/>
          </w:tcPr>
          <w:p w14:paraId="28AB746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shd w:val="clear" w:color="auto" w:fill="F2F2F2" w:themeFill="background1" w:themeFillShade="F2"/>
            <w:noWrap/>
            <w:vAlign w:val="center"/>
          </w:tcPr>
          <w:p w14:paraId="549E64AB"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tcPr>
          <w:p w14:paraId="5B88E39D"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701" w:type="dxa"/>
            <w:shd w:val="clear" w:color="auto" w:fill="F2F2F2" w:themeFill="background1" w:themeFillShade="F2"/>
            <w:noWrap/>
            <w:vAlign w:val="center"/>
          </w:tcPr>
          <w:p w14:paraId="2D90E2AA"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w:t>
            </w:r>
          </w:p>
        </w:tc>
      </w:tr>
      <w:tr w:rsidR="003D48D1" w:rsidRPr="003D48D1" w14:paraId="524147B5"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tcPr>
          <w:p w14:paraId="03A9FC02" w14:textId="2B13C990"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 xml:space="preserve">Investment duration: 2013-26; Budget: </w:t>
            </w:r>
            <w:r w:rsidR="005228B0" w:rsidRPr="003D48D1">
              <w:rPr>
                <w:rFonts w:asciiTheme="minorHAnsi" w:hAnsiTheme="minorHAnsi" w:cstheme="minorHAnsi"/>
                <w:color w:val="auto"/>
              </w:rPr>
              <w:t>$</w:t>
            </w:r>
            <w:r w:rsidRPr="003D48D1">
              <w:rPr>
                <w:rFonts w:asciiTheme="minorHAnsi" w:hAnsiTheme="minorHAnsi" w:cstheme="minorHAnsi"/>
                <w:color w:val="auto"/>
              </w:rPr>
              <w:t>3.1m</w:t>
            </w:r>
          </w:p>
        </w:tc>
        <w:tc>
          <w:tcPr>
            <w:tcW w:w="869" w:type="dxa"/>
            <w:shd w:val="clear" w:color="auto" w:fill="F2F2F2" w:themeFill="background1" w:themeFillShade="F2"/>
          </w:tcPr>
          <w:p w14:paraId="2B35902D"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2022</w:t>
            </w:r>
          </w:p>
        </w:tc>
        <w:tc>
          <w:tcPr>
            <w:tcW w:w="1418" w:type="dxa"/>
            <w:shd w:val="clear" w:color="auto" w:fill="F2F2F2" w:themeFill="background1" w:themeFillShade="F2"/>
            <w:noWrap/>
            <w:vAlign w:val="center"/>
          </w:tcPr>
          <w:p w14:paraId="40E8D1B5" w14:textId="6F1A386B"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F2F2F2" w:themeFill="background1" w:themeFillShade="F2"/>
            <w:noWrap/>
            <w:vAlign w:val="center"/>
          </w:tcPr>
          <w:p w14:paraId="3EC1F1E8" w14:textId="55E82F08"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F2F2F2" w:themeFill="background1" w:themeFillShade="F2"/>
            <w:noWrap/>
            <w:vAlign w:val="center"/>
          </w:tcPr>
          <w:p w14:paraId="316A335D" w14:textId="7616DC85"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r>
      <w:tr w:rsidR="003D48D1" w:rsidRPr="003D48D1" w14:paraId="677037DB"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noWrap/>
            <w:vAlign w:val="bottom"/>
            <w:hideMark/>
          </w:tcPr>
          <w:p w14:paraId="6FBABD65" w14:textId="77777777" w:rsidR="00765A95" w:rsidRPr="003D48D1" w:rsidRDefault="00765A95" w:rsidP="000254D9">
            <w:pPr>
              <w:suppressAutoHyphens w:val="0"/>
              <w:spacing w:before="0" w:after="0" w:line="240" w:lineRule="auto"/>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eastAsia="en-AU"/>
              </w:rPr>
              <w:lastRenderedPageBreak/>
              <w:t>Fisheries Development Assistance in the Pacific</w:t>
            </w:r>
          </w:p>
        </w:tc>
        <w:tc>
          <w:tcPr>
            <w:tcW w:w="869" w:type="dxa"/>
            <w:hideMark/>
          </w:tcPr>
          <w:p w14:paraId="6A00CBE4" w14:textId="77777777" w:rsidR="00765A95" w:rsidRPr="003D48D1" w:rsidRDefault="00765A95" w:rsidP="000254D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2023</w:t>
            </w:r>
          </w:p>
        </w:tc>
        <w:tc>
          <w:tcPr>
            <w:tcW w:w="1418" w:type="dxa"/>
            <w:noWrap/>
            <w:vAlign w:val="bottom"/>
            <w:hideMark/>
          </w:tcPr>
          <w:p w14:paraId="3B9AE1F0" w14:textId="77777777" w:rsidR="00765A95" w:rsidRPr="003D48D1" w:rsidRDefault="00765A95" w:rsidP="000254D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c>
          <w:tcPr>
            <w:tcW w:w="1134" w:type="dxa"/>
            <w:noWrap/>
            <w:vAlign w:val="bottom"/>
            <w:hideMark/>
          </w:tcPr>
          <w:p w14:paraId="3FDA948C" w14:textId="77777777" w:rsidR="00765A95" w:rsidRPr="003D48D1" w:rsidRDefault="00765A95" w:rsidP="000254D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c>
          <w:tcPr>
            <w:tcW w:w="1701" w:type="dxa"/>
            <w:noWrap/>
            <w:vAlign w:val="bottom"/>
            <w:hideMark/>
          </w:tcPr>
          <w:p w14:paraId="3F8188F7" w14:textId="77777777" w:rsidR="00765A95" w:rsidRPr="003D48D1" w:rsidRDefault="00765A95" w:rsidP="000254D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r>
      <w:tr w:rsidR="003D48D1" w:rsidRPr="003D48D1" w14:paraId="7F55173C"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571BBB60" w14:textId="77777777" w:rsidR="00765A95" w:rsidRPr="003D48D1" w:rsidRDefault="00765A95" w:rsidP="00F159EE">
            <w:pPr>
              <w:suppressAutoHyphens w:val="0"/>
              <w:spacing w:before="0" w:after="0" w:line="240" w:lineRule="auto"/>
              <w:rPr>
                <w:rFonts w:asciiTheme="minorHAnsi" w:hAnsiTheme="minorHAnsi" w:cstheme="minorHAnsi"/>
                <w:color w:val="auto"/>
                <w:lang w:val="en-AU" w:eastAsia="en-AU"/>
              </w:rPr>
            </w:pPr>
            <w:r w:rsidRPr="003D48D1">
              <w:rPr>
                <w:rFonts w:asciiTheme="minorHAnsi" w:hAnsiTheme="minorHAnsi" w:cstheme="minorHAnsi"/>
                <w:color w:val="auto"/>
              </w:rPr>
              <w:t>Investment duration: 2010-26; Budget: $149.7m</w:t>
            </w:r>
          </w:p>
        </w:tc>
        <w:tc>
          <w:tcPr>
            <w:tcW w:w="869" w:type="dxa"/>
            <w:shd w:val="clear" w:color="auto" w:fill="E0F3EF" w:themeFill="accent1" w:themeFillTint="33"/>
            <w:hideMark/>
          </w:tcPr>
          <w:p w14:paraId="5DF04484"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2022</w:t>
            </w:r>
          </w:p>
        </w:tc>
        <w:tc>
          <w:tcPr>
            <w:tcW w:w="1418" w:type="dxa"/>
            <w:shd w:val="clear" w:color="auto" w:fill="E0F3EF" w:themeFill="accent1" w:themeFillTint="33"/>
            <w:noWrap/>
            <w:vAlign w:val="center"/>
            <w:hideMark/>
          </w:tcPr>
          <w:p w14:paraId="65815258"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shd w:val="clear" w:color="auto" w:fill="E0F3EF" w:themeFill="accent1" w:themeFillTint="33"/>
            <w:noWrap/>
            <w:vAlign w:val="center"/>
            <w:hideMark/>
          </w:tcPr>
          <w:p w14:paraId="2D40E45E"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E0F3EF" w:themeFill="accent1" w:themeFillTint="33"/>
            <w:noWrap/>
            <w:vAlign w:val="center"/>
            <w:hideMark/>
          </w:tcPr>
          <w:p w14:paraId="2D85C14B"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5C9D2A93"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7E695373" w14:textId="0D98C357" w:rsidR="00765A95" w:rsidRPr="003D48D1" w:rsidRDefault="00765A95"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hAnsiTheme="minorHAnsi" w:cstheme="minorHAnsi"/>
                <w:b/>
                <w:bCs/>
                <w:color w:val="auto"/>
              </w:rPr>
              <w:t>Government of Australia-Pacific Island Forum Secretariat (PIFS) Partnership 2014-2023</w:t>
            </w:r>
          </w:p>
        </w:tc>
        <w:tc>
          <w:tcPr>
            <w:tcW w:w="869" w:type="dxa"/>
            <w:shd w:val="clear" w:color="auto" w:fill="F2F2F2" w:themeFill="background1" w:themeFillShade="F2"/>
            <w:vAlign w:val="center"/>
            <w:hideMark/>
          </w:tcPr>
          <w:p w14:paraId="29B37052"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shd w:val="clear" w:color="auto" w:fill="F2F2F2" w:themeFill="background1" w:themeFillShade="F2"/>
            <w:noWrap/>
            <w:vAlign w:val="center"/>
            <w:hideMark/>
          </w:tcPr>
          <w:p w14:paraId="63E8B1E9"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70FE135B"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5E39707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50D7A002"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147727F7"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2014-26; Budget: $110.2m</w:t>
            </w:r>
          </w:p>
        </w:tc>
        <w:tc>
          <w:tcPr>
            <w:tcW w:w="869" w:type="dxa"/>
            <w:shd w:val="clear" w:color="auto" w:fill="F2F2F2" w:themeFill="background1" w:themeFillShade="F2"/>
            <w:vAlign w:val="center"/>
            <w:hideMark/>
          </w:tcPr>
          <w:p w14:paraId="3A44EB0C"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2022</w:t>
            </w:r>
          </w:p>
        </w:tc>
        <w:tc>
          <w:tcPr>
            <w:tcW w:w="1418" w:type="dxa"/>
            <w:shd w:val="clear" w:color="auto" w:fill="F2F2F2" w:themeFill="background1" w:themeFillShade="F2"/>
            <w:noWrap/>
            <w:vAlign w:val="center"/>
            <w:hideMark/>
          </w:tcPr>
          <w:p w14:paraId="00FA0DA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13EB189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3D1B0690"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4C767B8E" w14:textId="77777777" w:rsidTr="3EC1C998">
        <w:trPr>
          <w:cnfStyle w:val="000000100000" w:firstRow="0" w:lastRow="0" w:firstColumn="0" w:lastColumn="0" w:oddVBand="0" w:evenVBand="0" w:oddHBand="1" w:evenHBand="0" w:firstRowFirstColumn="0" w:firstRowLastColumn="0" w:lastRowFirstColumn="0" w:lastRowLastColumn="0"/>
          <w:cantSplit/>
          <w:trHeight w:val="45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7B225F37" w14:textId="77777777" w:rsidR="00765A95" w:rsidRPr="003D48D1" w:rsidRDefault="00765A95" w:rsidP="000254D9">
            <w:pPr>
              <w:spacing w:before="0" w:after="0" w:line="240" w:lineRule="auto"/>
              <w:rPr>
                <w:rFonts w:asciiTheme="minorHAnsi" w:hAnsiTheme="minorHAnsi" w:cstheme="minorHAnsi"/>
                <w:b/>
                <w:bCs/>
                <w:color w:val="auto"/>
                <w:lang w:val="en-AU"/>
              </w:rPr>
            </w:pPr>
            <w:r w:rsidRPr="003D48D1">
              <w:rPr>
                <w:rFonts w:asciiTheme="minorHAnsi" w:hAnsiTheme="minorHAnsi" w:cstheme="minorHAnsi"/>
                <w:b/>
                <w:bCs/>
                <w:color w:val="auto"/>
              </w:rPr>
              <w:t>Ocean Assistance in the Pacific</w:t>
            </w:r>
          </w:p>
        </w:tc>
        <w:tc>
          <w:tcPr>
            <w:tcW w:w="869" w:type="dxa"/>
            <w:hideMark/>
          </w:tcPr>
          <w:p w14:paraId="70ABAFC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058417D4" w14:textId="028F79A6" w:rsidR="00BC0587" w:rsidRPr="003D48D1" w:rsidRDefault="00765A95" w:rsidP="3EC1C99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eastAsia="en-AU"/>
              </w:rPr>
            </w:pPr>
            <w:r w:rsidRPr="003D48D1">
              <w:rPr>
                <w:rFonts w:asciiTheme="minorHAnsi" w:eastAsia="Times New Roman" w:hAnsiTheme="minorHAnsi"/>
                <w:color w:val="auto"/>
                <w:lang w:eastAsia="en-AU"/>
              </w:rPr>
              <w:t>4</w:t>
            </w:r>
          </w:p>
        </w:tc>
        <w:tc>
          <w:tcPr>
            <w:tcW w:w="1134" w:type="dxa"/>
            <w:noWrap/>
            <w:vAlign w:val="center"/>
            <w:hideMark/>
          </w:tcPr>
          <w:p w14:paraId="3792D71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1752543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215F3CE9"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786ED6CA" w14:textId="3A45FE94" w:rsidR="00765A95" w:rsidRPr="003D48D1" w:rsidRDefault="00400C5F" w:rsidP="000254D9">
            <w:pPr>
              <w:spacing w:before="0" w:after="0" w:line="240" w:lineRule="auto"/>
              <w:rPr>
                <w:color w:val="auto"/>
              </w:rPr>
            </w:pPr>
            <w:r w:rsidRPr="003D48D1">
              <w:rPr>
                <w:rFonts w:asciiTheme="minorHAnsi" w:hAnsiTheme="minorHAnsi"/>
                <w:color w:val="auto"/>
              </w:rPr>
              <w:t xml:space="preserve"> </w:t>
            </w:r>
            <w:r w:rsidR="00765A95" w:rsidRPr="003D48D1">
              <w:rPr>
                <w:rFonts w:asciiTheme="minorHAnsi" w:hAnsiTheme="minorHAnsi"/>
                <w:color w:val="auto"/>
              </w:rPr>
              <w:t>Investment duration: 2018-26; Budget: $18.6m</w:t>
            </w:r>
          </w:p>
        </w:tc>
        <w:tc>
          <w:tcPr>
            <w:tcW w:w="869" w:type="dxa"/>
            <w:shd w:val="clear" w:color="auto" w:fill="E0F3EF" w:themeFill="accent1" w:themeFillTint="33"/>
            <w:hideMark/>
          </w:tcPr>
          <w:p w14:paraId="4F330C4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E0F3EF" w:themeFill="accent1" w:themeFillTint="33"/>
            <w:noWrap/>
            <w:hideMark/>
          </w:tcPr>
          <w:p w14:paraId="746AD43C"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shd w:val="clear" w:color="auto" w:fill="E0F3EF" w:themeFill="accent1" w:themeFillTint="33"/>
            <w:noWrap/>
            <w:hideMark/>
          </w:tcPr>
          <w:p w14:paraId="415CF6D6"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E0F3EF" w:themeFill="accent1" w:themeFillTint="33"/>
            <w:noWrap/>
            <w:hideMark/>
          </w:tcPr>
          <w:p w14:paraId="26763F18"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1D4C6023"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5DB06B2B" w14:textId="77777777" w:rsidR="00765A95" w:rsidRPr="003D48D1" w:rsidRDefault="00765A95" w:rsidP="000254D9">
            <w:pPr>
              <w:spacing w:before="0" w:after="0" w:line="240" w:lineRule="auto"/>
              <w:rPr>
                <w:rFonts w:asciiTheme="minorHAnsi" w:hAnsiTheme="minorHAnsi" w:cstheme="minorHAnsi"/>
                <w:color w:val="auto"/>
                <w:lang w:val="en-AU"/>
              </w:rPr>
            </w:pPr>
            <w:r w:rsidRPr="003D48D1">
              <w:rPr>
                <w:rFonts w:asciiTheme="minorHAnsi" w:eastAsia="Times New Roman" w:hAnsiTheme="minorHAnsi" w:cstheme="minorHAnsi"/>
                <w:b/>
                <w:bCs/>
                <w:color w:val="auto"/>
                <w:lang w:eastAsia="en-AU"/>
              </w:rPr>
              <w:t>PACER Plus Implementation Unit</w:t>
            </w:r>
          </w:p>
        </w:tc>
        <w:tc>
          <w:tcPr>
            <w:tcW w:w="869" w:type="dxa"/>
            <w:shd w:val="clear" w:color="auto" w:fill="F2F2F2" w:themeFill="background1" w:themeFillShade="F2"/>
            <w:hideMark/>
          </w:tcPr>
          <w:p w14:paraId="540C371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hideMark/>
          </w:tcPr>
          <w:p w14:paraId="73AB8CA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c>
          <w:tcPr>
            <w:tcW w:w="1134" w:type="dxa"/>
            <w:shd w:val="clear" w:color="auto" w:fill="F2F2F2" w:themeFill="background1" w:themeFillShade="F2"/>
            <w:noWrap/>
            <w:vAlign w:val="center"/>
            <w:hideMark/>
          </w:tcPr>
          <w:p w14:paraId="1740E90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3039325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6903D31E"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1610EB38" w14:textId="77777777" w:rsidR="00765A95" w:rsidRPr="003D48D1" w:rsidRDefault="00765A95" w:rsidP="00F159EE">
            <w:pPr>
              <w:spacing w:before="0" w:after="0" w:line="240" w:lineRule="auto"/>
              <w:rPr>
                <w:rFonts w:asciiTheme="minorHAnsi" w:hAnsiTheme="minorHAnsi" w:cstheme="minorHAnsi"/>
                <w:color w:val="auto"/>
                <w:lang w:val="en-AU"/>
              </w:rPr>
            </w:pPr>
            <w:r w:rsidRPr="003D48D1">
              <w:rPr>
                <w:rFonts w:asciiTheme="minorHAnsi" w:hAnsiTheme="minorHAnsi" w:cstheme="minorHAnsi"/>
                <w:color w:val="auto"/>
              </w:rPr>
              <w:t>Investment duration: 2019-26; Budget: $22.1m</w:t>
            </w:r>
          </w:p>
        </w:tc>
        <w:tc>
          <w:tcPr>
            <w:tcW w:w="869" w:type="dxa"/>
            <w:shd w:val="clear" w:color="auto" w:fill="F2F2F2" w:themeFill="background1" w:themeFillShade="F2"/>
            <w:hideMark/>
          </w:tcPr>
          <w:p w14:paraId="221C8848"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hideMark/>
          </w:tcPr>
          <w:p w14:paraId="3BA4E9D4"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40AB4248"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051A9CF3"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37855F67"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52C7129E" w14:textId="77777777" w:rsidR="00765A95" w:rsidRPr="003D48D1" w:rsidRDefault="00765A95"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eastAsia="en-AU"/>
              </w:rPr>
              <w:t>PACER Plus Support</w:t>
            </w:r>
            <w:r w:rsidRPr="003D48D1">
              <w:rPr>
                <w:rFonts w:asciiTheme="minorHAnsi" w:hAnsiTheme="minorHAnsi" w:cstheme="minorHAnsi"/>
                <w:color w:val="auto"/>
              </w:rPr>
              <w:t xml:space="preserve"> </w:t>
            </w:r>
          </w:p>
        </w:tc>
        <w:tc>
          <w:tcPr>
            <w:tcW w:w="869" w:type="dxa"/>
            <w:hideMark/>
          </w:tcPr>
          <w:p w14:paraId="3A2226B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4B351DB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4FC1D56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5A2423F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54C20CB1"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12A9B8A1" w14:textId="77777777"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Investment duration: 2007-24; Budget: $20.7m</w:t>
            </w:r>
          </w:p>
        </w:tc>
        <w:tc>
          <w:tcPr>
            <w:tcW w:w="869" w:type="dxa"/>
            <w:shd w:val="clear" w:color="auto" w:fill="E0F3EF" w:themeFill="accent1" w:themeFillTint="33"/>
            <w:hideMark/>
          </w:tcPr>
          <w:p w14:paraId="141CB389"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E0F3EF" w:themeFill="accent1" w:themeFillTint="33"/>
            <w:noWrap/>
            <w:vAlign w:val="center"/>
            <w:hideMark/>
          </w:tcPr>
          <w:p w14:paraId="2C204758"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E0F3EF" w:themeFill="accent1" w:themeFillTint="33"/>
            <w:noWrap/>
            <w:vAlign w:val="center"/>
            <w:hideMark/>
          </w:tcPr>
          <w:p w14:paraId="6D5DB3C3"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E0F3EF" w:themeFill="accent1" w:themeFillTint="33"/>
            <w:noWrap/>
            <w:vAlign w:val="center"/>
            <w:hideMark/>
          </w:tcPr>
          <w:p w14:paraId="3EC633E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71A025EB"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tcPr>
          <w:p w14:paraId="336DD218" w14:textId="77777777" w:rsidR="00765A95" w:rsidRPr="003D48D1" w:rsidRDefault="00765A95"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val="en-AU" w:eastAsia="en-AU"/>
              </w:rPr>
              <w:t>Pacific Aviation Support</w:t>
            </w:r>
          </w:p>
        </w:tc>
        <w:tc>
          <w:tcPr>
            <w:tcW w:w="869" w:type="dxa"/>
            <w:shd w:val="clear" w:color="auto" w:fill="F2F2F2" w:themeFill="background1" w:themeFillShade="F2"/>
          </w:tcPr>
          <w:p w14:paraId="1721BCD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tcPr>
          <w:p w14:paraId="04570B1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tcPr>
          <w:p w14:paraId="1A51D3B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tcPr>
          <w:p w14:paraId="5033E334"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376C7141"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tcPr>
          <w:p w14:paraId="27DB9505" w14:textId="77777777"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Investment duration: 2022-23; Budget: $11.5m</w:t>
            </w:r>
          </w:p>
        </w:tc>
        <w:tc>
          <w:tcPr>
            <w:tcW w:w="869" w:type="dxa"/>
            <w:shd w:val="clear" w:color="auto" w:fill="F2F2F2" w:themeFill="background1" w:themeFillShade="F2"/>
          </w:tcPr>
          <w:p w14:paraId="2DF0A2F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tcPr>
          <w:p w14:paraId="03A93993" w14:textId="128E1750"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F2F2F2" w:themeFill="background1" w:themeFillShade="F2"/>
            <w:noWrap/>
            <w:vAlign w:val="center"/>
          </w:tcPr>
          <w:p w14:paraId="0E126D55" w14:textId="3F6297B1"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F2F2F2" w:themeFill="background1" w:themeFillShade="F2"/>
            <w:noWrap/>
            <w:vAlign w:val="center"/>
          </w:tcPr>
          <w:p w14:paraId="73F920CE" w14:textId="07FC6052"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r>
      <w:tr w:rsidR="003D48D1" w:rsidRPr="003D48D1" w14:paraId="0651B6B6"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tcPr>
          <w:p w14:paraId="56418C2D" w14:textId="77777777" w:rsidR="00765A95" w:rsidRPr="003D48D1" w:rsidRDefault="00765A95"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eastAsia="Times New Roman" w:hAnsiTheme="minorHAnsi" w:cstheme="minorHAnsi"/>
                <w:b/>
                <w:bCs/>
                <w:color w:val="auto"/>
                <w:lang w:val="en-AU" w:eastAsia="en-AU"/>
              </w:rPr>
              <w:t>Pacific Bilateral (Multi Country) Security Agreement Program</w:t>
            </w:r>
          </w:p>
        </w:tc>
        <w:tc>
          <w:tcPr>
            <w:tcW w:w="869" w:type="dxa"/>
          </w:tcPr>
          <w:p w14:paraId="2BAB71B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tcPr>
          <w:p w14:paraId="6B364B60"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noWrap/>
            <w:vAlign w:val="center"/>
          </w:tcPr>
          <w:p w14:paraId="1CF6902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tcPr>
          <w:p w14:paraId="3A05A9D9"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326A5315"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tcPr>
          <w:p w14:paraId="07DB2589" w14:textId="5C024634"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 xml:space="preserve">Investment duration: 2020-25; Budget: </w:t>
            </w:r>
            <w:r w:rsidR="005228B0" w:rsidRPr="003D48D1">
              <w:rPr>
                <w:rFonts w:asciiTheme="minorHAnsi" w:eastAsia="Times New Roman" w:hAnsiTheme="minorHAnsi" w:cstheme="minorHAnsi"/>
                <w:color w:val="auto"/>
                <w:lang w:val="en-AU" w:eastAsia="en-AU"/>
              </w:rPr>
              <w:t>$</w:t>
            </w:r>
            <w:r w:rsidRPr="003D48D1">
              <w:rPr>
                <w:rFonts w:asciiTheme="minorHAnsi" w:eastAsia="Times New Roman" w:hAnsiTheme="minorHAnsi" w:cstheme="minorHAnsi"/>
                <w:color w:val="auto"/>
                <w:lang w:val="en-AU" w:eastAsia="en-AU"/>
              </w:rPr>
              <w:t>3.9m</w:t>
            </w:r>
          </w:p>
        </w:tc>
        <w:tc>
          <w:tcPr>
            <w:tcW w:w="869" w:type="dxa"/>
            <w:shd w:val="clear" w:color="auto" w:fill="E0F3EF" w:themeFill="accent1" w:themeFillTint="33"/>
          </w:tcPr>
          <w:p w14:paraId="7D3B9BD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E0F3EF" w:themeFill="accent1" w:themeFillTint="33"/>
            <w:noWrap/>
            <w:vAlign w:val="center"/>
          </w:tcPr>
          <w:p w14:paraId="72D63AE1" w14:textId="637DABD1"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E0F3EF" w:themeFill="accent1" w:themeFillTint="33"/>
            <w:noWrap/>
            <w:vAlign w:val="center"/>
          </w:tcPr>
          <w:p w14:paraId="1F9DB75C" w14:textId="06FFDF26"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E0F3EF" w:themeFill="accent1" w:themeFillTint="33"/>
            <w:noWrap/>
            <w:vAlign w:val="center"/>
          </w:tcPr>
          <w:p w14:paraId="00901460" w14:textId="736A2288"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r>
      <w:tr w:rsidR="003D48D1" w:rsidRPr="003D48D1" w14:paraId="38188424"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34022CEA" w14:textId="77777777" w:rsidR="00765A95" w:rsidRPr="003D48D1" w:rsidRDefault="00765A95" w:rsidP="000254D9">
            <w:pPr>
              <w:spacing w:before="0" w:after="0" w:line="240" w:lineRule="auto"/>
              <w:rPr>
                <w:rFonts w:asciiTheme="minorHAnsi" w:hAnsiTheme="minorHAnsi" w:cstheme="minorHAnsi"/>
                <w:color w:val="auto"/>
                <w:lang w:val="en-AU"/>
              </w:rPr>
            </w:pPr>
            <w:r w:rsidRPr="003D48D1">
              <w:rPr>
                <w:rFonts w:asciiTheme="minorHAnsi" w:eastAsia="Times New Roman" w:hAnsiTheme="minorHAnsi" w:cstheme="minorHAnsi"/>
                <w:b/>
                <w:bCs/>
                <w:color w:val="auto"/>
                <w:lang w:eastAsia="en-AU"/>
              </w:rPr>
              <w:t>Pacific Community (SPC) and Government of Australia Partnership (2021-2023)</w:t>
            </w:r>
          </w:p>
        </w:tc>
        <w:tc>
          <w:tcPr>
            <w:tcW w:w="869" w:type="dxa"/>
            <w:shd w:val="clear" w:color="auto" w:fill="F2F2F2" w:themeFill="background1" w:themeFillShade="F2"/>
            <w:hideMark/>
          </w:tcPr>
          <w:p w14:paraId="5281DBA5"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shd w:val="clear" w:color="auto" w:fill="F2F2F2" w:themeFill="background1" w:themeFillShade="F2"/>
            <w:noWrap/>
            <w:vAlign w:val="center"/>
            <w:hideMark/>
          </w:tcPr>
          <w:p w14:paraId="5AD427D6"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18092BA4"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701" w:type="dxa"/>
            <w:shd w:val="clear" w:color="auto" w:fill="F2F2F2" w:themeFill="background1" w:themeFillShade="F2"/>
            <w:noWrap/>
            <w:vAlign w:val="center"/>
            <w:hideMark/>
          </w:tcPr>
          <w:p w14:paraId="32DBDF76"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599AAD23"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1F921D7D" w14:textId="77777777"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Investment duration: 2021-2026; Budget: $72.2m</w:t>
            </w:r>
          </w:p>
        </w:tc>
        <w:tc>
          <w:tcPr>
            <w:tcW w:w="869" w:type="dxa"/>
            <w:shd w:val="clear" w:color="auto" w:fill="F2F2F2" w:themeFill="background1" w:themeFillShade="F2"/>
            <w:hideMark/>
          </w:tcPr>
          <w:p w14:paraId="43821808"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2022</w:t>
            </w:r>
          </w:p>
        </w:tc>
        <w:tc>
          <w:tcPr>
            <w:tcW w:w="1418" w:type="dxa"/>
            <w:shd w:val="clear" w:color="auto" w:fill="F2F2F2" w:themeFill="background1" w:themeFillShade="F2"/>
            <w:noWrap/>
            <w:vAlign w:val="center"/>
            <w:hideMark/>
          </w:tcPr>
          <w:p w14:paraId="70E0B9A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783F383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701" w:type="dxa"/>
            <w:shd w:val="clear" w:color="auto" w:fill="F2F2F2" w:themeFill="background1" w:themeFillShade="F2"/>
            <w:noWrap/>
            <w:vAlign w:val="center"/>
            <w:hideMark/>
          </w:tcPr>
          <w:p w14:paraId="2C5BD22C"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2146B194"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1DF0F8AD" w14:textId="77777777" w:rsidR="00765A95" w:rsidRPr="003D48D1" w:rsidRDefault="00765A95" w:rsidP="000254D9">
            <w:pPr>
              <w:spacing w:before="0" w:after="0" w:line="240" w:lineRule="auto"/>
              <w:rPr>
                <w:rFonts w:asciiTheme="minorHAnsi" w:eastAsia="Times New Roman" w:hAnsiTheme="minorHAnsi" w:cstheme="minorHAnsi"/>
                <w:color w:val="auto"/>
                <w:lang w:val="en-AU" w:eastAsia="en-AU"/>
              </w:rPr>
            </w:pPr>
            <w:r w:rsidRPr="003D48D1">
              <w:rPr>
                <w:rFonts w:asciiTheme="minorHAnsi" w:eastAsia="Times New Roman" w:hAnsiTheme="minorHAnsi" w:cstheme="minorHAnsi"/>
                <w:b/>
                <w:bCs/>
                <w:color w:val="auto"/>
                <w:lang w:eastAsia="en-AU"/>
              </w:rPr>
              <w:t>Pacific Institutional Linkages</w:t>
            </w:r>
          </w:p>
        </w:tc>
        <w:tc>
          <w:tcPr>
            <w:tcW w:w="869" w:type="dxa"/>
            <w:hideMark/>
          </w:tcPr>
          <w:p w14:paraId="4080B9F9"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noWrap/>
            <w:vAlign w:val="center"/>
            <w:hideMark/>
          </w:tcPr>
          <w:p w14:paraId="256B56FB"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21F4A6A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41A991A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25175404"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30174DCA" w14:textId="77777777"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hAnsiTheme="minorHAnsi" w:cstheme="minorHAnsi"/>
                <w:color w:val="auto"/>
              </w:rPr>
              <w:t>Investment duration: 2019-23; Budget: $3.1m</w:t>
            </w:r>
          </w:p>
        </w:tc>
        <w:tc>
          <w:tcPr>
            <w:tcW w:w="869" w:type="dxa"/>
            <w:shd w:val="clear" w:color="auto" w:fill="E0F3EF" w:themeFill="accent1" w:themeFillTint="33"/>
            <w:hideMark/>
          </w:tcPr>
          <w:p w14:paraId="090FFBC1"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2022</w:t>
            </w:r>
          </w:p>
        </w:tc>
        <w:tc>
          <w:tcPr>
            <w:tcW w:w="1418" w:type="dxa"/>
            <w:shd w:val="clear" w:color="auto" w:fill="E0F3EF" w:themeFill="accent1" w:themeFillTint="33"/>
            <w:noWrap/>
            <w:vAlign w:val="center"/>
            <w:hideMark/>
          </w:tcPr>
          <w:p w14:paraId="4539C586"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shd w:val="clear" w:color="auto" w:fill="E0F3EF" w:themeFill="accent1" w:themeFillTint="33"/>
            <w:noWrap/>
            <w:vAlign w:val="center"/>
            <w:hideMark/>
          </w:tcPr>
          <w:p w14:paraId="545B782D"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E0F3EF" w:themeFill="accent1" w:themeFillTint="33"/>
            <w:noWrap/>
            <w:vAlign w:val="center"/>
            <w:hideMark/>
          </w:tcPr>
          <w:p w14:paraId="541E2FA9"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4BDB36E2"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0AFEED55" w14:textId="77777777" w:rsidR="00765A95" w:rsidRPr="003D48D1" w:rsidRDefault="00765A95" w:rsidP="000254D9">
            <w:pPr>
              <w:spacing w:before="0" w:after="0" w:line="240" w:lineRule="auto"/>
              <w:rPr>
                <w:rFonts w:asciiTheme="minorHAnsi" w:eastAsia="Times New Roman" w:hAnsiTheme="minorHAnsi" w:cstheme="minorHAnsi"/>
                <w:b/>
                <w:bCs/>
                <w:color w:val="auto"/>
                <w:lang w:eastAsia="en-AU"/>
              </w:rPr>
            </w:pPr>
            <w:r w:rsidRPr="003D48D1">
              <w:rPr>
                <w:rFonts w:asciiTheme="minorHAnsi" w:eastAsia="Times New Roman" w:hAnsiTheme="minorHAnsi" w:cstheme="minorHAnsi"/>
                <w:b/>
                <w:bCs/>
                <w:color w:val="auto"/>
                <w:lang w:eastAsia="en-AU"/>
              </w:rPr>
              <w:t>Pacific Labour Mobility and Remittances</w:t>
            </w:r>
          </w:p>
        </w:tc>
        <w:tc>
          <w:tcPr>
            <w:tcW w:w="869" w:type="dxa"/>
            <w:shd w:val="clear" w:color="auto" w:fill="F2F2F2" w:themeFill="background1" w:themeFillShade="F2"/>
            <w:hideMark/>
          </w:tcPr>
          <w:p w14:paraId="70E37B1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2023</w:t>
            </w:r>
          </w:p>
        </w:tc>
        <w:tc>
          <w:tcPr>
            <w:tcW w:w="1418" w:type="dxa"/>
            <w:shd w:val="clear" w:color="auto" w:fill="F2F2F2" w:themeFill="background1" w:themeFillShade="F2"/>
            <w:noWrap/>
            <w:vAlign w:val="center"/>
            <w:hideMark/>
          </w:tcPr>
          <w:p w14:paraId="61F7124D"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5</w:t>
            </w:r>
          </w:p>
        </w:tc>
        <w:tc>
          <w:tcPr>
            <w:tcW w:w="1134" w:type="dxa"/>
            <w:shd w:val="clear" w:color="auto" w:fill="F2F2F2" w:themeFill="background1" w:themeFillShade="F2"/>
            <w:noWrap/>
            <w:vAlign w:val="center"/>
            <w:hideMark/>
          </w:tcPr>
          <w:p w14:paraId="5E85FD18"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c>
          <w:tcPr>
            <w:tcW w:w="1701" w:type="dxa"/>
            <w:shd w:val="clear" w:color="auto" w:fill="F2F2F2" w:themeFill="background1" w:themeFillShade="F2"/>
            <w:noWrap/>
            <w:vAlign w:val="center"/>
            <w:hideMark/>
          </w:tcPr>
          <w:p w14:paraId="554B7BDA"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hAnsiTheme="minorHAnsi" w:cstheme="minorHAnsi"/>
                <w:color w:val="auto"/>
              </w:rPr>
              <w:t>4</w:t>
            </w:r>
          </w:p>
        </w:tc>
      </w:tr>
      <w:tr w:rsidR="003D48D1" w:rsidRPr="003D48D1" w14:paraId="2843F2FF"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33D54A07" w14:textId="77777777"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hAnsiTheme="minorHAnsi" w:cstheme="minorHAnsi"/>
                <w:color w:val="auto"/>
              </w:rPr>
              <w:t>Investment duration: 2017-23; Budget: $104.7m</w:t>
            </w:r>
          </w:p>
        </w:tc>
        <w:tc>
          <w:tcPr>
            <w:tcW w:w="869" w:type="dxa"/>
            <w:shd w:val="clear" w:color="auto" w:fill="F2F2F2" w:themeFill="background1" w:themeFillShade="F2"/>
            <w:hideMark/>
          </w:tcPr>
          <w:p w14:paraId="1885C4CA"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2022</w:t>
            </w:r>
          </w:p>
        </w:tc>
        <w:tc>
          <w:tcPr>
            <w:tcW w:w="1418" w:type="dxa"/>
            <w:shd w:val="clear" w:color="auto" w:fill="F2F2F2" w:themeFill="background1" w:themeFillShade="F2"/>
            <w:noWrap/>
            <w:vAlign w:val="center"/>
            <w:hideMark/>
          </w:tcPr>
          <w:p w14:paraId="5EDB2F7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19B9611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77CDABC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73F5FE5D"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6A58F076" w14:textId="77777777" w:rsidR="00765A95" w:rsidRPr="00F159EE" w:rsidRDefault="00765A95" w:rsidP="000254D9">
            <w:pPr>
              <w:spacing w:before="0" w:after="0" w:line="240" w:lineRule="auto"/>
              <w:rPr>
                <w:rFonts w:asciiTheme="minorHAnsi" w:hAnsiTheme="minorHAnsi" w:cstheme="minorHAnsi"/>
                <w:b/>
                <w:bCs/>
                <w:color w:val="auto"/>
                <w:lang w:val="en-AU"/>
              </w:rPr>
            </w:pPr>
            <w:r w:rsidRPr="00F159EE">
              <w:rPr>
                <w:rFonts w:asciiTheme="minorHAnsi" w:hAnsiTheme="minorHAnsi" w:cstheme="minorHAnsi"/>
                <w:b/>
                <w:bCs/>
                <w:color w:val="auto"/>
              </w:rPr>
              <w:t>Pacific Partnership Facility - Asian Development Bank</w:t>
            </w:r>
          </w:p>
        </w:tc>
        <w:tc>
          <w:tcPr>
            <w:tcW w:w="869" w:type="dxa"/>
            <w:hideMark/>
          </w:tcPr>
          <w:p w14:paraId="710DC06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379BDC1B"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c>
          <w:tcPr>
            <w:tcW w:w="1134" w:type="dxa"/>
            <w:noWrap/>
            <w:vAlign w:val="center"/>
            <w:hideMark/>
          </w:tcPr>
          <w:p w14:paraId="7157CEC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50A563E4"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w:t>
            </w:r>
          </w:p>
        </w:tc>
      </w:tr>
      <w:tr w:rsidR="003D48D1" w:rsidRPr="003D48D1" w14:paraId="3B57403E"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3F2C1C23" w14:textId="5D5A34FF" w:rsidR="00765A95" w:rsidRPr="003D48D1" w:rsidRDefault="00765A95" w:rsidP="00F159EE">
            <w:pPr>
              <w:spacing w:before="0" w:after="0" w:line="240" w:lineRule="auto"/>
              <w:rPr>
                <w:rFonts w:asciiTheme="minorHAnsi" w:hAnsiTheme="minorHAnsi" w:cstheme="minorHAnsi"/>
                <w:color w:val="auto"/>
                <w:lang w:val="en-AU"/>
              </w:rPr>
            </w:pPr>
            <w:r w:rsidRPr="003D48D1">
              <w:rPr>
                <w:rFonts w:asciiTheme="minorHAnsi" w:hAnsiTheme="minorHAnsi" w:cstheme="minorHAnsi"/>
                <w:color w:val="auto"/>
              </w:rPr>
              <w:t>Investment duration: 2017-23; Budget: $15</w:t>
            </w:r>
            <w:r w:rsidR="005228B0" w:rsidRPr="003D48D1">
              <w:rPr>
                <w:rFonts w:asciiTheme="minorHAnsi" w:hAnsiTheme="minorHAnsi" w:cstheme="minorHAnsi"/>
                <w:color w:val="auto"/>
              </w:rPr>
              <w:t>.0</w:t>
            </w:r>
            <w:r w:rsidRPr="003D48D1">
              <w:rPr>
                <w:rFonts w:asciiTheme="minorHAnsi" w:hAnsiTheme="minorHAnsi" w:cstheme="minorHAnsi"/>
                <w:color w:val="auto"/>
              </w:rPr>
              <w:t>m</w:t>
            </w:r>
          </w:p>
        </w:tc>
        <w:tc>
          <w:tcPr>
            <w:tcW w:w="869" w:type="dxa"/>
            <w:shd w:val="clear" w:color="auto" w:fill="E0F3EF" w:themeFill="accent1" w:themeFillTint="33"/>
            <w:hideMark/>
          </w:tcPr>
          <w:p w14:paraId="1A40495A"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E0F3EF" w:themeFill="accent1" w:themeFillTint="33"/>
            <w:noWrap/>
            <w:vAlign w:val="center"/>
            <w:hideMark/>
          </w:tcPr>
          <w:p w14:paraId="2F4AC4F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3</w:t>
            </w:r>
          </w:p>
        </w:tc>
        <w:tc>
          <w:tcPr>
            <w:tcW w:w="1134" w:type="dxa"/>
            <w:shd w:val="clear" w:color="auto" w:fill="E0F3EF" w:themeFill="accent1" w:themeFillTint="33"/>
            <w:noWrap/>
            <w:vAlign w:val="center"/>
            <w:hideMark/>
          </w:tcPr>
          <w:p w14:paraId="6273AF5E"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E0F3EF" w:themeFill="accent1" w:themeFillTint="33"/>
            <w:noWrap/>
            <w:vAlign w:val="center"/>
            <w:hideMark/>
          </w:tcPr>
          <w:p w14:paraId="0B1B8F5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w:t>
            </w:r>
          </w:p>
        </w:tc>
      </w:tr>
      <w:tr w:rsidR="003D48D1" w:rsidRPr="003D48D1" w14:paraId="25387379"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1D486E7B" w14:textId="77777777" w:rsidR="00765A95" w:rsidRPr="003D48D1" w:rsidRDefault="00765A95" w:rsidP="000254D9">
            <w:pPr>
              <w:spacing w:before="0" w:after="0" w:line="240" w:lineRule="auto"/>
              <w:rPr>
                <w:rFonts w:asciiTheme="minorHAnsi" w:hAnsiTheme="minorHAnsi" w:cstheme="minorHAnsi"/>
                <w:color w:val="auto"/>
                <w:lang w:val="en-AU"/>
              </w:rPr>
            </w:pPr>
            <w:r w:rsidRPr="003D48D1">
              <w:rPr>
                <w:rFonts w:asciiTheme="minorHAnsi" w:eastAsia="Times New Roman" w:hAnsiTheme="minorHAnsi" w:cstheme="minorHAnsi"/>
                <w:b/>
                <w:bCs/>
                <w:color w:val="auto"/>
                <w:lang w:eastAsia="en-AU"/>
              </w:rPr>
              <w:t>Pacific Partnership II with IFC</w:t>
            </w:r>
          </w:p>
        </w:tc>
        <w:tc>
          <w:tcPr>
            <w:tcW w:w="869" w:type="dxa"/>
            <w:shd w:val="clear" w:color="auto" w:fill="F2F2F2" w:themeFill="background1" w:themeFillShade="F2"/>
            <w:hideMark/>
          </w:tcPr>
          <w:p w14:paraId="7EC323F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shd w:val="clear" w:color="auto" w:fill="F2F2F2" w:themeFill="background1" w:themeFillShade="F2"/>
            <w:noWrap/>
            <w:vAlign w:val="center"/>
            <w:hideMark/>
          </w:tcPr>
          <w:p w14:paraId="1F48DA2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48E524CA"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c>
          <w:tcPr>
            <w:tcW w:w="1701" w:type="dxa"/>
            <w:shd w:val="clear" w:color="auto" w:fill="F2F2F2" w:themeFill="background1" w:themeFillShade="F2"/>
            <w:noWrap/>
            <w:vAlign w:val="center"/>
            <w:hideMark/>
          </w:tcPr>
          <w:p w14:paraId="19C13C71"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22110A0F"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01B2BA2F" w14:textId="77777777" w:rsidR="00765A95" w:rsidRPr="003D48D1" w:rsidRDefault="00765A95" w:rsidP="00F159EE">
            <w:pPr>
              <w:spacing w:before="0" w:after="0" w:line="240" w:lineRule="auto"/>
              <w:rPr>
                <w:rFonts w:asciiTheme="minorHAnsi" w:hAnsiTheme="minorHAnsi" w:cstheme="minorHAnsi"/>
                <w:color w:val="auto"/>
                <w:lang w:val="en-AU"/>
              </w:rPr>
            </w:pPr>
            <w:r w:rsidRPr="003D48D1">
              <w:rPr>
                <w:rFonts w:asciiTheme="minorHAnsi" w:eastAsia="Times New Roman" w:hAnsiTheme="minorHAnsi" w:cstheme="minorHAnsi"/>
                <w:color w:val="auto"/>
                <w:lang w:val="en-AU" w:eastAsia="en-AU"/>
              </w:rPr>
              <w:t>Investment</w:t>
            </w:r>
            <w:r w:rsidRPr="003D48D1">
              <w:rPr>
                <w:rFonts w:asciiTheme="minorHAnsi" w:hAnsiTheme="minorHAnsi" w:cstheme="minorHAnsi"/>
                <w:color w:val="auto"/>
              </w:rPr>
              <w:t xml:space="preserve"> duration: 2017-23; Budget: $17.7m</w:t>
            </w:r>
          </w:p>
        </w:tc>
        <w:tc>
          <w:tcPr>
            <w:tcW w:w="869" w:type="dxa"/>
            <w:shd w:val="clear" w:color="auto" w:fill="F2F2F2" w:themeFill="background1" w:themeFillShade="F2"/>
            <w:hideMark/>
          </w:tcPr>
          <w:p w14:paraId="409D4CA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2022</w:t>
            </w:r>
          </w:p>
        </w:tc>
        <w:tc>
          <w:tcPr>
            <w:tcW w:w="1418" w:type="dxa"/>
            <w:shd w:val="clear" w:color="auto" w:fill="F2F2F2" w:themeFill="background1" w:themeFillShade="F2"/>
            <w:noWrap/>
            <w:vAlign w:val="center"/>
            <w:hideMark/>
          </w:tcPr>
          <w:p w14:paraId="6D92899F"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29B6794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3</w:t>
            </w:r>
          </w:p>
        </w:tc>
        <w:tc>
          <w:tcPr>
            <w:tcW w:w="1701" w:type="dxa"/>
            <w:shd w:val="clear" w:color="auto" w:fill="F2F2F2" w:themeFill="background1" w:themeFillShade="F2"/>
            <w:noWrap/>
            <w:vAlign w:val="center"/>
            <w:hideMark/>
          </w:tcPr>
          <w:p w14:paraId="5857241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4EC1A7B7"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02BBAAA9" w14:textId="77777777" w:rsidR="00765A95" w:rsidRPr="003D48D1" w:rsidRDefault="00765A95" w:rsidP="000254D9">
            <w:pPr>
              <w:spacing w:before="0" w:after="0" w:line="240" w:lineRule="auto"/>
              <w:rPr>
                <w:rFonts w:asciiTheme="minorHAnsi" w:hAnsiTheme="minorHAnsi" w:cstheme="minorHAnsi"/>
                <w:color w:val="auto"/>
              </w:rPr>
            </w:pPr>
            <w:r w:rsidRPr="003D48D1">
              <w:rPr>
                <w:rFonts w:asciiTheme="minorHAnsi" w:hAnsiTheme="minorHAnsi" w:cstheme="minorHAnsi"/>
                <w:b/>
                <w:bCs/>
                <w:color w:val="auto"/>
              </w:rPr>
              <w:t>Pacific Private Sector Development Initiative (PSDI) Phase IV</w:t>
            </w:r>
          </w:p>
        </w:tc>
        <w:tc>
          <w:tcPr>
            <w:tcW w:w="869" w:type="dxa"/>
            <w:hideMark/>
          </w:tcPr>
          <w:p w14:paraId="748EB44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21A66841"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noWrap/>
            <w:vAlign w:val="center"/>
            <w:hideMark/>
          </w:tcPr>
          <w:p w14:paraId="07FA3E0A"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262AB07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r>
      <w:tr w:rsidR="003D48D1" w:rsidRPr="003D48D1" w14:paraId="7FD2A2D2"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764BFE6E" w14:textId="77777777"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hAnsiTheme="minorHAnsi" w:cstheme="minorHAnsi"/>
                <w:color w:val="auto"/>
              </w:rPr>
              <w:t>Investment duration: 2019-24; Budget: $12.1m</w:t>
            </w:r>
          </w:p>
        </w:tc>
        <w:tc>
          <w:tcPr>
            <w:tcW w:w="869" w:type="dxa"/>
            <w:shd w:val="clear" w:color="auto" w:fill="E0F3EF" w:themeFill="accent1" w:themeFillTint="33"/>
            <w:hideMark/>
          </w:tcPr>
          <w:p w14:paraId="5C6CB1D4"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E0F3EF" w:themeFill="accent1" w:themeFillTint="33"/>
            <w:noWrap/>
            <w:vAlign w:val="center"/>
            <w:hideMark/>
          </w:tcPr>
          <w:p w14:paraId="50EEF33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E0F3EF" w:themeFill="accent1" w:themeFillTint="33"/>
            <w:noWrap/>
            <w:vAlign w:val="center"/>
            <w:hideMark/>
          </w:tcPr>
          <w:p w14:paraId="79F4B58E"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E0F3EF" w:themeFill="accent1" w:themeFillTint="33"/>
            <w:noWrap/>
            <w:vAlign w:val="center"/>
            <w:hideMark/>
          </w:tcPr>
          <w:p w14:paraId="3BE5F41C"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r>
      <w:tr w:rsidR="003D48D1" w:rsidRPr="003D48D1" w14:paraId="1AF53C18"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4EBD4B86" w14:textId="77777777"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t>Pacific Public Administration Governance Initiative</w:t>
            </w:r>
          </w:p>
        </w:tc>
        <w:tc>
          <w:tcPr>
            <w:tcW w:w="869" w:type="dxa"/>
            <w:shd w:val="clear" w:color="auto" w:fill="F2F2F2" w:themeFill="background1" w:themeFillShade="F2"/>
            <w:hideMark/>
          </w:tcPr>
          <w:p w14:paraId="4F07299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shd w:val="clear" w:color="auto" w:fill="F2F2F2" w:themeFill="background1" w:themeFillShade="F2"/>
            <w:noWrap/>
            <w:vAlign w:val="center"/>
            <w:hideMark/>
          </w:tcPr>
          <w:p w14:paraId="60D49FB6"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57FFF8F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701" w:type="dxa"/>
            <w:shd w:val="clear" w:color="auto" w:fill="F2F2F2" w:themeFill="background1" w:themeFillShade="F2"/>
            <w:noWrap/>
            <w:vAlign w:val="center"/>
            <w:hideMark/>
          </w:tcPr>
          <w:p w14:paraId="11FFBCA8"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3A542112"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4D0F2E00" w14:textId="77777777" w:rsidR="00765A95" w:rsidRPr="003D48D1" w:rsidRDefault="00765A95" w:rsidP="00F159EE">
            <w:pPr>
              <w:spacing w:before="0" w:after="0" w:line="240" w:lineRule="auto"/>
              <w:rPr>
                <w:rFonts w:asciiTheme="minorHAnsi" w:hAnsiTheme="minorHAnsi" w:cstheme="minorHAnsi"/>
                <w:color w:val="auto"/>
                <w:lang w:val="en-AU"/>
              </w:rPr>
            </w:pPr>
            <w:r w:rsidRPr="003D48D1">
              <w:rPr>
                <w:rFonts w:asciiTheme="minorHAnsi" w:hAnsiTheme="minorHAnsi" w:cstheme="minorHAnsi"/>
                <w:color w:val="auto"/>
              </w:rPr>
              <w:t>Investment duration: 2014-24; Budget: $24.8m</w:t>
            </w:r>
          </w:p>
        </w:tc>
        <w:tc>
          <w:tcPr>
            <w:tcW w:w="869" w:type="dxa"/>
            <w:shd w:val="clear" w:color="auto" w:fill="F2F2F2" w:themeFill="background1" w:themeFillShade="F2"/>
            <w:hideMark/>
          </w:tcPr>
          <w:p w14:paraId="5A648233"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2022</w:t>
            </w:r>
          </w:p>
        </w:tc>
        <w:tc>
          <w:tcPr>
            <w:tcW w:w="1418" w:type="dxa"/>
            <w:shd w:val="clear" w:color="auto" w:fill="F2F2F2" w:themeFill="background1" w:themeFillShade="F2"/>
            <w:noWrap/>
            <w:vAlign w:val="center"/>
            <w:hideMark/>
          </w:tcPr>
          <w:p w14:paraId="5CE3D450"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2B54EF9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701" w:type="dxa"/>
            <w:shd w:val="clear" w:color="auto" w:fill="F2F2F2" w:themeFill="background1" w:themeFillShade="F2"/>
            <w:noWrap/>
            <w:vAlign w:val="center"/>
            <w:hideMark/>
          </w:tcPr>
          <w:p w14:paraId="7477FDE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3</w:t>
            </w:r>
          </w:p>
        </w:tc>
      </w:tr>
      <w:tr w:rsidR="003D48D1" w:rsidRPr="003D48D1" w14:paraId="66F85ACF" w14:textId="77777777" w:rsidTr="3EC1C998">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tcPr>
          <w:p w14:paraId="48857226" w14:textId="77777777"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t>Pacific Recovery Economic Support (PRES)</w:t>
            </w:r>
          </w:p>
        </w:tc>
        <w:tc>
          <w:tcPr>
            <w:tcW w:w="869" w:type="dxa"/>
          </w:tcPr>
          <w:p w14:paraId="42790800"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noWrap/>
            <w:vAlign w:val="center"/>
          </w:tcPr>
          <w:p w14:paraId="3834CCE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noWrap/>
            <w:vAlign w:val="center"/>
          </w:tcPr>
          <w:p w14:paraId="5CA693A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tcPr>
          <w:p w14:paraId="7D7AB17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4287D918" w14:textId="77777777" w:rsidTr="3EC1C998">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tcBorders>
            <w:shd w:val="clear" w:color="auto" w:fill="E0F3EF" w:themeFill="accent1" w:themeFillTint="33"/>
            <w:vAlign w:val="center"/>
          </w:tcPr>
          <w:p w14:paraId="60C092D6" w14:textId="4AA0341C"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 xml:space="preserve">Investment duration: 2021-32; Budget: </w:t>
            </w:r>
            <w:r w:rsidR="005228B0" w:rsidRPr="003D48D1">
              <w:rPr>
                <w:rFonts w:asciiTheme="minorHAnsi" w:hAnsiTheme="minorHAnsi" w:cstheme="minorHAnsi"/>
                <w:color w:val="auto"/>
              </w:rPr>
              <w:t>$</w:t>
            </w:r>
            <w:r w:rsidRPr="003D48D1">
              <w:rPr>
                <w:rFonts w:asciiTheme="minorHAnsi" w:hAnsiTheme="minorHAnsi" w:cstheme="minorHAnsi"/>
                <w:color w:val="auto"/>
              </w:rPr>
              <w:t>9</w:t>
            </w:r>
            <w:r w:rsidR="005228B0" w:rsidRPr="003D48D1">
              <w:rPr>
                <w:rFonts w:asciiTheme="minorHAnsi" w:hAnsiTheme="minorHAnsi" w:cstheme="minorHAnsi"/>
                <w:color w:val="auto"/>
              </w:rPr>
              <w:t>.0</w:t>
            </w:r>
            <w:r w:rsidRPr="003D48D1">
              <w:rPr>
                <w:rFonts w:asciiTheme="minorHAnsi" w:hAnsiTheme="minorHAnsi" w:cstheme="minorHAnsi"/>
                <w:color w:val="auto"/>
              </w:rPr>
              <w:t>m</w:t>
            </w:r>
          </w:p>
        </w:tc>
        <w:tc>
          <w:tcPr>
            <w:tcW w:w="869" w:type="dxa"/>
            <w:shd w:val="clear" w:color="auto" w:fill="E0F3EF" w:themeFill="accent1" w:themeFillTint="33"/>
          </w:tcPr>
          <w:p w14:paraId="56CDFB33"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2022</w:t>
            </w:r>
          </w:p>
        </w:tc>
        <w:tc>
          <w:tcPr>
            <w:tcW w:w="1418" w:type="dxa"/>
            <w:shd w:val="clear" w:color="auto" w:fill="E0F3EF" w:themeFill="accent1" w:themeFillTint="33"/>
            <w:noWrap/>
            <w:vAlign w:val="center"/>
          </w:tcPr>
          <w:p w14:paraId="372ABD1A" w14:textId="419AA71C"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E0F3EF" w:themeFill="accent1" w:themeFillTint="33"/>
            <w:noWrap/>
            <w:vAlign w:val="center"/>
          </w:tcPr>
          <w:p w14:paraId="7DA565A9" w14:textId="4026669E"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E0F3EF" w:themeFill="accent1" w:themeFillTint="33"/>
            <w:noWrap/>
            <w:vAlign w:val="center"/>
          </w:tcPr>
          <w:p w14:paraId="4D39EEB8" w14:textId="33048BEA" w:rsidR="00765A95" w:rsidRPr="003D48D1" w:rsidRDefault="00F6505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r>
    </w:tbl>
    <w:p w14:paraId="48B2F3CC" w14:textId="77777777" w:rsidR="00BA3977" w:rsidRPr="003D48D1" w:rsidRDefault="00BA3977">
      <w:pPr>
        <w:rPr>
          <w:color w:val="auto"/>
        </w:rPr>
      </w:pPr>
      <w:r w:rsidRPr="003D48D1">
        <w:rPr>
          <w:color w:val="auto"/>
        </w:rPr>
        <w:br w:type="page"/>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505"/>
        <w:gridCol w:w="869"/>
        <w:gridCol w:w="1418"/>
        <w:gridCol w:w="1134"/>
        <w:gridCol w:w="1701"/>
      </w:tblGrid>
      <w:tr w:rsidR="003D48D1" w:rsidRPr="003D48D1" w14:paraId="451D97C5" w14:textId="77777777" w:rsidTr="00BA3977">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tcPr>
          <w:p w14:paraId="70A035CC" w14:textId="77777777"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lastRenderedPageBreak/>
              <w:t>Pacific Regional Health Investment</w:t>
            </w:r>
          </w:p>
        </w:tc>
        <w:tc>
          <w:tcPr>
            <w:tcW w:w="869" w:type="dxa"/>
            <w:shd w:val="clear" w:color="auto" w:fill="F2F2F2" w:themeFill="background1" w:themeFillShade="F2"/>
          </w:tcPr>
          <w:p w14:paraId="4D3CC945" w14:textId="77777777" w:rsidR="00765A95" w:rsidRPr="003D48D1" w:rsidRDefault="00765A95" w:rsidP="000254D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shd w:val="clear" w:color="auto" w:fill="F2F2F2" w:themeFill="background1" w:themeFillShade="F2"/>
            <w:noWrap/>
            <w:vAlign w:val="center"/>
          </w:tcPr>
          <w:p w14:paraId="30024724" w14:textId="77777777" w:rsidR="00765A95" w:rsidRPr="003D48D1" w:rsidRDefault="00765A95" w:rsidP="000254D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tcPr>
          <w:p w14:paraId="626FF935" w14:textId="77777777" w:rsidR="00765A95" w:rsidRPr="003D48D1" w:rsidRDefault="00765A95" w:rsidP="000254D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tcPr>
          <w:p w14:paraId="7CB84AE1" w14:textId="77777777" w:rsidR="00765A95" w:rsidRPr="003D48D1" w:rsidRDefault="00765A95" w:rsidP="000254D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1E72A21E"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tcPr>
          <w:p w14:paraId="1B542820"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2021-28; Budget: $30.5m</w:t>
            </w:r>
          </w:p>
        </w:tc>
        <w:tc>
          <w:tcPr>
            <w:tcW w:w="869" w:type="dxa"/>
            <w:shd w:val="clear" w:color="auto" w:fill="F2F2F2" w:themeFill="background1" w:themeFillShade="F2"/>
          </w:tcPr>
          <w:p w14:paraId="0694190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2022</w:t>
            </w:r>
          </w:p>
        </w:tc>
        <w:tc>
          <w:tcPr>
            <w:tcW w:w="1418" w:type="dxa"/>
            <w:shd w:val="clear" w:color="auto" w:fill="F2F2F2" w:themeFill="background1" w:themeFillShade="F2"/>
            <w:noWrap/>
            <w:vAlign w:val="center"/>
          </w:tcPr>
          <w:p w14:paraId="7A904334" w14:textId="339EBCBE"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F2F2F2" w:themeFill="background1" w:themeFillShade="F2"/>
            <w:noWrap/>
            <w:vAlign w:val="center"/>
          </w:tcPr>
          <w:p w14:paraId="0B6F2E29" w14:textId="157750BB"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F2F2F2" w:themeFill="background1" w:themeFillShade="F2"/>
            <w:noWrap/>
            <w:vAlign w:val="center"/>
          </w:tcPr>
          <w:p w14:paraId="434A8F92" w14:textId="266903D1"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r>
      <w:tr w:rsidR="003D48D1" w:rsidRPr="003D48D1" w14:paraId="6A81990A"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6B385950" w14:textId="77777777" w:rsidR="00765A95" w:rsidRPr="003D48D1" w:rsidRDefault="00765A95"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hAnsiTheme="minorHAnsi" w:cstheme="minorHAnsi"/>
                <w:b/>
                <w:bCs/>
                <w:color w:val="auto"/>
              </w:rPr>
              <w:t>Pacific Regional Infrastructure Facility (PRIF) Phase 4</w:t>
            </w:r>
          </w:p>
        </w:tc>
        <w:tc>
          <w:tcPr>
            <w:tcW w:w="869" w:type="dxa"/>
            <w:hideMark/>
          </w:tcPr>
          <w:p w14:paraId="6BC73664"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2023</w:t>
            </w:r>
          </w:p>
        </w:tc>
        <w:tc>
          <w:tcPr>
            <w:tcW w:w="1418" w:type="dxa"/>
            <w:noWrap/>
            <w:vAlign w:val="center"/>
            <w:hideMark/>
          </w:tcPr>
          <w:p w14:paraId="547E7C8F"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137D58E3"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4AC7B543"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7E75F0B6"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08D8FC56" w14:textId="77777777" w:rsidR="00765A95" w:rsidRPr="003D48D1" w:rsidRDefault="00765A95" w:rsidP="00F159EE">
            <w:pPr>
              <w:spacing w:before="0" w:after="0" w:line="240" w:lineRule="auto"/>
              <w:rPr>
                <w:rFonts w:asciiTheme="minorHAnsi" w:hAnsiTheme="minorHAnsi" w:cstheme="minorHAnsi"/>
                <w:color w:val="auto"/>
                <w:lang w:val="en-AU"/>
              </w:rPr>
            </w:pPr>
            <w:r w:rsidRPr="003D48D1">
              <w:rPr>
                <w:rFonts w:asciiTheme="minorHAnsi" w:hAnsiTheme="minorHAnsi" w:cstheme="minorHAnsi"/>
                <w:color w:val="auto"/>
              </w:rPr>
              <w:t>Investment duration: 2021-24; Budget: $6.1m</w:t>
            </w:r>
          </w:p>
        </w:tc>
        <w:tc>
          <w:tcPr>
            <w:tcW w:w="869" w:type="dxa"/>
            <w:hideMark/>
          </w:tcPr>
          <w:p w14:paraId="075531B5"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2022</w:t>
            </w:r>
          </w:p>
        </w:tc>
        <w:tc>
          <w:tcPr>
            <w:tcW w:w="1418" w:type="dxa"/>
            <w:noWrap/>
            <w:vAlign w:val="center"/>
            <w:hideMark/>
          </w:tcPr>
          <w:p w14:paraId="6A60A4A6"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1899617A"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4F3D51B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01226847"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0DA07EA4" w14:textId="77777777" w:rsidR="00765A95" w:rsidRPr="003D48D1" w:rsidRDefault="00765A95" w:rsidP="000254D9">
            <w:pPr>
              <w:spacing w:before="0" w:after="0" w:line="240" w:lineRule="auto"/>
              <w:rPr>
                <w:rFonts w:asciiTheme="minorHAnsi" w:hAnsiTheme="minorHAnsi" w:cstheme="minorHAnsi"/>
                <w:b/>
                <w:bCs/>
                <w:color w:val="auto"/>
                <w:lang w:val="en-AU"/>
              </w:rPr>
            </w:pPr>
            <w:r w:rsidRPr="003D48D1">
              <w:rPr>
                <w:rFonts w:asciiTheme="minorHAnsi" w:hAnsiTheme="minorHAnsi" w:cstheme="minorHAnsi"/>
                <w:b/>
                <w:bCs/>
                <w:color w:val="auto"/>
              </w:rPr>
              <w:t>Pacific Regional Market Access (PHAMA Plus)</w:t>
            </w:r>
          </w:p>
        </w:tc>
        <w:tc>
          <w:tcPr>
            <w:tcW w:w="869" w:type="dxa"/>
            <w:shd w:val="clear" w:color="auto" w:fill="F2F2F2" w:themeFill="background1" w:themeFillShade="F2"/>
            <w:hideMark/>
          </w:tcPr>
          <w:p w14:paraId="61270B41"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hideMark/>
          </w:tcPr>
          <w:p w14:paraId="31E7A6DD"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1EF9357E"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5985E80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5FAA79AF"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20070D37"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2018-26; Budget: $53.5m</w:t>
            </w:r>
          </w:p>
        </w:tc>
        <w:tc>
          <w:tcPr>
            <w:tcW w:w="869" w:type="dxa"/>
            <w:shd w:val="clear" w:color="auto" w:fill="F2F2F2" w:themeFill="background1" w:themeFillShade="F2"/>
            <w:hideMark/>
          </w:tcPr>
          <w:p w14:paraId="4992AAE8"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hideMark/>
          </w:tcPr>
          <w:p w14:paraId="1AB366E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6F7F7B31"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08A5E76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3475C218"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tcPr>
          <w:p w14:paraId="2A0B1BAC" w14:textId="77777777"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t>Pacific Research Program – Phase 2</w:t>
            </w:r>
          </w:p>
        </w:tc>
        <w:tc>
          <w:tcPr>
            <w:tcW w:w="869" w:type="dxa"/>
          </w:tcPr>
          <w:p w14:paraId="07315AF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tcPr>
          <w:p w14:paraId="0B7AB801"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noWrap/>
            <w:vAlign w:val="center"/>
          </w:tcPr>
          <w:p w14:paraId="7DF1B9C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tcPr>
          <w:p w14:paraId="3D71091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044F2B37"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tcPr>
          <w:p w14:paraId="24A3E24B"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2022-26; Budget $20.2m</w:t>
            </w:r>
          </w:p>
        </w:tc>
        <w:tc>
          <w:tcPr>
            <w:tcW w:w="869" w:type="dxa"/>
          </w:tcPr>
          <w:p w14:paraId="3E2D2D5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noWrap/>
            <w:vAlign w:val="center"/>
          </w:tcPr>
          <w:p w14:paraId="66313121" w14:textId="728A8A2B"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134" w:type="dxa"/>
            <w:noWrap/>
            <w:vAlign w:val="center"/>
          </w:tcPr>
          <w:p w14:paraId="0836A69E" w14:textId="0093D870"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701" w:type="dxa"/>
            <w:noWrap/>
            <w:vAlign w:val="center"/>
          </w:tcPr>
          <w:p w14:paraId="33A2B6E5" w14:textId="17E8DEFE"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r>
      <w:tr w:rsidR="003D48D1" w:rsidRPr="003D48D1" w14:paraId="6B5FA6A5"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tcPr>
          <w:p w14:paraId="6C397D0C" w14:textId="77777777"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t>Pacific Women Lead</w:t>
            </w:r>
          </w:p>
        </w:tc>
        <w:tc>
          <w:tcPr>
            <w:tcW w:w="869" w:type="dxa"/>
            <w:shd w:val="clear" w:color="auto" w:fill="F2F2F2" w:themeFill="background1" w:themeFillShade="F2"/>
          </w:tcPr>
          <w:p w14:paraId="747F2BA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tcPr>
          <w:p w14:paraId="4DBB3821"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tcPr>
          <w:p w14:paraId="22653151"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tcPr>
          <w:p w14:paraId="1F21B669"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r>
      <w:tr w:rsidR="003D48D1" w:rsidRPr="003D48D1" w14:paraId="27E6C05D"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tcPr>
          <w:p w14:paraId="4F88F33D" w14:textId="0BC3A299"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 xml:space="preserve">Investment duration: 2020-26; Budget: </w:t>
            </w:r>
            <w:r w:rsidR="003620DA" w:rsidRPr="003D48D1">
              <w:rPr>
                <w:rFonts w:asciiTheme="minorHAnsi" w:hAnsiTheme="minorHAnsi" w:cstheme="minorHAnsi"/>
                <w:color w:val="auto"/>
              </w:rPr>
              <w:t>$</w:t>
            </w:r>
            <w:r w:rsidRPr="003D48D1">
              <w:rPr>
                <w:rFonts w:asciiTheme="minorHAnsi" w:hAnsiTheme="minorHAnsi" w:cstheme="minorHAnsi"/>
                <w:color w:val="auto"/>
              </w:rPr>
              <w:t>10</w:t>
            </w:r>
            <w:r w:rsidR="008D7FA4" w:rsidRPr="003D48D1">
              <w:rPr>
                <w:rFonts w:asciiTheme="minorHAnsi" w:hAnsiTheme="minorHAnsi" w:cstheme="minorHAnsi"/>
                <w:color w:val="auto"/>
              </w:rPr>
              <w:t>3.</w:t>
            </w:r>
            <w:r w:rsidR="0099552A" w:rsidRPr="003D48D1">
              <w:rPr>
                <w:rFonts w:asciiTheme="minorHAnsi" w:hAnsiTheme="minorHAnsi" w:cstheme="minorHAnsi"/>
                <w:color w:val="auto"/>
              </w:rPr>
              <w:t>0</w:t>
            </w:r>
            <w:r w:rsidRPr="003D48D1">
              <w:rPr>
                <w:rFonts w:asciiTheme="minorHAnsi" w:hAnsiTheme="minorHAnsi" w:cstheme="minorHAnsi"/>
                <w:color w:val="auto"/>
              </w:rPr>
              <w:t>m</w:t>
            </w:r>
          </w:p>
        </w:tc>
        <w:tc>
          <w:tcPr>
            <w:tcW w:w="869" w:type="dxa"/>
            <w:shd w:val="clear" w:color="auto" w:fill="F2F2F2" w:themeFill="background1" w:themeFillShade="F2"/>
          </w:tcPr>
          <w:p w14:paraId="53E84932"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tcPr>
          <w:p w14:paraId="114CDB6F" w14:textId="5D2B4FAC"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F2F2F2" w:themeFill="background1" w:themeFillShade="F2"/>
            <w:noWrap/>
            <w:vAlign w:val="center"/>
          </w:tcPr>
          <w:p w14:paraId="4C8AE3C0" w14:textId="49ECB282"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F2F2F2" w:themeFill="background1" w:themeFillShade="F2"/>
            <w:noWrap/>
            <w:vAlign w:val="center"/>
          </w:tcPr>
          <w:p w14:paraId="07501FF5" w14:textId="59F04962"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r>
      <w:tr w:rsidR="003D48D1" w:rsidRPr="003D48D1" w14:paraId="44CE1B8F"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135EAD77" w14:textId="77777777" w:rsidR="00765A95" w:rsidRPr="003D48D1" w:rsidRDefault="00765A95" w:rsidP="000254D9">
            <w:pPr>
              <w:spacing w:before="0" w:after="0" w:line="240" w:lineRule="auto"/>
              <w:rPr>
                <w:rFonts w:asciiTheme="minorHAnsi" w:hAnsiTheme="minorHAnsi" w:cstheme="minorHAnsi"/>
                <w:color w:val="auto"/>
                <w:lang w:val="en-AU"/>
              </w:rPr>
            </w:pPr>
            <w:r w:rsidRPr="003D48D1">
              <w:rPr>
                <w:rFonts w:asciiTheme="minorHAnsi" w:eastAsia="Times New Roman" w:hAnsiTheme="minorHAnsi" w:cstheme="minorHAnsi"/>
                <w:b/>
                <w:bCs/>
                <w:color w:val="auto"/>
                <w:lang w:eastAsia="en-AU"/>
              </w:rPr>
              <w:t>Partnerships for Social Protection (P4SP)</w:t>
            </w:r>
          </w:p>
        </w:tc>
        <w:tc>
          <w:tcPr>
            <w:tcW w:w="869" w:type="dxa"/>
            <w:hideMark/>
          </w:tcPr>
          <w:p w14:paraId="323166CD"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2C41A5A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134" w:type="dxa"/>
            <w:noWrap/>
            <w:vAlign w:val="center"/>
            <w:hideMark/>
          </w:tcPr>
          <w:p w14:paraId="6D7C058D"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701" w:type="dxa"/>
            <w:noWrap/>
            <w:vAlign w:val="center"/>
            <w:hideMark/>
          </w:tcPr>
          <w:p w14:paraId="49EDD9EC"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r>
      <w:tr w:rsidR="003D48D1" w:rsidRPr="003D48D1" w14:paraId="22C1B15D"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32041B36" w14:textId="48435555" w:rsidR="00765A95" w:rsidRPr="003D48D1" w:rsidRDefault="00765A95" w:rsidP="00F159EE">
            <w:pPr>
              <w:spacing w:before="0" w:after="0" w:line="240" w:lineRule="auto"/>
              <w:rPr>
                <w:rFonts w:asciiTheme="minorHAnsi" w:hAnsiTheme="minorHAnsi" w:cstheme="minorHAnsi"/>
                <w:color w:val="auto"/>
                <w:lang w:val="en-AU"/>
              </w:rPr>
            </w:pPr>
            <w:r w:rsidRPr="003D48D1">
              <w:rPr>
                <w:rFonts w:asciiTheme="minorHAnsi" w:hAnsiTheme="minorHAnsi" w:cstheme="minorHAnsi"/>
                <w:color w:val="auto"/>
              </w:rPr>
              <w:t>Investment duration:2020-25; Budget: $20</w:t>
            </w:r>
            <w:r w:rsidR="003620DA" w:rsidRPr="003D48D1">
              <w:rPr>
                <w:rFonts w:asciiTheme="minorHAnsi" w:hAnsiTheme="minorHAnsi" w:cstheme="minorHAnsi"/>
                <w:color w:val="auto"/>
              </w:rPr>
              <w:t>.0</w:t>
            </w:r>
            <w:r w:rsidRPr="003D48D1">
              <w:rPr>
                <w:rFonts w:asciiTheme="minorHAnsi" w:hAnsiTheme="minorHAnsi" w:cstheme="minorHAnsi"/>
                <w:color w:val="auto"/>
              </w:rPr>
              <w:t>m</w:t>
            </w:r>
          </w:p>
        </w:tc>
        <w:tc>
          <w:tcPr>
            <w:tcW w:w="869" w:type="dxa"/>
            <w:hideMark/>
          </w:tcPr>
          <w:p w14:paraId="6294AD6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noWrap/>
            <w:vAlign w:val="center"/>
            <w:hideMark/>
          </w:tcPr>
          <w:p w14:paraId="7CCDFB05"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noWrap/>
            <w:vAlign w:val="center"/>
            <w:hideMark/>
          </w:tcPr>
          <w:p w14:paraId="0523F98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5027D275"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r>
      <w:tr w:rsidR="003D48D1" w:rsidRPr="003D48D1" w14:paraId="4CEAA730"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7BBE14F9" w14:textId="77777777"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t>Reducing the Cost of Remittances to the Pacific 2020 to 2025</w:t>
            </w:r>
          </w:p>
        </w:tc>
        <w:tc>
          <w:tcPr>
            <w:tcW w:w="869" w:type="dxa"/>
            <w:shd w:val="clear" w:color="auto" w:fill="F2F2F2" w:themeFill="background1" w:themeFillShade="F2"/>
            <w:hideMark/>
          </w:tcPr>
          <w:p w14:paraId="46378CA4"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hideMark/>
          </w:tcPr>
          <w:p w14:paraId="5C1B56E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1FE1C844"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33CCA53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1C6D7B93"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611CBA79"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2020-25; Budget: $3.4m</w:t>
            </w:r>
          </w:p>
        </w:tc>
        <w:tc>
          <w:tcPr>
            <w:tcW w:w="869" w:type="dxa"/>
            <w:shd w:val="clear" w:color="auto" w:fill="F2F2F2" w:themeFill="background1" w:themeFillShade="F2"/>
            <w:hideMark/>
          </w:tcPr>
          <w:p w14:paraId="262A8C39"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hideMark/>
          </w:tcPr>
          <w:p w14:paraId="49523F7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735ACE5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701" w:type="dxa"/>
            <w:shd w:val="clear" w:color="auto" w:fill="F2F2F2" w:themeFill="background1" w:themeFillShade="F2"/>
            <w:noWrap/>
            <w:vAlign w:val="center"/>
            <w:hideMark/>
          </w:tcPr>
          <w:p w14:paraId="7DAACC5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7A14CD70"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2F2A6DC7" w14:textId="77777777" w:rsidR="00765A95" w:rsidRPr="003D48D1" w:rsidRDefault="00765A95"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hAnsiTheme="minorHAnsi" w:cstheme="minorHAnsi"/>
                <w:b/>
                <w:bCs/>
                <w:color w:val="auto"/>
              </w:rPr>
              <w:t>Response Package – Direct Financing</w:t>
            </w:r>
          </w:p>
        </w:tc>
        <w:tc>
          <w:tcPr>
            <w:tcW w:w="869" w:type="dxa"/>
            <w:hideMark/>
          </w:tcPr>
          <w:p w14:paraId="09C227B0"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78794DD8"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60AC5F89"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701" w:type="dxa"/>
            <w:noWrap/>
            <w:vAlign w:val="center"/>
            <w:hideMark/>
          </w:tcPr>
          <w:p w14:paraId="4FDA0594"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77EE1FBC"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0B1A3741" w14:textId="77777777"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hAnsiTheme="minorHAnsi" w:cstheme="minorHAnsi"/>
                <w:color w:val="auto"/>
              </w:rPr>
              <w:t>Investment duration: 2020-23; Budget: $274.3m</w:t>
            </w:r>
          </w:p>
        </w:tc>
        <w:tc>
          <w:tcPr>
            <w:tcW w:w="869" w:type="dxa"/>
            <w:hideMark/>
          </w:tcPr>
          <w:p w14:paraId="07C66BF1"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noWrap/>
            <w:vAlign w:val="center"/>
            <w:hideMark/>
          </w:tcPr>
          <w:p w14:paraId="6227C049"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2A08922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701" w:type="dxa"/>
            <w:noWrap/>
            <w:vAlign w:val="center"/>
            <w:hideMark/>
          </w:tcPr>
          <w:p w14:paraId="25DBAFA5"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35E0C342"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tcPr>
          <w:p w14:paraId="0544647D" w14:textId="77777777"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t>SPC Human Rights and Social Development Support (HRSD)</w:t>
            </w:r>
          </w:p>
        </w:tc>
        <w:tc>
          <w:tcPr>
            <w:tcW w:w="869" w:type="dxa"/>
            <w:shd w:val="clear" w:color="auto" w:fill="F2F2F2" w:themeFill="background1" w:themeFillShade="F2"/>
          </w:tcPr>
          <w:p w14:paraId="2BCFC62F"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tcPr>
          <w:p w14:paraId="5CF2CA7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c>
          <w:tcPr>
            <w:tcW w:w="1134" w:type="dxa"/>
            <w:shd w:val="clear" w:color="auto" w:fill="F2F2F2" w:themeFill="background1" w:themeFillShade="F2"/>
            <w:noWrap/>
            <w:vAlign w:val="center"/>
          </w:tcPr>
          <w:p w14:paraId="694D5B4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c>
          <w:tcPr>
            <w:tcW w:w="1701" w:type="dxa"/>
            <w:shd w:val="clear" w:color="auto" w:fill="F2F2F2" w:themeFill="background1" w:themeFillShade="F2"/>
            <w:noWrap/>
            <w:vAlign w:val="center"/>
          </w:tcPr>
          <w:p w14:paraId="57B42AF4"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4372FF36"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tcPr>
          <w:p w14:paraId="0AAF950B"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2022-26; Budget: $7.7m</w:t>
            </w:r>
          </w:p>
        </w:tc>
        <w:tc>
          <w:tcPr>
            <w:tcW w:w="869" w:type="dxa"/>
            <w:shd w:val="clear" w:color="auto" w:fill="F2F2F2" w:themeFill="background1" w:themeFillShade="F2"/>
          </w:tcPr>
          <w:p w14:paraId="0CF5873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tcPr>
          <w:p w14:paraId="4250EFA5" w14:textId="0575D18E"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134" w:type="dxa"/>
            <w:shd w:val="clear" w:color="auto" w:fill="F2F2F2" w:themeFill="background1" w:themeFillShade="F2"/>
            <w:noWrap/>
            <w:vAlign w:val="center"/>
          </w:tcPr>
          <w:p w14:paraId="36065C4B" w14:textId="33B713A9"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701" w:type="dxa"/>
            <w:shd w:val="clear" w:color="auto" w:fill="F2F2F2" w:themeFill="background1" w:themeFillShade="F2"/>
            <w:noWrap/>
            <w:vAlign w:val="center"/>
          </w:tcPr>
          <w:p w14:paraId="2D0F6A6F" w14:textId="11F16449"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r>
      <w:tr w:rsidR="003D48D1" w:rsidRPr="003D48D1" w14:paraId="765EDFF9"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tcPr>
          <w:p w14:paraId="03BC4494" w14:textId="77777777"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t>Support for Pacific Statistics</w:t>
            </w:r>
          </w:p>
        </w:tc>
        <w:tc>
          <w:tcPr>
            <w:tcW w:w="869" w:type="dxa"/>
          </w:tcPr>
          <w:p w14:paraId="689F9FB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tcPr>
          <w:p w14:paraId="4EBFAB1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134" w:type="dxa"/>
            <w:noWrap/>
            <w:vAlign w:val="center"/>
          </w:tcPr>
          <w:p w14:paraId="2A13693F"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tcPr>
          <w:p w14:paraId="45B97233"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2CE7B6DE"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tcPr>
          <w:p w14:paraId="30C33E4E"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2022-28; Budget: $9.7m</w:t>
            </w:r>
          </w:p>
        </w:tc>
        <w:tc>
          <w:tcPr>
            <w:tcW w:w="869" w:type="dxa"/>
          </w:tcPr>
          <w:p w14:paraId="4D3A111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noWrap/>
            <w:vAlign w:val="center"/>
          </w:tcPr>
          <w:p w14:paraId="47ADDE78" w14:textId="5E11C669"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134" w:type="dxa"/>
            <w:noWrap/>
            <w:vAlign w:val="center"/>
          </w:tcPr>
          <w:p w14:paraId="743C6FE4" w14:textId="6B1C8674"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c>
          <w:tcPr>
            <w:tcW w:w="1701" w:type="dxa"/>
            <w:noWrap/>
            <w:vAlign w:val="center"/>
          </w:tcPr>
          <w:p w14:paraId="4D9D76E9" w14:textId="17DAEA8D" w:rsidR="00765A95" w:rsidRPr="003D48D1" w:rsidRDefault="00F6505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olor w:val="auto"/>
                <w:lang w:eastAsia="en-AU"/>
              </w:rPr>
              <w:t>N/A</w:t>
            </w:r>
          </w:p>
        </w:tc>
      </w:tr>
      <w:tr w:rsidR="003D48D1" w:rsidRPr="003D48D1" w14:paraId="42F1B03D"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505F1D8B" w14:textId="77777777" w:rsidR="00765A95" w:rsidRPr="003D48D1" w:rsidRDefault="00765A95" w:rsidP="000254D9">
            <w:pPr>
              <w:spacing w:before="0" w:after="0" w:line="240" w:lineRule="auto"/>
              <w:rPr>
                <w:rFonts w:asciiTheme="minorHAnsi" w:hAnsiTheme="minorHAnsi" w:cstheme="minorHAnsi"/>
                <w:color w:val="auto"/>
                <w:lang w:val="en-AU"/>
              </w:rPr>
            </w:pPr>
            <w:r w:rsidRPr="003D48D1">
              <w:rPr>
                <w:rFonts w:asciiTheme="minorHAnsi" w:eastAsia="Times New Roman" w:hAnsiTheme="minorHAnsi" w:cstheme="minorHAnsi"/>
                <w:b/>
                <w:bCs/>
                <w:color w:val="auto"/>
                <w:lang w:eastAsia="en-AU"/>
              </w:rPr>
              <w:t>Support for the Secretariat of the Pacific</w:t>
            </w:r>
            <w:r w:rsidRPr="003D48D1">
              <w:rPr>
                <w:rFonts w:asciiTheme="minorHAnsi" w:hAnsiTheme="minorHAnsi" w:cstheme="minorHAnsi"/>
                <w:color w:val="auto"/>
              </w:rPr>
              <w:t xml:space="preserve"> </w:t>
            </w:r>
            <w:r w:rsidRPr="003D48D1">
              <w:rPr>
                <w:rFonts w:asciiTheme="minorHAnsi" w:eastAsia="Times New Roman" w:hAnsiTheme="minorHAnsi" w:cstheme="minorHAnsi"/>
                <w:b/>
                <w:bCs/>
                <w:color w:val="auto"/>
                <w:lang w:eastAsia="en-AU"/>
              </w:rPr>
              <w:t>Regional Environment</w:t>
            </w:r>
            <w:r w:rsidRPr="003D48D1">
              <w:rPr>
                <w:rFonts w:asciiTheme="minorHAnsi" w:hAnsiTheme="minorHAnsi" w:cstheme="minorHAnsi"/>
                <w:color w:val="auto"/>
              </w:rPr>
              <w:t xml:space="preserve"> </w:t>
            </w:r>
            <w:r w:rsidRPr="003D48D1">
              <w:rPr>
                <w:rFonts w:asciiTheme="minorHAnsi" w:eastAsia="Times New Roman" w:hAnsiTheme="minorHAnsi" w:cstheme="minorHAnsi"/>
                <w:b/>
                <w:bCs/>
                <w:color w:val="auto"/>
                <w:lang w:eastAsia="en-AU"/>
              </w:rPr>
              <w:t>Programme</w:t>
            </w:r>
          </w:p>
        </w:tc>
        <w:tc>
          <w:tcPr>
            <w:tcW w:w="869" w:type="dxa"/>
            <w:shd w:val="clear" w:color="auto" w:fill="F2F2F2" w:themeFill="background1" w:themeFillShade="F2"/>
            <w:hideMark/>
          </w:tcPr>
          <w:p w14:paraId="6BFD2E7E"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hideMark/>
          </w:tcPr>
          <w:p w14:paraId="6AED7F2C"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3434AE4D"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640F886D"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117A4550"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4D02EA8D" w14:textId="0576B9E3" w:rsidR="00765A95"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hAnsiTheme="minorHAnsi" w:cstheme="minorHAnsi"/>
                <w:color w:val="auto"/>
              </w:rPr>
              <w:t>Investment duration: 2022-26; Budget: $32.</w:t>
            </w:r>
            <w:r w:rsidR="007F16E5" w:rsidRPr="003D48D1">
              <w:rPr>
                <w:rFonts w:asciiTheme="minorHAnsi" w:hAnsiTheme="minorHAnsi" w:cstheme="minorHAnsi"/>
                <w:color w:val="auto"/>
              </w:rPr>
              <w:t>5</w:t>
            </w:r>
            <w:r w:rsidRPr="003D48D1">
              <w:rPr>
                <w:rFonts w:asciiTheme="minorHAnsi" w:hAnsiTheme="minorHAnsi" w:cstheme="minorHAnsi"/>
                <w:color w:val="auto"/>
              </w:rPr>
              <w:t>m</w:t>
            </w:r>
          </w:p>
        </w:tc>
        <w:tc>
          <w:tcPr>
            <w:tcW w:w="869" w:type="dxa"/>
            <w:shd w:val="clear" w:color="auto" w:fill="F2F2F2" w:themeFill="background1" w:themeFillShade="F2"/>
            <w:hideMark/>
          </w:tcPr>
          <w:p w14:paraId="03ED0DA0"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hideMark/>
          </w:tcPr>
          <w:p w14:paraId="383063E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33757846"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3C93E9B9"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3</w:t>
            </w:r>
          </w:p>
        </w:tc>
      </w:tr>
      <w:tr w:rsidR="003D48D1" w:rsidRPr="003D48D1" w14:paraId="75E11CC1"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1AC1BF25" w14:textId="77777777" w:rsidR="00765A95" w:rsidRPr="00F159EE" w:rsidRDefault="00765A95" w:rsidP="000254D9">
            <w:pPr>
              <w:spacing w:before="0" w:after="0" w:line="240" w:lineRule="auto"/>
              <w:rPr>
                <w:rFonts w:asciiTheme="minorHAnsi" w:hAnsiTheme="minorHAnsi" w:cstheme="minorHAnsi"/>
                <w:b/>
                <w:bCs/>
                <w:color w:val="auto"/>
                <w:lang w:val="en-AU"/>
              </w:rPr>
            </w:pPr>
            <w:r w:rsidRPr="00F159EE">
              <w:rPr>
                <w:rFonts w:asciiTheme="minorHAnsi" w:hAnsiTheme="minorHAnsi" w:cstheme="minorHAnsi"/>
                <w:b/>
                <w:bCs/>
                <w:color w:val="auto"/>
              </w:rPr>
              <w:t>Support to Ten Year Pacific Statistics Strategy</w:t>
            </w:r>
          </w:p>
        </w:tc>
        <w:tc>
          <w:tcPr>
            <w:tcW w:w="869" w:type="dxa"/>
            <w:hideMark/>
          </w:tcPr>
          <w:p w14:paraId="15CEA0F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330127BA"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134" w:type="dxa"/>
            <w:noWrap/>
            <w:vAlign w:val="center"/>
            <w:hideMark/>
          </w:tcPr>
          <w:p w14:paraId="4E5DCCCE"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7F86EA8D"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2C6F9D54"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581909EE" w14:textId="75639B09" w:rsidR="003620DA" w:rsidRPr="003D48D1" w:rsidRDefault="00765A95" w:rsidP="00F159EE">
            <w:pPr>
              <w:spacing w:before="0" w:after="0" w:line="240" w:lineRule="auto"/>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Investment duration: 2014-22; Budget: $17.1m</w:t>
            </w:r>
          </w:p>
        </w:tc>
        <w:tc>
          <w:tcPr>
            <w:tcW w:w="869" w:type="dxa"/>
            <w:hideMark/>
          </w:tcPr>
          <w:p w14:paraId="539EC601"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noWrap/>
            <w:vAlign w:val="center"/>
            <w:hideMark/>
          </w:tcPr>
          <w:p w14:paraId="0D1EE657"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75774024"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7AE4892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7E22E90D"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50F35D7B" w14:textId="3268B339" w:rsidR="00765A95" w:rsidRPr="003D48D1" w:rsidRDefault="004547D6" w:rsidP="000254D9">
            <w:pPr>
              <w:spacing w:before="0" w:after="0" w:line="240" w:lineRule="auto"/>
              <w:rPr>
                <w:rFonts w:asciiTheme="minorHAnsi" w:eastAsia="Times New Roman" w:hAnsiTheme="minorHAnsi" w:cstheme="minorHAnsi"/>
                <w:b/>
                <w:bCs/>
                <w:color w:val="auto"/>
                <w:lang w:val="en-AU" w:eastAsia="en-AU"/>
              </w:rPr>
            </w:pPr>
            <w:r w:rsidRPr="003D48D1">
              <w:rPr>
                <w:rFonts w:asciiTheme="minorHAnsi" w:hAnsiTheme="minorHAnsi" w:cstheme="minorHAnsi"/>
                <w:b/>
                <w:bCs/>
                <w:color w:val="auto"/>
              </w:rPr>
              <w:t>S</w:t>
            </w:r>
            <w:r w:rsidR="00765A95" w:rsidRPr="003D48D1">
              <w:rPr>
                <w:rFonts w:asciiTheme="minorHAnsi" w:hAnsiTheme="minorHAnsi" w:cstheme="minorHAnsi"/>
                <w:b/>
                <w:bCs/>
                <w:color w:val="auto"/>
              </w:rPr>
              <w:t>ustainable Pacific Air Connectivity Program</w:t>
            </w:r>
          </w:p>
        </w:tc>
        <w:tc>
          <w:tcPr>
            <w:tcW w:w="869" w:type="dxa"/>
            <w:shd w:val="clear" w:color="auto" w:fill="F2F2F2" w:themeFill="background1" w:themeFillShade="F2"/>
            <w:hideMark/>
          </w:tcPr>
          <w:p w14:paraId="235619D7"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hideMark/>
          </w:tcPr>
          <w:p w14:paraId="392A24FF"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20DA26F3"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6C1509B9"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55D68188"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1C5398D4"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2020-23; Budget: $27.2m</w:t>
            </w:r>
          </w:p>
        </w:tc>
        <w:tc>
          <w:tcPr>
            <w:tcW w:w="869" w:type="dxa"/>
            <w:shd w:val="clear" w:color="auto" w:fill="F2F2F2" w:themeFill="background1" w:themeFillShade="F2"/>
            <w:hideMark/>
          </w:tcPr>
          <w:p w14:paraId="4E1AAF4B"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hideMark/>
          </w:tcPr>
          <w:p w14:paraId="70C3A58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1CB1878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701" w:type="dxa"/>
            <w:shd w:val="clear" w:color="auto" w:fill="F2F2F2" w:themeFill="background1" w:themeFillShade="F2"/>
            <w:noWrap/>
            <w:vAlign w:val="center"/>
            <w:hideMark/>
          </w:tcPr>
          <w:p w14:paraId="61AA1AE4"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3</w:t>
            </w:r>
          </w:p>
        </w:tc>
      </w:tr>
      <w:tr w:rsidR="003D48D1" w:rsidRPr="003D48D1" w14:paraId="05DB4897"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50DB3C5B" w14:textId="77777777" w:rsidR="00765A95" w:rsidRPr="003D48D1" w:rsidRDefault="00765A95" w:rsidP="000254D9">
            <w:pPr>
              <w:spacing w:before="0" w:after="0" w:line="240" w:lineRule="auto"/>
              <w:rPr>
                <w:rFonts w:asciiTheme="minorHAnsi" w:hAnsiTheme="minorHAnsi" w:cstheme="minorHAnsi"/>
                <w:b/>
                <w:bCs/>
                <w:color w:val="auto"/>
                <w:lang w:val="en-AU"/>
              </w:rPr>
            </w:pPr>
            <w:r w:rsidRPr="003D48D1">
              <w:rPr>
                <w:rFonts w:asciiTheme="minorHAnsi" w:hAnsiTheme="minorHAnsi" w:cstheme="minorHAnsi"/>
                <w:b/>
                <w:bCs/>
                <w:color w:val="auto"/>
              </w:rPr>
              <w:t>United Nations Capital Development Fund (UNCDF) Pacific Programmes 2021-2025</w:t>
            </w:r>
          </w:p>
        </w:tc>
        <w:tc>
          <w:tcPr>
            <w:tcW w:w="869" w:type="dxa"/>
            <w:hideMark/>
          </w:tcPr>
          <w:p w14:paraId="05A742AF"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7CB5DBF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67C44288"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6F395769"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0A8EF137" w14:textId="77777777" w:rsidTr="00BA397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487C7CA1" w14:textId="77777777" w:rsidR="00765A95" w:rsidRPr="003D48D1" w:rsidRDefault="00765A95" w:rsidP="00F159EE">
            <w:pPr>
              <w:spacing w:before="0" w:after="0" w:line="240" w:lineRule="auto"/>
              <w:rPr>
                <w:rFonts w:asciiTheme="minorHAnsi" w:hAnsiTheme="minorHAnsi" w:cstheme="minorHAnsi"/>
                <w:color w:val="auto"/>
                <w:lang w:val="en-AU"/>
              </w:rPr>
            </w:pPr>
            <w:r w:rsidRPr="003D48D1">
              <w:rPr>
                <w:rFonts w:asciiTheme="minorHAnsi" w:hAnsiTheme="minorHAnsi" w:cstheme="minorHAnsi"/>
                <w:color w:val="auto"/>
              </w:rPr>
              <w:t>Investment duration: 2020-25; Budget: $9.7m</w:t>
            </w:r>
          </w:p>
        </w:tc>
        <w:tc>
          <w:tcPr>
            <w:tcW w:w="869" w:type="dxa"/>
            <w:hideMark/>
          </w:tcPr>
          <w:p w14:paraId="6AC61A08"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noWrap/>
            <w:vAlign w:val="center"/>
            <w:hideMark/>
          </w:tcPr>
          <w:p w14:paraId="4CE1942D"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04FE5226"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2BA24071"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4BDAF5B4" w14:textId="77777777" w:rsidTr="00BA397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vAlign w:val="center"/>
            <w:hideMark/>
          </w:tcPr>
          <w:p w14:paraId="28C88D5E" w14:textId="77777777" w:rsidR="00765A95" w:rsidRPr="003D48D1" w:rsidRDefault="00765A95" w:rsidP="000254D9">
            <w:pPr>
              <w:spacing w:before="0" w:after="0" w:line="240" w:lineRule="auto"/>
              <w:rPr>
                <w:rFonts w:asciiTheme="minorHAnsi" w:hAnsiTheme="minorHAnsi" w:cstheme="minorHAnsi"/>
                <w:b/>
                <w:bCs/>
                <w:color w:val="auto"/>
              </w:rPr>
            </w:pPr>
            <w:r w:rsidRPr="003D48D1">
              <w:rPr>
                <w:rFonts w:asciiTheme="minorHAnsi" w:hAnsiTheme="minorHAnsi" w:cstheme="minorHAnsi"/>
                <w:b/>
                <w:bCs/>
                <w:color w:val="auto"/>
              </w:rPr>
              <w:t>United Nations Development Program Pacific Sub Regional Centre</w:t>
            </w:r>
          </w:p>
        </w:tc>
        <w:tc>
          <w:tcPr>
            <w:tcW w:w="869" w:type="dxa"/>
            <w:shd w:val="clear" w:color="auto" w:fill="F2F2F2" w:themeFill="background1" w:themeFillShade="F2"/>
            <w:hideMark/>
          </w:tcPr>
          <w:p w14:paraId="30E42671"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hideMark/>
          </w:tcPr>
          <w:p w14:paraId="3BA387FB"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shd w:val="clear" w:color="auto" w:fill="F2F2F2" w:themeFill="background1" w:themeFillShade="F2"/>
            <w:noWrap/>
            <w:vAlign w:val="center"/>
            <w:hideMark/>
          </w:tcPr>
          <w:p w14:paraId="0BA4743D"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3F0C09A6"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79866F65" w14:textId="77777777" w:rsidTr="00493AD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vAlign w:val="center"/>
            <w:hideMark/>
          </w:tcPr>
          <w:p w14:paraId="2A10D069"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2006-26; Budget: $43.2m</w:t>
            </w:r>
          </w:p>
        </w:tc>
        <w:tc>
          <w:tcPr>
            <w:tcW w:w="869" w:type="dxa"/>
            <w:shd w:val="clear" w:color="auto" w:fill="F2F2F2" w:themeFill="background1" w:themeFillShade="F2"/>
            <w:hideMark/>
          </w:tcPr>
          <w:p w14:paraId="621813B3"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hideMark/>
          </w:tcPr>
          <w:p w14:paraId="50B8A5C6"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56BC7E69"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701" w:type="dxa"/>
            <w:shd w:val="clear" w:color="auto" w:fill="F2F2F2" w:themeFill="background1" w:themeFillShade="F2"/>
            <w:noWrap/>
            <w:vAlign w:val="center"/>
            <w:hideMark/>
          </w:tcPr>
          <w:p w14:paraId="184A680D"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6689EC6F" w14:textId="77777777" w:rsidTr="00493AD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vAlign w:val="center"/>
            <w:hideMark/>
          </w:tcPr>
          <w:p w14:paraId="356C6A22" w14:textId="77777777" w:rsidR="00765A95" w:rsidRPr="003D48D1" w:rsidRDefault="00765A95" w:rsidP="000254D9">
            <w:pPr>
              <w:spacing w:before="0" w:after="0" w:line="240" w:lineRule="auto"/>
              <w:rPr>
                <w:rFonts w:asciiTheme="minorHAnsi" w:hAnsiTheme="minorHAnsi" w:cstheme="minorHAnsi"/>
                <w:b/>
                <w:bCs/>
                <w:color w:val="auto"/>
                <w:lang w:val="en-AU"/>
              </w:rPr>
            </w:pPr>
            <w:r w:rsidRPr="003D48D1">
              <w:rPr>
                <w:rFonts w:asciiTheme="minorHAnsi" w:hAnsiTheme="minorHAnsi" w:cstheme="minorHAnsi"/>
                <w:b/>
                <w:bCs/>
                <w:color w:val="auto"/>
              </w:rPr>
              <w:t>University of the South Pacific Partnership</w:t>
            </w:r>
          </w:p>
        </w:tc>
        <w:tc>
          <w:tcPr>
            <w:tcW w:w="869" w:type="dxa"/>
            <w:hideMark/>
          </w:tcPr>
          <w:p w14:paraId="1B305852"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28B8FD9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5BE51505"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7E643D20"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r>
      <w:tr w:rsidR="003D48D1" w:rsidRPr="003D48D1" w14:paraId="57AE628E" w14:textId="77777777" w:rsidTr="00493AD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E0F3EF" w:themeFill="accent1" w:themeFillTint="33"/>
            <w:vAlign w:val="center"/>
            <w:hideMark/>
          </w:tcPr>
          <w:p w14:paraId="5440493F" w14:textId="77777777" w:rsidR="00765A95" w:rsidRPr="003D48D1" w:rsidRDefault="00765A95" w:rsidP="00F159EE">
            <w:pPr>
              <w:spacing w:before="0" w:after="0" w:line="240" w:lineRule="auto"/>
              <w:rPr>
                <w:rFonts w:asciiTheme="minorHAnsi" w:hAnsiTheme="minorHAnsi" w:cstheme="minorHAnsi"/>
                <w:color w:val="auto"/>
                <w:lang w:val="en-AU"/>
              </w:rPr>
            </w:pPr>
            <w:r w:rsidRPr="003D48D1">
              <w:rPr>
                <w:rFonts w:asciiTheme="minorHAnsi" w:hAnsiTheme="minorHAnsi" w:cstheme="minorHAnsi"/>
                <w:color w:val="auto"/>
              </w:rPr>
              <w:t>Investment duration: 2010-25; Budget: $186.1m</w:t>
            </w:r>
          </w:p>
        </w:tc>
        <w:tc>
          <w:tcPr>
            <w:tcW w:w="869" w:type="dxa"/>
            <w:hideMark/>
          </w:tcPr>
          <w:p w14:paraId="4146D772"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noWrap/>
            <w:vAlign w:val="center"/>
            <w:hideMark/>
          </w:tcPr>
          <w:p w14:paraId="55C3F6EC"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134" w:type="dxa"/>
            <w:noWrap/>
            <w:vAlign w:val="center"/>
            <w:hideMark/>
          </w:tcPr>
          <w:p w14:paraId="59E492A6"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30DADF1F"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6BF4DBC1" w14:textId="77777777" w:rsidTr="00493AD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F2F2F2" w:themeFill="background1" w:themeFillShade="F2"/>
            <w:noWrap/>
            <w:vAlign w:val="bottom"/>
            <w:hideMark/>
          </w:tcPr>
          <w:p w14:paraId="5807C790" w14:textId="77777777" w:rsidR="00765A95" w:rsidRPr="00F159EE" w:rsidRDefault="00765A95" w:rsidP="000254D9">
            <w:pPr>
              <w:suppressAutoHyphens w:val="0"/>
              <w:spacing w:before="0" w:after="0" w:line="240" w:lineRule="auto"/>
              <w:rPr>
                <w:rFonts w:asciiTheme="minorHAnsi" w:eastAsia="Times New Roman" w:hAnsiTheme="minorHAnsi" w:cstheme="minorHAnsi"/>
                <w:b/>
                <w:bCs/>
                <w:color w:val="auto"/>
                <w:lang w:val="en-AU" w:eastAsia="en-AU"/>
              </w:rPr>
            </w:pPr>
            <w:r w:rsidRPr="00F159EE">
              <w:rPr>
                <w:rFonts w:asciiTheme="minorHAnsi" w:eastAsia="Times New Roman" w:hAnsiTheme="minorHAnsi" w:cstheme="minorHAnsi"/>
                <w:b/>
                <w:bCs/>
                <w:color w:val="auto"/>
                <w:lang w:eastAsia="en-AU"/>
              </w:rPr>
              <w:lastRenderedPageBreak/>
              <w:t>World Bank Pacific Facility 4</w:t>
            </w:r>
          </w:p>
        </w:tc>
        <w:tc>
          <w:tcPr>
            <w:tcW w:w="869" w:type="dxa"/>
            <w:shd w:val="clear" w:color="auto" w:fill="F2F2F2" w:themeFill="background1" w:themeFillShade="F2"/>
            <w:hideMark/>
          </w:tcPr>
          <w:p w14:paraId="3D7FC152"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shd w:val="clear" w:color="auto" w:fill="F2F2F2" w:themeFill="background1" w:themeFillShade="F2"/>
            <w:noWrap/>
            <w:vAlign w:val="center"/>
            <w:hideMark/>
          </w:tcPr>
          <w:p w14:paraId="692830BE"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45E2CD94"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28F57777"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5A6BFDDF" w14:textId="77777777" w:rsidTr="00493AD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bottom w:val="single" w:sz="4" w:space="0" w:color="65C5B4" w:themeColor="accent1"/>
            </w:tcBorders>
            <w:shd w:val="clear" w:color="auto" w:fill="F2F2F2" w:themeFill="background1" w:themeFillShade="F2"/>
            <w:hideMark/>
          </w:tcPr>
          <w:p w14:paraId="2B9F7EEA" w14:textId="77777777" w:rsidR="00765A95" w:rsidRPr="003D48D1" w:rsidRDefault="00765A95" w:rsidP="00F159EE">
            <w:pPr>
              <w:suppressAutoHyphens w:val="0"/>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2013-22; Budget: $63.9 m</w:t>
            </w:r>
          </w:p>
        </w:tc>
        <w:tc>
          <w:tcPr>
            <w:tcW w:w="869" w:type="dxa"/>
            <w:shd w:val="clear" w:color="auto" w:fill="F2F2F2" w:themeFill="background1" w:themeFillShade="F2"/>
            <w:hideMark/>
          </w:tcPr>
          <w:p w14:paraId="20D49DF8"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shd w:val="clear" w:color="auto" w:fill="F2F2F2" w:themeFill="background1" w:themeFillShade="F2"/>
            <w:noWrap/>
            <w:vAlign w:val="center"/>
            <w:hideMark/>
          </w:tcPr>
          <w:p w14:paraId="17BCE719"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shd w:val="clear" w:color="auto" w:fill="F2F2F2" w:themeFill="background1" w:themeFillShade="F2"/>
            <w:noWrap/>
            <w:vAlign w:val="center"/>
            <w:hideMark/>
          </w:tcPr>
          <w:p w14:paraId="44FA5FC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shd w:val="clear" w:color="auto" w:fill="F2F2F2" w:themeFill="background1" w:themeFillShade="F2"/>
            <w:noWrap/>
            <w:vAlign w:val="center"/>
            <w:hideMark/>
          </w:tcPr>
          <w:p w14:paraId="543A44BE"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r w:rsidR="003D48D1" w:rsidRPr="003D48D1" w14:paraId="4456817F" w14:textId="77777777" w:rsidTr="00493AD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bottom w:val="nil"/>
            </w:tcBorders>
            <w:shd w:val="clear" w:color="auto" w:fill="E0F3EF" w:themeFill="accent1" w:themeFillTint="33"/>
            <w:noWrap/>
            <w:vAlign w:val="bottom"/>
            <w:hideMark/>
          </w:tcPr>
          <w:p w14:paraId="7BF72D79" w14:textId="77777777" w:rsidR="00765A95" w:rsidRPr="003D48D1" w:rsidRDefault="00765A95" w:rsidP="000254D9">
            <w:pPr>
              <w:suppressAutoHyphens w:val="0"/>
              <w:spacing w:before="0" w:after="0" w:line="240" w:lineRule="auto"/>
              <w:rPr>
                <w:rFonts w:asciiTheme="minorHAnsi" w:eastAsia="Times New Roman" w:hAnsiTheme="minorHAnsi" w:cstheme="minorHAnsi"/>
                <w:b/>
                <w:bCs/>
                <w:color w:val="auto"/>
                <w:lang w:eastAsia="en-AU"/>
              </w:rPr>
            </w:pPr>
            <w:r w:rsidRPr="003D48D1">
              <w:rPr>
                <w:rFonts w:asciiTheme="minorHAnsi" w:eastAsia="Times New Roman" w:hAnsiTheme="minorHAnsi" w:cstheme="minorHAnsi"/>
                <w:b/>
                <w:bCs/>
                <w:color w:val="auto"/>
                <w:lang w:eastAsia="en-AU"/>
              </w:rPr>
              <w:t>World Bank Papua New Guinea and Pacific Islands Umbrella Facility Trust Fund (PPIUF)</w:t>
            </w:r>
          </w:p>
        </w:tc>
        <w:tc>
          <w:tcPr>
            <w:tcW w:w="869" w:type="dxa"/>
            <w:hideMark/>
          </w:tcPr>
          <w:p w14:paraId="54987683"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2023</w:t>
            </w:r>
          </w:p>
        </w:tc>
        <w:tc>
          <w:tcPr>
            <w:tcW w:w="1418" w:type="dxa"/>
            <w:noWrap/>
            <w:vAlign w:val="center"/>
            <w:hideMark/>
          </w:tcPr>
          <w:p w14:paraId="78076DA8"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5</w:t>
            </w:r>
          </w:p>
        </w:tc>
        <w:tc>
          <w:tcPr>
            <w:tcW w:w="1134" w:type="dxa"/>
            <w:noWrap/>
            <w:vAlign w:val="center"/>
            <w:hideMark/>
          </w:tcPr>
          <w:p w14:paraId="5006BFB7" w14:textId="77777777" w:rsidR="00765A95" w:rsidRPr="003D48D1" w:rsidRDefault="00765A95" w:rsidP="000254D9">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2DF5A8B9" w14:textId="77777777" w:rsidR="00765A95" w:rsidRPr="003D48D1" w:rsidRDefault="00765A95" w:rsidP="000254D9">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eastAsia="en-AU"/>
              </w:rPr>
            </w:pPr>
            <w:r w:rsidRPr="003D48D1">
              <w:rPr>
                <w:rFonts w:asciiTheme="minorHAnsi" w:eastAsia="Times New Roman" w:hAnsiTheme="minorHAnsi" w:cstheme="minorHAnsi"/>
                <w:color w:val="auto"/>
                <w:lang w:eastAsia="en-AU"/>
              </w:rPr>
              <w:t>3</w:t>
            </w:r>
          </w:p>
        </w:tc>
      </w:tr>
      <w:tr w:rsidR="003D48D1" w:rsidRPr="003D48D1" w14:paraId="4F2061CA" w14:textId="77777777" w:rsidTr="00493AD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5505" w:type="dxa"/>
            <w:tcBorders>
              <w:top w:val="nil"/>
            </w:tcBorders>
            <w:shd w:val="clear" w:color="auto" w:fill="E0F3EF" w:themeFill="accent1" w:themeFillTint="33"/>
            <w:hideMark/>
          </w:tcPr>
          <w:p w14:paraId="45B2B922" w14:textId="77777777" w:rsidR="00765A95" w:rsidRPr="003D48D1" w:rsidRDefault="00765A95" w:rsidP="00F159EE">
            <w:pPr>
              <w:suppressAutoHyphens w:val="0"/>
              <w:spacing w:before="0" w:after="0" w:line="240" w:lineRule="auto"/>
              <w:rPr>
                <w:rFonts w:asciiTheme="minorHAnsi" w:eastAsia="Times New Roman" w:hAnsiTheme="minorHAnsi" w:cstheme="minorHAnsi"/>
                <w:color w:val="auto"/>
                <w:lang w:val="en-AU" w:eastAsia="en-AU"/>
              </w:rPr>
            </w:pPr>
            <w:r w:rsidRPr="003D48D1">
              <w:rPr>
                <w:rFonts w:asciiTheme="minorHAnsi" w:hAnsiTheme="minorHAnsi" w:cstheme="minorHAnsi"/>
                <w:color w:val="auto"/>
              </w:rPr>
              <w:t>Investment duration: 2021-31; Budget: $55.7m</w:t>
            </w:r>
          </w:p>
        </w:tc>
        <w:tc>
          <w:tcPr>
            <w:tcW w:w="869" w:type="dxa"/>
            <w:hideMark/>
          </w:tcPr>
          <w:p w14:paraId="74751894"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val="en-AU" w:eastAsia="en-AU"/>
              </w:rPr>
              <w:t>2022</w:t>
            </w:r>
          </w:p>
        </w:tc>
        <w:tc>
          <w:tcPr>
            <w:tcW w:w="1418" w:type="dxa"/>
            <w:noWrap/>
            <w:vAlign w:val="center"/>
            <w:hideMark/>
          </w:tcPr>
          <w:p w14:paraId="4B3CCDB1"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5</w:t>
            </w:r>
          </w:p>
        </w:tc>
        <w:tc>
          <w:tcPr>
            <w:tcW w:w="1134" w:type="dxa"/>
            <w:noWrap/>
            <w:vAlign w:val="center"/>
            <w:hideMark/>
          </w:tcPr>
          <w:p w14:paraId="76ABD6BD"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c>
          <w:tcPr>
            <w:tcW w:w="1701" w:type="dxa"/>
            <w:noWrap/>
            <w:vAlign w:val="center"/>
            <w:hideMark/>
          </w:tcPr>
          <w:p w14:paraId="395A0FE4" w14:textId="77777777" w:rsidR="00765A95" w:rsidRPr="003D48D1" w:rsidRDefault="00765A95" w:rsidP="000254D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3D48D1">
              <w:rPr>
                <w:rFonts w:asciiTheme="minorHAnsi" w:eastAsia="Times New Roman" w:hAnsiTheme="minorHAnsi" w:cstheme="minorHAnsi"/>
                <w:color w:val="auto"/>
                <w:lang w:eastAsia="en-AU"/>
              </w:rPr>
              <w:t>4</w:t>
            </w:r>
          </w:p>
        </w:tc>
      </w:tr>
    </w:tbl>
    <w:p w14:paraId="45EFF910" w14:textId="77777777" w:rsidR="00765A95" w:rsidRPr="003D48D1" w:rsidRDefault="00765A95" w:rsidP="0080226D">
      <w:pPr>
        <w:pStyle w:val="Heading3"/>
      </w:pPr>
      <w:r w:rsidRPr="003D48D1">
        <w:t>Final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4957"/>
        <w:gridCol w:w="1417"/>
        <w:gridCol w:w="1418"/>
        <w:gridCol w:w="1134"/>
        <w:gridCol w:w="1701"/>
      </w:tblGrid>
      <w:tr w:rsidR="003D48D1" w:rsidRPr="003D48D1" w14:paraId="1BEB3201" w14:textId="77777777" w:rsidTr="00493AD7">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shd w:val="clear" w:color="auto" w:fill="A2DCD1" w:themeFill="accent1" w:themeFillTint="99"/>
            <w:noWrap/>
            <w:vAlign w:val="center"/>
            <w:hideMark/>
          </w:tcPr>
          <w:p w14:paraId="2232AEBC" w14:textId="77777777" w:rsidR="00765A95" w:rsidRPr="003D48D1" w:rsidRDefault="00765A95" w:rsidP="00A761DF">
            <w:pPr>
              <w:suppressAutoHyphens w:val="0"/>
              <w:spacing w:before="0" w:after="0" w:line="240" w:lineRule="auto"/>
              <w:jc w:val="center"/>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Investment Details</w:t>
            </w:r>
          </w:p>
        </w:tc>
        <w:tc>
          <w:tcPr>
            <w:tcW w:w="1417" w:type="dxa"/>
            <w:shd w:val="clear" w:color="auto" w:fill="A2DCD1" w:themeFill="accent1" w:themeFillTint="99"/>
            <w:noWrap/>
            <w:vAlign w:val="center"/>
            <w:hideMark/>
          </w:tcPr>
          <w:p w14:paraId="0D66268F" w14:textId="77777777" w:rsidR="00765A95" w:rsidRPr="003D48D1" w:rsidRDefault="00765A95" w:rsidP="00A761D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Year</w:t>
            </w:r>
          </w:p>
        </w:tc>
        <w:tc>
          <w:tcPr>
            <w:tcW w:w="1418" w:type="dxa"/>
            <w:shd w:val="clear" w:color="auto" w:fill="A2DCD1" w:themeFill="accent1" w:themeFillTint="99"/>
            <w:noWrap/>
            <w:vAlign w:val="center"/>
            <w:hideMark/>
          </w:tcPr>
          <w:p w14:paraId="22E201A2" w14:textId="77777777" w:rsidR="00765A95" w:rsidRPr="003D48D1" w:rsidRDefault="00765A95" w:rsidP="00A761D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Effectiveness</w:t>
            </w:r>
          </w:p>
        </w:tc>
        <w:tc>
          <w:tcPr>
            <w:tcW w:w="1134" w:type="dxa"/>
            <w:shd w:val="clear" w:color="auto" w:fill="A2DCD1" w:themeFill="accent1" w:themeFillTint="99"/>
            <w:noWrap/>
            <w:vAlign w:val="center"/>
            <w:hideMark/>
          </w:tcPr>
          <w:p w14:paraId="53657AD8" w14:textId="77777777" w:rsidR="00765A95" w:rsidRPr="003D48D1" w:rsidRDefault="00765A95" w:rsidP="00A761D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Efficiency</w:t>
            </w:r>
          </w:p>
        </w:tc>
        <w:tc>
          <w:tcPr>
            <w:tcW w:w="1701" w:type="dxa"/>
            <w:shd w:val="clear" w:color="auto" w:fill="A2DCD1" w:themeFill="accent1" w:themeFillTint="99"/>
            <w:noWrap/>
            <w:vAlign w:val="center"/>
            <w:hideMark/>
          </w:tcPr>
          <w:p w14:paraId="772685E2" w14:textId="77777777" w:rsidR="00765A95" w:rsidRPr="003D48D1" w:rsidRDefault="00765A95" w:rsidP="00A761D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Gender Equality</w:t>
            </w:r>
          </w:p>
        </w:tc>
      </w:tr>
      <w:tr w:rsidR="003D48D1" w:rsidRPr="003D48D1" w14:paraId="0D650C87" w14:textId="77777777" w:rsidTr="00493AD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bottom w:val="nil"/>
            </w:tcBorders>
            <w:shd w:val="clear" w:color="auto" w:fill="F2F2F2" w:themeFill="background1" w:themeFillShade="F2"/>
            <w:noWrap/>
            <w:vAlign w:val="bottom"/>
          </w:tcPr>
          <w:p w14:paraId="28EA106E" w14:textId="17AE1A34" w:rsidR="00765A95" w:rsidRPr="003D48D1" w:rsidRDefault="00765A95" w:rsidP="00A761DF">
            <w:pPr>
              <w:spacing w:before="0" w:after="0" w:line="240" w:lineRule="auto"/>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rPr>
              <w:t>Pacific Connect</w:t>
            </w:r>
          </w:p>
          <w:p w14:paraId="36850B0D" w14:textId="77777777" w:rsidR="00765A95" w:rsidRPr="003D48D1" w:rsidRDefault="00765A95" w:rsidP="00A761DF">
            <w:pPr>
              <w:spacing w:before="0" w:after="0" w:line="240" w:lineRule="auto"/>
              <w:ind w:firstLineChars="100" w:firstLine="220"/>
              <w:rPr>
                <w:rFonts w:asciiTheme="minorHAnsi" w:eastAsiaTheme="minorEastAsia" w:hAnsiTheme="minorHAnsi" w:cstheme="minorHAnsi"/>
                <w:color w:val="auto"/>
                <w:lang w:val="en-AU"/>
              </w:rPr>
            </w:pPr>
            <w:r w:rsidRPr="003D48D1">
              <w:rPr>
                <w:rFonts w:asciiTheme="minorHAnsi" w:eastAsiaTheme="minorEastAsia" w:hAnsiTheme="minorHAnsi" w:cstheme="minorHAnsi"/>
                <w:color w:val="auto"/>
              </w:rPr>
              <w:t>Investment duration: 2019-23; Budget: $4.1m</w:t>
            </w:r>
          </w:p>
        </w:tc>
        <w:tc>
          <w:tcPr>
            <w:tcW w:w="1417" w:type="dxa"/>
            <w:shd w:val="clear" w:color="auto" w:fill="F2F2F2" w:themeFill="background1" w:themeFillShade="F2"/>
          </w:tcPr>
          <w:p w14:paraId="2905C951" w14:textId="77777777" w:rsidR="00765A95" w:rsidRPr="003D48D1" w:rsidRDefault="00765A95" w:rsidP="00F65055">
            <w:pPr>
              <w:spacing w:before="0" w:after="0" w:line="240" w:lineRule="auto"/>
              <w:ind w:left="-102" w:firstLine="102"/>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2023 FIMR</w:t>
            </w:r>
          </w:p>
          <w:p w14:paraId="5E08E8DD" w14:textId="285E23B0" w:rsidR="00765A95" w:rsidRPr="003D48D1" w:rsidRDefault="00765A95" w:rsidP="00F65055">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2022</w:t>
            </w:r>
            <w:r w:rsidR="004A11D6" w:rsidRPr="003D48D1">
              <w:rPr>
                <w:rFonts w:asciiTheme="minorHAnsi" w:eastAsiaTheme="minorEastAsia" w:hAnsiTheme="minorHAnsi" w:cstheme="minorHAnsi"/>
                <w:color w:val="auto"/>
                <w:lang w:val="en-AU" w:eastAsia="en-AU"/>
              </w:rPr>
              <w:t xml:space="preserve"> IMR</w:t>
            </w:r>
          </w:p>
        </w:tc>
        <w:tc>
          <w:tcPr>
            <w:tcW w:w="1418" w:type="dxa"/>
            <w:shd w:val="clear" w:color="auto" w:fill="F2F2F2" w:themeFill="background1" w:themeFillShade="F2"/>
            <w:noWrap/>
            <w:vAlign w:val="bottom"/>
          </w:tcPr>
          <w:p w14:paraId="16DA4838"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2</w:t>
            </w:r>
            <w:r w:rsidRPr="003D48D1">
              <w:rPr>
                <w:rFonts w:asciiTheme="minorHAnsi" w:hAnsiTheme="minorHAnsi" w:cstheme="minorHAnsi"/>
                <w:color w:val="auto"/>
              </w:rPr>
              <w:br/>
            </w:r>
            <w:r w:rsidRPr="003D48D1">
              <w:rPr>
                <w:rFonts w:asciiTheme="minorHAnsi" w:eastAsiaTheme="minorEastAsia" w:hAnsiTheme="minorHAnsi" w:cstheme="minorHAnsi"/>
                <w:color w:val="auto"/>
                <w:lang w:eastAsia="en-AU"/>
              </w:rPr>
              <w:t>4</w:t>
            </w:r>
          </w:p>
        </w:tc>
        <w:tc>
          <w:tcPr>
            <w:tcW w:w="1134" w:type="dxa"/>
            <w:shd w:val="clear" w:color="auto" w:fill="F2F2F2" w:themeFill="background1" w:themeFillShade="F2"/>
            <w:noWrap/>
            <w:vAlign w:val="bottom"/>
          </w:tcPr>
          <w:p w14:paraId="4F114F54" w14:textId="0D0C2E5E"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2</w:t>
            </w:r>
          </w:p>
          <w:p w14:paraId="661D3230"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701" w:type="dxa"/>
            <w:shd w:val="clear" w:color="auto" w:fill="F2F2F2" w:themeFill="background1" w:themeFillShade="F2"/>
            <w:noWrap/>
            <w:vAlign w:val="bottom"/>
          </w:tcPr>
          <w:p w14:paraId="091B5221"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2</w:t>
            </w:r>
          </w:p>
          <w:p w14:paraId="782A64AC"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r>
      <w:tr w:rsidR="003D48D1" w:rsidRPr="003D48D1" w14:paraId="08F162EE" w14:textId="77777777" w:rsidTr="00493AD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top w:val="nil"/>
              <w:bottom w:val="single" w:sz="4" w:space="0" w:color="65C5B4" w:themeColor="accent1"/>
            </w:tcBorders>
            <w:shd w:val="clear" w:color="auto" w:fill="F2F2F2" w:themeFill="background1" w:themeFillShade="F2"/>
            <w:noWrap/>
            <w:vAlign w:val="bottom"/>
          </w:tcPr>
          <w:p w14:paraId="576C8784" w14:textId="06E166EA" w:rsidR="00F65055" w:rsidRPr="003D48D1" w:rsidRDefault="00F6505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2019-23; Budget: $4.1m</w:t>
            </w:r>
          </w:p>
        </w:tc>
        <w:tc>
          <w:tcPr>
            <w:tcW w:w="1417" w:type="dxa"/>
            <w:shd w:val="clear" w:color="auto" w:fill="F2F2F2" w:themeFill="background1" w:themeFillShade="F2"/>
          </w:tcPr>
          <w:p w14:paraId="7997AFF0" w14:textId="7EE99D07" w:rsidR="00F65055" w:rsidRPr="003D48D1" w:rsidRDefault="00F65055" w:rsidP="00F65055">
            <w:pPr>
              <w:spacing w:before="0" w:after="0" w:line="240" w:lineRule="auto"/>
              <w:ind w:left="-102" w:firstLine="102"/>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2022 IMR</w:t>
            </w:r>
          </w:p>
        </w:tc>
        <w:tc>
          <w:tcPr>
            <w:tcW w:w="1418" w:type="dxa"/>
            <w:shd w:val="clear" w:color="auto" w:fill="F2F2F2" w:themeFill="background1" w:themeFillShade="F2"/>
            <w:noWrap/>
            <w:vAlign w:val="bottom"/>
          </w:tcPr>
          <w:p w14:paraId="4B4573FC" w14:textId="633A03D6" w:rsidR="00F65055" w:rsidRPr="003D48D1" w:rsidRDefault="00F65055"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134" w:type="dxa"/>
            <w:shd w:val="clear" w:color="auto" w:fill="F2F2F2" w:themeFill="background1" w:themeFillShade="F2"/>
            <w:noWrap/>
            <w:vAlign w:val="bottom"/>
          </w:tcPr>
          <w:p w14:paraId="427F76AB" w14:textId="43B210F8" w:rsidR="00F65055" w:rsidRPr="003D48D1" w:rsidRDefault="00F65055"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701" w:type="dxa"/>
            <w:shd w:val="clear" w:color="auto" w:fill="F2F2F2" w:themeFill="background1" w:themeFillShade="F2"/>
            <w:noWrap/>
            <w:vAlign w:val="bottom"/>
          </w:tcPr>
          <w:p w14:paraId="2EF85C15" w14:textId="2141C6F9" w:rsidR="00F65055" w:rsidRPr="003D48D1" w:rsidRDefault="00F65055"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r>
      <w:tr w:rsidR="003D48D1" w:rsidRPr="003D48D1" w14:paraId="652B5659" w14:textId="77777777" w:rsidTr="00493AD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bottom w:val="nil"/>
            </w:tcBorders>
            <w:shd w:val="clear" w:color="auto" w:fill="E0F3EF" w:themeFill="accent1" w:themeFillTint="33"/>
            <w:noWrap/>
            <w:vAlign w:val="bottom"/>
          </w:tcPr>
          <w:p w14:paraId="789E5C33" w14:textId="77777777" w:rsidR="00765A95" w:rsidRPr="003D48D1" w:rsidRDefault="00765A95" w:rsidP="00A761DF">
            <w:pPr>
              <w:suppressAutoHyphens w:val="0"/>
              <w:spacing w:before="0" w:after="0" w:line="240" w:lineRule="auto"/>
              <w:rPr>
                <w:rFonts w:asciiTheme="minorHAnsi" w:eastAsiaTheme="minorEastAsia" w:hAnsiTheme="minorHAnsi" w:cstheme="minorHAnsi"/>
                <w:b/>
                <w:bCs/>
                <w:color w:val="auto"/>
                <w:lang w:eastAsia="en-AU"/>
              </w:rPr>
            </w:pPr>
            <w:r w:rsidRPr="003D48D1">
              <w:rPr>
                <w:rFonts w:asciiTheme="minorHAnsi" w:eastAsiaTheme="minorEastAsia" w:hAnsiTheme="minorHAnsi" w:cstheme="minorHAnsi"/>
                <w:b/>
                <w:bCs/>
                <w:color w:val="auto"/>
              </w:rPr>
              <w:t>Pacific Research Program</w:t>
            </w:r>
          </w:p>
        </w:tc>
        <w:tc>
          <w:tcPr>
            <w:tcW w:w="1417" w:type="dxa"/>
            <w:vAlign w:val="center"/>
          </w:tcPr>
          <w:p w14:paraId="6E440377" w14:textId="77777777" w:rsidR="00765A95" w:rsidRPr="003D48D1" w:rsidRDefault="00765A95" w:rsidP="00F65055">
            <w:pPr>
              <w:spacing w:before="0" w:after="0" w:line="240" w:lineRule="auto"/>
              <w:ind w:left="-102" w:firstLine="102"/>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2023 FIMR</w:t>
            </w:r>
          </w:p>
        </w:tc>
        <w:tc>
          <w:tcPr>
            <w:tcW w:w="1418" w:type="dxa"/>
            <w:noWrap/>
            <w:vAlign w:val="center"/>
          </w:tcPr>
          <w:p w14:paraId="4245DEA5"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134" w:type="dxa"/>
            <w:noWrap/>
            <w:vAlign w:val="center"/>
          </w:tcPr>
          <w:p w14:paraId="0D7B47DF"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701" w:type="dxa"/>
            <w:noWrap/>
            <w:vAlign w:val="center"/>
          </w:tcPr>
          <w:p w14:paraId="4D80E704"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3</w:t>
            </w:r>
          </w:p>
        </w:tc>
      </w:tr>
      <w:tr w:rsidR="003D48D1" w:rsidRPr="003D48D1" w14:paraId="709870FA" w14:textId="77777777" w:rsidTr="00493AD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top w:val="nil"/>
              <w:bottom w:val="single" w:sz="4" w:space="0" w:color="65C5B4" w:themeColor="accent1"/>
            </w:tcBorders>
            <w:shd w:val="clear" w:color="auto" w:fill="E0F3EF" w:themeFill="accent1" w:themeFillTint="33"/>
            <w:noWrap/>
            <w:vAlign w:val="bottom"/>
          </w:tcPr>
          <w:p w14:paraId="4A9C82A0" w14:textId="77777777" w:rsidR="00765A95" w:rsidRPr="003D48D1" w:rsidRDefault="00765A95"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2017-22; Budget: $25.2m</w:t>
            </w:r>
          </w:p>
        </w:tc>
        <w:tc>
          <w:tcPr>
            <w:tcW w:w="1417" w:type="dxa"/>
            <w:shd w:val="clear" w:color="auto" w:fill="E0F3EF" w:themeFill="accent1" w:themeFillTint="33"/>
            <w:vAlign w:val="center"/>
          </w:tcPr>
          <w:p w14:paraId="714C1C59" w14:textId="7E6A67D4" w:rsidR="00765A95" w:rsidRPr="003D48D1" w:rsidRDefault="00765A95" w:rsidP="00F65055">
            <w:pPr>
              <w:spacing w:before="0" w:after="0" w:line="240" w:lineRule="auto"/>
              <w:ind w:left="-102" w:firstLine="102"/>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2022</w:t>
            </w:r>
            <w:r w:rsidR="004A11D6" w:rsidRPr="003D48D1">
              <w:rPr>
                <w:rFonts w:asciiTheme="minorHAnsi" w:eastAsiaTheme="minorEastAsia" w:hAnsiTheme="minorHAnsi" w:cstheme="minorHAnsi"/>
                <w:color w:val="auto"/>
                <w:lang w:val="en-AU" w:eastAsia="en-AU"/>
              </w:rPr>
              <w:t xml:space="preserve"> IMR</w:t>
            </w:r>
          </w:p>
        </w:tc>
        <w:tc>
          <w:tcPr>
            <w:tcW w:w="1418" w:type="dxa"/>
            <w:shd w:val="clear" w:color="auto" w:fill="E0F3EF" w:themeFill="accent1" w:themeFillTint="33"/>
            <w:noWrap/>
            <w:vAlign w:val="center"/>
          </w:tcPr>
          <w:p w14:paraId="0FE87593" w14:textId="77777777" w:rsidR="00765A95" w:rsidRPr="003D48D1" w:rsidRDefault="00765A95"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c>
          <w:tcPr>
            <w:tcW w:w="1134" w:type="dxa"/>
            <w:shd w:val="clear" w:color="auto" w:fill="E0F3EF" w:themeFill="accent1" w:themeFillTint="33"/>
            <w:noWrap/>
            <w:vAlign w:val="center"/>
          </w:tcPr>
          <w:p w14:paraId="63F349F6" w14:textId="77777777" w:rsidR="00765A95" w:rsidRPr="003D48D1" w:rsidRDefault="00765A95"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701" w:type="dxa"/>
            <w:shd w:val="clear" w:color="auto" w:fill="E0F3EF" w:themeFill="accent1" w:themeFillTint="33"/>
            <w:noWrap/>
            <w:vAlign w:val="center"/>
          </w:tcPr>
          <w:p w14:paraId="0769601A" w14:textId="77777777" w:rsidR="00765A95" w:rsidRPr="003D48D1" w:rsidRDefault="00765A95"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r>
      <w:tr w:rsidR="003D48D1" w:rsidRPr="003D48D1" w14:paraId="5587DAB3" w14:textId="77777777" w:rsidTr="00493AD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bottom w:val="nil"/>
            </w:tcBorders>
            <w:shd w:val="clear" w:color="auto" w:fill="F2F2F2" w:themeFill="background1" w:themeFillShade="F2"/>
            <w:noWrap/>
            <w:vAlign w:val="bottom"/>
          </w:tcPr>
          <w:p w14:paraId="2333151E" w14:textId="77777777" w:rsidR="00765A95" w:rsidRPr="003D48D1" w:rsidRDefault="00765A95" w:rsidP="00A761DF">
            <w:pPr>
              <w:suppressAutoHyphens w:val="0"/>
              <w:spacing w:before="0" w:after="0" w:line="240" w:lineRule="auto"/>
              <w:rPr>
                <w:rFonts w:asciiTheme="minorHAnsi" w:eastAsiaTheme="minorEastAsia" w:hAnsiTheme="minorHAnsi" w:cstheme="minorHAnsi"/>
                <w:color w:val="auto"/>
              </w:rPr>
            </w:pPr>
            <w:r w:rsidRPr="003D48D1">
              <w:rPr>
                <w:rFonts w:asciiTheme="minorHAnsi" w:eastAsiaTheme="minorEastAsia" w:hAnsiTheme="minorHAnsi" w:cstheme="minorHAnsi"/>
                <w:b/>
                <w:bCs/>
                <w:color w:val="auto"/>
                <w:lang w:eastAsia="en-AU"/>
              </w:rPr>
              <w:t>Pacific Women Shaping Pacific Development</w:t>
            </w:r>
          </w:p>
        </w:tc>
        <w:tc>
          <w:tcPr>
            <w:tcW w:w="1417" w:type="dxa"/>
            <w:shd w:val="clear" w:color="auto" w:fill="F2F2F2" w:themeFill="background1" w:themeFillShade="F2"/>
          </w:tcPr>
          <w:p w14:paraId="79BDE1C2" w14:textId="77777777" w:rsidR="00765A95" w:rsidRPr="003D48D1" w:rsidRDefault="00765A95" w:rsidP="00F65055">
            <w:pPr>
              <w:spacing w:before="0" w:after="0" w:line="240" w:lineRule="auto"/>
              <w:ind w:left="-102" w:firstLine="102"/>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2023 FIMR</w:t>
            </w:r>
          </w:p>
        </w:tc>
        <w:tc>
          <w:tcPr>
            <w:tcW w:w="1418" w:type="dxa"/>
            <w:shd w:val="clear" w:color="auto" w:fill="F2F2F2" w:themeFill="background1" w:themeFillShade="F2"/>
            <w:noWrap/>
            <w:vAlign w:val="bottom"/>
          </w:tcPr>
          <w:p w14:paraId="048AC2B8"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c>
          <w:tcPr>
            <w:tcW w:w="1134" w:type="dxa"/>
            <w:shd w:val="clear" w:color="auto" w:fill="F2F2F2" w:themeFill="background1" w:themeFillShade="F2"/>
            <w:noWrap/>
            <w:vAlign w:val="bottom"/>
          </w:tcPr>
          <w:p w14:paraId="5A5CCE68"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701" w:type="dxa"/>
            <w:shd w:val="clear" w:color="auto" w:fill="F2F2F2" w:themeFill="background1" w:themeFillShade="F2"/>
            <w:noWrap/>
            <w:vAlign w:val="bottom"/>
          </w:tcPr>
          <w:p w14:paraId="35674326" w14:textId="77777777" w:rsidR="00765A95" w:rsidRPr="003D48D1" w:rsidRDefault="00765A95"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r>
      <w:tr w:rsidR="003D48D1" w:rsidRPr="003D48D1" w14:paraId="0FEC7DC6" w14:textId="77777777" w:rsidTr="00493AD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top w:val="nil"/>
              <w:bottom w:val="single" w:sz="4" w:space="0" w:color="65C5B4" w:themeColor="accent1"/>
            </w:tcBorders>
            <w:shd w:val="clear" w:color="auto" w:fill="F2F2F2" w:themeFill="background1" w:themeFillShade="F2"/>
            <w:noWrap/>
          </w:tcPr>
          <w:p w14:paraId="57DDF352" w14:textId="13A35DC7" w:rsidR="00765A95" w:rsidRPr="003D48D1" w:rsidRDefault="00765A95" w:rsidP="00A761DF">
            <w:pPr>
              <w:suppressAutoHyphens w:val="0"/>
              <w:spacing w:before="0" w:after="0" w:line="240" w:lineRule="auto"/>
              <w:rPr>
                <w:rFonts w:asciiTheme="minorHAnsi" w:eastAsiaTheme="minorEastAsia" w:hAnsiTheme="minorHAnsi" w:cstheme="minorHAnsi"/>
                <w:color w:val="auto"/>
              </w:rPr>
            </w:pPr>
            <w:r w:rsidRPr="003D48D1">
              <w:rPr>
                <w:rFonts w:asciiTheme="minorHAnsi" w:eastAsiaTheme="minorEastAsia" w:hAnsiTheme="minorHAnsi" w:cstheme="minorHAnsi"/>
                <w:color w:val="auto"/>
              </w:rPr>
              <w:t xml:space="preserve"> Investment duration: 2012-22; Budget: $139.5m</w:t>
            </w:r>
          </w:p>
        </w:tc>
        <w:tc>
          <w:tcPr>
            <w:tcW w:w="1417" w:type="dxa"/>
            <w:shd w:val="clear" w:color="auto" w:fill="F2F2F2" w:themeFill="background1" w:themeFillShade="F2"/>
          </w:tcPr>
          <w:p w14:paraId="78CC7903" w14:textId="77777777" w:rsidR="00765A95" w:rsidRPr="003D48D1" w:rsidRDefault="00765A95" w:rsidP="00F65055">
            <w:pPr>
              <w:spacing w:before="0" w:after="0" w:line="240" w:lineRule="auto"/>
              <w:ind w:left="-102" w:firstLine="102"/>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2022 IMR</w:t>
            </w:r>
          </w:p>
        </w:tc>
        <w:tc>
          <w:tcPr>
            <w:tcW w:w="1418" w:type="dxa"/>
            <w:shd w:val="clear" w:color="auto" w:fill="F2F2F2" w:themeFill="background1" w:themeFillShade="F2"/>
            <w:noWrap/>
            <w:vAlign w:val="center"/>
          </w:tcPr>
          <w:p w14:paraId="574B5B54" w14:textId="77777777" w:rsidR="00765A95" w:rsidRPr="003D48D1" w:rsidRDefault="00765A95"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c>
          <w:tcPr>
            <w:tcW w:w="1134" w:type="dxa"/>
            <w:shd w:val="clear" w:color="auto" w:fill="F2F2F2" w:themeFill="background1" w:themeFillShade="F2"/>
            <w:noWrap/>
            <w:vAlign w:val="center"/>
          </w:tcPr>
          <w:p w14:paraId="00FB8D72" w14:textId="77777777" w:rsidR="00765A95" w:rsidRPr="003D48D1" w:rsidRDefault="00765A95"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c>
          <w:tcPr>
            <w:tcW w:w="1701" w:type="dxa"/>
            <w:shd w:val="clear" w:color="auto" w:fill="F2F2F2" w:themeFill="background1" w:themeFillShade="F2"/>
            <w:noWrap/>
            <w:vAlign w:val="center"/>
          </w:tcPr>
          <w:p w14:paraId="4D6DFF6B" w14:textId="77777777" w:rsidR="00765A95" w:rsidRPr="003D48D1" w:rsidRDefault="00765A95"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r>
      <w:tr w:rsidR="003D48D1" w:rsidRPr="003D48D1" w14:paraId="05FED15E" w14:textId="77777777" w:rsidTr="00493AD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bottom w:val="nil"/>
            </w:tcBorders>
            <w:shd w:val="clear" w:color="auto" w:fill="E0F3EF" w:themeFill="accent1" w:themeFillTint="33"/>
            <w:noWrap/>
            <w:vAlign w:val="center"/>
          </w:tcPr>
          <w:p w14:paraId="637CB7C3" w14:textId="03EF0BE7" w:rsidR="005D2ACA" w:rsidRPr="003D48D1" w:rsidRDefault="005D2ACA" w:rsidP="005D2ACA">
            <w:pPr>
              <w:suppressAutoHyphens w:val="0"/>
              <w:spacing w:before="0" w:after="0" w:line="240" w:lineRule="auto"/>
              <w:rPr>
                <w:rFonts w:asciiTheme="minorHAnsi" w:eastAsiaTheme="minorEastAsia" w:hAnsiTheme="minorHAnsi" w:cstheme="minorHAnsi"/>
                <w:color w:val="auto"/>
              </w:rPr>
            </w:pPr>
            <w:r w:rsidRPr="003D48D1">
              <w:rPr>
                <w:rFonts w:asciiTheme="minorHAnsi" w:hAnsiTheme="minorHAnsi" w:cstheme="minorHAnsi"/>
                <w:b/>
                <w:bCs/>
                <w:color w:val="auto"/>
              </w:rPr>
              <w:t xml:space="preserve">Pacific Regional Health Strategy </w:t>
            </w:r>
          </w:p>
        </w:tc>
        <w:tc>
          <w:tcPr>
            <w:tcW w:w="1417" w:type="dxa"/>
          </w:tcPr>
          <w:p w14:paraId="42A28DD2" w14:textId="7E460A0F" w:rsidR="005D2ACA" w:rsidRPr="003D48D1" w:rsidRDefault="005D2ACA" w:rsidP="00F65055">
            <w:pPr>
              <w:spacing w:before="0" w:after="0" w:line="240" w:lineRule="auto"/>
              <w:ind w:left="-102" w:firstLine="102"/>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2023 FIMR</w:t>
            </w:r>
          </w:p>
        </w:tc>
        <w:tc>
          <w:tcPr>
            <w:tcW w:w="1418" w:type="dxa"/>
            <w:noWrap/>
            <w:vAlign w:val="center"/>
          </w:tcPr>
          <w:p w14:paraId="7127819C" w14:textId="7E0E26F8" w:rsidR="005D2ACA" w:rsidRPr="003D48D1" w:rsidRDefault="005D2ACA"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134" w:type="dxa"/>
            <w:noWrap/>
            <w:vAlign w:val="center"/>
          </w:tcPr>
          <w:p w14:paraId="13A43316" w14:textId="7FFA0195" w:rsidR="005D2ACA" w:rsidRPr="003D48D1" w:rsidRDefault="005D2ACA"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701" w:type="dxa"/>
            <w:noWrap/>
            <w:vAlign w:val="center"/>
          </w:tcPr>
          <w:p w14:paraId="1D489EBF" w14:textId="351BBD52" w:rsidR="005D2ACA" w:rsidRPr="003D48D1" w:rsidRDefault="005D2ACA"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3</w:t>
            </w:r>
          </w:p>
        </w:tc>
      </w:tr>
      <w:tr w:rsidR="003D48D1" w:rsidRPr="003D48D1" w14:paraId="4B5F08D3" w14:textId="77777777" w:rsidTr="00493AD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top w:val="nil"/>
              <w:bottom w:val="single" w:sz="4" w:space="0" w:color="65C5B4" w:themeColor="accent1"/>
            </w:tcBorders>
            <w:shd w:val="clear" w:color="auto" w:fill="E0F3EF" w:themeFill="accent1" w:themeFillTint="33"/>
            <w:noWrap/>
            <w:vAlign w:val="center"/>
          </w:tcPr>
          <w:p w14:paraId="2C5D9F31" w14:textId="043AC6F0" w:rsidR="005D2ACA" w:rsidRPr="003D48D1" w:rsidRDefault="005D2ACA"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2013-29; Budget: $48.8m</w:t>
            </w:r>
          </w:p>
        </w:tc>
        <w:tc>
          <w:tcPr>
            <w:tcW w:w="1417" w:type="dxa"/>
            <w:shd w:val="clear" w:color="auto" w:fill="E0F3EF" w:themeFill="accent1" w:themeFillTint="33"/>
          </w:tcPr>
          <w:p w14:paraId="1EB0F7F0" w14:textId="538994B8" w:rsidR="005D2ACA" w:rsidRPr="003D48D1" w:rsidRDefault="005D2ACA" w:rsidP="00F65055">
            <w:pPr>
              <w:spacing w:before="0" w:after="0" w:line="240" w:lineRule="auto"/>
              <w:ind w:left="-102" w:firstLine="102"/>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2022 IMR</w:t>
            </w:r>
          </w:p>
        </w:tc>
        <w:tc>
          <w:tcPr>
            <w:tcW w:w="1418" w:type="dxa"/>
            <w:shd w:val="clear" w:color="auto" w:fill="E0F3EF" w:themeFill="accent1" w:themeFillTint="33"/>
            <w:noWrap/>
            <w:vAlign w:val="center"/>
          </w:tcPr>
          <w:p w14:paraId="06248390" w14:textId="2549A498" w:rsidR="005D2ACA" w:rsidRPr="003D48D1" w:rsidRDefault="005D2ACA"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134" w:type="dxa"/>
            <w:shd w:val="clear" w:color="auto" w:fill="E0F3EF" w:themeFill="accent1" w:themeFillTint="33"/>
            <w:noWrap/>
            <w:vAlign w:val="center"/>
          </w:tcPr>
          <w:p w14:paraId="41D7E8D4" w14:textId="153C3356" w:rsidR="005D2ACA" w:rsidRPr="003D48D1" w:rsidRDefault="005D2ACA"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701" w:type="dxa"/>
            <w:shd w:val="clear" w:color="auto" w:fill="E0F3EF" w:themeFill="accent1" w:themeFillTint="33"/>
            <w:noWrap/>
            <w:vAlign w:val="center"/>
          </w:tcPr>
          <w:p w14:paraId="130BEBBA" w14:textId="418A3519" w:rsidR="005D2ACA" w:rsidRPr="003D48D1" w:rsidRDefault="005D2ACA"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3</w:t>
            </w:r>
          </w:p>
        </w:tc>
      </w:tr>
      <w:tr w:rsidR="003D48D1" w:rsidRPr="003D48D1" w14:paraId="176590A8" w14:textId="77777777" w:rsidTr="00493AD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bottom w:val="nil"/>
            </w:tcBorders>
            <w:shd w:val="clear" w:color="auto" w:fill="F2F2F2" w:themeFill="background1" w:themeFillShade="F2"/>
            <w:noWrap/>
            <w:vAlign w:val="center"/>
          </w:tcPr>
          <w:p w14:paraId="117A27B4" w14:textId="34205501" w:rsidR="001D56B2" w:rsidRPr="003D48D1" w:rsidRDefault="006A6ADB" w:rsidP="005D2ACA">
            <w:pPr>
              <w:suppressAutoHyphens w:val="0"/>
              <w:spacing w:before="0" w:after="0" w:line="240" w:lineRule="auto"/>
              <w:rPr>
                <w:rFonts w:asciiTheme="minorHAnsi" w:hAnsiTheme="minorHAnsi" w:cstheme="minorHAnsi"/>
                <w:color w:val="auto"/>
              </w:rPr>
            </w:pPr>
            <w:r w:rsidRPr="003D48D1">
              <w:rPr>
                <w:rFonts w:asciiTheme="minorHAnsi" w:hAnsiTheme="minorHAnsi" w:cstheme="minorHAnsi"/>
                <w:b/>
                <w:bCs/>
                <w:color w:val="auto"/>
              </w:rPr>
              <w:t>Pacific Media Assistance Scheme (PACMAS) Phase 3</w:t>
            </w:r>
          </w:p>
        </w:tc>
        <w:tc>
          <w:tcPr>
            <w:tcW w:w="1417" w:type="dxa"/>
            <w:shd w:val="clear" w:color="auto" w:fill="F2F2F2" w:themeFill="background1" w:themeFillShade="F2"/>
          </w:tcPr>
          <w:p w14:paraId="1651E97A" w14:textId="7EDB8479" w:rsidR="001D56B2" w:rsidRPr="003D48D1" w:rsidRDefault="006A6ADB" w:rsidP="00F65055">
            <w:pPr>
              <w:spacing w:before="0" w:after="0" w:line="240" w:lineRule="auto"/>
              <w:ind w:left="-102" w:firstLine="102"/>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2023 FIMR</w:t>
            </w:r>
          </w:p>
        </w:tc>
        <w:tc>
          <w:tcPr>
            <w:tcW w:w="1418" w:type="dxa"/>
            <w:shd w:val="clear" w:color="auto" w:fill="F2F2F2" w:themeFill="background1" w:themeFillShade="F2"/>
            <w:noWrap/>
            <w:vAlign w:val="center"/>
          </w:tcPr>
          <w:p w14:paraId="5F76B2ED" w14:textId="4B3E11C8" w:rsidR="001D56B2" w:rsidRPr="003D48D1" w:rsidRDefault="006A6ADB"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c>
          <w:tcPr>
            <w:tcW w:w="1134" w:type="dxa"/>
            <w:shd w:val="clear" w:color="auto" w:fill="F2F2F2" w:themeFill="background1" w:themeFillShade="F2"/>
            <w:noWrap/>
            <w:vAlign w:val="center"/>
          </w:tcPr>
          <w:p w14:paraId="67BB247B" w14:textId="273D0138" w:rsidR="001D56B2" w:rsidRPr="003D48D1" w:rsidRDefault="006A6ADB"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c>
          <w:tcPr>
            <w:tcW w:w="1701" w:type="dxa"/>
            <w:shd w:val="clear" w:color="auto" w:fill="F2F2F2" w:themeFill="background1" w:themeFillShade="F2"/>
            <w:noWrap/>
            <w:vAlign w:val="center"/>
          </w:tcPr>
          <w:p w14:paraId="11738297" w14:textId="6A6499D5" w:rsidR="001D56B2" w:rsidRPr="003D48D1" w:rsidRDefault="006A6ADB" w:rsidP="00F650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r>
      <w:tr w:rsidR="003D48D1" w:rsidRPr="003D48D1" w14:paraId="593D5C91" w14:textId="77777777" w:rsidTr="00493AD7">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57" w:type="dxa"/>
            <w:tcBorders>
              <w:top w:val="nil"/>
            </w:tcBorders>
            <w:shd w:val="clear" w:color="auto" w:fill="F2F2F2" w:themeFill="background1" w:themeFillShade="F2"/>
            <w:noWrap/>
            <w:vAlign w:val="center"/>
          </w:tcPr>
          <w:p w14:paraId="56929A59" w14:textId="3516E5DA" w:rsidR="001D56B2" w:rsidRPr="003D48D1" w:rsidRDefault="006A6ADB" w:rsidP="00F159EE">
            <w:pPr>
              <w:spacing w:before="0" w:after="0" w:line="240" w:lineRule="auto"/>
              <w:rPr>
                <w:rFonts w:asciiTheme="minorHAnsi" w:hAnsiTheme="minorHAnsi" w:cstheme="minorHAnsi"/>
                <w:color w:val="auto"/>
              </w:rPr>
            </w:pPr>
            <w:r w:rsidRPr="003D48D1">
              <w:rPr>
                <w:rFonts w:asciiTheme="minorHAnsi" w:hAnsiTheme="minorHAnsi" w:cstheme="minorHAnsi"/>
                <w:color w:val="auto"/>
              </w:rPr>
              <w:t>Investment duration: 2017-22; Budget: $12.9m</w:t>
            </w:r>
          </w:p>
        </w:tc>
        <w:tc>
          <w:tcPr>
            <w:tcW w:w="1417" w:type="dxa"/>
            <w:shd w:val="clear" w:color="auto" w:fill="F2F2F2" w:themeFill="background1" w:themeFillShade="F2"/>
          </w:tcPr>
          <w:p w14:paraId="51383D38" w14:textId="46536C77" w:rsidR="001D56B2" w:rsidRPr="003D48D1" w:rsidRDefault="006A6ADB" w:rsidP="00F65055">
            <w:pPr>
              <w:spacing w:before="0" w:after="0" w:line="240" w:lineRule="auto"/>
              <w:ind w:left="-102" w:firstLine="102"/>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2022 IMR</w:t>
            </w:r>
          </w:p>
        </w:tc>
        <w:tc>
          <w:tcPr>
            <w:tcW w:w="1418" w:type="dxa"/>
            <w:shd w:val="clear" w:color="auto" w:fill="F2F2F2" w:themeFill="background1" w:themeFillShade="F2"/>
            <w:noWrap/>
            <w:vAlign w:val="center"/>
          </w:tcPr>
          <w:p w14:paraId="759174F7" w14:textId="64F7C46D" w:rsidR="001D56B2" w:rsidRPr="003D48D1" w:rsidRDefault="006A6ADB"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c>
          <w:tcPr>
            <w:tcW w:w="1134" w:type="dxa"/>
            <w:shd w:val="clear" w:color="auto" w:fill="F2F2F2" w:themeFill="background1" w:themeFillShade="F2"/>
            <w:noWrap/>
            <w:vAlign w:val="center"/>
          </w:tcPr>
          <w:p w14:paraId="68412FF3" w14:textId="10376F34" w:rsidR="001D56B2" w:rsidRPr="003D48D1" w:rsidRDefault="006A6ADB"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5</w:t>
            </w:r>
          </w:p>
        </w:tc>
        <w:tc>
          <w:tcPr>
            <w:tcW w:w="1701" w:type="dxa"/>
            <w:shd w:val="clear" w:color="auto" w:fill="F2F2F2" w:themeFill="background1" w:themeFillShade="F2"/>
            <w:noWrap/>
            <w:vAlign w:val="center"/>
          </w:tcPr>
          <w:p w14:paraId="27D95FCF" w14:textId="39B1DD0E" w:rsidR="001D56B2" w:rsidRPr="003D48D1" w:rsidRDefault="006A6ADB" w:rsidP="00F65055">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eastAsia="en-AU"/>
              </w:rPr>
            </w:pPr>
            <w:r w:rsidRPr="003D48D1">
              <w:rPr>
                <w:rFonts w:asciiTheme="minorHAnsi" w:eastAsiaTheme="minorEastAsia" w:hAnsiTheme="minorHAnsi" w:cstheme="minorHAnsi"/>
                <w:color w:val="auto"/>
                <w:lang w:eastAsia="en-AU"/>
              </w:rPr>
              <w:t>4</w:t>
            </w:r>
          </w:p>
        </w:tc>
      </w:tr>
    </w:tbl>
    <w:p w14:paraId="3CC35DFB" w14:textId="0B37BAE3" w:rsidR="00765A95" w:rsidRPr="0080226D" w:rsidRDefault="0080226D" w:rsidP="0080226D">
      <w:pPr>
        <w:pStyle w:val="Heading3"/>
      </w:pPr>
      <w:r>
        <w:t>Humanitarian</w:t>
      </w:r>
      <w:r w:rsidR="00765A95" w:rsidRPr="0080226D">
        <w:t xml:space="preserve"> Investment Performance </w:t>
      </w:r>
      <w:r>
        <w:t>Ratings</w:t>
      </w:r>
      <w:r w:rsidR="00765A95" w:rsidRPr="0080226D">
        <w:t xml:space="preserve"> </w:t>
      </w:r>
    </w:p>
    <w:tbl>
      <w:tblPr>
        <w:tblStyle w:val="DFATTable1"/>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4898"/>
        <w:gridCol w:w="1402"/>
        <w:gridCol w:w="1480"/>
        <w:gridCol w:w="1124"/>
        <w:gridCol w:w="1632"/>
      </w:tblGrid>
      <w:tr w:rsidR="003D48D1" w:rsidRPr="003D48D1" w14:paraId="6ABC2BEB" w14:textId="77777777" w:rsidTr="00493AD7">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906" w:type="dxa"/>
            <w:shd w:val="clear" w:color="auto" w:fill="A2DCD1" w:themeFill="accent1" w:themeFillTint="99"/>
            <w:noWrap/>
            <w:vAlign w:val="center"/>
            <w:hideMark/>
          </w:tcPr>
          <w:p w14:paraId="2DF92E1E" w14:textId="77777777" w:rsidR="00765A95" w:rsidRPr="003D48D1" w:rsidRDefault="00765A95" w:rsidP="00A761DF">
            <w:pPr>
              <w:suppressAutoHyphens w:val="0"/>
              <w:spacing w:before="0" w:after="0" w:line="240" w:lineRule="auto"/>
              <w:jc w:val="center"/>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Investment Details</w:t>
            </w:r>
          </w:p>
        </w:tc>
        <w:tc>
          <w:tcPr>
            <w:tcW w:w="1404" w:type="dxa"/>
            <w:shd w:val="clear" w:color="auto" w:fill="A2DCD1" w:themeFill="accent1" w:themeFillTint="99"/>
            <w:noWrap/>
            <w:vAlign w:val="center"/>
            <w:hideMark/>
          </w:tcPr>
          <w:p w14:paraId="4B6AF6C3" w14:textId="77777777" w:rsidR="00765A95" w:rsidRPr="003D48D1" w:rsidRDefault="00765A95" w:rsidP="00A761D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Year</w:t>
            </w:r>
          </w:p>
        </w:tc>
        <w:tc>
          <w:tcPr>
            <w:tcW w:w="1482" w:type="dxa"/>
            <w:shd w:val="clear" w:color="auto" w:fill="A2DCD1" w:themeFill="accent1" w:themeFillTint="99"/>
            <w:noWrap/>
            <w:vAlign w:val="center"/>
            <w:hideMark/>
          </w:tcPr>
          <w:p w14:paraId="618963B7" w14:textId="77777777" w:rsidR="00765A95" w:rsidRPr="003D48D1" w:rsidRDefault="00765A95" w:rsidP="00A761D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Effectiveness</w:t>
            </w:r>
          </w:p>
        </w:tc>
        <w:tc>
          <w:tcPr>
            <w:tcW w:w="1125" w:type="dxa"/>
            <w:shd w:val="clear" w:color="auto" w:fill="A2DCD1" w:themeFill="accent1" w:themeFillTint="99"/>
            <w:noWrap/>
            <w:vAlign w:val="center"/>
            <w:hideMark/>
          </w:tcPr>
          <w:p w14:paraId="6EC34B41" w14:textId="77777777" w:rsidR="00765A95" w:rsidRPr="003D48D1" w:rsidRDefault="00765A95" w:rsidP="00A761D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Efficiency</w:t>
            </w:r>
          </w:p>
        </w:tc>
        <w:tc>
          <w:tcPr>
            <w:tcW w:w="0" w:type="auto"/>
            <w:shd w:val="clear" w:color="auto" w:fill="A2DCD1" w:themeFill="accent1" w:themeFillTint="99"/>
            <w:noWrap/>
            <w:vAlign w:val="center"/>
            <w:hideMark/>
          </w:tcPr>
          <w:p w14:paraId="552AEC68" w14:textId="77777777" w:rsidR="00765A95" w:rsidRPr="003D48D1" w:rsidRDefault="00765A95" w:rsidP="00A761D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color w:val="auto"/>
                <w:lang w:val="en-AU" w:eastAsia="en-AU"/>
              </w:rPr>
            </w:pPr>
            <w:r w:rsidRPr="003D48D1">
              <w:rPr>
                <w:rFonts w:asciiTheme="minorHAnsi" w:eastAsiaTheme="minorEastAsia" w:hAnsiTheme="minorHAnsi" w:cstheme="minorHAnsi"/>
                <w:b/>
                <w:bCs/>
                <w:color w:val="auto"/>
                <w:lang w:val="en-AU" w:eastAsia="en-AU"/>
              </w:rPr>
              <w:t>Gender Equality</w:t>
            </w:r>
          </w:p>
        </w:tc>
      </w:tr>
      <w:tr w:rsidR="003D48D1" w:rsidRPr="003D48D1" w14:paraId="45927B64" w14:textId="77777777" w:rsidTr="00407E5C">
        <w:trPr>
          <w:cnfStyle w:val="000000100000" w:firstRow="0" w:lastRow="0" w:firstColumn="0" w:lastColumn="0" w:oddVBand="0" w:evenVBand="0" w:oddHBand="1" w:evenHBand="0" w:firstRowFirstColumn="0" w:firstRowLastColumn="0" w:lastRowFirstColumn="0" w:lastRowLastColumn="0"/>
          <w:cantSplit/>
          <w:trHeight w:hRule="exact" w:val="634"/>
        </w:trPr>
        <w:tc>
          <w:tcPr>
            <w:cnfStyle w:val="001000000000" w:firstRow="0" w:lastRow="0" w:firstColumn="1" w:lastColumn="0" w:oddVBand="0" w:evenVBand="0" w:oddHBand="0" w:evenHBand="0" w:firstRowFirstColumn="0" w:firstRowLastColumn="0" w:lastRowFirstColumn="0" w:lastRowLastColumn="0"/>
            <w:tcW w:w="4906" w:type="dxa"/>
            <w:tcBorders>
              <w:bottom w:val="nil"/>
            </w:tcBorders>
            <w:shd w:val="clear" w:color="auto" w:fill="auto"/>
            <w:vAlign w:val="bottom"/>
            <w:hideMark/>
          </w:tcPr>
          <w:p w14:paraId="4FEDC3EA" w14:textId="77777777" w:rsidR="00765A95" w:rsidRPr="003D48D1" w:rsidRDefault="00765A95" w:rsidP="00A761DF">
            <w:pPr>
              <w:suppressAutoHyphens w:val="0"/>
              <w:spacing w:before="0" w:after="0" w:line="240" w:lineRule="auto"/>
              <w:rPr>
                <w:rFonts w:asciiTheme="minorHAnsi" w:eastAsiaTheme="minorEastAsia" w:hAnsiTheme="minorHAnsi" w:cstheme="minorHAnsi"/>
                <w:b/>
                <w:bCs/>
                <w:color w:val="auto"/>
                <w:lang w:eastAsia="en-AU"/>
              </w:rPr>
            </w:pPr>
            <w:r w:rsidRPr="003D48D1">
              <w:rPr>
                <w:rFonts w:asciiTheme="minorHAnsi" w:eastAsiaTheme="minorEastAsia" w:hAnsiTheme="minorHAnsi" w:cstheme="minorHAnsi"/>
                <w:b/>
                <w:bCs/>
                <w:color w:val="auto"/>
                <w:lang w:eastAsia="en-AU"/>
              </w:rPr>
              <w:t>COVID-19 Pacific and Timor-Leste</w:t>
            </w:r>
            <w:r w:rsidRPr="003D48D1">
              <w:rPr>
                <w:rFonts w:asciiTheme="minorHAnsi" w:eastAsiaTheme="minorEastAsia" w:hAnsiTheme="minorHAnsi" w:cstheme="minorHAnsi"/>
                <w:color w:val="auto"/>
              </w:rPr>
              <w:t xml:space="preserve"> </w:t>
            </w:r>
            <w:r w:rsidRPr="003D48D1">
              <w:rPr>
                <w:rFonts w:asciiTheme="minorHAnsi" w:eastAsiaTheme="minorEastAsia" w:hAnsiTheme="minorHAnsi" w:cstheme="minorHAnsi"/>
                <w:b/>
                <w:bCs/>
                <w:color w:val="auto"/>
                <w:lang w:eastAsia="en-AU"/>
              </w:rPr>
              <w:t>Preparedness and Recovery</w:t>
            </w:r>
            <w:r w:rsidRPr="003D48D1">
              <w:rPr>
                <w:rFonts w:asciiTheme="minorHAnsi" w:eastAsiaTheme="minorEastAsia" w:hAnsiTheme="minorHAnsi" w:cstheme="minorHAnsi"/>
                <w:color w:val="auto"/>
              </w:rPr>
              <w:t xml:space="preserve"> </w:t>
            </w:r>
            <w:r w:rsidRPr="003D48D1">
              <w:rPr>
                <w:rFonts w:asciiTheme="minorHAnsi" w:eastAsiaTheme="minorEastAsia" w:hAnsiTheme="minorHAnsi" w:cstheme="minorHAnsi"/>
                <w:b/>
                <w:bCs/>
                <w:color w:val="auto"/>
                <w:lang w:eastAsia="en-AU"/>
              </w:rPr>
              <w:t>NGO Partnership</w:t>
            </w:r>
          </w:p>
        </w:tc>
        <w:tc>
          <w:tcPr>
            <w:tcW w:w="1404" w:type="dxa"/>
            <w:shd w:val="clear" w:color="auto" w:fill="auto"/>
            <w:vAlign w:val="center"/>
            <w:hideMark/>
          </w:tcPr>
          <w:p w14:paraId="6F81D746" w14:textId="77777777" w:rsidR="00765A95" w:rsidRPr="003D48D1" w:rsidRDefault="00765A95" w:rsidP="0067653E">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eastAsia="en-AU"/>
              </w:rPr>
              <w:t>2023 HIMR</w:t>
            </w:r>
          </w:p>
        </w:tc>
        <w:tc>
          <w:tcPr>
            <w:tcW w:w="1482" w:type="dxa"/>
            <w:shd w:val="clear" w:color="auto" w:fill="auto"/>
            <w:noWrap/>
            <w:vAlign w:val="center"/>
            <w:hideMark/>
          </w:tcPr>
          <w:p w14:paraId="632C8E84" w14:textId="77777777" w:rsidR="00765A95" w:rsidRPr="003D48D1" w:rsidRDefault="00765A95" w:rsidP="0066703A">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rPr>
              <w:t>4</w:t>
            </w:r>
          </w:p>
        </w:tc>
        <w:tc>
          <w:tcPr>
            <w:tcW w:w="1125" w:type="dxa"/>
            <w:shd w:val="clear" w:color="auto" w:fill="auto"/>
            <w:noWrap/>
            <w:vAlign w:val="center"/>
            <w:hideMark/>
          </w:tcPr>
          <w:p w14:paraId="3F6441FC" w14:textId="77777777" w:rsidR="00765A95" w:rsidRPr="003D48D1" w:rsidRDefault="00765A95" w:rsidP="0066703A">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rPr>
              <w:t>4</w:t>
            </w:r>
          </w:p>
        </w:tc>
        <w:tc>
          <w:tcPr>
            <w:tcW w:w="0" w:type="auto"/>
            <w:shd w:val="clear" w:color="auto" w:fill="auto"/>
            <w:noWrap/>
            <w:vAlign w:val="center"/>
            <w:hideMark/>
          </w:tcPr>
          <w:p w14:paraId="044426D5" w14:textId="77777777" w:rsidR="00765A95" w:rsidRPr="003D48D1" w:rsidRDefault="00765A95" w:rsidP="0066703A">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rPr>
              <w:t>4</w:t>
            </w:r>
          </w:p>
        </w:tc>
      </w:tr>
      <w:tr w:rsidR="003D48D1" w:rsidRPr="003D48D1" w14:paraId="47123799" w14:textId="77777777" w:rsidTr="00407E5C">
        <w:trPr>
          <w:cnfStyle w:val="000000010000" w:firstRow="0" w:lastRow="0" w:firstColumn="0" w:lastColumn="0" w:oddVBand="0" w:evenVBand="0" w:oddHBand="0" w:evenHBand="1" w:firstRowFirstColumn="0" w:firstRowLastColumn="0" w:lastRowFirstColumn="0" w:lastRowLastColumn="0"/>
          <w:cantSplit/>
          <w:trHeight w:hRule="exact" w:val="488"/>
        </w:trPr>
        <w:tc>
          <w:tcPr>
            <w:cnfStyle w:val="001000000000" w:firstRow="0" w:lastRow="0" w:firstColumn="1" w:lastColumn="0" w:oddVBand="0" w:evenVBand="0" w:oddHBand="0" w:evenHBand="0" w:firstRowFirstColumn="0" w:firstRowLastColumn="0" w:lastRowFirstColumn="0" w:lastRowLastColumn="0"/>
            <w:tcW w:w="4906" w:type="dxa"/>
            <w:tcBorders>
              <w:top w:val="nil"/>
            </w:tcBorders>
            <w:shd w:val="clear" w:color="auto" w:fill="auto"/>
            <w:hideMark/>
          </w:tcPr>
          <w:p w14:paraId="1F948625" w14:textId="34D76AB8" w:rsidR="00765A95" w:rsidRPr="003D48D1" w:rsidRDefault="00765A95" w:rsidP="00F159EE">
            <w:pPr>
              <w:suppressAutoHyphens w:val="0"/>
              <w:spacing w:before="0" w:after="0" w:line="240" w:lineRule="auto"/>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Investment duration: 2020-22; Budget: $25</w:t>
            </w:r>
            <w:r w:rsidR="0067653E" w:rsidRPr="003D48D1">
              <w:rPr>
                <w:rFonts w:asciiTheme="minorHAnsi" w:eastAsiaTheme="minorEastAsia" w:hAnsiTheme="minorHAnsi" w:cstheme="minorHAnsi"/>
                <w:color w:val="auto"/>
                <w:lang w:val="en-AU" w:eastAsia="en-AU"/>
              </w:rPr>
              <w:t>.0</w:t>
            </w:r>
            <w:r w:rsidRPr="003D48D1">
              <w:rPr>
                <w:rFonts w:asciiTheme="minorHAnsi" w:eastAsiaTheme="minorEastAsia" w:hAnsiTheme="minorHAnsi" w:cstheme="minorHAnsi"/>
                <w:color w:val="auto"/>
                <w:lang w:val="en-AU" w:eastAsia="en-AU"/>
              </w:rPr>
              <w:t>m</w:t>
            </w:r>
          </w:p>
        </w:tc>
        <w:tc>
          <w:tcPr>
            <w:tcW w:w="1404" w:type="dxa"/>
            <w:shd w:val="clear" w:color="auto" w:fill="auto"/>
            <w:vAlign w:val="center"/>
            <w:hideMark/>
          </w:tcPr>
          <w:p w14:paraId="1FEAF29D" w14:textId="77777777" w:rsidR="00765A95" w:rsidRPr="003D48D1" w:rsidRDefault="00765A95" w:rsidP="0067653E">
            <w:pPr>
              <w:suppressAutoHyphens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eastAsia="en-AU"/>
              </w:rPr>
              <w:t>2022 HIMR</w:t>
            </w:r>
          </w:p>
        </w:tc>
        <w:tc>
          <w:tcPr>
            <w:tcW w:w="1482" w:type="dxa"/>
            <w:shd w:val="clear" w:color="auto" w:fill="auto"/>
            <w:noWrap/>
            <w:vAlign w:val="center"/>
            <w:hideMark/>
          </w:tcPr>
          <w:p w14:paraId="136A3B38" w14:textId="77777777" w:rsidR="00765A95" w:rsidRPr="003D48D1" w:rsidRDefault="00765A95" w:rsidP="0066703A">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val="en-AU" w:eastAsia="en-AU"/>
              </w:rPr>
              <w:t>4</w:t>
            </w:r>
          </w:p>
        </w:tc>
        <w:tc>
          <w:tcPr>
            <w:tcW w:w="1125" w:type="dxa"/>
            <w:shd w:val="clear" w:color="auto" w:fill="auto"/>
            <w:noWrap/>
            <w:vAlign w:val="center"/>
            <w:hideMark/>
          </w:tcPr>
          <w:p w14:paraId="6D6E8013" w14:textId="77777777" w:rsidR="00765A95" w:rsidRPr="003D48D1" w:rsidRDefault="00765A95" w:rsidP="0066703A">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eastAsia="en-AU"/>
              </w:rPr>
              <w:t>4</w:t>
            </w:r>
          </w:p>
        </w:tc>
        <w:tc>
          <w:tcPr>
            <w:tcW w:w="0" w:type="auto"/>
            <w:shd w:val="clear" w:color="auto" w:fill="auto"/>
            <w:noWrap/>
            <w:vAlign w:val="center"/>
            <w:hideMark/>
          </w:tcPr>
          <w:p w14:paraId="4334439A" w14:textId="77777777" w:rsidR="00765A95" w:rsidRPr="003D48D1" w:rsidRDefault="00765A95" w:rsidP="0066703A">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color w:val="auto"/>
                <w:lang w:val="en-AU" w:eastAsia="en-AU"/>
              </w:rPr>
            </w:pPr>
            <w:r w:rsidRPr="003D48D1">
              <w:rPr>
                <w:rFonts w:asciiTheme="minorHAnsi" w:eastAsiaTheme="minorEastAsia" w:hAnsiTheme="minorHAnsi" w:cstheme="minorHAnsi"/>
                <w:color w:val="auto"/>
                <w:lang w:eastAsia="en-AU"/>
              </w:rPr>
              <w:t>4</w:t>
            </w:r>
          </w:p>
        </w:tc>
      </w:tr>
    </w:tbl>
    <w:p w14:paraId="6FBA537E" w14:textId="731CDAD5" w:rsidR="00765A95" w:rsidRPr="00EB4EAF" w:rsidRDefault="00F34348" w:rsidP="0080226D">
      <w:pPr>
        <w:pStyle w:val="Heading4"/>
      </w:pPr>
      <w:r w:rsidRPr="00EB4EAF">
        <w:t>D</w:t>
      </w:r>
      <w:r w:rsidR="00765A95" w:rsidRPr="00EB4EAF">
        <w:t>efinitions of rating scale</w:t>
      </w:r>
    </w:p>
    <w:p w14:paraId="5A220394" w14:textId="77777777" w:rsidR="00765A95" w:rsidRPr="003D48D1" w:rsidRDefault="00765A95" w:rsidP="00765A95">
      <w:pPr>
        <w:spacing w:before="20" w:after="20" w:line="180" w:lineRule="atLeast"/>
        <w:jc w:val="both"/>
        <w:rPr>
          <w:rFonts w:eastAsia="Times New Roman"/>
          <w:color w:val="auto"/>
          <w:sz w:val="20"/>
          <w:szCs w:val="20"/>
        </w:rPr>
      </w:pPr>
      <w:r w:rsidRPr="003D48D1">
        <w:rPr>
          <w:rFonts w:eastAsia="Times New Roman"/>
          <w:color w:val="auto"/>
          <w:sz w:val="20"/>
          <w:szCs w:val="20"/>
          <w:u w:val="single"/>
        </w:rPr>
        <w:t>Satisfactory (4, 5 and 6)</w:t>
      </w:r>
    </w:p>
    <w:p w14:paraId="65F039E0" w14:textId="77777777" w:rsidR="00765A95" w:rsidRPr="003D48D1" w:rsidRDefault="00765A95" w:rsidP="00765A95">
      <w:pPr>
        <w:spacing w:line="240" w:lineRule="auto"/>
        <w:rPr>
          <w:color w:val="auto"/>
          <w:sz w:val="20"/>
          <w:szCs w:val="20"/>
        </w:rPr>
      </w:pPr>
      <w:r w:rsidRPr="003D48D1">
        <w:rPr>
          <w:color w:val="auto"/>
          <w:sz w:val="20"/>
          <w:szCs w:val="20"/>
        </w:rPr>
        <w:t xml:space="preserve">6 = Very good; satisfies criteria in all areas. </w:t>
      </w:r>
      <w:r w:rsidRPr="003D48D1">
        <w:rPr>
          <w:color w:val="auto"/>
          <w:sz w:val="20"/>
          <w:szCs w:val="20"/>
        </w:rPr>
        <w:br/>
        <w:t>5 = Good; satisfies criteria in almost all areas.</w:t>
      </w:r>
      <w:r w:rsidRPr="003D48D1">
        <w:rPr>
          <w:color w:val="auto"/>
          <w:sz w:val="20"/>
          <w:szCs w:val="20"/>
        </w:rPr>
        <w:br/>
        <w:t>4 = Adequate; on balance, satisfies criteria; does not fail in any major area.</w:t>
      </w:r>
    </w:p>
    <w:p w14:paraId="4BE942E8" w14:textId="77777777" w:rsidR="00765A95" w:rsidRPr="003D48D1" w:rsidRDefault="00765A95" w:rsidP="00765A95">
      <w:pPr>
        <w:spacing w:line="240" w:lineRule="auto"/>
        <w:rPr>
          <w:color w:val="auto"/>
          <w:sz w:val="20"/>
          <w:szCs w:val="20"/>
          <w:u w:val="single"/>
        </w:rPr>
      </w:pPr>
      <w:r w:rsidRPr="003D48D1">
        <w:rPr>
          <w:color w:val="auto"/>
          <w:sz w:val="20"/>
          <w:szCs w:val="20"/>
          <w:u w:val="single"/>
        </w:rPr>
        <w:t>Less than satisfactory (1, 2 and 3)</w:t>
      </w:r>
    </w:p>
    <w:p w14:paraId="5B67F8D2" w14:textId="2CC89226" w:rsidR="7E11BD59" w:rsidRPr="003D48D1" w:rsidRDefault="00765A95">
      <w:pPr>
        <w:rPr>
          <w:color w:val="auto"/>
        </w:rPr>
      </w:pPr>
      <w:r w:rsidRPr="003D48D1">
        <w:rPr>
          <w:color w:val="auto"/>
          <w:sz w:val="20"/>
          <w:szCs w:val="20"/>
        </w:rPr>
        <w:t>3 = Less than adequate; on balance does not satisfy criteria and/or fails in at least one major area.</w:t>
      </w:r>
      <w:r w:rsidRPr="003D48D1">
        <w:rPr>
          <w:color w:val="auto"/>
          <w:sz w:val="20"/>
          <w:szCs w:val="20"/>
        </w:rPr>
        <w:br/>
        <w:t>2 = Poor; does not satisfy criteria in major areas.</w:t>
      </w:r>
      <w:r w:rsidRPr="003D48D1">
        <w:rPr>
          <w:color w:val="auto"/>
          <w:sz w:val="20"/>
          <w:szCs w:val="20"/>
        </w:rPr>
        <w:br/>
        <w:t>1 = Very poor; does not satisfy criteria in many major areas.</w:t>
      </w:r>
    </w:p>
    <w:sectPr w:rsidR="7E11BD59" w:rsidRPr="003D48D1" w:rsidSect="00BC0587">
      <w:pgSz w:w="11906" w:h="16838" w:code="9"/>
      <w:pgMar w:top="1559" w:right="680" w:bottom="1418" w:left="680" w:header="567" w:footer="406"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6B51" w14:textId="77777777" w:rsidR="003C1BBB" w:rsidRDefault="003C1BBB" w:rsidP="00D37B04">
      <w:r>
        <w:separator/>
      </w:r>
    </w:p>
  </w:endnote>
  <w:endnote w:type="continuationSeparator" w:id="0">
    <w:p w14:paraId="14E431A1" w14:textId="77777777" w:rsidR="003C1BBB" w:rsidRDefault="003C1BBB" w:rsidP="00D37B04">
      <w:r>
        <w:continuationSeparator/>
      </w:r>
    </w:p>
  </w:endnote>
  <w:endnote w:type="continuationNotice" w:id="1">
    <w:p w14:paraId="5C5BBF7D" w14:textId="77777777" w:rsidR="003C1BBB" w:rsidRDefault="003C1B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61368827"/>
      <w:docPartObj>
        <w:docPartGallery w:val="Page Numbers (Bottom of Page)"/>
        <w:docPartUnique/>
      </w:docPartObj>
    </w:sdtPr>
    <w:sdtEndPr>
      <w:rPr>
        <w:noProof/>
      </w:rPr>
    </w:sdtEndPr>
    <w:sdtContent>
      <w:p w14:paraId="1B636999" w14:textId="4FBBF61C" w:rsidR="0005564F" w:rsidRDefault="0005564F" w:rsidP="00B2531B">
        <w:pPr>
          <w:spacing w:before="60"/>
          <w:rPr>
            <w:color w:val="auto"/>
          </w:rPr>
        </w:pPr>
      </w:p>
      <w:p w14:paraId="10BB5A1F" w14:textId="79495BDB"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4B1E03"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EFD9" w14:textId="77777777" w:rsidR="003C1BBB" w:rsidRPr="008C5A0E" w:rsidRDefault="003C1BBB" w:rsidP="00D37B04">
      <w:pPr>
        <w:pStyle w:val="Footer"/>
      </w:pPr>
    </w:p>
  </w:footnote>
  <w:footnote w:type="continuationSeparator" w:id="0">
    <w:p w14:paraId="61B6CC9E" w14:textId="77777777" w:rsidR="003C1BBB" w:rsidRDefault="003C1BBB" w:rsidP="00D37B04">
      <w:r>
        <w:continuationSeparator/>
      </w:r>
    </w:p>
  </w:footnote>
  <w:footnote w:type="continuationNotice" w:id="1">
    <w:p w14:paraId="45D49DD5" w14:textId="77777777" w:rsidR="003C1BBB" w:rsidRDefault="003C1BBB">
      <w:pPr>
        <w:spacing w:before="0" w:after="0" w:line="240" w:lineRule="auto"/>
      </w:pPr>
    </w:p>
  </w:footnote>
  <w:footnote w:id="2">
    <w:p w14:paraId="1FF19868" w14:textId="334812AA" w:rsidR="00615C60" w:rsidRPr="00615C60" w:rsidRDefault="00615C60" w:rsidP="00615C60">
      <w:pPr>
        <w:pStyle w:val="FootnoteText"/>
        <w:rPr>
          <w:sz w:val="16"/>
          <w:szCs w:val="16"/>
          <w:lang w:val="en-AU"/>
        </w:rPr>
      </w:pPr>
      <w:r w:rsidRPr="00615C60">
        <w:rPr>
          <w:rStyle w:val="FootnoteReference"/>
          <w:sz w:val="16"/>
          <w:szCs w:val="16"/>
        </w:rPr>
        <w:footnoteRef/>
      </w:r>
      <w:r w:rsidRPr="00615C60">
        <w:rPr>
          <w:sz w:val="16"/>
          <w:szCs w:val="16"/>
        </w:rPr>
        <w:t xml:space="preserve"> Couple years of protection (CYPs) </w:t>
      </w:r>
      <w:r w:rsidR="00CB352B" w:rsidRPr="00CB352B">
        <w:rPr>
          <w:sz w:val="16"/>
          <w:szCs w:val="16"/>
        </w:rPr>
        <w:t>is the estimated protection</w:t>
      </w:r>
      <w:r w:rsidR="00576403">
        <w:rPr>
          <w:sz w:val="16"/>
          <w:szCs w:val="16"/>
        </w:rPr>
        <w:t xml:space="preserve"> from pregnancy</w:t>
      </w:r>
      <w:r w:rsidR="00CB352B" w:rsidRPr="00CB352B">
        <w:rPr>
          <w:sz w:val="16"/>
          <w:szCs w:val="16"/>
        </w:rPr>
        <w:t xml:space="preserve"> provided by contraceptive methods during a one-year period, based upon the volume of all contraceptives sold or distributed free of charge to clients during that period.</w:t>
      </w:r>
    </w:p>
  </w:footnote>
  <w:footnote w:id="3">
    <w:p w14:paraId="6101E582" w14:textId="23E423C9" w:rsidR="00CC2645" w:rsidRPr="001D3AAE" w:rsidRDefault="00CC2645">
      <w:pPr>
        <w:pStyle w:val="FootnoteText"/>
        <w:rPr>
          <w:sz w:val="16"/>
          <w:szCs w:val="16"/>
          <w:lang w:val="en-AU"/>
        </w:rPr>
      </w:pPr>
      <w:r w:rsidRPr="001D3AAE">
        <w:rPr>
          <w:rStyle w:val="FootnoteReference"/>
          <w:sz w:val="16"/>
          <w:szCs w:val="16"/>
        </w:rPr>
        <w:footnoteRef/>
      </w:r>
      <w:r w:rsidRPr="001D3AAE">
        <w:rPr>
          <w:sz w:val="16"/>
          <w:szCs w:val="16"/>
        </w:rPr>
        <w:t xml:space="preserve"> The PAF measures “</w:t>
      </w:r>
      <w:r w:rsidRPr="001D3AAE">
        <w:rPr>
          <w:rFonts w:ascii="Calibri Light" w:eastAsia="Times New Roman" w:hAnsi="Calibri Light" w:cs="Calibri Light"/>
          <w:sz w:val="16"/>
          <w:szCs w:val="16"/>
        </w:rPr>
        <w:t xml:space="preserve">Examples of partnering with regional organisations to support regional COVID-19 measures”. In the 2023 Progress Report, the </w:t>
      </w:r>
      <w:r w:rsidR="007F17CD" w:rsidRPr="001D3AAE">
        <w:rPr>
          <w:rFonts w:ascii="Calibri Light" w:eastAsia="Times New Roman" w:hAnsi="Calibri Light" w:cs="Calibri Light"/>
          <w:sz w:val="16"/>
          <w:szCs w:val="16"/>
        </w:rPr>
        <w:t xml:space="preserve">word </w:t>
      </w:r>
      <w:r w:rsidR="006A6694" w:rsidRPr="001D3AAE">
        <w:rPr>
          <w:rFonts w:ascii="Calibri Light" w:eastAsia="Times New Roman" w:hAnsi="Calibri Light" w:cs="Calibri Light"/>
          <w:sz w:val="16"/>
          <w:szCs w:val="16"/>
        </w:rPr>
        <w:br/>
      </w:r>
      <w:r w:rsidR="007F17CD" w:rsidRPr="001D3AAE">
        <w:rPr>
          <w:rFonts w:ascii="Calibri Light" w:eastAsia="Times New Roman" w:hAnsi="Calibri Light" w:cs="Calibri Light"/>
          <w:sz w:val="16"/>
          <w:szCs w:val="16"/>
        </w:rPr>
        <w:t>“</w:t>
      </w:r>
      <w:r w:rsidR="006A6694" w:rsidRPr="001D3AAE">
        <w:rPr>
          <w:rFonts w:ascii="Calibri Light" w:eastAsia="Times New Roman" w:hAnsi="Calibri Light" w:cs="Calibri Light"/>
          <w:sz w:val="16"/>
          <w:szCs w:val="16"/>
        </w:rPr>
        <w:t xml:space="preserve"> ’</w:t>
      </w:r>
      <w:r w:rsidR="007F17CD" w:rsidRPr="001D3AAE">
        <w:rPr>
          <w:rFonts w:ascii="Calibri Light" w:eastAsia="Times New Roman" w:hAnsi="Calibri Light" w:cs="Calibri Light"/>
          <w:sz w:val="16"/>
          <w:szCs w:val="16"/>
        </w:rPr>
        <w:t>particularly</w:t>
      </w:r>
      <w:r w:rsidR="006A6694" w:rsidRPr="001D3AAE">
        <w:rPr>
          <w:rFonts w:ascii="Calibri Light" w:eastAsia="Times New Roman" w:hAnsi="Calibri Light" w:cs="Calibri Light"/>
          <w:sz w:val="16"/>
          <w:szCs w:val="16"/>
        </w:rPr>
        <w:t>’</w:t>
      </w:r>
      <w:r w:rsidR="007F17CD" w:rsidRPr="001D3AAE">
        <w:rPr>
          <w:rFonts w:ascii="Calibri Light" w:eastAsia="Times New Roman" w:hAnsi="Calibri Light" w:cs="Calibri Light"/>
          <w:sz w:val="16"/>
          <w:szCs w:val="16"/>
        </w:rPr>
        <w:t xml:space="preserve"> to support” ha</w:t>
      </w:r>
      <w:r w:rsidR="006A6694" w:rsidRPr="001D3AAE">
        <w:rPr>
          <w:rFonts w:ascii="Calibri Light" w:eastAsia="Times New Roman" w:hAnsi="Calibri Light" w:cs="Calibri Light"/>
          <w:sz w:val="16"/>
          <w:szCs w:val="16"/>
        </w:rPr>
        <w:t>s</w:t>
      </w:r>
      <w:r w:rsidR="007F17CD" w:rsidRPr="001D3AAE">
        <w:rPr>
          <w:rFonts w:ascii="Calibri Light" w:eastAsia="Times New Roman" w:hAnsi="Calibri Light" w:cs="Calibri Light"/>
          <w:sz w:val="16"/>
          <w:szCs w:val="16"/>
        </w:rPr>
        <w:t xml:space="preserve"> been added to reflect the </w:t>
      </w:r>
      <w:r w:rsidR="00A73B55" w:rsidRPr="001D3AAE">
        <w:rPr>
          <w:rFonts w:ascii="Calibri Light" w:eastAsia="Times New Roman" w:hAnsi="Calibri Light" w:cs="Calibri Light"/>
          <w:sz w:val="16"/>
          <w:szCs w:val="16"/>
        </w:rPr>
        <w:t>broadening of partnership activities in 2022</w:t>
      </w:r>
      <w:r w:rsidR="000D0072" w:rsidRPr="001D3AAE">
        <w:rPr>
          <w:rFonts w:ascii="Calibri Light" w:eastAsia="Times New Roman" w:hAnsi="Calibri Light" w:cs="Calibri Light"/>
          <w:sz w:val="16"/>
          <w:szCs w:val="16"/>
        </w:rPr>
        <w:t>-23 and the decrease in COVID-19 focus.</w:t>
      </w:r>
    </w:p>
  </w:footnote>
  <w:footnote w:id="4">
    <w:p w14:paraId="3B603B49" w14:textId="1051C7BB" w:rsidR="007D31DB" w:rsidRPr="001D3AAE" w:rsidRDefault="007D31DB" w:rsidP="00333CFF">
      <w:pPr>
        <w:spacing w:before="40" w:after="40" w:line="240" w:lineRule="auto"/>
        <w:rPr>
          <w:sz w:val="16"/>
          <w:szCs w:val="16"/>
          <w:lang w:val="en-AU"/>
        </w:rPr>
      </w:pPr>
      <w:r w:rsidRPr="001D3AAE">
        <w:rPr>
          <w:rStyle w:val="FootnoteReference"/>
          <w:sz w:val="16"/>
          <w:szCs w:val="16"/>
        </w:rPr>
        <w:footnoteRef/>
      </w:r>
      <w:r w:rsidRPr="001D3AAE">
        <w:rPr>
          <w:sz w:val="16"/>
          <w:szCs w:val="16"/>
        </w:rPr>
        <w:t xml:space="preserve"> </w:t>
      </w:r>
      <w:r w:rsidRPr="001D3AAE">
        <w:rPr>
          <w:spacing w:val="-4"/>
          <w:sz w:val="16"/>
          <w:szCs w:val="16"/>
        </w:rPr>
        <w:t>The PAF</w:t>
      </w:r>
      <w:r w:rsidR="00F96D9F" w:rsidRPr="001D3AAE">
        <w:rPr>
          <w:spacing w:val="-4"/>
          <w:sz w:val="16"/>
          <w:szCs w:val="16"/>
        </w:rPr>
        <w:t xml:space="preserve"> measures “</w:t>
      </w:r>
      <w:r w:rsidR="003C6581" w:rsidRPr="001D3AAE">
        <w:rPr>
          <w:spacing w:val="-4"/>
          <w:sz w:val="16"/>
          <w:szCs w:val="16"/>
        </w:rPr>
        <w:t xml:space="preserve">Number of women and girls survivors of violence receiving services such as counselling [target: 40,000]”. For consistency with Tier 2 reporting in 2022 and 2023, the indicator has been amended </w:t>
      </w:r>
      <w:r w:rsidR="00C804BE" w:rsidRPr="001D3AAE">
        <w:rPr>
          <w:spacing w:val="-4"/>
          <w:sz w:val="16"/>
          <w:szCs w:val="16"/>
        </w:rPr>
        <w:t xml:space="preserve">to “Number of services provided to women and girl survivors of violence, such as counselling”. No target was </w:t>
      </w:r>
      <w:r w:rsidR="00B2531B" w:rsidRPr="001D3AAE">
        <w:rPr>
          <w:spacing w:val="-4"/>
          <w:sz w:val="16"/>
          <w:szCs w:val="16"/>
        </w:rPr>
        <w:t>set for the amended</w:t>
      </w:r>
      <w:r w:rsidR="00333CFF" w:rsidRPr="001D3AAE">
        <w:rPr>
          <w:spacing w:val="-4"/>
          <w:sz w:val="16"/>
          <w:szCs w:val="16"/>
        </w:rPr>
        <w:t xml:space="preserve"> indicator.</w:t>
      </w:r>
      <w:r w:rsidR="00333CFF" w:rsidRPr="001D3AAE">
        <w:rPr>
          <w:sz w:val="16"/>
          <w:szCs w:val="16"/>
        </w:rPr>
        <w:t xml:space="preserve"> </w:t>
      </w:r>
    </w:p>
  </w:footnote>
  <w:footnote w:id="5">
    <w:p w14:paraId="41585797" w14:textId="3D151F22" w:rsidR="00251942" w:rsidRPr="00AA4B13" w:rsidRDefault="00251942" w:rsidP="00251942">
      <w:pPr>
        <w:pStyle w:val="FootnoteText"/>
        <w:rPr>
          <w:sz w:val="16"/>
          <w:szCs w:val="16"/>
          <w:lang w:val="en-AU"/>
        </w:rPr>
      </w:pPr>
      <w:r w:rsidRPr="00AA4B13">
        <w:rPr>
          <w:rStyle w:val="FootnoteReference"/>
          <w:sz w:val="16"/>
          <w:szCs w:val="16"/>
        </w:rPr>
        <w:footnoteRef/>
      </w:r>
      <w:r w:rsidRPr="00AA4B13">
        <w:rPr>
          <w:sz w:val="16"/>
          <w:szCs w:val="16"/>
        </w:rPr>
        <w:t xml:space="preserve"> </w:t>
      </w:r>
      <w:r>
        <w:rPr>
          <w:sz w:val="16"/>
          <w:szCs w:val="16"/>
        </w:rPr>
        <w:t>Education was added to the list of sectors being measured in the 2022 Progress Report.</w:t>
      </w:r>
    </w:p>
  </w:footnote>
  <w:footnote w:id="6">
    <w:p w14:paraId="6AD98B88" w14:textId="1DE4A6AF" w:rsidR="0051503C" w:rsidRPr="0051503C" w:rsidRDefault="0051503C">
      <w:pPr>
        <w:pStyle w:val="FootnoteText"/>
        <w:rPr>
          <w:sz w:val="20"/>
          <w:lang w:val="en-AU"/>
        </w:rPr>
      </w:pPr>
      <w:r w:rsidRPr="0051503C">
        <w:rPr>
          <w:rStyle w:val="FootnoteReference"/>
          <w:sz w:val="16"/>
          <w:szCs w:val="16"/>
        </w:rPr>
        <w:footnoteRef/>
      </w:r>
      <w:r w:rsidRPr="0051503C">
        <w:rPr>
          <w:rStyle w:val="FootnoteReference"/>
          <w:sz w:val="16"/>
          <w:szCs w:val="16"/>
        </w:rPr>
        <w:t xml:space="preserve"> </w:t>
      </w:r>
      <w:r w:rsidRPr="0051503C">
        <w:rPr>
          <w:sz w:val="16"/>
          <w:szCs w:val="16"/>
        </w:rPr>
        <w:t>Including Timor-Leste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7794E63B"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p w14:paraId="265164D0" w14:textId="77777777" w:rsidR="00ED2FE1" w:rsidRDefault="00ED2FE1" w:rsidP="007A4493">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12" name="Picture 12"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C931D68"/>
    <w:multiLevelType w:val="hybridMultilevel"/>
    <w:tmpl w:val="E1F8703C"/>
    <w:lvl w:ilvl="0" w:tplc="2F48548C">
      <w:start w:val="112"/>
      <w:numFmt w:val="bullet"/>
      <w:lvlText w:val=""/>
      <w:lvlJc w:val="left"/>
      <w:pPr>
        <w:ind w:left="460" w:hanging="360"/>
      </w:pPr>
      <w:rPr>
        <w:rFonts w:ascii="Symbol" w:eastAsiaTheme="minorHAnsi" w:hAnsi="Symbol" w:cstheme="minorBidi"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2" w15:restartNumberingAfterBreak="0">
    <w:nsid w:val="124A5A33"/>
    <w:multiLevelType w:val="hybridMultilevel"/>
    <w:tmpl w:val="46AE163A"/>
    <w:lvl w:ilvl="0" w:tplc="0C090001">
      <w:start w:val="1"/>
      <w:numFmt w:val="bullet"/>
      <w:lvlText w:val=""/>
      <w:lvlJc w:val="left"/>
      <w:pPr>
        <w:ind w:left="944" w:hanging="360"/>
      </w:pPr>
      <w:rPr>
        <w:rFonts w:ascii="Symbol" w:hAnsi="Symbol" w:hint="default"/>
      </w:rPr>
    </w:lvl>
    <w:lvl w:ilvl="1" w:tplc="0C090003" w:tentative="1">
      <w:start w:val="1"/>
      <w:numFmt w:val="bullet"/>
      <w:lvlText w:val="o"/>
      <w:lvlJc w:val="left"/>
      <w:pPr>
        <w:ind w:left="1664" w:hanging="360"/>
      </w:pPr>
      <w:rPr>
        <w:rFonts w:ascii="Courier New" w:hAnsi="Courier New" w:cs="Courier New" w:hint="default"/>
      </w:rPr>
    </w:lvl>
    <w:lvl w:ilvl="2" w:tplc="0C090005" w:tentative="1">
      <w:start w:val="1"/>
      <w:numFmt w:val="bullet"/>
      <w:lvlText w:val=""/>
      <w:lvlJc w:val="left"/>
      <w:pPr>
        <w:ind w:left="2384" w:hanging="360"/>
      </w:pPr>
      <w:rPr>
        <w:rFonts w:ascii="Wingdings" w:hAnsi="Wingdings" w:hint="default"/>
      </w:rPr>
    </w:lvl>
    <w:lvl w:ilvl="3" w:tplc="0C090001" w:tentative="1">
      <w:start w:val="1"/>
      <w:numFmt w:val="bullet"/>
      <w:lvlText w:val=""/>
      <w:lvlJc w:val="left"/>
      <w:pPr>
        <w:ind w:left="3104" w:hanging="360"/>
      </w:pPr>
      <w:rPr>
        <w:rFonts w:ascii="Symbol" w:hAnsi="Symbol" w:hint="default"/>
      </w:rPr>
    </w:lvl>
    <w:lvl w:ilvl="4" w:tplc="0C090003" w:tentative="1">
      <w:start w:val="1"/>
      <w:numFmt w:val="bullet"/>
      <w:lvlText w:val="o"/>
      <w:lvlJc w:val="left"/>
      <w:pPr>
        <w:ind w:left="3824" w:hanging="360"/>
      </w:pPr>
      <w:rPr>
        <w:rFonts w:ascii="Courier New" w:hAnsi="Courier New" w:cs="Courier New" w:hint="default"/>
      </w:rPr>
    </w:lvl>
    <w:lvl w:ilvl="5" w:tplc="0C090005" w:tentative="1">
      <w:start w:val="1"/>
      <w:numFmt w:val="bullet"/>
      <w:lvlText w:val=""/>
      <w:lvlJc w:val="left"/>
      <w:pPr>
        <w:ind w:left="4544" w:hanging="360"/>
      </w:pPr>
      <w:rPr>
        <w:rFonts w:ascii="Wingdings" w:hAnsi="Wingdings" w:hint="default"/>
      </w:rPr>
    </w:lvl>
    <w:lvl w:ilvl="6" w:tplc="0C090001" w:tentative="1">
      <w:start w:val="1"/>
      <w:numFmt w:val="bullet"/>
      <w:lvlText w:val=""/>
      <w:lvlJc w:val="left"/>
      <w:pPr>
        <w:ind w:left="5264" w:hanging="360"/>
      </w:pPr>
      <w:rPr>
        <w:rFonts w:ascii="Symbol" w:hAnsi="Symbol" w:hint="default"/>
      </w:rPr>
    </w:lvl>
    <w:lvl w:ilvl="7" w:tplc="0C090003" w:tentative="1">
      <w:start w:val="1"/>
      <w:numFmt w:val="bullet"/>
      <w:lvlText w:val="o"/>
      <w:lvlJc w:val="left"/>
      <w:pPr>
        <w:ind w:left="5984" w:hanging="360"/>
      </w:pPr>
      <w:rPr>
        <w:rFonts w:ascii="Courier New" w:hAnsi="Courier New" w:cs="Courier New" w:hint="default"/>
      </w:rPr>
    </w:lvl>
    <w:lvl w:ilvl="8" w:tplc="0C090005" w:tentative="1">
      <w:start w:val="1"/>
      <w:numFmt w:val="bullet"/>
      <w:lvlText w:val=""/>
      <w:lvlJc w:val="left"/>
      <w:pPr>
        <w:ind w:left="6704"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B115DE"/>
    <w:multiLevelType w:val="hybridMultilevel"/>
    <w:tmpl w:val="0FDCD792"/>
    <w:lvl w:ilvl="0" w:tplc="0C090001">
      <w:start w:val="1"/>
      <w:numFmt w:val="bullet"/>
      <w:lvlText w:val=""/>
      <w:lvlJc w:val="left"/>
      <w:pPr>
        <w:ind w:left="944" w:hanging="360"/>
      </w:pPr>
      <w:rPr>
        <w:rFonts w:ascii="Symbol" w:hAnsi="Symbol" w:hint="default"/>
      </w:rPr>
    </w:lvl>
    <w:lvl w:ilvl="1" w:tplc="0C090003" w:tentative="1">
      <w:start w:val="1"/>
      <w:numFmt w:val="bullet"/>
      <w:lvlText w:val="o"/>
      <w:lvlJc w:val="left"/>
      <w:pPr>
        <w:ind w:left="1664" w:hanging="360"/>
      </w:pPr>
      <w:rPr>
        <w:rFonts w:ascii="Courier New" w:hAnsi="Courier New" w:cs="Courier New" w:hint="default"/>
      </w:rPr>
    </w:lvl>
    <w:lvl w:ilvl="2" w:tplc="0C090005" w:tentative="1">
      <w:start w:val="1"/>
      <w:numFmt w:val="bullet"/>
      <w:lvlText w:val=""/>
      <w:lvlJc w:val="left"/>
      <w:pPr>
        <w:ind w:left="2384" w:hanging="360"/>
      </w:pPr>
      <w:rPr>
        <w:rFonts w:ascii="Wingdings" w:hAnsi="Wingdings" w:hint="default"/>
      </w:rPr>
    </w:lvl>
    <w:lvl w:ilvl="3" w:tplc="0C090001" w:tentative="1">
      <w:start w:val="1"/>
      <w:numFmt w:val="bullet"/>
      <w:lvlText w:val=""/>
      <w:lvlJc w:val="left"/>
      <w:pPr>
        <w:ind w:left="3104" w:hanging="360"/>
      </w:pPr>
      <w:rPr>
        <w:rFonts w:ascii="Symbol" w:hAnsi="Symbol" w:hint="default"/>
      </w:rPr>
    </w:lvl>
    <w:lvl w:ilvl="4" w:tplc="0C090003" w:tentative="1">
      <w:start w:val="1"/>
      <w:numFmt w:val="bullet"/>
      <w:lvlText w:val="o"/>
      <w:lvlJc w:val="left"/>
      <w:pPr>
        <w:ind w:left="3824" w:hanging="360"/>
      </w:pPr>
      <w:rPr>
        <w:rFonts w:ascii="Courier New" w:hAnsi="Courier New" w:cs="Courier New" w:hint="default"/>
      </w:rPr>
    </w:lvl>
    <w:lvl w:ilvl="5" w:tplc="0C090005" w:tentative="1">
      <w:start w:val="1"/>
      <w:numFmt w:val="bullet"/>
      <w:lvlText w:val=""/>
      <w:lvlJc w:val="left"/>
      <w:pPr>
        <w:ind w:left="4544" w:hanging="360"/>
      </w:pPr>
      <w:rPr>
        <w:rFonts w:ascii="Wingdings" w:hAnsi="Wingdings" w:hint="default"/>
      </w:rPr>
    </w:lvl>
    <w:lvl w:ilvl="6" w:tplc="0C090001" w:tentative="1">
      <w:start w:val="1"/>
      <w:numFmt w:val="bullet"/>
      <w:lvlText w:val=""/>
      <w:lvlJc w:val="left"/>
      <w:pPr>
        <w:ind w:left="5264" w:hanging="360"/>
      </w:pPr>
      <w:rPr>
        <w:rFonts w:ascii="Symbol" w:hAnsi="Symbol" w:hint="default"/>
      </w:rPr>
    </w:lvl>
    <w:lvl w:ilvl="7" w:tplc="0C090003" w:tentative="1">
      <w:start w:val="1"/>
      <w:numFmt w:val="bullet"/>
      <w:lvlText w:val="o"/>
      <w:lvlJc w:val="left"/>
      <w:pPr>
        <w:ind w:left="5984" w:hanging="360"/>
      </w:pPr>
      <w:rPr>
        <w:rFonts w:ascii="Courier New" w:hAnsi="Courier New" w:cs="Courier New" w:hint="default"/>
      </w:rPr>
    </w:lvl>
    <w:lvl w:ilvl="8" w:tplc="0C090005" w:tentative="1">
      <w:start w:val="1"/>
      <w:numFmt w:val="bullet"/>
      <w:lvlText w:val=""/>
      <w:lvlJc w:val="left"/>
      <w:pPr>
        <w:ind w:left="6704"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6F206BD2"/>
    <w:multiLevelType w:val="hybridMultilevel"/>
    <w:tmpl w:val="3028B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5132929">
    <w:abstractNumId w:val="10"/>
  </w:num>
  <w:num w:numId="2" w16cid:durableId="789277552">
    <w:abstractNumId w:val="0"/>
  </w:num>
  <w:num w:numId="3" w16cid:durableId="415057235">
    <w:abstractNumId w:val="5"/>
  </w:num>
  <w:num w:numId="4" w16cid:durableId="1901938646">
    <w:abstractNumId w:val="7"/>
  </w:num>
  <w:num w:numId="5" w16cid:durableId="443766657">
    <w:abstractNumId w:val="8"/>
  </w:num>
  <w:num w:numId="6" w16cid:durableId="170418493">
    <w:abstractNumId w:val="5"/>
  </w:num>
  <w:num w:numId="7" w16cid:durableId="1559049292">
    <w:abstractNumId w:val="0"/>
  </w:num>
  <w:num w:numId="8" w16cid:durableId="502862737">
    <w:abstractNumId w:val="3"/>
  </w:num>
  <w:num w:numId="9" w16cid:durableId="946738712">
    <w:abstractNumId w:val="11"/>
  </w:num>
  <w:num w:numId="10" w16cid:durableId="1293439046">
    <w:abstractNumId w:val="6"/>
  </w:num>
  <w:num w:numId="11" w16cid:durableId="1798256263">
    <w:abstractNumId w:val="1"/>
  </w:num>
  <w:num w:numId="12" w16cid:durableId="438648075">
    <w:abstractNumId w:val="2"/>
  </w:num>
  <w:num w:numId="13" w16cid:durableId="2085446753">
    <w:abstractNumId w:val="4"/>
  </w:num>
  <w:num w:numId="14" w16cid:durableId="112257607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0B3E"/>
    <w:rsid w:val="00001DA8"/>
    <w:rsid w:val="000020C1"/>
    <w:rsid w:val="00002460"/>
    <w:rsid w:val="00004F20"/>
    <w:rsid w:val="0000512D"/>
    <w:rsid w:val="000068E6"/>
    <w:rsid w:val="00010006"/>
    <w:rsid w:val="00011235"/>
    <w:rsid w:val="00011C85"/>
    <w:rsid w:val="000135AC"/>
    <w:rsid w:val="00015AB7"/>
    <w:rsid w:val="00015DC0"/>
    <w:rsid w:val="000178C8"/>
    <w:rsid w:val="0002080A"/>
    <w:rsid w:val="000214E2"/>
    <w:rsid w:val="000229CB"/>
    <w:rsid w:val="00023480"/>
    <w:rsid w:val="00023C14"/>
    <w:rsid w:val="00023EE3"/>
    <w:rsid w:val="00024044"/>
    <w:rsid w:val="00024308"/>
    <w:rsid w:val="000254D9"/>
    <w:rsid w:val="000265B2"/>
    <w:rsid w:val="0002782F"/>
    <w:rsid w:val="000311AC"/>
    <w:rsid w:val="00031486"/>
    <w:rsid w:val="000314BA"/>
    <w:rsid w:val="000328E6"/>
    <w:rsid w:val="000336BB"/>
    <w:rsid w:val="00034231"/>
    <w:rsid w:val="00034C49"/>
    <w:rsid w:val="00035BBF"/>
    <w:rsid w:val="00035CBC"/>
    <w:rsid w:val="00036FC7"/>
    <w:rsid w:val="0004141D"/>
    <w:rsid w:val="00041568"/>
    <w:rsid w:val="000417C3"/>
    <w:rsid w:val="00041CA8"/>
    <w:rsid w:val="000444F3"/>
    <w:rsid w:val="00044C2B"/>
    <w:rsid w:val="00045C95"/>
    <w:rsid w:val="00047147"/>
    <w:rsid w:val="00047C23"/>
    <w:rsid w:val="00050806"/>
    <w:rsid w:val="00050959"/>
    <w:rsid w:val="00050D72"/>
    <w:rsid w:val="0005194C"/>
    <w:rsid w:val="00051F3B"/>
    <w:rsid w:val="000534B3"/>
    <w:rsid w:val="0005417C"/>
    <w:rsid w:val="000546D9"/>
    <w:rsid w:val="00054E4D"/>
    <w:rsid w:val="0005564F"/>
    <w:rsid w:val="00055880"/>
    <w:rsid w:val="00056502"/>
    <w:rsid w:val="00056F24"/>
    <w:rsid w:val="00060073"/>
    <w:rsid w:val="00060816"/>
    <w:rsid w:val="000616C6"/>
    <w:rsid w:val="00062A85"/>
    <w:rsid w:val="00062FC9"/>
    <w:rsid w:val="00063096"/>
    <w:rsid w:val="00063CE4"/>
    <w:rsid w:val="00064781"/>
    <w:rsid w:val="00065857"/>
    <w:rsid w:val="000658AB"/>
    <w:rsid w:val="0006759E"/>
    <w:rsid w:val="000700D0"/>
    <w:rsid w:val="00071454"/>
    <w:rsid w:val="00072029"/>
    <w:rsid w:val="000751FA"/>
    <w:rsid w:val="00075F1D"/>
    <w:rsid w:val="00081314"/>
    <w:rsid w:val="0008168E"/>
    <w:rsid w:val="00081871"/>
    <w:rsid w:val="00082166"/>
    <w:rsid w:val="0008226A"/>
    <w:rsid w:val="000822AD"/>
    <w:rsid w:val="00084194"/>
    <w:rsid w:val="000854FD"/>
    <w:rsid w:val="00085895"/>
    <w:rsid w:val="0008656B"/>
    <w:rsid w:val="00087D2A"/>
    <w:rsid w:val="00090ACB"/>
    <w:rsid w:val="000913D9"/>
    <w:rsid w:val="0009285F"/>
    <w:rsid w:val="00093F35"/>
    <w:rsid w:val="0009579F"/>
    <w:rsid w:val="0009609F"/>
    <w:rsid w:val="0009676B"/>
    <w:rsid w:val="000978D4"/>
    <w:rsid w:val="000A12A6"/>
    <w:rsid w:val="000A1DD1"/>
    <w:rsid w:val="000A2B9F"/>
    <w:rsid w:val="000A39DD"/>
    <w:rsid w:val="000A407E"/>
    <w:rsid w:val="000A4436"/>
    <w:rsid w:val="000A4EF0"/>
    <w:rsid w:val="000A6B00"/>
    <w:rsid w:val="000A7826"/>
    <w:rsid w:val="000B28B0"/>
    <w:rsid w:val="000B3698"/>
    <w:rsid w:val="000B37F5"/>
    <w:rsid w:val="000B40E9"/>
    <w:rsid w:val="000B44B1"/>
    <w:rsid w:val="000B5DA7"/>
    <w:rsid w:val="000B78E6"/>
    <w:rsid w:val="000C103E"/>
    <w:rsid w:val="000C12A4"/>
    <w:rsid w:val="000C2223"/>
    <w:rsid w:val="000C27EF"/>
    <w:rsid w:val="000C3A4C"/>
    <w:rsid w:val="000C4411"/>
    <w:rsid w:val="000C4A7B"/>
    <w:rsid w:val="000C53C1"/>
    <w:rsid w:val="000C75C5"/>
    <w:rsid w:val="000D003A"/>
    <w:rsid w:val="000D0072"/>
    <w:rsid w:val="000D0719"/>
    <w:rsid w:val="000D1942"/>
    <w:rsid w:val="000D2896"/>
    <w:rsid w:val="000D505A"/>
    <w:rsid w:val="000D6184"/>
    <w:rsid w:val="000D66D6"/>
    <w:rsid w:val="000E1045"/>
    <w:rsid w:val="000E2BE4"/>
    <w:rsid w:val="000E4947"/>
    <w:rsid w:val="000E58BF"/>
    <w:rsid w:val="000E6C44"/>
    <w:rsid w:val="000F1286"/>
    <w:rsid w:val="000F2600"/>
    <w:rsid w:val="000F2759"/>
    <w:rsid w:val="000F2F84"/>
    <w:rsid w:val="000F3713"/>
    <w:rsid w:val="000F3D01"/>
    <w:rsid w:val="000F5AD7"/>
    <w:rsid w:val="000F7130"/>
    <w:rsid w:val="000F78C9"/>
    <w:rsid w:val="00100347"/>
    <w:rsid w:val="001014C7"/>
    <w:rsid w:val="00102E90"/>
    <w:rsid w:val="00104EC5"/>
    <w:rsid w:val="001062FD"/>
    <w:rsid w:val="0010699C"/>
    <w:rsid w:val="00111A68"/>
    <w:rsid w:val="00113288"/>
    <w:rsid w:val="0011475A"/>
    <w:rsid w:val="00116E9F"/>
    <w:rsid w:val="001203A0"/>
    <w:rsid w:val="00120C12"/>
    <w:rsid w:val="001214BE"/>
    <w:rsid w:val="0012165D"/>
    <w:rsid w:val="00121DDD"/>
    <w:rsid w:val="00122515"/>
    <w:rsid w:val="001227F1"/>
    <w:rsid w:val="00122EC2"/>
    <w:rsid w:val="00123342"/>
    <w:rsid w:val="00123454"/>
    <w:rsid w:val="001243D6"/>
    <w:rsid w:val="00124690"/>
    <w:rsid w:val="00130585"/>
    <w:rsid w:val="0013101C"/>
    <w:rsid w:val="0013385F"/>
    <w:rsid w:val="00134803"/>
    <w:rsid w:val="00134AEA"/>
    <w:rsid w:val="00136F4A"/>
    <w:rsid w:val="00137F4E"/>
    <w:rsid w:val="001403F9"/>
    <w:rsid w:val="00141DE2"/>
    <w:rsid w:val="001461D6"/>
    <w:rsid w:val="0014658F"/>
    <w:rsid w:val="00146E07"/>
    <w:rsid w:val="001511FD"/>
    <w:rsid w:val="001541EA"/>
    <w:rsid w:val="001551EA"/>
    <w:rsid w:val="001608B6"/>
    <w:rsid w:val="001619EF"/>
    <w:rsid w:val="00161D6F"/>
    <w:rsid w:val="0016203F"/>
    <w:rsid w:val="0016223D"/>
    <w:rsid w:val="00163DB1"/>
    <w:rsid w:val="00165E7C"/>
    <w:rsid w:val="00166032"/>
    <w:rsid w:val="001662F8"/>
    <w:rsid w:val="0017277F"/>
    <w:rsid w:val="00173512"/>
    <w:rsid w:val="0017386E"/>
    <w:rsid w:val="00174335"/>
    <w:rsid w:val="0017541C"/>
    <w:rsid w:val="00175781"/>
    <w:rsid w:val="00180C3A"/>
    <w:rsid w:val="00180E6D"/>
    <w:rsid w:val="001830C1"/>
    <w:rsid w:val="001841C8"/>
    <w:rsid w:val="0018557D"/>
    <w:rsid w:val="0018589F"/>
    <w:rsid w:val="00186B4B"/>
    <w:rsid w:val="001902E8"/>
    <w:rsid w:val="00190D95"/>
    <w:rsid w:val="00191DD3"/>
    <w:rsid w:val="00193526"/>
    <w:rsid w:val="00193C49"/>
    <w:rsid w:val="00193F34"/>
    <w:rsid w:val="00194821"/>
    <w:rsid w:val="001959D7"/>
    <w:rsid w:val="001A1922"/>
    <w:rsid w:val="001A2083"/>
    <w:rsid w:val="001A270D"/>
    <w:rsid w:val="001A2EFF"/>
    <w:rsid w:val="001A492E"/>
    <w:rsid w:val="001A4B1B"/>
    <w:rsid w:val="001A51EE"/>
    <w:rsid w:val="001A67D3"/>
    <w:rsid w:val="001A7815"/>
    <w:rsid w:val="001B03E1"/>
    <w:rsid w:val="001B2407"/>
    <w:rsid w:val="001B2533"/>
    <w:rsid w:val="001B2551"/>
    <w:rsid w:val="001B2C26"/>
    <w:rsid w:val="001B2F22"/>
    <w:rsid w:val="001B38D0"/>
    <w:rsid w:val="001B4634"/>
    <w:rsid w:val="001B5168"/>
    <w:rsid w:val="001B6DD9"/>
    <w:rsid w:val="001B78DA"/>
    <w:rsid w:val="001C14F4"/>
    <w:rsid w:val="001C1F11"/>
    <w:rsid w:val="001C3A53"/>
    <w:rsid w:val="001C483F"/>
    <w:rsid w:val="001C6B8C"/>
    <w:rsid w:val="001C72C5"/>
    <w:rsid w:val="001D05DB"/>
    <w:rsid w:val="001D1A8F"/>
    <w:rsid w:val="001D1D51"/>
    <w:rsid w:val="001D217D"/>
    <w:rsid w:val="001D30A6"/>
    <w:rsid w:val="001D3AAE"/>
    <w:rsid w:val="001D3C98"/>
    <w:rsid w:val="001D3DDD"/>
    <w:rsid w:val="001D4091"/>
    <w:rsid w:val="001D56B2"/>
    <w:rsid w:val="001D5CCF"/>
    <w:rsid w:val="001D663E"/>
    <w:rsid w:val="001D6740"/>
    <w:rsid w:val="001D6B81"/>
    <w:rsid w:val="001D7A20"/>
    <w:rsid w:val="001E03BE"/>
    <w:rsid w:val="001E0691"/>
    <w:rsid w:val="001E0E0B"/>
    <w:rsid w:val="001E1AD8"/>
    <w:rsid w:val="001E1BDB"/>
    <w:rsid w:val="001E1DC0"/>
    <w:rsid w:val="001E2293"/>
    <w:rsid w:val="001E25F7"/>
    <w:rsid w:val="001E2EB3"/>
    <w:rsid w:val="001E3C21"/>
    <w:rsid w:val="001E3C9D"/>
    <w:rsid w:val="001E55B2"/>
    <w:rsid w:val="001E563B"/>
    <w:rsid w:val="001E67DF"/>
    <w:rsid w:val="001E6D20"/>
    <w:rsid w:val="001E7189"/>
    <w:rsid w:val="001F0739"/>
    <w:rsid w:val="001F08EB"/>
    <w:rsid w:val="001F0B2D"/>
    <w:rsid w:val="001F16E7"/>
    <w:rsid w:val="001F1AED"/>
    <w:rsid w:val="001F1C8B"/>
    <w:rsid w:val="001F255B"/>
    <w:rsid w:val="001F3CDB"/>
    <w:rsid w:val="001F63EC"/>
    <w:rsid w:val="001F7756"/>
    <w:rsid w:val="001F7A8B"/>
    <w:rsid w:val="001F7E7F"/>
    <w:rsid w:val="001F7F4D"/>
    <w:rsid w:val="002001E8"/>
    <w:rsid w:val="002020B9"/>
    <w:rsid w:val="00204523"/>
    <w:rsid w:val="002068F2"/>
    <w:rsid w:val="00207122"/>
    <w:rsid w:val="00207CC7"/>
    <w:rsid w:val="00211BD1"/>
    <w:rsid w:val="002144DA"/>
    <w:rsid w:val="00215F1F"/>
    <w:rsid w:val="002161DC"/>
    <w:rsid w:val="00216330"/>
    <w:rsid w:val="00216475"/>
    <w:rsid w:val="00216C55"/>
    <w:rsid w:val="002207AA"/>
    <w:rsid w:val="002221DE"/>
    <w:rsid w:val="00222957"/>
    <w:rsid w:val="002231BD"/>
    <w:rsid w:val="00223AB6"/>
    <w:rsid w:val="00223AF7"/>
    <w:rsid w:val="0022582D"/>
    <w:rsid w:val="002270F7"/>
    <w:rsid w:val="0022790D"/>
    <w:rsid w:val="00230AE2"/>
    <w:rsid w:val="002315C1"/>
    <w:rsid w:val="0023194D"/>
    <w:rsid w:val="0023327C"/>
    <w:rsid w:val="002345B4"/>
    <w:rsid w:val="00235300"/>
    <w:rsid w:val="00236BB2"/>
    <w:rsid w:val="00237AFE"/>
    <w:rsid w:val="002404E8"/>
    <w:rsid w:val="0024204C"/>
    <w:rsid w:val="00244229"/>
    <w:rsid w:val="002443C7"/>
    <w:rsid w:val="00244BDF"/>
    <w:rsid w:val="00246089"/>
    <w:rsid w:val="00247365"/>
    <w:rsid w:val="00247E6B"/>
    <w:rsid w:val="00251942"/>
    <w:rsid w:val="00253B62"/>
    <w:rsid w:val="00254132"/>
    <w:rsid w:val="00254753"/>
    <w:rsid w:val="0025542A"/>
    <w:rsid w:val="00255F45"/>
    <w:rsid w:val="002565BB"/>
    <w:rsid w:val="00257899"/>
    <w:rsid w:val="00257B9F"/>
    <w:rsid w:val="00261565"/>
    <w:rsid w:val="00262D05"/>
    <w:rsid w:val="00262FB3"/>
    <w:rsid w:val="0026344B"/>
    <w:rsid w:val="00263A5D"/>
    <w:rsid w:val="00264041"/>
    <w:rsid w:val="002653DF"/>
    <w:rsid w:val="00270C70"/>
    <w:rsid w:val="0027102E"/>
    <w:rsid w:val="002721B5"/>
    <w:rsid w:val="00272849"/>
    <w:rsid w:val="00274844"/>
    <w:rsid w:val="00276851"/>
    <w:rsid w:val="00277B69"/>
    <w:rsid w:val="00282623"/>
    <w:rsid w:val="0028280E"/>
    <w:rsid w:val="00284CB1"/>
    <w:rsid w:val="00284CE9"/>
    <w:rsid w:val="00284E4F"/>
    <w:rsid w:val="00284FB5"/>
    <w:rsid w:val="0028602A"/>
    <w:rsid w:val="002915B7"/>
    <w:rsid w:val="00293A61"/>
    <w:rsid w:val="00293D10"/>
    <w:rsid w:val="002945C4"/>
    <w:rsid w:val="0029663F"/>
    <w:rsid w:val="00297258"/>
    <w:rsid w:val="00297FD1"/>
    <w:rsid w:val="002A1A8F"/>
    <w:rsid w:val="002A281F"/>
    <w:rsid w:val="002A518F"/>
    <w:rsid w:val="002A5A17"/>
    <w:rsid w:val="002A5B24"/>
    <w:rsid w:val="002A615C"/>
    <w:rsid w:val="002A73E2"/>
    <w:rsid w:val="002B0499"/>
    <w:rsid w:val="002B0A24"/>
    <w:rsid w:val="002B156A"/>
    <w:rsid w:val="002B2E32"/>
    <w:rsid w:val="002B3381"/>
    <w:rsid w:val="002B590B"/>
    <w:rsid w:val="002B5E10"/>
    <w:rsid w:val="002B6A91"/>
    <w:rsid w:val="002C622C"/>
    <w:rsid w:val="002C67AC"/>
    <w:rsid w:val="002C72B5"/>
    <w:rsid w:val="002C793D"/>
    <w:rsid w:val="002D0804"/>
    <w:rsid w:val="002D0D3F"/>
    <w:rsid w:val="002D25D9"/>
    <w:rsid w:val="002D26E7"/>
    <w:rsid w:val="002D2EA1"/>
    <w:rsid w:val="002D35C9"/>
    <w:rsid w:val="002D3B31"/>
    <w:rsid w:val="002D4108"/>
    <w:rsid w:val="002D430F"/>
    <w:rsid w:val="002D4E11"/>
    <w:rsid w:val="002D5AA4"/>
    <w:rsid w:val="002D5B25"/>
    <w:rsid w:val="002D626F"/>
    <w:rsid w:val="002D6F1B"/>
    <w:rsid w:val="002E14B1"/>
    <w:rsid w:val="002E1F4F"/>
    <w:rsid w:val="002E2A54"/>
    <w:rsid w:val="002E2AF4"/>
    <w:rsid w:val="002E2BCC"/>
    <w:rsid w:val="002E3019"/>
    <w:rsid w:val="002E38B2"/>
    <w:rsid w:val="002E500A"/>
    <w:rsid w:val="002E69B9"/>
    <w:rsid w:val="002E6A46"/>
    <w:rsid w:val="002E7D36"/>
    <w:rsid w:val="002F03FB"/>
    <w:rsid w:val="002F0533"/>
    <w:rsid w:val="002F0903"/>
    <w:rsid w:val="002F2C17"/>
    <w:rsid w:val="002F301A"/>
    <w:rsid w:val="002F3FC8"/>
    <w:rsid w:val="002F4E41"/>
    <w:rsid w:val="002F4F2B"/>
    <w:rsid w:val="002F59BA"/>
    <w:rsid w:val="002F6581"/>
    <w:rsid w:val="002F67AE"/>
    <w:rsid w:val="002F69FF"/>
    <w:rsid w:val="002F6BBD"/>
    <w:rsid w:val="002F7C16"/>
    <w:rsid w:val="003002C0"/>
    <w:rsid w:val="00300536"/>
    <w:rsid w:val="00300FBA"/>
    <w:rsid w:val="00301144"/>
    <w:rsid w:val="00301DD5"/>
    <w:rsid w:val="003031C6"/>
    <w:rsid w:val="0030467F"/>
    <w:rsid w:val="00304984"/>
    <w:rsid w:val="00305865"/>
    <w:rsid w:val="00307A28"/>
    <w:rsid w:val="00310CD0"/>
    <w:rsid w:val="00311946"/>
    <w:rsid w:val="003125CD"/>
    <w:rsid w:val="00312BF8"/>
    <w:rsid w:val="00313ED7"/>
    <w:rsid w:val="00313F68"/>
    <w:rsid w:val="003148B7"/>
    <w:rsid w:val="003151DC"/>
    <w:rsid w:val="003158C3"/>
    <w:rsid w:val="00316B64"/>
    <w:rsid w:val="00317931"/>
    <w:rsid w:val="00320DC8"/>
    <w:rsid w:val="00320DD8"/>
    <w:rsid w:val="00320E93"/>
    <w:rsid w:val="0032103E"/>
    <w:rsid w:val="00323923"/>
    <w:rsid w:val="00323EA7"/>
    <w:rsid w:val="00324D3A"/>
    <w:rsid w:val="003274CD"/>
    <w:rsid w:val="003275AF"/>
    <w:rsid w:val="0032774B"/>
    <w:rsid w:val="00327EF4"/>
    <w:rsid w:val="00333501"/>
    <w:rsid w:val="00333CFF"/>
    <w:rsid w:val="00334503"/>
    <w:rsid w:val="00334D32"/>
    <w:rsid w:val="003373A8"/>
    <w:rsid w:val="003406AF"/>
    <w:rsid w:val="00345115"/>
    <w:rsid w:val="003452F7"/>
    <w:rsid w:val="003457C4"/>
    <w:rsid w:val="0035119D"/>
    <w:rsid w:val="0035237D"/>
    <w:rsid w:val="003523F9"/>
    <w:rsid w:val="00352A74"/>
    <w:rsid w:val="003535F8"/>
    <w:rsid w:val="00353D24"/>
    <w:rsid w:val="003540A0"/>
    <w:rsid w:val="00354641"/>
    <w:rsid w:val="0035532B"/>
    <w:rsid w:val="00355BE5"/>
    <w:rsid w:val="003567CC"/>
    <w:rsid w:val="00356E31"/>
    <w:rsid w:val="00357EB7"/>
    <w:rsid w:val="003608CD"/>
    <w:rsid w:val="003620DA"/>
    <w:rsid w:val="003622C1"/>
    <w:rsid w:val="00363A9F"/>
    <w:rsid w:val="00363C63"/>
    <w:rsid w:val="003644E6"/>
    <w:rsid w:val="00364677"/>
    <w:rsid w:val="003664F2"/>
    <w:rsid w:val="003664FE"/>
    <w:rsid w:val="00370696"/>
    <w:rsid w:val="00371892"/>
    <w:rsid w:val="003721F7"/>
    <w:rsid w:val="0037562D"/>
    <w:rsid w:val="00375D23"/>
    <w:rsid w:val="003806FE"/>
    <w:rsid w:val="00382CE7"/>
    <w:rsid w:val="003830D3"/>
    <w:rsid w:val="00383213"/>
    <w:rsid w:val="00383562"/>
    <w:rsid w:val="00384D2A"/>
    <w:rsid w:val="003858B8"/>
    <w:rsid w:val="00387416"/>
    <w:rsid w:val="00387C5B"/>
    <w:rsid w:val="00387EC8"/>
    <w:rsid w:val="003894A1"/>
    <w:rsid w:val="0039094D"/>
    <w:rsid w:val="0039215F"/>
    <w:rsid w:val="0039344A"/>
    <w:rsid w:val="0039536A"/>
    <w:rsid w:val="00395E73"/>
    <w:rsid w:val="0039789A"/>
    <w:rsid w:val="003A0935"/>
    <w:rsid w:val="003A1BC3"/>
    <w:rsid w:val="003A1C9B"/>
    <w:rsid w:val="003A2565"/>
    <w:rsid w:val="003A501D"/>
    <w:rsid w:val="003A5143"/>
    <w:rsid w:val="003A6511"/>
    <w:rsid w:val="003B0336"/>
    <w:rsid w:val="003B3091"/>
    <w:rsid w:val="003B4F12"/>
    <w:rsid w:val="003B5132"/>
    <w:rsid w:val="003B655D"/>
    <w:rsid w:val="003B6F75"/>
    <w:rsid w:val="003C0F61"/>
    <w:rsid w:val="003C1BBB"/>
    <w:rsid w:val="003C24AB"/>
    <w:rsid w:val="003C449D"/>
    <w:rsid w:val="003C5FE0"/>
    <w:rsid w:val="003C6581"/>
    <w:rsid w:val="003C6C4F"/>
    <w:rsid w:val="003C7682"/>
    <w:rsid w:val="003C7B21"/>
    <w:rsid w:val="003C7D0E"/>
    <w:rsid w:val="003D026C"/>
    <w:rsid w:val="003D1253"/>
    <w:rsid w:val="003D14B5"/>
    <w:rsid w:val="003D2C6A"/>
    <w:rsid w:val="003D2EEB"/>
    <w:rsid w:val="003D4204"/>
    <w:rsid w:val="003D47FD"/>
    <w:rsid w:val="003D48D1"/>
    <w:rsid w:val="003D63AC"/>
    <w:rsid w:val="003D7362"/>
    <w:rsid w:val="003E03B8"/>
    <w:rsid w:val="003E0545"/>
    <w:rsid w:val="003E16E0"/>
    <w:rsid w:val="003E24BA"/>
    <w:rsid w:val="003E326B"/>
    <w:rsid w:val="003E3C71"/>
    <w:rsid w:val="003E4D9B"/>
    <w:rsid w:val="003E5CCB"/>
    <w:rsid w:val="003E674F"/>
    <w:rsid w:val="003E6D8B"/>
    <w:rsid w:val="003F087F"/>
    <w:rsid w:val="003F2041"/>
    <w:rsid w:val="003F31CE"/>
    <w:rsid w:val="003F350B"/>
    <w:rsid w:val="003F4679"/>
    <w:rsid w:val="003F7D26"/>
    <w:rsid w:val="00400300"/>
    <w:rsid w:val="004007ED"/>
    <w:rsid w:val="00400C5F"/>
    <w:rsid w:val="00400D50"/>
    <w:rsid w:val="00402503"/>
    <w:rsid w:val="00402ACC"/>
    <w:rsid w:val="00403773"/>
    <w:rsid w:val="00403C7C"/>
    <w:rsid w:val="00403FD8"/>
    <w:rsid w:val="00404443"/>
    <w:rsid w:val="00404602"/>
    <w:rsid w:val="004068C6"/>
    <w:rsid w:val="00407E5C"/>
    <w:rsid w:val="004104B2"/>
    <w:rsid w:val="004115E9"/>
    <w:rsid w:val="004120EC"/>
    <w:rsid w:val="0041267F"/>
    <w:rsid w:val="00412AA5"/>
    <w:rsid w:val="00414AD9"/>
    <w:rsid w:val="00423467"/>
    <w:rsid w:val="00423DB9"/>
    <w:rsid w:val="00423DE0"/>
    <w:rsid w:val="00423F31"/>
    <w:rsid w:val="0042526D"/>
    <w:rsid w:val="00426340"/>
    <w:rsid w:val="00426F5A"/>
    <w:rsid w:val="00427536"/>
    <w:rsid w:val="004278E7"/>
    <w:rsid w:val="00427DFE"/>
    <w:rsid w:val="004303AA"/>
    <w:rsid w:val="00430C41"/>
    <w:rsid w:val="00430F77"/>
    <w:rsid w:val="004311AC"/>
    <w:rsid w:val="00431899"/>
    <w:rsid w:val="0043323A"/>
    <w:rsid w:val="004332A2"/>
    <w:rsid w:val="004351B4"/>
    <w:rsid w:val="00436CB4"/>
    <w:rsid w:val="00437E54"/>
    <w:rsid w:val="004421EF"/>
    <w:rsid w:val="00445360"/>
    <w:rsid w:val="00446F46"/>
    <w:rsid w:val="00447CC6"/>
    <w:rsid w:val="00450381"/>
    <w:rsid w:val="004529F1"/>
    <w:rsid w:val="00452DD4"/>
    <w:rsid w:val="0045328A"/>
    <w:rsid w:val="00453B1A"/>
    <w:rsid w:val="004547D6"/>
    <w:rsid w:val="00454DBA"/>
    <w:rsid w:val="00455CCE"/>
    <w:rsid w:val="004563E6"/>
    <w:rsid w:val="00460DEB"/>
    <w:rsid w:val="00461B4B"/>
    <w:rsid w:val="00462A57"/>
    <w:rsid w:val="00463969"/>
    <w:rsid w:val="004649A2"/>
    <w:rsid w:val="004667FE"/>
    <w:rsid w:val="00467BA2"/>
    <w:rsid w:val="004708EF"/>
    <w:rsid w:val="004708FA"/>
    <w:rsid w:val="004728DD"/>
    <w:rsid w:val="00472B9F"/>
    <w:rsid w:val="00473F2D"/>
    <w:rsid w:val="00473F39"/>
    <w:rsid w:val="00474037"/>
    <w:rsid w:val="0047489E"/>
    <w:rsid w:val="00474A81"/>
    <w:rsid w:val="00474F88"/>
    <w:rsid w:val="00475782"/>
    <w:rsid w:val="00476701"/>
    <w:rsid w:val="00480276"/>
    <w:rsid w:val="0048079D"/>
    <w:rsid w:val="00482130"/>
    <w:rsid w:val="004821BB"/>
    <w:rsid w:val="00482AE8"/>
    <w:rsid w:val="00482D0C"/>
    <w:rsid w:val="00482EE6"/>
    <w:rsid w:val="00486804"/>
    <w:rsid w:val="00487549"/>
    <w:rsid w:val="00490CA9"/>
    <w:rsid w:val="00491757"/>
    <w:rsid w:val="00491778"/>
    <w:rsid w:val="00493AD7"/>
    <w:rsid w:val="00493F17"/>
    <w:rsid w:val="00494242"/>
    <w:rsid w:val="0049496C"/>
    <w:rsid w:val="00496766"/>
    <w:rsid w:val="00497AA9"/>
    <w:rsid w:val="00497BB3"/>
    <w:rsid w:val="004A0D14"/>
    <w:rsid w:val="004A11D6"/>
    <w:rsid w:val="004A41B8"/>
    <w:rsid w:val="004A4C96"/>
    <w:rsid w:val="004A6AF3"/>
    <w:rsid w:val="004A7B85"/>
    <w:rsid w:val="004B048F"/>
    <w:rsid w:val="004B1347"/>
    <w:rsid w:val="004B1B8D"/>
    <w:rsid w:val="004B1E03"/>
    <w:rsid w:val="004B3571"/>
    <w:rsid w:val="004B3775"/>
    <w:rsid w:val="004B4EF5"/>
    <w:rsid w:val="004B5890"/>
    <w:rsid w:val="004B68BC"/>
    <w:rsid w:val="004C0C4D"/>
    <w:rsid w:val="004C2870"/>
    <w:rsid w:val="004C2B5F"/>
    <w:rsid w:val="004C4F0D"/>
    <w:rsid w:val="004D0BA0"/>
    <w:rsid w:val="004D191C"/>
    <w:rsid w:val="004D1F59"/>
    <w:rsid w:val="004D1FC6"/>
    <w:rsid w:val="004D33AA"/>
    <w:rsid w:val="004D3C5A"/>
    <w:rsid w:val="004D4A91"/>
    <w:rsid w:val="004D544C"/>
    <w:rsid w:val="004D7F36"/>
    <w:rsid w:val="004E058F"/>
    <w:rsid w:val="004E0CAC"/>
    <w:rsid w:val="004E1411"/>
    <w:rsid w:val="004E3B87"/>
    <w:rsid w:val="004E3CA3"/>
    <w:rsid w:val="004E449E"/>
    <w:rsid w:val="004E479B"/>
    <w:rsid w:val="004E47D0"/>
    <w:rsid w:val="004E540C"/>
    <w:rsid w:val="004E549D"/>
    <w:rsid w:val="004E591E"/>
    <w:rsid w:val="004E67DF"/>
    <w:rsid w:val="004F223A"/>
    <w:rsid w:val="004F2E7C"/>
    <w:rsid w:val="004F4C02"/>
    <w:rsid w:val="004F4F30"/>
    <w:rsid w:val="004F5615"/>
    <w:rsid w:val="004F5891"/>
    <w:rsid w:val="004F6223"/>
    <w:rsid w:val="004F731A"/>
    <w:rsid w:val="004F7514"/>
    <w:rsid w:val="00500FBD"/>
    <w:rsid w:val="00501008"/>
    <w:rsid w:val="00501B10"/>
    <w:rsid w:val="00502041"/>
    <w:rsid w:val="005027CE"/>
    <w:rsid w:val="00502885"/>
    <w:rsid w:val="00503E6F"/>
    <w:rsid w:val="00503EB4"/>
    <w:rsid w:val="0050448A"/>
    <w:rsid w:val="00504632"/>
    <w:rsid w:val="0050592F"/>
    <w:rsid w:val="00510921"/>
    <w:rsid w:val="00510AD3"/>
    <w:rsid w:val="00510ECE"/>
    <w:rsid w:val="00513348"/>
    <w:rsid w:val="00513AD8"/>
    <w:rsid w:val="0051503C"/>
    <w:rsid w:val="0051599E"/>
    <w:rsid w:val="00515EE0"/>
    <w:rsid w:val="005177E5"/>
    <w:rsid w:val="00517AD1"/>
    <w:rsid w:val="00517DD0"/>
    <w:rsid w:val="005201C9"/>
    <w:rsid w:val="005204D2"/>
    <w:rsid w:val="005208C2"/>
    <w:rsid w:val="00520CB6"/>
    <w:rsid w:val="005212FA"/>
    <w:rsid w:val="00522396"/>
    <w:rsid w:val="00522795"/>
    <w:rsid w:val="005228B0"/>
    <w:rsid w:val="005245AF"/>
    <w:rsid w:val="00526009"/>
    <w:rsid w:val="00526418"/>
    <w:rsid w:val="005265B6"/>
    <w:rsid w:val="00527AD8"/>
    <w:rsid w:val="005300DE"/>
    <w:rsid w:val="005303B9"/>
    <w:rsid w:val="0053159D"/>
    <w:rsid w:val="00531B69"/>
    <w:rsid w:val="00533B5D"/>
    <w:rsid w:val="00534A62"/>
    <w:rsid w:val="00534D96"/>
    <w:rsid w:val="00534FF3"/>
    <w:rsid w:val="00535AE4"/>
    <w:rsid w:val="00536343"/>
    <w:rsid w:val="00536BAB"/>
    <w:rsid w:val="005403B0"/>
    <w:rsid w:val="00540A22"/>
    <w:rsid w:val="00542DA8"/>
    <w:rsid w:val="00546075"/>
    <w:rsid w:val="00546877"/>
    <w:rsid w:val="005474FC"/>
    <w:rsid w:val="00547A71"/>
    <w:rsid w:val="005515B3"/>
    <w:rsid w:val="00552B18"/>
    <w:rsid w:val="00553079"/>
    <w:rsid w:val="005545CA"/>
    <w:rsid w:val="005579C6"/>
    <w:rsid w:val="00557EEF"/>
    <w:rsid w:val="005607A3"/>
    <w:rsid w:val="00560E83"/>
    <w:rsid w:val="00563B93"/>
    <w:rsid w:val="005641EE"/>
    <w:rsid w:val="00564E68"/>
    <w:rsid w:val="0056736E"/>
    <w:rsid w:val="0056D3BB"/>
    <w:rsid w:val="005727D6"/>
    <w:rsid w:val="005736BB"/>
    <w:rsid w:val="005755AB"/>
    <w:rsid w:val="00575F18"/>
    <w:rsid w:val="00576403"/>
    <w:rsid w:val="00577815"/>
    <w:rsid w:val="00581244"/>
    <w:rsid w:val="005816E9"/>
    <w:rsid w:val="005822D6"/>
    <w:rsid w:val="005838FD"/>
    <w:rsid w:val="005839E5"/>
    <w:rsid w:val="0058516B"/>
    <w:rsid w:val="00597BC3"/>
    <w:rsid w:val="005A20F6"/>
    <w:rsid w:val="005A257E"/>
    <w:rsid w:val="005A34D4"/>
    <w:rsid w:val="005A3A68"/>
    <w:rsid w:val="005A4E1B"/>
    <w:rsid w:val="005A530F"/>
    <w:rsid w:val="005A6A3A"/>
    <w:rsid w:val="005B50B6"/>
    <w:rsid w:val="005B59B9"/>
    <w:rsid w:val="005B7577"/>
    <w:rsid w:val="005B77E8"/>
    <w:rsid w:val="005C0AD3"/>
    <w:rsid w:val="005C2EC9"/>
    <w:rsid w:val="005C4E20"/>
    <w:rsid w:val="005C532B"/>
    <w:rsid w:val="005C5D6B"/>
    <w:rsid w:val="005C6102"/>
    <w:rsid w:val="005D07A9"/>
    <w:rsid w:val="005D21C6"/>
    <w:rsid w:val="005D2ACA"/>
    <w:rsid w:val="005D3655"/>
    <w:rsid w:val="005D436E"/>
    <w:rsid w:val="005D5489"/>
    <w:rsid w:val="005D6857"/>
    <w:rsid w:val="005D69AA"/>
    <w:rsid w:val="005D77A9"/>
    <w:rsid w:val="005D7F03"/>
    <w:rsid w:val="005E0058"/>
    <w:rsid w:val="005E26B6"/>
    <w:rsid w:val="005E4082"/>
    <w:rsid w:val="005E4385"/>
    <w:rsid w:val="005E4830"/>
    <w:rsid w:val="005E5524"/>
    <w:rsid w:val="005E60E9"/>
    <w:rsid w:val="005E73CC"/>
    <w:rsid w:val="005F238B"/>
    <w:rsid w:val="005F2F66"/>
    <w:rsid w:val="005F447F"/>
    <w:rsid w:val="005F4FA6"/>
    <w:rsid w:val="005F5EA6"/>
    <w:rsid w:val="005F608E"/>
    <w:rsid w:val="005F702F"/>
    <w:rsid w:val="005F7B09"/>
    <w:rsid w:val="006008D7"/>
    <w:rsid w:val="00601D9C"/>
    <w:rsid w:val="006031AC"/>
    <w:rsid w:val="00603321"/>
    <w:rsid w:val="00603D31"/>
    <w:rsid w:val="00604B45"/>
    <w:rsid w:val="00606E9E"/>
    <w:rsid w:val="0060711B"/>
    <w:rsid w:val="0061034E"/>
    <w:rsid w:val="0061186E"/>
    <w:rsid w:val="00613DD7"/>
    <w:rsid w:val="006145C5"/>
    <w:rsid w:val="006152ED"/>
    <w:rsid w:val="00615C60"/>
    <w:rsid w:val="00616A58"/>
    <w:rsid w:val="006203E9"/>
    <w:rsid w:val="00620A3D"/>
    <w:rsid w:val="00622B86"/>
    <w:rsid w:val="00623117"/>
    <w:rsid w:val="00623ADD"/>
    <w:rsid w:val="00623BA1"/>
    <w:rsid w:val="006249DD"/>
    <w:rsid w:val="00625027"/>
    <w:rsid w:val="00627990"/>
    <w:rsid w:val="00630005"/>
    <w:rsid w:val="00630092"/>
    <w:rsid w:val="00630341"/>
    <w:rsid w:val="00630C98"/>
    <w:rsid w:val="006317FD"/>
    <w:rsid w:val="006346BC"/>
    <w:rsid w:val="00634FA7"/>
    <w:rsid w:val="00635718"/>
    <w:rsid w:val="006362FF"/>
    <w:rsid w:val="006378FE"/>
    <w:rsid w:val="00637A76"/>
    <w:rsid w:val="00640226"/>
    <w:rsid w:val="006408FF"/>
    <w:rsid w:val="006423A0"/>
    <w:rsid w:val="00644D4B"/>
    <w:rsid w:val="00645114"/>
    <w:rsid w:val="00645A0A"/>
    <w:rsid w:val="00650186"/>
    <w:rsid w:val="006503ED"/>
    <w:rsid w:val="00650916"/>
    <w:rsid w:val="00652B0E"/>
    <w:rsid w:val="00652DAF"/>
    <w:rsid w:val="00655EF5"/>
    <w:rsid w:val="0065649B"/>
    <w:rsid w:val="00656547"/>
    <w:rsid w:val="00656846"/>
    <w:rsid w:val="00660848"/>
    <w:rsid w:val="00660DFC"/>
    <w:rsid w:val="0066203A"/>
    <w:rsid w:val="0066347E"/>
    <w:rsid w:val="0066419C"/>
    <w:rsid w:val="00665AF7"/>
    <w:rsid w:val="0066652A"/>
    <w:rsid w:val="00666B45"/>
    <w:rsid w:val="00666DA3"/>
    <w:rsid w:val="00666E56"/>
    <w:rsid w:val="00666E78"/>
    <w:rsid w:val="0066703A"/>
    <w:rsid w:val="00667619"/>
    <w:rsid w:val="00667B09"/>
    <w:rsid w:val="00667F39"/>
    <w:rsid w:val="006719C3"/>
    <w:rsid w:val="006742B0"/>
    <w:rsid w:val="006745FC"/>
    <w:rsid w:val="00674D61"/>
    <w:rsid w:val="006750D9"/>
    <w:rsid w:val="006757D7"/>
    <w:rsid w:val="00676031"/>
    <w:rsid w:val="006762EA"/>
    <w:rsid w:val="0067653E"/>
    <w:rsid w:val="00677DD7"/>
    <w:rsid w:val="00680115"/>
    <w:rsid w:val="00680522"/>
    <w:rsid w:val="00680D56"/>
    <w:rsid w:val="00681633"/>
    <w:rsid w:val="0068172A"/>
    <w:rsid w:val="00682167"/>
    <w:rsid w:val="006822D8"/>
    <w:rsid w:val="006849CD"/>
    <w:rsid w:val="006863BE"/>
    <w:rsid w:val="00687B0A"/>
    <w:rsid w:val="00690AE1"/>
    <w:rsid w:val="00694598"/>
    <w:rsid w:val="0069542D"/>
    <w:rsid w:val="00695B3B"/>
    <w:rsid w:val="006963A3"/>
    <w:rsid w:val="006A0B80"/>
    <w:rsid w:val="006A0E67"/>
    <w:rsid w:val="006A1A01"/>
    <w:rsid w:val="006A3E92"/>
    <w:rsid w:val="006A526B"/>
    <w:rsid w:val="006A5523"/>
    <w:rsid w:val="006A6086"/>
    <w:rsid w:val="006A6694"/>
    <w:rsid w:val="006A6ADB"/>
    <w:rsid w:val="006A6F52"/>
    <w:rsid w:val="006A791A"/>
    <w:rsid w:val="006B0064"/>
    <w:rsid w:val="006B03AE"/>
    <w:rsid w:val="006B2EFA"/>
    <w:rsid w:val="006B3E95"/>
    <w:rsid w:val="006B51B2"/>
    <w:rsid w:val="006B6D03"/>
    <w:rsid w:val="006B6F6D"/>
    <w:rsid w:val="006B7B83"/>
    <w:rsid w:val="006C0449"/>
    <w:rsid w:val="006C0B06"/>
    <w:rsid w:val="006C2186"/>
    <w:rsid w:val="006C294F"/>
    <w:rsid w:val="006C3BBD"/>
    <w:rsid w:val="006C3DF2"/>
    <w:rsid w:val="006C42AF"/>
    <w:rsid w:val="006C565B"/>
    <w:rsid w:val="006C6498"/>
    <w:rsid w:val="006C6752"/>
    <w:rsid w:val="006D05C0"/>
    <w:rsid w:val="006D094F"/>
    <w:rsid w:val="006D0BF8"/>
    <w:rsid w:val="006D0C51"/>
    <w:rsid w:val="006D0F04"/>
    <w:rsid w:val="006D15F1"/>
    <w:rsid w:val="006D3A61"/>
    <w:rsid w:val="006D5A56"/>
    <w:rsid w:val="006D5B16"/>
    <w:rsid w:val="006D6B62"/>
    <w:rsid w:val="006E0790"/>
    <w:rsid w:val="006E13BC"/>
    <w:rsid w:val="006E385D"/>
    <w:rsid w:val="006E4099"/>
    <w:rsid w:val="006E4323"/>
    <w:rsid w:val="006E50CB"/>
    <w:rsid w:val="006F1B25"/>
    <w:rsid w:val="006F1D86"/>
    <w:rsid w:val="006F59F1"/>
    <w:rsid w:val="006F6BA7"/>
    <w:rsid w:val="006F7069"/>
    <w:rsid w:val="006F71F7"/>
    <w:rsid w:val="00702601"/>
    <w:rsid w:val="00702B1D"/>
    <w:rsid w:val="007052EB"/>
    <w:rsid w:val="00705D83"/>
    <w:rsid w:val="00706136"/>
    <w:rsid w:val="007075DF"/>
    <w:rsid w:val="00711D8E"/>
    <w:rsid w:val="00712221"/>
    <w:rsid w:val="00712672"/>
    <w:rsid w:val="00713C2A"/>
    <w:rsid w:val="00715AF8"/>
    <w:rsid w:val="00717029"/>
    <w:rsid w:val="007178C4"/>
    <w:rsid w:val="00720AC4"/>
    <w:rsid w:val="00722D73"/>
    <w:rsid w:val="0072426D"/>
    <w:rsid w:val="0072469D"/>
    <w:rsid w:val="007257DB"/>
    <w:rsid w:val="0072708F"/>
    <w:rsid w:val="00727BE9"/>
    <w:rsid w:val="00727E09"/>
    <w:rsid w:val="00731FB0"/>
    <w:rsid w:val="00732AA1"/>
    <w:rsid w:val="00732BC4"/>
    <w:rsid w:val="00733338"/>
    <w:rsid w:val="00734DF9"/>
    <w:rsid w:val="00734E3F"/>
    <w:rsid w:val="00735890"/>
    <w:rsid w:val="00736586"/>
    <w:rsid w:val="00736985"/>
    <w:rsid w:val="00737857"/>
    <w:rsid w:val="00737A57"/>
    <w:rsid w:val="00740850"/>
    <w:rsid w:val="00740C24"/>
    <w:rsid w:val="0074118C"/>
    <w:rsid w:val="007420C2"/>
    <w:rsid w:val="00742936"/>
    <w:rsid w:val="0074496A"/>
    <w:rsid w:val="007451DC"/>
    <w:rsid w:val="00745DF5"/>
    <w:rsid w:val="00750564"/>
    <w:rsid w:val="00750B5E"/>
    <w:rsid w:val="00750B71"/>
    <w:rsid w:val="00751718"/>
    <w:rsid w:val="00753924"/>
    <w:rsid w:val="007546E8"/>
    <w:rsid w:val="0075539A"/>
    <w:rsid w:val="007576DE"/>
    <w:rsid w:val="00757EE8"/>
    <w:rsid w:val="0076131D"/>
    <w:rsid w:val="007617BA"/>
    <w:rsid w:val="0076250F"/>
    <w:rsid w:val="0076406F"/>
    <w:rsid w:val="007647E6"/>
    <w:rsid w:val="00764A8F"/>
    <w:rsid w:val="00765A95"/>
    <w:rsid w:val="00767CBD"/>
    <w:rsid w:val="00767DCC"/>
    <w:rsid w:val="007703E9"/>
    <w:rsid w:val="00770488"/>
    <w:rsid w:val="0077138D"/>
    <w:rsid w:val="0077155A"/>
    <w:rsid w:val="00771CD2"/>
    <w:rsid w:val="0077221F"/>
    <w:rsid w:val="00773030"/>
    <w:rsid w:val="0077324F"/>
    <w:rsid w:val="007733DC"/>
    <w:rsid w:val="00774972"/>
    <w:rsid w:val="00774A78"/>
    <w:rsid w:val="007751FF"/>
    <w:rsid w:val="00775321"/>
    <w:rsid w:val="0077636F"/>
    <w:rsid w:val="00777BFE"/>
    <w:rsid w:val="00777D20"/>
    <w:rsid w:val="00777E39"/>
    <w:rsid w:val="007807DB"/>
    <w:rsid w:val="00780B4B"/>
    <w:rsid w:val="00780FA5"/>
    <w:rsid w:val="00782C85"/>
    <w:rsid w:val="007864CF"/>
    <w:rsid w:val="00787F02"/>
    <w:rsid w:val="00791AAB"/>
    <w:rsid w:val="00792786"/>
    <w:rsid w:val="00794D99"/>
    <w:rsid w:val="00794DB1"/>
    <w:rsid w:val="00796291"/>
    <w:rsid w:val="0079659D"/>
    <w:rsid w:val="00796A06"/>
    <w:rsid w:val="00796F1C"/>
    <w:rsid w:val="007A0C23"/>
    <w:rsid w:val="007A1E7A"/>
    <w:rsid w:val="007A26AD"/>
    <w:rsid w:val="007A3E52"/>
    <w:rsid w:val="007A4390"/>
    <w:rsid w:val="007A4493"/>
    <w:rsid w:val="007A4DF5"/>
    <w:rsid w:val="007A7871"/>
    <w:rsid w:val="007A7E6B"/>
    <w:rsid w:val="007B0DC5"/>
    <w:rsid w:val="007B52AA"/>
    <w:rsid w:val="007B53DB"/>
    <w:rsid w:val="007B53F9"/>
    <w:rsid w:val="007B5911"/>
    <w:rsid w:val="007B6200"/>
    <w:rsid w:val="007C05F7"/>
    <w:rsid w:val="007C19B3"/>
    <w:rsid w:val="007C2744"/>
    <w:rsid w:val="007C347F"/>
    <w:rsid w:val="007C35DE"/>
    <w:rsid w:val="007C3F59"/>
    <w:rsid w:val="007C4D69"/>
    <w:rsid w:val="007C5738"/>
    <w:rsid w:val="007C6A0C"/>
    <w:rsid w:val="007C735B"/>
    <w:rsid w:val="007D2F2B"/>
    <w:rsid w:val="007D2FAD"/>
    <w:rsid w:val="007D31DB"/>
    <w:rsid w:val="007D41B8"/>
    <w:rsid w:val="007D5814"/>
    <w:rsid w:val="007D5CAA"/>
    <w:rsid w:val="007D7895"/>
    <w:rsid w:val="007D7CEE"/>
    <w:rsid w:val="007E11AF"/>
    <w:rsid w:val="007E1705"/>
    <w:rsid w:val="007E24AE"/>
    <w:rsid w:val="007E2C2C"/>
    <w:rsid w:val="007E33FC"/>
    <w:rsid w:val="007E3A2D"/>
    <w:rsid w:val="007E5361"/>
    <w:rsid w:val="007E556D"/>
    <w:rsid w:val="007E5B01"/>
    <w:rsid w:val="007E7BC7"/>
    <w:rsid w:val="007F04E0"/>
    <w:rsid w:val="007F16E5"/>
    <w:rsid w:val="007F17CD"/>
    <w:rsid w:val="007F19DD"/>
    <w:rsid w:val="007F2D0D"/>
    <w:rsid w:val="007F3395"/>
    <w:rsid w:val="007F435A"/>
    <w:rsid w:val="007F4779"/>
    <w:rsid w:val="007F5C0B"/>
    <w:rsid w:val="007F60B7"/>
    <w:rsid w:val="007F646C"/>
    <w:rsid w:val="007F7B2B"/>
    <w:rsid w:val="008007D5"/>
    <w:rsid w:val="00800805"/>
    <w:rsid w:val="00801631"/>
    <w:rsid w:val="00801B9F"/>
    <w:rsid w:val="0080204D"/>
    <w:rsid w:val="0080226D"/>
    <w:rsid w:val="00802FF3"/>
    <w:rsid w:val="008032D3"/>
    <w:rsid w:val="008044A4"/>
    <w:rsid w:val="00804DB2"/>
    <w:rsid w:val="008052AE"/>
    <w:rsid w:val="00806726"/>
    <w:rsid w:val="008072E3"/>
    <w:rsid w:val="00807F2F"/>
    <w:rsid w:val="00810B33"/>
    <w:rsid w:val="008122ED"/>
    <w:rsid w:val="008128CA"/>
    <w:rsid w:val="00813BCC"/>
    <w:rsid w:val="00813EA6"/>
    <w:rsid w:val="0082053C"/>
    <w:rsid w:val="00820F1C"/>
    <w:rsid w:val="00822F43"/>
    <w:rsid w:val="00823849"/>
    <w:rsid w:val="00823DD2"/>
    <w:rsid w:val="008252D3"/>
    <w:rsid w:val="00826A66"/>
    <w:rsid w:val="00830866"/>
    <w:rsid w:val="00830CAA"/>
    <w:rsid w:val="00831893"/>
    <w:rsid w:val="008318FC"/>
    <w:rsid w:val="008321F7"/>
    <w:rsid w:val="00833447"/>
    <w:rsid w:val="0083448C"/>
    <w:rsid w:val="00835686"/>
    <w:rsid w:val="00836B54"/>
    <w:rsid w:val="0084113F"/>
    <w:rsid w:val="0084191E"/>
    <w:rsid w:val="00843569"/>
    <w:rsid w:val="00843B76"/>
    <w:rsid w:val="00844737"/>
    <w:rsid w:val="00844FA4"/>
    <w:rsid w:val="008475F0"/>
    <w:rsid w:val="0084798B"/>
    <w:rsid w:val="00847E79"/>
    <w:rsid w:val="008515AF"/>
    <w:rsid w:val="00852C32"/>
    <w:rsid w:val="00853FBE"/>
    <w:rsid w:val="008546BC"/>
    <w:rsid w:val="00854F69"/>
    <w:rsid w:val="008557A7"/>
    <w:rsid w:val="00856B87"/>
    <w:rsid w:val="00856BFE"/>
    <w:rsid w:val="00857312"/>
    <w:rsid w:val="00860698"/>
    <w:rsid w:val="00860C90"/>
    <w:rsid w:val="00861F48"/>
    <w:rsid w:val="00862BCF"/>
    <w:rsid w:val="00862CB8"/>
    <w:rsid w:val="008631B5"/>
    <w:rsid w:val="008631D4"/>
    <w:rsid w:val="00864FCC"/>
    <w:rsid w:val="00865DE2"/>
    <w:rsid w:val="00865EA3"/>
    <w:rsid w:val="00867046"/>
    <w:rsid w:val="00870755"/>
    <w:rsid w:val="00870928"/>
    <w:rsid w:val="008722DE"/>
    <w:rsid w:val="0087389A"/>
    <w:rsid w:val="00873AEA"/>
    <w:rsid w:val="00873F6F"/>
    <w:rsid w:val="008740B3"/>
    <w:rsid w:val="00874DDB"/>
    <w:rsid w:val="00875269"/>
    <w:rsid w:val="00876A4B"/>
    <w:rsid w:val="00876B47"/>
    <w:rsid w:val="0087748B"/>
    <w:rsid w:val="00877620"/>
    <w:rsid w:val="00877C7A"/>
    <w:rsid w:val="008806C3"/>
    <w:rsid w:val="00881605"/>
    <w:rsid w:val="0088247E"/>
    <w:rsid w:val="00886912"/>
    <w:rsid w:val="00887404"/>
    <w:rsid w:val="008919B6"/>
    <w:rsid w:val="00893B25"/>
    <w:rsid w:val="0089405C"/>
    <w:rsid w:val="0089491D"/>
    <w:rsid w:val="00894943"/>
    <w:rsid w:val="00894C6E"/>
    <w:rsid w:val="00894FEB"/>
    <w:rsid w:val="00895681"/>
    <w:rsid w:val="00895A1D"/>
    <w:rsid w:val="00896275"/>
    <w:rsid w:val="00897FA2"/>
    <w:rsid w:val="008A08B0"/>
    <w:rsid w:val="008A1503"/>
    <w:rsid w:val="008A19ED"/>
    <w:rsid w:val="008A2451"/>
    <w:rsid w:val="008A5626"/>
    <w:rsid w:val="008A5704"/>
    <w:rsid w:val="008A5AFE"/>
    <w:rsid w:val="008A6BB7"/>
    <w:rsid w:val="008A745C"/>
    <w:rsid w:val="008A7B6F"/>
    <w:rsid w:val="008A7BEF"/>
    <w:rsid w:val="008B066E"/>
    <w:rsid w:val="008B0A0A"/>
    <w:rsid w:val="008B1A5B"/>
    <w:rsid w:val="008B29CF"/>
    <w:rsid w:val="008B58E4"/>
    <w:rsid w:val="008B5B31"/>
    <w:rsid w:val="008B62AD"/>
    <w:rsid w:val="008B6727"/>
    <w:rsid w:val="008B6958"/>
    <w:rsid w:val="008B7CCF"/>
    <w:rsid w:val="008B7F36"/>
    <w:rsid w:val="008C1250"/>
    <w:rsid w:val="008C1A18"/>
    <w:rsid w:val="008C1F60"/>
    <w:rsid w:val="008C2462"/>
    <w:rsid w:val="008C2BD1"/>
    <w:rsid w:val="008C478C"/>
    <w:rsid w:val="008C5A0E"/>
    <w:rsid w:val="008C6149"/>
    <w:rsid w:val="008C635A"/>
    <w:rsid w:val="008C708C"/>
    <w:rsid w:val="008D0D1D"/>
    <w:rsid w:val="008D17AA"/>
    <w:rsid w:val="008D2F47"/>
    <w:rsid w:val="008D5450"/>
    <w:rsid w:val="008D5713"/>
    <w:rsid w:val="008D5900"/>
    <w:rsid w:val="008D789B"/>
    <w:rsid w:val="008D7996"/>
    <w:rsid w:val="008D7FA4"/>
    <w:rsid w:val="008E1874"/>
    <w:rsid w:val="008E2741"/>
    <w:rsid w:val="008E3204"/>
    <w:rsid w:val="008E36FA"/>
    <w:rsid w:val="008E49DE"/>
    <w:rsid w:val="008E4B49"/>
    <w:rsid w:val="008E4BCA"/>
    <w:rsid w:val="008E5E88"/>
    <w:rsid w:val="008E6DEB"/>
    <w:rsid w:val="008E7A6E"/>
    <w:rsid w:val="008F0024"/>
    <w:rsid w:val="008F23F6"/>
    <w:rsid w:val="008F5DD0"/>
    <w:rsid w:val="008F6625"/>
    <w:rsid w:val="008F7D16"/>
    <w:rsid w:val="009006C0"/>
    <w:rsid w:val="009015AA"/>
    <w:rsid w:val="00901F2A"/>
    <w:rsid w:val="00903C9D"/>
    <w:rsid w:val="0091080F"/>
    <w:rsid w:val="00910C9F"/>
    <w:rsid w:val="00911419"/>
    <w:rsid w:val="00911EE3"/>
    <w:rsid w:val="009131E9"/>
    <w:rsid w:val="00913875"/>
    <w:rsid w:val="00914B92"/>
    <w:rsid w:val="00914E23"/>
    <w:rsid w:val="00915066"/>
    <w:rsid w:val="009156B5"/>
    <w:rsid w:val="00915E78"/>
    <w:rsid w:val="00916582"/>
    <w:rsid w:val="009174A2"/>
    <w:rsid w:val="00917A7A"/>
    <w:rsid w:val="00920854"/>
    <w:rsid w:val="00922C8A"/>
    <w:rsid w:val="00922D74"/>
    <w:rsid w:val="009250BE"/>
    <w:rsid w:val="0092651B"/>
    <w:rsid w:val="0093173D"/>
    <w:rsid w:val="00931D47"/>
    <w:rsid w:val="009320B7"/>
    <w:rsid w:val="00937866"/>
    <w:rsid w:val="009403A7"/>
    <w:rsid w:val="00941E94"/>
    <w:rsid w:val="00942525"/>
    <w:rsid w:val="00943730"/>
    <w:rsid w:val="0094469B"/>
    <w:rsid w:val="009457C5"/>
    <w:rsid w:val="009505AE"/>
    <w:rsid w:val="00950D65"/>
    <w:rsid w:val="009516D3"/>
    <w:rsid w:val="009516D4"/>
    <w:rsid w:val="00952815"/>
    <w:rsid w:val="00952C08"/>
    <w:rsid w:val="00953114"/>
    <w:rsid w:val="009543B9"/>
    <w:rsid w:val="00954C33"/>
    <w:rsid w:val="00955615"/>
    <w:rsid w:val="0095691A"/>
    <w:rsid w:val="00960C11"/>
    <w:rsid w:val="00961E46"/>
    <w:rsid w:val="00962AD3"/>
    <w:rsid w:val="00962BDD"/>
    <w:rsid w:val="00962EFA"/>
    <w:rsid w:val="00964B40"/>
    <w:rsid w:val="009675B4"/>
    <w:rsid w:val="009708A9"/>
    <w:rsid w:val="00970AAD"/>
    <w:rsid w:val="0097149D"/>
    <w:rsid w:val="0097182D"/>
    <w:rsid w:val="00971958"/>
    <w:rsid w:val="00972294"/>
    <w:rsid w:val="00972EA1"/>
    <w:rsid w:val="00973B1D"/>
    <w:rsid w:val="00973E64"/>
    <w:rsid w:val="00974525"/>
    <w:rsid w:val="0097531E"/>
    <w:rsid w:val="00975CA5"/>
    <w:rsid w:val="0097646F"/>
    <w:rsid w:val="009774B4"/>
    <w:rsid w:val="00977E06"/>
    <w:rsid w:val="00977E9D"/>
    <w:rsid w:val="00980C35"/>
    <w:rsid w:val="009818BA"/>
    <w:rsid w:val="00982441"/>
    <w:rsid w:val="00986590"/>
    <w:rsid w:val="00991579"/>
    <w:rsid w:val="009923D5"/>
    <w:rsid w:val="00992C76"/>
    <w:rsid w:val="00993F52"/>
    <w:rsid w:val="0099552A"/>
    <w:rsid w:val="00995540"/>
    <w:rsid w:val="00995A1D"/>
    <w:rsid w:val="009960C8"/>
    <w:rsid w:val="009969D6"/>
    <w:rsid w:val="00996FC8"/>
    <w:rsid w:val="00997621"/>
    <w:rsid w:val="009A0AE3"/>
    <w:rsid w:val="009A112B"/>
    <w:rsid w:val="009A2619"/>
    <w:rsid w:val="009A27C4"/>
    <w:rsid w:val="009A4177"/>
    <w:rsid w:val="009A4B8E"/>
    <w:rsid w:val="009A558F"/>
    <w:rsid w:val="009A577B"/>
    <w:rsid w:val="009A58FC"/>
    <w:rsid w:val="009A744E"/>
    <w:rsid w:val="009A7C84"/>
    <w:rsid w:val="009B1C8F"/>
    <w:rsid w:val="009B2DBC"/>
    <w:rsid w:val="009B32F5"/>
    <w:rsid w:val="009B3387"/>
    <w:rsid w:val="009B394F"/>
    <w:rsid w:val="009B4D3B"/>
    <w:rsid w:val="009B54BE"/>
    <w:rsid w:val="009B55DA"/>
    <w:rsid w:val="009B696F"/>
    <w:rsid w:val="009C0A1D"/>
    <w:rsid w:val="009C18DB"/>
    <w:rsid w:val="009C454D"/>
    <w:rsid w:val="009C4E57"/>
    <w:rsid w:val="009C5C75"/>
    <w:rsid w:val="009C7BFF"/>
    <w:rsid w:val="009D1A47"/>
    <w:rsid w:val="009D1F71"/>
    <w:rsid w:val="009D3438"/>
    <w:rsid w:val="009D3C39"/>
    <w:rsid w:val="009D3DC8"/>
    <w:rsid w:val="009D400D"/>
    <w:rsid w:val="009D447B"/>
    <w:rsid w:val="009D5DE5"/>
    <w:rsid w:val="009D66C3"/>
    <w:rsid w:val="009D7407"/>
    <w:rsid w:val="009E011F"/>
    <w:rsid w:val="009E0866"/>
    <w:rsid w:val="009E273C"/>
    <w:rsid w:val="009E69BC"/>
    <w:rsid w:val="009E7C9D"/>
    <w:rsid w:val="009F1350"/>
    <w:rsid w:val="009F50E9"/>
    <w:rsid w:val="009F581E"/>
    <w:rsid w:val="009F6423"/>
    <w:rsid w:val="009F6AB0"/>
    <w:rsid w:val="009F75AB"/>
    <w:rsid w:val="009F7952"/>
    <w:rsid w:val="00A00AF3"/>
    <w:rsid w:val="00A046AA"/>
    <w:rsid w:val="00A05204"/>
    <w:rsid w:val="00A05F3E"/>
    <w:rsid w:val="00A07927"/>
    <w:rsid w:val="00A07A86"/>
    <w:rsid w:val="00A07B31"/>
    <w:rsid w:val="00A107B9"/>
    <w:rsid w:val="00A10F9B"/>
    <w:rsid w:val="00A122A4"/>
    <w:rsid w:val="00A12B40"/>
    <w:rsid w:val="00A12FE8"/>
    <w:rsid w:val="00A14412"/>
    <w:rsid w:val="00A150AE"/>
    <w:rsid w:val="00A16794"/>
    <w:rsid w:val="00A16F9E"/>
    <w:rsid w:val="00A17461"/>
    <w:rsid w:val="00A20078"/>
    <w:rsid w:val="00A20407"/>
    <w:rsid w:val="00A20B0A"/>
    <w:rsid w:val="00A20C00"/>
    <w:rsid w:val="00A20C7D"/>
    <w:rsid w:val="00A210F3"/>
    <w:rsid w:val="00A22CD1"/>
    <w:rsid w:val="00A237B8"/>
    <w:rsid w:val="00A238B0"/>
    <w:rsid w:val="00A24A62"/>
    <w:rsid w:val="00A24C93"/>
    <w:rsid w:val="00A2626A"/>
    <w:rsid w:val="00A2635A"/>
    <w:rsid w:val="00A27339"/>
    <w:rsid w:val="00A31C9F"/>
    <w:rsid w:val="00A3239C"/>
    <w:rsid w:val="00A33149"/>
    <w:rsid w:val="00A35432"/>
    <w:rsid w:val="00A37A81"/>
    <w:rsid w:val="00A4144F"/>
    <w:rsid w:val="00A42A4D"/>
    <w:rsid w:val="00A45E1A"/>
    <w:rsid w:val="00A464C8"/>
    <w:rsid w:val="00A46B28"/>
    <w:rsid w:val="00A47135"/>
    <w:rsid w:val="00A501DA"/>
    <w:rsid w:val="00A51705"/>
    <w:rsid w:val="00A52E05"/>
    <w:rsid w:val="00A53A0C"/>
    <w:rsid w:val="00A549C8"/>
    <w:rsid w:val="00A55735"/>
    <w:rsid w:val="00A57BA8"/>
    <w:rsid w:val="00A600AD"/>
    <w:rsid w:val="00A61B4D"/>
    <w:rsid w:val="00A64701"/>
    <w:rsid w:val="00A6587F"/>
    <w:rsid w:val="00A674F1"/>
    <w:rsid w:val="00A70AD2"/>
    <w:rsid w:val="00A71167"/>
    <w:rsid w:val="00A715EA"/>
    <w:rsid w:val="00A71F2A"/>
    <w:rsid w:val="00A7205E"/>
    <w:rsid w:val="00A72201"/>
    <w:rsid w:val="00A724AB"/>
    <w:rsid w:val="00A73B55"/>
    <w:rsid w:val="00A74192"/>
    <w:rsid w:val="00A75873"/>
    <w:rsid w:val="00A75B84"/>
    <w:rsid w:val="00A75E44"/>
    <w:rsid w:val="00A761DF"/>
    <w:rsid w:val="00A77857"/>
    <w:rsid w:val="00A80123"/>
    <w:rsid w:val="00A80305"/>
    <w:rsid w:val="00A80F95"/>
    <w:rsid w:val="00A810EA"/>
    <w:rsid w:val="00A8190C"/>
    <w:rsid w:val="00A839E2"/>
    <w:rsid w:val="00A854F9"/>
    <w:rsid w:val="00A85EB1"/>
    <w:rsid w:val="00A866C6"/>
    <w:rsid w:val="00A868CB"/>
    <w:rsid w:val="00A87270"/>
    <w:rsid w:val="00A8728B"/>
    <w:rsid w:val="00A92D86"/>
    <w:rsid w:val="00A935B6"/>
    <w:rsid w:val="00A95369"/>
    <w:rsid w:val="00A96364"/>
    <w:rsid w:val="00A97244"/>
    <w:rsid w:val="00A973D9"/>
    <w:rsid w:val="00A97BF1"/>
    <w:rsid w:val="00AA1217"/>
    <w:rsid w:val="00AA2325"/>
    <w:rsid w:val="00AA298A"/>
    <w:rsid w:val="00AA3362"/>
    <w:rsid w:val="00AA36F5"/>
    <w:rsid w:val="00AA3AA8"/>
    <w:rsid w:val="00AA474B"/>
    <w:rsid w:val="00AA4B13"/>
    <w:rsid w:val="00AA54F1"/>
    <w:rsid w:val="00AA6F30"/>
    <w:rsid w:val="00AB0907"/>
    <w:rsid w:val="00AB1850"/>
    <w:rsid w:val="00AB185B"/>
    <w:rsid w:val="00AB1CD2"/>
    <w:rsid w:val="00AB2B27"/>
    <w:rsid w:val="00AB32B3"/>
    <w:rsid w:val="00AB337A"/>
    <w:rsid w:val="00AB4795"/>
    <w:rsid w:val="00AB5D49"/>
    <w:rsid w:val="00AB6748"/>
    <w:rsid w:val="00AB6BD2"/>
    <w:rsid w:val="00AB6E08"/>
    <w:rsid w:val="00AC0450"/>
    <w:rsid w:val="00AC107C"/>
    <w:rsid w:val="00AC164A"/>
    <w:rsid w:val="00AC1CFF"/>
    <w:rsid w:val="00AC290B"/>
    <w:rsid w:val="00AC3944"/>
    <w:rsid w:val="00AC551D"/>
    <w:rsid w:val="00AC557A"/>
    <w:rsid w:val="00AC58A1"/>
    <w:rsid w:val="00AC590B"/>
    <w:rsid w:val="00AC5CF6"/>
    <w:rsid w:val="00AC6F72"/>
    <w:rsid w:val="00AD0793"/>
    <w:rsid w:val="00AD17D6"/>
    <w:rsid w:val="00AD19F7"/>
    <w:rsid w:val="00AD1F11"/>
    <w:rsid w:val="00AD2C2E"/>
    <w:rsid w:val="00AD64B3"/>
    <w:rsid w:val="00AD6A8A"/>
    <w:rsid w:val="00AE1E64"/>
    <w:rsid w:val="00AE1F26"/>
    <w:rsid w:val="00AE22C6"/>
    <w:rsid w:val="00AE2B7B"/>
    <w:rsid w:val="00AE35F2"/>
    <w:rsid w:val="00AE3E9F"/>
    <w:rsid w:val="00AE3F84"/>
    <w:rsid w:val="00AE4188"/>
    <w:rsid w:val="00AE448A"/>
    <w:rsid w:val="00AE6AE2"/>
    <w:rsid w:val="00AE74DA"/>
    <w:rsid w:val="00AE7A62"/>
    <w:rsid w:val="00AE7AB3"/>
    <w:rsid w:val="00AF093A"/>
    <w:rsid w:val="00AF18F4"/>
    <w:rsid w:val="00AF2050"/>
    <w:rsid w:val="00AF4103"/>
    <w:rsid w:val="00AF4A1C"/>
    <w:rsid w:val="00AF568E"/>
    <w:rsid w:val="00AF7DB6"/>
    <w:rsid w:val="00AF7DCD"/>
    <w:rsid w:val="00AF7ECC"/>
    <w:rsid w:val="00B0023C"/>
    <w:rsid w:val="00B00BF4"/>
    <w:rsid w:val="00B017C3"/>
    <w:rsid w:val="00B02B2A"/>
    <w:rsid w:val="00B03CA8"/>
    <w:rsid w:val="00B03CD5"/>
    <w:rsid w:val="00B03F0B"/>
    <w:rsid w:val="00B0515C"/>
    <w:rsid w:val="00B05B87"/>
    <w:rsid w:val="00B06304"/>
    <w:rsid w:val="00B10698"/>
    <w:rsid w:val="00B128CE"/>
    <w:rsid w:val="00B12991"/>
    <w:rsid w:val="00B16C48"/>
    <w:rsid w:val="00B16EF6"/>
    <w:rsid w:val="00B17652"/>
    <w:rsid w:val="00B20CDE"/>
    <w:rsid w:val="00B221E1"/>
    <w:rsid w:val="00B22F0E"/>
    <w:rsid w:val="00B23247"/>
    <w:rsid w:val="00B247F7"/>
    <w:rsid w:val="00B249EC"/>
    <w:rsid w:val="00B24AC5"/>
    <w:rsid w:val="00B2531B"/>
    <w:rsid w:val="00B26790"/>
    <w:rsid w:val="00B271C2"/>
    <w:rsid w:val="00B272D6"/>
    <w:rsid w:val="00B30D13"/>
    <w:rsid w:val="00B33C0A"/>
    <w:rsid w:val="00B34763"/>
    <w:rsid w:val="00B34BC9"/>
    <w:rsid w:val="00B34FB3"/>
    <w:rsid w:val="00B35255"/>
    <w:rsid w:val="00B359D1"/>
    <w:rsid w:val="00B35A4C"/>
    <w:rsid w:val="00B401AF"/>
    <w:rsid w:val="00B42B5E"/>
    <w:rsid w:val="00B43F4B"/>
    <w:rsid w:val="00B44EC6"/>
    <w:rsid w:val="00B465DC"/>
    <w:rsid w:val="00B46607"/>
    <w:rsid w:val="00B50ED0"/>
    <w:rsid w:val="00B512B4"/>
    <w:rsid w:val="00B51C2F"/>
    <w:rsid w:val="00B537FC"/>
    <w:rsid w:val="00B54DC3"/>
    <w:rsid w:val="00B55B34"/>
    <w:rsid w:val="00B55E19"/>
    <w:rsid w:val="00B55F49"/>
    <w:rsid w:val="00B56E71"/>
    <w:rsid w:val="00B56FDA"/>
    <w:rsid w:val="00B579A6"/>
    <w:rsid w:val="00B64F8E"/>
    <w:rsid w:val="00B65ABF"/>
    <w:rsid w:val="00B664A8"/>
    <w:rsid w:val="00B66D3E"/>
    <w:rsid w:val="00B6741D"/>
    <w:rsid w:val="00B67E88"/>
    <w:rsid w:val="00B70354"/>
    <w:rsid w:val="00B706C9"/>
    <w:rsid w:val="00B71AD8"/>
    <w:rsid w:val="00B72CF1"/>
    <w:rsid w:val="00B72E04"/>
    <w:rsid w:val="00B731D0"/>
    <w:rsid w:val="00B7346D"/>
    <w:rsid w:val="00B73782"/>
    <w:rsid w:val="00B757FB"/>
    <w:rsid w:val="00B77914"/>
    <w:rsid w:val="00B81916"/>
    <w:rsid w:val="00B81AC5"/>
    <w:rsid w:val="00B81ECB"/>
    <w:rsid w:val="00B8411A"/>
    <w:rsid w:val="00B8476F"/>
    <w:rsid w:val="00B84B3C"/>
    <w:rsid w:val="00B857E1"/>
    <w:rsid w:val="00B8599B"/>
    <w:rsid w:val="00B86563"/>
    <w:rsid w:val="00B86990"/>
    <w:rsid w:val="00B86C39"/>
    <w:rsid w:val="00B9010B"/>
    <w:rsid w:val="00B919FE"/>
    <w:rsid w:val="00B91FE7"/>
    <w:rsid w:val="00B92016"/>
    <w:rsid w:val="00B929BE"/>
    <w:rsid w:val="00B934E3"/>
    <w:rsid w:val="00B94247"/>
    <w:rsid w:val="00B94758"/>
    <w:rsid w:val="00B970FD"/>
    <w:rsid w:val="00BA1060"/>
    <w:rsid w:val="00BA1B89"/>
    <w:rsid w:val="00BA2162"/>
    <w:rsid w:val="00BA2F99"/>
    <w:rsid w:val="00BA38F5"/>
    <w:rsid w:val="00BA3977"/>
    <w:rsid w:val="00BA4B6D"/>
    <w:rsid w:val="00BA4C75"/>
    <w:rsid w:val="00BA4DA7"/>
    <w:rsid w:val="00BA5C0C"/>
    <w:rsid w:val="00BA6F91"/>
    <w:rsid w:val="00BA7497"/>
    <w:rsid w:val="00BB169D"/>
    <w:rsid w:val="00BB1C3E"/>
    <w:rsid w:val="00BB26C5"/>
    <w:rsid w:val="00BB2F84"/>
    <w:rsid w:val="00BB3FD0"/>
    <w:rsid w:val="00BB5005"/>
    <w:rsid w:val="00BB640B"/>
    <w:rsid w:val="00BB649F"/>
    <w:rsid w:val="00BB7B3D"/>
    <w:rsid w:val="00BB7F96"/>
    <w:rsid w:val="00BC0587"/>
    <w:rsid w:val="00BC0C0C"/>
    <w:rsid w:val="00BC0CD1"/>
    <w:rsid w:val="00BC1FED"/>
    <w:rsid w:val="00BC239A"/>
    <w:rsid w:val="00BC59F7"/>
    <w:rsid w:val="00BC63A8"/>
    <w:rsid w:val="00BC7640"/>
    <w:rsid w:val="00BD0C3F"/>
    <w:rsid w:val="00BD0F5C"/>
    <w:rsid w:val="00BD325E"/>
    <w:rsid w:val="00BD3413"/>
    <w:rsid w:val="00BD4330"/>
    <w:rsid w:val="00BD4350"/>
    <w:rsid w:val="00BD4945"/>
    <w:rsid w:val="00BD4BA1"/>
    <w:rsid w:val="00BD62B3"/>
    <w:rsid w:val="00BD6304"/>
    <w:rsid w:val="00BD6DA6"/>
    <w:rsid w:val="00BD6EAA"/>
    <w:rsid w:val="00BD710C"/>
    <w:rsid w:val="00BD7EEF"/>
    <w:rsid w:val="00BE0531"/>
    <w:rsid w:val="00BE12B6"/>
    <w:rsid w:val="00BE3467"/>
    <w:rsid w:val="00BE4930"/>
    <w:rsid w:val="00BE5236"/>
    <w:rsid w:val="00BE63F1"/>
    <w:rsid w:val="00BF0710"/>
    <w:rsid w:val="00BF0D80"/>
    <w:rsid w:val="00BF0E07"/>
    <w:rsid w:val="00BF1579"/>
    <w:rsid w:val="00BF4DE6"/>
    <w:rsid w:val="00BF5593"/>
    <w:rsid w:val="00BF5A97"/>
    <w:rsid w:val="00BF6703"/>
    <w:rsid w:val="00BF7348"/>
    <w:rsid w:val="00C00664"/>
    <w:rsid w:val="00C00BEA"/>
    <w:rsid w:val="00C01D54"/>
    <w:rsid w:val="00C0203C"/>
    <w:rsid w:val="00C04316"/>
    <w:rsid w:val="00C04D72"/>
    <w:rsid w:val="00C066CB"/>
    <w:rsid w:val="00C06B13"/>
    <w:rsid w:val="00C07829"/>
    <w:rsid w:val="00C12DE0"/>
    <w:rsid w:val="00C15ABD"/>
    <w:rsid w:val="00C16242"/>
    <w:rsid w:val="00C16A47"/>
    <w:rsid w:val="00C177A8"/>
    <w:rsid w:val="00C22025"/>
    <w:rsid w:val="00C22A31"/>
    <w:rsid w:val="00C2443E"/>
    <w:rsid w:val="00C26881"/>
    <w:rsid w:val="00C27086"/>
    <w:rsid w:val="00C27D25"/>
    <w:rsid w:val="00C304E3"/>
    <w:rsid w:val="00C3140A"/>
    <w:rsid w:val="00C31AEC"/>
    <w:rsid w:val="00C32B10"/>
    <w:rsid w:val="00C33186"/>
    <w:rsid w:val="00C34BED"/>
    <w:rsid w:val="00C35179"/>
    <w:rsid w:val="00C35791"/>
    <w:rsid w:val="00C3642C"/>
    <w:rsid w:val="00C36591"/>
    <w:rsid w:val="00C37697"/>
    <w:rsid w:val="00C41AA2"/>
    <w:rsid w:val="00C42541"/>
    <w:rsid w:val="00C426C8"/>
    <w:rsid w:val="00C42C49"/>
    <w:rsid w:val="00C42CDE"/>
    <w:rsid w:val="00C436E3"/>
    <w:rsid w:val="00C441F7"/>
    <w:rsid w:val="00C45941"/>
    <w:rsid w:val="00C466BD"/>
    <w:rsid w:val="00C50935"/>
    <w:rsid w:val="00C50B58"/>
    <w:rsid w:val="00C5182A"/>
    <w:rsid w:val="00C51EB1"/>
    <w:rsid w:val="00C52463"/>
    <w:rsid w:val="00C5266C"/>
    <w:rsid w:val="00C52B3D"/>
    <w:rsid w:val="00C52D03"/>
    <w:rsid w:val="00C53169"/>
    <w:rsid w:val="00C543E4"/>
    <w:rsid w:val="00C5492A"/>
    <w:rsid w:val="00C5541A"/>
    <w:rsid w:val="00C55983"/>
    <w:rsid w:val="00C57480"/>
    <w:rsid w:val="00C57F90"/>
    <w:rsid w:val="00C61199"/>
    <w:rsid w:val="00C61649"/>
    <w:rsid w:val="00C61935"/>
    <w:rsid w:val="00C63A33"/>
    <w:rsid w:val="00C63BD8"/>
    <w:rsid w:val="00C63EE9"/>
    <w:rsid w:val="00C64096"/>
    <w:rsid w:val="00C64363"/>
    <w:rsid w:val="00C671D1"/>
    <w:rsid w:val="00C673E4"/>
    <w:rsid w:val="00C67EDD"/>
    <w:rsid w:val="00C70FDC"/>
    <w:rsid w:val="00C71066"/>
    <w:rsid w:val="00C742D6"/>
    <w:rsid w:val="00C761E3"/>
    <w:rsid w:val="00C76287"/>
    <w:rsid w:val="00C7796D"/>
    <w:rsid w:val="00C804BE"/>
    <w:rsid w:val="00C80D97"/>
    <w:rsid w:val="00C80DF7"/>
    <w:rsid w:val="00C80F99"/>
    <w:rsid w:val="00C8151E"/>
    <w:rsid w:val="00C83942"/>
    <w:rsid w:val="00C83F4E"/>
    <w:rsid w:val="00C84C30"/>
    <w:rsid w:val="00C87A10"/>
    <w:rsid w:val="00C87B9B"/>
    <w:rsid w:val="00C908C7"/>
    <w:rsid w:val="00C91035"/>
    <w:rsid w:val="00C92309"/>
    <w:rsid w:val="00C92704"/>
    <w:rsid w:val="00C92805"/>
    <w:rsid w:val="00C93043"/>
    <w:rsid w:val="00C94168"/>
    <w:rsid w:val="00C9489A"/>
    <w:rsid w:val="00C9603C"/>
    <w:rsid w:val="00C96745"/>
    <w:rsid w:val="00C96951"/>
    <w:rsid w:val="00C97E9B"/>
    <w:rsid w:val="00CA1286"/>
    <w:rsid w:val="00CA16F3"/>
    <w:rsid w:val="00CA1C19"/>
    <w:rsid w:val="00CA28E8"/>
    <w:rsid w:val="00CA3040"/>
    <w:rsid w:val="00CA3403"/>
    <w:rsid w:val="00CA3696"/>
    <w:rsid w:val="00CA37B1"/>
    <w:rsid w:val="00CA3FD8"/>
    <w:rsid w:val="00CA41A2"/>
    <w:rsid w:val="00CA5021"/>
    <w:rsid w:val="00CA575B"/>
    <w:rsid w:val="00CA5965"/>
    <w:rsid w:val="00CA5CDB"/>
    <w:rsid w:val="00CB0FE3"/>
    <w:rsid w:val="00CB1488"/>
    <w:rsid w:val="00CB1959"/>
    <w:rsid w:val="00CB1CD6"/>
    <w:rsid w:val="00CB2FCB"/>
    <w:rsid w:val="00CB352B"/>
    <w:rsid w:val="00CB40BD"/>
    <w:rsid w:val="00CB457E"/>
    <w:rsid w:val="00CB59C8"/>
    <w:rsid w:val="00CB6288"/>
    <w:rsid w:val="00CB71B2"/>
    <w:rsid w:val="00CC09D8"/>
    <w:rsid w:val="00CC0FD1"/>
    <w:rsid w:val="00CC1D45"/>
    <w:rsid w:val="00CC2645"/>
    <w:rsid w:val="00CC544F"/>
    <w:rsid w:val="00CC64CF"/>
    <w:rsid w:val="00CC741B"/>
    <w:rsid w:val="00CC7AC1"/>
    <w:rsid w:val="00CC7B11"/>
    <w:rsid w:val="00CD0E4B"/>
    <w:rsid w:val="00CD18B2"/>
    <w:rsid w:val="00CD27F6"/>
    <w:rsid w:val="00CD345C"/>
    <w:rsid w:val="00CD36FE"/>
    <w:rsid w:val="00CD3F5D"/>
    <w:rsid w:val="00CD4097"/>
    <w:rsid w:val="00CD414F"/>
    <w:rsid w:val="00CD4AD4"/>
    <w:rsid w:val="00CD6AAE"/>
    <w:rsid w:val="00CE004C"/>
    <w:rsid w:val="00CE1A4B"/>
    <w:rsid w:val="00CE2CF5"/>
    <w:rsid w:val="00CE4C89"/>
    <w:rsid w:val="00CE5931"/>
    <w:rsid w:val="00CF07BA"/>
    <w:rsid w:val="00CF21A3"/>
    <w:rsid w:val="00CF2BBB"/>
    <w:rsid w:val="00CF3466"/>
    <w:rsid w:val="00CF6EE1"/>
    <w:rsid w:val="00CF7883"/>
    <w:rsid w:val="00D000A0"/>
    <w:rsid w:val="00D025B6"/>
    <w:rsid w:val="00D0296C"/>
    <w:rsid w:val="00D05E55"/>
    <w:rsid w:val="00D066EE"/>
    <w:rsid w:val="00D07B90"/>
    <w:rsid w:val="00D1231A"/>
    <w:rsid w:val="00D13416"/>
    <w:rsid w:val="00D14ECC"/>
    <w:rsid w:val="00D15850"/>
    <w:rsid w:val="00D160AD"/>
    <w:rsid w:val="00D175A0"/>
    <w:rsid w:val="00D20A30"/>
    <w:rsid w:val="00D20BC7"/>
    <w:rsid w:val="00D225D5"/>
    <w:rsid w:val="00D233FF"/>
    <w:rsid w:val="00D248EB"/>
    <w:rsid w:val="00D24EE4"/>
    <w:rsid w:val="00D25169"/>
    <w:rsid w:val="00D25474"/>
    <w:rsid w:val="00D2641E"/>
    <w:rsid w:val="00D278FA"/>
    <w:rsid w:val="00D3068D"/>
    <w:rsid w:val="00D31346"/>
    <w:rsid w:val="00D3170B"/>
    <w:rsid w:val="00D31792"/>
    <w:rsid w:val="00D32D6F"/>
    <w:rsid w:val="00D331E7"/>
    <w:rsid w:val="00D33837"/>
    <w:rsid w:val="00D34521"/>
    <w:rsid w:val="00D34D5D"/>
    <w:rsid w:val="00D35675"/>
    <w:rsid w:val="00D35B1A"/>
    <w:rsid w:val="00D37174"/>
    <w:rsid w:val="00D37B04"/>
    <w:rsid w:val="00D40C2E"/>
    <w:rsid w:val="00D42B48"/>
    <w:rsid w:val="00D43129"/>
    <w:rsid w:val="00D45555"/>
    <w:rsid w:val="00D4628C"/>
    <w:rsid w:val="00D462F8"/>
    <w:rsid w:val="00D46BDF"/>
    <w:rsid w:val="00D479B5"/>
    <w:rsid w:val="00D51458"/>
    <w:rsid w:val="00D517E7"/>
    <w:rsid w:val="00D540C6"/>
    <w:rsid w:val="00D566C7"/>
    <w:rsid w:val="00D578F7"/>
    <w:rsid w:val="00D61972"/>
    <w:rsid w:val="00D61ED0"/>
    <w:rsid w:val="00D635BA"/>
    <w:rsid w:val="00D64BD1"/>
    <w:rsid w:val="00D64C13"/>
    <w:rsid w:val="00D67930"/>
    <w:rsid w:val="00D712E1"/>
    <w:rsid w:val="00D7186D"/>
    <w:rsid w:val="00D71F34"/>
    <w:rsid w:val="00D7310B"/>
    <w:rsid w:val="00D747E8"/>
    <w:rsid w:val="00D75667"/>
    <w:rsid w:val="00D76325"/>
    <w:rsid w:val="00D76819"/>
    <w:rsid w:val="00D8097B"/>
    <w:rsid w:val="00D83E80"/>
    <w:rsid w:val="00D84185"/>
    <w:rsid w:val="00D857A5"/>
    <w:rsid w:val="00D85F0B"/>
    <w:rsid w:val="00D865FE"/>
    <w:rsid w:val="00D90762"/>
    <w:rsid w:val="00D90885"/>
    <w:rsid w:val="00D90B37"/>
    <w:rsid w:val="00D916C9"/>
    <w:rsid w:val="00D92254"/>
    <w:rsid w:val="00D924D3"/>
    <w:rsid w:val="00D9268C"/>
    <w:rsid w:val="00D945EA"/>
    <w:rsid w:val="00D94CF9"/>
    <w:rsid w:val="00D95C6B"/>
    <w:rsid w:val="00D95DB4"/>
    <w:rsid w:val="00DA0C52"/>
    <w:rsid w:val="00DA1B52"/>
    <w:rsid w:val="00DA2918"/>
    <w:rsid w:val="00DA477D"/>
    <w:rsid w:val="00DA4B3C"/>
    <w:rsid w:val="00DA6F89"/>
    <w:rsid w:val="00DA7C7B"/>
    <w:rsid w:val="00DB13CF"/>
    <w:rsid w:val="00DB2620"/>
    <w:rsid w:val="00DB333F"/>
    <w:rsid w:val="00DB384E"/>
    <w:rsid w:val="00DB3EA7"/>
    <w:rsid w:val="00DB55FB"/>
    <w:rsid w:val="00DC032E"/>
    <w:rsid w:val="00DC0996"/>
    <w:rsid w:val="00DC1153"/>
    <w:rsid w:val="00DC238C"/>
    <w:rsid w:val="00DC5A4E"/>
    <w:rsid w:val="00DC6D78"/>
    <w:rsid w:val="00DC7455"/>
    <w:rsid w:val="00DC7885"/>
    <w:rsid w:val="00DD3E88"/>
    <w:rsid w:val="00DD4FEB"/>
    <w:rsid w:val="00DD5E8B"/>
    <w:rsid w:val="00DE0836"/>
    <w:rsid w:val="00DE084C"/>
    <w:rsid w:val="00DE0EF6"/>
    <w:rsid w:val="00DE1491"/>
    <w:rsid w:val="00DE17E4"/>
    <w:rsid w:val="00DE206D"/>
    <w:rsid w:val="00DE2E14"/>
    <w:rsid w:val="00DE480A"/>
    <w:rsid w:val="00DE7440"/>
    <w:rsid w:val="00DF0490"/>
    <w:rsid w:val="00DF080E"/>
    <w:rsid w:val="00DF1151"/>
    <w:rsid w:val="00DF1BDA"/>
    <w:rsid w:val="00DF2254"/>
    <w:rsid w:val="00DF2AF0"/>
    <w:rsid w:val="00DF55A7"/>
    <w:rsid w:val="00DF5FED"/>
    <w:rsid w:val="00DF68CF"/>
    <w:rsid w:val="00E007CB"/>
    <w:rsid w:val="00E0138E"/>
    <w:rsid w:val="00E02B77"/>
    <w:rsid w:val="00E0497E"/>
    <w:rsid w:val="00E055AB"/>
    <w:rsid w:val="00E0574F"/>
    <w:rsid w:val="00E05D1C"/>
    <w:rsid w:val="00E06A98"/>
    <w:rsid w:val="00E14E3E"/>
    <w:rsid w:val="00E14E55"/>
    <w:rsid w:val="00E14F51"/>
    <w:rsid w:val="00E15A6C"/>
    <w:rsid w:val="00E15D49"/>
    <w:rsid w:val="00E164EC"/>
    <w:rsid w:val="00E1666D"/>
    <w:rsid w:val="00E16D5F"/>
    <w:rsid w:val="00E17BAA"/>
    <w:rsid w:val="00E20760"/>
    <w:rsid w:val="00E20945"/>
    <w:rsid w:val="00E20FEC"/>
    <w:rsid w:val="00E221FA"/>
    <w:rsid w:val="00E23E3F"/>
    <w:rsid w:val="00E23FC4"/>
    <w:rsid w:val="00E24534"/>
    <w:rsid w:val="00E26152"/>
    <w:rsid w:val="00E26CDA"/>
    <w:rsid w:val="00E27127"/>
    <w:rsid w:val="00E27974"/>
    <w:rsid w:val="00E3076E"/>
    <w:rsid w:val="00E31215"/>
    <w:rsid w:val="00E31EE7"/>
    <w:rsid w:val="00E32094"/>
    <w:rsid w:val="00E3244E"/>
    <w:rsid w:val="00E357B7"/>
    <w:rsid w:val="00E378C1"/>
    <w:rsid w:val="00E401EE"/>
    <w:rsid w:val="00E409ED"/>
    <w:rsid w:val="00E40E8B"/>
    <w:rsid w:val="00E410F8"/>
    <w:rsid w:val="00E422AE"/>
    <w:rsid w:val="00E42990"/>
    <w:rsid w:val="00E42A29"/>
    <w:rsid w:val="00E42E50"/>
    <w:rsid w:val="00E43590"/>
    <w:rsid w:val="00E443F8"/>
    <w:rsid w:val="00E4565E"/>
    <w:rsid w:val="00E4584F"/>
    <w:rsid w:val="00E4615F"/>
    <w:rsid w:val="00E47E9E"/>
    <w:rsid w:val="00E50CF0"/>
    <w:rsid w:val="00E532A8"/>
    <w:rsid w:val="00E53800"/>
    <w:rsid w:val="00E56AC2"/>
    <w:rsid w:val="00E57BB4"/>
    <w:rsid w:val="00E607B1"/>
    <w:rsid w:val="00E6081F"/>
    <w:rsid w:val="00E60912"/>
    <w:rsid w:val="00E614AA"/>
    <w:rsid w:val="00E624EC"/>
    <w:rsid w:val="00E62A23"/>
    <w:rsid w:val="00E63261"/>
    <w:rsid w:val="00E6598F"/>
    <w:rsid w:val="00E65B6D"/>
    <w:rsid w:val="00E675EB"/>
    <w:rsid w:val="00E70C37"/>
    <w:rsid w:val="00E70CA5"/>
    <w:rsid w:val="00E71BD6"/>
    <w:rsid w:val="00E72054"/>
    <w:rsid w:val="00E7235D"/>
    <w:rsid w:val="00E72B61"/>
    <w:rsid w:val="00E7347D"/>
    <w:rsid w:val="00E73940"/>
    <w:rsid w:val="00E8296D"/>
    <w:rsid w:val="00E832F1"/>
    <w:rsid w:val="00E83EE9"/>
    <w:rsid w:val="00E8457B"/>
    <w:rsid w:val="00E903AC"/>
    <w:rsid w:val="00E90877"/>
    <w:rsid w:val="00E92A78"/>
    <w:rsid w:val="00E944AA"/>
    <w:rsid w:val="00E9563B"/>
    <w:rsid w:val="00E96465"/>
    <w:rsid w:val="00E96646"/>
    <w:rsid w:val="00E96F68"/>
    <w:rsid w:val="00E97C55"/>
    <w:rsid w:val="00E97F83"/>
    <w:rsid w:val="00EA04B2"/>
    <w:rsid w:val="00EA0EAC"/>
    <w:rsid w:val="00EA15BB"/>
    <w:rsid w:val="00EA20F3"/>
    <w:rsid w:val="00EA36D9"/>
    <w:rsid w:val="00EA3C1C"/>
    <w:rsid w:val="00EA4D1B"/>
    <w:rsid w:val="00EA6A3A"/>
    <w:rsid w:val="00EA7DD4"/>
    <w:rsid w:val="00EB2CE0"/>
    <w:rsid w:val="00EB3E68"/>
    <w:rsid w:val="00EB3EB7"/>
    <w:rsid w:val="00EB4EAF"/>
    <w:rsid w:val="00EB5322"/>
    <w:rsid w:val="00EB5374"/>
    <w:rsid w:val="00EB62C2"/>
    <w:rsid w:val="00EC1040"/>
    <w:rsid w:val="00EC1FF0"/>
    <w:rsid w:val="00EC2B54"/>
    <w:rsid w:val="00EC3056"/>
    <w:rsid w:val="00EC4A6E"/>
    <w:rsid w:val="00EC6030"/>
    <w:rsid w:val="00EC608A"/>
    <w:rsid w:val="00EC6D38"/>
    <w:rsid w:val="00ED179A"/>
    <w:rsid w:val="00ED18EE"/>
    <w:rsid w:val="00ED1D59"/>
    <w:rsid w:val="00ED231B"/>
    <w:rsid w:val="00ED2831"/>
    <w:rsid w:val="00ED287F"/>
    <w:rsid w:val="00ED2FE1"/>
    <w:rsid w:val="00ED3B2D"/>
    <w:rsid w:val="00ED43D1"/>
    <w:rsid w:val="00ED6DE3"/>
    <w:rsid w:val="00ED6E38"/>
    <w:rsid w:val="00EE0466"/>
    <w:rsid w:val="00EE131F"/>
    <w:rsid w:val="00EE1577"/>
    <w:rsid w:val="00EE1CFF"/>
    <w:rsid w:val="00EE1EDC"/>
    <w:rsid w:val="00EE257B"/>
    <w:rsid w:val="00EE4002"/>
    <w:rsid w:val="00EE444E"/>
    <w:rsid w:val="00EE4EE1"/>
    <w:rsid w:val="00EE5EF4"/>
    <w:rsid w:val="00EE60FF"/>
    <w:rsid w:val="00EF1090"/>
    <w:rsid w:val="00EF3B20"/>
    <w:rsid w:val="00EF3EEB"/>
    <w:rsid w:val="00EF4243"/>
    <w:rsid w:val="00EF4574"/>
    <w:rsid w:val="00EF7022"/>
    <w:rsid w:val="00EF7C47"/>
    <w:rsid w:val="00F003E0"/>
    <w:rsid w:val="00F01921"/>
    <w:rsid w:val="00F0236D"/>
    <w:rsid w:val="00F025E4"/>
    <w:rsid w:val="00F05561"/>
    <w:rsid w:val="00F06982"/>
    <w:rsid w:val="00F12010"/>
    <w:rsid w:val="00F12051"/>
    <w:rsid w:val="00F129FA"/>
    <w:rsid w:val="00F13373"/>
    <w:rsid w:val="00F15862"/>
    <w:rsid w:val="00F159EE"/>
    <w:rsid w:val="00F16744"/>
    <w:rsid w:val="00F206A9"/>
    <w:rsid w:val="00F20898"/>
    <w:rsid w:val="00F235A9"/>
    <w:rsid w:val="00F25246"/>
    <w:rsid w:val="00F25311"/>
    <w:rsid w:val="00F258BF"/>
    <w:rsid w:val="00F25A93"/>
    <w:rsid w:val="00F25F61"/>
    <w:rsid w:val="00F2612F"/>
    <w:rsid w:val="00F2684E"/>
    <w:rsid w:val="00F27235"/>
    <w:rsid w:val="00F3111D"/>
    <w:rsid w:val="00F3265D"/>
    <w:rsid w:val="00F32863"/>
    <w:rsid w:val="00F32F70"/>
    <w:rsid w:val="00F34348"/>
    <w:rsid w:val="00F34CA4"/>
    <w:rsid w:val="00F34E35"/>
    <w:rsid w:val="00F35A50"/>
    <w:rsid w:val="00F35C98"/>
    <w:rsid w:val="00F36372"/>
    <w:rsid w:val="00F37E74"/>
    <w:rsid w:val="00F39C77"/>
    <w:rsid w:val="00F41024"/>
    <w:rsid w:val="00F42BED"/>
    <w:rsid w:val="00F43F03"/>
    <w:rsid w:val="00F44AD3"/>
    <w:rsid w:val="00F45486"/>
    <w:rsid w:val="00F45DD0"/>
    <w:rsid w:val="00F47942"/>
    <w:rsid w:val="00F507C2"/>
    <w:rsid w:val="00F50C62"/>
    <w:rsid w:val="00F51AD4"/>
    <w:rsid w:val="00F51DCA"/>
    <w:rsid w:val="00F51EB3"/>
    <w:rsid w:val="00F53309"/>
    <w:rsid w:val="00F53E91"/>
    <w:rsid w:val="00F5404C"/>
    <w:rsid w:val="00F54135"/>
    <w:rsid w:val="00F54A6B"/>
    <w:rsid w:val="00F54F88"/>
    <w:rsid w:val="00F553A6"/>
    <w:rsid w:val="00F55791"/>
    <w:rsid w:val="00F559B6"/>
    <w:rsid w:val="00F56CCE"/>
    <w:rsid w:val="00F608C8"/>
    <w:rsid w:val="00F608ED"/>
    <w:rsid w:val="00F61234"/>
    <w:rsid w:val="00F63EA8"/>
    <w:rsid w:val="00F64397"/>
    <w:rsid w:val="00F643C8"/>
    <w:rsid w:val="00F64581"/>
    <w:rsid w:val="00F64AD5"/>
    <w:rsid w:val="00F64B9E"/>
    <w:rsid w:val="00F64DE0"/>
    <w:rsid w:val="00F65055"/>
    <w:rsid w:val="00F650C7"/>
    <w:rsid w:val="00F67C6A"/>
    <w:rsid w:val="00F70504"/>
    <w:rsid w:val="00F707E0"/>
    <w:rsid w:val="00F71912"/>
    <w:rsid w:val="00F71CB4"/>
    <w:rsid w:val="00F729EF"/>
    <w:rsid w:val="00F746B7"/>
    <w:rsid w:val="00F75057"/>
    <w:rsid w:val="00F7555B"/>
    <w:rsid w:val="00F760AE"/>
    <w:rsid w:val="00F7718E"/>
    <w:rsid w:val="00F77CAE"/>
    <w:rsid w:val="00F8074A"/>
    <w:rsid w:val="00F80F73"/>
    <w:rsid w:val="00F82271"/>
    <w:rsid w:val="00F8243E"/>
    <w:rsid w:val="00F83428"/>
    <w:rsid w:val="00F83463"/>
    <w:rsid w:val="00F84660"/>
    <w:rsid w:val="00F87044"/>
    <w:rsid w:val="00F873E7"/>
    <w:rsid w:val="00F875A8"/>
    <w:rsid w:val="00F8787E"/>
    <w:rsid w:val="00F9097E"/>
    <w:rsid w:val="00F90B17"/>
    <w:rsid w:val="00F91595"/>
    <w:rsid w:val="00F93DF7"/>
    <w:rsid w:val="00F95926"/>
    <w:rsid w:val="00F96BB9"/>
    <w:rsid w:val="00F96BFA"/>
    <w:rsid w:val="00F96D9F"/>
    <w:rsid w:val="00F975C0"/>
    <w:rsid w:val="00FA0238"/>
    <w:rsid w:val="00FA0887"/>
    <w:rsid w:val="00FA28E3"/>
    <w:rsid w:val="00FA31F2"/>
    <w:rsid w:val="00FA4D1A"/>
    <w:rsid w:val="00FA5307"/>
    <w:rsid w:val="00FA5EFD"/>
    <w:rsid w:val="00FA75F4"/>
    <w:rsid w:val="00FB02A1"/>
    <w:rsid w:val="00FB14E9"/>
    <w:rsid w:val="00FB21E0"/>
    <w:rsid w:val="00FB432F"/>
    <w:rsid w:val="00FB4BC5"/>
    <w:rsid w:val="00FB50B1"/>
    <w:rsid w:val="00FC0C5D"/>
    <w:rsid w:val="00FC1216"/>
    <w:rsid w:val="00FC2410"/>
    <w:rsid w:val="00FC4B87"/>
    <w:rsid w:val="00FC4CFB"/>
    <w:rsid w:val="00FC4FFB"/>
    <w:rsid w:val="00FC5365"/>
    <w:rsid w:val="00FC5F2B"/>
    <w:rsid w:val="00FC676C"/>
    <w:rsid w:val="00FD1850"/>
    <w:rsid w:val="00FD3B5B"/>
    <w:rsid w:val="00FD5576"/>
    <w:rsid w:val="00FD567C"/>
    <w:rsid w:val="00FD614D"/>
    <w:rsid w:val="00FD710F"/>
    <w:rsid w:val="00FD7C53"/>
    <w:rsid w:val="00FE12D2"/>
    <w:rsid w:val="00FE171B"/>
    <w:rsid w:val="00FE1C00"/>
    <w:rsid w:val="00FE1D49"/>
    <w:rsid w:val="00FE69E9"/>
    <w:rsid w:val="00FE6D51"/>
    <w:rsid w:val="00FE6F2A"/>
    <w:rsid w:val="00FF0590"/>
    <w:rsid w:val="00FF0A40"/>
    <w:rsid w:val="00FF20ED"/>
    <w:rsid w:val="00FF290D"/>
    <w:rsid w:val="00FF333E"/>
    <w:rsid w:val="00FF4F97"/>
    <w:rsid w:val="00FF551B"/>
    <w:rsid w:val="00FF7340"/>
    <w:rsid w:val="01883D40"/>
    <w:rsid w:val="01E44A47"/>
    <w:rsid w:val="0213A4AE"/>
    <w:rsid w:val="0297C0C4"/>
    <w:rsid w:val="056386FA"/>
    <w:rsid w:val="05712B25"/>
    <w:rsid w:val="063B2FD4"/>
    <w:rsid w:val="0685C239"/>
    <w:rsid w:val="0757B3A6"/>
    <w:rsid w:val="080894FC"/>
    <w:rsid w:val="08E7579E"/>
    <w:rsid w:val="09375FD9"/>
    <w:rsid w:val="09D93AE3"/>
    <w:rsid w:val="0A3259D3"/>
    <w:rsid w:val="0A36F81D"/>
    <w:rsid w:val="0A4ADDA1"/>
    <w:rsid w:val="0A5E7B51"/>
    <w:rsid w:val="0A9CEEA8"/>
    <w:rsid w:val="0AC9F6C2"/>
    <w:rsid w:val="0ACBCD43"/>
    <w:rsid w:val="0B8B2C8D"/>
    <w:rsid w:val="0BE5950C"/>
    <w:rsid w:val="0C17DE10"/>
    <w:rsid w:val="0C19B50A"/>
    <w:rsid w:val="0CAA7F14"/>
    <w:rsid w:val="0D99ED7E"/>
    <w:rsid w:val="0DA52970"/>
    <w:rsid w:val="0DD48F6A"/>
    <w:rsid w:val="0E1F21AC"/>
    <w:rsid w:val="0EAD845E"/>
    <w:rsid w:val="0ED914AA"/>
    <w:rsid w:val="0F09AF3C"/>
    <w:rsid w:val="0F0A6940"/>
    <w:rsid w:val="0F774129"/>
    <w:rsid w:val="0F976900"/>
    <w:rsid w:val="0FFD4A83"/>
    <w:rsid w:val="0FFFA3AA"/>
    <w:rsid w:val="10142F8E"/>
    <w:rsid w:val="104B8B05"/>
    <w:rsid w:val="105E9DB0"/>
    <w:rsid w:val="10D18E40"/>
    <w:rsid w:val="113B713E"/>
    <w:rsid w:val="1159896B"/>
    <w:rsid w:val="11FDFCFF"/>
    <w:rsid w:val="126D5EA1"/>
    <w:rsid w:val="1281FE0F"/>
    <w:rsid w:val="12EB84BC"/>
    <w:rsid w:val="12F8625C"/>
    <w:rsid w:val="130651AF"/>
    <w:rsid w:val="131C1939"/>
    <w:rsid w:val="134AED97"/>
    <w:rsid w:val="13BFA334"/>
    <w:rsid w:val="13F5DF4A"/>
    <w:rsid w:val="1403E406"/>
    <w:rsid w:val="14092F02"/>
    <w:rsid w:val="14607E33"/>
    <w:rsid w:val="1470D908"/>
    <w:rsid w:val="1487101E"/>
    <w:rsid w:val="1496F856"/>
    <w:rsid w:val="14E92721"/>
    <w:rsid w:val="15039BC0"/>
    <w:rsid w:val="15A4FF63"/>
    <w:rsid w:val="1625D1C6"/>
    <w:rsid w:val="163F4E7E"/>
    <w:rsid w:val="16EC963C"/>
    <w:rsid w:val="17347237"/>
    <w:rsid w:val="1740CFC4"/>
    <w:rsid w:val="176892F6"/>
    <w:rsid w:val="18545B2A"/>
    <w:rsid w:val="18A0F782"/>
    <w:rsid w:val="18DCA025"/>
    <w:rsid w:val="18DDBF0C"/>
    <w:rsid w:val="19365925"/>
    <w:rsid w:val="193E279B"/>
    <w:rsid w:val="19A55700"/>
    <w:rsid w:val="1A4D1BE7"/>
    <w:rsid w:val="1A56DA97"/>
    <w:rsid w:val="1A93A3CC"/>
    <w:rsid w:val="1B0E16D6"/>
    <w:rsid w:val="1B62477C"/>
    <w:rsid w:val="1B8DF160"/>
    <w:rsid w:val="1BD89844"/>
    <w:rsid w:val="1C0862E5"/>
    <w:rsid w:val="1C32ED0A"/>
    <w:rsid w:val="1C95134A"/>
    <w:rsid w:val="1CDEE442"/>
    <w:rsid w:val="1D84BCA9"/>
    <w:rsid w:val="1DD3F538"/>
    <w:rsid w:val="1FF0C89B"/>
    <w:rsid w:val="213C7777"/>
    <w:rsid w:val="2166AC99"/>
    <w:rsid w:val="217055A2"/>
    <w:rsid w:val="21CD8892"/>
    <w:rsid w:val="220DB0D9"/>
    <w:rsid w:val="2281DD68"/>
    <w:rsid w:val="22EB2C71"/>
    <w:rsid w:val="234C7924"/>
    <w:rsid w:val="23BCDE5D"/>
    <w:rsid w:val="257F7A8A"/>
    <w:rsid w:val="26669532"/>
    <w:rsid w:val="26BF38A6"/>
    <w:rsid w:val="26FE27A6"/>
    <w:rsid w:val="272B9EEF"/>
    <w:rsid w:val="2826225C"/>
    <w:rsid w:val="283CCA16"/>
    <w:rsid w:val="2899382A"/>
    <w:rsid w:val="29095C9B"/>
    <w:rsid w:val="2930ECF7"/>
    <w:rsid w:val="294A1DD1"/>
    <w:rsid w:val="2950921B"/>
    <w:rsid w:val="2952B88D"/>
    <w:rsid w:val="2970B550"/>
    <w:rsid w:val="2980699F"/>
    <w:rsid w:val="299DD7F0"/>
    <w:rsid w:val="2A653FBE"/>
    <w:rsid w:val="2A9BE821"/>
    <w:rsid w:val="2A9ED308"/>
    <w:rsid w:val="2AD9EDDE"/>
    <w:rsid w:val="2C49EE6D"/>
    <w:rsid w:val="2C6602BC"/>
    <w:rsid w:val="2C93969B"/>
    <w:rsid w:val="2CA85612"/>
    <w:rsid w:val="2D35AA5F"/>
    <w:rsid w:val="2D7BD5CC"/>
    <w:rsid w:val="2DB747CF"/>
    <w:rsid w:val="2E174345"/>
    <w:rsid w:val="2E2AFE16"/>
    <w:rsid w:val="2E652705"/>
    <w:rsid w:val="2E6B27BA"/>
    <w:rsid w:val="2E757B09"/>
    <w:rsid w:val="2E862C9C"/>
    <w:rsid w:val="2F6AB75D"/>
    <w:rsid w:val="2F7AEBAE"/>
    <w:rsid w:val="2FC6CE77"/>
    <w:rsid w:val="30CFFEB8"/>
    <w:rsid w:val="313B9EEE"/>
    <w:rsid w:val="314CDD9E"/>
    <w:rsid w:val="31592DB4"/>
    <w:rsid w:val="317BC735"/>
    <w:rsid w:val="31BA6076"/>
    <w:rsid w:val="31F8F0C4"/>
    <w:rsid w:val="32475F12"/>
    <w:rsid w:val="32745CDF"/>
    <w:rsid w:val="335579D1"/>
    <w:rsid w:val="337033AC"/>
    <w:rsid w:val="347C001D"/>
    <w:rsid w:val="34B367F7"/>
    <w:rsid w:val="34D71BBF"/>
    <w:rsid w:val="34E4BC8D"/>
    <w:rsid w:val="34F2DBB0"/>
    <w:rsid w:val="355893F0"/>
    <w:rsid w:val="357E91B5"/>
    <w:rsid w:val="35C03DF6"/>
    <w:rsid w:val="36100777"/>
    <w:rsid w:val="36360FFB"/>
    <w:rsid w:val="3639F6C4"/>
    <w:rsid w:val="363DFD81"/>
    <w:rsid w:val="364F3858"/>
    <w:rsid w:val="374E22E7"/>
    <w:rsid w:val="37700BB5"/>
    <w:rsid w:val="383585AC"/>
    <w:rsid w:val="38515067"/>
    <w:rsid w:val="385943DE"/>
    <w:rsid w:val="38692B7D"/>
    <w:rsid w:val="38C88451"/>
    <w:rsid w:val="39213A55"/>
    <w:rsid w:val="39244988"/>
    <w:rsid w:val="392D8876"/>
    <w:rsid w:val="39701BAC"/>
    <w:rsid w:val="3B5BEB97"/>
    <w:rsid w:val="3B86A206"/>
    <w:rsid w:val="3BEEEA3C"/>
    <w:rsid w:val="3C4C26FE"/>
    <w:rsid w:val="3C673B38"/>
    <w:rsid w:val="3C85CDEB"/>
    <w:rsid w:val="3CDE939B"/>
    <w:rsid w:val="3CEFCE72"/>
    <w:rsid w:val="3D0184A1"/>
    <w:rsid w:val="3D6FE87E"/>
    <w:rsid w:val="3D84F87B"/>
    <w:rsid w:val="3DB14A67"/>
    <w:rsid w:val="3E00F999"/>
    <w:rsid w:val="3E13ADE7"/>
    <w:rsid w:val="3E2FE709"/>
    <w:rsid w:val="3E4FF978"/>
    <w:rsid w:val="3E595DE8"/>
    <w:rsid w:val="3EC1C998"/>
    <w:rsid w:val="3EC56E3E"/>
    <w:rsid w:val="3F5A17DC"/>
    <w:rsid w:val="3F85FAC4"/>
    <w:rsid w:val="3FBBB3D3"/>
    <w:rsid w:val="3FC40147"/>
    <w:rsid w:val="3FE4DFC7"/>
    <w:rsid w:val="4090489A"/>
    <w:rsid w:val="40C25B5F"/>
    <w:rsid w:val="40FECD04"/>
    <w:rsid w:val="41F1151F"/>
    <w:rsid w:val="43149303"/>
    <w:rsid w:val="4415592A"/>
    <w:rsid w:val="449094EA"/>
    <w:rsid w:val="45928EAA"/>
    <w:rsid w:val="45A8614B"/>
    <w:rsid w:val="45FE25ED"/>
    <w:rsid w:val="464C33C5"/>
    <w:rsid w:val="4654214B"/>
    <w:rsid w:val="46A6DE66"/>
    <w:rsid w:val="473EFDEC"/>
    <w:rsid w:val="479892CE"/>
    <w:rsid w:val="47B45E78"/>
    <w:rsid w:val="47F539F8"/>
    <w:rsid w:val="48488DC2"/>
    <w:rsid w:val="48873CCD"/>
    <w:rsid w:val="48CC722C"/>
    <w:rsid w:val="48E096F3"/>
    <w:rsid w:val="49080AA7"/>
    <w:rsid w:val="4A501548"/>
    <w:rsid w:val="4A7A5B84"/>
    <w:rsid w:val="4A7F8500"/>
    <w:rsid w:val="4AA8EC10"/>
    <w:rsid w:val="4B18A7C5"/>
    <w:rsid w:val="4C22734C"/>
    <w:rsid w:val="4C5E0E48"/>
    <w:rsid w:val="4CB5BAA3"/>
    <w:rsid w:val="4CE46361"/>
    <w:rsid w:val="4D0DDFC2"/>
    <w:rsid w:val="4D372B24"/>
    <w:rsid w:val="4D418593"/>
    <w:rsid w:val="4D444146"/>
    <w:rsid w:val="4DA5A49B"/>
    <w:rsid w:val="4E7B78FD"/>
    <w:rsid w:val="4F52F623"/>
    <w:rsid w:val="4F5D1BEC"/>
    <w:rsid w:val="4F844AB9"/>
    <w:rsid w:val="4FF8B9D6"/>
    <w:rsid w:val="507C198E"/>
    <w:rsid w:val="50A01188"/>
    <w:rsid w:val="51264CB7"/>
    <w:rsid w:val="51D43073"/>
    <w:rsid w:val="51E48BD6"/>
    <w:rsid w:val="524AA438"/>
    <w:rsid w:val="52716E88"/>
    <w:rsid w:val="53BF62E7"/>
    <w:rsid w:val="540D3EE9"/>
    <w:rsid w:val="545DED79"/>
    <w:rsid w:val="54A8C0BE"/>
    <w:rsid w:val="54DC629B"/>
    <w:rsid w:val="558315C1"/>
    <w:rsid w:val="56074BA6"/>
    <w:rsid w:val="566D6285"/>
    <w:rsid w:val="56B4C208"/>
    <w:rsid w:val="572D204D"/>
    <w:rsid w:val="58ECB224"/>
    <w:rsid w:val="59A1E5D7"/>
    <w:rsid w:val="5AE67794"/>
    <w:rsid w:val="5B561869"/>
    <w:rsid w:val="5BC3C682"/>
    <w:rsid w:val="5C74FA03"/>
    <w:rsid w:val="5C7ADFC9"/>
    <w:rsid w:val="5D01CCED"/>
    <w:rsid w:val="5D294441"/>
    <w:rsid w:val="5D2AA507"/>
    <w:rsid w:val="5D5F96E3"/>
    <w:rsid w:val="5D6BB661"/>
    <w:rsid w:val="5DD70AAE"/>
    <w:rsid w:val="5DE575C5"/>
    <w:rsid w:val="5E798971"/>
    <w:rsid w:val="5F9F819E"/>
    <w:rsid w:val="5FE33208"/>
    <w:rsid w:val="608683FA"/>
    <w:rsid w:val="60C0FBEE"/>
    <w:rsid w:val="60F5601E"/>
    <w:rsid w:val="6125DA94"/>
    <w:rsid w:val="613387E2"/>
    <w:rsid w:val="613CA511"/>
    <w:rsid w:val="61CCEA91"/>
    <w:rsid w:val="6236E90B"/>
    <w:rsid w:val="62BD2112"/>
    <w:rsid w:val="62F605DD"/>
    <w:rsid w:val="645D8BA2"/>
    <w:rsid w:val="64A18577"/>
    <w:rsid w:val="6515CDD8"/>
    <w:rsid w:val="6550FB6E"/>
    <w:rsid w:val="6594FC5F"/>
    <w:rsid w:val="66035B67"/>
    <w:rsid w:val="6699CDAA"/>
    <w:rsid w:val="670D0F15"/>
    <w:rsid w:val="674CA9A0"/>
    <w:rsid w:val="677F8A03"/>
    <w:rsid w:val="681A63D7"/>
    <w:rsid w:val="681F56B0"/>
    <w:rsid w:val="684549DD"/>
    <w:rsid w:val="68AFA1AB"/>
    <w:rsid w:val="6928286C"/>
    <w:rsid w:val="6974F69A"/>
    <w:rsid w:val="69BB2711"/>
    <w:rsid w:val="69D16E6C"/>
    <w:rsid w:val="6A6EF5F7"/>
    <w:rsid w:val="6A844A62"/>
    <w:rsid w:val="6ADC2C2C"/>
    <w:rsid w:val="6B0971E8"/>
    <w:rsid w:val="6C0BAD2B"/>
    <w:rsid w:val="6C2E7498"/>
    <w:rsid w:val="6C78F18B"/>
    <w:rsid w:val="6CF90B97"/>
    <w:rsid w:val="6D89C2A6"/>
    <w:rsid w:val="6DA696B9"/>
    <w:rsid w:val="6E4867BD"/>
    <w:rsid w:val="6E69B516"/>
    <w:rsid w:val="6EA0D9DE"/>
    <w:rsid w:val="6EB61A66"/>
    <w:rsid w:val="6FB1B51E"/>
    <w:rsid w:val="7040AFF0"/>
    <w:rsid w:val="70744D1D"/>
    <w:rsid w:val="7097B67A"/>
    <w:rsid w:val="70A89517"/>
    <w:rsid w:val="70E0A74D"/>
    <w:rsid w:val="720DE71B"/>
    <w:rsid w:val="721579E0"/>
    <w:rsid w:val="73024CD7"/>
    <w:rsid w:val="7378F25A"/>
    <w:rsid w:val="73C9F18E"/>
    <w:rsid w:val="73EFF928"/>
    <w:rsid w:val="7415BEBF"/>
    <w:rsid w:val="745A870F"/>
    <w:rsid w:val="746ADB13"/>
    <w:rsid w:val="74A3954D"/>
    <w:rsid w:val="74B69098"/>
    <w:rsid w:val="74BEB476"/>
    <w:rsid w:val="755292B2"/>
    <w:rsid w:val="7639ED99"/>
    <w:rsid w:val="76AE2F9E"/>
    <w:rsid w:val="7719E89B"/>
    <w:rsid w:val="774D8479"/>
    <w:rsid w:val="77579ECD"/>
    <w:rsid w:val="777A5255"/>
    <w:rsid w:val="77F73789"/>
    <w:rsid w:val="78357A7A"/>
    <w:rsid w:val="78873C39"/>
    <w:rsid w:val="790A162B"/>
    <w:rsid w:val="79A3DF80"/>
    <w:rsid w:val="79AA95DC"/>
    <w:rsid w:val="79D6319D"/>
    <w:rsid w:val="79EBCD3A"/>
    <w:rsid w:val="7A05EFE1"/>
    <w:rsid w:val="7A21BB25"/>
    <w:rsid w:val="7A7C5523"/>
    <w:rsid w:val="7AABCB88"/>
    <w:rsid w:val="7AF4365F"/>
    <w:rsid w:val="7B516A13"/>
    <w:rsid w:val="7B61833B"/>
    <w:rsid w:val="7BB8B476"/>
    <w:rsid w:val="7D3C5AFB"/>
    <w:rsid w:val="7D40338A"/>
    <w:rsid w:val="7D77CF0E"/>
    <w:rsid w:val="7DB3E01E"/>
    <w:rsid w:val="7DB67E19"/>
    <w:rsid w:val="7DF8563E"/>
    <w:rsid w:val="7E11BD59"/>
    <w:rsid w:val="7E4D50B0"/>
    <w:rsid w:val="7E8E6A36"/>
    <w:rsid w:val="7F4A6306"/>
    <w:rsid w:val="7F5BDB42"/>
    <w:rsid w:val="7FBFB1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80226D"/>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80226D"/>
    <w:pPr>
      <w:spacing w:before="240" w:after="120" w:line="240" w:lineRule="auto"/>
      <w:outlineLvl w:val="1"/>
    </w:pPr>
    <w:rPr>
      <w:bCs w:val="0"/>
      <w:sz w:val="26"/>
      <w:szCs w:val="26"/>
    </w:rPr>
  </w:style>
  <w:style w:type="paragraph" w:styleId="Heading3">
    <w:name w:val="heading 3"/>
    <w:basedOn w:val="Heading2"/>
    <w:next w:val="Normal"/>
    <w:link w:val="Heading3Char"/>
    <w:autoRedefine/>
    <w:uiPriority w:val="9"/>
    <w:unhideWhenUsed/>
    <w:qFormat/>
    <w:rsid w:val="0080226D"/>
    <w:pPr>
      <w:spacing w:before="120"/>
      <w:contextualSpacing w:val="0"/>
      <w:outlineLvl w:val="2"/>
    </w:pPr>
    <w:rPr>
      <w:rFonts w:asciiTheme="minorHAnsi" w:hAnsiTheme="minorHAnsi" w:cstheme="minorHAnsi"/>
      <w:bCs/>
      <w:iCs/>
      <w:caps w:val="0"/>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6D"/>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80226D"/>
    <w:rPr>
      <w:rFonts w:asciiTheme="majorHAnsi" w:eastAsiaTheme="majorEastAsia" w:hAnsiTheme="majorHAnsi" w:cstheme="majorBidi"/>
      <w:b/>
      <w:caps/>
      <w:sz w:val="26"/>
      <w:szCs w:val="26"/>
      <w:lang w:val="en-GB"/>
    </w:rPr>
  </w:style>
  <w:style w:type="character" w:customStyle="1" w:styleId="Heading3Char">
    <w:name w:val="Heading 3 Char"/>
    <w:basedOn w:val="DefaultParagraphFont"/>
    <w:link w:val="Heading3"/>
    <w:uiPriority w:val="9"/>
    <w:rsid w:val="0080226D"/>
    <w:rPr>
      <w:rFonts w:eastAsiaTheme="majorEastAsia" w:cstheme="minorHAnsi"/>
      <w:b/>
      <w:bCs/>
      <w:iCs/>
      <w:sz w:val="26"/>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2"/>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 w:type="character" w:customStyle="1" w:styleId="eop">
    <w:name w:val="eop"/>
    <w:basedOn w:val="DefaultParagraphFont"/>
    <w:rsid w:val="00CF2BBB"/>
  </w:style>
  <w:style w:type="paragraph" w:customStyle="1" w:styleId="pf0">
    <w:name w:val="pf0"/>
    <w:basedOn w:val="Normal"/>
    <w:rsid w:val="00F559B6"/>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cf01">
    <w:name w:val="cf01"/>
    <w:basedOn w:val="DefaultParagraphFont"/>
    <w:rsid w:val="00F559B6"/>
    <w:rPr>
      <w:rFonts w:ascii="Segoe UI" w:hAnsi="Segoe UI" w:cs="Segoe UI" w:hint="default"/>
      <w:color w:val="495965"/>
      <w:sz w:val="18"/>
      <w:szCs w:val="18"/>
    </w:rPr>
  </w:style>
  <w:style w:type="character" w:customStyle="1" w:styleId="cf21">
    <w:name w:val="cf21"/>
    <w:basedOn w:val="DefaultParagraphFont"/>
    <w:rsid w:val="00F559B6"/>
    <w:rPr>
      <w:rFonts w:ascii="Segoe UI" w:hAnsi="Segoe UI" w:cs="Segoe UI" w:hint="default"/>
      <w:sz w:val="18"/>
      <w:szCs w:val="18"/>
    </w:rPr>
  </w:style>
  <w:style w:type="character" w:customStyle="1" w:styleId="cf31">
    <w:name w:val="cf31"/>
    <w:basedOn w:val="DefaultParagraphFont"/>
    <w:rsid w:val="00F559B6"/>
    <w:rPr>
      <w:rFonts w:ascii="Segoe UI" w:hAnsi="Segoe UI" w:cs="Segoe UI" w:hint="default"/>
      <w:i/>
      <w:iCs/>
      <w:sz w:val="18"/>
      <w:szCs w:val="18"/>
    </w:rPr>
  </w:style>
  <w:style w:type="paragraph" w:customStyle="1" w:styleId="TableParagraph">
    <w:name w:val="Table Paragraph"/>
    <w:basedOn w:val="Normal"/>
    <w:uiPriority w:val="1"/>
    <w:qFormat/>
    <w:rsid w:val="00BC59F7"/>
    <w:pPr>
      <w:widowControl w:val="0"/>
      <w:suppressAutoHyphens w:val="0"/>
      <w:autoSpaceDE w:val="0"/>
      <w:autoSpaceDN w:val="0"/>
      <w:spacing w:before="66" w:after="0" w:line="240" w:lineRule="auto"/>
      <w:ind w:left="834"/>
    </w:pPr>
    <w:rPr>
      <w:rFonts w:ascii="Arial" w:eastAsia="Arial" w:hAnsi="Arial" w:cs="Arial"/>
      <w:color w:val="auto"/>
      <w:lang w:val="en-US"/>
    </w:rPr>
  </w:style>
  <w:style w:type="character" w:styleId="Mention">
    <w:name w:val="Mention"/>
    <w:basedOn w:val="DefaultParagraphFont"/>
    <w:uiPriority w:val="99"/>
    <w:unhideWhenUsed/>
    <w:rsid w:val="00D356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28399580">
      <w:bodyDiv w:val="1"/>
      <w:marLeft w:val="0"/>
      <w:marRight w:val="0"/>
      <w:marTop w:val="0"/>
      <w:marBottom w:val="0"/>
      <w:divBdr>
        <w:top w:val="none" w:sz="0" w:space="0" w:color="auto"/>
        <w:left w:val="none" w:sz="0" w:space="0" w:color="auto"/>
        <w:bottom w:val="none" w:sz="0" w:space="0" w:color="auto"/>
        <w:right w:val="none" w:sz="0" w:space="0" w:color="auto"/>
      </w:divBdr>
    </w:div>
    <w:div w:id="194000503">
      <w:bodyDiv w:val="1"/>
      <w:marLeft w:val="0"/>
      <w:marRight w:val="0"/>
      <w:marTop w:val="0"/>
      <w:marBottom w:val="0"/>
      <w:divBdr>
        <w:top w:val="none" w:sz="0" w:space="0" w:color="auto"/>
        <w:left w:val="none" w:sz="0" w:space="0" w:color="auto"/>
        <w:bottom w:val="none" w:sz="0" w:space="0" w:color="auto"/>
        <w:right w:val="none" w:sz="0" w:space="0" w:color="auto"/>
      </w:divBdr>
    </w:div>
    <w:div w:id="245040877">
      <w:bodyDiv w:val="1"/>
      <w:marLeft w:val="0"/>
      <w:marRight w:val="0"/>
      <w:marTop w:val="0"/>
      <w:marBottom w:val="0"/>
      <w:divBdr>
        <w:top w:val="none" w:sz="0" w:space="0" w:color="auto"/>
        <w:left w:val="none" w:sz="0" w:space="0" w:color="auto"/>
        <w:bottom w:val="none" w:sz="0" w:space="0" w:color="auto"/>
        <w:right w:val="none" w:sz="0" w:space="0" w:color="auto"/>
      </w:divBdr>
    </w:div>
    <w:div w:id="468323049">
      <w:bodyDiv w:val="1"/>
      <w:marLeft w:val="0"/>
      <w:marRight w:val="0"/>
      <w:marTop w:val="0"/>
      <w:marBottom w:val="0"/>
      <w:divBdr>
        <w:top w:val="none" w:sz="0" w:space="0" w:color="auto"/>
        <w:left w:val="none" w:sz="0" w:space="0" w:color="auto"/>
        <w:bottom w:val="none" w:sz="0" w:space="0" w:color="auto"/>
        <w:right w:val="none" w:sz="0" w:space="0" w:color="auto"/>
      </w:divBdr>
    </w:div>
    <w:div w:id="535235752">
      <w:bodyDiv w:val="1"/>
      <w:marLeft w:val="0"/>
      <w:marRight w:val="0"/>
      <w:marTop w:val="0"/>
      <w:marBottom w:val="0"/>
      <w:divBdr>
        <w:top w:val="none" w:sz="0" w:space="0" w:color="auto"/>
        <w:left w:val="none" w:sz="0" w:space="0" w:color="auto"/>
        <w:bottom w:val="none" w:sz="0" w:space="0" w:color="auto"/>
        <w:right w:val="none" w:sz="0" w:space="0" w:color="auto"/>
      </w:divBdr>
    </w:div>
    <w:div w:id="801114150">
      <w:bodyDiv w:val="1"/>
      <w:marLeft w:val="0"/>
      <w:marRight w:val="0"/>
      <w:marTop w:val="0"/>
      <w:marBottom w:val="0"/>
      <w:divBdr>
        <w:top w:val="none" w:sz="0" w:space="0" w:color="auto"/>
        <w:left w:val="none" w:sz="0" w:space="0" w:color="auto"/>
        <w:bottom w:val="none" w:sz="0" w:space="0" w:color="auto"/>
        <w:right w:val="none" w:sz="0" w:space="0" w:color="auto"/>
      </w:divBdr>
    </w:div>
    <w:div w:id="831290799">
      <w:bodyDiv w:val="1"/>
      <w:marLeft w:val="0"/>
      <w:marRight w:val="0"/>
      <w:marTop w:val="0"/>
      <w:marBottom w:val="0"/>
      <w:divBdr>
        <w:top w:val="none" w:sz="0" w:space="0" w:color="auto"/>
        <w:left w:val="none" w:sz="0" w:space="0" w:color="auto"/>
        <w:bottom w:val="none" w:sz="0" w:space="0" w:color="auto"/>
        <w:right w:val="none" w:sz="0" w:space="0" w:color="auto"/>
      </w:divBdr>
    </w:div>
    <w:div w:id="936793603">
      <w:bodyDiv w:val="1"/>
      <w:marLeft w:val="0"/>
      <w:marRight w:val="0"/>
      <w:marTop w:val="0"/>
      <w:marBottom w:val="0"/>
      <w:divBdr>
        <w:top w:val="none" w:sz="0" w:space="0" w:color="auto"/>
        <w:left w:val="none" w:sz="0" w:space="0" w:color="auto"/>
        <w:bottom w:val="none" w:sz="0" w:space="0" w:color="auto"/>
        <w:right w:val="none" w:sz="0" w:space="0" w:color="auto"/>
      </w:divBdr>
    </w:div>
    <w:div w:id="949435900">
      <w:bodyDiv w:val="1"/>
      <w:marLeft w:val="0"/>
      <w:marRight w:val="0"/>
      <w:marTop w:val="0"/>
      <w:marBottom w:val="0"/>
      <w:divBdr>
        <w:top w:val="none" w:sz="0" w:space="0" w:color="auto"/>
        <w:left w:val="none" w:sz="0" w:space="0" w:color="auto"/>
        <w:bottom w:val="none" w:sz="0" w:space="0" w:color="auto"/>
        <w:right w:val="none" w:sz="0" w:space="0" w:color="auto"/>
      </w:divBdr>
    </w:div>
    <w:div w:id="977609091">
      <w:bodyDiv w:val="1"/>
      <w:marLeft w:val="0"/>
      <w:marRight w:val="0"/>
      <w:marTop w:val="0"/>
      <w:marBottom w:val="0"/>
      <w:divBdr>
        <w:top w:val="none" w:sz="0" w:space="0" w:color="auto"/>
        <w:left w:val="none" w:sz="0" w:space="0" w:color="auto"/>
        <w:bottom w:val="none" w:sz="0" w:space="0" w:color="auto"/>
        <w:right w:val="none" w:sz="0" w:space="0" w:color="auto"/>
      </w:divBdr>
    </w:div>
    <w:div w:id="978847767">
      <w:bodyDiv w:val="1"/>
      <w:marLeft w:val="0"/>
      <w:marRight w:val="0"/>
      <w:marTop w:val="0"/>
      <w:marBottom w:val="0"/>
      <w:divBdr>
        <w:top w:val="none" w:sz="0" w:space="0" w:color="auto"/>
        <w:left w:val="none" w:sz="0" w:space="0" w:color="auto"/>
        <w:bottom w:val="none" w:sz="0" w:space="0" w:color="auto"/>
        <w:right w:val="none" w:sz="0" w:space="0" w:color="auto"/>
      </w:divBdr>
    </w:div>
    <w:div w:id="1312176400">
      <w:bodyDiv w:val="1"/>
      <w:marLeft w:val="0"/>
      <w:marRight w:val="0"/>
      <w:marTop w:val="0"/>
      <w:marBottom w:val="0"/>
      <w:divBdr>
        <w:top w:val="none" w:sz="0" w:space="0" w:color="auto"/>
        <w:left w:val="none" w:sz="0" w:space="0" w:color="auto"/>
        <w:bottom w:val="none" w:sz="0" w:space="0" w:color="auto"/>
        <w:right w:val="none" w:sz="0" w:space="0" w:color="auto"/>
      </w:divBdr>
    </w:div>
    <w:div w:id="1328825727">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484157473">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2932</Words>
  <Characters>17066</Characters>
  <Application>Microsoft Office Word</Application>
  <DocSecurity>0</DocSecurity>
  <Lines>835</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Pacific Regional Development Program Progress Report</dc:title>
  <dc:subject/>
  <dc:creator/>
  <cp:keywords>[SEC=OFFICIAL]</cp:keywords>
  <cp:lastModifiedBy/>
  <cp:revision>1</cp:revision>
  <dcterms:created xsi:type="dcterms:W3CDTF">2023-11-22T02:28:00Z</dcterms:created>
  <dcterms:modified xsi:type="dcterms:W3CDTF">2023-11-22T02:28:00Z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SecurityClassification">
    <vt:lpwstr>OFFICIAL</vt:lpwstr>
  </property>
  <property fmtid="{D5CDD505-2E9C-101B-9397-08002B2CF9AE}" pid="4" name="PMHMAC">
    <vt:lpwstr>v=2022.1;a=SHA256;h=9619F958C01FF6CCFFF3FAF99C955F04675C66DBA13359473B358D7E8DB91DD8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63FA5E0138FE4A06847B5F31F02136CD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2023-04-17T02:14:26Z</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OriginatorDomainName_SHA256">
    <vt:lpwstr>6F3591835F3B2A8A025B00B5BA6418010DA3A17C9C26EA9C049FFD28039489A2</vt:lpwstr>
  </property>
  <property fmtid="{D5CDD505-2E9C-101B-9397-08002B2CF9AE}" pid="24" name="PM_Originator_Hash_SHA1">
    <vt:lpwstr>D9F6E5C82DFAF7AB6E3D596D48DD43C72EDFDAB4</vt:lpwstr>
  </property>
  <property fmtid="{D5CDD505-2E9C-101B-9397-08002B2CF9AE}" pid="25" name="PM_OriginatorUserAccountName_SHA256">
    <vt:lpwstr>3E9DB5AB808CA91EB3E8EC398CDB7F67B110581D6BB28BC88565729DCE387350</vt:lpwstr>
  </property>
  <property fmtid="{D5CDD505-2E9C-101B-9397-08002B2CF9AE}" pid="26" name="PM_Hash_Salt_Prev">
    <vt:lpwstr>97B7AFE1E5FA6C62999FD877596C931B</vt:lpwstr>
  </property>
  <property fmtid="{D5CDD505-2E9C-101B-9397-08002B2CF9AE}" pid="27" name="PM_Hash_Salt">
    <vt:lpwstr>27FB8C55B51B1E4A325200651CAA841C</vt:lpwstr>
  </property>
  <property fmtid="{D5CDD505-2E9C-101B-9397-08002B2CF9AE}" pid="28" name="PM_Hash_SHA1">
    <vt:lpwstr>7CFBF0A89328BC55684A088463D79D0CEF72A219</vt:lpwstr>
  </property>
  <property fmtid="{D5CDD505-2E9C-101B-9397-08002B2CF9AE}" pid="29" name="PM_Caveats_Count">
    <vt:lpwstr>0</vt:lpwstr>
  </property>
</Properties>
</file>