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997AB" w14:textId="5D46AE06" w:rsidR="0068172A" w:rsidRPr="002A7561" w:rsidRDefault="0A22D4D0" w:rsidP="002A7561">
      <w:pPr>
        <w:pStyle w:val="Heading1"/>
      </w:pPr>
      <w:r w:rsidRPr="00B129CF">
        <w:t>202</w:t>
      </w:r>
      <w:r w:rsidR="0913F967" w:rsidRPr="00B129CF">
        <w:t>2</w:t>
      </w:r>
      <w:r w:rsidRPr="00B129CF">
        <w:t>-2</w:t>
      </w:r>
      <w:r w:rsidR="0913F967" w:rsidRPr="00B129CF">
        <w:t>3</w:t>
      </w:r>
      <w:r w:rsidRPr="00B129CF">
        <w:t xml:space="preserve"> </w:t>
      </w:r>
      <w:r w:rsidR="54D14DE7" w:rsidRPr="00B129CF">
        <w:t>SAMOA</w:t>
      </w:r>
      <w:r w:rsidR="33181F71" w:rsidRPr="00B129CF">
        <w:t xml:space="preserve"> D</w:t>
      </w:r>
      <w:r w:rsidR="07BFF5F4" w:rsidRPr="00B129CF">
        <w:t>evelopment</w:t>
      </w:r>
      <w:r w:rsidR="33181F71" w:rsidRPr="00B129CF">
        <w:t xml:space="preserve"> </w:t>
      </w:r>
      <w:r w:rsidRPr="00B129CF">
        <w:t>P</w:t>
      </w:r>
      <w:r w:rsidR="07BFF5F4" w:rsidRPr="00B129CF">
        <w:t xml:space="preserve">rogram </w:t>
      </w:r>
      <w:r w:rsidRPr="00B129CF">
        <w:t>P</w:t>
      </w:r>
      <w:r w:rsidR="07BFF5F4" w:rsidRPr="00B129CF">
        <w:t>rogress</w:t>
      </w:r>
      <w:r w:rsidRPr="00B129CF">
        <w:t xml:space="preserve"> </w:t>
      </w:r>
      <w:r w:rsidR="6E17F8AE" w:rsidRPr="00B129CF">
        <w:t>Reporting</w:t>
      </w:r>
      <w:r w:rsidR="33181F71" w:rsidRPr="00B129CF">
        <w:t xml:space="preserve"> </w:t>
      </w:r>
    </w:p>
    <w:p w14:paraId="12E24BAE" w14:textId="3992E382" w:rsidR="00BC1FED" w:rsidRPr="00B129CF" w:rsidRDefault="0068172A" w:rsidP="002A7561">
      <w:pPr>
        <w:pStyle w:val="Heading2"/>
        <w:rPr>
          <w:bCs/>
        </w:rPr>
      </w:pPr>
      <w:r w:rsidRPr="00B129CF">
        <w:t xml:space="preserve">Progress against COVID-19 </w:t>
      </w:r>
      <w:r w:rsidR="008C1A18" w:rsidRPr="00B129CF">
        <w:t xml:space="preserve">development </w:t>
      </w:r>
      <w:r w:rsidR="008A1503" w:rsidRPr="00B129CF">
        <w:t xml:space="preserve">Response plan </w:t>
      </w:r>
      <w:r w:rsidR="00E1666D" w:rsidRPr="00B129CF">
        <w:t>results indicators</w:t>
      </w:r>
    </w:p>
    <w:p w14:paraId="53E0B1CB" w14:textId="0109D6CC" w:rsidR="00AE2B7B" w:rsidRPr="00B129CF" w:rsidRDefault="00AE2B7B" w:rsidP="002A7561">
      <w:pPr>
        <w:pStyle w:val="Heading3"/>
      </w:pPr>
      <w:bookmarkStart w:id="0" w:name="_Hlk142406663"/>
      <w:r w:rsidRPr="00B129CF">
        <w:t>Health Security</w:t>
      </w:r>
    </w:p>
    <w:tbl>
      <w:tblPr>
        <w:tblStyle w:val="TableGrid"/>
        <w:tblW w:w="10484" w:type="dxa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CellMar>
          <w:top w:w="85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Progress against performance indicators"/>
        <w:tblDescription w:val="This table shows the progress made against key indicators for health security"/>
      </w:tblPr>
      <w:tblGrid>
        <w:gridCol w:w="3964"/>
        <w:gridCol w:w="6520"/>
      </w:tblGrid>
      <w:tr w:rsidR="00B129CF" w:rsidRPr="00B129CF" w14:paraId="228F7F02" w14:textId="77777777" w:rsidTr="002A7561">
        <w:trPr>
          <w:cantSplit/>
          <w:tblHeader/>
        </w:trPr>
        <w:tc>
          <w:tcPr>
            <w:tcW w:w="3964" w:type="dxa"/>
            <w:shd w:val="clear" w:color="auto" w:fill="A2DCD1" w:themeFill="accent1" w:themeFillTint="99"/>
          </w:tcPr>
          <w:p w14:paraId="7116F4F5" w14:textId="2BCC79D7" w:rsidR="004F5615" w:rsidRPr="00B129CF" w:rsidRDefault="00A96364" w:rsidP="002A7561">
            <w:pPr>
              <w:spacing w:after="120" w:line="240" w:lineRule="auto"/>
              <w:jc w:val="center"/>
              <w:rPr>
                <w:rFonts w:cstheme="minorHAnsi"/>
                <w:b/>
                <w:color w:val="auto"/>
              </w:rPr>
            </w:pPr>
            <w:r w:rsidRPr="00B129CF">
              <w:rPr>
                <w:rFonts w:cstheme="minorHAnsi"/>
                <w:b/>
                <w:color w:val="auto"/>
              </w:rPr>
              <w:t xml:space="preserve">Key Results </w:t>
            </w:r>
            <w:r w:rsidR="00E1666D" w:rsidRPr="00B129CF">
              <w:rPr>
                <w:rFonts w:cstheme="minorHAnsi"/>
                <w:b/>
                <w:color w:val="auto"/>
              </w:rPr>
              <w:t>Indicators</w:t>
            </w:r>
          </w:p>
        </w:tc>
        <w:tc>
          <w:tcPr>
            <w:tcW w:w="6520" w:type="dxa"/>
            <w:shd w:val="clear" w:color="auto" w:fill="A2DCD1" w:themeFill="accent1" w:themeFillTint="99"/>
          </w:tcPr>
          <w:p w14:paraId="18C04122" w14:textId="30B10914" w:rsidR="004F5615" w:rsidRPr="00B129CF" w:rsidRDefault="00AD19F7" w:rsidP="002A7561">
            <w:pPr>
              <w:spacing w:after="120" w:line="240" w:lineRule="auto"/>
              <w:jc w:val="center"/>
              <w:rPr>
                <w:rFonts w:cstheme="minorHAnsi"/>
                <w:color w:val="auto"/>
              </w:rPr>
            </w:pPr>
            <w:r w:rsidRPr="00B129CF">
              <w:rPr>
                <w:rFonts w:cstheme="minorHAnsi"/>
                <w:b/>
                <w:color w:val="auto"/>
              </w:rPr>
              <w:t>Progress/Result</w:t>
            </w:r>
          </w:p>
        </w:tc>
      </w:tr>
      <w:tr w:rsidR="00B129CF" w:rsidRPr="00B129CF" w14:paraId="5D4066B5" w14:textId="77777777" w:rsidTr="38B2AC7E">
        <w:trPr>
          <w:cantSplit/>
        </w:trPr>
        <w:tc>
          <w:tcPr>
            <w:tcW w:w="3964" w:type="dxa"/>
          </w:tcPr>
          <w:p w14:paraId="354112BD" w14:textId="542D9567" w:rsidR="00877620" w:rsidRPr="00B129CF" w:rsidRDefault="3F67F39B" w:rsidP="00086931">
            <w:pPr>
              <w:spacing w:after="120" w:line="240" w:lineRule="auto"/>
              <w:rPr>
                <w:rFonts w:eastAsia="Calibri Light" w:cstheme="minorHAnsi"/>
                <w:color w:val="auto"/>
              </w:rPr>
            </w:pPr>
            <w:r w:rsidRPr="00B129CF">
              <w:rPr>
                <w:rFonts w:eastAsia="Calibri Light" w:cstheme="minorHAnsi"/>
                <w:color w:val="auto"/>
              </w:rPr>
              <w:t>Number (and nature) of instances of strengthened health systems, including preparedness for emergencies and public health crises</w:t>
            </w:r>
            <w:r w:rsidR="77430F72" w:rsidRPr="00B129CF">
              <w:rPr>
                <w:rFonts w:eastAsia="Calibri Light" w:cstheme="minorHAnsi"/>
                <w:color w:val="auto"/>
              </w:rPr>
              <w:t xml:space="preserve"> (Target: </w:t>
            </w:r>
            <w:r w:rsidR="00CF4FCD" w:rsidRPr="00B129CF">
              <w:rPr>
                <w:rFonts w:eastAsia="Calibri Light" w:cstheme="minorHAnsi"/>
                <w:color w:val="auto"/>
              </w:rPr>
              <w:t>three</w:t>
            </w:r>
            <w:r w:rsidR="77430F72" w:rsidRPr="00B129CF">
              <w:rPr>
                <w:rFonts w:eastAsia="Calibri Light" w:cstheme="minorHAnsi"/>
                <w:color w:val="auto"/>
              </w:rPr>
              <w:t xml:space="preserve"> significant instances of change)</w:t>
            </w:r>
          </w:p>
        </w:tc>
        <w:tc>
          <w:tcPr>
            <w:tcW w:w="6520" w:type="dxa"/>
          </w:tcPr>
          <w:p w14:paraId="2985EE3A" w14:textId="4A768C7C" w:rsidR="003E040B" w:rsidRPr="00B129CF" w:rsidRDefault="00106C1C" w:rsidP="00A90FF5">
            <w:pPr>
              <w:spacing w:after="120" w:line="240" w:lineRule="auto"/>
              <w:rPr>
                <w:rFonts w:eastAsia="Calibri Light" w:cstheme="minorHAnsi"/>
                <w:color w:val="auto"/>
              </w:rPr>
            </w:pPr>
            <w:r w:rsidRPr="00B129CF">
              <w:rPr>
                <w:rFonts w:eastAsia="Calibri Light" w:cstheme="minorHAnsi"/>
                <w:color w:val="auto"/>
              </w:rPr>
              <w:t xml:space="preserve">Supported the expansion of </w:t>
            </w:r>
            <w:proofErr w:type="spellStart"/>
            <w:r w:rsidRPr="00B129CF">
              <w:rPr>
                <w:rFonts w:eastAsia="Calibri Light" w:cstheme="minorHAnsi"/>
                <w:color w:val="auto"/>
              </w:rPr>
              <w:t>mSupply</w:t>
            </w:r>
            <w:proofErr w:type="spellEnd"/>
            <w:r w:rsidR="00BB502C" w:rsidRPr="00B129CF">
              <w:rPr>
                <w:rFonts w:eastAsia="Calibri Light" w:cstheme="minorHAnsi"/>
                <w:color w:val="auto"/>
              </w:rPr>
              <w:t xml:space="preserve"> (</w:t>
            </w:r>
            <w:r w:rsidRPr="00B129CF">
              <w:rPr>
                <w:rFonts w:eastAsia="Calibri Light" w:cstheme="minorHAnsi"/>
                <w:color w:val="auto"/>
              </w:rPr>
              <w:t>pharmaceutical logistics management system</w:t>
            </w:r>
            <w:r w:rsidR="00BB502C" w:rsidRPr="00B129CF">
              <w:rPr>
                <w:rFonts w:eastAsia="Calibri Light" w:cstheme="minorHAnsi"/>
                <w:color w:val="auto"/>
              </w:rPr>
              <w:t>)</w:t>
            </w:r>
            <w:r w:rsidRPr="00B129CF">
              <w:rPr>
                <w:rFonts w:eastAsia="Calibri Light" w:cstheme="minorHAnsi"/>
                <w:color w:val="auto"/>
              </w:rPr>
              <w:t xml:space="preserve"> to </w:t>
            </w:r>
            <w:r w:rsidR="00701760" w:rsidRPr="00B129CF">
              <w:rPr>
                <w:rFonts w:eastAsia="Calibri Light" w:cstheme="minorHAnsi"/>
                <w:color w:val="auto"/>
              </w:rPr>
              <w:t>five</w:t>
            </w:r>
            <w:r w:rsidRPr="00B129CF">
              <w:rPr>
                <w:rFonts w:eastAsia="Calibri Light" w:cstheme="minorHAnsi"/>
                <w:color w:val="auto"/>
              </w:rPr>
              <w:t xml:space="preserve"> rural district hospitals </w:t>
            </w:r>
            <w:r w:rsidR="00A2586C" w:rsidRPr="00B129CF">
              <w:rPr>
                <w:rFonts w:eastAsia="Calibri Light" w:cstheme="minorHAnsi"/>
                <w:color w:val="auto"/>
              </w:rPr>
              <w:t xml:space="preserve">(following seven in 2021-22) </w:t>
            </w:r>
            <w:r w:rsidRPr="00B129CF">
              <w:rPr>
                <w:rFonts w:eastAsia="Calibri Light" w:cstheme="minorHAnsi"/>
                <w:color w:val="auto"/>
              </w:rPr>
              <w:t>and the national vaccine storage centre</w:t>
            </w:r>
            <w:r w:rsidR="00BB502C" w:rsidRPr="00B129CF">
              <w:rPr>
                <w:rFonts w:eastAsia="Calibri Light" w:cstheme="minorHAnsi"/>
                <w:color w:val="auto"/>
              </w:rPr>
              <w:t>. This enabled</w:t>
            </w:r>
            <w:r w:rsidRPr="00B129CF">
              <w:rPr>
                <w:rFonts w:eastAsia="Calibri Light" w:cstheme="minorHAnsi"/>
                <w:color w:val="auto"/>
              </w:rPr>
              <w:t xml:space="preserve"> better monitoring and timely replenishment of pharmaceutical supplies and medical resources from the central pharmaceutical </w:t>
            </w:r>
            <w:r w:rsidR="00CC26C6" w:rsidRPr="00B129CF">
              <w:rPr>
                <w:rFonts w:eastAsia="Calibri Light" w:cstheme="minorHAnsi"/>
                <w:color w:val="auto"/>
              </w:rPr>
              <w:t>warehouse</w:t>
            </w:r>
            <w:r w:rsidR="00BB502C" w:rsidRPr="00B129CF">
              <w:rPr>
                <w:rFonts w:eastAsia="Calibri Light" w:cstheme="minorHAnsi"/>
                <w:color w:val="auto"/>
              </w:rPr>
              <w:t>, including</w:t>
            </w:r>
            <w:r w:rsidRPr="00B129CF">
              <w:rPr>
                <w:rFonts w:eastAsia="Calibri Light" w:cstheme="minorHAnsi"/>
                <w:color w:val="auto"/>
              </w:rPr>
              <w:t xml:space="preserve"> through an online dashboard. </w:t>
            </w:r>
          </w:p>
          <w:p w14:paraId="5FFD14A3" w14:textId="2D83F5B6" w:rsidR="004F1DF6" w:rsidRPr="00B129CF" w:rsidRDefault="002B1F80" w:rsidP="00A90FF5">
            <w:pPr>
              <w:spacing w:after="120" w:line="240" w:lineRule="auto"/>
              <w:rPr>
                <w:rFonts w:eastAsia="Calibri Light" w:cstheme="minorHAnsi"/>
                <w:color w:val="auto"/>
              </w:rPr>
            </w:pPr>
            <w:r w:rsidRPr="00B129CF">
              <w:rPr>
                <w:rFonts w:eastAsia="Calibri Light" w:cstheme="minorHAnsi"/>
                <w:color w:val="auto"/>
              </w:rPr>
              <w:t xml:space="preserve">Supported expansion of </w:t>
            </w:r>
            <w:r w:rsidRPr="00B129CF">
              <w:rPr>
                <w:rFonts w:eastAsia="Calibri Light" w:cstheme="minorHAnsi"/>
                <w:i/>
                <w:iCs/>
                <w:color w:val="auto"/>
              </w:rPr>
              <w:t>Tamanu</w:t>
            </w:r>
            <w:r w:rsidRPr="00B129CF">
              <w:rPr>
                <w:rFonts w:eastAsia="Calibri Light" w:cstheme="minorHAnsi"/>
                <w:color w:val="auto"/>
              </w:rPr>
              <w:t>, patient electronic medical record</w:t>
            </w:r>
            <w:r w:rsidR="003304BD" w:rsidRPr="00B129CF">
              <w:rPr>
                <w:rFonts w:eastAsia="Calibri Light" w:cstheme="minorHAnsi"/>
                <w:color w:val="auto"/>
              </w:rPr>
              <w:t>,</w:t>
            </w:r>
            <w:r w:rsidRPr="00B129CF">
              <w:rPr>
                <w:rFonts w:eastAsia="Calibri Light" w:cstheme="minorHAnsi"/>
                <w:color w:val="auto"/>
              </w:rPr>
              <w:t xml:space="preserve"> to cover COVID-19 PCR testing and community based </w:t>
            </w:r>
            <w:r w:rsidR="00701760" w:rsidRPr="00B129CF">
              <w:rPr>
                <w:rFonts w:eastAsia="Calibri Light" w:cstheme="minorHAnsi"/>
                <w:color w:val="auto"/>
              </w:rPr>
              <w:t xml:space="preserve">Non-Communicable </w:t>
            </w:r>
            <w:r w:rsidRPr="00B129CF">
              <w:rPr>
                <w:rFonts w:eastAsia="Calibri Light" w:cstheme="minorHAnsi"/>
                <w:color w:val="auto"/>
              </w:rPr>
              <w:t>D</w:t>
            </w:r>
            <w:r w:rsidR="00701760" w:rsidRPr="00B129CF">
              <w:rPr>
                <w:rFonts w:eastAsia="Calibri Light" w:cstheme="minorHAnsi"/>
                <w:color w:val="auto"/>
              </w:rPr>
              <w:t>isease</w:t>
            </w:r>
            <w:r w:rsidRPr="00B129CF">
              <w:rPr>
                <w:rFonts w:eastAsia="Calibri Light" w:cstheme="minorHAnsi"/>
                <w:color w:val="auto"/>
              </w:rPr>
              <w:t xml:space="preserve"> screening, diagnosis, </w:t>
            </w:r>
            <w:r w:rsidR="0057455A" w:rsidRPr="00B129CF">
              <w:rPr>
                <w:rFonts w:eastAsia="Calibri Light" w:cstheme="minorHAnsi"/>
                <w:color w:val="auto"/>
              </w:rPr>
              <w:t>referrals,</w:t>
            </w:r>
            <w:r w:rsidRPr="00B129CF">
              <w:rPr>
                <w:rFonts w:eastAsia="Calibri Light" w:cstheme="minorHAnsi"/>
                <w:color w:val="auto"/>
              </w:rPr>
              <w:t xml:space="preserve"> and treatments.</w:t>
            </w:r>
          </w:p>
          <w:p w14:paraId="1C78B18E" w14:textId="5A9274B2" w:rsidR="007C6D50" w:rsidRPr="00B129CF" w:rsidRDefault="007C6D50" w:rsidP="00A90FF5">
            <w:pPr>
              <w:spacing w:after="120" w:line="240" w:lineRule="auto"/>
              <w:rPr>
                <w:rFonts w:eastAsia="Calibri Light" w:cstheme="minorHAnsi"/>
                <w:color w:val="auto"/>
              </w:rPr>
            </w:pPr>
            <w:r w:rsidRPr="00B129CF">
              <w:rPr>
                <w:rFonts w:eastAsia="Calibri Light" w:cstheme="minorHAnsi"/>
                <w:color w:val="auto"/>
              </w:rPr>
              <w:t xml:space="preserve">Supported the expansion of </w:t>
            </w:r>
            <w:r w:rsidRPr="00B129CF">
              <w:rPr>
                <w:rFonts w:eastAsia="Calibri Light" w:cstheme="minorHAnsi"/>
                <w:i/>
                <w:iCs/>
                <w:color w:val="auto"/>
              </w:rPr>
              <w:t>Tupaia</w:t>
            </w:r>
            <w:r w:rsidRPr="00B129CF">
              <w:rPr>
                <w:rFonts w:eastAsia="Calibri Light" w:cstheme="minorHAnsi"/>
                <w:color w:val="auto"/>
              </w:rPr>
              <w:t xml:space="preserve">, the health data aggregation and visualisation tool to integrate COVID-19 testing and tracking of staff availability, </w:t>
            </w:r>
            <w:r w:rsidR="002769DD" w:rsidRPr="00B129CF">
              <w:rPr>
                <w:rFonts w:eastAsia="Calibri Light" w:cstheme="minorHAnsi"/>
                <w:color w:val="auto"/>
              </w:rPr>
              <w:t xml:space="preserve">oxygen, </w:t>
            </w:r>
            <w:r w:rsidR="002769DD">
              <w:rPr>
                <w:rFonts w:eastAsia="Calibri Light" w:cstheme="minorHAnsi"/>
                <w:color w:val="auto"/>
              </w:rPr>
              <w:t>personal</w:t>
            </w:r>
            <w:r w:rsidR="006E7560" w:rsidRPr="006E7560">
              <w:rPr>
                <w:rFonts w:eastAsia="Calibri Light" w:cstheme="minorHAnsi"/>
                <w:color w:val="auto"/>
              </w:rPr>
              <w:t xml:space="preserve"> protective equipment</w:t>
            </w:r>
            <w:r w:rsidR="006E7560">
              <w:rPr>
                <w:rFonts w:eastAsia="Calibri Light" w:cstheme="minorHAnsi"/>
                <w:color w:val="auto"/>
              </w:rPr>
              <w:t xml:space="preserve"> </w:t>
            </w:r>
            <w:r w:rsidR="006E7560" w:rsidRPr="00B129CF">
              <w:rPr>
                <w:rFonts w:eastAsia="Calibri Light" w:cstheme="minorHAnsi"/>
                <w:color w:val="auto"/>
              </w:rPr>
              <w:t>PPE,</w:t>
            </w:r>
            <w:r w:rsidRPr="00B129CF">
              <w:rPr>
                <w:rFonts w:eastAsia="Calibri Light" w:cstheme="minorHAnsi"/>
                <w:color w:val="auto"/>
              </w:rPr>
              <w:t xml:space="preserve"> and equipment across all facilities.</w:t>
            </w:r>
          </w:p>
        </w:tc>
      </w:tr>
      <w:tr w:rsidR="00B129CF" w:rsidRPr="00B129CF" w14:paraId="4AD746D8" w14:textId="77777777" w:rsidTr="38B2AC7E">
        <w:trPr>
          <w:cantSplit/>
        </w:trPr>
        <w:tc>
          <w:tcPr>
            <w:tcW w:w="3964" w:type="dxa"/>
          </w:tcPr>
          <w:p w14:paraId="0AB10A98" w14:textId="6617F248" w:rsidR="00CA5021" w:rsidRPr="00B129CF" w:rsidRDefault="3F67F39B" w:rsidP="00086931">
            <w:pPr>
              <w:spacing w:after="120" w:line="240" w:lineRule="auto"/>
              <w:rPr>
                <w:rFonts w:cstheme="minorHAnsi"/>
                <w:color w:val="auto"/>
              </w:rPr>
            </w:pPr>
            <w:r w:rsidRPr="00B129CF">
              <w:rPr>
                <w:rFonts w:eastAsia="Calibri Light" w:cstheme="minorHAnsi"/>
                <w:color w:val="auto"/>
              </w:rPr>
              <w:t>Evidence of improved response to health security threats</w:t>
            </w:r>
            <w:r w:rsidR="39D7A7F9" w:rsidRPr="00B129CF">
              <w:rPr>
                <w:rFonts w:eastAsia="Calibri Light" w:cstheme="minorHAnsi"/>
                <w:color w:val="auto"/>
              </w:rPr>
              <w:t xml:space="preserve"> (Target: </w:t>
            </w:r>
            <w:r w:rsidR="00CF4FCD" w:rsidRPr="00B129CF">
              <w:rPr>
                <w:rFonts w:eastAsia="Calibri Light" w:cstheme="minorHAnsi"/>
                <w:color w:val="auto"/>
              </w:rPr>
              <w:t>two</w:t>
            </w:r>
            <w:r w:rsidR="39D7A7F9" w:rsidRPr="00B129CF">
              <w:rPr>
                <w:rFonts w:eastAsia="Calibri Light" w:cstheme="minorHAnsi"/>
                <w:color w:val="auto"/>
              </w:rPr>
              <w:t xml:space="preserve"> significant instances of change)</w:t>
            </w:r>
          </w:p>
        </w:tc>
        <w:tc>
          <w:tcPr>
            <w:tcW w:w="6520" w:type="dxa"/>
          </w:tcPr>
          <w:p w14:paraId="6A9C428B" w14:textId="5666A163" w:rsidR="007C6D50" w:rsidRPr="00B129CF" w:rsidRDefault="0083330D" w:rsidP="00A90FF5">
            <w:pPr>
              <w:spacing w:after="120" w:line="240" w:lineRule="auto"/>
              <w:rPr>
                <w:rFonts w:eastAsia="Calibri Light" w:cstheme="minorHAnsi"/>
                <w:color w:val="auto"/>
              </w:rPr>
            </w:pPr>
            <w:r w:rsidRPr="00B129CF">
              <w:rPr>
                <w:rFonts w:eastAsia="Calibri Light" w:cstheme="minorHAnsi"/>
                <w:color w:val="auto"/>
              </w:rPr>
              <w:t xml:space="preserve">Supported training for </w:t>
            </w:r>
            <w:r w:rsidR="00202951" w:rsidRPr="00B129CF">
              <w:rPr>
                <w:rFonts w:eastAsia="Calibri Light" w:cstheme="minorHAnsi"/>
                <w:color w:val="auto"/>
              </w:rPr>
              <w:t xml:space="preserve">Ministry of Health </w:t>
            </w:r>
            <w:r w:rsidRPr="00B129CF">
              <w:rPr>
                <w:rFonts w:eastAsia="Calibri Light" w:cstheme="minorHAnsi"/>
                <w:color w:val="auto"/>
              </w:rPr>
              <w:t xml:space="preserve">pharmacy and procurement staff in the use of </w:t>
            </w:r>
            <w:proofErr w:type="spellStart"/>
            <w:r w:rsidRPr="00B129CF">
              <w:rPr>
                <w:rFonts w:eastAsia="Calibri Light" w:cstheme="minorHAnsi"/>
                <w:color w:val="auto"/>
              </w:rPr>
              <w:t>mSupply</w:t>
            </w:r>
            <w:proofErr w:type="spellEnd"/>
            <w:r w:rsidRPr="00B129CF">
              <w:rPr>
                <w:rFonts w:eastAsia="Calibri Light" w:cstheme="minorHAnsi"/>
                <w:color w:val="auto"/>
              </w:rPr>
              <w:t xml:space="preserve"> </w:t>
            </w:r>
            <w:r w:rsidR="00092464" w:rsidRPr="00B129CF">
              <w:rPr>
                <w:rFonts w:eastAsia="Calibri Light" w:cstheme="minorHAnsi"/>
                <w:color w:val="auto"/>
              </w:rPr>
              <w:t>Tender module to accurately quantify procurement needs and consumables</w:t>
            </w:r>
            <w:r w:rsidR="00BB502C" w:rsidRPr="00B129CF">
              <w:rPr>
                <w:rFonts w:eastAsia="Calibri Light" w:cstheme="minorHAnsi"/>
                <w:color w:val="auto"/>
              </w:rPr>
              <w:t>,</w:t>
            </w:r>
            <w:r w:rsidR="00092464" w:rsidRPr="00B129CF">
              <w:rPr>
                <w:rFonts w:eastAsia="Calibri Light" w:cstheme="minorHAnsi"/>
                <w:color w:val="auto"/>
              </w:rPr>
              <w:t xml:space="preserve"> reducing stockouts and wastage.</w:t>
            </w:r>
          </w:p>
          <w:p w14:paraId="44F01EB8" w14:textId="7F39E1E6" w:rsidR="00213ACB" w:rsidRPr="00B129CF" w:rsidRDefault="007C6D50" w:rsidP="00A90FF5">
            <w:pPr>
              <w:spacing w:after="120" w:line="240" w:lineRule="auto"/>
              <w:rPr>
                <w:rFonts w:eastAsia="Calibri Light" w:cstheme="minorHAnsi"/>
                <w:color w:val="auto"/>
              </w:rPr>
            </w:pPr>
            <w:r w:rsidRPr="00B129CF">
              <w:rPr>
                <w:rFonts w:eastAsia="Calibri Light" w:cstheme="minorHAnsi"/>
                <w:color w:val="auto"/>
              </w:rPr>
              <w:t>T</w:t>
            </w:r>
            <w:r w:rsidR="00E1006A" w:rsidRPr="00B129CF">
              <w:rPr>
                <w:rFonts w:eastAsia="Calibri Light" w:cstheme="minorHAnsi"/>
                <w:color w:val="auto"/>
              </w:rPr>
              <w:t xml:space="preserve">he expansion of Tupaia </w:t>
            </w:r>
            <w:r w:rsidR="006F2D05" w:rsidRPr="00B129CF">
              <w:rPr>
                <w:rFonts w:eastAsia="Calibri Light" w:cstheme="minorHAnsi"/>
                <w:color w:val="auto"/>
              </w:rPr>
              <w:t>enabl</w:t>
            </w:r>
            <w:r w:rsidR="00F77082" w:rsidRPr="00B129CF">
              <w:rPr>
                <w:rFonts w:eastAsia="Calibri Light" w:cstheme="minorHAnsi"/>
                <w:color w:val="auto"/>
              </w:rPr>
              <w:t>ed</w:t>
            </w:r>
            <w:r w:rsidR="00E1006A" w:rsidRPr="00B129CF">
              <w:rPr>
                <w:rFonts w:eastAsia="Calibri Light" w:cstheme="minorHAnsi"/>
                <w:color w:val="auto"/>
              </w:rPr>
              <w:t xml:space="preserve"> swift decisions on resource allocation and location of testing and vaccination s</w:t>
            </w:r>
            <w:r w:rsidR="00D23FAE" w:rsidRPr="00B129CF">
              <w:rPr>
                <w:rFonts w:eastAsia="Calibri Light" w:cstheme="minorHAnsi"/>
                <w:color w:val="auto"/>
              </w:rPr>
              <w:t>ite</w:t>
            </w:r>
            <w:r w:rsidR="00E1006A" w:rsidRPr="00B129CF">
              <w:rPr>
                <w:rFonts w:eastAsia="Calibri Light" w:cstheme="minorHAnsi"/>
                <w:color w:val="auto"/>
              </w:rPr>
              <w:t>s based on the concentration of COVID</w:t>
            </w:r>
            <w:r w:rsidR="00701760" w:rsidRPr="00B129CF">
              <w:rPr>
                <w:rFonts w:eastAsia="Calibri Light" w:cstheme="minorHAnsi"/>
                <w:color w:val="auto"/>
              </w:rPr>
              <w:t>-</w:t>
            </w:r>
            <w:r w:rsidR="00E1006A" w:rsidRPr="00B129CF">
              <w:rPr>
                <w:rFonts w:eastAsia="Calibri Light" w:cstheme="minorHAnsi"/>
                <w:color w:val="auto"/>
              </w:rPr>
              <w:t>19 cases.</w:t>
            </w:r>
          </w:p>
        </w:tc>
      </w:tr>
      <w:tr w:rsidR="00B129CF" w:rsidRPr="00B129CF" w14:paraId="561E10FB" w14:textId="77777777" w:rsidTr="38B2AC7E">
        <w:trPr>
          <w:cantSplit/>
        </w:trPr>
        <w:tc>
          <w:tcPr>
            <w:tcW w:w="3964" w:type="dxa"/>
          </w:tcPr>
          <w:p w14:paraId="3FC5A9AE" w14:textId="3D6F7508" w:rsidR="00CA5021" w:rsidRPr="00B129CF" w:rsidRDefault="3F67F39B" w:rsidP="00086931">
            <w:pPr>
              <w:spacing w:after="120" w:line="240" w:lineRule="auto"/>
              <w:rPr>
                <w:rFonts w:eastAsia="Calibri Light" w:cstheme="minorHAnsi"/>
                <w:color w:val="auto"/>
              </w:rPr>
            </w:pPr>
            <w:r w:rsidRPr="00B129CF">
              <w:rPr>
                <w:rFonts w:eastAsia="Calibri Light" w:cstheme="minorHAnsi"/>
                <w:color w:val="auto"/>
              </w:rPr>
              <w:t>Number of people immunised with Australian support</w:t>
            </w:r>
          </w:p>
        </w:tc>
        <w:tc>
          <w:tcPr>
            <w:tcW w:w="6520" w:type="dxa"/>
          </w:tcPr>
          <w:p w14:paraId="1D0B508E" w14:textId="40F85AD9" w:rsidR="00CA5021" w:rsidRPr="00B129CF" w:rsidRDefault="00A2586C" w:rsidP="00086931">
            <w:pPr>
              <w:spacing w:after="120" w:line="240" w:lineRule="auto"/>
              <w:rPr>
                <w:rFonts w:eastAsia="Calibri Light" w:cstheme="minorHAnsi"/>
                <w:color w:val="auto"/>
              </w:rPr>
            </w:pPr>
            <w:r w:rsidRPr="00B129CF">
              <w:rPr>
                <w:rFonts w:eastAsia="Calibri Light" w:cstheme="minorHAnsi"/>
                <w:color w:val="auto"/>
              </w:rPr>
              <w:t>Following Australia’s comprehensive donations and roll-out of COVID-19 vaccines in 2021-22, supplemented with contributions from other donors, n</w:t>
            </w:r>
            <w:r w:rsidR="00092464" w:rsidRPr="00B129CF">
              <w:rPr>
                <w:rFonts w:eastAsia="Calibri Light" w:cstheme="minorHAnsi"/>
                <w:color w:val="auto"/>
              </w:rPr>
              <w:t xml:space="preserve">o </w:t>
            </w:r>
            <w:r w:rsidR="008945B8" w:rsidRPr="00B129CF">
              <w:rPr>
                <w:rFonts w:eastAsia="Calibri Light" w:cstheme="minorHAnsi"/>
                <w:color w:val="auto"/>
              </w:rPr>
              <w:t>Australian support to</w:t>
            </w:r>
            <w:r w:rsidR="00701760" w:rsidRPr="00B129CF">
              <w:rPr>
                <w:rFonts w:eastAsia="Calibri Light" w:cstheme="minorHAnsi"/>
                <w:color w:val="auto"/>
              </w:rPr>
              <w:t>wards</w:t>
            </w:r>
            <w:r w:rsidR="008945B8" w:rsidRPr="00B129CF">
              <w:rPr>
                <w:rFonts w:eastAsia="Calibri Light" w:cstheme="minorHAnsi"/>
                <w:color w:val="auto"/>
              </w:rPr>
              <w:t xml:space="preserve"> immunisation</w:t>
            </w:r>
            <w:r w:rsidRPr="00B129CF">
              <w:rPr>
                <w:rFonts w:eastAsia="Calibri Light" w:cstheme="minorHAnsi"/>
                <w:color w:val="auto"/>
              </w:rPr>
              <w:t xml:space="preserve"> was required</w:t>
            </w:r>
            <w:r w:rsidR="008945B8" w:rsidRPr="00B129CF">
              <w:rPr>
                <w:rFonts w:eastAsia="Calibri Light" w:cstheme="minorHAnsi"/>
                <w:color w:val="auto"/>
              </w:rPr>
              <w:t xml:space="preserve"> in 2022</w:t>
            </w:r>
            <w:r w:rsidR="008E783B" w:rsidRPr="00B129CF">
              <w:rPr>
                <w:rFonts w:eastAsia="Calibri Light" w:cstheme="minorHAnsi"/>
                <w:color w:val="auto"/>
              </w:rPr>
              <w:t>-</w:t>
            </w:r>
            <w:r w:rsidR="008945B8" w:rsidRPr="00B129CF">
              <w:rPr>
                <w:rFonts w:eastAsia="Calibri Light" w:cstheme="minorHAnsi"/>
                <w:color w:val="auto"/>
              </w:rPr>
              <w:t>23.</w:t>
            </w:r>
          </w:p>
        </w:tc>
      </w:tr>
      <w:tr w:rsidR="00B129CF" w:rsidRPr="00B129CF" w14:paraId="6024B2EE" w14:textId="77777777" w:rsidTr="38B2AC7E">
        <w:trPr>
          <w:cantSplit/>
        </w:trPr>
        <w:tc>
          <w:tcPr>
            <w:tcW w:w="3964" w:type="dxa"/>
          </w:tcPr>
          <w:p w14:paraId="7AE9147B" w14:textId="77777777" w:rsidR="00BF27FA" w:rsidRDefault="3F67F39B" w:rsidP="00086931">
            <w:pPr>
              <w:spacing w:after="120" w:line="240" w:lineRule="auto"/>
              <w:rPr>
                <w:rFonts w:eastAsia="Calibri Light" w:cstheme="minorHAnsi"/>
                <w:color w:val="auto"/>
              </w:rPr>
            </w:pPr>
            <w:r w:rsidRPr="00B129CF">
              <w:rPr>
                <w:rFonts w:eastAsia="Calibri Light" w:cstheme="minorHAnsi"/>
                <w:color w:val="auto"/>
              </w:rPr>
              <w:lastRenderedPageBreak/>
              <w:t xml:space="preserve">Number of women and men accessing </w:t>
            </w:r>
            <w:r w:rsidR="008E783B" w:rsidRPr="00B129CF">
              <w:rPr>
                <w:rFonts w:eastAsia="Calibri Light" w:cstheme="minorHAnsi"/>
                <w:color w:val="auto"/>
              </w:rPr>
              <w:t>sexual and reproductive health and rights (</w:t>
            </w:r>
            <w:r w:rsidRPr="00B129CF">
              <w:rPr>
                <w:rFonts w:eastAsia="Calibri Light" w:cstheme="minorHAnsi"/>
                <w:color w:val="auto"/>
              </w:rPr>
              <w:t>SRHR</w:t>
            </w:r>
            <w:r w:rsidR="008E783B" w:rsidRPr="00B129CF">
              <w:rPr>
                <w:rFonts w:eastAsia="Calibri Light" w:cstheme="minorHAnsi"/>
                <w:color w:val="auto"/>
              </w:rPr>
              <w:t>)</w:t>
            </w:r>
            <w:r w:rsidRPr="00B129CF">
              <w:rPr>
                <w:rFonts w:eastAsia="Calibri Light" w:cstheme="minorHAnsi"/>
                <w:color w:val="auto"/>
              </w:rPr>
              <w:t xml:space="preserve"> services provided with Australian </w:t>
            </w:r>
            <w:proofErr w:type="gramStart"/>
            <w:r w:rsidRPr="00B129CF">
              <w:rPr>
                <w:rFonts w:eastAsia="Calibri Light" w:cstheme="minorHAnsi"/>
                <w:color w:val="auto"/>
              </w:rPr>
              <w:t>support</w:t>
            </w:r>
            <w:proofErr w:type="gramEnd"/>
            <w:r w:rsidR="7701A923" w:rsidRPr="00B129CF">
              <w:rPr>
                <w:rFonts w:eastAsia="Calibri Light" w:cstheme="minorHAnsi"/>
                <w:color w:val="auto"/>
              </w:rPr>
              <w:t xml:space="preserve"> </w:t>
            </w:r>
          </w:p>
          <w:p w14:paraId="5A7E4C44" w14:textId="1F06338F" w:rsidR="00CA5021" w:rsidRPr="00B129CF" w:rsidRDefault="7701A923" w:rsidP="00086931">
            <w:pPr>
              <w:spacing w:after="120" w:line="240" w:lineRule="auto"/>
              <w:rPr>
                <w:rFonts w:eastAsia="Calibri Light" w:cstheme="minorHAnsi"/>
                <w:color w:val="auto"/>
              </w:rPr>
            </w:pPr>
            <w:r w:rsidRPr="00B129CF">
              <w:rPr>
                <w:rFonts w:eastAsia="Calibri Light" w:cstheme="minorHAnsi"/>
                <w:color w:val="auto"/>
              </w:rPr>
              <w:t>(</w:t>
            </w:r>
            <w:r w:rsidRPr="00854C81">
              <w:rPr>
                <w:rFonts w:eastAsia="Calibri Light" w:cstheme="minorHAnsi"/>
                <w:color w:val="auto"/>
              </w:rPr>
              <w:t>Target:</w:t>
            </w:r>
            <w:r w:rsidRPr="00B129CF">
              <w:rPr>
                <w:rFonts w:eastAsia="Calibri Light" w:cstheme="minorHAnsi"/>
                <w:color w:val="auto"/>
              </w:rPr>
              <w:t xml:space="preserve"> </w:t>
            </w:r>
            <w:r w:rsidR="17F09CDA" w:rsidRPr="00B129CF">
              <w:rPr>
                <w:rFonts w:eastAsia="Calibri Light" w:cstheme="minorHAnsi"/>
                <w:color w:val="auto"/>
              </w:rPr>
              <w:t>10</w:t>
            </w:r>
            <w:r w:rsidR="00701760" w:rsidRPr="00B129CF">
              <w:rPr>
                <w:rFonts w:eastAsia="Calibri Light" w:cstheme="minorHAnsi"/>
                <w:color w:val="auto"/>
              </w:rPr>
              <w:t xml:space="preserve"> per cent </w:t>
            </w:r>
            <w:r w:rsidR="17F09CDA" w:rsidRPr="00B129CF">
              <w:rPr>
                <w:rFonts w:eastAsia="Calibri Light" w:cstheme="minorHAnsi"/>
                <w:color w:val="auto"/>
              </w:rPr>
              <w:t>increase over pre-COVID-19 baseline)</w:t>
            </w:r>
          </w:p>
        </w:tc>
        <w:tc>
          <w:tcPr>
            <w:tcW w:w="6520" w:type="dxa"/>
          </w:tcPr>
          <w:p w14:paraId="5EA26A04" w14:textId="6A22384B" w:rsidR="004F1DF6" w:rsidRPr="00B129CF" w:rsidRDefault="00230275" w:rsidP="00086931">
            <w:pPr>
              <w:spacing w:after="120" w:line="240" w:lineRule="auto"/>
              <w:rPr>
                <w:rFonts w:eastAsia="Calibri Light" w:cstheme="minorHAnsi"/>
                <w:color w:val="auto"/>
              </w:rPr>
            </w:pPr>
            <w:r w:rsidRPr="00B129CF">
              <w:rPr>
                <w:rFonts w:eastAsia="Calibri Light" w:cstheme="minorHAnsi"/>
                <w:color w:val="auto"/>
              </w:rPr>
              <w:t xml:space="preserve">Supported delivery of SRHR services to </w:t>
            </w:r>
            <w:r w:rsidR="00BF3A37" w:rsidRPr="00B129CF">
              <w:rPr>
                <w:rFonts w:eastAsia="Calibri Light" w:cstheme="minorHAnsi"/>
                <w:color w:val="auto"/>
              </w:rPr>
              <w:t>492 people</w:t>
            </w:r>
            <w:r w:rsidR="00701760" w:rsidRPr="00B129CF">
              <w:rPr>
                <w:rFonts w:eastAsia="Calibri Light" w:cstheme="minorHAnsi"/>
                <w:color w:val="auto"/>
              </w:rPr>
              <w:t>:</w:t>
            </w:r>
            <w:r w:rsidR="00BF3A37" w:rsidRPr="00B129CF">
              <w:rPr>
                <w:rFonts w:eastAsia="Calibri Light" w:cstheme="minorHAnsi"/>
                <w:color w:val="auto"/>
              </w:rPr>
              <w:t xml:space="preserve"> </w:t>
            </w:r>
            <w:r w:rsidR="00A5365C" w:rsidRPr="00B129CF">
              <w:rPr>
                <w:rFonts w:eastAsia="Calibri Light" w:cstheme="minorHAnsi"/>
                <w:color w:val="auto"/>
              </w:rPr>
              <w:t xml:space="preserve">395 women and girls and </w:t>
            </w:r>
            <w:r w:rsidR="00B56D8F" w:rsidRPr="00B129CF">
              <w:rPr>
                <w:rFonts w:eastAsia="Calibri Light" w:cstheme="minorHAnsi"/>
                <w:color w:val="auto"/>
              </w:rPr>
              <w:t>17 men</w:t>
            </w:r>
            <w:r w:rsidR="009712C2" w:rsidRPr="00B129CF">
              <w:rPr>
                <w:rStyle w:val="FootnoteReference"/>
                <w:rFonts w:eastAsia="Calibri Light" w:cstheme="minorHAnsi"/>
                <w:color w:val="auto"/>
              </w:rPr>
              <w:footnoteReference w:id="2"/>
            </w:r>
            <w:r w:rsidR="00B56D8F" w:rsidRPr="00B129CF">
              <w:rPr>
                <w:rFonts w:eastAsia="Calibri Light" w:cstheme="minorHAnsi"/>
                <w:color w:val="auto"/>
              </w:rPr>
              <w:t>.</w:t>
            </w:r>
          </w:p>
        </w:tc>
      </w:tr>
      <w:tr w:rsidR="00B129CF" w:rsidRPr="00B129CF" w14:paraId="44EF29C4" w14:textId="77777777" w:rsidTr="38B2AC7E">
        <w:trPr>
          <w:cantSplit/>
          <w:trHeight w:val="300"/>
        </w:trPr>
        <w:tc>
          <w:tcPr>
            <w:tcW w:w="3964" w:type="dxa"/>
          </w:tcPr>
          <w:p w14:paraId="6CBB4892" w14:textId="77777777" w:rsidR="00BF27FA" w:rsidRDefault="3E4630F0" w:rsidP="00086931">
            <w:pPr>
              <w:spacing w:after="120" w:line="240" w:lineRule="auto"/>
              <w:rPr>
                <w:rFonts w:eastAsia="Calibri Light" w:cstheme="minorHAnsi"/>
                <w:color w:val="auto"/>
              </w:rPr>
            </w:pPr>
            <w:r w:rsidRPr="00B129CF">
              <w:rPr>
                <w:rFonts w:eastAsia="Calibri Light" w:cstheme="minorHAnsi"/>
                <w:color w:val="auto"/>
              </w:rPr>
              <w:t xml:space="preserve">Total number of SRHR-related appointments held at frontline service units, provided with Australian </w:t>
            </w:r>
            <w:proofErr w:type="gramStart"/>
            <w:r w:rsidRPr="00B129CF">
              <w:rPr>
                <w:rFonts w:eastAsia="Calibri Light" w:cstheme="minorHAnsi"/>
                <w:color w:val="auto"/>
              </w:rPr>
              <w:t>support</w:t>
            </w:r>
            <w:proofErr w:type="gramEnd"/>
            <w:r w:rsidR="6639283B" w:rsidRPr="00B129CF">
              <w:rPr>
                <w:rFonts w:eastAsia="Calibri Light" w:cstheme="minorHAnsi"/>
                <w:color w:val="auto"/>
              </w:rPr>
              <w:t xml:space="preserve"> </w:t>
            </w:r>
          </w:p>
          <w:p w14:paraId="1EA20350" w14:textId="79953911" w:rsidR="3E4630F0" w:rsidRPr="00B129CF" w:rsidRDefault="6639283B" w:rsidP="00086931">
            <w:pPr>
              <w:spacing w:after="120" w:line="240" w:lineRule="auto"/>
              <w:rPr>
                <w:rFonts w:eastAsia="Calibri Light" w:cstheme="minorHAnsi"/>
                <w:color w:val="auto"/>
              </w:rPr>
            </w:pPr>
            <w:r w:rsidRPr="00B129CF">
              <w:rPr>
                <w:rFonts w:eastAsia="Calibri Light" w:cstheme="minorHAnsi"/>
                <w:color w:val="auto"/>
              </w:rPr>
              <w:t>(</w:t>
            </w:r>
            <w:r w:rsidRPr="00854C81">
              <w:rPr>
                <w:rFonts w:eastAsia="Calibri Light" w:cstheme="minorHAnsi"/>
                <w:color w:val="auto"/>
              </w:rPr>
              <w:t>Target:</w:t>
            </w:r>
            <w:r w:rsidRPr="00B129CF">
              <w:rPr>
                <w:rFonts w:eastAsia="Calibri Light" w:cstheme="minorHAnsi"/>
                <w:color w:val="auto"/>
              </w:rPr>
              <w:t xml:space="preserve"> 10</w:t>
            </w:r>
            <w:r w:rsidR="00701760" w:rsidRPr="00B129CF">
              <w:rPr>
                <w:rFonts w:eastAsia="Calibri Light" w:cstheme="minorHAnsi"/>
                <w:color w:val="auto"/>
              </w:rPr>
              <w:t xml:space="preserve"> per cent</w:t>
            </w:r>
            <w:r w:rsidRPr="00B129CF">
              <w:rPr>
                <w:rFonts w:eastAsia="Calibri Light" w:cstheme="minorHAnsi"/>
                <w:color w:val="auto"/>
              </w:rPr>
              <w:t xml:space="preserve"> increase over pre</w:t>
            </w:r>
            <w:r w:rsidR="00CF4FCD" w:rsidRPr="00B129CF">
              <w:rPr>
                <w:rFonts w:eastAsia="Calibri Light" w:cstheme="minorHAnsi"/>
                <w:color w:val="auto"/>
              </w:rPr>
              <w:noBreakHyphen/>
            </w:r>
            <w:r w:rsidRPr="00B129CF">
              <w:rPr>
                <w:rFonts w:eastAsia="Calibri Light" w:cstheme="minorHAnsi"/>
                <w:color w:val="auto"/>
              </w:rPr>
              <w:t>COVID</w:t>
            </w:r>
            <w:r w:rsidR="00701760" w:rsidRPr="00B129CF">
              <w:rPr>
                <w:rFonts w:eastAsia="Calibri Light" w:cstheme="minorHAnsi"/>
                <w:color w:val="auto"/>
              </w:rPr>
              <w:t>-1</w:t>
            </w:r>
            <w:r w:rsidRPr="00B129CF">
              <w:rPr>
                <w:rFonts w:eastAsia="Calibri Light" w:cstheme="minorHAnsi"/>
                <w:color w:val="auto"/>
              </w:rPr>
              <w:t>9 baseline)</w:t>
            </w:r>
          </w:p>
        </w:tc>
        <w:tc>
          <w:tcPr>
            <w:tcW w:w="6520" w:type="dxa"/>
          </w:tcPr>
          <w:p w14:paraId="0BD5A6B4" w14:textId="561CF6A4" w:rsidR="00BA27FF" w:rsidRPr="00B129CF" w:rsidRDefault="00C15B64" w:rsidP="00086931">
            <w:pPr>
              <w:spacing w:after="120" w:line="240" w:lineRule="auto"/>
              <w:rPr>
                <w:rFonts w:eastAsia="Calibri Light" w:cstheme="minorHAnsi"/>
                <w:color w:val="auto"/>
              </w:rPr>
            </w:pPr>
            <w:r w:rsidRPr="00B129CF">
              <w:rPr>
                <w:rFonts w:eastAsia="Calibri Light" w:cstheme="minorHAnsi"/>
                <w:color w:val="auto"/>
              </w:rPr>
              <w:t>Support</w:t>
            </w:r>
            <w:r w:rsidR="004B1510" w:rsidRPr="00B129CF">
              <w:rPr>
                <w:rFonts w:eastAsia="Calibri Light" w:cstheme="minorHAnsi"/>
                <w:color w:val="auto"/>
              </w:rPr>
              <w:t>ed</w:t>
            </w:r>
            <w:r w:rsidRPr="00B129CF">
              <w:rPr>
                <w:rFonts w:eastAsia="Calibri Light" w:cstheme="minorHAnsi"/>
                <w:color w:val="auto"/>
              </w:rPr>
              <w:t xml:space="preserve"> </w:t>
            </w:r>
            <w:r w:rsidR="00A20B7F" w:rsidRPr="00B129CF">
              <w:rPr>
                <w:rFonts w:eastAsia="Calibri Light" w:cstheme="minorHAnsi"/>
                <w:color w:val="auto"/>
              </w:rPr>
              <w:t>250 SRHR</w:t>
            </w:r>
            <w:r w:rsidR="004B1510" w:rsidRPr="00B129CF">
              <w:rPr>
                <w:rFonts w:eastAsia="Calibri Light" w:cstheme="minorHAnsi"/>
                <w:color w:val="auto"/>
              </w:rPr>
              <w:t>-</w:t>
            </w:r>
            <w:r w:rsidR="00A20B7F" w:rsidRPr="00B129CF">
              <w:rPr>
                <w:rFonts w:eastAsia="Calibri Light" w:cstheme="minorHAnsi"/>
                <w:color w:val="auto"/>
              </w:rPr>
              <w:t>related appointments</w:t>
            </w:r>
            <w:r w:rsidR="004B1510" w:rsidRPr="00B129CF">
              <w:rPr>
                <w:rFonts w:eastAsia="Calibri Light" w:cstheme="minorHAnsi"/>
                <w:color w:val="auto"/>
              </w:rPr>
              <w:t xml:space="preserve"> through static and mobile clinics</w:t>
            </w:r>
            <w:r w:rsidR="00AF05CC" w:rsidRPr="00B129CF">
              <w:rPr>
                <w:rStyle w:val="FootnoteReference"/>
                <w:rFonts w:eastAsia="Calibri Light" w:cstheme="minorHAnsi"/>
                <w:color w:val="auto"/>
              </w:rPr>
              <w:footnoteReference w:id="3"/>
            </w:r>
            <w:r w:rsidR="004B1510" w:rsidRPr="00B129CF">
              <w:rPr>
                <w:rFonts w:eastAsia="Calibri Light" w:cstheme="minorHAnsi"/>
                <w:color w:val="auto"/>
              </w:rPr>
              <w:t>.</w:t>
            </w:r>
          </w:p>
        </w:tc>
      </w:tr>
      <w:bookmarkEnd w:id="0"/>
      <w:tr w:rsidR="00286F31" w:rsidRPr="00B129CF" w14:paraId="40EFB4B5" w14:textId="77777777" w:rsidTr="38B2AC7E">
        <w:trPr>
          <w:cantSplit/>
          <w:trHeight w:val="300"/>
        </w:trPr>
        <w:tc>
          <w:tcPr>
            <w:tcW w:w="3964" w:type="dxa"/>
          </w:tcPr>
          <w:p w14:paraId="68E90CF6" w14:textId="5525E7AB" w:rsidR="3E4630F0" w:rsidRPr="00B129CF" w:rsidRDefault="3E4630F0" w:rsidP="3DCFBD5D">
            <w:pPr>
              <w:spacing w:after="120" w:line="240" w:lineRule="auto"/>
              <w:rPr>
                <w:rFonts w:eastAsia="Calibri Light"/>
                <w:color w:val="auto"/>
              </w:rPr>
            </w:pPr>
            <w:r w:rsidRPr="00B129CF">
              <w:rPr>
                <w:rFonts w:eastAsia="Calibri Light"/>
                <w:color w:val="auto"/>
              </w:rPr>
              <w:t>Contraceptive protection from unplanned pregnancy made available through Australian support</w:t>
            </w:r>
            <w:r w:rsidR="23F83131" w:rsidRPr="00B129CF">
              <w:rPr>
                <w:rFonts w:eastAsia="Calibri Light"/>
                <w:color w:val="auto"/>
              </w:rPr>
              <w:t xml:space="preserve"> (Target: 10 per</w:t>
            </w:r>
            <w:r w:rsidR="00A90FF5" w:rsidRPr="00B129CF">
              <w:rPr>
                <w:rFonts w:eastAsia="Calibri Light"/>
                <w:color w:val="auto"/>
              </w:rPr>
              <w:t xml:space="preserve"> </w:t>
            </w:r>
            <w:r w:rsidR="23F83131" w:rsidRPr="00B129CF">
              <w:rPr>
                <w:rFonts w:eastAsia="Calibri Light"/>
                <w:color w:val="auto"/>
              </w:rPr>
              <w:t>cent increase in Couple</w:t>
            </w:r>
            <w:r w:rsidR="144A6BCC" w:rsidRPr="00B129CF">
              <w:rPr>
                <w:rFonts w:eastAsia="Calibri Light"/>
                <w:color w:val="auto"/>
              </w:rPr>
              <w:t xml:space="preserve"> </w:t>
            </w:r>
            <w:r w:rsidR="23F83131" w:rsidRPr="00B129CF">
              <w:rPr>
                <w:rFonts w:eastAsia="Calibri Light"/>
                <w:color w:val="auto"/>
              </w:rPr>
              <w:t>Years of Protection over pre-COVID-19 baseline)</w:t>
            </w:r>
          </w:p>
        </w:tc>
        <w:tc>
          <w:tcPr>
            <w:tcW w:w="6520" w:type="dxa"/>
          </w:tcPr>
          <w:p w14:paraId="7023161F" w14:textId="2A357093" w:rsidR="00D02686" w:rsidRPr="00B129CF" w:rsidRDefault="00313F22" w:rsidP="3DCFBD5D">
            <w:pPr>
              <w:spacing w:after="120" w:line="240" w:lineRule="auto"/>
              <w:rPr>
                <w:rFonts w:eastAsia="Calibri Light"/>
                <w:color w:val="auto"/>
              </w:rPr>
            </w:pPr>
            <w:r w:rsidRPr="00B129CF">
              <w:rPr>
                <w:rFonts w:eastAsia="Calibri Light"/>
                <w:color w:val="auto"/>
              </w:rPr>
              <w:t xml:space="preserve">Supported </w:t>
            </w:r>
            <w:r w:rsidR="00076DAA" w:rsidRPr="00B129CF">
              <w:rPr>
                <w:rFonts w:eastAsia="Calibri Light"/>
                <w:color w:val="auto"/>
              </w:rPr>
              <w:t xml:space="preserve">10,578 </w:t>
            </w:r>
            <w:proofErr w:type="gramStart"/>
            <w:r w:rsidR="00A90FF5" w:rsidRPr="00B129CF">
              <w:rPr>
                <w:rFonts w:eastAsia="Calibri Light"/>
                <w:color w:val="auto"/>
              </w:rPr>
              <w:t>C</w:t>
            </w:r>
            <w:r w:rsidR="00076DAA" w:rsidRPr="00B129CF">
              <w:rPr>
                <w:rFonts w:eastAsia="Calibri Light"/>
                <w:color w:val="auto"/>
              </w:rPr>
              <w:t>ouple</w:t>
            </w:r>
            <w:proofErr w:type="gramEnd"/>
            <w:r w:rsidR="3B41602C" w:rsidRPr="00B129CF">
              <w:rPr>
                <w:rFonts w:eastAsia="Calibri Light"/>
                <w:color w:val="auto"/>
              </w:rPr>
              <w:t xml:space="preserve"> </w:t>
            </w:r>
            <w:r w:rsidR="00A90FF5" w:rsidRPr="00B129CF">
              <w:rPr>
                <w:rFonts w:eastAsia="Calibri Light"/>
                <w:color w:val="auto"/>
              </w:rPr>
              <w:t>Y</w:t>
            </w:r>
            <w:r w:rsidR="00076DAA" w:rsidRPr="00B129CF">
              <w:rPr>
                <w:rFonts w:eastAsia="Calibri Light"/>
                <w:color w:val="auto"/>
              </w:rPr>
              <w:t xml:space="preserve">ears </w:t>
            </w:r>
            <w:r w:rsidR="00A90FF5" w:rsidRPr="00B129CF">
              <w:rPr>
                <w:rFonts w:eastAsia="Calibri Light"/>
                <w:color w:val="auto"/>
              </w:rPr>
              <w:t>of P</w:t>
            </w:r>
            <w:r w:rsidR="00076DAA" w:rsidRPr="00B129CF">
              <w:rPr>
                <w:rFonts w:eastAsia="Calibri Light"/>
                <w:color w:val="auto"/>
              </w:rPr>
              <w:t>rotection</w:t>
            </w:r>
            <w:r w:rsidRPr="00B129CF">
              <w:rPr>
                <w:rStyle w:val="FootnoteReference"/>
                <w:rFonts w:eastAsia="Calibri Light"/>
                <w:color w:val="auto"/>
              </w:rPr>
              <w:footnoteReference w:id="4"/>
            </w:r>
            <w:r w:rsidR="00751704" w:rsidRPr="00B129CF">
              <w:rPr>
                <w:rFonts w:eastAsia="Calibri Light"/>
                <w:color w:val="auto"/>
              </w:rPr>
              <w:t xml:space="preserve">, a </w:t>
            </w:r>
            <w:r w:rsidR="00EA255B" w:rsidRPr="00B129CF">
              <w:rPr>
                <w:rFonts w:eastAsia="Calibri Light"/>
                <w:color w:val="auto"/>
              </w:rPr>
              <w:t>76</w:t>
            </w:r>
            <w:r w:rsidR="00F84CAB" w:rsidRPr="00B129CF">
              <w:rPr>
                <w:rFonts w:eastAsia="Calibri Light"/>
                <w:color w:val="auto"/>
              </w:rPr>
              <w:t xml:space="preserve"> per cent</w:t>
            </w:r>
            <w:r w:rsidR="00BB502C" w:rsidRPr="00B129CF">
              <w:rPr>
                <w:rFonts w:eastAsia="Calibri Light"/>
                <w:color w:val="auto"/>
              </w:rPr>
              <w:t xml:space="preserve"> increase</w:t>
            </w:r>
            <w:r w:rsidR="00EA255B" w:rsidRPr="00B129CF">
              <w:rPr>
                <w:rFonts w:eastAsia="Calibri Light"/>
                <w:color w:val="auto"/>
              </w:rPr>
              <w:t xml:space="preserve"> </w:t>
            </w:r>
            <w:r w:rsidR="008E45DF" w:rsidRPr="00B129CF">
              <w:rPr>
                <w:rFonts w:eastAsia="Calibri Light"/>
                <w:color w:val="auto"/>
              </w:rPr>
              <w:t>over pre-COVID</w:t>
            </w:r>
            <w:r w:rsidR="009876F7" w:rsidRPr="00B129CF">
              <w:rPr>
                <w:rFonts w:eastAsia="Calibri Light"/>
                <w:color w:val="auto"/>
              </w:rPr>
              <w:t>-19</w:t>
            </w:r>
            <w:r w:rsidR="008E45DF" w:rsidRPr="00B129CF">
              <w:rPr>
                <w:rFonts w:eastAsia="Calibri Light"/>
                <w:color w:val="auto"/>
              </w:rPr>
              <w:t xml:space="preserve"> baseline.</w:t>
            </w:r>
          </w:p>
          <w:p w14:paraId="2F8D9F98" w14:textId="24FD2FAE" w:rsidR="00BA27FF" w:rsidRPr="00B129CF" w:rsidRDefault="00BA27FF" w:rsidP="00086931">
            <w:pPr>
              <w:spacing w:after="120" w:line="240" w:lineRule="auto"/>
              <w:rPr>
                <w:rFonts w:eastAsia="Calibri Light" w:cstheme="minorHAnsi"/>
                <w:color w:val="auto"/>
              </w:rPr>
            </w:pPr>
          </w:p>
        </w:tc>
      </w:tr>
    </w:tbl>
    <w:p w14:paraId="1AB9CF1C" w14:textId="77777777" w:rsidR="00086931" w:rsidRPr="00B129CF" w:rsidRDefault="00086931" w:rsidP="00086931">
      <w:pPr>
        <w:spacing w:after="120" w:line="240" w:lineRule="auto"/>
        <w:rPr>
          <w:rFonts w:cstheme="minorHAnsi"/>
          <w:b/>
          <w:bCs/>
          <w:color w:val="auto"/>
          <w:sz w:val="26"/>
          <w:szCs w:val="26"/>
        </w:rPr>
      </w:pPr>
    </w:p>
    <w:p w14:paraId="1A1CE3C4" w14:textId="1DECA670" w:rsidR="00C46281" w:rsidRPr="00B129CF" w:rsidRDefault="2C1AD208" w:rsidP="002A7561">
      <w:pPr>
        <w:pStyle w:val="Heading3"/>
      </w:pPr>
      <w:r w:rsidRPr="00B129CF">
        <w:t>Stability</w:t>
      </w:r>
    </w:p>
    <w:tbl>
      <w:tblPr>
        <w:tblStyle w:val="TableGrid"/>
        <w:tblW w:w="0" w:type="auto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CellMar>
          <w:top w:w="85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Progress against performance indicators"/>
        <w:tblDescription w:val="This table shows the progress made against key indicators for Stability "/>
      </w:tblPr>
      <w:tblGrid>
        <w:gridCol w:w="3964"/>
        <w:gridCol w:w="6521"/>
      </w:tblGrid>
      <w:tr w:rsidR="00B129CF" w:rsidRPr="00B129CF" w14:paraId="14EF210E" w14:textId="77777777" w:rsidTr="002A7561">
        <w:trPr>
          <w:cantSplit/>
          <w:tblHeader/>
        </w:trPr>
        <w:tc>
          <w:tcPr>
            <w:tcW w:w="3964" w:type="dxa"/>
            <w:shd w:val="clear" w:color="auto" w:fill="A2DCD1" w:themeFill="accent1" w:themeFillTint="99"/>
            <w:vAlign w:val="bottom"/>
          </w:tcPr>
          <w:p w14:paraId="47014330" w14:textId="7A7E2C4C" w:rsidR="00CA5021" w:rsidRPr="00B129CF" w:rsidRDefault="00A96364" w:rsidP="00086931">
            <w:pPr>
              <w:widowControl w:val="0"/>
              <w:spacing w:after="120" w:line="240" w:lineRule="auto"/>
              <w:jc w:val="center"/>
              <w:rPr>
                <w:rFonts w:cstheme="minorHAnsi"/>
                <w:color w:val="auto"/>
              </w:rPr>
            </w:pPr>
            <w:r w:rsidRPr="00B129CF">
              <w:rPr>
                <w:rFonts w:cstheme="minorHAnsi"/>
                <w:b/>
                <w:color w:val="auto"/>
              </w:rPr>
              <w:t>Key Results</w:t>
            </w:r>
            <w:r w:rsidR="00CA5021" w:rsidRPr="00B129CF">
              <w:rPr>
                <w:rFonts w:cstheme="minorHAnsi"/>
                <w:b/>
                <w:color w:val="auto"/>
              </w:rPr>
              <w:t xml:space="preserve"> Indicator</w:t>
            </w:r>
            <w:r w:rsidRPr="00B129CF">
              <w:rPr>
                <w:rFonts w:cstheme="minorHAnsi"/>
                <w:b/>
                <w:color w:val="auto"/>
              </w:rPr>
              <w:t>s</w:t>
            </w:r>
          </w:p>
        </w:tc>
        <w:tc>
          <w:tcPr>
            <w:tcW w:w="6521" w:type="dxa"/>
            <w:shd w:val="clear" w:color="auto" w:fill="A2DCD1" w:themeFill="accent1" w:themeFillTint="99"/>
            <w:vAlign w:val="bottom"/>
          </w:tcPr>
          <w:p w14:paraId="167B5817" w14:textId="6DB7E03D" w:rsidR="00CA5021" w:rsidRPr="00B129CF" w:rsidRDefault="00AD19F7" w:rsidP="00086931">
            <w:pPr>
              <w:widowControl w:val="0"/>
              <w:spacing w:after="120" w:line="240" w:lineRule="auto"/>
              <w:jc w:val="center"/>
              <w:rPr>
                <w:rFonts w:cstheme="minorHAnsi"/>
                <w:color w:val="auto"/>
              </w:rPr>
            </w:pPr>
            <w:r w:rsidRPr="00B129CF">
              <w:rPr>
                <w:rFonts w:cstheme="minorHAnsi"/>
                <w:b/>
                <w:color w:val="auto"/>
              </w:rPr>
              <w:t>Progress/Result</w:t>
            </w:r>
          </w:p>
        </w:tc>
      </w:tr>
      <w:tr w:rsidR="00B129CF" w:rsidRPr="00B129CF" w14:paraId="593A8551" w14:textId="77777777" w:rsidTr="07465460">
        <w:trPr>
          <w:cantSplit/>
        </w:trPr>
        <w:tc>
          <w:tcPr>
            <w:tcW w:w="3964" w:type="dxa"/>
          </w:tcPr>
          <w:p w14:paraId="2AA59D1C" w14:textId="5A05E2D9" w:rsidR="0033514B" w:rsidRPr="00B129CF" w:rsidRDefault="0033514B" w:rsidP="00086931">
            <w:pPr>
              <w:spacing w:after="120" w:line="240" w:lineRule="auto"/>
              <w:rPr>
                <w:rFonts w:eastAsia="Calibri Light" w:cstheme="minorHAnsi"/>
                <w:color w:val="auto"/>
              </w:rPr>
            </w:pPr>
            <w:r w:rsidRPr="00B129CF">
              <w:rPr>
                <w:rFonts w:eastAsia="Calibri Light" w:cstheme="minorHAnsi"/>
                <w:color w:val="auto"/>
              </w:rPr>
              <w:t>Number (and nature) of instances of improved social protection-related policies and/or measures (</w:t>
            </w:r>
            <w:r w:rsidRPr="00854C81">
              <w:rPr>
                <w:rFonts w:eastAsia="Calibri Light" w:cstheme="minorHAnsi"/>
                <w:color w:val="auto"/>
              </w:rPr>
              <w:t>Target:</w:t>
            </w:r>
            <w:r w:rsidRPr="00B129CF">
              <w:rPr>
                <w:rFonts w:eastAsia="Calibri Light" w:cstheme="minorHAnsi"/>
                <w:color w:val="auto"/>
              </w:rPr>
              <w:t xml:space="preserve"> </w:t>
            </w:r>
            <w:r w:rsidR="00CF4FCD" w:rsidRPr="00B129CF">
              <w:rPr>
                <w:rFonts w:eastAsia="Calibri Light" w:cstheme="minorHAnsi"/>
                <w:color w:val="auto"/>
              </w:rPr>
              <w:t>one</w:t>
            </w:r>
            <w:r w:rsidRPr="00B129CF">
              <w:rPr>
                <w:rFonts w:eastAsia="Calibri Light" w:cstheme="minorHAnsi"/>
                <w:color w:val="auto"/>
              </w:rPr>
              <w:t xml:space="preserve"> significant instance of change)</w:t>
            </w:r>
          </w:p>
        </w:tc>
        <w:tc>
          <w:tcPr>
            <w:tcW w:w="6521" w:type="dxa"/>
          </w:tcPr>
          <w:p w14:paraId="2E8902BB" w14:textId="2B54EFDC" w:rsidR="0033514B" w:rsidRPr="00B129CF" w:rsidRDefault="0033514B" w:rsidP="07465460">
            <w:pPr>
              <w:pStyle w:val="ListParagraph"/>
              <w:numPr>
                <w:ilvl w:val="0"/>
                <w:numId w:val="37"/>
              </w:numPr>
              <w:spacing w:after="120" w:line="240" w:lineRule="auto"/>
              <w:ind w:left="0" w:hanging="224"/>
              <w:rPr>
                <w:color w:val="auto"/>
              </w:rPr>
            </w:pPr>
            <w:r w:rsidRPr="07465460">
              <w:rPr>
                <w:rFonts w:eastAsia="Calibri Light"/>
                <w:color w:val="auto"/>
              </w:rPr>
              <w:t xml:space="preserve">Social Protection Policy adopted by </w:t>
            </w:r>
            <w:r w:rsidR="00CF4FCD" w:rsidRPr="07465460">
              <w:rPr>
                <w:rFonts w:eastAsia="Calibri Light"/>
                <w:color w:val="auto"/>
              </w:rPr>
              <w:t xml:space="preserve">the </w:t>
            </w:r>
            <w:r w:rsidR="00F84CAB" w:rsidRPr="07465460">
              <w:rPr>
                <w:rFonts w:eastAsia="Calibri Light"/>
                <w:color w:val="auto"/>
              </w:rPr>
              <w:t>G</w:t>
            </w:r>
            <w:r w:rsidRPr="07465460">
              <w:rPr>
                <w:rFonts w:eastAsia="Calibri Light"/>
                <w:color w:val="auto"/>
              </w:rPr>
              <w:t>overnment</w:t>
            </w:r>
            <w:r w:rsidR="00F84CAB" w:rsidRPr="07465460">
              <w:rPr>
                <w:rFonts w:eastAsia="Calibri Light"/>
                <w:color w:val="auto"/>
              </w:rPr>
              <w:t xml:space="preserve"> of Samoa</w:t>
            </w:r>
            <w:r w:rsidR="00372AD6" w:rsidRPr="07465460">
              <w:rPr>
                <w:rFonts w:eastAsia="Calibri Light"/>
                <w:color w:val="auto"/>
              </w:rPr>
              <w:t xml:space="preserve"> </w:t>
            </w:r>
            <w:r w:rsidR="00C2458B">
              <w:rPr>
                <w:rFonts w:eastAsia="Calibri Light"/>
                <w:color w:val="auto"/>
              </w:rPr>
              <w:t>(</w:t>
            </w:r>
            <w:proofErr w:type="spellStart"/>
            <w:r w:rsidR="00C2458B">
              <w:rPr>
                <w:rFonts w:eastAsia="Calibri Light"/>
                <w:color w:val="auto"/>
              </w:rPr>
              <w:t>GoS</w:t>
            </w:r>
            <w:proofErr w:type="spellEnd"/>
            <w:r w:rsidR="00C2458B">
              <w:rPr>
                <w:rFonts w:eastAsia="Calibri Light"/>
                <w:color w:val="auto"/>
              </w:rPr>
              <w:t xml:space="preserve">) </w:t>
            </w:r>
            <w:r w:rsidR="00372AD6" w:rsidRPr="07465460">
              <w:rPr>
                <w:rFonts w:eastAsia="Calibri Light"/>
                <w:color w:val="auto"/>
              </w:rPr>
              <w:t xml:space="preserve">and funded in Samoa’s </w:t>
            </w:r>
            <w:r w:rsidR="00782335" w:rsidRPr="07465460">
              <w:rPr>
                <w:rFonts w:eastAsia="Calibri Light"/>
                <w:color w:val="auto"/>
              </w:rPr>
              <w:t xml:space="preserve">supplementary </w:t>
            </w:r>
            <w:r w:rsidR="00372AD6" w:rsidRPr="07465460">
              <w:rPr>
                <w:rFonts w:eastAsia="Calibri Light"/>
                <w:color w:val="auto"/>
              </w:rPr>
              <w:t>budget, enabled by</w:t>
            </w:r>
            <w:bookmarkStart w:id="1" w:name="_Hlk142292899"/>
            <w:r w:rsidRPr="07465460">
              <w:rPr>
                <w:rFonts w:eastAsia="Calibri Light"/>
                <w:color w:val="auto"/>
              </w:rPr>
              <w:t xml:space="preserve"> technical assistance and budget support </w:t>
            </w:r>
            <w:r w:rsidR="00784AE6" w:rsidRPr="07465460">
              <w:rPr>
                <w:rFonts w:eastAsia="Calibri Light"/>
                <w:color w:val="auto"/>
              </w:rPr>
              <w:t xml:space="preserve">from </w:t>
            </w:r>
            <w:r w:rsidRPr="07465460">
              <w:rPr>
                <w:rFonts w:eastAsia="Calibri Light"/>
                <w:color w:val="auto"/>
              </w:rPr>
              <w:t>Australia and other partners</w:t>
            </w:r>
            <w:r w:rsidR="00782335" w:rsidRPr="07465460">
              <w:rPr>
                <w:rFonts w:eastAsia="Calibri Light"/>
                <w:color w:val="auto"/>
              </w:rPr>
              <w:t xml:space="preserve"> through the </w:t>
            </w:r>
            <w:r w:rsidR="00782335" w:rsidRPr="07465460">
              <w:rPr>
                <w:color w:val="auto"/>
              </w:rPr>
              <w:t>Joint Policy Action Matrix (JPAM)</w:t>
            </w:r>
            <w:r w:rsidRPr="07465460">
              <w:rPr>
                <w:rFonts w:eastAsia="Calibri Light"/>
                <w:color w:val="auto"/>
              </w:rPr>
              <w:t xml:space="preserve">. </w:t>
            </w:r>
            <w:r w:rsidR="00BB502C" w:rsidRPr="07465460">
              <w:rPr>
                <w:rFonts w:eastAsia="Calibri Light"/>
                <w:color w:val="auto"/>
              </w:rPr>
              <w:t xml:space="preserve">The </w:t>
            </w:r>
            <w:r w:rsidR="007C6D50" w:rsidRPr="07465460">
              <w:rPr>
                <w:rFonts w:eastAsia="Calibri Light"/>
                <w:color w:val="auto"/>
              </w:rPr>
              <w:t>p</w:t>
            </w:r>
            <w:r w:rsidRPr="07465460">
              <w:rPr>
                <w:rFonts w:eastAsia="Calibri Light"/>
                <w:color w:val="auto"/>
              </w:rPr>
              <w:t xml:space="preserve">olicy </w:t>
            </w:r>
            <w:r w:rsidR="007C6D50" w:rsidRPr="07465460">
              <w:rPr>
                <w:rFonts w:eastAsia="Calibri Light"/>
                <w:color w:val="auto"/>
              </w:rPr>
              <w:t xml:space="preserve">guides </w:t>
            </w:r>
            <w:r w:rsidRPr="07465460">
              <w:rPr>
                <w:rFonts w:eastAsia="Calibri Light"/>
                <w:color w:val="auto"/>
              </w:rPr>
              <w:t>S</w:t>
            </w:r>
            <w:r w:rsidR="00BB502C" w:rsidRPr="07465460">
              <w:rPr>
                <w:rFonts w:eastAsia="Calibri Light"/>
                <w:color w:val="auto"/>
              </w:rPr>
              <w:t>amoa</w:t>
            </w:r>
            <w:r w:rsidR="009876F7" w:rsidRPr="07465460">
              <w:rPr>
                <w:rFonts w:eastAsia="Calibri Light"/>
                <w:color w:val="auto"/>
              </w:rPr>
              <w:t>’s</w:t>
            </w:r>
            <w:r w:rsidRPr="07465460">
              <w:rPr>
                <w:rFonts w:eastAsia="Calibri Light"/>
                <w:color w:val="auto"/>
              </w:rPr>
              <w:t xml:space="preserve"> </w:t>
            </w:r>
            <w:r w:rsidR="007C6D50" w:rsidRPr="07465460">
              <w:rPr>
                <w:rFonts w:eastAsia="Calibri Light"/>
                <w:color w:val="auto"/>
              </w:rPr>
              <w:t>approach</w:t>
            </w:r>
            <w:r w:rsidR="00782335" w:rsidRPr="07465460">
              <w:rPr>
                <w:rFonts w:eastAsia="Calibri Light"/>
                <w:color w:val="auto"/>
              </w:rPr>
              <w:t xml:space="preserve"> on support</w:t>
            </w:r>
            <w:r w:rsidR="007C6D50" w:rsidRPr="07465460">
              <w:rPr>
                <w:rFonts w:eastAsia="Calibri Light"/>
                <w:color w:val="auto"/>
              </w:rPr>
              <w:t xml:space="preserve"> </w:t>
            </w:r>
            <w:r w:rsidRPr="07465460">
              <w:rPr>
                <w:rFonts w:eastAsia="Calibri Light"/>
                <w:color w:val="auto"/>
              </w:rPr>
              <w:t>measures for vulnerable groups and persons with disabilities.</w:t>
            </w:r>
            <w:r w:rsidRPr="07465460">
              <w:rPr>
                <w:color w:val="auto"/>
              </w:rPr>
              <w:t xml:space="preserve"> </w:t>
            </w:r>
            <w:bookmarkEnd w:id="1"/>
          </w:p>
        </w:tc>
      </w:tr>
      <w:tr w:rsidR="00B129CF" w:rsidRPr="00B129CF" w14:paraId="0556A95D" w14:textId="77777777" w:rsidTr="07465460">
        <w:trPr>
          <w:cantSplit/>
        </w:trPr>
        <w:tc>
          <w:tcPr>
            <w:tcW w:w="3964" w:type="dxa"/>
          </w:tcPr>
          <w:p w14:paraId="62F5276A" w14:textId="5D48F0C8" w:rsidR="0033514B" w:rsidRPr="00B129CF" w:rsidRDefault="0033514B" w:rsidP="00086931">
            <w:pPr>
              <w:spacing w:after="120" w:line="240" w:lineRule="auto"/>
              <w:rPr>
                <w:rFonts w:eastAsia="Calibri Light" w:cstheme="minorHAnsi"/>
                <w:color w:val="auto"/>
              </w:rPr>
            </w:pPr>
            <w:r w:rsidRPr="00B129CF">
              <w:rPr>
                <w:rFonts w:eastAsia="Calibri Light" w:cstheme="minorHAnsi"/>
                <w:color w:val="auto"/>
              </w:rPr>
              <w:lastRenderedPageBreak/>
              <w:t>Number of women and girl survivors receiving support services</w:t>
            </w:r>
          </w:p>
        </w:tc>
        <w:tc>
          <w:tcPr>
            <w:tcW w:w="6521" w:type="dxa"/>
          </w:tcPr>
          <w:p w14:paraId="71F5FF79" w14:textId="4F4A48B2" w:rsidR="0033514B" w:rsidRPr="00B129CF" w:rsidRDefault="0033514B" w:rsidP="00086931">
            <w:pPr>
              <w:spacing w:after="120" w:line="240" w:lineRule="auto"/>
              <w:rPr>
                <w:rFonts w:cstheme="minorHAnsi"/>
                <w:color w:val="auto"/>
              </w:rPr>
            </w:pPr>
            <w:r w:rsidRPr="00B129CF">
              <w:rPr>
                <w:rFonts w:cstheme="minorHAnsi"/>
                <w:color w:val="auto"/>
              </w:rPr>
              <w:t>1,598 women and girls</w:t>
            </w:r>
            <w:r w:rsidR="00784AE6" w:rsidRPr="00B129CF">
              <w:rPr>
                <w:rFonts w:cstheme="minorHAnsi"/>
                <w:color w:val="auto"/>
              </w:rPr>
              <w:t>,</w:t>
            </w:r>
            <w:r w:rsidRPr="00B129CF">
              <w:rPr>
                <w:rFonts w:cstheme="minorHAnsi"/>
                <w:color w:val="auto"/>
              </w:rPr>
              <w:t xml:space="preserve"> including persons with disabilities</w:t>
            </w:r>
            <w:r w:rsidR="00784AE6" w:rsidRPr="00B129CF">
              <w:rPr>
                <w:rFonts w:cstheme="minorHAnsi"/>
                <w:color w:val="auto"/>
              </w:rPr>
              <w:t>,</w:t>
            </w:r>
            <w:r w:rsidRPr="00B129CF">
              <w:rPr>
                <w:rFonts w:cstheme="minorHAnsi"/>
                <w:color w:val="auto"/>
              </w:rPr>
              <w:t xml:space="preserve"> received </w:t>
            </w:r>
            <w:r w:rsidR="00784AE6" w:rsidRPr="00B129CF">
              <w:rPr>
                <w:rFonts w:cstheme="minorHAnsi"/>
                <w:color w:val="auto"/>
              </w:rPr>
              <w:t xml:space="preserve">Helpline </w:t>
            </w:r>
            <w:r w:rsidRPr="00B129CF">
              <w:rPr>
                <w:rFonts w:cstheme="minorHAnsi"/>
                <w:color w:val="auto"/>
              </w:rPr>
              <w:t xml:space="preserve">assistance and 54 through Sakura House women’s refuge centre. </w:t>
            </w:r>
          </w:p>
        </w:tc>
      </w:tr>
      <w:tr w:rsidR="00B129CF" w:rsidRPr="00B129CF" w14:paraId="5DF0BAD4" w14:textId="77777777" w:rsidTr="07465460">
        <w:trPr>
          <w:cantSplit/>
        </w:trPr>
        <w:tc>
          <w:tcPr>
            <w:tcW w:w="3964" w:type="dxa"/>
          </w:tcPr>
          <w:p w14:paraId="11EEA351" w14:textId="77777777" w:rsidR="00FD4958" w:rsidRDefault="0033514B" w:rsidP="00086931">
            <w:pPr>
              <w:spacing w:after="120" w:line="240" w:lineRule="auto"/>
              <w:rPr>
                <w:rFonts w:eastAsia="Calibri Light" w:cstheme="minorHAnsi"/>
                <w:color w:val="auto"/>
              </w:rPr>
            </w:pPr>
            <w:r w:rsidRPr="00B129CF">
              <w:rPr>
                <w:rFonts w:eastAsia="Calibri Light" w:cstheme="minorHAnsi"/>
                <w:color w:val="auto"/>
              </w:rPr>
              <w:t xml:space="preserve">Number (and nature) of instances of improved policies and/or measures that seek to combat gender-based violence </w:t>
            </w:r>
            <w:r w:rsidR="00FD4837">
              <w:rPr>
                <w:rFonts w:eastAsia="Calibri Light" w:cstheme="minorHAnsi"/>
                <w:color w:val="auto"/>
              </w:rPr>
              <w:t>(GBV)</w:t>
            </w:r>
          </w:p>
          <w:p w14:paraId="476782F7" w14:textId="6310ADF6" w:rsidR="0033514B" w:rsidRPr="00B129CF" w:rsidRDefault="00FD4837" w:rsidP="00086931">
            <w:pPr>
              <w:spacing w:after="120" w:line="240" w:lineRule="auto"/>
              <w:rPr>
                <w:rFonts w:eastAsia="Calibri Light" w:cstheme="minorHAnsi"/>
                <w:color w:val="auto"/>
              </w:rPr>
            </w:pPr>
            <w:r>
              <w:rPr>
                <w:rFonts w:eastAsia="Calibri Light" w:cstheme="minorHAnsi"/>
                <w:color w:val="auto"/>
              </w:rPr>
              <w:t xml:space="preserve"> </w:t>
            </w:r>
            <w:r w:rsidR="0033514B" w:rsidRPr="00B129CF">
              <w:rPr>
                <w:rFonts w:eastAsia="Calibri Light" w:cstheme="minorHAnsi"/>
                <w:color w:val="auto"/>
              </w:rPr>
              <w:t>(</w:t>
            </w:r>
            <w:r w:rsidR="0033514B" w:rsidRPr="00320541">
              <w:rPr>
                <w:rFonts w:eastAsia="Calibri Light" w:cstheme="minorHAnsi"/>
                <w:color w:val="auto"/>
              </w:rPr>
              <w:t>Target:</w:t>
            </w:r>
            <w:r w:rsidR="0033514B" w:rsidRPr="00B129CF">
              <w:rPr>
                <w:rFonts w:eastAsia="Calibri Light" w:cstheme="minorHAnsi"/>
                <w:color w:val="auto"/>
              </w:rPr>
              <w:t xml:space="preserve"> </w:t>
            </w:r>
            <w:r w:rsidR="00CF4FCD" w:rsidRPr="00B129CF">
              <w:rPr>
                <w:rFonts w:eastAsia="Calibri Light" w:cstheme="minorHAnsi"/>
                <w:color w:val="auto"/>
              </w:rPr>
              <w:t>two</w:t>
            </w:r>
            <w:r w:rsidR="0033514B" w:rsidRPr="00B129CF">
              <w:rPr>
                <w:rFonts w:eastAsia="Calibri Light" w:cstheme="minorHAnsi"/>
                <w:color w:val="auto"/>
              </w:rPr>
              <w:t xml:space="preserve"> significant instances of change)</w:t>
            </w:r>
          </w:p>
        </w:tc>
        <w:tc>
          <w:tcPr>
            <w:tcW w:w="6521" w:type="dxa"/>
          </w:tcPr>
          <w:p w14:paraId="4C658BBA" w14:textId="3BD2C9A0" w:rsidR="00782335" w:rsidRPr="00B129CF" w:rsidRDefault="003304BD" w:rsidP="00086931">
            <w:pPr>
              <w:pStyle w:val="ListParagraph"/>
              <w:numPr>
                <w:ilvl w:val="0"/>
                <w:numId w:val="39"/>
              </w:numPr>
              <w:spacing w:after="120" w:line="240" w:lineRule="auto"/>
              <w:ind w:left="0" w:hanging="212"/>
              <w:contextualSpacing w:val="0"/>
              <w:rPr>
                <w:rFonts w:eastAsia="Calibri Light" w:cstheme="minorHAnsi"/>
                <w:color w:val="auto"/>
              </w:rPr>
            </w:pPr>
            <w:r w:rsidRPr="00B129CF">
              <w:rPr>
                <w:rFonts w:eastAsia="Calibri Light" w:cstheme="minorHAnsi"/>
                <w:color w:val="auto"/>
              </w:rPr>
              <w:t xml:space="preserve">Supported drafting of a National Prevention Framework for </w:t>
            </w:r>
            <w:r w:rsidR="00372AD6" w:rsidRPr="00B129CF">
              <w:rPr>
                <w:rFonts w:eastAsia="Calibri Light" w:cstheme="minorHAnsi"/>
                <w:color w:val="auto"/>
              </w:rPr>
              <w:t>GBV</w:t>
            </w:r>
            <w:r w:rsidR="002E1D03">
              <w:rPr>
                <w:rFonts w:eastAsia="Calibri Light" w:cstheme="minorHAnsi"/>
                <w:color w:val="auto"/>
              </w:rPr>
              <w:t xml:space="preserve"> </w:t>
            </w:r>
            <w:r w:rsidRPr="00B129CF">
              <w:rPr>
                <w:rFonts w:eastAsia="Calibri Light" w:cstheme="minorHAnsi"/>
                <w:color w:val="auto"/>
              </w:rPr>
              <w:t xml:space="preserve">through the Pacific Partnership on Ending Violence Against Women and Girls. </w:t>
            </w:r>
          </w:p>
          <w:p w14:paraId="69182282" w14:textId="7B154F62" w:rsidR="0033514B" w:rsidRPr="00B129CF" w:rsidRDefault="00372AD6" w:rsidP="00086931">
            <w:pPr>
              <w:pStyle w:val="ListParagraph"/>
              <w:numPr>
                <w:ilvl w:val="0"/>
                <w:numId w:val="39"/>
              </w:numPr>
              <w:spacing w:after="120" w:line="240" w:lineRule="auto"/>
              <w:ind w:left="0" w:hanging="212"/>
              <w:contextualSpacing w:val="0"/>
              <w:rPr>
                <w:rFonts w:eastAsia="Calibri Light" w:cstheme="minorHAnsi"/>
                <w:color w:val="auto"/>
              </w:rPr>
            </w:pPr>
            <w:r w:rsidRPr="00B129CF">
              <w:rPr>
                <w:rFonts w:cstheme="minorHAnsi"/>
                <w:color w:val="auto"/>
              </w:rPr>
              <w:t xml:space="preserve">Separately, </w:t>
            </w:r>
            <w:r w:rsidR="0033514B" w:rsidRPr="00B129CF">
              <w:rPr>
                <w:rFonts w:cstheme="minorHAnsi"/>
                <w:color w:val="auto"/>
              </w:rPr>
              <w:t xml:space="preserve">Get </w:t>
            </w:r>
            <w:r w:rsidR="0065349D" w:rsidRPr="00B129CF">
              <w:rPr>
                <w:rFonts w:cstheme="minorHAnsi"/>
                <w:color w:val="auto"/>
              </w:rPr>
              <w:t>into</w:t>
            </w:r>
            <w:r w:rsidR="0033514B" w:rsidRPr="00B129CF">
              <w:rPr>
                <w:rFonts w:cstheme="minorHAnsi"/>
                <w:color w:val="auto"/>
              </w:rPr>
              <w:t xml:space="preserve"> Rugby Plus (GIR+) </w:t>
            </w:r>
            <w:r w:rsidR="009B4A98" w:rsidRPr="00B129CF">
              <w:rPr>
                <w:rFonts w:cstheme="minorHAnsi"/>
                <w:color w:val="auto"/>
              </w:rPr>
              <w:t xml:space="preserve">expanded to </w:t>
            </w:r>
            <w:r w:rsidR="0033514B" w:rsidRPr="00B129CF">
              <w:rPr>
                <w:rFonts w:cstheme="minorHAnsi"/>
                <w:color w:val="auto"/>
              </w:rPr>
              <w:t xml:space="preserve">a second location </w:t>
            </w:r>
            <w:r w:rsidR="009B4A98" w:rsidRPr="00B129CF">
              <w:rPr>
                <w:rFonts w:cstheme="minorHAnsi"/>
                <w:color w:val="auto"/>
              </w:rPr>
              <w:t>in</w:t>
            </w:r>
            <w:r w:rsidR="0033514B" w:rsidRPr="00B129CF">
              <w:rPr>
                <w:rFonts w:cstheme="minorHAnsi"/>
                <w:color w:val="auto"/>
              </w:rPr>
              <w:t xml:space="preserve"> Savai</w:t>
            </w:r>
            <w:r w:rsidR="009876F7" w:rsidRPr="00B129CF">
              <w:rPr>
                <w:rFonts w:cstheme="minorHAnsi"/>
                <w:color w:val="auto"/>
              </w:rPr>
              <w:t>’</w:t>
            </w:r>
            <w:r w:rsidR="0033514B" w:rsidRPr="00B129CF">
              <w:rPr>
                <w:rFonts w:cstheme="minorHAnsi"/>
                <w:color w:val="auto"/>
              </w:rPr>
              <w:t xml:space="preserve">i </w:t>
            </w:r>
            <w:r w:rsidR="00784AE6" w:rsidRPr="00B129CF">
              <w:rPr>
                <w:rFonts w:cstheme="minorHAnsi"/>
                <w:color w:val="auto"/>
              </w:rPr>
              <w:t>enabl</w:t>
            </w:r>
            <w:r w:rsidR="009B4A98" w:rsidRPr="00B129CF">
              <w:rPr>
                <w:rFonts w:cstheme="minorHAnsi"/>
                <w:color w:val="auto"/>
              </w:rPr>
              <w:t>ing</w:t>
            </w:r>
            <w:r w:rsidR="00784AE6" w:rsidRPr="00B129CF">
              <w:rPr>
                <w:rFonts w:cstheme="minorHAnsi"/>
                <w:color w:val="auto"/>
              </w:rPr>
              <w:t xml:space="preserve"> </w:t>
            </w:r>
            <w:proofErr w:type="spellStart"/>
            <w:r w:rsidR="00CD6B72" w:rsidRPr="00B129CF">
              <w:rPr>
                <w:rFonts w:cstheme="minorHAnsi"/>
                <w:color w:val="auto"/>
              </w:rPr>
              <w:t>Lakapi</w:t>
            </w:r>
            <w:proofErr w:type="spellEnd"/>
            <w:r w:rsidR="00CD6B72" w:rsidRPr="00B129CF">
              <w:rPr>
                <w:rFonts w:cstheme="minorHAnsi"/>
                <w:color w:val="auto"/>
              </w:rPr>
              <w:t xml:space="preserve"> Samoa and the Ministry of Women, Community and Social Development </w:t>
            </w:r>
            <w:r w:rsidR="00BB502C" w:rsidRPr="00B129CF">
              <w:rPr>
                <w:rFonts w:cstheme="minorHAnsi"/>
                <w:color w:val="auto"/>
              </w:rPr>
              <w:t>to reinforce</w:t>
            </w:r>
            <w:r w:rsidR="00CD6B72" w:rsidRPr="00B129CF">
              <w:rPr>
                <w:rFonts w:cstheme="minorHAnsi"/>
                <w:color w:val="auto"/>
              </w:rPr>
              <w:t xml:space="preserve"> </w:t>
            </w:r>
            <w:r w:rsidR="0033514B" w:rsidRPr="00B129CF">
              <w:rPr>
                <w:rFonts w:cstheme="minorHAnsi"/>
                <w:color w:val="auto"/>
              </w:rPr>
              <w:t xml:space="preserve">efforts </w:t>
            </w:r>
            <w:r w:rsidR="00BB502C" w:rsidRPr="00B129CF">
              <w:rPr>
                <w:rFonts w:cstheme="minorHAnsi"/>
                <w:color w:val="auto"/>
              </w:rPr>
              <w:t>to</w:t>
            </w:r>
            <w:r w:rsidR="0033514B" w:rsidRPr="00B129CF">
              <w:rPr>
                <w:rFonts w:cstheme="minorHAnsi"/>
                <w:color w:val="auto"/>
              </w:rPr>
              <w:t xml:space="preserve"> prevent </w:t>
            </w:r>
            <w:r w:rsidRPr="00B129CF">
              <w:rPr>
                <w:rFonts w:cstheme="minorHAnsi"/>
                <w:color w:val="auto"/>
              </w:rPr>
              <w:t>GBV</w:t>
            </w:r>
            <w:r w:rsidR="0033514B" w:rsidRPr="00B129CF">
              <w:rPr>
                <w:rFonts w:cstheme="minorHAnsi"/>
                <w:color w:val="auto"/>
              </w:rPr>
              <w:t xml:space="preserve">. </w:t>
            </w:r>
            <w:r w:rsidR="00CD6B72" w:rsidRPr="00B129CF">
              <w:rPr>
                <w:rFonts w:cstheme="minorHAnsi"/>
                <w:color w:val="auto"/>
              </w:rPr>
              <w:t xml:space="preserve">GIR+ </w:t>
            </w:r>
            <w:r w:rsidR="009B4A98" w:rsidRPr="00B129CF">
              <w:rPr>
                <w:rFonts w:cstheme="minorHAnsi"/>
                <w:color w:val="auto"/>
              </w:rPr>
              <w:t>builds</w:t>
            </w:r>
            <w:r w:rsidR="00CD6B72" w:rsidRPr="00B129CF">
              <w:rPr>
                <w:rFonts w:cstheme="minorHAnsi"/>
                <w:color w:val="auto"/>
              </w:rPr>
              <w:t xml:space="preserve"> life skills </w:t>
            </w:r>
            <w:r w:rsidR="009B4A98" w:rsidRPr="00B129CF">
              <w:rPr>
                <w:rFonts w:cstheme="minorHAnsi"/>
                <w:color w:val="auto"/>
              </w:rPr>
              <w:t xml:space="preserve">through </w:t>
            </w:r>
            <w:r w:rsidR="00CD6B72" w:rsidRPr="00B129CF">
              <w:rPr>
                <w:rFonts w:cstheme="minorHAnsi"/>
                <w:color w:val="auto"/>
              </w:rPr>
              <w:t xml:space="preserve">rugby </w:t>
            </w:r>
            <w:r w:rsidR="00BB502C" w:rsidRPr="00B129CF">
              <w:rPr>
                <w:rFonts w:cstheme="minorHAnsi"/>
                <w:color w:val="auto"/>
              </w:rPr>
              <w:t>to</w:t>
            </w:r>
            <w:r w:rsidR="00CD6B72" w:rsidRPr="00B129CF">
              <w:rPr>
                <w:rFonts w:cstheme="minorHAnsi"/>
                <w:color w:val="auto"/>
              </w:rPr>
              <w:t xml:space="preserve"> challenge gendered norms </w:t>
            </w:r>
            <w:r w:rsidR="009B4A98" w:rsidRPr="00B129CF">
              <w:rPr>
                <w:rFonts w:cstheme="minorHAnsi"/>
                <w:color w:val="auto"/>
              </w:rPr>
              <w:t>in sport and within</w:t>
            </w:r>
            <w:r w:rsidR="00CD6B72" w:rsidRPr="00B129CF">
              <w:rPr>
                <w:rFonts w:cstheme="minorHAnsi"/>
                <w:color w:val="auto"/>
              </w:rPr>
              <w:t xml:space="preserve"> families and communities. </w:t>
            </w:r>
          </w:p>
        </w:tc>
      </w:tr>
      <w:tr w:rsidR="00B129CF" w:rsidRPr="00B129CF" w14:paraId="7E704FEB" w14:textId="77777777" w:rsidTr="07465460">
        <w:trPr>
          <w:cantSplit/>
        </w:trPr>
        <w:tc>
          <w:tcPr>
            <w:tcW w:w="3964" w:type="dxa"/>
          </w:tcPr>
          <w:p w14:paraId="1CC2F0CD" w14:textId="56780286" w:rsidR="0033514B" w:rsidRPr="00B129CF" w:rsidRDefault="0033514B" w:rsidP="00086931">
            <w:pPr>
              <w:spacing w:after="120" w:line="240" w:lineRule="auto"/>
              <w:rPr>
                <w:rFonts w:eastAsia="Calibri Light" w:cstheme="minorHAnsi"/>
                <w:color w:val="auto"/>
              </w:rPr>
            </w:pPr>
            <w:r w:rsidRPr="00B129CF">
              <w:rPr>
                <w:rFonts w:eastAsia="Calibri Light" w:cstheme="minorHAnsi"/>
                <w:color w:val="auto"/>
              </w:rPr>
              <w:t>Percentage of Year 4 and Year 6 students meeting a minimum Level 3 for Literacy and Numeracy (</w:t>
            </w:r>
            <w:r w:rsidRPr="00320541">
              <w:rPr>
                <w:rFonts w:eastAsia="Calibri Light" w:cstheme="minorHAnsi"/>
                <w:color w:val="auto"/>
              </w:rPr>
              <w:t>Target:</w:t>
            </w:r>
            <w:r w:rsidRPr="00B129CF">
              <w:rPr>
                <w:rFonts w:eastAsia="Calibri Light" w:cstheme="minorHAnsi"/>
                <w:color w:val="auto"/>
              </w:rPr>
              <w:t xml:space="preserve"> </w:t>
            </w:r>
            <w:r w:rsidR="00CF4FCD" w:rsidRPr="00B129CF">
              <w:rPr>
                <w:rFonts w:eastAsia="Calibri Light" w:cstheme="minorHAnsi"/>
                <w:color w:val="auto"/>
              </w:rPr>
              <w:t>three</w:t>
            </w:r>
            <w:r w:rsidRPr="00B129CF">
              <w:rPr>
                <w:rFonts w:eastAsia="Calibri Light" w:cstheme="minorHAnsi"/>
                <w:color w:val="auto"/>
              </w:rPr>
              <w:t xml:space="preserve"> per</w:t>
            </w:r>
            <w:r w:rsidR="009876F7" w:rsidRPr="00B129CF">
              <w:rPr>
                <w:rFonts w:eastAsia="Calibri Light" w:cstheme="minorHAnsi"/>
                <w:color w:val="auto"/>
              </w:rPr>
              <w:t xml:space="preserve"> </w:t>
            </w:r>
            <w:r w:rsidRPr="00B129CF">
              <w:rPr>
                <w:rFonts w:eastAsia="Calibri Light" w:cstheme="minorHAnsi"/>
                <w:color w:val="auto"/>
              </w:rPr>
              <w:t xml:space="preserve">cent increase over </w:t>
            </w:r>
            <w:r w:rsidR="00A8241C" w:rsidRPr="00B129CF">
              <w:rPr>
                <w:rFonts w:eastAsia="Calibri Light" w:cstheme="minorHAnsi"/>
                <w:color w:val="auto"/>
              </w:rPr>
              <w:t xml:space="preserve">2021-22 </w:t>
            </w:r>
            <w:r w:rsidRPr="00B129CF">
              <w:rPr>
                <w:rFonts w:eastAsia="Calibri Light" w:cstheme="minorHAnsi"/>
                <w:color w:val="auto"/>
              </w:rPr>
              <w:t>baseline)</w:t>
            </w:r>
          </w:p>
        </w:tc>
        <w:tc>
          <w:tcPr>
            <w:tcW w:w="6521" w:type="dxa"/>
          </w:tcPr>
          <w:p w14:paraId="7D9CAB9B" w14:textId="18E120AF" w:rsidR="00C46281" w:rsidRPr="00B129CF" w:rsidRDefault="00E93148" w:rsidP="00086931">
            <w:pPr>
              <w:spacing w:after="120" w:line="240" w:lineRule="auto"/>
              <w:rPr>
                <w:rFonts w:cstheme="minorHAnsi"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0FAF9CF0" wp14:editId="2B6B1264">
                  <wp:extent cx="4048125" cy="2924175"/>
                  <wp:effectExtent l="0" t="0" r="9525" b="9525"/>
                  <wp:docPr id="1" name="Picture 1" descr="The following table figures will be readout in the order of years  2021-22 (%) then 2022-23 (%) then finally Increase (%). Here are the figures:&#10;Year 4 English (boys) 5 5.1 0.1&#10;Year 4 English (girls) 11 13.7 2.7&#10;Year 4 Maths (boys) 3 6.5 3.5&#10;Year 4 Maths (girls) 4 11.4 7.4&#10;Year 6 English (boys) 9 13.2 4.2&#10;Year 6 English (girls) 21 29.4 8.4&#10;Year 6 Maths (boys) 8 9.5 1.5&#10;Year 6 Maths (girls) 11 15.6 4.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following table figures will be readout in the order of years  2021-22 (%) then 2022-23 (%) then finally Increase (%). Here are the figures:&#10;Year 4 English (boys) 5 5.1 0.1&#10;Year 4 English (girls) 11 13.7 2.7&#10;Year 4 Maths (boys) 3 6.5 3.5&#10;Year 4 Maths (girls) 4 11.4 7.4&#10;Year 6 English (boys) 9 13.2 4.2&#10;Year 6 English (girls) 21 29.4 8.4&#10;Year 6 Maths (boys) 8 9.5 1.5&#10;Year 6 Maths (girls) 11 15.6 4.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125" cy="292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9CF" w:rsidRPr="00B129CF" w14:paraId="2D9FE5C3" w14:textId="77777777" w:rsidTr="07465460">
        <w:trPr>
          <w:cantSplit/>
          <w:trHeight w:val="300"/>
        </w:trPr>
        <w:tc>
          <w:tcPr>
            <w:tcW w:w="3964" w:type="dxa"/>
          </w:tcPr>
          <w:p w14:paraId="07505657" w14:textId="0DD96939" w:rsidR="0033514B" w:rsidRPr="00B129CF" w:rsidRDefault="0033514B" w:rsidP="00086931">
            <w:pPr>
              <w:spacing w:after="120" w:line="240" w:lineRule="auto"/>
              <w:rPr>
                <w:rFonts w:eastAsia="Calibri Light" w:cstheme="minorHAnsi"/>
                <w:color w:val="auto"/>
              </w:rPr>
            </w:pPr>
            <w:r w:rsidRPr="00B129CF">
              <w:rPr>
                <w:rFonts w:eastAsia="Calibri Light" w:cstheme="minorHAnsi"/>
                <w:color w:val="auto"/>
              </w:rPr>
              <w:t>Number of students with disabilities enrolled at all levels (Target: 278)</w:t>
            </w:r>
          </w:p>
        </w:tc>
        <w:tc>
          <w:tcPr>
            <w:tcW w:w="6521" w:type="dxa"/>
          </w:tcPr>
          <w:p w14:paraId="260A0AF2" w14:textId="77777777" w:rsidR="005C0340" w:rsidRDefault="003304BD" w:rsidP="00086931">
            <w:pPr>
              <w:spacing w:after="120" w:line="240" w:lineRule="auto"/>
              <w:rPr>
                <w:rFonts w:cstheme="minorHAnsi"/>
                <w:color w:val="auto"/>
              </w:rPr>
            </w:pPr>
            <w:r w:rsidRPr="00B129CF">
              <w:rPr>
                <w:rFonts w:cstheme="minorHAnsi"/>
                <w:color w:val="auto"/>
              </w:rPr>
              <w:t xml:space="preserve">264 (109 </w:t>
            </w:r>
            <w:r w:rsidR="00BF27FA">
              <w:rPr>
                <w:rFonts w:cstheme="minorHAnsi"/>
                <w:color w:val="auto"/>
              </w:rPr>
              <w:t xml:space="preserve">men and </w:t>
            </w:r>
            <w:r w:rsidRPr="00B129CF">
              <w:rPr>
                <w:rFonts w:cstheme="minorHAnsi"/>
                <w:color w:val="auto"/>
              </w:rPr>
              <w:t xml:space="preserve">155 </w:t>
            </w:r>
            <w:r w:rsidR="00BF27FA">
              <w:rPr>
                <w:rFonts w:cstheme="minorHAnsi"/>
                <w:color w:val="auto"/>
              </w:rPr>
              <w:t>women</w:t>
            </w:r>
            <w:r w:rsidRPr="00B129CF">
              <w:rPr>
                <w:rFonts w:cstheme="minorHAnsi"/>
                <w:color w:val="auto"/>
              </w:rPr>
              <w:t>)</w:t>
            </w:r>
            <w:r w:rsidR="00372AD6" w:rsidRPr="00B129CF">
              <w:rPr>
                <w:rFonts w:cstheme="minorHAnsi"/>
                <w:color w:val="auto"/>
              </w:rPr>
              <w:t>,</w:t>
            </w:r>
            <w:r w:rsidRPr="00B129CF">
              <w:rPr>
                <w:rFonts w:cstheme="minorHAnsi"/>
                <w:color w:val="auto"/>
              </w:rPr>
              <w:t xml:space="preserve"> comprising</w:t>
            </w:r>
            <w:r w:rsidR="005C0340">
              <w:rPr>
                <w:rFonts w:cstheme="minorHAnsi"/>
                <w:color w:val="auto"/>
              </w:rPr>
              <w:t>:</w:t>
            </w:r>
          </w:p>
          <w:p w14:paraId="44262858" w14:textId="77777777" w:rsidR="005C0340" w:rsidRDefault="00C46281" w:rsidP="005C0340">
            <w:pPr>
              <w:pStyle w:val="ListParagraph"/>
              <w:numPr>
                <w:ilvl w:val="0"/>
                <w:numId w:val="53"/>
              </w:numPr>
              <w:spacing w:after="120" w:line="240" w:lineRule="auto"/>
              <w:rPr>
                <w:rFonts w:cstheme="minorHAnsi"/>
                <w:color w:val="auto"/>
              </w:rPr>
            </w:pPr>
            <w:r w:rsidRPr="005C0340">
              <w:rPr>
                <w:rFonts w:cstheme="minorHAnsi"/>
                <w:color w:val="auto"/>
              </w:rPr>
              <w:t>Primary</w:t>
            </w:r>
            <w:r w:rsidR="009876F7" w:rsidRPr="005C0340">
              <w:rPr>
                <w:rFonts w:cstheme="minorHAnsi"/>
                <w:color w:val="auto"/>
              </w:rPr>
              <w:t xml:space="preserve"> </w:t>
            </w:r>
            <w:r w:rsidRPr="005C0340">
              <w:rPr>
                <w:rFonts w:cstheme="minorHAnsi"/>
                <w:color w:val="auto"/>
              </w:rPr>
              <w:t xml:space="preserve">(74 </w:t>
            </w:r>
            <w:r w:rsidR="00BF27FA" w:rsidRPr="005C0340">
              <w:rPr>
                <w:rFonts w:cstheme="minorHAnsi"/>
                <w:color w:val="auto"/>
              </w:rPr>
              <w:t xml:space="preserve">men and </w:t>
            </w:r>
            <w:r w:rsidRPr="005C0340">
              <w:rPr>
                <w:rFonts w:cstheme="minorHAnsi"/>
                <w:color w:val="auto"/>
              </w:rPr>
              <w:t xml:space="preserve">128 </w:t>
            </w:r>
            <w:r w:rsidR="00BF27FA" w:rsidRPr="005C0340">
              <w:rPr>
                <w:rFonts w:cstheme="minorHAnsi"/>
                <w:color w:val="auto"/>
              </w:rPr>
              <w:t>women</w:t>
            </w:r>
            <w:r w:rsidRPr="005C0340">
              <w:rPr>
                <w:rFonts w:cstheme="minorHAnsi"/>
                <w:color w:val="auto"/>
              </w:rPr>
              <w:t>)</w:t>
            </w:r>
          </w:p>
          <w:p w14:paraId="3DB61174" w14:textId="77777777" w:rsidR="005C0340" w:rsidRDefault="00C46281" w:rsidP="005C0340">
            <w:pPr>
              <w:pStyle w:val="ListParagraph"/>
              <w:numPr>
                <w:ilvl w:val="0"/>
                <w:numId w:val="53"/>
              </w:numPr>
              <w:spacing w:after="120" w:line="240" w:lineRule="auto"/>
              <w:rPr>
                <w:rFonts w:cstheme="minorHAnsi"/>
                <w:color w:val="auto"/>
              </w:rPr>
            </w:pPr>
            <w:r w:rsidRPr="005C0340">
              <w:rPr>
                <w:rFonts w:cstheme="minorHAnsi"/>
                <w:color w:val="auto"/>
              </w:rPr>
              <w:t>Secondary</w:t>
            </w:r>
            <w:r w:rsidR="009876F7" w:rsidRPr="005C0340">
              <w:rPr>
                <w:rFonts w:cstheme="minorHAnsi"/>
                <w:color w:val="auto"/>
              </w:rPr>
              <w:t xml:space="preserve"> </w:t>
            </w:r>
            <w:r w:rsidR="00372AD6" w:rsidRPr="005C0340">
              <w:rPr>
                <w:rFonts w:cstheme="minorHAnsi"/>
                <w:color w:val="auto"/>
              </w:rPr>
              <w:t>(</w:t>
            </w:r>
            <w:r w:rsidRPr="005C0340">
              <w:rPr>
                <w:rFonts w:cstheme="minorHAnsi"/>
                <w:color w:val="auto"/>
              </w:rPr>
              <w:t xml:space="preserve">9 </w:t>
            </w:r>
            <w:r w:rsidR="00BF27FA" w:rsidRPr="005C0340">
              <w:rPr>
                <w:rFonts w:cstheme="minorHAnsi"/>
                <w:color w:val="auto"/>
              </w:rPr>
              <w:t>men</w:t>
            </w:r>
            <w:r w:rsidR="005C0340" w:rsidRPr="005C0340">
              <w:rPr>
                <w:rFonts w:cstheme="minorHAnsi"/>
                <w:color w:val="auto"/>
              </w:rPr>
              <w:t xml:space="preserve"> and 7 women</w:t>
            </w:r>
            <w:r w:rsidRPr="005C0340">
              <w:rPr>
                <w:rFonts w:cstheme="minorHAnsi"/>
                <w:color w:val="auto"/>
              </w:rPr>
              <w:t>)</w:t>
            </w:r>
          </w:p>
          <w:p w14:paraId="2B56E739" w14:textId="3F26D7FE" w:rsidR="001C5CAA" w:rsidRDefault="009B4A98" w:rsidP="005C0340">
            <w:pPr>
              <w:pStyle w:val="ListParagraph"/>
              <w:numPr>
                <w:ilvl w:val="0"/>
                <w:numId w:val="53"/>
              </w:numPr>
              <w:spacing w:after="120" w:line="240" w:lineRule="auto"/>
              <w:rPr>
                <w:rFonts w:cstheme="minorHAnsi"/>
                <w:color w:val="auto"/>
              </w:rPr>
            </w:pPr>
            <w:r w:rsidRPr="005C0340">
              <w:rPr>
                <w:rFonts w:cstheme="minorHAnsi"/>
                <w:color w:val="auto"/>
              </w:rPr>
              <w:t xml:space="preserve">Post School Education </w:t>
            </w:r>
            <w:r w:rsidR="00372AD6" w:rsidRPr="005C0340">
              <w:rPr>
                <w:rFonts w:cstheme="minorHAnsi"/>
                <w:color w:val="auto"/>
              </w:rPr>
              <w:t>&amp;</w:t>
            </w:r>
            <w:r w:rsidRPr="005C0340">
              <w:rPr>
                <w:rFonts w:cstheme="minorHAnsi"/>
                <w:color w:val="auto"/>
              </w:rPr>
              <w:t xml:space="preserve"> Training</w:t>
            </w:r>
            <w:r w:rsidR="00C46281" w:rsidRPr="005C0340">
              <w:rPr>
                <w:rFonts w:cstheme="minorHAnsi"/>
                <w:color w:val="auto"/>
              </w:rPr>
              <w:t xml:space="preserve"> (5</w:t>
            </w:r>
            <w:r w:rsidR="00A90FF5" w:rsidRPr="005C0340">
              <w:rPr>
                <w:rFonts w:cstheme="minorHAnsi"/>
                <w:color w:val="auto"/>
              </w:rPr>
              <w:t> </w:t>
            </w:r>
            <w:r w:rsidR="001C5CAA">
              <w:rPr>
                <w:rFonts w:cstheme="minorHAnsi"/>
                <w:color w:val="auto"/>
              </w:rPr>
              <w:t xml:space="preserve">men </w:t>
            </w:r>
            <w:r w:rsidR="005C0340">
              <w:rPr>
                <w:rFonts w:cstheme="minorHAnsi"/>
                <w:color w:val="auto"/>
              </w:rPr>
              <w:t>and</w:t>
            </w:r>
            <w:r w:rsidR="00C46281" w:rsidRPr="005C0340">
              <w:rPr>
                <w:rFonts w:cstheme="minorHAnsi"/>
                <w:color w:val="auto"/>
              </w:rPr>
              <w:t xml:space="preserve"> 5 </w:t>
            </w:r>
            <w:r w:rsidR="001C5CAA">
              <w:rPr>
                <w:rFonts w:cstheme="minorHAnsi"/>
                <w:color w:val="auto"/>
              </w:rPr>
              <w:t>women</w:t>
            </w:r>
            <w:r w:rsidR="00C46281" w:rsidRPr="005C0340">
              <w:rPr>
                <w:rFonts w:cstheme="minorHAnsi"/>
                <w:color w:val="auto"/>
              </w:rPr>
              <w:t>)</w:t>
            </w:r>
            <w:r w:rsidR="00C82C89">
              <w:rPr>
                <w:rFonts w:cstheme="minorHAnsi"/>
                <w:color w:val="auto"/>
              </w:rPr>
              <w:t xml:space="preserve">; and </w:t>
            </w:r>
          </w:p>
          <w:p w14:paraId="588EE7BB" w14:textId="01290182" w:rsidR="0033514B" w:rsidRPr="005C0340" w:rsidRDefault="00D6265A" w:rsidP="005C0340">
            <w:pPr>
              <w:pStyle w:val="ListParagraph"/>
              <w:numPr>
                <w:ilvl w:val="0"/>
                <w:numId w:val="53"/>
              </w:numPr>
              <w:spacing w:after="120" w:line="240" w:lineRule="auto"/>
              <w:rPr>
                <w:rFonts w:cstheme="minorHAnsi"/>
                <w:color w:val="auto"/>
              </w:rPr>
            </w:pPr>
            <w:r w:rsidRPr="005C0340">
              <w:rPr>
                <w:rFonts w:cstheme="minorHAnsi"/>
                <w:color w:val="auto"/>
              </w:rPr>
              <w:t>Australia Pacific Training Coalition</w:t>
            </w:r>
            <w:r w:rsidR="00C46281" w:rsidRPr="005C0340">
              <w:rPr>
                <w:rFonts w:cstheme="minorHAnsi"/>
                <w:color w:val="auto"/>
              </w:rPr>
              <w:t xml:space="preserve"> (21 </w:t>
            </w:r>
            <w:r w:rsidR="00C82C89">
              <w:rPr>
                <w:rFonts w:cstheme="minorHAnsi"/>
                <w:color w:val="auto"/>
              </w:rPr>
              <w:t xml:space="preserve">men and </w:t>
            </w:r>
            <w:r w:rsidR="00C46281" w:rsidRPr="005C0340">
              <w:rPr>
                <w:rFonts w:cstheme="minorHAnsi"/>
                <w:color w:val="auto"/>
              </w:rPr>
              <w:t>15</w:t>
            </w:r>
            <w:r w:rsidR="00A90FF5" w:rsidRPr="005C0340">
              <w:rPr>
                <w:rFonts w:cstheme="minorHAnsi"/>
                <w:color w:val="auto"/>
              </w:rPr>
              <w:t> </w:t>
            </w:r>
            <w:r w:rsidR="00C82C89">
              <w:rPr>
                <w:rFonts w:cstheme="minorHAnsi"/>
                <w:color w:val="auto"/>
              </w:rPr>
              <w:t>women</w:t>
            </w:r>
            <w:r w:rsidR="00C46281" w:rsidRPr="005C0340">
              <w:rPr>
                <w:rFonts w:cstheme="minorHAnsi"/>
                <w:color w:val="auto"/>
              </w:rPr>
              <w:t>)</w:t>
            </w:r>
            <w:r w:rsidR="00372AD6" w:rsidRPr="005C0340">
              <w:rPr>
                <w:rFonts w:cstheme="minorHAnsi"/>
                <w:color w:val="auto"/>
              </w:rPr>
              <w:t>.</w:t>
            </w:r>
          </w:p>
        </w:tc>
      </w:tr>
      <w:tr w:rsidR="00B129CF" w:rsidRPr="00B129CF" w14:paraId="056DDC11" w14:textId="77777777" w:rsidTr="07465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/>
        </w:trPr>
        <w:tc>
          <w:tcPr>
            <w:tcW w:w="3964" w:type="dxa"/>
          </w:tcPr>
          <w:p w14:paraId="1DD6626A" w14:textId="77777777" w:rsidR="00D6265A" w:rsidRPr="00B129CF" w:rsidRDefault="00D6265A" w:rsidP="00086931">
            <w:pPr>
              <w:spacing w:after="120" w:line="240" w:lineRule="auto"/>
              <w:rPr>
                <w:rFonts w:eastAsia="Calibri Light" w:cstheme="minorHAnsi"/>
                <w:color w:val="auto"/>
              </w:rPr>
            </w:pPr>
            <w:r w:rsidRPr="00B129CF">
              <w:rPr>
                <w:rFonts w:eastAsia="Calibri Light" w:cstheme="minorHAnsi"/>
                <w:color w:val="auto"/>
              </w:rPr>
              <w:lastRenderedPageBreak/>
              <w:t>Percentage of schools implementing online learning plans (Target: 50 per cent of schools)</w:t>
            </w:r>
          </w:p>
        </w:tc>
        <w:tc>
          <w:tcPr>
            <w:tcW w:w="6521" w:type="dxa"/>
          </w:tcPr>
          <w:p w14:paraId="448A3707" w14:textId="4A801383" w:rsidR="00D6265A" w:rsidRPr="00B129CF" w:rsidRDefault="00D6265A" w:rsidP="00086931">
            <w:pPr>
              <w:spacing w:after="120" w:line="240" w:lineRule="auto"/>
              <w:rPr>
                <w:rFonts w:cstheme="minorHAnsi"/>
                <w:color w:val="auto"/>
                <w:highlight w:val="yellow"/>
              </w:rPr>
            </w:pPr>
            <w:r w:rsidRPr="00B129CF">
              <w:rPr>
                <w:rFonts w:cstheme="minorHAnsi"/>
                <w:color w:val="auto"/>
              </w:rPr>
              <w:t xml:space="preserve">Data not available. Australia’s support for </w:t>
            </w:r>
            <w:proofErr w:type="spellStart"/>
            <w:r w:rsidRPr="00B129CF">
              <w:rPr>
                <w:rFonts w:cstheme="minorHAnsi"/>
                <w:color w:val="auto"/>
              </w:rPr>
              <w:t>moodle</w:t>
            </w:r>
            <w:proofErr w:type="spellEnd"/>
            <w:r w:rsidRPr="00B129CF">
              <w:rPr>
                <w:rFonts w:cstheme="minorHAnsi"/>
                <w:color w:val="auto"/>
              </w:rPr>
              <w:t xml:space="preserve"> (online learning platform) is ongoing with access to trainers available on Messenger chat groups and email. Refresher courses run in 17 </w:t>
            </w:r>
            <w:proofErr w:type="spellStart"/>
            <w:r w:rsidRPr="00B129CF">
              <w:rPr>
                <w:rFonts w:cstheme="minorHAnsi"/>
                <w:color w:val="auto"/>
              </w:rPr>
              <w:t>moodle</w:t>
            </w:r>
            <w:proofErr w:type="spellEnd"/>
            <w:r w:rsidRPr="00B129CF">
              <w:rPr>
                <w:rFonts w:cstheme="minorHAnsi"/>
                <w:color w:val="auto"/>
              </w:rPr>
              <w:t xml:space="preserve"> </w:t>
            </w:r>
            <w:r w:rsidR="00A22F10" w:rsidRPr="00B129CF">
              <w:rPr>
                <w:rFonts w:cstheme="minorHAnsi"/>
                <w:color w:val="auto"/>
              </w:rPr>
              <w:t>s</w:t>
            </w:r>
            <w:r w:rsidRPr="00B129CF">
              <w:rPr>
                <w:rFonts w:cstheme="minorHAnsi"/>
                <w:color w:val="auto"/>
              </w:rPr>
              <w:t xml:space="preserve">econdary </w:t>
            </w:r>
            <w:r w:rsidR="00A22F10" w:rsidRPr="00B129CF">
              <w:rPr>
                <w:rFonts w:cstheme="minorHAnsi"/>
                <w:color w:val="auto"/>
              </w:rPr>
              <w:t>s</w:t>
            </w:r>
            <w:r w:rsidRPr="00B129CF">
              <w:rPr>
                <w:rFonts w:cstheme="minorHAnsi"/>
                <w:color w:val="auto"/>
              </w:rPr>
              <w:t>chools.</w:t>
            </w:r>
          </w:p>
        </w:tc>
      </w:tr>
      <w:tr w:rsidR="00372AD6" w:rsidRPr="00B129CF" w14:paraId="5D9CCA90" w14:textId="77777777" w:rsidTr="07465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/>
        </w:trPr>
        <w:tc>
          <w:tcPr>
            <w:tcW w:w="3964" w:type="dxa"/>
          </w:tcPr>
          <w:p w14:paraId="5B630861" w14:textId="20E20510" w:rsidR="00372AD6" w:rsidRPr="00B129CF" w:rsidRDefault="00372AD6" w:rsidP="007368ED">
            <w:pPr>
              <w:keepLines/>
              <w:widowControl w:val="0"/>
              <w:suppressAutoHyphens w:val="0"/>
              <w:spacing w:after="120" w:line="240" w:lineRule="auto"/>
              <w:rPr>
                <w:rFonts w:eastAsia="Calibri Light" w:cstheme="minorHAnsi"/>
                <w:color w:val="auto"/>
              </w:rPr>
            </w:pPr>
            <w:r w:rsidRPr="00B129CF">
              <w:rPr>
                <w:rFonts w:eastAsia="Calibri Light" w:cstheme="minorHAnsi"/>
                <w:color w:val="auto"/>
              </w:rPr>
              <w:t xml:space="preserve">Number (and nature) of instances of policies and/or measures that seek to improve education quality for all (Target: </w:t>
            </w:r>
            <w:r w:rsidR="00CF4FCD" w:rsidRPr="00B129CF">
              <w:rPr>
                <w:rFonts w:eastAsia="Calibri Light" w:cstheme="minorHAnsi"/>
                <w:color w:val="auto"/>
              </w:rPr>
              <w:t>five</w:t>
            </w:r>
            <w:r w:rsidRPr="00B129CF">
              <w:rPr>
                <w:rFonts w:eastAsia="Calibri Light" w:cstheme="minorHAnsi"/>
                <w:color w:val="auto"/>
              </w:rPr>
              <w:t xml:space="preserve"> significant instances of change)</w:t>
            </w:r>
          </w:p>
        </w:tc>
        <w:tc>
          <w:tcPr>
            <w:tcW w:w="6521" w:type="dxa"/>
          </w:tcPr>
          <w:p w14:paraId="1D103120" w14:textId="396250CE" w:rsidR="00414A89" w:rsidRPr="00B129CF" w:rsidRDefault="00A8241C" w:rsidP="00C82C89">
            <w:pPr>
              <w:pStyle w:val="ListParagraph"/>
              <w:keepLines/>
              <w:widowControl w:val="0"/>
              <w:numPr>
                <w:ilvl w:val="0"/>
                <w:numId w:val="54"/>
              </w:numPr>
              <w:suppressAutoHyphens w:val="0"/>
              <w:spacing w:after="120" w:line="240" w:lineRule="auto"/>
              <w:rPr>
                <w:color w:val="auto"/>
              </w:rPr>
            </w:pPr>
            <w:r w:rsidRPr="07465460">
              <w:rPr>
                <w:color w:val="auto"/>
              </w:rPr>
              <w:t xml:space="preserve">Launch of the National and Community Disability Inclusive Education Awareness </w:t>
            </w:r>
            <w:proofErr w:type="gramStart"/>
            <w:r w:rsidRPr="07465460">
              <w:rPr>
                <w:color w:val="auto"/>
              </w:rPr>
              <w:t>Plan;</w:t>
            </w:r>
            <w:proofErr w:type="gramEnd"/>
            <w:r w:rsidRPr="07465460">
              <w:rPr>
                <w:color w:val="auto"/>
              </w:rPr>
              <w:t xml:space="preserve"> </w:t>
            </w:r>
          </w:p>
          <w:p w14:paraId="244B105D" w14:textId="77777777" w:rsidR="00414A89" w:rsidRPr="00B129CF" w:rsidRDefault="00A8241C" w:rsidP="00C82C89">
            <w:pPr>
              <w:pStyle w:val="ListParagraph"/>
              <w:keepLines/>
              <w:widowControl w:val="0"/>
              <w:numPr>
                <w:ilvl w:val="0"/>
                <w:numId w:val="54"/>
              </w:numPr>
              <w:suppressAutoHyphens w:val="0"/>
              <w:spacing w:after="120" w:line="240" w:lineRule="auto"/>
              <w:rPr>
                <w:rFonts w:cstheme="minorHAnsi"/>
                <w:color w:val="auto"/>
              </w:rPr>
            </w:pPr>
            <w:r w:rsidRPr="00B129CF">
              <w:rPr>
                <w:rFonts w:cstheme="minorHAnsi"/>
                <w:color w:val="auto"/>
              </w:rPr>
              <w:t xml:space="preserve">Launch of the Online Teacher Registration and Licensing </w:t>
            </w:r>
            <w:proofErr w:type="gramStart"/>
            <w:r w:rsidRPr="00B129CF">
              <w:rPr>
                <w:rFonts w:cstheme="minorHAnsi"/>
                <w:color w:val="auto"/>
              </w:rPr>
              <w:t>System;</w:t>
            </w:r>
            <w:proofErr w:type="gramEnd"/>
            <w:r w:rsidRPr="00B129CF">
              <w:rPr>
                <w:rFonts w:cstheme="minorHAnsi"/>
                <w:color w:val="auto"/>
              </w:rPr>
              <w:t xml:space="preserve"> </w:t>
            </w:r>
          </w:p>
          <w:p w14:paraId="11BE5041" w14:textId="1D6FC155" w:rsidR="00414A89" w:rsidRPr="00B129CF" w:rsidRDefault="00A8241C" w:rsidP="00C82C89">
            <w:pPr>
              <w:pStyle w:val="ListParagraph"/>
              <w:keepLines/>
              <w:widowControl w:val="0"/>
              <w:numPr>
                <w:ilvl w:val="0"/>
                <w:numId w:val="54"/>
              </w:numPr>
              <w:suppressAutoHyphens w:val="0"/>
              <w:spacing w:after="120" w:line="240" w:lineRule="auto"/>
              <w:rPr>
                <w:rFonts w:cstheme="minorHAnsi"/>
                <w:color w:val="auto"/>
              </w:rPr>
            </w:pPr>
            <w:r w:rsidRPr="00B129CF">
              <w:rPr>
                <w:rFonts w:cstheme="minorHAnsi"/>
                <w:color w:val="auto"/>
              </w:rPr>
              <w:t xml:space="preserve">Finalisation of the Secondary School Curriculum review including the repackaging of technical and vocational education (TVET) </w:t>
            </w:r>
            <w:proofErr w:type="gramStart"/>
            <w:r w:rsidRPr="00B129CF">
              <w:rPr>
                <w:rFonts w:cstheme="minorHAnsi"/>
                <w:color w:val="auto"/>
              </w:rPr>
              <w:t>subjects;</w:t>
            </w:r>
            <w:proofErr w:type="gramEnd"/>
            <w:r w:rsidRPr="00B129CF">
              <w:rPr>
                <w:rFonts w:cstheme="minorHAnsi"/>
                <w:color w:val="auto"/>
              </w:rPr>
              <w:t xml:space="preserve"> </w:t>
            </w:r>
          </w:p>
          <w:p w14:paraId="102C58A6" w14:textId="6358925F" w:rsidR="00414A89" w:rsidRPr="00B129CF" w:rsidRDefault="00A8241C" w:rsidP="00C82C89">
            <w:pPr>
              <w:pStyle w:val="ListParagraph"/>
              <w:keepLines/>
              <w:widowControl w:val="0"/>
              <w:numPr>
                <w:ilvl w:val="0"/>
                <w:numId w:val="54"/>
              </w:numPr>
              <w:suppressAutoHyphens w:val="0"/>
              <w:spacing w:after="120" w:line="240" w:lineRule="auto"/>
              <w:rPr>
                <w:rFonts w:cstheme="minorHAnsi"/>
                <w:color w:val="auto"/>
              </w:rPr>
            </w:pPr>
            <w:r w:rsidRPr="00B129CF">
              <w:rPr>
                <w:rFonts w:cstheme="minorHAnsi"/>
                <w:color w:val="auto"/>
              </w:rPr>
              <w:t xml:space="preserve">Expansion of the National University of Samoa TVET scholarship program to support vulnerable </w:t>
            </w:r>
            <w:proofErr w:type="gramStart"/>
            <w:r w:rsidRPr="00B129CF">
              <w:rPr>
                <w:rFonts w:cstheme="minorHAnsi"/>
                <w:color w:val="auto"/>
              </w:rPr>
              <w:t>students;</w:t>
            </w:r>
            <w:proofErr w:type="gramEnd"/>
            <w:r w:rsidRPr="00B129CF">
              <w:rPr>
                <w:rFonts w:cstheme="minorHAnsi"/>
                <w:color w:val="auto"/>
              </w:rPr>
              <w:t xml:space="preserve"> </w:t>
            </w:r>
          </w:p>
          <w:p w14:paraId="28593FEC" w14:textId="3AE4D482" w:rsidR="00414A89" w:rsidRPr="00B129CF" w:rsidRDefault="00A8241C" w:rsidP="00C82C89">
            <w:pPr>
              <w:pStyle w:val="ListParagraph"/>
              <w:keepLines/>
              <w:widowControl w:val="0"/>
              <w:numPr>
                <w:ilvl w:val="0"/>
                <w:numId w:val="54"/>
              </w:numPr>
              <w:suppressAutoHyphens w:val="0"/>
              <w:spacing w:after="120" w:line="240" w:lineRule="auto"/>
              <w:rPr>
                <w:rFonts w:cstheme="minorHAnsi"/>
                <w:color w:val="auto"/>
              </w:rPr>
            </w:pPr>
            <w:r w:rsidRPr="00B129CF">
              <w:rPr>
                <w:rFonts w:cstheme="minorHAnsi"/>
                <w:color w:val="auto"/>
              </w:rPr>
              <w:t xml:space="preserve">Completion of Ministry of Education Sports and Culture Network upgrade </w:t>
            </w:r>
            <w:r w:rsidR="00C33159" w:rsidRPr="00B129CF">
              <w:rPr>
                <w:rFonts w:cstheme="minorHAnsi"/>
                <w:color w:val="auto"/>
              </w:rPr>
              <w:t>to</w:t>
            </w:r>
            <w:r w:rsidRPr="00B129CF">
              <w:rPr>
                <w:rFonts w:cstheme="minorHAnsi"/>
                <w:color w:val="auto"/>
              </w:rPr>
              <w:t xml:space="preserve"> improve the underlying infrastructure in preparation for the Samoa Education Management Information System; </w:t>
            </w:r>
            <w:r w:rsidR="00414A89" w:rsidRPr="00B129CF">
              <w:rPr>
                <w:rFonts w:cstheme="minorHAnsi"/>
                <w:color w:val="auto"/>
              </w:rPr>
              <w:t xml:space="preserve">and </w:t>
            </w:r>
          </w:p>
          <w:p w14:paraId="014560BC" w14:textId="57F44511" w:rsidR="000317E1" w:rsidRPr="00B129CF" w:rsidRDefault="00A8241C" w:rsidP="00C82C89">
            <w:pPr>
              <w:pStyle w:val="ListParagraph"/>
              <w:keepLines/>
              <w:widowControl w:val="0"/>
              <w:numPr>
                <w:ilvl w:val="0"/>
                <w:numId w:val="54"/>
              </w:numPr>
              <w:suppressAutoHyphens w:val="0"/>
              <w:spacing w:after="120" w:line="240" w:lineRule="auto"/>
              <w:rPr>
                <w:color w:val="auto"/>
              </w:rPr>
            </w:pPr>
            <w:r w:rsidRPr="07465460">
              <w:rPr>
                <w:color w:val="auto"/>
              </w:rPr>
              <w:t>Completion of Education Sector Plan and Education Sector Support Program Mid-Term Review.</w:t>
            </w:r>
          </w:p>
        </w:tc>
      </w:tr>
    </w:tbl>
    <w:p w14:paraId="3480C00B" w14:textId="77777777" w:rsidR="00A90FF5" w:rsidRPr="00B129CF" w:rsidRDefault="00A90FF5" w:rsidP="00414A89">
      <w:pPr>
        <w:keepLines/>
        <w:widowControl w:val="0"/>
        <w:suppressAutoHyphens w:val="0"/>
        <w:spacing w:before="0" w:after="120" w:line="440" w:lineRule="atLeast"/>
        <w:rPr>
          <w:rFonts w:cstheme="minorHAnsi"/>
          <w:b/>
          <w:bCs/>
          <w:color w:val="auto"/>
          <w:sz w:val="26"/>
          <w:szCs w:val="26"/>
        </w:rPr>
      </w:pPr>
    </w:p>
    <w:p w14:paraId="3F2619AB" w14:textId="71D932DA" w:rsidR="00AE2B7B" w:rsidRPr="00B129CF" w:rsidRDefault="00AE2B7B" w:rsidP="002A7561">
      <w:pPr>
        <w:pStyle w:val="Heading3"/>
      </w:pPr>
      <w:r w:rsidRPr="00B129CF">
        <w:t>Economic Recovery</w:t>
      </w:r>
    </w:p>
    <w:tbl>
      <w:tblPr>
        <w:tblStyle w:val="TableGrid"/>
        <w:tblW w:w="0" w:type="auto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CellMar>
          <w:top w:w="85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Progress against performance indicators"/>
        <w:tblDescription w:val="This table shows the progress made against key indicators for economic recovery"/>
      </w:tblPr>
      <w:tblGrid>
        <w:gridCol w:w="3539"/>
        <w:gridCol w:w="6997"/>
      </w:tblGrid>
      <w:tr w:rsidR="00B129CF" w:rsidRPr="00B129CF" w14:paraId="6541DEB5" w14:textId="77777777" w:rsidTr="002A7561">
        <w:trPr>
          <w:cantSplit/>
          <w:tblHeader/>
        </w:trPr>
        <w:tc>
          <w:tcPr>
            <w:tcW w:w="3539" w:type="dxa"/>
            <w:shd w:val="clear" w:color="auto" w:fill="A2DCD1" w:themeFill="accent1" w:themeFillTint="99"/>
            <w:vAlign w:val="bottom"/>
          </w:tcPr>
          <w:p w14:paraId="7B68B645" w14:textId="46171EB2" w:rsidR="00CA5021" w:rsidRPr="00B129CF" w:rsidRDefault="00E510C1" w:rsidP="007368ED">
            <w:pPr>
              <w:keepLines/>
              <w:widowControl w:val="0"/>
              <w:suppressAutoHyphens w:val="0"/>
              <w:spacing w:after="120" w:line="240" w:lineRule="auto"/>
              <w:jc w:val="center"/>
              <w:rPr>
                <w:rFonts w:cstheme="minorHAnsi"/>
                <w:color w:val="auto"/>
              </w:rPr>
            </w:pPr>
            <w:r w:rsidRPr="00B129CF">
              <w:rPr>
                <w:rFonts w:cstheme="minorHAnsi"/>
                <w:b/>
                <w:color w:val="auto"/>
              </w:rPr>
              <w:t>K</w:t>
            </w:r>
            <w:r w:rsidR="00A96364" w:rsidRPr="00B129CF">
              <w:rPr>
                <w:rFonts w:cstheme="minorHAnsi"/>
                <w:b/>
                <w:color w:val="auto"/>
              </w:rPr>
              <w:t xml:space="preserve">ey Results </w:t>
            </w:r>
            <w:r w:rsidR="00CA5021" w:rsidRPr="00B129CF">
              <w:rPr>
                <w:rFonts w:cstheme="minorHAnsi"/>
                <w:b/>
                <w:color w:val="auto"/>
              </w:rPr>
              <w:t>Indicator</w:t>
            </w:r>
            <w:r w:rsidR="00A96364" w:rsidRPr="00B129CF">
              <w:rPr>
                <w:rFonts w:cstheme="minorHAnsi"/>
                <w:b/>
                <w:color w:val="auto"/>
              </w:rPr>
              <w:t>s</w:t>
            </w:r>
          </w:p>
        </w:tc>
        <w:tc>
          <w:tcPr>
            <w:tcW w:w="6997" w:type="dxa"/>
            <w:shd w:val="clear" w:color="auto" w:fill="A2DCD1" w:themeFill="accent1" w:themeFillTint="99"/>
            <w:vAlign w:val="bottom"/>
          </w:tcPr>
          <w:p w14:paraId="7B256934" w14:textId="69DE6F90" w:rsidR="00CA5021" w:rsidRPr="00B129CF" w:rsidRDefault="00AD19F7" w:rsidP="007368ED">
            <w:pPr>
              <w:keepLines/>
              <w:widowControl w:val="0"/>
              <w:suppressAutoHyphens w:val="0"/>
              <w:spacing w:after="120" w:line="240" w:lineRule="auto"/>
              <w:jc w:val="center"/>
              <w:rPr>
                <w:rFonts w:cstheme="minorHAnsi"/>
                <w:color w:val="auto"/>
              </w:rPr>
            </w:pPr>
            <w:r w:rsidRPr="00B129CF">
              <w:rPr>
                <w:rFonts w:cstheme="minorHAnsi"/>
                <w:b/>
                <w:color w:val="auto"/>
              </w:rPr>
              <w:t>Progress/Result</w:t>
            </w:r>
          </w:p>
        </w:tc>
      </w:tr>
      <w:tr w:rsidR="00B129CF" w:rsidRPr="00B129CF" w14:paraId="564E6F58" w14:textId="77777777" w:rsidTr="07465460">
        <w:trPr>
          <w:cantSplit/>
        </w:trPr>
        <w:tc>
          <w:tcPr>
            <w:tcW w:w="3539" w:type="dxa"/>
          </w:tcPr>
          <w:p w14:paraId="234C1CE4" w14:textId="6B4E49A6" w:rsidR="0033514B" w:rsidRPr="00B129CF" w:rsidRDefault="0033514B" w:rsidP="007368ED">
            <w:pPr>
              <w:keepLines/>
              <w:widowControl w:val="0"/>
              <w:suppressAutoHyphens w:val="0"/>
              <w:spacing w:after="120" w:line="240" w:lineRule="auto"/>
              <w:rPr>
                <w:rFonts w:eastAsia="Calibri Light" w:cstheme="minorHAnsi"/>
                <w:color w:val="auto"/>
              </w:rPr>
            </w:pPr>
            <w:r w:rsidRPr="00B129CF">
              <w:rPr>
                <w:rFonts w:eastAsia="Calibri Light" w:cstheme="minorHAnsi"/>
                <w:color w:val="auto"/>
              </w:rPr>
              <w:t xml:space="preserve">Number (and nature) of instances of the </w:t>
            </w:r>
            <w:proofErr w:type="spellStart"/>
            <w:r w:rsidR="00C2458B">
              <w:rPr>
                <w:rFonts w:eastAsia="Calibri Light" w:cstheme="minorHAnsi"/>
                <w:color w:val="auto"/>
              </w:rPr>
              <w:t>GoS</w:t>
            </w:r>
            <w:proofErr w:type="spellEnd"/>
            <w:r w:rsidR="00C2458B">
              <w:rPr>
                <w:rFonts w:eastAsia="Calibri Light" w:cstheme="minorHAnsi"/>
                <w:color w:val="auto"/>
              </w:rPr>
              <w:t xml:space="preserve"> </w:t>
            </w:r>
            <w:r w:rsidRPr="00B129CF">
              <w:rPr>
                <w:rFonts w:eastAsia="Calibri Light" w:cstheme="minorHAnsi"/>
                <w:color w:val="auto"/>
              </w:rPr>
              <w:t xml:space="preserve">having adopted responsible and evidence-informed fiscal and economic measures that mitigate the impacts of COVID-19 (Target: </w:t>
            </w:r>
            <w:r w:rsidR="00CF4FCD" w:rsidRPr="00B129CF">
              <w:rPr>
                <w:rFonts w:eastAsia="Calibri Light" w:cstheme="minorHAnsi"/>
                <w:color w:val="auto"/>
              </w:rPr>
              <w:t>two</w:t>
            </w:r>
            <w:r w:rsidRPr="00B129CF">
              <w:rPr>
                <w:rFonts w:eastAsia="Calibri Light" w:cstheme="minorHAnsi"/>
                <w:color w:val="auto"/>
              </w:rPr>
              <w:t xml:space="preserve"> significant instances of change)</w:t>
            </w:r>
          </w:p>
        </w:tc>
        <w:tc>
          <w:tcPr>
            <w:tcW w:w="6997" w:type="dxa"/>
          </w:tcPr>
          <w:p w14:paraId="5B25C254" w14:textId="54E0FE33" w:rsidR="00FB632A" w:rsidRPr="00B129CF" w:rsidRDefault="4E8DB083" w:rsidP="07465460">
            <w:pPr>
              <w:keepLines/>
              <w:widowControl w:val="0"/>
              <w:suppressAutoHyphens w:val="0"/>
              <w:spacing w:after="120" w:line="240" w:lineRule="auto"/>
              <w:rPr>
                <w:rFonts w:eastAsia="Calibri Light"/>
                <w:color w:val="auto"/>
              </w:rPr>
            </w:pPr>
            <w:r w:rsidRPr="07465460">
              <w:rPr>
                <w:rFonts w:eastAsia="Calibri Light"/>
                <w:color w:val="auto"/>
              </w:rPr>
              <w:t xml:space="preserve">Australia’s </w:t>
            </w:r>
            <w:r w:rsidR="06FD87D1" w:rsidRPr="07465460">
              <w:rPr>
                <w:rFonts w:eastAsia="Calibri Light"/>
                <w:color w:val="auto"/>
              </w:rPr>
              <w:t>b</w:t>
            </w:r>
            <w:r w:rsidR="0033514B" w:rsidRPr="07465460">
              <w:rPr>
                <w:rFonts w:eastAsia="Calibri Light"/>
                <w:color w:val="auto"/>
              </w:rPr>
              <w:t>udget support and technical assistance</w:t>
            </w:r>
            <w:r w:rsidRPr="07465460">
              <w:rPr>
                <w:rFonts w:eastAsia="Calibri Light"/>
                <w:color w:val="auto"/>
              </w:rPr>
              <w:t xml:space="preserve"> </w:t>
            </w:r>
            <w:r w:rsidR="1422E7F2" w:rsidRPr="07465460">
              <w:rPr>
                <w:rFonts w:eastAsia="Calibri Light"/>
                <w:color w:val="auto"/>
              </w:rPr>
              <w:t xml:space="preserve">through </w:t>
            </w:r>
            <w:r w:rsidR="00A90FF5" w:rsidRPr="07465460">
              <w:rPr>
                <w:rFonts w:eastAsia="Calibri Light"/>
                <w:color w:val="auto"/>
              </w:rPr>
              <w:t xml:space="preserve">the </w:t>
            </w:r>
            <w:r w:rsidR="4C88CEA6" w:rsidRPr="07465460">
              <w:rPr>
                <w:rFonts w:eastAsia="Calibri Light"/>
                <w:color w:val="auto"/>
              </w:rPr>
              <w:t xml:space="preserve">JPAM </w:t>
            </w:r>
            <w:r w:rsidR="0033514B" w:rsidRPr="07465460">
              <w:rPr>
                <w:rFonts w:eastAsia="Calibri Light"/>
                <w:color w:val="auto"/>
              </w:rPr>
              <w:t>incentivise</w:t>
            </w:r>
            <w:r w:rsidRPr="07465460">
              <w:rPr>
                <w:rFonts w:eastAsia="Calibri Light"/>
                <w:color w:val="auto"/>
              </w:rPr>
              <w:t>d</w:t>
            </w:r>
            <w:r w:rsidR="0033514B" w:rsidRPr="07465460">
              <w:rPr>
                <w:rFonts w:eastAsia="Calibri Light"/>
                <w:color w:val="auto"/>
              </w:rPr>
              <w:t xml:space="preserve"> and enable</w:t>
            </w:r>
            <w:r w:rsidRPr="07465460">
              <w:rPr>
                <w:rFonts w:eastAsia="Calibri Light"/>
                <w:color w:val="auto"/>
              </w:rPr>
              <w:t>d</w:t>
            </w:r>
            <w:r w:rsidR="0033514B" w:rsidRPr="07465460">
              <w:rPr>
                <w:rFonts w:eastAsia="Calibri Light"/>
                <w:color w:val="auto"/>
              </w:rPr>
              <w:t xml:space="preserve"> reforms, helping Samoa remain fiscally resilient in 2022-23. </w:t>
            </w:r>
            <w:r w:rsidR="0E27E855" w:rsidRPr="07465460">
              <w:rPr>
                <w:rFonts w:eastAsia="Calibri Light"/>
                <w:color w:val="auto"/>
              </w:rPr>
              <w:t xml:space="preserve">Samoa achieved </w:t>
            </w:r>
            <w:r w:rsidR="5059A7A3" w:rsidRPr="07465460">
              <w:rPr>
                <w:rFonts w:eastAsia="Calibri Light"/>
                <w:color w:val="auto"/>
              </w:rPr>
              <w:t xml:space="preserve">a </w:t>
            </w:r>
            <w:r w:rsidR="06FD87D1" w:rsidRPr="07465460">
              <w:rPr>
                <w:rFonts w:eastAsia="Calibri Light"/>
                <w:color w:val="auto"/>
              </w:rPr>
              <w:t>b</w:t>
            </w:r>
            <w:r w:rsidR="0033514B" w:rsidRPr="07465460">
              <w:rPr>
                <w:rFonts w:eastAsia="Calibri Light"/>
                <w:color w:val="auto"/>
              </w:rPr>
              <w:t>udget surplus</w:t>
            </w:r>
            <w:r w:rsidR="0E27E855" w:rsidRPr="07465460">
              <w:rPr>
                <w:rFonts w:eastAsia="Calibri Light"/>
                <w:color w:val="auto"/>
              </w:rPr>
              <w:t xml:space="preserve"> of</w:t>
            </w:r>
            <w:r w:rsidR="0033514B" w:rsidRPr="07465460">
              <w:rPr>
                <w:rFonts w:eastAsia="Calibri Light"/>
                <w:color w:val="auto"/>
              </w:rPr>
              <w:t xml:space="preserve"> 5.4</w:t>
            </w:r>
            <w:r w:rsidR="06FD87D1" w:rsidRPr="07465460">
              <w:rPr>
                <w:rFonts w:eastAsia="Calibri Light"/>
                <w:color w:val="auto"/>
              </w:rPr>
              <w:t xml:space="preserve"> per cent o</w:t>
            </w:r>
            <w:r w:rsidR="0033514B" w:rsidRPr="07465460">
              <w:rPr>
                <w:rFonts w:eastAsia="Calibri Light"/>
                <w:color w:val="auto"/>
              </w:rPr>
              <w:t>f GDP despite post</w:t>
            </w:r>
            <w:r w:rsidR="49A3AEBA" w:rsidRPr="07465460">
              <w:rPr>
                <w:rFonts w:eastAsia="Calibri Light"/>
                <w:color w:val="auto"/>
              </w:rPr>
              <w:t xml:space="preserve"> </w:t>
            </w:r>
            <w:r w:rsidR="00CF4FCD" w:rsidRPr="00B129CF">
              <w:rPr>
                <w:rFonts w:eastAsia="Calibri Light" w:cstheme="minorHAnsi"/>
                <w:color w:val="auto"/>
              </w:rPr>
              <w:noBreakHyphen/>
            </w:r>
            <w:r w:rsidR="0033514B" w:rsidRPr="07465460">
              <w:rPr>
                <w:rFonts w:eastAsia="Calibri Light"/>
                <w:color w:val="auto"/>
              </w:rPr>
              <w:t>COVID</w:t>
            </w:r>
            <w:r w:rsidR="06FD87D1" w:rsidRPr="07465460">
              <w:rPr>
                <w:rFonts w:eastAsia="Calibri Light"/>
                <w:color w:val="auto"/>
              </w:rPr>
              <w:t>-19</w:t>
            </w:r>
            <w:r w:rsidR="0033514B" w:rsidRPr="07465460">
              <w:rPr>
                <w:rFonts w:eastAsia="Calibri Light"/>
                <w:color w:val="auto"/>
              </w:rPr>
              <w:t xml:space="preserve"> economic challenges. Domestic revenues and grant inflows increased</w:t>
            </w:r>
            <w:r w:rsidR="6F9A8528" w:rsidRPr="07465460">
              <w:rPr>
                <w:rFonts w:eastAsia="Calibri Light"/>
                <w:color w:val="auto"/>
              </w:rPr>
              <w:t>;</w:t>
            </w:r>
            <w:r w:rsidR="4B9360B2" w:rsidRPr="07465460">
              <w:rPr>
                <w:rFonts w:eastAsia="Calibri Light"/>
                <w:color w:val="auto"/>
              </w:rPr>
              <w:t xml:space="preserve"> p</w:t>
            </w:r>
            <w:r w:rsidR="0033514B" w:rsidRPr="07465460">
              <w:rPr>
                <w:rFonts w:eastAsia="Calibri Light"/>
                <w:color w:val="auto"/>
              </w:rPr>
              <w:t>ublic debt lowered to 43.7</w:t>
            </w:r>
            <w:r w:rsidR="06FD87D1" w:rsidRPr="07465460">
              <w:rPr>
                <w:rFonts w:eastAsia="Calibri Light"/>
                <w:color w:val="auto"/>
              </w:rPr>
              <w:t xml:space="preserve"> per cent </w:t>
            </w:r>
            <w:r w:rsidR="0033514B" w:rsidRPr="07465460">
              <w:rPr>
                <w:rFonts w:eastAsia="Calibri Light"/>
                <w:color w:val="auto"/>
              </w:rPr>
              <w:t>of GDP from 46.1</w:t>
            </w:r>
            <w:r w:rsidR="06FD87D1" w:rsidRPr="07465460">
              <w:rPr>
                <w:rFonts w:eastAsia="Calibri Light"/>
                <w:color w:val="auto"/>
              </w:rPr>
              <w:t xml:space="preserve"> per cent</w:t>
            </w:r>
            <w:r w:rsidR="6F9A8528" w:rsidRPr="07465460">
              <w:rPr>
                <w:rFonts w:eastAsia="Calibri Light"/>
                <w:color w:val="auto"/>
              </w:rPr>
              <w:t>.</w:t>
            </w:r>
          </w:p>
          <w:p w14:paraId="5A50515E" w14:textId="5A46070A" w:rsidR="0033514B" w:rsidRPr="00B129CF" w:rsidRDefault="0033514B" w:rsidP="00A90FF5">
            <w:pPr>
              <w:keepLines/>
              <w:widowControl w:val="0"/>
              <w:suppressAutoHyphens w:val="0"/>
              <w:spacing w:after="120" w:line="240" w:lineRule="auto"/>
              <w:rPr>
                <w:rFonts w:eastAsia="Calibri Light" w:cstheme="minorHAnsi"/>
                <w:color w:val="auto"/>
              </w:rPr>
            </w:pPr>
            <w:proofErr w:type="spellStart"/>
            <w:r w:rsidRPr="00B129CF">
              <w:rPr>
                <w:rFonts w:eastAsia="Calibri Light" w:cstheme="minorHAnsi"/>
                <w:color w:val="auto"/>
              </w:rPr>
              <w:t>G</w:t>
            </w:r>
            <w:r w:rsidR="00B31D81" w:rsidRPr="00B129CF">
              <w:rPr>
                <w:rFonts w:eastAsia="Calibri Light" w:cstheme="minorHAnsi"/>
                <w:color w:val="auto"/>
              </w:rPr>
              <w:t>oS</w:t>
            </w:r>
            <w:proofErr w:type="spellEnd"/>
            <w:r w:rsidRPr="00B129CF">
              <w:rPr>
                <w:rFonts w:eastAsia="Calibri Light" w:cstheme="minorHAnsi"/>
                <w:color w:val="auto"/>
              </w:rPr>
              <w:t xml:space="preserve"> </w:t>
            </w:r>
            <w:r w:rsidR="00834679" w:rsidRPr="00B129CF">
              <w:rPr>
                <w:rFonts w:eastAsia="Calibri Light" w:cstheme="minorHAnsi"/>
                <w:color w:val="auto"/>
              </w:rPr>
              <w:t xml:space="preserve">also </w:t>
            </w:r>
            <w:r w:rsidRPr="00B129CF">
              <w:rPr>
                <w:rFonts w:eastAsia="Calibri Light" w:cstheme="minorHAnsi"/>
                <w:color w:val="auto"/>
              </w:rPr>
              <w:t xml:space="preserve">launched </w:t>
            </w:r>
            <w:r w:rsidR="00834679" w:rsidRPr="00B129CF">
              <w:rPr>
                <w:rFonts w:eastAsia="Calibri Light" w:cstheme="minorHAnsi"/>
                <w:color w:val="auto"/>
              </w:rPr>
              <w:t xml:space="preserve">its </w:t>
            </w:r>
            <w:r w:rsidRPr="00B129CF">
              <w:rPr>
                <w:rFonts w:eastAsia="Calibri Light" w:cstheme="minorHAnsi"/>
                <w:color w:val="auto"/>
              </w:rPr>
              <w:t xml:space="preserve">Medium-Term Debt Strategy 2022-26 and Guarantee Policy for Public Bodies and </w:t>
            </w:r>
            <w:r w:rsidR="000317E1" w:rsidRPr="00B129CF">
              <w:rPr>
                <w:rFonts w:eastAsia="Calibri Light" w:cstheme="minorHAnsi"/>
                <w:color w:val="auto"/>
              </w:rPr>
              <w:t>State-Owned</w:t>
            </w:r>
            <w:r w:rsidR="00D6265A" w:rsidRPr="00B129CF">
              <w:rPr>
                <w:rFonts w:eastAsia="Calibri Light" w:cstheme="minorHAnsi"/>
                <w:color w:val="auto"/>
              </w:rPr>
              <w:t xml:space="preserve"> Enterprises (</w:t>
            </w:r>
            <w:r w:rsidRPr="00B129CF">
              <w:rPr>
                <w:rFonts w:eastAsia="Calibri Light" w:cstheme="minorHAnsi"/>
                <w:color w:val="auto"/>
              </w:rPr>
              <w:t>SOEs</w:t>
            </w:r>
            <w:r w:rsidR="00D6265A" w:rsidRPr="00B129CF">
              <w:rPr>
                <w:rFonts w:eastAsia="Calibri Light" w:cstheme="minorHAnsi"/>
                <w:color w:val="auto"/>
              </w:rPr>
              <w:t>)</w:t>
            </w:r>
            <w:r w:rsidRPr="00B129CF">
              <w:rPr>
                <w:rFonts w:eastAsia="Calibri Light" w:cstheme="minorHAnsi"/>
                <w:color w:val="auto"/>
              </w:rPr>
              <w:t xml:space="preserve"> outlining responsible debt and loan practices.</w:t>
            </w:r>
          </w:p>
        </w:tc>
      </w:tr>
      <w:tr w:rsidR="00B129CF" w:rsidRPr="00B129CF" w14:paraId="1EAE2D66" w14:textId="77777777" w:rsidTr="07465460">
        <w:trPr>
          <w:cantSplit/>
        </w:trPr>
        <w:tc>
          <w:tcPr>
            <w:tcW w:w="3539" w:type="dxa"/>
          </w:tcPr>
          <w:p w14:paraId="65838CB2" w14:textId="54AE6C4D" w:rsidR="0033514B" w:rsidRPr="00B129CF" w:rsidRDefault="0033514B" w:rsidP="007368ED">
            <w:pPr>
              <w:keepLines/>
              <w:widowControl w:val="0"/>
              <w:suppressAutoHyphens w:val="0"/>
              <w:spacing w:after="120" w:line="240" w:lineRule="auto"/>
              <w:rPr>
                <w:rFonts w:cstheme="minorHAnsi"/>
                <w:color w:val="auto"/>
              </w:rPr>
            </w:pPr>
            <w:r w:rsidRPr="00B129CF">
              <w:rPr>
                <w:rFonts w:eastAsia="Calibri Light" w:cstheme="minorHAnsi"/>
                <w:color w:val="auto"/>
              </w:rPr>
              <w:lastRenderedPageBreak/>
              <w:t xml:space="preserve">Number (and nature) of instances of the </w:t>
            </w:r>
            <w:proofErr w:type="spellStart"/>
            <w:r w:rsidR="00A01AC6">
              <w:rPr>
                <w:rFonts w:eastAsia="Calibri Light" w:cstheme="minorHAnsi"/>
                <w:color w:val="auto"/>
              </w:rPr>
              <w:t>GoS</w:t>
            </w:r>
            <w:proofErr w:type="spellEnd"/>
            <w:r w:rsidR="00A01AC6">
              <w:rPr>
                <w:rFonts w:eastAsia="Calibri Light" w:cstheme="minorHAnsi"/>
                <w:color w:val="auto"/>
              </w:rPr>
              <w:t xml:space="preserve"> </w:t>
            </w:r>
            <w:r w:rsidRPr="00B129CF">
              <w:rPr>
                <w:rFonts w:eastAsia="Calibri Light" w:cstheme="minorHAnsi"/>
                <w:color w:val="auto"/>
              </w:rPr>
              <w:t xml:space="preserve">having responsible and evidence-informed fiscal and economic measures that support inclusive growth and resilience (Target: </w:t>
            </w:r>
            <w:r w:rsidR="00CF4FCD" w:rsidRPr="00B129CF">
              <w:rPr>
                <w:rFonts w:eastAsia="Calibri Light" w:cstheme="minorHAnsi"/>
                <w:color w:val="auto"/>
              </w:rPr>
              <w:t>two</w:t>
            </w:r>
            <w:r w:rsidRPr="00B129CF">
              <w:rPr>
                <w:rFonts w:eastAsia="Calibri Light" w:cstheme="minorHAnsi"/>
                <w:color w:val="auto"/>
              </w:rPr>
              <w:t xml:space="preserve"> significant instances of change)</w:t>
            </w:r>
          </w:p>
        </w:tc>
        <w:tc>
          <w:tcPr>
            <w:tcW w:w="6997" w:type="dxa"/>
          </w:tcPr>
          <w:p w14:paraId="226DAC94" w14:textId="2709C78C" w:rsidR="0033514B" w:rsidRPr="00B129CF" w:rsidRDefault="0033514B" w:rsidP="00A90FF5">
            <w:pPr>
              <w:keepLines/>
              <w:widowControl w:val="0"/>
              <w:suppressAutoHyphens w:val="0"/>
              <w:spacing w:after="120" w:line="240" w:lineRule="auto"/>
              <w:rPr>
                <w:rFonts w:cstheme="minorHAnsi"/>
                <w:color w:val="auto"/>
              </w:rPr>
            </w:pPr>
            <w:r w:rsidRPr="00B129CF">
              <w:rPr>
                <w:rFonts w:cstheme="minorHAnsi"/>
                <w:color w:val="auto"/>
              </w:rPr>
              <w:t>Cabinet approval of amendments to Labour Employment Relations Act included in</w:t>
            </w:r>
            <w:r w:rsidR="00D6265A" w:rsidRPr="00B129CF">
              <w:rPr>
                <w:rFonts w:cstheme="minorHAnsi"/>
                <w:color w:val="auto"/>
              </w:rPr>
              <w:t xml:space="preserve"> </w:t>
            </w:r>
            <w:r w:rsidRPr="00B129CF">
              <w:rPr>
                <w:rFonts w:cstheme="minorHAnsi"/>
                <w:color w:val="auto"/>
              </w:rPr>
              <w:t>JPAM for February 2022. A</w:t>
            </w:r>
            <w:r w:rsidR="00D6265A" w:rsidRPr="00B129CF">
              <w:rPr>
                <w:rFonts w:cstheme="minorHAnsi"/>
                <w:color w:val="auto"/>
              </w:rPr>
              <w:t>n Amendment</w:t>
            </w:r>
            <w:r w:rsidRPr="00B129CF">
              <w:rPr>
                <w:rFonts w:cstheme="minorHAnsi"/>
                <w:color w:val="auto"/>
              </w:rPr>
              <w:t xml:space="preserve"> Bill was tabled in Parliament </w:t>
            </w:r>
            <w:r w:rsidR="00D6265A" w:rsidRPr="00B129CF">
              <w:rPr>
                <w:rFonts w:cstheme="minorHAnsi"/>
                <w:color w:val="auto"/>
              </w:rPr>
              <w:t xml:space="preserve">in </w:t>
            </w:r>
            <w:r w:rsidRPr="00B129CF">
              <w:rPr>
                <w:rFonts w:cstheme="minorHAnsi"/>
                <w:color w:val="auto"/>
              </w:rPr>
              <w:t>early 2023, to strengthen provisions against discrimination and child labour and to improve consistency of the legislation with international labour standards.</w:t>
            </w:r>
          </w:p>
          <w:p w14:paraId="02B96D99" w14:textId="3A98890C" w:rsidR="0033514B" w:rsidRPr="00B129CF" w:rsidRDefault="4B9360B2" w:rsidP="07465460">
            <w:pPr>
              <w:keepLines/>
              <w:widowControl w:val="0"/>
              <w:suppressAutoHyphens w:val="0"/>
              <w:spacing w:after="120" w:line="240" w:lineRule="auto"/>
              <w:rPr>
                <w:color w:val="auto"/>
              </w:rPr>
            </w:pPr>
            <w:r w:rsidRPr="07465460">
              <w:rPr>
                <w:color w:val="auto"/>
              </w:rPr>
              <w:t xml:space="preserve">Samoa’s </w:t>
            </w:r>
            <w:r w:rsidR="0033514B" w:rsidRPr="07465460">
              <w:rPr>
                <w:color w:val="auto"/>
              </w:rPr>
              <w:t xml:space="preserve">Credit Bureau Policy </w:t>
            </w:r>
            <w:r w:rsidRPr="07465460">
              <w:rPr>
                <w:color w:val="auto"/>
              </w:rPr>
              <w:t xml:space="preserve">was </w:t>
            </w:r>
            <w:r w:rsidR="0033514B" w:rsidRPr="07465460">
              <w:rPr>
                <w:color w:val="auto"/>
              </w:rPr>
              <w:t xml:space="preserve">approved by </w:t>
            </w:r>
            <w:r w:rsidRPr="07465460">
              <w:rPr>
                <w:color w:val="auto"/>
              </w:rPr>
              <w:t xml:space="preserve">the </w:t>
            </w:r>
            <w:r w:rsidR="0033514B" w:rsidRPr="07465460">
              <w:rPr>
                <w:color w:val="auto"/>
              </w:rPr>
              <w:t>Central Bank</w:t>
            </w:r>
            <w:r w:rsidRPr="07465460">
              <w:rPr>
                <w:color w:val="auto"/>
              </w:rPr>
              <w:t xml:space="preserve"> </w:t>
            </w:r>
            <w:r w:rsidR="00D6265A" w:rsidRPr="07465460">
              <w:rPr>
                <w:color w:val="auto"/>
              </w:rPr>
              <w:t xml:space="preserve">of </w:t>
            </w:r>
            <w:r w:rsidR="0033514B" w:rsidRPr="07465460">
              <w:rPr>
                <w:color w:val="auto"/>
              </w:rPr>
              <w:t>Samoa Governor in August 2022</w:t>
            </w:r>
            <w:r w:rsidR="003304BD" w:rsidRPr="07465460">
              <w:rPr>
                <w:color w:val="auto"/>
              </w:rPr>
              <w:t>, enabling</w:t>
            </w:r>
            <w:r w:rsidR="0033514B" w:rsidRPr="07465460">
              <w:rPr>
                <w:color w:val="auto"/>
              </w:rPr>
              <w:t xml:space="preserve"> public consultations on supporting legislation to proceed. </w:t>
            </w:r>
            <w:r w:rsidR="7C63E8BE" w:rsidRPr="07465460">
              <w:rPr>
                <w:color w:val="auto"/>
              </w:rPr>
              <w:t xml:space="preserve">The </w:t>
            </w:r>
            <w:r w:rsidR="01C6AD0E" w:rsidRPr="07465460">
              <w:rPr>
                <w:color w:val="auto"/>
              </w:rPr>
              <w:t>p</w:t>
            </w:r>
            <w:r w:rsidR="7C63E8BE" w:rsidRPr="07465460">
              <w:rPr>
                <w:color w:val="auto"/>
              </w:rPr>
              <w:t xml:space="preserve">olicy </w:t>
            </w:r>
            <w:r w:rsidR="0033514B" w:rsidRPr="07465460">
              <w:rPr>
                <w:color w:val="auto"/>
              </w:rPr>
              <w:t>aims to improve financial access for smallholder businesses by enabling them to build a transparent credit history to access financing through ‘reputational collateral’ in the absence of physical collateral.</w:t>
            </w:r>
          </w:p>
        </w:tc>
      </w:tr>
      <w:tr w:rsidR="00B129CF" w:rsidRPr="00B129CF" w14:paraId="4DF45926" w14:textId="77777777" w:rsidTr="07465460">
        <w:trPr>
          <w:cantSplit/>
          <w:trHeight w:val="1788"/>
        </w:trPr>
        <w:tc>
          <w:tcPr>
            <w:tcW w:w="3539" w:type="dxa"/>
          </w:tcPr>
          <w:p w14:paraId="0B1E2DC4" w14:textId="0891705C" w:rsidR="0033514B" w:rsidRPr="00B129CF" w:rsidRDefault="0033514B" w:rsidP="007368ED">
            <w:pPr>
              <w:keepLines/>
              <w:widowControl w:val="0"/>
              <w:suppressAutoHyphens w:val="0"/>
              <w:spacing w:after="120" w:line="240" w:lineRule="auto"/>
              <w:rPr>
                <w:rFonts w:cstheme="minorHAnsi"/>
                <w:color w:val="auto"/>
              </w:rPr>
            </w:pPr>
            <w:r w:rsidRPr="00B129CF">
              <w:rPr>
                <w:rFonts w:eastAsia="Calibri Light" w:cstheme="minorHAnsi"/>
                <w:color w:val="auto"/>
              </w:rPr>
              <w:t>Number of people supported to have raised incomes and better jobs of livelihoods (Target: 600)</w:t>
            </w:r>
          </w:p>
        </w:tc>
        <w:tc>
          <w:tcPr>
            <w:tcW w:w="6997" w:type="dxa"/>
          </w:tcPr>
          <w:p w14:paraId="66839998" w14:textId="2EA12134" w:rsidR="00397968" w:rsidRPr="00B129CF" w:rsidRDefault="00397968" w:rsidP="007368ED">
            <w:pPr>
              <w:keepLines/>
              <w:widowControl w:val="0"/>
              <w:suppressAutoHyphens w:val="0"/>
              <w:spacing w:after="120" w:line="240" w:lineRule="auto"/>
              <w:rPr>
                <w:rFonts w:cstheme="minorHAnsi"/>
                <w:color w:val="auto"/>
              </w:rPr>
            </w:pPr>
            <w:r w:rsidRPr="00B129CF">
              <w:rPr>
                <w:rFonts w:cstheme="minorHAnsi"/>
                <w:color w:val="auto"/>
              </w:rPr>
              <w:t>565 A</w:t>
            </w:r>
            <w:r w:rsidR="00CF4FCD" w:rsidRPr="00B129CF">
              <w:rPr>
                <w:rFonts w:cstheme="minorHAnsi"/>
                <w:color w:val="auto"/>
              </w:rPr>
              <w:t xml:space="preserve">ustralia Pacific Training Coalition </w:t>
            </w:r>
            <w:r w:rsidRPr="00B129CF">
              <w:rPr>
                <w:rFonts w:cstheme="minorHAnsi"/>
                <w:color w:val="auto"/>
              </w:rPr>
              <w:t>Graduates upskilled with qualifications including</w:t>
            </w:r>
            <w:r w:rsidR="00FB632A" w:rsidRPr="00B129CF">
              <w:rPr>
                <w:rFonts w:cstheme="minorHAnsi"/>
                <w:color w:val="auto"/>
              </w:rPr>
              <w:t xml:space="preserve"> in</w:t>
            </w:r>
            <w:r w:rsidRPr="00B129CF">
              <w:rPr>
                <w:rFonts w:cstheme="minorHAnsi"/>
                <w:color w:val="auto"/>
              </w:rPr>
              <w:t xml:space="preserve"> construction, plumbing, counselling, </w:t>
            </w:r>
            <w:r w:rsidR="00FB632A" w:rsidRPr="00B129CF">
              <w:rPr>
                <w:rFonts w:cstheme="minorHAnsi"/>
                <w:color w:val="auto"/>
              </w:rPr>
              <w:t>i</w:t>
            </w:r>
            <w:r w:rsidRPr="00B129CF">
              <w:rPr>
                <w:rFonts w:cstheme="minorHAnsi"/>
                <w:color w:val="auto"/>
              </w:rPr>
              <w:t xml:space="preserve">nternational </w:t>
            </w:r>
            <w:r w:rsidR="00FB632A" w:rsidRPr="00B129CF">
              <w:rPr>
                <w:rFonts w:cstheme="minorHAnsi"/>
                <w:color w:val="auto"/>
              </w:rPr>
              <w:t>s</w:t>
            </w:r>
            <w:r w:rsidRPr="00B129CF">
              <w:rPr>
                <w:rFonts w:cstheme="minorHAnsi"/>
                <w:color w:val="auto"/>
              </w:rPr>
              <w:t xml:space="preserve">kills </w:t>
            </w:r>
            <w:r w:rsidR="00C33159" w:rsidRPr="00B129CF">
              <w:rPr>
                <w:rFonts w:cstheme="minorHAnsi"/>
                <w:color w:val="auto"/>
              </w:rPr>
              <w:t>training,</w:t>
            </w:r>
            <w:r w:rsidRPr="00B129CF">
              <w:rPr>
                <w:rFonts w:cstheme="minorHAnsi"/>
                <w:color w:val="auto"/>
              </w:rPr>
              <w:t xml:space="preserve"> and </w:t>
            </w:r>
            <w:r w:rsidR="00FB632A" w:rsidRPr="00B129CF">
              <w:rPr>
                <w:rFonts w:cstheme="minorHAnsi"/>
                <w:color w:val="auto"/>
              </w:rPr>
              <w:t>c</w:t>
            </w:r>
            <w:r w:rsidRPr="00B129CF">
              <w:rPr>
                <w:rFonts w:cstheme="minorHAnsi"/>
                <w:color w:val="auto"/>
              </w:rPr>
              <w:t xml:space="preserve">ommercial </w:t>
            </w:r>
            <w:r w:rsidR="00FB632A" w:rsidRPr="00B129CF">
              <w:rPr>
                <w:rFonts w:cstheme="minorHAnsi"/>
                <w:color w:val="auto"/>
              </w:rPr>
              <w:t>c</w:t>
            </w:r>
            <w:r w:rsidRPr="00B129CF">
              <w:rPr>
                <w:rFonts w:cstheme="minorHAnsi"/>
                <w:color w:val="auto"/>
              </w:rPr>
              <w:t xml:space="preserve">ookery. </w:t>
            </w:r>
          </w:p>
          <w:p w14:paraId="1FCE71E6" w14:textId="14F06B6A" w:rsidR="000317E1" w:rsidRPr="00B129CF" w:rsidRDefault="00397968" w:rsidP="007368ED">
            <w:pPr>
              <w:keepLines/>
              <w:widowControl w:val="0"/>
              <w:suppressAutoHyphens w:val="0"/>
              <w:spacing w:after="120" w:line="240" w:lineRule="auto"/>
              <w:rPr>
                <w:rFonts w:cstheme="minorHAnsi"/>
                <w:color w:val="auto"/>
              </w:rPr>
            </w:pPr>
            <w:r w:rsidRPr="00B129CF">
              <w:rPr>
                <w:rFonts w:cstheme="minorHAnsi"/>
                <w:color w:val="auto"/>
              </w:rPr>
              <w:t xml:space="preserve">36 </w:t>
            </w:r>
            <w:r w:rsidR="00FB632A" w:rsidRPr="00B129CF">
              <w:rPr>
                <w:rFonts w:cstheme="minorHAnsi"/>
                <w:color w:val="auto"/>
              </w:rPr>
              <w:t>u</w:t>
            </w:r>
            <w:r w:rsidRPr="00B129CF">
              <w:rPr>
                <w:rFonts w:cstheme="minorHAnsi"/>
                <w:color w:val="auto"/>
              </w:rPr>
              <w:t xml:space="preserve">niversity graduates upskilled with qualifications including undergraduate and postgraduate degrees in cybersecurity, environmental management, engineering, allied health, </w:t>
            </w:r>
            <w:r w:rsidR="00C33159" w:rsidRPr="00B129CF">
              <w:rPr>
                <w:rFonts w:cstheme="minorHAnsi"/>
                <w:color w:val="auto"/>
              </w:rPr>
              <w:t>law,</w:t>
            </w:r>
            <w:r w:rsidRPr="00B129CF">
              <w:rPr>
                <w:rFonts w:cstheme="minorHAnsi"/>
                <w:color w:val="auto"/>
              </w:rPr>
              <w:t xml:space="preserve"> and political science. </w:t>
            </w:r>
          </w:p>
        </w:tc>
      </w:tr>
      <w:tr w:rsidR="00B129CF" w:rsidRPr="00B129CF" w14:paraId="51A15CF9" w14:textId="77777777" w:rsidTr="07465460">
        <w:trPr>
          <w:cantSplit/>
        </w:trPr>
        <w:tc>
          <w:tcPr>
            <w:tcW w:w="3539" w:type="dxa"/>
          </w:tcPr>
          <w:p w14:paraId="3C75C9F9" w14:textId="71EEEDCD" w:rsidR="0033514B" w:rsidRPr="00B129CF" w:rsidRDefault="0033514B" w:rsidP="007368ED">
            <w:pPr>
              <w:keepLines/>
              <w:widowControl w:val="0"/>
              <w:suppressAutoHyphens w:val="0"/>
              <w:spacing w:after="120" w:line="240" w:lineRule="auto"/>
              <w:rPr>
                <w:rFonts w:eastAsia="Calibri Light" w:cstheme="minorHAnsi"/>
                <w:color w:val="auto"/>
              </w:rPr>
            </w:pPr>
            <w:r w:rsidRPr="00B129CF">
              <w:rPr>
                <w:rFonts w:eastAsia="Calibri Light" w:cstheme="minorHAnsi"/>
                <w:color w:val="auto"/>
              </w:rPr>
              <w:t>Examples of partnering with the private sector and other partners to ensure supply lines are open</w:t>
            </w:r>
          </w:p>
        </w:tc>
        <w:tc>
          <w:tcPr>
            <w:tcW w:w="6997" w:type="dxa"/>
          </w:tcPr>
          <w:p w14:paraId="0DD22350" w14:textId="497B966D" w:rsidR="0033514B" w:rsidRPr="00B129CF" w:rsidRDefault="00AE31E7" w:rsidP="007368ED">
            <w:pPr>
              <w:keepLines/>
              <w:widowControl w:val="0"/>
              <w:suppressAutoHyphens w:val="0"/>
              <w:spacing w:after="120" w:line="240" w:lineRule="auto"/>
              <w:rPr>
                <w:rFonts w:cstheme="minorHAnsi"/>
                <w:color w:val="auto"/>
              </w:rPr>
            </w:pPr>
            <w:r w:rsidRPr="00B129CF">
              <w:rPr>
                <w:rFonts w:cstheme="minorHAnsi"/>
                <w:color w:val="auto"/>
              </w:rPr>
              <w:t>N</w:t>
            </w:r>
            <w:r w:rsidR="00C46281" w:rsidRPr="00B129CF">
              <w:rPr>
                <w:rFonts w:cstheme="minorHAnsi"/>
                <w:color w:val="auto"/>
              </w:rPr>
              <w:t>o bilateral investments covering this area in 202</w:t>
            </w:r>
            <w:r w:rsidR="00B31D81" w:rsidRPr="00B129CF">
              <w:rPr>
                <w:rFonts w:cstheme="minorHAnsi"/>
                <w:color w:val="auto"/>
              </w:rPr>
              <w:t>2</w:t>
            </w:r>
            <w:r w:rsidR="00C46281" w:rsidRPr="00B129CF">
              <w:rPr>
                <w:rFonts w:cstheme="minorHAnsi"/>
                <w:color w:val="auto"/>
              </w:rPr>
              <w:t>-2</w:t>
            </w:r>
            <w:r w:rsidR="00B31D81" w:rsidRPr="00B129CF">
              <w:rPr>
                <w:rFonts w:cstheme="minorHAnsi"/>
                <w:color w:val="auto"/>
              </w:rPr>
              <w:t>3</w:t>
            </w:r>
            <w:r w:rsidR="00C46281" w:rsidRPr="00B129CF">
              <w:rPr>
                <w:rFonts w:cstheme="minorHAnsi"/>
                <w:color w:val="auto"/>
              </w:rPr>
              <w:t>.</w:t>
            </w:r>
          </w:p>
        </w:tc>
      </w:tr>
      <w:tr w:rsidR="006C0648" w:rsidRPr="00B129CF" w14:paraId="74A01CD4" w14:textId="77777777" w:rsidTr="07465460">
        <w:trPr>
          <w:cantSplit/>
          <w:trHeight w:val="300"/>
        </w:trPr>
        <w:tc>
          <w:tcPr>
            <w:tcW w:w="3539" w:type="dxa"/>
          </w:tcPr>
          <w:p w14:paraId="7DF5CFAD" w14:textId="7E5778AE" w:rsidR="006C0648" w:rsidRPr="00B129CF" w:rsidRDefault="006C0648" w:rsidP="007368ED">
            <w:pPr>
              <w:keepLines/>
              <w:widowControl w:val="0"/>
              <w:suppressAutoHyphens w:val="0"/>
              <w:spacing w:after="120" w:line="240" w:lineRule="auto"/>
              <w:rPr>
                <w:rFonts w:eastAsia="Calibri Light" w:cstheme="minorHAnsi"/>
                <w:color w:val="auto"/>
              </w:rPr>
            </w:pPr>
            <w:r w:rsidRPr="00B129CF">
              <w:rPr>
                <w:rFonts w:eastAsia="Calibri Light" w:cstheme="minorHAnsi"/>
                <w:color w:val="auto"/>
              </w:rPr>
              <w:t>Australian budget support as a percentage of the partner country’s domestic revenue</w:t>
            </w:r>
            <w:r w:rsidRPr="00B129CF">
              <w:rPr>
                <w:rStyle w:val="FootnoteReference"/>
                <w:rFonts w:eastAsia="Calibri Light" w:cstheme="minorHAnsi"/>
                <w:color w:val="auto"/>
              </w:rPr>
              <w:footnoteReference w:id="5"/>
            </w:r>
            <w:r w:rsidRPr="00B129CF">
              <w:rPr>
                <w:rFonts w:eastAsia="Calibri Light" w:cstheme="minorHAnsi"/>
                <w:color w:val="auto"/>
              </w:rPr>
              <w:t xml:space="preserve"> </w:t>
            </w:r>
          </w:p>
        </w:tc>
        <w:tc>
          <w:tcPr>
            <w:tcW w:w="6997" w:type="dxa"/>
          </w:tcPr>
          <w:p w14:paraId="21DF1B09" w14:textId="76BF8140" w:rsidR="006C0648" w:rsidRPr="00B129CF" w:rsidRDefault="006C0648" w:rsidP="007368ED">
            <w:pPr>
              <w:keepLines/>
              <w:widowControl w:val="0"/>
              <w:suppressAutoHyphens w:val="0"/>
              <w:spacing w:after="120" w:line="240" w:lineRule="auto"/>
              <w:rPr>
                <w:rFonts w:cstheme="minorHAnsi"/>
                <w:color w:val="auto"/>
              </w:rPr>
            </w:pPr>
            <w:r w:rsidRPr="00B129CF">
              <w:rPr>
                <w:rFonts w:cstheme="minorHAnsi"/>
                <w:color w:val="auto"/>
              </w:rPr>
              <w:t xml:space="preserve">Australia provided </w:t>
            </w:r>
            <w:r w:rsidR="00A90FF5" w:rsidRPr="00B129CF">
              <w:rPr>
                <w:rFonts w:cstheme="minorHAnsi"/>
                <w:color w:val="auto"/>
              </w:rPr>
              <w:t>$</w:t>
            </w:r>
            <w:r w:rsidR="00B525EA" w:rsidRPr="00B129CF">
              <w:rPr>
                <w:rFonts w:cstheme="minorHAnsi"/>
                <w:color w:val="auto"/>
              </w:rPr>
              <w:t>24.3</w:t>
            </w:r>
            <w:r w:rsidR="00A90FF5" w:rsidRPr="00B129CF">
              <w:rPr>
                <w:rFonts w:cstheme="minorHAnsi"/>
                <w:color w:val="auto"/>
              </w:rPr>
              <w:t xml:space="preserve"> million in </w:t>
            </w:r>
            <w:r w:rsidRPr="00B129CF">
              <w:rPr>
                <w:rFonts w:cstheme="minorHAnsi"/>
                <w:color w:val="auto"/>
              </w:rPr>
              <w:t>budget support</w:t>
            </w:r>
            <w:r w:rsidR="00A90FF5" w:rsidRPr="00B129CF">
              <w:rPr>
                <w:rFonts w:cstheme="minorHAnsi"/>
                <w:color w:val="auto"/>
              </w:rPr>
              <w:t xml:space="preserve"> in 2022-23, equating to </w:t>
            </w:r>
            <w:r w:rsidRPr="00B129CF">
              <w:rPr>
                <w:rFonts w:cstheme="minorHAnsi"/>
                <w:color w:val="auto"/>
              </w:rPr>
              <w:t>8.92</w:t>
            </w:r>
            <w:r w:rsidR="00A90FF5" w:rsidRPr="00B129CF">
              <w:rPr>
                <w:rFonts w:cstheme="minorHAnsi"/>
                <w:color w:val="auto"/>
              </w:rPr>
              <w:t> </w:t>
            </w:r>
            <w:r w:rsidRPr="00B129CF">
              <w:rPr>
                <w:rFonts w:cstheme="minorHAnsi"/>
                <w:color w:val="auto"/>
              </w:rPr>
              <w:t>per cent of total domestic revenue</w:t>
            </w:r>
            <w:r w:rsidRPr="00B129CF">
              <w:rPr>
                <w:color w:val="auto"/>
              </w:rPr>
              <w:t>.</w:t>
            </w:r>
          </w:p>
        </w:tc>
      </w:tr>
    </w:tbl>
    <w:p w14:paraId="0219CC1F" w14:textId="77777777" w:rsidR="008A6BB7" w:rsidRPr="00B129CF" w:rsidRDefault="008A6BB7" w:rsidP="002F65DB">
      <w:pPr>
        <w:pStyle w:val="Heading2"/>
      </w:pPr>
    </w:p>
    <w:p w14:paraId="2F13E6BA" w14:textId="77618658" w:rsidR="0066661A" w:rsidRPr="00B129CF" w:rsidRDefault="0066661A" w:rsidP="0066661A">
      <w:pPr>
        <w:tabs>
          <w:tab w:val="left" w:pos="1680"/>
        </w:tabs>
        <w:rPr>
          <w:color w:val="auto"/>
        </w:rPr>
        <w:sectPr w:rsidR="0066661A" w:rsidRPr="00B129CF" w:rsidSect="007368ED">
          <w:headerReference w:type="default" r:id="rId12"/>
          <w:footerReference w:type="default" r:id="rId13"/>
          <w:headerReference w:type="first" r:id="rId14"/>
          <w:pgSz w:w="11906" w:h="16838" w:code="9"/>
          <w:pgMar w:top="1559" w:right="680" w:bottom="1418" w:left="680" w:header="567" w:footer="0" w:gutter="0"/>
          <w:cols w:space="397"/>
          <w:docGrid w:linePitch="360"/>
        </w:sectPr>
      </w:pPr>
      <w:r w:rsidRPr="00B129CF">
        <w:rPr>
          <w:rFonts w:eastAsiaTheme="majorEastAsia" w:cstheme="minorHAnsi"/>
          <w:b/>
          <w:caps/>
          <w:color w:val="auto"/>
          <w:szCs w:val="26"/>
        </w:rPr>
        <w:tab/>
      </w:r>
    </w:p>
    <w:p w14:paraId="426EE73C" w14:textId="60F73B00" w:rsidR="00A25F9A" w:rsidRPr="00B129CF" w:rsidRDefault="00A25F9A" w:rsidP="002A7561">
      <w:pPr>
        <w:pStyle w:val="Heading3"/>
      </w:pPr>
      <w:r w:rsidRPr="00B129CF">
        <w:lastRenderedPageBreak/>
        <w:t>Investment Performance ratings</w:t>
      </w:r>
    </w:p>
    <w:tbl>
      <w:tblPr>
        <w:tblStyle w:val="DFATTable1"/>
        <w:tblW w:w="4976" w:type="pct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Layout w:type="fixed"/>
        <w:tblLook w:val="04A0" w:firstRow="1" w:lastRow="0" w:firstColumn="1" w:lastColumn="0" w:noHBand="0" w:noVBand="1"/>
        <w:tblCaption w:val="Supporting Investment Performance"/>
        <w:tblDescription w:val="Development Program Investment details, name, duration, budget and performance ratings for 2020 and 2021 for Effectiveness, Efficiency, Gender Equality; Risk and Safeguards "/>
      </w:tblPr>
      <w:tblGrid>
        <w:gridCol w:w="4954"/>
        <w:gridCol w:w="1275"/>
        <w:gridCol w:w="1420"/>
        <w:gridCol w:w="1137"/>
        <w:gridCol w:w="1699"/>
      </w:tblGrid>
      <w:tr w:rsidR="00B129CF" w:rsidRPr="00B129CF" w14:paraId="69FD1E5F" w14:textId="77777777" w:rsidTr="00A313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pct"/>
            <w:shd w:val="clear" w:color="auto" w:fill="A2DCD1" w:themeFill="accent1" w:themeFillTint="99"/>
            <w:noWrap/>
            <w:hideMark/>
          </w:tcPr>
          <w:p w14:paraId="287BF78E" w14:textId="77777777" w:rsidR="00AC551D" w:rsidRPr="00B129CF" w:rsidRDefault="00AC551D" w:rsidP="00AF18F4">
            <w:pPr>
              <w:suppressAutoHyphens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b/>
                <w:bCs/>
                <w:color w:val="auto"/>
                <w:lang w:val="en-AU" w:eastAsia="en-AU"/>
              </w:rPr>
              <w:t>Investment Details</w:t>
            </w:r>
          </w:p>
        </w:tc>
        <w:tc>
          <w:tcPr>
            <w:tcW w:w="608" w:type="pct"/>
            <w:shd w:val="clear" w:color="auto" w:fill="A2DCD1" w:themeFill="accent1" w:themeFillTint="99"/>
            <w:noWrap/>
            <w:hideMark/>
          </w:tcPr>
          <w:p w14:paraId="36D4C187" w14:textId="77777777" w:rsidR="00AC551D" w:rsidRPr="00B129CF" w:rsidRDefault="00AC551D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b/>
                <w:bCs/>
                <w:color w:val="auto"/>
                <w:lang w:val="en-AU" w:eastAsia="en-AU"/>
              </w:rPr>
              <w:t>Year</w:t>
            </w:r>
          </w:p>
        </w:tc>
        <w:tc>
          <w:tcPr>
            <w:tcW w:w="677" w:type="pct"/>
            <w:shd w:val="clear" w:color="auto" w:fill="A2DCD1" w:themeFill="accent1" w:themeFillTint="99"/>
            <w:noWrap/>
            <w:hideMark/>
          </w:tcPr>
          <w:p w14:paraId="1B1121B3" w14:textId="77777777" w:rsidR="00AC551D" w:rsidRPr="00B129CF" w:rsidRDefault="00AC551D" w:rsidP="00CA502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b/>
                <w:bCs/>
                <w:color w:val="auto"/>
                <w:lang w:val="en-AU" w:eastAsia="en-AU"/>
              </w:rPr>
              <w:t>Effectiveness</w:t>
            </w:r>
          </w:p>
        </w:tc>
        <w:tc>
          <w:tcPr>
            <w:tcW w:w="542" w:type="pct"/>
            <w:shd w:val="clear" w:color="auto" w:fill="A2DCD1" w:themeFill="accent1" w:themeFillTint="99"/>
            <w:noWrap/>
            <w:hideMark/>
          </w:tcPr>
          <w:p w14:paraId="7B4698B4" w14:textId="77777777" w:rsidR="00AC551D" w:rsidRPr="00B129CF" w:rsidRDefault="00AC551D" w:rsidP="00CA502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b/>
                <w:bCs/>
                <w:color w:val="auto"/>
                <w:lang w:val="en-AU" w:eastAsia="en-AU"/>
              </w:rPr>
              <w:t>Efficiency</w:t>
            </w:r>
          </w:p>
        </w:tc>
        <w:tc>
          <w:tcPr>
            <w:tcW w:w="810" w:type="pct"/>
            <w:shd w:val="clear" w:color="auto" w:fill="A2DCD1" w:themeFill="accent1" w:themeFillTint="99"/>
            <w:noWrap/>
            <w:hideMark/>
          </w:tcPr>
          <w:p w14:paraId="5E5D38EF" w14:textId="4CC6B5C6" w:rsidR="00AC551D" w:rsidRPr="00B129CF" w:rsidRDefault="00AC551D" w:rsidP="00CA502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b/>
                <w:bCs/>
                <w:color w:val="auto"/>
                <w:lang w:val="en-AU" w:eastAsia="en-AU"/>
              </w:rPr>
              <w:t>Gender Equality</w:t>
            </w:r>
          </w:p>
        </w:tc>
      </w:tr>
      <w:tr w:rsidR="00B129CF" w:rsidRPr="00B129CF" w14:paraId="1867487D" w14:textId="77777777" w:rsidTr="00A31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pct"/>
            <w:tcBorders>
              <w:bottom w:val="nil"/>
            </w:tcBorders>
            <w:shd w:val="clear" w:color="auto" w:fill="F2F2F2" w:themeFill="background1" w:themeFillShade="F2"/>
            <w:vAlign w:val="bottom"/>
            <w:hideMark/>
          </w:tcPr>
          <w:p w14:paraId="2E831155" w14:textId="3CACC283" w:rsidR="00AC551D" w:rsidRPr="00B129CF" w:rsidRDefault="7EDB5663" w:rsidP="002E50F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</w:pPr>
            <w:r w:rsidRPr="00B129CF"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  <w:t>Samoa Parliament Complex Redevelopment Phase II – Legislative Assembly Office Redevelopment</w:t>
            </w:r>
          </w:p>
        </w:tc>
        <w:tc>
          <w:tcPr>
            <w:tcW w:w="608" w:type="pct"/>
            <w:shd w:val="clear" w:color="auto" w:fill="F2F2F2" w:themeFill="background1" w:themeFillShade="F2"/>
            <w:hideMark/>
          </w:tcPr>
          <w:p w14:paraId="753CB627" w14:textId="72728F46" w:rsidR="00AC551D" w:rsidRPr="00B129CF" w:rsidRDefault="00AC551D" w:rsidP="002E50F0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eastAsia="en-AU"/>
              </w:rPr>
              <w:t>202</w:t>
            </w:r>
            <w:r w:rsidR="00996FC8" w:rsidRPr="00B129CF">
              <w:rPr>
                <w:rFonts w:asciiTheme="minorHAnsi" w:eastAsia="Times New Roman" w:hAnsiTheme="minorHAnsi" w:cstheme="minorHAnsi"/>
                <w:color w:val="auto"/>
                <w:lang w:eastAsia="en-AU"/>
              </w:rPr>
              <w:t>3</w:t>
            </w:r>
          </w:p>
        </w:tc>
        <w:tc>
          <w:tcPr>
            <w:tcW w:w="677" w:type="pct"/>
            <w:shd w:val="clear" w:color="auto" w:fill="F2F2F2" w:themeFill="background1" w:themeFillShade="F2"/>
            <w:noWrap/>
          </w:tcPr>
          <w:p w14:paraId="3524F2ED" w14:textId="5E943125" w:rsidR="00AC551D" w:rsidRPr="00B129CF" w:rsidRDefault="118AE76E" w:rsidP="002E50F0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3</w:t>
            </w:r>
          </w:p>
        </w:tc>
        <w:tc>
          <w:tcPr>
            <w:tcW w:w="542" w:type="pct"/>
            <w:shd w:val="clear" w:color="auto" w:fill="F2F2F2" w:themeFill="background1" w:themeFillShade="F2"/>
            <w:noWrap/>
          </w:tcPr>
          <w:p w14:paraId="65883235" w14:textId="649A5251" w:rsidR="00AC551D" w:rsidRPr="00B129CF" w:rsidRDefault="118AE76E" w:rsidP="002E50F0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2</w:t>
            </w:r>
          </w:p>
        </w:tc>
        <w:tc>
          <w:tcPr>
            <w:tcW w:w="810" w:type="pct"/>
            <w:shd w:val="clear" w:color="auto" w:fill="F2F2F2" w:themeFill="background1" w:themeFillShade="F2"/>
            <w:noWrap/>
          </w:tcPr>
          <w:p w14:paraId="34FAF95D" w14:textId="44477A9F" w:rsidR="00AC551D" w:rsidRPr="00B129CF" w:rsidRDefault="118AE76E" w:rsidP="002E50F0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5</w:t>
            </w:r>
          </w:p>
        </w:tc>
      </w:tr>
      <w:tr w:rsidR="00B129CF" w:rsidRPr="00B129CF" w14:paraId="3F9940CA" w14:textId="77777777" w:rsidTr="00A313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pct"/>
            <w:tcBorders>
              <w:top w:val="nil"/>
              <w:bottom w:val="single" w:sz="4" w:space="0" w:color="65C5B4" w:themeColor="accent1"/>
            </w:tcBorders>
            <w:shd w:val="clear" w:color="auto" w:fill="F2F2F2" w:themeFill="background1" w:themeFillShade="F2"/>
            <w:hideMark/>
          </w:tcPr>
          <w:p w14:paraId="4D54A0A0" w14:textId="572BEF98" w:rsidR="000C4D30" w:rsidRPr="00B129CF" w:rsidRDefault="000C4D30" w:rsidP="00C82C89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 xml:space="preserve">Investment duration: 2022-26; Budget: $17.0m </w:t>
            </w:r>
          </w:p>
        </w:tc>
        <w:tc>
          <w:tcPr>
            <w:tcW w:w="608" w:type="pct"/>
            <w:shd w:val="clear" w:color="auto" w:fill="F2F2F2" w:themeFill="background1" w:themeFillShade="F2"/>
            <w:hideMark/>
          </w:tcPr>
          <w:p w14:paraId="42A30353" w14:textId="0E791758" w:rsidR="000C4D30" w:rsidRPr="00B129CF" w:rsidRDefault="000C4D30" w:rsidP="000C4D30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eastAsia="en-AU"/>
              </w:rPr>
              <w:t>2022</w:t>
            </w:r>
          </w:p>
        </w:tc>
        <w:tc>
          <w:tcPr>
            <w:tcW w:w="677" w:type="pct"/>
            <w:shd w:val="clear" w:color="auto" w:fill="F2F2F2" w:themeFill="background1" w:themeFillShade="F2"/>
            <w:noWrap/>
          </w:tcPr>
          <w:p w14:paraId="02C361E5" w14:textId="166D1761" w:rsidR="000C4D30" w:rsidRPr="00B129CF" w:rsidRDefault="000C4D30" w:rsidP="000C4D30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N/A</w:t>
            </w:r>
          </w:p>
        </w:tc>
        <w:tc>
          <w:tcPr>
            <w:tcW w:w="542" w:type="pct"/>
            <w:shd w:val="clear" w:color="auto" w:fill="F2F2F2" w:themeFill="background1" w:themeFillShade="F2"/>
            <w:noWrap/>
          </w:tcPr>
          <w:p w14:paraId="1C8F4065" w14:textId="3DF8FDA7" w:rsidR="000C4D30" w:rsidRPr="00B129CF" w:rsidRDefault="000C4D30" w:rsidP="000C4D30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N/A</w:t>
            </w:r>
          </w:p>
        </w:tc>
        <w:tc>
          <w:tcPr>
            <w:tcW w:w="810" w:type="pct"/>
            <w:shd w:val="clear" w:color="auto" w:fill="F2F2F2" w:themeFill="background1" w:themeFillShade="F2"/>
            <w:noWrap/>
          </w:tcPr>
          <w:p w14:paraId="3EA630FF" w14:textId="533F8ADC" w:rsidR="000C4D30" w:rsidRPr="00B129CF" w:rsidRDefault="000C4D30" w:rsidP="000C4D30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N/A</w:t>
            </w:r>
          </w:p>
        </w:tc>
      </w:tr>
      <w:tr w:rsidR="00B129CF" w:rsidRPr="00B129CF" w14:paraId="664415AC" w14:textId="77777777" w:rsidTr="00A31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pct"/>
            <w:tcBorders>
              <w:bottom w:val="nil"/>
            </w:tcBorders>
            <w:shd w:val="clear" w:color="auto" w:fill="E0F3EF" w:themeFill="accent1" w:themeFillTint="33"/>
            <w:noWrap/>
            <w:vAlign w:val="bottom"/>
            <w:hideMark/>
          </w:tcPr>
          <w:p w14:paraId="75576776" w14:textId="4E724A77" w:rsidR="00AC551D" w:rsidRPr="00B129CF" w:rsidRDefault="46E89917" w:rsidP="002E50F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</w:pPr>
            <w:r w:rsidRPr="00B129CF"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  <w:t>Education Sector Support Program II (ESSP II)</w:t>
            </w:r>
          </w:p>
        </w:tc>
        <w:tc>
          <w:tcPr>
            <w:tcW w:w="608" w:type="pct"/>
            <w:hideMark/>
          </w:tcPr>
          <w:p w14:paraId="35291127" w14:textId="39A9B18A" w:rsidR="00AC551D" w:rsidRPr="00B129CF" w:rsidRDefault="00AC551D" w:rsidP="002E50F0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eastAsia="en-AU"/>
              </w:rPr>
              <w:t>202</w:t>
            </w:r>
            <w:r w:rsidR="00996FC8" w:rsidRPr="00B129CF">
              <w:rPr>
                <w:rFonts w:asciiTheme="minorHAnsi" w:eastAsia="Times New Roman" w:hAnsiTheme="minorHAnsi" w:cstheme="minorHAnsi"/>
                <w:color w:val="auto"/>
                <w:lang w:eastAsia="en-AU"/>
              </w:rPr>
              <w:t>3</w:t>
            </w:r>
          </w:p>
        </w:tc>
        <w:tc>
          <w:tcPr>
            <w:tcW w:w="677" w:type="pct"/>
            <w:noWrap/>
          </w:tcPr>
          <w:p w14:paraId="0383E59B" w14:textId="347DB576" w:rsidR="00AC551D" w:rsidRPr="00B129CF" w:rsidRDefault="3564A37A" w:rsidP="002E50F0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eastAsia="en-AU"/>
              </w:rPr>
              <w:t>3</w:t>
            </w:r>
          </w:p>
        </w:tc>
        <w:tc>
          <w:tcPr>
            <w:tcW w:w="542" w:type="pct"/>
            <w:noWrap/>
          </w:tcPr>
          <w:p w14:paraId="760C1604" w14:textId="49753930" w:rsidR="00AC551D" w:rsidRPr="00B129CF" w:rsidRDefault="3564A37A" w:rsidP="002E50F0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eastAsia="en-AU"/>
              </w:rPr>
              <w:t>4</w:t>
            </w:r>
          </w:p>
        </w:tc>
        <w:tc>
          <w:tcPr>
            <w:tcW w:w="810" w:type="pct"/>
            <w:noWrap/>
          </w:tcPr>
          <w:p w14:paraId="48B585D3" w14:textId="4CA85969" w:rsidR="00AC551D" w:rsidRPr="00B129CF" w:rsidRDefault="3564A37A" w:rsidP="002E50F0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eastAsia="en-AU"/>
              </w:rPr>
              <w:t>4</w:t>
            </w:r>
          </w:p>
        </w:tc>
      </w:tr>
      <w:tr w:rsidR="00B129CF" w:rsidRPr="00B129CF" w14:paraId="5EA4A873" w14:textId="77777777" w:rsidTr="00A313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pct"/>
            <w:tcBorders>
              <w:top w:val="nil"/>
              <w:bottom w:val="single" w:sz="4" w:space="0" w:color="65C5B4" w:themeColor="accent1"/>
            </w:tcBorders>
            <w:shd w:val="clear" w:color="auto" w:fill="E0F3EF" w:themeFill="accent1" w:themeFillTint="33"/>
            <w:hideMark/>
          </w:tcPr>
          <w:p w14:paraId="5D004B83" w14:textId="7F2C930D" w:rsidR="00AC551D" w:rsidRPr="00B129CF" w:rsidRDefault="0913F967" w:rsidP="00C82C89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 xml:space="preserve">Investment duration: </w:t>
            </w:r>
            <w:r w:rsidR="56911A96"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2019-24</w:t>
            </w: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; Budget: $</w:t>
            </w:r>
            <w:r w:rsidR="4E7421A6"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14.1</w:t>
            </w: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m</w:t>
            </w:r>
          </w:p>
        </w:tc>
        <w:tc>
          <w:tcPr>
            <w:tcW w:w="608" w:type="pct"/>
            <w:shd w:val="clear" w:color="auto" w:fill="E0F3EF" w:themeFill="accent1" w:themeFillTint="33"/>
            <w:hideMark/>
          </w:tcPr>
          <w:p w14:paraId="6F5DCD3C" w14:textId="0DF13F05" w:rsidR="00AC551D" w:rsidRPr="00B129CF" w:rsidRDefault="00AC551D" w:rsidP="002E50F0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eastAsia="en-AU"/>
              </w:rPr>
              <w:t>202</w:t>
            </w:r>
            <w:r w:rsidR="00996FC8" w:rsidRPr="00B129CF">
              <w:rPr>
                <w:rFonts w:asciiTheme="minorHAnsi" w:eastAsia="Times New Roman" w:hAnsiTheme="minorHAnsi" w:cstheme="minorHAnsi"/>
                <w:color w:val="auto"/>
                <w:lang w:eastAsia="en-AU"/>
              </w:rPr>
              <w:t>2</w:t>
            </w:r>
          </w:p>
        </w:tc>
        <w:tc>
          <w:tcPr>
            <w:tcW w:w="677" w:type="pct"/>
            <w:shd w:val="clear" w:color="auto" w:fill="E0F3EF" w:themeFill="accent1" w:themeFillTint="33"/>
            <w:noWrap/>
          </w:tcPr>
          <w:p w14:paraId="7C975F2B" w14:textId="4EE42E32" w:rsidR="00AC551D" w:rsidRPr="00B129CF" w:rsidRDefault="3E046DB7" w:rsidP="002E50F0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  <w:tc>
          <w:tcPr>
            <w:tcW w:w="542" w:type="pct"/>
            <w:shd w:val="clear" w:color="auto" w:fill="E0F3EF" w:themeFill="accent1" w:themeFillTint="33"/>
            <w:noWrap/>
          </w:tcPr>
          <w:p w14:paraId="562AF5DF" w14:textId="7F2EF297" w:rsidR="00AC551D" w:rsidRPr="00B129CF" w:rsidRDefault="3E046DB7" w:rsidP="002E50F0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  <w:tc>
          <w:tcPr>
            <w:tcW w:w="810" w:type="pct"/>
            <w:shd w:val="clear" w:color="auto" w:fill="E0F3EF" w:themeFill="accent1" w:themeFillTint="33"/>
            <w:noWrap/>
          </w:tcPr>
          <w:p w14:paraId="49275297" w14:textId="4B64B39E" w:rsidR="00AC551D" w:rsidRPr="00B129CF" w:rsidRDefault="3E046DB7" w:rsidP="002E50F0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</w:tr>
      <w:tr w:rsidR="00B129CF" w:rsidRPr="00B129CF" w14:paraId="7C3C602D" w14:textId="77777777" w:rsidTr="00A31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pct"/>
            <w:tcBorders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DF2B53" w14:textId="3A386E0E" w:rsidR="00AC551D" w:rsidRPr="00B129CF" w:rsidRDefault="3E046DB7" w:rsidP="002E50F0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B129CF"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  <w:t>Markets for Change (M4C) Program</w:t>
            </w:r>
          </w:p>
        </w:tc>
        <w:tc>
          <w:tcPr>
            <w:tcW w:w="608" w:type="pct"/>
            <w:shd w:val="clear" w:color="auto" w:fill="F2F2F2" w:themeFill="background1" w:themeFillShade="F2"/>
            <w:hideMark/>
          </w:tcPr>
          <w:p w14:paraId="258E1068" w14:textId="7D70279D" w:rsidR="00AC551D" w:rsidRPr="00B129CF" w:rsidRDefault="00AC551D" w:rsidP="002E50F0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202</w:t>
            </w:r>
            <w:r w:rsidR="00996FC8"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3</w:t>
            </w:r>
          </w:p>
        </w:tc>
        <w:tc>
          <w:tcPr>
            <w:tcW w:w="677" w:type="pct"/>
            <w:shd w:val="clear" w:color="auto" w:fill="F2F2F2" w:themeFill="background1" w:themeFillShade="F2"/>
            <w:noWrap/>
          </w:tcPr>
          <w:p w14:paraId="561825FE" w14:textId="10B158B8" w:rsidR="00AC551D" w:rsidRPr="00B129CF" w:rsidRDefault="69452C73" w:rsidP="002E50F0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  <w:tc>
          <w:tcPr>
            <w:tcW w:w="542" w:type="pct"/>
            <w:shd w:val="clear" w:color="auto" w:fill="F2F2F2" w:themeFill="background1" w:themeFillShade="F2"/>
            <w:noWrap/>
          </w:tcPr>
          <w:p w14:paraId="777674A9" w14:textId="022407BC" w:rsidR="00AC551D" w:rsidRPr="00B129CF" w:rsidRDefault="69452C73" w:rsidP="002E50F0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3</w:t>
            </w:r>
          </w:p>
        </w:tc>
        <w:tc>
          <w:tcPr>
            <w:tcW w:w="810" w:type="pct"/>
            <w:shd w:val="clear" w:color="auto" w:fill="F2F2F2" w:themeFill="background1" w:themeFillShade="F2"/>
            <w:noWrap/>
          </w:tcPr>
          <w:p w14:paraId="16666D1C" w14:textId="7E306D85" w:rsidR="00AC551D" w:rsidRPr="00B129CF" w:rsidRDefault="69452C73" w:rsidP="002E50F0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</w:tr>
      <w:tr w:rsidR="00B129CF" w:rsidRPr="00B129CF" w14:paraId="173568D7" w14:textId="77777777" w:rsidTr="00A313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pct"/>
            <w:tcBorders>
              <w:top w:val="nil"/>
            </w:tcBorders>
            <w:shd w:val="clear" w:color="auto" w:fill="F2F2F2" w:themeFill="background1" w:themeFillShade="F2"/>
            <w:hideMark/>
          </w:tcPr>
          <w:p w14:paraId="3342A73E" w14:textId="7F03C55F" w:rsidR="000C4D30" w:rsidRPr="00B129CF" w:rsidRDefault="000C4D30" w:rsidP="00C82C89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Investment duration: 2021-26; Budget: $5.3m</w:t>
            </w:r>
          </w:p>
        </w:tc>
        <w:tc>
          <w:tcPr>
            <w:tcW w:w="608" w:type="pct"/>
            <w:shd w:val="clear" w:color="auto" w:fill="F2F2F2" w:themeFill="background1" w:themeFillShade="F2"/>
            <w:hideMark/>
          </w:tcPr>
          <w:p w14:paraId="1F16C9F8" w14:textId="43DD3B53" w:rsidR="000C4D30" w:rsidRPr="00B129CF" w:rsidRDefault="000C4D30" w:rsidP="000C4D30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2022</w:t>
            </w:r>
          </w:p>
        </w:tc>
        <w:tc>
          <w:tcPr>
            <w:tcW w:w="677" w:type="pct"/>
            <w:shd w:val="clear" w:color="auto" w:fill="F2F2F2" w:themeFill="background1" w:themeFillShade="F2"/>
            <w:noWrap/>
          </w:tcPr>
          <w:p w14:paraId="484EFDC5" w14:textId="22AAFB55" w:rsidR="000C4D30" w:rsidRPr="00B129CF" w:rsidRDefault="000C4D30" w:rsidP="000C4D30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N/A</w:t>
            </w:r>
          </w:p>
        </w:tc>
        <w:tc>
          <w:tcPr>
            <w:tcW w:w="542" w:type="pct"/>
            <w:shd w:val="clear" w:color="auto" w:fill="F2F2F2" w:themeFill="background1" w:themeFillShade="F2"/>
            <w:noWrap/>
          </w:tcPr>
          <w:p w14:paraId="196A3DC5" w14:textId="745DA285" w:rsidR="000C4D30" w:rsidRPr="00B129CF" w:rsidRDefault="000C4D30" w:rsidP="000C4D30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N/A</w:t>
            </w:r>
          </w:p>
        </w:tc>
        <w:tc>
          <w:tcPr>
            <w:tcW w:w="810" w:type="pct"/>
            <w:shd w:val="clear" w:color="auto" w:fill="F2F2F2" w:themeFill="background1" w:themeFillShade="F2"/>
            <w:noWrap/>
          </w:tcPr>
          <w:p w14:paraId="1BD061D2" w14:textId="31EBD1B5" w:rsidR="000C4D30" w:rsidRPr="00B129CF" w:rsidRDefault="000C4D30" w:rsidP="000C4D30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N/A</w:t>
            </w:r>
          </w:p>
        </w:tc>
      </w:tr>
    </w:tbl>
    <w:p w14:paraId="3800A196" w14:textId="692A1364" w:rsidR="00E221FA" w:rsidRPr="00B129CF" w:rsidRDefault="00E221FA" w:rsidP="002A7561">
      <w:pPr>
        <w:pStyle w:val="Heading3"/>
      </w:pPr>
      <w:r w:rsidRPr="00B129CF">
        <w:t>Final Investment Performance ratings</w:t>
      </w:r>
    </w:p>
    <w:tbl>
      <w:tblPr>
        <w:tblStyle w:val="DFATTable1"/>
        <w:tblW w:w="4976" w:type="pct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Layout w:type="fixed"/>
        <w:tblLook w:val="04A0" w:firstRow="1" w:lastRow="0" w:firstColumn="1" w:lastColumn="0" w:noHBand="0" w:noVBand="1"/>
        <w:tblCaption w:val="Supporting Investment Performance"/>
        <w:tblDescription w:val="Development Program Investment details, name, duration, budget and performance ratings for 2020 and 2021 for Effectiveness, Efficiency, Gender Equality; Risk and Safeguards "/>
      </w:tblPr>
      <w:tblGrid>
        <w:gridCol w:w="4956"/>
        <w:gridCol w:w="1275"/>
        <w:gridCol w:w="1418"/>
        <w:gridCol w:w="1137"/>
        <w:gridCol w:w="1699"/>
      </w:tblGrid>
      <w:tr w:rsidR="00B129CF" w:rsidRPr="00B129CF" w14:paraId="1C7DF276" w14:textId="77777777" w:rsidTr="00A313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pct"/>
            <w:shd w:val="clear" w:color="auto" w:fill="A2DCD1" w:themeFill="accent1" w:themeFillTint="99"/>
            <w:noWrap/>
            <w:hideMark/>
          </w:tcPr>
          <w:p w14:paraId="5CB2E247" w14:textId="77777777" w:rsidR="00D7310B" w:rsidRPr="00B129CF" w:rsidRDefault="00D7310B">
            <w:pPr>
              <w:suppressAutoHyphens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b/>
                <w:bCs/>
                <w:color w:val="auto"/>
                <w:lang w:val="en-AU" w:eastAsia="en-AU"/>
              </w:rPr>
              <w:t>Investment Details</w:t>
            </w:r>
          </w:p>
        </w:tc>
        <w:tc>
          <w:tcPr>
            <w:tcW w:w="608" w:type="pct"/>
            <w:shd w:val="clear" w:color="auto" w:fill="A2DCD1" w:themeFill="accent1" w:themeFillTint="99"/>
            <w:noWrap/>
            <w:hideMark/>
          </w:tcPr>
          <w:p w14:paraId="559F947C" w14:textId="77777777" w:rsidR="00D7310B" w:rsidRPr="00B129CF" w:rsidRDefault="00D7310B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b/>
                <w:bCs/>
                <w:color w:val="auto"/>
                <w:lang w:val="en-AU" w:eastAsia="en-AU"/>
              </w:rPr>
              <w:t>Year</w:t>
            </w:r>
          </w:p>
        </w:tc>
        <w:tc>
          <w:tcPr>
            <w:tcW w:w="676" w:type="pct"/>
            <w:shd w:val="clear" w:color="auto" w:fill="A2DCD1" w:themeFill="accent1" w:themeFillTint="99"/>
            <w:noWrap/>
            <w:hideMark/>
          </w:tcPr>
          <w:p w14:paraId="661038F4" w14:textId="77777777" w:rsidR="00D7310B" w:rsidRPr="00B129CF" w:rsidRDefault="00D7310B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b/>
                <w:bCs/>
                <w:color w:val="auto"/>
                <w:lang w:val="en-AU" w:eastAsia="en-AU"/>
              </w:rPr>
              <w:t>Effectiveness</w:t>
            </w:r>
          </w:p>
        </w:tc>
        <w:tc>
          <w:tcPr>
            <w:tcW w:w="542" w:type="pct"/>
            <w:shd w:val="clear" w:color="auto" w:fill="A2DCD1" w:themeFill="accent1" w:themeFillTint="99"/>
            <w:noWrap/>
            <w:hideMark/>
          </w:tcPr>
          <w:p w14:paraId="1765D5AA" w14:textId="77777777" w:rsidR="00D7310B" w:rsidRPr="00B129CF" w:rsidRDefault="00D7310B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b/>
                <w:bCs/>
                <w:color w:val="auto"/>
                <w:lang w:val="en-AU" w:eastAsia="en-AU"/>
              </w:rPr>
              <w:t>Efficiency</w:t>
            </w:r>
          </w:p>
        </w:tc>
        <w:tc>
          <w:tcPr>
            <w:tcW w:w="810" w:type="pct"/>
            <w:shd w:val="clear" w:color="auto" w:fill="A2DCD1" w:themeFill="accent1" w:themeFillTint="99"/>
            <w:noWrap/>
            <w:hideMark/>
          </w:tcPr>
          <w:p w14:paraId="38C29940" w14:textId="77777777" w:rsidR="00D7310B" w:rsidRPr="00B129CF" w:rsidRDefault="00D7310B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b/>
                <w:bCs/>
                <w:color w:val="auto"/>
                <w:lang w:val="en-AU" w:eastAsia="en-AU"/>
              </w:rPr>
              <w:t>Gender Equality</w:t>
            </w:r>
          </w:p>
        </w:tc>
      </w:tr>
      <w:tr w:rsidR="00B129CF" w:rsidRPr="00B129CF" w14:paraId="5FCAA806" w14:textId="77777777" w:rsidTr="00A31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pct"/>
            <w:tcBorders>
              <w:bottom w:val="nil"/>
            </w:tcBorders>
            <w:shd w:val="clear" w:color="auto" w:fill="F2F2F2" w:themeFill="background1" w:themeFillShade="F2"/>
            <w:vAlign w:val="bottom"/>
            <w:hideMark/>
          </w:tcPr>
          <w:p w14:paraId="26CB53EA" w14:textId="14A57B92" w:rsidR="00D7310B" w:rsidRPr="00B129CF" w:rsidRDefault="5B223644" w:rsidP="002E50F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</w:pPr>
            <w:r w:rsidRPr="00B129CF"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  <w:t>Samoa Health Program</w:t>
            </w:r>
          </w:p>
        </w:tc>
        <w:tc>
          <w:tcPr>
            <w:tcW w:w="608" w:type="pct"/>
            <w:shd w:val="clear" w:color="auto" w:fill="F2F2F2" w:themeFill="background1" w:themeFillShade="F2"/>
            <w:hideMark/>
          </w:tcPr>
          <w:p w14:paraId="615EF094" w14:textId="01E9FDA8" w:rsidR="00D7310B" w:rsidRPr="00B129CF" w:rsidRDefault="00D7310B" w:rsidP="00CF4FCD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eastAsia="en-AU"/>
              </w:rPr>
              <w:t>20</w:t>
            </w:r>
            <w:r w:rsidR="00EE0466" w:rsidRPr="00B129CF">
              <w:rPr>
                <w:rFonts w:asciiTheme="minorHAnsi" w:eastAsia="Times New Roman" w:hAnsiTheme="minorHAnsi" w:cstheme="minorHAnsi"/>
                <w:color w:val="auto"/>
                <w:lang w:eastAsia="en-AU"/>
              </w:rPr>
              <w:t>2</w:t>
            </w:r>
            <w:r w:rsidR="00996FC8" w:rsidRPr="00B129CF">
              <w:rPr>
                <w:rFonts w:asciiTheme="minorHAnsi" w:eastAsia="Times New Roman" w:hAnsiTheme="minorHAnsi" w:cstheme="minorHAnsi"/>
                <w:color w:val="auto"/>
                <w:lang w:eastAsia="en-AU"/>
              </w:rPr>
              <w:t>3</w:t>
            </w:r>
            <w:r w:rsidR="00193C49" w:rsidRPr="00B129CF">
              <w:rPr>
                <w:rFonts w:asciiTheme="minorHAnsi" w:eastAsia="Times New Roman" w:hAnsiTheme="minorHAnsi" w:cstheme="minorHAnsi"/>
                <w:color w:val="auto"/>
                <w:lang w:eastAsia="en-AU"/>
              </w:rPr>
              <w:t xml:space="preserve"> </w:t>
            </w:r>
            <w:r w:rsidR="00A96364" w:rsidRPr="00B129CF">
              <w:rPr>
                <w:rFonts w:asciiTheme="minorHAnsi" w:eastAsia="Times New Roman" w:hAnsiTheme="minorHAnsi" w:cstheme="minorHAnsi"/>
                <w:color w:val="auto"/>
                <w:lang w:eastAsia="en-AU"/>
              </w:rPr>
              <w:t>FIMR</w:t>
            </w:r>
          </w:p>
        </w:tc>
        <w:tc>
          <w:tcPr>
            <w:tcW w:w="676" w:type="pct"/>
            <w:shd w:val="clear" w:color="auto" w:fill="F2F2F2" w:themeFill="background1" w:themeFillShade="F2"/>
            <w:noWrap/>
          </w:tcPr>
          <w:p w14:paraId="12403CED" w14:textId="373DB43C" w:rsidR="00D7310B" w:rsidRPr="00B129CF" w:rsidRDefault="00275BD2" w:rsidP="002E50F0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3</w:t>
            </w:r>
          </w:p>
        </w:tc>
        <w:tc>
          <w:tcPr>
            <w:tcW w:w="542" w:type="pct"/>
            <w:shd w:val="clear" w:color="auto" w:fill="F2F2F2" w:themeFill="background1" w:themeFillShade="F2"/>
            <w:noWrap/>
          </w:tcPr>
          <w:p w14:paraId="456E1DCC" w14:textId="4EA5C143" w:rsidR="00D7310B" w:rsidRPr="00B129CF" w:rsidRDefault="13ECEC14" w:rsidP="002E50F0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  <w:tc>
          <w:tcPr>
            <w:tcW w:w="810" w:type="pct"/>
            <w:shd w:val="clear" w:color="auto" w:fill="F2F2F2" w:themeFill="background1" w:themeFillShade="F2"/>
            <w:noWrap/>
          </w:tcPr>
          <w:p w14:paraId="2C7A02D0" w14:textId="59F45D04" w:rsidR="00D7310B" w:rsidRPr="00B129CF" w:rsidRDefault="13ECEC14" w:rsidP="002E50F0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3</w:t>
            </w:r>
          </w:p>
        </w:tc>
      </w:tr>
      <w:tr w:rsidR="00B129CF" w:rsidRPr="00B129CF" w14:paraId="48A88951" w14:textId="77777777" w:rsidTr="00A313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pct"/>
            <w:tcBorders>
              <w:top w:val="nil"/>
              <w:bottom w:val="single" w:sz="4" w:space="0" w:color="65C5B4" w:themeColor="accent1"/>
            </w:tcBorders>
            <w:shd w:val="clear" w:color="auto" w:fill="F2F2F2" w:themeFill="background1" w:themeFillShade="F2"/>
            <w:hideMark/>
          </w:tcPr>
          <w:p w14:paraId="7C9CCC70" w14:textId="13160506" w:rsidR="00D7310B" w:rsidRPr="00B129CF" w:rsidRDefault="0913F967" w:rsidP="00C82C89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 xml:space="preserve">Investment duration: </w:t>
            </w:r>
            <w:r w:rsidR="7EB36C9C"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2013-23</w:t>
            </w: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; Budget: $</w:t>
            </w:r>
            <w:r w:rsidR="4F480448"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7.7</w:t>
            </w: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m</w:t>
            </w:r>
          </w:p>
        </w:tc>
        <w:tc>
          <w:tcPr>
            <w:tcW w:w="608" w:type="pct"/>
            <w:shd w:val="clear" w:color="auto" w:fill="F2F2F2" w:themeFill="background1" w:themeFillShade="F2"/>
            <w:hideMark/>
          </w:tcPr>
          <w:p w14:paraId="265BD1DC" w14:textId="17A9942D" w:rsidR="00193C49" w:rsidRPr="00B129CF" w:rsidRDefault="00D7310B" w:rsidP="00CF4FCD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eastAsia="en-AU"/>
              </w:rPr>
              <w:t>20</w:t>
            </w:r>
            <w:r w:rsidR="00A96364" w:rsidRPr="00B129CF">
              <w:rPr>
                <w:rFonts w:asciiTheme="minorHAnsi" w:eastAsia="Times New Roman" w:hAnsiTheme="minorHAnsi" w:cstheme="minorHAnsi"/>
                <w:color w:val="auto"/>
                <w:lang w:eastAsia="en-AU"/>
              </w:rPr>
              <w:t>2</w:t>
            </w:r>
            <w:r w:rsidR="00996FC8" w:rsidRPr="00B129CF">
              <w:rPr>
                <w:rFonts w:asciiTheme="minorHAnsi" w:eastAsia="Times New Roman" w:hAnsiTheme="minorHAnsi" w:cstheme="minorHAnsi"/>
                <w:color w:val="auto"/>
                <w:lang w:eastAsia="en-AU"/>
              </w:rPr>
              <w:t>2</w:t>
            </w:r>
            <w:r w:rsidR="00FC5365" w:rsidRPr="00B129CF">
              <w:rPr>
                <w:rFonts w:asciiTheme="minorHAnsi" w:eastAsia="Times New Roman" w:hAnsiTheme="minorHAnsi" w:cstheme="minorHAnsi"/>
                <w:color w:val="auto"/>
                <w:lang w:eastAsia="en-AU"/>
              </w:rPr>
              <w:t xml:space="preserve"> </w:t>
            </w:r>
            <w:r w:rsidR="00A96364" w:rsidRPr="00B129CF">
              <w:rPr>
                <w:rFonts w:asciiTheme="minorHAnsi" w:eastAsia="Times New Roman" w:hAnsiTheme="minorHAnsi" w:cstheme="minorHAnsi"/>
                <w:color w:val="auto"/>
                <w:lang w:eastAsia="en-AU"/>
              </w:rPr>
              <w:t>IMR</w:t>
            </w:r>
          </w:p>
        </w:tc>
        <w:tc>
          <w:tcPr>
            <w:tcW w:w="676" w:type="pct"/>
            <w:shd w:val="clear" w:color="auto" w:fill="F2F2F2" w:themeFill="background1" w:themeFillShade="F2"/>
            <w:noWrap/>
          </w:tcPr>
          <w:p w14:paraId="2B8EB16D" w14:textId="575E423A" w:rsidR="00D7310B" w:rsidRPr="00B129CF" w:rsidRDefault="2610161C" w:rsidP="002E50F0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5</w:t>
            </w:r>
          </w:p>
        </w:tc>
        <w:tc>
          <w:tcPr>
            <w:tcW w:w="542" w:type="pct"/>
            <w:shd w:val="clear" w:color="auto" w:fill="F2F2F2" w:themeFill="background1" w:themeFillShade="F2"/>
            <w:noWrap/>
          </w:tcPr>
          <w:p w14:paraId="1C396789" w14:textId="27D4C57F" w:rsidR="00D7310B" w:rsidRPr="00B129CF" w:rsidRDefault="2610161C" w:rsidP="002E50F0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  <w:tc>
          <w:tcPr>
            <w:tcW w:w="810" w:type="pct"/>
            <w:shd w:val="clear" w:color="auto" w:fill="F2F2F2" w:themeFill="background1" w:themeFillShade="F2"/>
            <w:noWrap/>
          </w:tcPr>
          <w:p w14:paraId="6145AA71" w14:textId="591C1BC3" w:rsidR="00D7310B" w:rsidRPr="00B129CF" w:rsidRDefault="2610161C" w:rsidP="002E50F0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</w:tr>
      <w:tr w:rsidR="00B129CF" w:rsidRPr="00B129CF" w14:paraId="268CF947" w14:textId="77777777" w:rsidTr="00A31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pct"/>
            <w:tcBorders>
              <w:bottom w:val="nil"/>
            </w:tcBorders>
            <w:shd w:val="clear" w:color="auto" w:fill="E0F3EF" w:themeFill="accent1" w:themeFillTint="33"/>
            <w:hideMark/>
          </w:tcPr>
          <w:p w14:paraId="261F3509" w14:textId="70BEDDED" w:rsidR="2610161C" w:rsidRPr="00B129CF" w:rsidRDefault="2610161C" w:rsidP="002E50F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</w:pPr>
            <w:r w:rsidRPr="00B129CF"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  <w:t>Women in Leadership in Samoa</w:t>
            </w:r>
          </w:p>
        </w:tc>
        <w:tc>
          <w:tcPr>
            <w:tcW w:w="608" w:type="pct"/>
            <w:hideMark/>
          </w:tcPr>
          <w:p w14:paraId="63919144" w14:textId="01E9FDA8" w:rsidR="11FAE953" w:rsidRPr="00B129CF" w:rsidRDefault="11FAE953" w:rsidP="00CF4FCD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eastAsia="en-AU"/>
              </w:rPr>
              <w:t>2023 FIMR</w:t>
            </w:r>
          </w:p>
        </w:tc>
        <w:tc>
          <w:tcPr>
            <w:tcW w:w="676" w:type="pct"/>
            <w:noWrap/>
          </w:tcPr>
          <w:p w14:paraId="184FEE55" w14:textId="569F97E3" w:rsidR="373A411E" w:rsidRPr="00B129CF" w:rsidRDefault="373A411E" w:rsidP="002E50F0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3</w:t>
            </w:r>
          </w:p>
        </w:tc>
        <w:tc>
          <w:tcPr>
            <w:tcW w:w="542" w:type="pct"/>
            <w:noWrap/>
          </w:tcPr>
          <w:p w14:paraId="31718D43" w14:textId="2958A090" w:rsidR="373A411E" w:rsidRPr="00B129CF" w:rsidRDefault="373A411E" w:rsidP="002E50F0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3</w:t>
            </w:r>
          </w:p>
        </w:tc>
        <w:tc>
          <w:tcPr>
            <w:tcW w:w="810" w:type="pct"/>
            <w:noWrap/>
          </w:tcPr>
          <w:p w14:paraId="11C5D1FB" w14:textId="4622C252" w:rsidR="373A411E" w:rsidRPr="00B129CF" w:rsidRDefault="004A0225" w:rsidP="002E50F0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3</w:t>
            </w:r>
          </w:p>
        </w:tc>
      </w:tr>
      <w:tr w:rsidR="00B129CF" w:rsidRPr="00B129CF" w14:paraId="495D3A59" w14:textId="77777777" w:rsidTr="00A313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pct"/>
            <w:tcBorders>
              <w:top w:val="nil"/>
              <w:bottom w:val="single" w:sz="4" w:space="0" w:color="65C5B4" w:themeColor="accent1"/>
            </w:tcBorders>
            <w:shd w:val="clear" w:color="auto" w:fill="E0F3EF" w:themeFill="accent1" w:themeFillTint="33"/>
            <w:hideMark/>
          </w:tcPr>
          <w:p w14:paraId="4C81516B" w14:textId="761F8F5B" w:rsidR="11FAE953" w:rsidRPr="00B129CF" w:rsidRDefault="11FAE953" w:rsidP="00C82C89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Investment duration: 201</w:t>
            </w:r>
            <w:r w:rsidR="60192EA7"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8-22</w:t>
            </w: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; Budget: $</w:t>
            </w:r>
            <w:r w:rsidR="64B4FB4D"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3</w:t>
            </w:r>
            <w:r w:rsidR="00BF55D2"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.0</w:t>
            </w: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m</w:t>
            </w:r>
          </w:p>
        </w:tc>
        <w:tc>
          <w:tcPr>
            <w:tcW w:w="608" w:type="pct"/>
            <w:shd w:val="clear" w:color="auto" w:fill="E0F3EF" w:themeFill="accent1" w:themeFillTint="33"/>
            <w:hideMark/>
          </w:tcPr>
          <w:p w14:paraId="55437D79" w14:textId="17A9942D" w:rsidR="11FAE953" w:rsidRPr="00B129CF" w:rsidRDefault="11FAE953" w:rsidP="00CF4FCD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eastAsia="en-AU"/>
              </w:rPr>
              <w:t>2022 IMR</w:t>
            </w:r>
          </w:p>
        </w:tc>
        <w:tc>
          <w:tcPr>
            <w:tcW w:w="676" w:type="pct"/>
            <w:shd w:val="clear" w:color="auto" w:fill="E0F3EF" w:themeFill="accent1" w:themeFillTint="33"/>
            <w:noWrap/>
          </w:tcPr>
          <w:p w14:paraId="1CAC7ABC" w14:textId="73A99B15" w:rsidR="738E07A8" w:rsidRPr="00B129CF" w:rsidRDefault="738E07A8" w:rsidP="002E50F0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  <w:tc>
          <w:tcPr>
            <w:tcW w:w="542" w:type="pct"/>
            <w:shd w:val="clear" w:color="auto" w:fill="E0F3EF" w:themeFill="accent1" w:themeFillTint="33"/>
            <w:noWrap/>
          </w:tcPr>
          <w:p w14:paraId="31F5BD58" w14:textId="57CF4493" w:rsidR="738E07A8" w:rsidRPr="00B129CF" w:rsidRDefault="738E07A8" w:rsidP="002E50F0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3</w:t>
            </w:r>
          </w:p>
        </w:tc>
        <w:tc>
          <w:tcPr>
            <w:tcW w:w="810" w:type="pct"/>
            <w:shd w:val="clear" w:color="auto" w:fill="E0F3EF" w:themeFill="accent1" w:themeFillTint="33"/>
            <w:noWrap/>
          </w:tcPr>
          <w:p w14:paraId="48FA8E55" w14:textId="3AC168BD" w:rsidR="738E07A8" w:rsidRPr="00B129CF" w:rsidRDefault="738E07A8" w:rsidP="002E50F0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</w:tr>
      <w:tr w:rsidR="00B129CF" w:rsidRPr="00B129CF" w14:paraId="64E551C3" w14:textId="77777777" w:rsidTr="00A31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pct"/>
            <w:tcBorders>
              <w:bottom w:val="nil"/>
            </w:tcBorders>
            <w:shd w:val="clear" w:color="auto" w:fill="F2F2F2" w:themeFill="background1" w:themeFillShade="F2"/>
            <w:hideMark/>
          </w:tcPr>
          <w:p w14:paraId="25600FA2" w14:textId="01FFFC5C" w:rsidR="738E07A8" w:rsidRPr="00B129CF" w:rsidRDefault="738E07A8" w:rsidP="002E50F0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B129CF"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  <w:t>Samoa Fiscal Resilience Program</w:t>
            </w:r>
          </w:p>
        </w:tc>
        <w:tc>
          <w:tcPr>
            <w:tcW w:w="608" w:type="pct"/>
            <w:shd w:val="clear" w:color="auto" w:fill="F2F2F2" w:themeFill="background1" w:themeFillShade="F2"/>
            <w:hideMark/>
          </w:tcPr>
          <w:p w14:paraId="4486CCC8" w14:textId="01E9FDA8" w:rsidR="11FAE953" w:rsidRPr="00B129CF" w:rsidRDefault="11FAE953" w:rsidP="00CF4FCD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eastAsia="en-AU"/>
              </w:rPr>
              <w:t>2023 FIMR</w:t>
            </w:r>
          </w:p>
        </w:tc>
        <w:tc>
          <w:tcPr>
            <w:tcW w:w="676" w:type="pct"/>
            <w:shd w:val="clear" w:color="auto" w:fill="F2F2F2" w:themeFill="background1" w:themeFillShade="F2"/>
            <w:noWrap/>
          </w:tcPr>
          <w:p w14:paraId="143B97FD" w14:textId="6EA4C4A6" w:rsidR="3CDC5E57" w:rsidRPr="00B129CF" w:rsidRDefault="3CDC5E57" w:rsidP="002E50F0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  <w:tc>
          <w:tcPr>
            <w:tcW w:w="542" w:type="pct"/>
            <w:shd w:val="clear" w:color="auto" w:fill="F2F2F2" w:themeFill="background1" w:themeFillShade="F2"/>
            <w:noWrap/>
          </w:tcPr>
          <w:p w14:paraId="0A4FA4E1" w14:textId="2268B0B6" w:rsidR="3CDC5E57" w:rsidRPr="00B129CF" w:rsidRDefault="00B525EA" w:rsidP="002E50F0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  <w:tc>
          <w:tcPr>
            <w:tcW w:w="810" w:type="pct"/>
            <w:shd w:val="clear" w:color="auto" w:fill="F2F2F2" w:themeFill="background1" w:themeFillShade="F2"/>
            <w:noWrap/>
          </w:tcPr>
          <w:p w14:paraId="49DE97A2" w14:textId="71B03DFA" w:rsidR="3CDC5E57" w:rsidRPr="00B129CF" w:rsidRDefault="3CDC5E57" w:rsidP="002E50F0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2</w:t>
            </w:r>
          </w:p>
        </w:tc>
      </w:tr>
      <w:tr w:rsidR="00B129CF" w:rsidRPr="00B129CF" w14:paraId="45214E04" w14:textId="77777777" w:rsidTr="00A313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pct"/>
            <w:tcBorders>
              <w:top w:val="nil"/>
            </w:tcBorders>
            <w:shd w:val="clear" w:color="auto" w:fill="F2F2F2" w:themeFill="background1" w:themeFillShade="F2"/>
            <w:hideMark/>
          </w:tcPr>
          <w:p w14:paraId="65E061D2" w14:textId="2222B32E" w:rsidR="11FAE953" w:rsidRPr="00B129CF" w:rsidRDefault="11FAE953" w:rsidP="00C82C89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Investment duration: 201</w:t>
            </w:r>
            <w:r w:rsidR="75DF264F"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8-23</w:t>
            </w: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; Budget: $</w:t>
            </w:r>
            <w:r w:rsidR="651EF096"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20</w:t>
            </w:r>
            <w:r w:rsidR="00BF55D2"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.0</w:t>
            </w: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m</w:t>
            </w:r>
          </w:p>
        </w:tc>
        <w:tc>
          <w:tcPr>
            <w:tcW w:w="608" w:type="pct"/>
            <w:shd w:val="clear" w:color="auto" w:fill="F2F2F2" w:themeFill="background1" w:themeFillShade="F2"/>
            <w:hideMark/>
          </w:tcPr>
          <w:p w14:paraId="09B746D0" w14:textId="17A9942D" w:rsidR="11FAE953" w:rsidRPr="00B129CF" w:rsidRDefault="11FAE953" w:rsidP="00CF4FCD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eastAsia="en-AU"/>
              </w:rPr>
              <w:t>2022 IMR</w:t>
            </w:r>
          </w:p>
        </w:tc>
        <w:tc>
          <w:tcPr>
            <w:tcW w:w="676" w:type="pct"/>
            <w:shd w:val="clear" w:color="auto" w:fill="F2F2F2" w:themeFill="background1" w:themeFillShade="F2"/>
            <w:noWrap/>
          </w:tcPr>
          <w:p w14:paraId="722A1ADA" w14:textId="7F222592" w:rsidR="02ED7AD8" w:rsidRPr="00B129CF" w:rsidRDefault="02ED7AD8" w:rsidP="002E50F0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5</w:t>
            </w:r>
          </w:p>
        </w:tc>
        <w:tc>
          <w:tcPr>
            <w:tcW w:w="542" w:type="pct"/>
            <w:shd w:val="clear" w:color="auto" w:fill="F2F2F2" w:themeFill="background1" w:themeFillShade="F2"/>
            <w:noWrap/>
          </w:tcPr>
          <w:p w14:paraId="0795911A" w14:textId="132ABA61" w:rsidR="02ED7AD8" w:rsidRPr="00B129CF" w:rsidRDefault="00EF09FC" w:rsidP="002E50F0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5</w:t>
            </w:r>
          </w:p>
        </w:tc>
        <w:tc>
          <w:tcPr>
            <w:tcW w:w="810" w:type="pct"/>
            <w:shd w:val="clear" w:color="auto" w:fill="F2F2F2" w:themeFill="background1" w:themeFillShade="F2"/>
            <w:noWrap/>
          </w:tcPr>
          <w:p w14:paraId="415BAC1D" w14:textId="11CDCF9A" w:rsidR="02ED7AD8" w:rsidRPr="00B129CF" w:rsidRDefault="02ED7AD8" w:rsidP="002E50F0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B129CF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3</w:t>
            </w:r>
          </w:p>
        </w:tc>
      </w:tr>
    </w:tbl>
    <w:p w14:paraId="5989C7B0" w14:textId="7C520D63" w:rsidR="00681633" w:rsidRPr="00B129CF" w:rsidRDefault="300E1F71" w:rsidP="002A7561">
      <w:pPr>
        <w:pStyle w:val="Heading3"/>
      </w:pPr>
      <w:r w:rsidRPr="00B129CF">
        <w:t xml:space="preserve">Definitions of rating </w:t>
      </w:r>
      <w:bookmarkStart w:id="2" w:name="_Int_RnSO4cyA"/>
      <w:r w:rsidRPr="00B129CF">
        <w:t>scale:</w:t>
      </w:r>
      <w:bookmarkEnd w:id="2"/>
    </w:p>
    <w:p w14:paraId="7EAFF832" w14:textId="6A05D1E4" w:rsidR="00D51A75" w:rsidRPr="00B129CF" w:rsidRDefault="00D51A75" w:rsidP="00681633">
      <w:pPr>
        <w:spacing w:line="240" w:lineRule="auto"/>
        <w:rPr>
          <w:rFonts w:cstheme="minorHAnsi"/>
          <w:bCs/>
          <w:color w:val="auto"/>
          <w:sz w:val="20"/>
          <w:szCs w:val="20"/>
          <w:u w:val="single"/>
        </w:rPr>
      </w:pPr>
      <w:r w:rsidRPr="00B129CF">
        <w:rPr>
          <w:rFonts w:cstheme="minorHAnsi"/>
          <w:bCs/>
          <w:color w:val="auto"/>
          <w:sz w:val="20"/>
          <w:szCs w:val="20"/>
          <w:u w:val="single"/>
        </w:rPr>
        <w:t>Satisfactory (4, 5, and 6)</w:t>
      </w:r>
    </w:p>
    <w:p w14:paraId="15BE82E8" w14:textId="0D5E88BA" w:rsidR="00681633" w:rsidRPr="00B129CF" w:rsidRDefault="00681633" w:rsidP="00681633">
      <w:pPr>
        <w:spacing w:line="240" w:lineRule="auto"/>
        <w:rPr>
          <w:rFonts w:cstheme="minorHAnsi"/>
          <w:bCs/>
          <w:color w:val="auto"/>
          <w:sz w:val="20"/>
          <w:szCs w:val="20"/>
        </w:rPr>
      </w:pPr>
      <w:r w:rsidRPr="00B129CF">
        <w:rPr>
          <w:rFonts w:cstheme="minorHAnsi"/>
          <w:bCs/>
          <w:color w:val="auto"/>
          <w:sz w:val="20"/>
          <w:szCs w:val="20"/>
        </w:rPr>
        <w:t xml:space="preserve">6 = Very good; satisfies criteria in all areas. </w:t>
      </w:r>
      <w:r w:rsidRPr="00B129CF">
        <w:rPr>
          <w:rFonts w:cstheme="minorHAnsi"/>
          <w:bCs/>
          <w:color w:val="auto"/>
          <w:sz w:val="20"/>
          <w:szCs w:val="20"/>
        </w:rPr>
        <w:br/>
        <w:t>5 = Good; satisfies criteria in almost all areas.</w:t>
      </w:r>
      <w:r w:rsidRPr="00B129CF">
        <w:rPr>
          <w:rFonts w:cstheme="minorHAnsi"/>
          <w:bCs/>
          <w:color w:val="auto"/>
          <w:sz w:val="20"/>
          <w:szCs w:val="20"/>
        </w:rPr>
        <w:br/>
        <w:t>4 = Adequate; on balance, satisfies criteria; does not fail in any major area.</w:t>
      </w:r>
    </w:p>
    <w:p w14:paraId="48B0BB33" w14:textId="77777777" w:rsidR="00681633" w:rsidRPr="00B129CF" w:rsidRDefault="00681633" w:rsidP="00681633">
      <w:pPr>
        <w:spacing w:line="240" w:lineRule="auto"/>
        <w:rPr>
          <w:rFonts w:cstheme="minorHAnsi"/>
          <w:bCs/>
          <w:color w:val="auto"/>
          <w:sz w:val="20"/>
          <w:szCs w:val="20"/>
          <w:u w:val="single"/>
        </w:rPr>
      </w:pPr>
      <w:r w:rsidRPr="00B129CF">
        <w:rPr>
          <w:rFonts w:cstheme="minorHAnsi"/>
          <w:bCs/>
          <w:color w:val="auto"/>
          <w:sz w:val="20"/>
          <w:szCs w:val="20"/>
          <w:u w:val="single"/>
        </w:rPr>
        <w:t>Less than satisfactory (1, 2 and 3)</w:t>
      </w:r>
    </w:p>
    <w:p w14:paraId="4DC45723" w14:textId="0126D350" w:rsidR="00681633" w:rsidRPr="00B129CF" w:rsidRDefault="00681633" w:rsidP="00996FC8">
      <w:pPr>
        <w:spacing w:line="240" w:lineRule="auto"/>
        <w:rPr>
          <w:rFonts w:cstheme="minorHAnsi"/>
          <w:bCs/>
          <w:color w:val="auto"/>
          <w:sz w:val="20"/>
          <w:szCs w:val="20"/>
        </w:rPr>
      </w:pPr>
      <w:r w:rsidRPr="00B129CF">
        <w:rPr>
          <w:rFonts w:cstheme="minorHAnsi"/>
          <w:bCs/>
          <w:color w:val="auto"/>
          <w:sz w:val="20"/>
          <w:szCs w:val="20"/>
        </w:rPr>
        <w:t>3 = Less than adequate; on balance does not satisfy criteria and/or fails in at least one major area.</w:t>
      </w:r>
      <w:r w:rsidRPr="00B129CF">
        <w:rPr>
          <w:rFonts w:cstheme="minorHAnsi"/>
          <w:bCs/>
          <w:color w:val="auto"/>
          <w:sz w:val="20"/>
          <w:szCs w:val="20"/>
        </w:rPr>
        <w:br/>
        <w:t>2 = Poor; does not satisfy criteria in major areas.</w:t>
      </w:r>
      <w:r w:rsidRPr="00B129CF">
        <w:rPr>
          <w:rFonts w:cstheme="minorHAnsi"/>
          <w:bCs/>
          <w:color w:val="auto"/>
          <w:sz w:val="20"/>
          <w:szCs w:val="20"/>
        </w:rPr>
        <w:br/>
        <w:t xml:space="preserve">1 = Very poor; does not satisfy criteria in many major </w:t>
      </w:r>
      <w:r w:rsidR="00D51A75" w:rsidRPr="00B129CF">
        <w:rPr>
          <w:rFonts w:cstheme="minorHAnsi"/>
          <w:bCs/>
          <w:color w:val="auto"/>
          <w:sz w:val="20"/>
          <w:szCs w:val="20"/>
        </w:rPr>
        <w:t>areas</w:t>
      </w:r>
      <w:r w:rsidRPr="00B129CF">
        <w:rPr>
          <w:rFonts w:cstheme="minorHAnsi"/>
          <w:bCs/>
          <w:color w:val="auto"/>
          <w:sz w:val="20"/>
          <w:szCs w:val="20"/>
        </w:rPr>
        <w:t>.</w:t>
      </w:r>
    </w:p>
    <w:sectPr w:rsidR="00681633" w:rsidRPr="00B129CF" w:rsidSect="00086931">
      <w:pgSz w:w="11906" w:h="16838" w:code="9"/>
      <w:pgMar w:top="1559" w:right="680" w:bottom="1418" w:left="680" w:header="567" w:footer="567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3E2FD" w14:textId="77777777" w:rsidR="00701E5C" w:rsidRDefault="00701E5C" w:rsidP="00D37B04">
      <w:r>
        <w:separator/>
      </w:r>
    </w:p>
  </w:endnote>
  <w:endnote w:type="continuationSeparator" w:id="0">
    <w:p w14:paraId="79C02C0F" w14:textId="77777777" w:rsidR="00701E5C" w:rsidRDefault="00701E5C" w:rsidP="00D37B04">
      <w:r>
        <w:continuationSeparator/>
      </w:r>
    </w:p>
  </w:endnote>
  <w:endnote w:type="continuationNotice" w:id="1">
    <w:p w14:paraId="7D6E5E2C" w14:textId="77777777" w:rsidR="00701E5C" w:rsidRDefault="00701E5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Sans-5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16136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77DDA7" w14:textId="30FF0D5F" w:rsidR="0005564F" w:rsidRDefault="0005564F" w:rsidP="11FAE953">
        <w:pPr>
          <w:spacing w:before="60"/>
          <w:ind w:left="170" w:hanging="170"/>
          <w:rPr>
            <w:rFonts w:ascii="Calibri" w:eastAsia="Calibri" w:hAnsi="Calibri" w:cs="Calibri"/>
            <w:sz w:val="12"/>
            <w:szCs w:val="12"/>
          </w:rPr>
        </w:pPr>
      </w:p>
      <w:p w14:paraId="77693197" w14:textId="799452FD" w:rsidR="0005564F" w:rsidRDefault="0005564F" w:rsidP="11FAE953">
        <w:pPr>
          <w:rPr>
            <w:rFonts w:ascii="Calibri" w:eastAsia="Calibri" w:hAnsi="Calibri" w:cs="Calibri"/>
            <w:sz w:val="12"/>
            <w:szCs w:val="12"/>
          </w:rPr>
        </w:pPr>
      </w:p>
      <w:p w14:paraId="64E5C2BA" w14:textId="56A72933" w:rsidR="0005564F" w:rsidRDefault="0005564F" w:rsidP="11FAE953">
        <w:pPr>
          <w:spacing w:before="60"/>
          <w:ind w:left="170" w:hanging="170"/>
          <w:rPr>
            <w:rFonts w:ascii="Calibri" w:eastAsia="Calibri" w:hAnsi="Calibri" w:cs="Calibri"/>
            <w:sz w:val="12"/>
            <w:szCs w:val="12"/>
          </w:rPr>
        </w:pPr>
      </w:p>
      <w:p w14:paraId="1B636999" w14:textId="47FD89E1" w:rsidR="0005564F" w:rsidRDefault="0005564F">
        <w:pPr>
          <w:pStyle w:val="Footer"/>
          <w:jc w:val="center"/>
          <w:rPr>
            <w:color w:val="auto"/>
          </w:rPr>
        </w:pPr>
      </w:p>
      <w:p w14:paraId="10BB5A1F" w14:textId="79495BDB" w:rsidR="0005564F" w:rsidRDefault="0005564F">
        <w:pPr>
          <w:pStyle w:val="Footer"/>
          <w:jc w:val="center"/>
          <w:rPr>
            <w:color w:val="auto"/>
          </w:rPr>
        </w:pPr>
        <w:r>
          <w:rPr>
            <w:noProof/>
            <w:color w:val="auto"/>
          </w:rPr>
          <w:drawing>
            <wp:anchor distT="0" distB="0" distL="114300" distR="114300" simplePos="0" relativeHeight="251658240" behindDoc="1" locked="0" layoutInCell="1" allowOverlap="1" wp14:anchorId="0A9940EE" wp14:editId="4060A275">
              <wp:simplePos x="0" y="0"/>
              <wp:positionH relativeFrom="margin">
                <wp:align>left</wp:align>
              </wp:positionH>
              <wp:positionV relativeFrom="paragraph">
                <wp:posOffset>5163</wp:posOffset>
              </wp:positionV>
              <wp:extent cx="6629948" cy="357173"/>
              <wp:effectExtent l="0" t="0" r="0" b="5080"/>
              <wp:wrapNone/>
              <wp:docPr id="11" name="Picture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4" name="Picture 28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29948" cy="3571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F66EFC2" w14:textId="15A3A4C4" w:rsidR="001D3DDD" w:rsidRPr="0042526D" w:rsidRDefault="001D3DDD">
        <w:pPr>
          <w:pStyle w:val="Footer"/>
          <w:jc w:val="center"/>
          <w:rPr>
            <w:noProof/>
            <w:color w:val="auto"/>
            <w:sz w:val="20"/>
            <w:szCs w:val="20"/>
          </w:rPr>
        </w:pPr>
        <w:r w:rsidRPr="0042526D">
          <w:rPr>
            <w:color w:val="auto"/>
            <w:sz w:val="20"/>
            <w:szCs w:val="20"/>
          </w:rPr>
          <w:fldChar w:fldCharType="begin"/>
        </w:r>
        <w:r w:rsidRPr="0042526D">
          <w:rPr>
            <w:color w:val="auto"/>
            <w:sz w:val="20"/>
            <w:szCs w:val="20"/>
          </w:rPr>
          <w:instrText xml:space="preserve"> PAGE   \* MERGEFORMAT </w:instrText>
        </w:r>
        <w:r w:rsidRPr="0042526D">
          <w:rPr>
            <w:color w:val="auto"/>
            <w:sz w:val="20"/>
            <w:szCs w:val="20"/>
          </w:rPr>
          <w:fldChar w:fldCharType="separate"/>
        </w:r>
        <w:r w:rsidRPr="0042526D">
          <w:rPr>
            <w:noProof/>
            <w:color w:val="auto"/>
            <w:sz w:val="20"/>
            <w:szCs w:val="20"/>
          </w:rPr>
          <w:t>2</w:t>
        </w:r>
        <w:r w:rsidRPr="0042526D">
          <w:rPr>
            <w:noProof/>
            <w:color w:val="auto"/>
            <w:sz w:val="20"/>
            <w:szCs w:val="20"/>
          </w:rPr>
          <w:fldChar w:fldCharType="end"/>
        </w:r>
      </w:p>
      <w:p w14:paraId="1E51B8D5" w14:textId="59F3CE97" w:rsidR="001D3DDD" w:rsidRPr="001D3DDD" w:rsidRDefault="007E12FA" w:rsidP="0005564F">
        <w:pPr>
          <w:pStyle w:val="Footer"/>
          <w:spacing w:line="240" w:lineRule="auto"/>
          <w:jc w:val="center"/>
          <w:rPr>
            <w:color w:val="auto"/>
          </w:rPr>
        </w:pPr>
      </w:p>
    </w:sdtContent>
  </w:sdt>
  <w:p w14:paraId="3A729F02" w14:textId="519EAB54" w:rsidR="009131E9" w:rsidRDefault="009131E9" w:rsidP="009131E9">
    <w:pPr>
      <w:pStyle w:val="Footer"/>
      <w:spacing w:line="240" w:lineRule="auto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554CA" w14:textId="77777777" w:rsidR="00701E5C" w:rsidRPr="008C5A0E" w:rsidRDefault="00701E5C" w:rsidP="00D37B04">
      <w:pPr>
        <w:pStyle w:val="Footer"/>
      </w:pPr>
    </w:p>
  </w:footnote>
  <w:footnote w:type="continuationSeparator" w:id="0">
    <w:p w14:paraId="3098FB24" w14:textId="77777777" w:rsidR="00701E5C" w:rsidRDefault="00701E5C" w:rsidP="00D37B04">
      <w:r>
        <w:continuationSeparator/>
      </w:r>
    </w:p>
  </w:footnote>
  <w:footnote w:type="continuationNotice" w:id="1">
    <w:p w14:paraId="044B5ABB" w14:textId="77777777" w:rsidR="00701E5C" w:rsidRDefault="00701E5C">
      <w:pPr>
        <w:spacing w:before="0" w:after="0" w:line="240" w:lineRule="auto"/>
      </w:pPr>
    </w:p>
  </w:footnote>
  <w:footnote w:id="2">
    <w:p w14:paraId="3DD6777A" w14:textId="359A394A" w:rsidR="009712C2" w:rsidRPr="00086931" w:rsidRDefault="009712C2">
      <w:pPr>
        <w:pStyle w:val="FootnoteText"/>
        <w:rPr>
          <w:sz w:val="16"/>
          <w:szCs w:val="16"/>
          <w:lang w:val="en-AU"/>
        </w:rPr>
      </w:pPr>
      <w:r w:rsidRPr="00086931">
        <w:rPr>
          <w:rStyle w:val="FootnoteReference"/>
          <w:sz w:val="16"/>
          <w:szCs w:val="16"/>
        </w:rPr>
        <w:footnoteRef/>
      </w:r>
      <w:r w:rsidRPr="00086931">
        <w:rPr>
          <w:sz w:val="16"/>
          <w:szCs w:val="16"/>
        </w:rPr>
        <w:t xml:space="preserve"> </w:t>
      </w:r>
      <w:r w:rsidR="008B6020" w:rsidRPr="00086931">
        <w:rPr>
          <w:sz w:val="16"/>
          <w:szCs w:val="16"/>
        </w:rPr>
        <w:t xml:space="preserve">Per cent increase over pre-COVID-19 baseline cannot be calculated for 2022-23, because the data available for this financial year captures services delivered by the Samoa Family Health Association (SFHA) with </w:t>
      </w:r>
      <w:r w:rsidR="009E250F" w:rsidRPr="00086931">
        <w:rPr>
          <w:sz w:val="16"/>
          <w:szCs w:val="16"/>
        </w:rPr>
        <w:t>Australian</w:t>
      </w:r>
      <w:r w:rsidR="008B6020" w:rsidRPr="00086931">
        <w:rPr>
          <w:sz w:val="16"/>
          <w:szCs w:val="16"/>
        </w:rPr>
        <w:t xml:space="preserve"> funding only, under the Samoa Gender Partnership Program (SGPP). Data for previous years (including for pre-COVID-19 baseline) were drawn from SFHA’s Impact Project, which reported on services delivered with joint funding from </w:t>
      </w:r>
      <w:r w:rsidR="009E250F" w:rsidRPr="00086931">
        <w:rPr>
          <w:sz w:val="16"/>
          <w:szCs w:val="16"/>
        </w:rPr>
        <w:t>Australia</w:t>
      </w:r>
      <w:r w:rsidR="008B6020" w:rsidRPr="00086931">
        <w:rPr>
          <w:sz w:val="16"/>
          <w:szCs w:val="16"/>
        </w:rPr>
        <w:t xml:space="preserve">, NZMFAT and IPPF. The Impact Project ceased in June 2022. SGPP’s priorities differ from the Impact Project’s, </w:t>
      </w:r>
      <w:r w:rsidR="002448C4" w:rsidRPr="00086931">
        <w:rPr>
          <w:sz w:val="16"/>
          <w:szCs w:val="16"/>
        </w:rPr>
        <w:t xml:space="preserve">mainly </w:t>
      </w:r>
      <w:r w:rsidR="00A81DCD" w:rsidRPr="00086931">
        <w:rPr>
          <w:sz w:val="16"/>
          <w:szCs w:val="16"/>
        </w:rPr>
        <w:t xml:space="preserve">delivering </w:t>
      </w:r>
      <w:r w:rsidR="008B6020" w:rsidRPr="00086931">
        <w:rPr>
          <w:sz w:val="16"/>
          <w:szCs w:val="16"/>
        </w:rPr>
        <w:t>gender-focused civil society institutional strengthening</w:t>
      </w:r>
      <w:r w:rsidR="00854C81">
        <w:rPr>
          <w:sz w:val="16"/>
          <w:szCs w:val="16"/>
        </w:rPr>
        <w:t>, w</w:t>
      </w:r>
      <w:r w:rsidR="00320541" w:rsidRPr="00086931">
        <w:rPr>
          <w:sz w:val="16"/>
          <w:szCs w:val="16"/>
        </w:rPr>
        <w:t>hile</w:t>
      </w:r>
      <w:r w:rsidR="002448C4" w:rsidRPr="00086931">
        <w:rPr>
          <w:sz w:val="16"/>
          <w:szCs w:val="16"/>
        </w:rPr>
        <w:t xml:space="preserve"> </w:t>
      </w:r>
      <w:r w:rsidR="009E250F" w:rsidRPr="00086931">
        <w:rPr>
          <w:sz w:val="16"/>
          <w:szCs w:val="16"/>
        </w:rPr>
        <w:t>Australian</w:t>
      </w:r>
      <w:r w:rsidR="008B6020" w:rsidRPr="00086931">
        <w:rPr>
          <w:sz w:val="16"/>
          <w:szCs w:val="16"/>
        </w:rPr>
        <w:t xml:space="preserve"> funded Transformative Agenda (UNFPA-run) and Partnerships for a Healthy Region (DFAT-run) programs </w:t>
      </w:r>
      <w:r w:rsidR="00A81DCD" w:rsidRPr="00086931">
        <w:rPr>
          <w:sz w:val="16"/>
          <w:szCs w:val="16"/>
        </w:rPr>
        <w:t xml:space="preserve">continue to </w:t>
      </w:r>
      <w:r w:rsidR="008B6020" w:rsidRPr="00086931">
        <w:rPr>
          <w:sz w:val="16"/>
          <w:szCs w:val="16"/>
        </w:rPr>
        <w:t>focus on SRHR.       </w:t>
      </w:r>
    </w:p>
  </w:footnote>
  <w:footnote w:id="3">
    <w:p w14:paraId="302ED89B" w14:textId="4EFFF61B" w:rsidR="00AF05CC" w:rsidRPr="00212512" w:rsidRDefault="00AF05CC">
      <w:pPr>
        <w:pStyle w:val="FootnoteText"/>
        <w:rPr>
          <w:sz w:val="16"/>
          <w:szCs w:val="16"/>
          <w:lang w:val="en-AU"/>
        </w:rPr>
      </w:pPr>
      <w:r w:rsidRPr="00212512">
        <w:rPr>
          <w:rStyle w:val="FootnoteReference"/>
          <w:sz w:val="16"/>
          <w:szCs w:val="16"/>
        </w:rPr>
        <w:footnoteRef/>
      </w:r>
      <w:r w:rsidRPr="00212512">
        <w:rPr>
          <w:sz w:val="16"/>
          <w:szCs w:val="16"/>
        </w:rPr>
        <w:t xml:space="preserve"> </w:t>
      </w:r>
      <w:r w:rsidRPr="00212512">
        <w:rPr>
          <w:sz w:val="16"/>
          <w:szCs w:val="16"/>
          <w:lang w:val="en-AU"/>
        </w:rPr>
        <w:t>As above.</w:t>
      </w:r>
    </w:p>
  </w:footnote>
  <w:footnote w:id="4">
    <w:p w14:paraId="598371FB" w14:textId="756C6D24" w:rsidR="38B2AC7E" w:rsidRPr="00212512" w:rsidRDefault="38B2AC7E" w:rsidP="00212512">
      <w:pPr>
        <w:pStyle w:val="FootnoteText"/>
        <w:rPr>
          <w:sz w:val="16"/>
          <w:szCs w:val="16"/>
        </w:rPr>
      </w:pPr>
      <w:r w:rsidRPr="00212512">
        <w:rPr>
          <w:rStyle w:val="FootnoteReference"/>
          <w:sz w:val="16"/>
          <w:szCs w:val="16"/>
        </w:rPr>
        <w:footnoteRef/>
      </w:r>
      <w:r w:rsidRPr="00212512">
        <w:rPr>
          <w:sz w:val="16"/>
          <w:szCs w:val="16"/>
        </w:rPr>
        <w:t xml:space="preserve"> </w:t>
      </w:r>
      <w:r w:rsidR="00F31257" w:rsidRPr="00212512">
        <w:rPr>
          <w:sz w:val="16"/>
          <w:szCs w:val="16"/>
        </w:rPr>
        <w:t>Couple years of protection (CYPs) is the estimated protection from pregnancy provided by contraceptive methods during a one-year period, based upon the volume of all contraceptives sold or distributed free of charge to clients during that period.</w:t>
      </w:r>
    </w:p>
  </w:footnote>
  <w:footnote w:id="5">
    <w:p w14:paraId="7CBD9767" w14:textId="77777777" w:rsidR="006C0648" w:rsidRPr="00086931" w:rsidRDefault="006C0648" w:rsidP="007539D8">
      <w:pPr>
        <w:pStyle w:val="FootnoteText"/>
        <w:rPr>
          <w:sz w:val="16"/>
          <w:szCs w:val="24"/>
          <w:lang w:val="en-AU"/>
        </w:rPr>
      </w:pPr>
      <w:r w:rsidRPr="00086931">
        <w:rPr>
          <w:rStyle w:val="FootnoteReference"/>
          <w:sz w:val="16"/>
          <w:szCs w:val="24"/>
        </w:rPr>
        <w:footnoteRef/>
      </w:r>
      <w:r w:rsidRPr="00086931">
        <w:rPr>
          <w:sz w:val="16"/>
          <w:szCs w:val="24"/>
        </w:rPr>
        <w:t xml:space="preserve"> </w:t>
      </w:r>
      <w:r w:rsidRPr="00086931">
        <w:rPr>
          <w:sz w:val="16"/>
          <w:szCs w:val="24"/>
          <w:lang w:val="en-AU"/>
        </w:rPr>
        <w:t xml:space="preserve">The wording of this indicator has changed since the drafting of the CDRP from percentage of supplementary budget expenditure to percentage of total domestic revenue. </w:t>
      </w:r>
    </w:p>
    <w:p w14:paraId="106655B7" w14:textId="77777777" w:rsidR="006C0648" w:rsidRPr="007539D8" w:rsidRDefault="006C0648">
      <w:pPr>
        <w:pStyle w:val="FootnoteText"/>
        <w:rPr>
          <w:lang w:val="en-A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7E92" w14:textId="57BCAD89" w:rsidR="009131E9" w:rsidRDefault="009131E9" w:rsidP="007A4493">
    <w:pPr>
      <w:pStyle w:val="Header"/>
      <w:ind w:left="0"/>
    </w:pPr>
    <w:r w:rsidRPr="00A12B40">
      <w:rPr>
        <w:i/>
        <w:noProof/>
        <w:lang w:val="en-AU" w:eastAsia="en-AU"/>
      </w:rPr>
      <w:drawing>
        <wp:inline distT="0" distB="0" distL="0" distR="0" wp14:anchorId="7248A92F" wp14:editId="7CBD7E78">
          <wp:extent cx="6718853" cy="707390"/>
          <wp:effectExtent l="0" t="0" r="6350" b="0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S-Aqua-Header-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3267" cy="716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5A3C7A" w14:textId="77777777" w:rsidR="007368ED" w:rsidRDefault="007368ED" w:rsidP="007A4493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2A5E" w14:textId="483FCFE4" w:rsidR="00920854" w:rsidRDefault="009131E9" w:rsidP="001F7F4D">
    <w:pPr>
      <w:pStyle w:val="Header"/>
      <w:spacing w:after="240"/>
      <w:ind w:left="0"/>
    </w:pPr>
    <w:r>
      <w:rPr>
        <w:noProof/>
      </w:rPr>
      <w:drawing>
        <wp:inline distT="0" distB="0" distL="0" distR="0" wp14:anchorId="53173A37" wp14:editId="3D212865">
          <wp:extent cx="6696075" cy="1247775"/>
          <wp:effectExtent l="0" t="0" r="9525" b="9525"/>
          <wp:docPr id="12" name="Picture 12" descr="Australian Government DFAT logo and Australian Ai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Picture 195" descr="Australian Government DFAT logo and Australian Ai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592AB9" w14:textId="77777777" w:rsidR="00920854" w:rsidRPr="00943730" w:rsidRDefault="00920854" w:rsidP="008C6149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1548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170B6"/>
    <w:multiLevelType w:val="hybridMultilevel"/>
    <w:tmpl w:val="27F0ADE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0F5F"/>
    <w:multiLevelType w:val="hybridMultilevel"/>
    <w:tmpl w:val="D52ECA8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0216D6"/>
    <w:multiLevelType w:val="hybridMultilevel"/>
    <w:tmpl w:val="00AE5C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3F5086"/>
    <w:multiLevelType w:val="hybridMultilevel"/>
    <w:tmpl w:val="FA701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0DF06AC3"/>
    <w:multiLevelType w:val="hybridMultilevel"/>
    <w:tmpl w:val="CFC098A4"/>
    <w:lvl w:ilvl="0" w:tplc="B7968C8E">
      <w:numFmt w:val="bullet"/>
      <w:lvlText w:val="-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B4E7D"/>
    <w:multiLevelType w:val="hybridMultilevel"/>
    <w:tmpl w:val="A7DC444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E5841"/>
    <w:multiLevelType w:val="hybridMultilevel"/>
    <w:tmpl w:val="67D49DF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321EE"/>
    <w:multiLevelType w:val="hybridMultilevel"/>
    <w:tmpl w:val="B9126F96"/>
    <w:lvl w:ilvl="0" w:tplc="89F041F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0" w15:restartNumberingAfterBreak="0">
    <w:nsid w:val="17624251"/>
    <w:multiLevelType w:val="hybridMultilevel"/>
    <w:tmpl w:val="81C624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AA3586"/>
    <w:multiLevelType w:val="hybridMultilevel"/>
    <w:tmpl w:val="9F20219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548BC"/>
    <w:multiLevelType w:val="hybridMultilevel"/>
    <w:tmpl w:val="26D04D08"/>
    <w:lvl w:ilvl="0" w:tplc="C28AA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4" w15:restartNumberingAfterBreak="0">
    <w:nsid w:val="2C3E13C1"/>
    <w:multiLevelType w:val="hybridMultilevel"/>
    <w:tmpl w:val="E2F2DF7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10F07"/>
    <w:multiLevelType w:val="hybridMultilevel"/>
    <w:tmpl w:val="423415E2"/>
    <w:lvl w:ilvl="0" w:tplc="E1BEE224">
      <w:start w:val="1"/>
      <w:numFmt w:val="decimal"/>
      <w:lvlText w:val="%1)"/>
      <w:lvlJc w:val="left"/>
      <w:pPr>
        <w:ind w:left="45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77" w:hanging="360"/>
      </w:pPr>
    </w:lvl>
    <w:lvl w:ilvl="2" w:tplc="0C09001B" w:tentative="1">
      <w:start w:val="1"/>
      <w:numFmt w:val="lowerRoman"/>
      <w:lvlText w:val="%3."/>
      <w:lvlJc w:val="right"/>
      <w:pPr>
        <w:ind w:left="1897" w:hanging="180"/>
      </w:pPr>
    </w:lvl>
    <w:lvl w:ilvl="3" w:tplc="0C09000F" w:tentative="1">
      <w:start w:val="1"/>
      <w:numFmt w:val="decimal"/>
      <w:lvlText w:val="%4."/>
      <w:lvlJc w:val="left"/>
      <w:pPr>
        <w:ind w:left="2617" w:hanging="360"/>
      </w:pPr>
    </w:lvl>
    <w:lvl w:ilvl="4" w:tplc="0C090019" w:tentative="1">
      <w:start w:val="1"/>
      <w:numFmt w:val="lowerLetter"/>
      <w:lvlText w:val="%5."/>
      <w:lvlJc w:val="left"/>
      <w:pPr>
        <w:ind w:left="3337" w:hanging="360"/>
      </w:pPr>
    </w:lvl>
    <w:lvl w:ilvl="5" w:tplc="0C09001B" w:tentative="1">
      <w:start w:val="1"/>
      <w:numFmt w:val="lowerRoman"/>
      <w:lvlText w:val="%6."/>
      <w:lvlJc w:val="right"/>
      <w:pPr>
        <w:ind w:left="4057" w:hanging="180"/>
      </w:pPr>
    </w:lvl>
    <w:lvl w:ilvl="6" w:tplc="0C09000F" w:tentative="1">
      <w:start w:val="1"/>
      <w:numFmt w:val="decimal"/>
      <w:lvlText w:val="%7."/>
      <w:lvlJc w:val="left"/>
      <w:pPr>
        <w:ind w:left="4777" w:hanging="360"/>
      </w:pPr>
    </w:lvl>
    <w:lvl w:ilvl="7" w:tplc="0C090019" w:tentative="1">
      <w:start w:val="1"/>
      <w:numFmt w:val="lowerLetter"/>
      <w:lvlText w:val="%8."/>
      <w:lvlJc w:val="left"/>
      <w:pPr>
        <w:ind w:left="5497" w:hanging="360"/>
      </w:pPr>
    </w:lvl>
    <w:lvl w:ilvl="8" w:tplc="0C0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6" w15:restartNumberingAfterBreak="0">
    <w:nsid w:val="33DF372D"/>
    <w:multiLevelType w:val="hybridMultilevel"/>
    <w:tmpl w:val="C654272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6E125D"/>
    <w:multiLevelType w:val="hybridMultilevel"/>
    <w:tmpl w:val="CDEA3EC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256FD"/>
    <w:multiLevelType w:val="hybridMultilevel"/>
    <w:tmpl w:val="27F0ADE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132CE"/>
    <w:multiLevelType w:val="multilevel"/>
    <w:tmpl w:val="3B7A10DE"/>
    <w:numStyleLink w:val="BulletsList"/>
  </w:abstractNum>
  <w:abstractNum w:abstractNumId="20" w15:restartNumberingAfterBreak="0">
    <w:nsid w:val="3A854A3D"/>
    <w:multiLevelType w:val="hybridMultilevel"/>
    <w:tmpl w:val="B8BED28E"/>
    <w:lvl w:ilvl="0" w:tplc="C28AA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512C0"/>
    <w:multiLevelType w:val="hybridMultilevel"/>
    <w:tmpl w:val="0372A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A1893"/>
    <w:multiLevelType w:val="hybridMultilevel"/>
    <w:tmpl w:val="E7DA382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7919C4"/>
    <w:multiLevelType w:val="hybridMultilevel"/>
    <w:tmpl w:val="A4D651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844876"/>
    <w:multiLevelType w:val="hybridMultilevel"/>
    <w:tmpl w:val="61929E10"/>
    <w:lvl w:ilvl="0" w:tplc="02CE043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5" w15:restartNumberingAfterBreak="0">
    <w:nsid w:val="46DF0A07"/>
    <w:multiLevelType w:val="hybridMultilevel"/>
    <w:tmpl w:val="B7E0A20E"/>
    <w:lvl w:ilvl="0" w:tplc="C2B656C8">
      <w:start w:val="20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A148B"/>
    <w:multiLevelType w:val="hybridMultilevel"/>
    <w:tmpl w:val="FC90C7DA"/>
    <w:lvl w:ilvl="0" w:tplc="59463C12">
      <w:start w:val="6"/>
      <w:numFmt w:val="bullet"/>
      <w:lvlText w:val="-"/>
      <w:lvlJc w:val="left"/>
      <w:pPr>
        <w:ind w:left="269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9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</w:abstractNum>
  <w:abstractNum w:abstractNumId="27" w15:restartNumberingAfterBreak="0">
    <w:nsid w:val="4C5051D6"/>
    <w:multiLevelType w:val="hybridMultilevel"/>
    <w:tmpl w:val="FE80071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632E6"/>
    <w:multiLevelType w:val="hybridMultilevel"/>
    <w:tmpl w:val="5400FEE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8669A6"/>
    <w:multiLevelType w:val="hybridMultilevel"/>
    <w:tmpl w:val="96EC6980"/>
    <w:lvl w:ilvl="0" w:tplc="C28AABD2">
      <w:start w:val="1"/>
      <w:numFmt w:val="bullet"/>
      <w:lvlText w:val="•"/>
      <w:lvlJc w:val="left"/>
      <w:pPr>
        <w:ind w:left="816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0" w15:restartNumberingAfterBreak="0">
    <w:nsid w:val="51100950"/>
    <w:multiLevelType w:val="hybridMultilevel"/>
    <w:tmpl w:val="0686927C"/>
    <w:lvl w:ilvl="0" w:tplc="0C0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6D33BE"/>
    <w:multiLevelType w:val="hybridMultilevel"/>
    <w:tmpl w:val="78AE2EA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33" w15:restartNumberingAfterBreak="0">
    <w:nsid w:val="5BD54DA3"/>
    <w:multiLevelType w:val="hybridMultilevel"/>
    <w:tmpl w:val="4A145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D667C"/>
    <w:multiLevelType w:val="hybridMultilevel"/>
    <w:tmpl w:val="ED2C4C28"/>
    <w:lvl w:ilvl="0" w:tplc="C28AABD2">
      <w:start w:val="1"/>
      <w:numFmt w:val="bullet"/>
      <w:lvlText w:val="•"/>
      <w:lvlJc w:val="left"/>
      <w:pPr>
        <w:ind w:left="816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5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36" w15:restartNumberingAfterBreak="0">
    <w:nsid w:val="60DC3033"/>
    <w:multiLevelType w:val="hybridMultilevel"/>
    <w:tmpl w:val="9D040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81736"/>
    <w:multiLevelType w:val="hybridMultilevel"/>
    <w:tmpl w:val="5FA847FC"/>
    <w:lvl w:ilvl="0" w:tplc="C28AA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1E64A4"/>
    <w:multiLevelType w:val="hybridMultilevel"/>
    <w:tmpl w:val="63B0AF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FC69FB"/>
    <w:multiLevelType w:val="hybridMultilevel"/>
    <w:tmpl w:val="AE2E997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3904C7"/>
    <w:multiLevelType w:val="hybridMultilevel"/>
    <w:tmpl w:val="1612FE16"/>
    <w:lvl w:ilvl="0" w:tplc="B936BC52">
      <w:start w:val="1"/>
      <w:numFmt w:val="decimal"/>
      <w:lvlText w:val="%1)"/>
      <w:lvlJc w:val="left"/>
      <w:pPr>
        <w:ind w:left="720" w:hanging="360"/>
      </w:pPr>
      <w:rPr>
        <w:rFonts w:eastAsia="Calibri Light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0679BB"/>
    <w:multiLevelType w:val="hybridMultilevel"/>
    <w:tmpl w:val="80582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AC5D79"/>
    <w:multiLevelType w:val="hybridMultilevel"/>
    <w:tmpl w:val="D714D16E"/>
    <w:lvl w:ilvl="0" w:tplc="DF22A0BC">
      <w:start w:val="20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107305"/>
    <w:multiLevelType w:val="multilevel"/>
    <w:tmpl w:val="3B7A10DE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4" w15:restartNumberingAfterBreak="0">
    <w:nsid w:val="73166602"/>
    <w:multiLevelType w:val="hybridMultilevel"/>
    <w:tmpl w:val="71381298"/>
    <w:lvl w:ilvl="0" w:tplc="59463C1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BE7A65"/>
    <w:multiLevelType w:val="hybridMultilevel"/>
    <w:tmpl w:val="A4D4C220"/>
    <w:lvl w:ilvl="0" w:tplc="C28AA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2E3E94"/>
    <w:multiLevelType w:val="hybridMultilevel"/>
    <w:tmpl w:val="F5FC89DC"/>
    <w:lvl w:ilvl="0" w:tplc="0D469CE2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C940F67"/>
    <w:multiLevelType w:val="hybridMultilevel"/>
    <w:tmpl w:val="011ABF7C"/>
    <w:lvl w:ilvl="0" w:tplc="D996F18A">
      <w:start w:val="202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0D33EF"/>
    <w:multiLevelType w:val="hybridMultilevel"/>
    <w:tmpl w:val="0AC2FD7E"/>
    <w:lvl w:ilvl="0" w:tplc="84F4094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D3400E4"/>
    <w:multiLevelType w:val="hybridMultilevel"/>
    <w:tmpl w:val="8E84C3E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DD701EE"/>
    <w:multiLevelType w:val="hybridMultilevel"/>
    <w:tmpl w:val="02CCAB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892739"/>
    <w:multiLevelType w:val="hybridMultilevel"/>
    <w:tmpl w:val="27F0ADE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2929">
    <w:abstractNumId w:val="43"/>
  </w:num>
  <w:num w:numId="2" w16cid:durableId="789277552">
    <w:abstractNumId w:val="5"/>
  </w:num>
  <w:num w:numId="3" w16cid:durableId="415057235">
    <w:abstractNumId w:val="13"/>
  </w:num>
  <w:num w:numId="4" w16cid:durableId="1901938646">
    <w:abstractNumId w:val="32"/>
  </w:num>
  <w:num w:numId="5" w16cid:durableId="443766657">
    <w:abstractNumId w:val="35"/>
  </w:num>
  <w:num w:numId="6" w16cid:durableId="170418493">
    <w:abstractNumId w:val="13"/>
  </w:num>
  <w:num w:numId="7" w16cid:durableId="1559049292">
    <w:abstractNumId w:val="5"/>
  </w:num>
  <w:num w:numId="8" w16cid:durableId="502862737">
    <w:abstractNumId w:val="9"/>
  </w:num>
  <w:num w:numId="9" w16cid:durableId="946738712">
    <w:abstractNumId w:val="46"/>
  </w:num>
  <w:num w:numId="10" w16cid:durableId="1293439046">
    <w:abstractNumId w:val="19"/>
  </w:num>
  <w:num w:numId="11" w16cid:durableId="1616132132">
    <w:abstractNumId w:val="29"/>
  </w:num>
  <w:num w:numId="12" w16cid:durableId="749932280">
    <w:abstractNumId w:val="30"/>
  </w:num>
  <w:num w:numId="13" w16cid:durableId="1969509245">
    <w:abstractNumId w:val="0"/>
  </w:num>
  <w:num w:numId="14" w16cid:durableId="1665628068">
    <w:abstractNumId w:val="26"/>
  </w:num>
  <w:num w:numId="15" w16cid:durableId="1865093268">
    <w:abstractNumId w:val="33"/>
  </w:num>
  <w:num w:numId="16" w16cid:durableId="2062947188">
    <w:abstractNumId w:val="37"/>
  </w:num>
  <w:num w:numId="17" w16cid:durableId="1014069129">
    <w:abstractNumId w:val="12"/>
  </w:num>
  <w:num w:numId="18" w16cid:durableId="1134640017">
    <w:abstractNumId w:val="34"/>
  </w:num>
  <w:num w:numId="19" w16cid:durableId="462624606">
    <w:abstractNumId w:val="45"/>
  </w:num>
  <w:num w:numId="20" w16cid:durableId="946231716">
    <w:abstractNumId w:val="21"/>
  </w:num>
  <w:num w:numId="21" w16cid:durableId="1798178445">
    <w:abstractNumId w:val="44"/>
  </w:num>
  <w:num w:numId="22" w16cid:durableId="2003773460">
    <w:abstractNumId w:val="20"/>
  </w:num>
  <w:num w:numId="23" w16cid:durableId="408698333">
    <w:abstractNumId w:val="6"/>
  </w:num>
  <w:num w:numId="24" w16cid:durableId="39403587">
    <w:abstractNumId w:val="42"/>
  </w:num>
  <w:num w:numId="25" w16cid:durableId="103963916">
    <w:abstractNumId w:val="48"/>
  </w:num>
  <w:num w:numId="26" w16cid:durableId="2116366332">
    <w:abstractNumId w:val="25"/>
  </w:num>
  <w:num w:numId="27" w16cid:durableId="305089835">
    <w:abstractNumId w:val="36"/>
  </w:num>
  <w:num w:numId="28" w16cid:durableId="1176992414">
    <w:abstractNumId w:val="41"/>
  </w:num>
  <w:num w:numId="29" w16cid:durableId="1319190261">
    <w:abstractNumId w:val="47"/>
  </w:num>
  <w:num w:numId="30" w16cid:durableId="1640457215">
    <w:abstractNumId w:val="51"/>
  </w:num>
  <w:num w:numId="31" w16cid:durableId="1367177468">
    <w:abstractNumId w:val="1"/>
  </w:num>
  <w:num w:numId="32" w16cid:durableId="2032677999">
    <w:abstractNumId w:val="18"/>
  </w:num>
  <w:num w:numId="33" w16cid:durableId="1529295383">
    <w:abstractNumId w:val="17"/>
  </w:num>
  <w:num w:numId="34" w16cid:durableId="1668942339">
    <w:abstractNumId w:val="11"/>
  </w:num>
  <w:num w:numId="35" w16cid:durableId="204414708">
    <w:abstractNumId w:val="8"/>
  </w:num>
  <w:num w:numId="36" w16cid:durableId="897594377">
    <w:abstractNumId w:val="24"/>
  </w:num>
  <w:num w:numId="37" w16cid:durableId="2042775595">
    <w:abstractNumId w:val="40"/>
  </w:num>
  <w:num w:numId="38" w16cid:durableId="242305288">
    <w:abstractNumId w:val="50"/>
  </w:num>
  <w:num w:numId="39" w16cid:durableId="2061008672">
    <w:abstractNumId w:val="7"/>
  </w:num>
  <w:num w:numId="40" w16cid:durableId="1494645654">
    <w:abstractNumId w:val="27"/>
  </w:num>
  <w:num w:numId="41" w16cid:durableId="786435492">
    <w:abstractNumId w:val="14"/>
  </w:num>
  <w:num w:numId="42" w16cid:durableId="1232928960">
    <w:abstractNumId w:val="15"/>
  </w:num>
  <w:num w:numId="43" w16cid:durableId="1669402952">
    <w:abstractNumId w:val="28"/>
  </w:num>
  <w:num w:numId="44" w16cid:durableId="26295151">
    <w:abstractNumId w:val="39"/>
  </w:num>
  <w:num w:numId="45" w16cid:durableId="242448713">
    <w:abstractNumId w:val="22"/>
  </w:num>
  <w:num w:numId="46" w16cid:durableId="302348639">
    <w:abstractNumId w:val="2"/>
  </w:num>
  <w:num w:numId="47" w16cid:durableId="1098335114">
    <w:abstractNumId w:val="31"/>
  </w:num>
  <w:num w:numId="48" w16cid:durableId="256254447">
    <w:abstractNumId w:val="49"/>
  </w:num>
  <w:num w:numId="49" w16cid:durableId="701518404">
    <w:abstractNumId w:val="23"/>
  </w:num>
  <w:num w:numId="50" w16cid:durableId="1310524128">
    <w:abstractNumId w:val="3"/>
  </w:num>
  <w:num w:numId="51" w16cid:durableId="76175771">
    <w:abstractNumId w:val="38"/>
  </w:num>
  <w:num w:numId="52" w16cid:durableId="2033648335">
    <w:abstractNumId w:val="16"/>
  </w:num>
  <w:num w:numId="53" w16cid:durableId="338896144">
    <w:abstractNumId w:val="4"/>
  </w:num>
  <w:num w:numId="54" w16cid:durableId="1302808585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058"/>
    <w:rsid w:val="000005F0"/>
    <w:rsid w:val="00001DA8"/>
    <w:rsid w:val="000020C1"/>
    <w:rsid w:val="000071EE"/>
    <w:rsid w:val="00010006"/>
    <w:rsid w:val="00011235"/>
    <w:rsid w:val="00015AB7"/>
    <w:rsid w:val="00015DC0"/>
    <w:rsid w:val="0002080A"/>
    <w:rsid w:val="0002782F"/>
    <w:rsid w:val="00031486"/>
    <w:rsid w:val="000314BA"/>
    <w:rsid w:val="000317E1"/>
    <w:rsid w:val="00035BBF"/>
    <w:rsid w:val="00035CBC"/>
    <w:rsid w:val="000417C3"/>
    <w:rsid w:val="00041CA8"/>
    <w:rsid w:val="000444F3"/>
    <w:rsid w:val="00050806"/>
    <w:rsid w:val="00051F3B"/>
    <w:rsid w:val="000534B3"/>
    <w:rsid w:val="0005417C"/>
    <w:rsid w:val="000546D9"/>
    <w:rsid w:val="00054E4D"/>
    <w:rsid w:val="0005564F"/>
    <w:rsid w:val="00055880"/>
    <w:rsid w:val="00056F24"/>
    <w:rsid w:val="00060073"/>
    <w:rsid w:val="000616C6"/>
    <w:rsid w:val="000618C3"/>
    <w:rsid w:val="0007212A"/>
    <w:rsid w:val="00076DAA"/>
    <w:rsid w:val="0008222A"/>
    <w:rsid w:val="000822AD"/>
    <w:rsid w:val="000854FD"/>
    <w:rsid w:val="00086931"/>
    <w:rsid w:val="00086B4B"/>
    <w:rsid w:val="00091F6C"/>
    <w:rsid w:val="00092464"/>
    <w:rsid w:val="0009676B"/>
    <w:rsid w:val="000A2AFB"/>
    <w:rsid w:val="000A39DD"/>
    <w:rsid w:val="000A407E"/>
    <w:rsid w:val="000A71CD"/>
    <w:rsid w:val="000A7826"/>
    <w:rsid w:val="000B37F5"/>
    <w:rsid w:val="000B40E9"/>
    <w:rsid w:val="000B5DA7"/>
    <w:rsid w:val="000B78E6"/>
    <w:rsid w:val="000C3A4C"/>
    <w:rsid w:val="000C4411"/>
    <w:rsid w:val="000C4D30"/>
    <w:rsid w:val="000C5327"/>
    <w:rsid w:val="000D003A"/>
    <w:rsid w:val="000D2896"/>
    <w:rsid w:val="000D66D6"/>
    <w:rsid w:val="000E1045"/>
    <w:rsid w:val="000E58BF"/>
    <w:rsid w:val="000E6C44"/>
    <w:rsid w:val="000F1286"/>
    <w:rsid w:val="000F2600"/>
    <w:rsid w:val="000F78C9"/>
    <w:rsid w:val="00100347"/>
    <w:rsid w:val="00106C1C"/>
    <w:rsid w:val="00111913"/>
    <w:rsid w:val="00113288"/>
    <w:rsid w:val="0011475A"/>
    <w:rsid w:val="00116E9F"/>
    <w:rsid w:val="001203A0"/>
    <w:rsid w:val="001214BE"/>
    <w:rsid w:val="0012165D"/>
    <w:rsid w:val="00121DDD"/>
    <w:rsid w:val="001227F1"/>
    <w:rsid w:val="0013101C"/>
    <w:rsid w:val="0013385F"/>
    <w:rsid w:val="00134AEA"/>
    <w:rsid w:val="00137F4E"/>
    <w:rsid w:val="001461D6"/>
    <w:rsid w:val="00146E07"/>
    <w:rsid w:val="001541EA"/>
    <w:rsid w:val="0016223D"/>
    <w:rsid w:val="00163DB1"/>
    <w:rsid w:val="00166032"/>
    <w:rsid w:val="001662F8"/>
    <w:rsid w:val="001841C8"/>
    <w:rsid w:val="0018657B"/>
    <w:rsid w:val="00186B4B"/>
    <w:rsid w:val="00190B6C"/>
    <w:rsid w:val="00192077"/>
    <w:rsid w:val="00193C49"/>
    <w:rsid w:val="001A51EE"/>
    <w:rsid w:val="001A7815"/>
    <w:rsid w:val="001B78DA"/>
    <w:rsid w:val="001B7A59"/>
    <w:rsid w:val="001C0C94"/>
    <w:rsid w:val="001C14F4"/>
    <w:rsid w:val="001C1F11"/>
    <w:rsid w:val="001C483F"/>
    <w:rsid w:val="001C5CAA"/>
    <w:rsid w:val="001C72C5"/>
    <w:rsid w:val="001D1A8F"/>
    <w:rsid w:val="001D3C98"/>
    <w:rsid w:val="001D3DDD"/>
    <w:rsid w:val="001D4091"/>
    <w:rsid w:val="001D663E"/>
    <w:rsid w:val="001E03BE"/>
    <w:rsid w:val="001E1DC0"/>
    <w:rsid w:val="001E563B"/>
    <w:rsid w:val="001E6D20"/>
    <w:rsid w:val="001F16E7"/>
    <w:rsid w:val="001F63EC"/>
    <w:rsid w:val="001F7A8B"/>
    <w:rsid w:val="001F7F4D"/>
    <w:rsid w:val="00202951"/>
    <w:rsid w:val="00212512"/>
    <w:rsid w:val="00213ACB"/>
    <w:rsid w:val="00216C55"/>
    <w:rsid w:val="002231BD"/>
    <w:rsid w:val="002270F7"/>
    <w:rsid w:val="0022790D"/>
    <w:rsid w:val="00230275"/>
    <w:rsid w:val="002404E8"/>
    <w:rsid w:val="00244229"/>
    <w:rsid w:val="002443C7"/>
    <w:rsid w:val="002448C4"/>
    <w:rsid w:val="00247365"/>
    <w:rsid w:val="00255F45"/>
    <w:rsid w:val="00261565"/>
    <w:rsid w:val="00270C70"/>
    <w:rsid w:val="002721B5"/>
    <w:rsid w:val="00275BD2"/>
    <w:rsid w:val="002769DD"/>
    <w:rsid w:val="0028602A"/>
    <w:rsid w:val="00286F31"/>
    <w:rsid w:val="00292F43"/>
    <w:rsid w:val="002945C4"/>
    <w:rsid w:val="0029663F"/>
    <w:rsid w:val="00297258"/>
    <w:rsid w:val="00297FD1"/>
    <w:rsid w:val="002A7561"/>
    <w:rsid w:val="002B1F80"/>
    <w:rsid w:val="002B3381"/>
    <w:rsid w:val="002B5E10"/>
    <w:rsid w:val="002C793D"/>
    <w:rsid w:val="002D25D9"/>
    <w:rsid w:val="002D35C9"/>
    <w:rsid w:val="002D4108"/>
    <w:rsid w:val="002D430F"/>
    <w:rsid w:val="002D5B25"/>
    <w:rsid w:val="002D626F"/>
    <w:rsid w:val="002E1D03"/>
    <w:rsid w:val="002E2AF4"/>
    <w:rsid w:val="002E38B2"/>
    <w:rsid w:val="002E500A"/>
    <w:rsid w:val="002E50F0"/>
    <w:rsid w:val="002F03FB"/>
    <w:rsid w:val="002F0903"/>
    <w:rsid w:val="002F2E56"/>
    <w:rsid w:val="002F3746"/>
    <w:rsid w:val="002F4F2B"/>
    <w:rsid w:val="002F6581"/>
    <w:rsid w:val="002F65DB"/>
    <w:rsid w:val="002F67AE"/>
    <w:rsid w:val="003002C0"/>
    <w:rsid w:val="00300FBA"/>
    <w:rsid w:val="00301144"/>
    <w:rsid w:val="003031C6"/>
    <w:rsid w:val="00304984"/>
    <w:rsid w:val="00311946"/>
    <w:rsid w:val="00312BF8"/>
    <w:rsid w:val="00313F22"/>
    <w:rsid w:val="003148B7"/>
    <w:rsid w:val="003158C3"/>
    <w:rsid w:val="00320541"/>
    <w:rsid w:val="00320DC8"/>
    <w:rsid w:val="0032507A"/>
    <w:rsid w:val="003274CD"/>
    <w:rsid w:val="003275AF"/>
    <w:rsid w:val="003304BD"/>
    <w:rsid w:val="00333501"/>
    <w:rsid w:val="00334FB5"/>
    <w:rsid w:val="0033514B"/>
    <w:rsid w:val="003406AF"/>
    <w:rsid w:val="003457C4"/>
    <w:rsid w:val="0035119D"/>
    <w:rsid w:val="003535F8"/>
    <w:rsid w:val="003537BB"/>
    <w:rsid w:val="00354641"/>
    <w:rsid w:val="0035532B"/>
    <w:rsid w:val="00355FD3"/>
    <w:rsid w:val="003622C1"/>
    <w:rsid w:val="00363A9F"/>
    <w:rsid w:val="003664FE"/>
    <w:rsid w:val="00372AD6"/>
    <w:rsid w:val="00375D23"/>
    <w:rsid w:val="00376796"/>
    <w:rsid w:val="003775B3"/>
    <w:rsid w:val="003806FE"/>
    <w:rsid w:val="00382CE7"/>
    <w:rsid w:val="00384D2A"/>
    <w:rsid w:val="003874B3"/>
    <w:rsid w:val="00387EC8"/>
    <w:rsid w:val="0039215F"/>
    <w:rsid w:val="0039344A"/>
    <w:rsid w:val="00394FF5"/>
    <w:rsid w:val="00397968"/>
    <w:rsid w:val="003B3091"/>
    <w:rsid w:val="003B4F12"/>
    <w:rsid w:val="003B5132"/>
    <w:rsid w:val="003C52D3"/>
    <w:rsid w:val="003C6C4F"/>
    <w:rsid w:val="003C7D0E"/>
    <w:rsid w:val="003D1253"/>
    <w:rsid w:val="003E03B8"/>
    <w:rsid w:val="003E040B"/>
    <w:rsid w:val="003E0545"/>
    <w:rsid w:val="003E24BA"/>
    <w:rsid w:val="003F2041"/>
    <w:rsid w:val="003F4679"/>
    <w:rsid w:val="003F7D26"/>
    <w:rsid w:val="004007ED"/>
    <w:rsid w:val="00400D50"/>
    <w:rsid w:val="00402ACC"/>
    <w:rsid w:val="00402E35"/>
    <w:rsid w:val="00402E8B"/>
    <w:rsid w:val="00403FD8"/>
    <w:rsid w:val="00404443"/>
    <w:rsid w:val="00404602"/>
    <w:rsid w:val="00410189"/>
    <w:rsid w:val="004120EC"/>
    <w:rsid w:val="0041267F"/>
    <w:rsid w:val="00414A89"/>
    <w:rsid w:val="00414AD9"/>
    <w:rsid w:val="00423DB9"/>
    <w:rsid w:val="00423DE0"/>
    <w:rsid w:val="00423F31"/>
    <w:rsid w:val="0042526D"/>
    <w:rsid w:val="00426340"/>
    <w:rsid w:val="004303AA"/>
    <w:rsid w:val="004311AC"/>
    <w:rsid w:val="00431899"/>
    <w:rsid w:val="00433460"/>
    <w:rsid w:val="00435354"/>
    <w:rsid w:val="00436B99"/>
    <w:rsid w:val="00446F46"/>
    <w:rsid w:val="00450381"/>
    <w:rsid w:val="004529F1"/>
    <w:rsid w:val="00453B1A"/>
    <w:rsid w:val="00462A57"/>
    <w:rsid w:val="004708FA"/>
    <w:rsid w:val="004728DD"/>
    <w:rsid w:val="00473F2D"/>
    <w:rsid w:val="00473F39"/>
    <w:rsid w:val="00474037"/>
    <w:rsid w:val="00475782"/>
    <w:rsid w:val="004800EE"/>
    <w:rsid w:val="004821BB"/>
    <w:rsid w:val="00482AE8"/>
    <w:rsid w:val="00486804"/>
    <w:rsid w:val="00487549"/>
    <w:rsid w:val="00493F17"/>
    <w:rsid w:val="00494242"/>
    <w:rsid w:val="00496766"/>
    <w:rsid w:val="004A0225"/>
    <w:rsid w:val="004A41B8"/>
    <w:rsid w:val="004A5619"/>
    <w:rsid w:val="004B1510"/>
    <w:rsid w:val="004B3775"/>
    <w:rsid w:val="004B44FC"/>
    <w:rsid w:val="004B4EF5"/>
    <w:rsid w:val="004C52F0"/>
    <w:rsid w:val="004D0BA0"/>
    <w:rsid w:val="004D7F36"/>
    <w:rsid w:val="004E058F"/>
    <w:rsid w:val="004E2DDA"/>
    <w:rsid w:val="004E3B87"/>
    <w:rsid w:val="004E5055"/>
    <w:rsid w:val="004E549D"/>
    <w:rsid w:val="004F1DF6"/>
    <w:rsid w:val="004F3A80"/>
    <w:rsid w:val="004F4695"/>
    <w:rsid w:val="004F5615"/>
    <w:rsid w:val="00502041"/>
    <w:rsid w:val="00503EB4"/>
    <w:rsid w:val="0050592F"/>
    <w:rsid w:val="00510921"/>
    <w:rsid w:val="00510AD3"/>
    <w:rsid w:val="00513348"/>
    <w:rsid w:val="00513AD8"/>
    <w:rsid w:val="0051511D"/>
    <w:rsid w:val="00517DD0"/>
    <w:rsid w:val="005204D2"/>
    <w:rsid w:val="00522396"/>
    <w:rsid w:val="005262FA"/>
    <w:rsid w:val="00527AD8"/>
    <w:rsid w:val="005303B9"/>
    <w:rsid w:val="0053159D"/>
    <w:rsid w:val="00531B69"/>
    <w:rsid w:val="00533B5D"/>
    <w:rsid w:val="00534D96"/>
    <w:rsid w:val="00536343"/>
    <w:rsid w:val="00536BAB"/>
    <w:rsid w:val="00540A22"/>
    <w:rsid w:val="00546877"/>
    <w:rsid w:val="005474FC"/>
    <w:rsid w:val="005523F5"/>
    <w:rsid w:val="00552E1F"/>
    <w:rsid w:val="00553079"/>
    <w:rsid w:val="005579C6"/>
    <w:rsid w:val="00560E83"/>
    <w:rsid w:val="005619F4"/>
    <w:rsid w:val="0056D3BB"/>
    <w:rsid w:val="005736BB"/>
    <w:rsid w:val="0057455A"/>
    <w:rsid w:val="00577815"/>
    <w:rsid w:val="005822D6"/>
    <w:rsid w:val="005838FD"/>
    <w:rsid w:val="005839E5"/>
    <w:rsid w:val="00597352"/>
    <w:rsid w:val="005A20F6"/>
    <w:rsid w:val="005A257E"/>
    <w:rsid w:val="005A2C5B"/>
    <w:rsid w:val="005B4002"/>
    <w:rsid w:val="005B479E"/>
    <w:rsid w:val="005B7577"/>
    <w:rsid w:val="005C0340"/>
    <w:rsid w:val="005C2EC9"/>
    <w:rsid w:val="005C532B"/>
    <w:rsid w:val="005D3655"/>
    <w:rsid w:val="005D5489"/>
    <w:rsid w:val="005D69AA"/>
    <w:rsid w:val="005D70EC"/>
    <w:rsid w:val="005D7F03"/>
    <w:rsid w:val="005E0058"/>
    <w:rsid w:val="005E4830"/>
    <w:rsid w:val="005E5524"/>
    <w:rsid w:val="005E73CC"/>
    <w:rsid w:val="005F2360"/>
    <w:rsid w:val="005F2F66"/>
    <w:rsid w:val="006031AC"/>
    <w:rsid w:val="00603321"/>
    <w:rsid w:val="00604995"/>
    <w:rsid w:val="00616A58"/>
    <w:rsid w:val="00620A3D"/>
    <w:rsid w:val="00622B86"/>
    <w:rsid w:val="00623BA1"/>
    <w:rsid w:val="00625C3A"/>
    <w:rsid w:val="00630092"/>
    <w:rsid w:val="006346BC"/>
    <w:rsid w:val="00636165"/>
    <w:rsid w:val="006362FF"/>
    <w:rsid w:val="006378FE"/>
    <w:rsid w:val="006408FF"/>
    <w:rsid w:val="0065349D"/>
    <w:rsid w:val="0065649B"/>
    <w:rsid w:val="0066203A"/>
    <w:rsid w:val="0066652A"/>
    <w:rsid w:val="0066661A"/>
    <w:rsid w:val="006719C3"/>
    <w:rsid w:val="006745FC"/>
    <w:rsid w:val="006750D9"/>
    <w:rsid w:val="00677DD7"/>
    <w:rsid w:val="00680115"/>
    <w:rsid w:val="00680522"/>
    <w:rsid w:val="00681633"/>
    <w:rsid w:val="0068172A"/>
    <w:rsid w:val="00682167"/>
    <w:rsid w:val="00690AE1"/>
    <w:rsid w:val="00693F92"/>
    <w:rsid w:val="00694598"/>
    <w:rsid w:val="006A6F52"/>
    <w:rsid w:val="006A791A"/>
    <w:rsid w:val="006B0064"/>
    <w:rsid w:val="006B3E95"/>
    <w:rsid w:val="006B51B2"/>
    <w:rsid w:val="006B6F6D"/>
    <w:rsid w:val="006C0648"/>
    <w:rsid w:val="006C0B06"/>
    <w:rsid w:val="006C3BBD"/>
    <w:rsid w:val="006C42AF"/>
    <w:rsid w:val="006C565B"/>
    <w:rsid w:val="006C6498"/>
    <w:rsid w:val="006C6A87"/>
    <w:rsid w:val="006D15F1"/>
    <w:rsid w:val="006D3E58"/>
    <w:rsid w:val="006D5A56"/>
    <w:rsid w:val="006E4323"/>
    <w:rsid w:val="006E5E66"/>
    <w:rsid w:val="006E7560"/>
    <w:rsid w:val="006F2D05"/>
    <w:rsid w:val="006F59F1"/>
    <w:rsid w:val="006F6BA7"/>
    <w:rsid w:val="00701760"/>
    <w:rsid w:val="00701E5C"/>
    <w:rsid w:val="00702BBE"/>
    <w:rsid w:val="00706136"/>
    <w:rsid w:val="007075DF"/>
    <w:rsid w:val="00711D8E"/>
    <w:rsid w:val="00712672"/>
    <w:rsid w:val="007178C4"/>
    <w:rsid w:val="00723871"/>
    <w:rsid w:val="00723A3E"/>
    <w:rsid w:val="00727E09"/>
    <w:rsid w:val="00734E3F"/>
    <w:rsid w:val="00735DB1"/>
    <w:rsid w:val="007368ED"/>
    <w:rsid w:val="00736985"/>
    <w:rsid w:val="007373A1"/>
    <w:rsid w:val="00745DF5"/>
    <w:rsid w:val="00751704"/>
    <w:rsid w:val="00751718"/>
    <w:rsid w:val="00753924"/>
    <w:rsid w:val="007539D8"/>
    <w:rsid w:val="00754F1B"/>
    <w:rsid w:val="0076250F"/>
    <w:rsid w:val="007659A3"/>
    <w:rsid w:val="0077324F"/>
    <w:rsid w:val="007733DC"/>
    <w:rsid w:val="00780FA5"/>
    <w:rsid w:val="00782335"/>
    <w:rsid w:val="00784AE6"/>
    <w:rsid w:val="007864CF"/>
    <w:rsid w:val="00794D99"/>
    <w:rsid w:val="00796F1C"/>
    <w:rsid w:val="007A35B7"/>
    <w:rsid w:val="007A4493"/>
    <w:rsid w:val="007A4DF5"/>
    <w:rsid w:val="007B53DB"/>
    <w:rsid w:val="007B53F9"/>
    <w:rsid w:val="007B6200"/>
    <w:rsid w:val="007C05F7"/>
    <w:rsid w:val="007C19B3"/>
    <w:rsid w:val="007C35DE"/>
    <w:rsid w:val="007C4D69"/>
    <w:rsid w:val="007C6D50"/>
    <w:rsid w:val="007C735B"/>
    <w:rsid w:val="007D2305"/>
    <w:rsid w:val="007E12FA"/>
    <w:rsid w:val="007E5361"/>
    <w:rsid w:val="007E556D"/>
    <w:rsid w:val="007E7BC7"/>
    <w:rsid w:val="007F3395"/>
    <w:rsid w:val="007F5C0B"/>
    <w:rsid w:val="007F646C"/>
    <w:rsid w:val="007F6EEC"/>
    <w:rsid w:val="00801B9F"/>
    <w:rsid w:val="0080204D"/>
    <w:rsid w:val="00813EA6"/>
    <w:rsid w:val="0081550A"/>
    <w:rsid w:val="00817F90"/>
    <w:rsid w:val="0082053C"/>
    <w:rsid w:val="00822F43"/>
    <w:rsid w:val="00830866"/>
    <w:rsid w:val="0083330D"/>
    <w:rsid w:val="00834679"/>
    <w:rsid w:val="00836B54"/>
    <w:rsid w:val="0084173A"/>
    <w:rsid w:val="0084191E"/>
    <w:rsid w:val="00843B76"/>
    <w:rsid w:val="00844737"/>
    <w:rsid w:val="008475F0"/>
    <w:rsid w:val="00850C95"/>
    <w:rsid w:val="008515AF"/>
    <w:rsid w:val="00852C32"/>
    <w:rsid w:val="00854C81"/>
    <w:rsid w:val="00854F69"/>
    <w:rsid w:val="008557A7"/>
    <w:rsid w:val="00856BFE"/>
    <w:rsid w:val="00857312"/>
    <w:rsid w:val="00860698"/>
    <w:rsid w:val="00862BCF"/>
    <w:rsid w:val="00865DE2"/>
    <w:rsid w:val="00870928"/>
    <w:rsid w:val="00873AEA"/>
    <w:rsid w:val="008740B3"/>
    <w:rsid w:val="00876B47"/>
    <w:rsid w:val="00877620"/>
    <w:rsid w:val="00881605"/>
    <w:rsid w:val="00887404"/>
    <w:rsid w:val="0089405C"/>
    <w:rsid w:val="008945B8"/>
    <w:rsid w:val="00894FEB"/>
    <w:rsid w:val="00897FA2"/>
    <w:rsid w:val="008A1503"/>
    <w:rsid w:val="008A5AFE"/>
    <w:rsid w:val="008A6BB7"/>
    <w:rsid w:val="008A745C"/>
    <w:rsid w:val="008A7B6F"/>
    <w:rsid w:val="008B6020"/>
    <w:rsid w:val="008C1A18"/>
    <w:rsid w:val="008C1F60"/>
    <w:rsid w:val="008C478C"/>
    <w:rsid w:val="008C5A0E"/>
    <w:rsid w:val="008C6149"/>
    <w:rsid w:val="008C708C"/>
    <w:rsid w:val="008C77D2"/>
    <w:rsid w:val="008D7500"/>
    <w:rsid w:val="008E45DF"/>
    <w:rsid w:val="008E4B49"/>
    <w:rsid w:val="008E4BCA"/>
    <w:rsid w:val="008E783B"/>
    <w:rsid w:val="008E7A6E"/>
    <w:rsid w:val="008F6625"/>
    <w:rsid w:val="009131E9"/>
    <w:rsid w:val="00913875"/>
    <w:rsid w:val="009142FE"/>
    <w:rsid w:val="00915819"/>
    <w:rsid w:val="00916582"/>
    <w:rsid w:val="00917A7A"/>
    <w:rsid w:val="00920854"/>
    <w:rsid w:val="0093173D"/>
    <w:rsid w:val="00937866"/>
    <w:rsid w:val="00941E94"/>
    <w:rsid w:val="00943730"/>
    <w:rsid w:val="009505AE"/>
    <w:rsid w:val="00950D65"/>
    <w:rsid w:val="00952815"/>
    <w:rsid w:val="009543B9"/>
    <w:rsid w:val="009712C2"/>
    <w:rsid w:val="00975CA5"/>
    <w:rsid w:val="009774B4"/>
    <w:rsid w:val="0097782F"/>
    <w:rsid w:val="00986590"/>
    <w:rsid w:val="009876F7"/>
    <w:rsid w:val="00991579"/>
    <w:rsid w:val="00992C76"/>
    <w:rsid w:val="00993F6E"/>
    <w:rsid w:val="009969D6"/>
    <w:rsid w:val="00996FC8"/>
    <w:rsid w:val="009A112B"/>
    <w:rsid w:val="009A2619"/>
    <w:rsid w:val="009A554B"/>
    <w:rsid w:val="009A58FC"/>
    <w:rsid w:val="009A744E"/>
    <w:rsid w:val="009A7DF5"/>
    <w:rsid w:val="009B394F"/>
    <w:rsid w:val="009B4A98"/>
    <w:rsid w:val="009B4D3B"/>
    <w:rsid w:val="009C18DB"/>
    <w:rsid w:val="009D1F71"/>
    <w:rsid w:val="009D3438"/>
    <w:rsid w:val="009D7407"/>
    <w:rsid w:val="009D772E"/>
    <w:rsid w:val="009E0866"/>
    <w:rsid w:val="009E250F"/>
    <w:rsid w:val="009E26F5"/>
    <w:rsid w:val="009E273C"/>
    <w:rsid w:val="009F1350"/>
    <w:rsid w:val="009F6423"/>
    <w:rsid w:val="00A01AC6"/>
    <w:rsid w:val="00A07A86"/>
    <w:rsid w:val="00A107B9"/>
    <w:rsid w:val="00A12B40"/>
    <w:rsid w:val="00A17461"/>
    <w:rsid w:val="00A20B7F"/>
    <w:rsid w:val="00A22CD1"/>
    <w:rsid w:val="00A22F10"/>
    <w:rsid w:val="00A237B8"/>
    <w:rsid w:val="00A24A62"/>
    <w:rsid w:val="00A2586C"/>
    <w:rsid w:val="00A25F9A"/>
    <w:rsid w:val="00A3133D"/>
    <w:rsid w:val="00A31C9F"/>
    <w:rsid w:val="00A33149"/>
    <w:rsid w:val="00A4144F"/>
    <w:rsid w:val="00A46B28"/>
    <w:rsid w:val="00A47135"/>
    <w:rsid w:val="00A5365C"/>
    <w:rsid w:val="00A60A77"/>
    <w:rsid w:val="00A61B4D"/>
    <w:rsid w:val="00A71167"/>
    <w:rsid w:val="00A72201"/>
    <w:rsid w:val="00A74192"/>
    <w:rsid w:val="00A75B84"/>
    <w:rsid w:val="00A80123"/>
    <w:rsid w:val="00A80305"/>
    <w:rsid w:val="00A80F95"/>
    <w:rsid w:val="00A81DCD"/>
    <w:rsid w:val="00A8241C"/>
    <w:rsid w:val="00A854F9"/>
    <w:rsid w:val="00A868CB"/>
    <w:rsid w:val="00A90FF5"/>
    <w:rsid w:val="00A96364"/>
    <w:rsid w:val="00A97244"/>
    <w:rsid w:val="00A97BF1"/>
    <w:rsid w:val="00AA298A"/>
    <w:rsid w:val="00AA3AA8"/>
    <w:rsid w:val="00AB4795"/>
    <w:rsid w:val="00AB5D49"/>
    <w:rsid w:val="00AB6748"/>
    <w:rsid w:val="00AB6BD2"/>
    <w:rsid w:val="00AC107C"/>
    <w:rsid w:val="00AC164A"/>
    <w:rsid w:val="00AC228E"/>
    <w:rsid w:val="00AC3944"/>
    <w:rsid w:val="00AC551D"/>
    <w:rsid w:val="00AD19F7"/>
    <w:rsid w:val="00AD2057"/>
    <w:rsid w:val="00AD2C2E"/>
    <w:rsid w:val="00AE2B7B"/>
    <w:rsid w:val="00AE31E7"/>
    <w:rsid w:val="00AE448A"/>
    <w:rsid w:val="00AE6CE1"/>
    <w:rsid w:val="00AE74DA"/>
    <w:rsid w:val="00AE7AB3"/>
    <w:rsid w:val="00AF05CC"/>
    <w:rsid w:val="00AF0DC1"/>
    <w:rsid w:val="00AF18F4"/>
    <w:rsid w:val="00AF2050"/>
    <w:rsid w:val="00AF4103"/>
    <w:rsid w:val="00AF4A1C"/>
    <w:rsid w:val="00AF6B28"/>
    <w:rsid w:val="00AF7ECC"/>
    <w:rsid w:val="00B00BF4"/>
    <w:rsid w:val="00B02B2A"/>
    <w:rsid w:val="00B03CA8"/>
    <w:rsid w:val="00B05B87"/>
    <w:rsid w:val="00B07684"/>
    <w:rsid w:val="00B12991"/>
    <w:rsid w:val="00B129CF"/>
    <w:rsid w:val="00B1336D"/>
    <w:rsid w:val="00B16EF6"/>
    <w:rsid w:val="00B17445"/>
    <w:rsid w:val="00B22F0E"/>
    <w:rsid w:val="00B249EC"/>
    <w:rsid w:val="00B31D81"/>
    <w:rsid w:val="00B33C0A"/>
    <w:rsid w:val="00B34763"/>
    <w:rsid w:val="00B401AF"/>
    <w:rsid w:val="00B50ED0"/>
    <w:rsid w:val="00B51BBA"/>
    <w:rsid w:val="00B51C2F"/>
    <w:rsid w:val="00B525EA"/>
    <w:rsid w:val="00B55E19"/>
    <w:rsid w:val="00B56D8F"/>
    <w:rsid w:val="00B56E71"/>
    <w:rsid w:val="00B579A6"/>
    <w:rsid w:val="00B664A8"/>
    <w:rsid w:val="00B66D3E"/>
    <w:rsid w:val="00B67198"/>
    <w:rsid w:val="00B71AD8"/>
    <w:rsid w:val="00B734E4"/>
    <w:rsid w:val="00B738E7"/>
    <w:rsid w:val="00B82638"/>
    <w:rsid w:val="00B84B3C"/>
    <w:rsid w:val="00B857E1"/>
    <w:rsid w:val="00B8599B"/>
    <w:rsid w:val="00B86990"/>
    <w:rsid w:val="00B9136E"/>
    <w:rsid w:val="00B91FE7"/>
    <w:rsid w:val="00B929BE"/>
    <w:rsid w:val="00B94758"/>
    <w:rsid w:val="00BA1B89"/>
    <w:rsid w:val="00BA27FF"/>
    <w:rsid w:val="00BA327F"/>
    <w:rsid w:val="00BA4B6D"/>
    <w:rsid w:val="00BB26C5"/>
    <w:rsid w:val="00BB2F84"/>
    <w:rsid w:val="00BB3FD0"/>
    <w:rsid w:val="00BB43F6"/>
    <w:rsid w:val="00BB502C"/>
    <w:rsid w:val="00BC1FED"/>
    <w:rsid w:val="00BC63A8"/>
    <w:rsid w:val="00BD0F5C"/>
    <w:rsid w:val="00BD6304"/>
    <w:rsid w:val="00BD710C"/>
    <w:rsid w:val="00BD7EEF"/>
    <w:rsid w:val="00BE12B6"/>
    <w:rsid w:val="00BF1579"/>
    <w:rsid w:val="00BF27FA"/>
    <w:rsid w:val="00BF3A37"/>
    <w:rsid w:val="00BF4DE6"/>
    <w:rsid w:val="00BF55D2"/>
    <w:rsid w:val="00BF6703"/>
    <w:rsid w:val="00C04D72"/>
    <w:rsid w:val="00C06B13"/>
    <w:rsid w:val="00C1257F"/>
    <w:rsid w:val="00C15B64"/>
    <w:rsid w:val="00C16A47"/>
    <w:rsid w:val="00C2458B"/>
    <w:rsid w:val="00C25A14"/>
    <w:rsid w:val="00C276A0"/>
    <w:rsid w:val="00C27D25"/>
    <w:rsid w:val="00C33159"/>
    <w:rsid w:val="00C35791"/>
    <w:rsid w:val="00C37697"/>
    <w:rsid w:val="00C42541"/>
    <w:rsid w:val="00C42CDE"/>
    <w:rsid w:val="00C45941"/>
    <w:rsid w:val="00C46281"/>
    <w:rsid w:val="00C50B58"/>
    <w:rsid w:val="00C5182A"/>
    <w:rsid w:val="00C52463"/>
    <w:rsid w:val="00C52B3D"/>
    <w:rsid w:val="00C5546B"/>
    <w:rsid w:val="00C55983"/>
    <w:rsid w:val="00C61649"/>
    <w:rsid w:val="00C61935"/>
    <w:rsid w:val="00C61B7D"/>
    <w:rsid w:val="00C63EE9"/>
    <w:rsid w:val="00C66EAA"/>
    <w:rsid w:val="00C6725F"/>
    <w:rsid w:val="00C80F99"/>
    <w:rsid w:val="00C813B8"/>
    <w:rsid w:val="00C82C89"/>
    <w:rsid w:val="00C83F4E"/>
    <w:rsid w:val="00C84C30"/>
    <w:rsid w:val="00C87B9B"/>
    <w:rsid w:val="00C908C7"/>
    <w:rsid w:val="00C92805"/>
    <w:rsid w:val="00C95985"/>
    <w:rsid w:val="00C973E4"/>
    <w:rsid w:val="00CA16F3"/>
    <w:rsid w:val="00CA3403"/>
    <w:rsid w:val="00CA37B1"/>
    <w:rsid w:val="00CA3FD8"/>
    <w:rsid w:val="00CA5021"/>
    <w:rsid w:val="00CA575B"/>
    <w:rsid w:val="00CB1488"/>
    <w:rsid w:val="00CB1959"/>
    <w:rsid w:val="00CB40BD"/>
    <w:rsid w:val="00CC0FD1"/>
    <w:rsid w:val="00CC1D45"/>
    <w:rsid w:val="00CC26C6"/>
    <w:rsid w:val="00CC6333"/>
    <w:rsid w:val="00CC741B"/>
    <w:rsid w:val="00CC7AC1"/>
    <w:rsid w:val="00CD0E4B"/>
    <w:rsid w:val="00CD3F5D"/>
    <w:rsid w:val="00CD4AD4"/>
    <w:rsid w:val="00CD6B72"/>
    <w:rsid w:val="00CE2CF5"/>
    <w:rsid w:val="00CE4C89"/>
    <w:rsid w:val="00CF07BA"/>
    <w:rsid w:val="00CF21A3"/>
    <w:rsid w:val="00CF2BBB"/>
    <w:rsid w:val="00CF4FCD"/>
    <w:rsid w:val="00D02686"/>
    <w:rsid w:val="00D0296C"/>
    <w:rsid w:val="00D038D0"/>
    <w:rsid w:val="00D05E55"/>
    <w:rsid w:val="00D1231A"/>
    <w:rsid w:val="00D20A30"/>
    <w:rsid w:val="00D20BC7"/>
    <w:rsid w:val="00D23FAE"/>
    <w:rsid w:val="00D2641E"/>
    <w:rsid w:val="00D3068D"/>
    <w:rsid w:val="00D3170B"/>
    <w:rsid w:val="00D32D6F"/>
    <w:rsid w:val="00D34D5D"/>
    <w:rsid w:val="00D37B04"/>
    <w:rsid w:val="00D45555"/>
    <w:rsid w:val="00D4628C"/>
    <w:rsid w:val="00D462F8"/>
    <w:rsid w:val="00D46F16"/>
    <w:rsid w:val="00D479B5"/>
    <w:rsid w:val="00D51A75"/>
    <w:rsid w:val="00D540C6"/>
    <w:rsid w:val="00D61004"/>
    <w:rsid w:val="00D6265A"/>
    <w:rsid w:val="00D64BD1"/>
    <w:rsid w:val="00D71F34"/>
    <w:rsid w:val="00D7310B"/>
    <w:rsid w:val="00D85F0B"/>
    <w:rsid w:val="00D90B37"/>
    <w:rsid w:val="00D92254"/>
    <w:rsid w:val="00D924D3"/>
    <w:rsid w:val="00D94CF9"/>
    <w:rsid w:val="00DA1B52"/>
    <w:rsid w:val="00DA4B3C"/>
    <w:rsid w:val="00DC0996"/>
    <w:rsid w:val="00DC1E31"/>
    <w:rsid w:val="00DC238C"/>
    <w:rsid w:val="00DC5A4E"/>
    <w:rsid w:val="00DC6D78"/>
    <w:rsid w:val="00DD3E88"/>
    <w:rsid w:val="00DE084C"/>
    <w:rsid w:val="00DF2254"/>
    <w:rsid w:val="00DF68CF"/>
    <w:rsid w:val="00E0138E"/>
    <w:rsid w:val="00E031EC"/>
    <w:rsid w:val="00E0497E"/>
    <w:rsid w:val="00E055AB"/>
    <w:rsid w:val="00E1006A"/>
    <w:rsid w:val="00E14E3E"/>
    <w:rsid w:val="00E14E55"/>
    <w:rsid w:val="00E14F51"/>
    <w:rsid w:val="00E15A6C"/>
    <w:rsid w:val="00E1666D"/>
    <w:rsid w:val="00E16D5F"/>
    <w:rsid w:val="00E20945"/>
    <w:rsid w:val="00E221FA"/>
    <w:rsid w:val="00E3076E"/>
    <w:rsid w:val="00E32094"/>
    <w:rsid w:val="00E357B7"/>
    <w:rsid w:val="00E40E8B"/>
    <w:rsid w:val="00E410F8"/>
    <w:rsid w:val="00E4264A"/>
    <w:rsid w:val="00E42990"/>
    <w:rsid w:val="00E42E50"/>
    <w:rsid w:val="00E4584F"/>
    <w:rsid w:val="00E45D72"/>
    <w:rsid w:val="00E510C1"/>
    <w:rsid w:val="00E532A8"/>
    <w:rsid w:val="00E53800"/>
    <w:rsid w:val="00E5410C"/>
    <w:rsid w:val="00E6081F"/>
    <w:rsid w:val="00E614AA"/>
    <w:rsid w:val="00E624EC"/>
    <w:rsid w:val="00E70C37"/>
    <w:rsid w:val="00E747C0"/>
    <w:rsid w:val="00E8296D"/>
    <w:rsid w:val="00E8457B"/>
    <w:rsid w:val="00E92F6E"/>
    <w:rsid w:val="00E93148"/>
    <w:rsid w:val="00E944AA"/>
    <w:rsid w:val="00E9534E"/>
    <w:rsid w:val="00EA04B2"/>
    <w:rsid w:val="00EA20F3"/>
    <w:rsid w:val="00EA255B"/>
    <w:rsid w:val="00EA36D9"/>
    <w:rsid w:val="00EC2B54"/>
    <w:rsid w:val="00EC608A"/>
    <w:rsid w:val="00EC6D38"/>
    <w:rsid w:val="00ED179A"/>
    <w:rsid w:val="00ED18EE"/>
    <w:rsid w:val="00ED2831"/>
    <w:rsid w:val="00ED3B2D"/>
    <w:rsid w:val="00ED43D1"/>
    <w:rsid w:val="00ED6E38"/>
    <w:rsid w:val="00EE0466"/>
    <w:rsid w:val="00EE1CFF"/>
    <w:rsid w:val="00EE4EE1"/>
    <w:rsid w:val="00EF09FC"/>
    <w:rsid w:val="00EF4574"/>
    <w:rsid w:val="00F003E0"/>
    <w:rsid w:val="00F01921"/>
    <w:rsid w:val="00F06982"/>
    <w:rsid w:val="00F13373"/>
    <w:rsid w:val="00F17512"/>
    <w:rsid w:val="00F20898"/>
    <w:rsid w:val="00F2188E"/>
    <w:rsid w:val="00F2569B"/>
    <w:rsid w:val="00F258BF"/>
    <w:rsid w:val="00F25A93"/>
    <w:rsid w:val="00F2684E"/>
    <w:rsid w:val="00F27235"/>
    <w:rsid w:val="00F31257"/>
    <w:rsid w:val="00F32F70"/>
    <w:rsid w:val="00F45486"/>
    <w:rsid w:val="00F47942"/>
    <w:rsid w:val="00F53309"/>
    <w:rsid w:val="00F53E91"/>
    <w:rsid w:val="00F5404C"/>
    <w:rsid w:val="00F55791"/>
    <w:rsid w:val="00F60E5A"/>
    <w:rsid w:val="00F64397"/>
    <w:rsid w:val="00F64AD5"/>
    <w:rsid w:val="00F650C7"/>
    <w:rsid w:val="00F67C6A"/>
    <w:rsid w:val="00F70504"/>
    <w:rsid w:val="00F707E0"/>
    <w:rsid w:val="00F71CB4"/>
    <w:rsid w:val="00F729EF"/>
    <w:rsid w:val="00F746B7"/>
    <w:rsid w:val="00F760AE"/>
    <w:rsid w:val="00F77082"/>
    <w:rsid w:val="00F77CAE"/>
    <w:rsid w:val="00F82271"/>
    <w:rsid w:val="00F83428"/>
    <w:rsid w:val="00F84CAB"/>
    <w:rsid w:val="00F875A8"/>
    <w:rsid w:val="00F90B17"/>
    <w:rsid w:val="00F96BB9"/>
    <w:rsid w:val="00F975C0"/>
    <w:rsid w:val="00FA0CA1"/>
    <w:rsid w:val="00FA4D1A"/>
    <w:rsid w:val="00FA5EFD"/>
    <w:rsid w:val="00FA7424"/>
    <w:rsid w:val="00FB632A"/>
    <w:rsid w:val="00FC1216"/>
    <w:rsid w:val="00FC5365"/>
    <w:rsid w:val="00FD1850"/>
    <w:rsid w:val="00FD4837"/>
    <w:rsid w:val="00FD4958"/>
    <w:rsid w:val="00FD710F"/>
    <w:rsid w:val="00FE4512"/>
    <w:rsid w:val="00FE6C7D"/>
    <w:rsid w:val="00FE6D51"/>
    <w:rsid w:val="00FE6F2A"/>
    <w:rsid w:val="00FF0590"/>
    <w:rsid w:val="00FF551B"/>
    <w:rsid w:val="01C6AD0E"/>
    <w:rsid w:val="02ED7AD8"/>
    <w:rsid w:val="03742070"/>
    <w:rsid w:val="050FF0D1"/>
    <w:rsid w:val="05353499"/>
    <w:rsid w:val="05BCA047"/>
    <w:rsid w:val="05F53B74"/>
    <w:rsid w:val="06FD87D1"/>
    <w:rsid w:val="07465460"/>
    <w:rsid w:val="07BFF5F4"/>
    <w:rsid w:val="08479193"/>
    <w:rsid w:val="0913F967"/>
    <w:rsid w:val="0A22D4D0"/>
    <w:rsid w:val="0B7F3255"/>
    <w:rsid w:val="0BF3EB3E"/>
    <w:rsid w:val="0C19B50A"/>
    <w:rsid w:val="0C76811D"/>
    <w:rsid w:val="0C8F1C9A"/>
    <w:rsid w:val="0D583FEB"/>
    <w:rsid w:val="0D836C6D"/>
    <w:rsid w:val="0E27E855"/>
    <w:rsid w:val="0EB6D317"/>
    <w:rsid w:val="0EC34891"/>
    <w:rsid w:val="0ED914AA"/>
    <w:rsid w:val="0FAE21DF"/>
    <w:rsid w:val="10142F8E"/>
    <w:rsid w:val="1052A378"/>
    <w:rsid w:val="1102BFE0"/>
    <w:rsid w:val="118AE76E"/>
    <w:rsid w:val="11FAE953"/>
    <w:rsid w:val="134AED97"/>
    <w:rsid w:val="13ECEC14"/>
    <w:rsid w:val="1422E7F2"/>
    <w:rsid w:val="144A6BCC"/>
    <w:rsid w:val="1461AD0A"/>
    <w:rsid w:val="15323006"/>
    <w:rsid w:val="16E5F9D4"/>
    <w:rsid w:val="17F09CDA"/>
    <w:rsid w:val="1A56DA97"/>
    <w:rsid w:val="1A93A3CC"/>
    <w:rsid w:val="1FCACEA6"/>
    <w:rsid w:val="220DB0D9"/>
    <w:rsid w:val="2228AC7B"/>
    <w:rsid w:val="23C47CDC"/>
    <w:rsid w:val="23F83131"/>
    <w:rsid w:val="2610161C"/>
    <w:rsid w:val="295AE937"/>
    <w:rsid w:val="2970B550"/>
    <w:rsid w:val="2A33BE60"/>
    <w:rsid w:val="2B0AA791"/>
    <w:rsid w:val="2BA34280"/>
    <w:rsid w:val="2BB54A97"/>
    <w:rsid w:val="2C1AD208"/>
    <w:rsid w:val="2CA85612"/>
    <w:rsid w:val="2CCB28A3"/>
    <w:rsid w:val="2E2AFE16"/>
    <w:rsid w:val="2E45F9B8"/>
    <w:rsid w:val="2FC6CE77"/>
    <w:rsid w:val="300E1F71"/>
    <w:rsid w:val="317BC735"/>
    <w:rsid w:val="33181F71"/>
    <w:rsid w:val="34B367F7"/>
    <w:rsid w:val="3564A37A"/>
    <w:rsid w:val="36360FFB"/>
    <w:rsid w:val="363DFD81"/>
    <w:rsid w:val="364F3858"/>
    <w:rsid w:val="36510B9D"/>
    <w:rsid w:val="373A411E"/>
    <w:rsid w:val="38B2AC7E"/>
    <w:rsid w:val="39D7A7F9"/>
    <w:rsid w:val="3B08556E"/>
    <w:rsid w:val="3B41602C"/>
    <w:rsid w:val="3CDC5E57"/>
    <w:rsid w:val="3D803B95"/>
    <w:rsid w:val="3DCFBD5D"/>
    <w:rsid w:val="3DF609F7"/>
    <w:rsid w:val="3E046DB7"/>
    <w:rsid w:val="3E4630F0"/>
    <w:rsid w:val="3E5C1D82"/>
    <w:rsid w:val="3F67F39B"/>
    <w:rsid w:val="3FE4DFC7"/>
    <w:rsid w:val="407E0DAB"/>
    <w:rsid w:val="411EBEC2"/>
    <w:rsid w:val="4193BE44"/>
    <w:rsid w:val="43149303"/>
    <w:rsid w:val="437BDC98"/>
    <w:rsid w:val="46397161"/>
    <w:rsid w:val="464C33C5"/>
    <w:rsid w:val="4654214B"/>
    <w:rsid w:val="46E89917"/>
    <w:rsid w:val="47121FA6"/>
    <w:rsid w:val="47DB72C8"/>
    <w:rsid w:val="49A3AEBA"/>
    <w:rsid w:val="4A40E94A"/>
    <w:rsid w:val="4A4C8765"/>
    <w:rsid w:val="4A7F8500"/>
    <w:rsid w:val="4B9360B2"/>
    <w:rsid w:val="4C22734C"/>
    <w:rsid w:val="4C88CEA6"/>
    <w:rsid w:val="4E7421A6"/>
    <w:rsid w:val="4E8DB083"/>
    <w:rsid w:val="4EE9990E"/>
    <w:rsid w:val="4F480448"/>
    <w:rsid w:val="4F52F623"/>
    <w:rsid w:val="5059A7A3"/>
    <w:rsid w:val="51325D80"/>
    <w:rsid w:val="51B39B0E"/>
    <w:rsid w:val="52716E88"/>
    <w:rsid w:val="52E9F2F4"/>
    <w:rsid w:val="53347798"/>
    <w:rsid w:val="5390AAAC"/>
    <w:rsid w:val="540D3EE9"/>
    <w:rsid w:val="54C414E5"/>
    <w:rsid w:val="54D14DE7"/>
    <w:rsid w:val="56911A96"/>
    <w:rsid w:val="572D204D"/>
    <w:rsid w:val="58E3B241"/>
    <w:rsid w:val="59A1E5D7"/>
    <w:rsid w:val="5B223644"/>
    <w:rsid w:val="5B295360"/>
    <w:rsid w:val="5B561869"/>
    <w:rsid w:val="5C2DA45D"/>
    <w:rsid w:val="5D04A77E"/>
    <w:rsid w:val="5D969B5C"/>
    <w:rsid w:val="60192EA7"/>
    <w:rsid w:val="60CE3C1E"/>
    <w:rsid w:val="62271D5A"/>
    <w:rsid w:val="638DBAF6"/>
    <w:rsid w:val="64B4FB4D"/>
    <w:rsid w:val="651EF096"/>
    <w:rsid w:val="65534BFF"/>
    <w:rsid w:val="65BE0764"/>
    <w:rsid w:val="6639283B"/>
    <w:rsid w:val="6699CDAA"/>
    <w:rsid w:val="68E30A31"/>
    <w:rsid w:val="69452C73"/>
    <w:rsid w:val="69D16E6C"/>
    <w:rsid w:val="69ECF6EE"/>
    <w:rsid w:val="6C2E7498"/>
    <w:rsid w:val="6D2497B0"/>
    <w:rsid w:val="6D89C2A6"/>
    <w:rsid w:val="6DAFF0EC"/>
    <w:rsid w:val="6DE8C46F"/>
    <w:rsid w:val="6E17F8AE"/>
    <w:rsid w:val="6EB61A66"/>
    <w:rsid w:val="6F2F672A"/>
    <w:rsid w:val="6F710515"/>
    <w:rsid w:val="6F9A8528"/>
    <w:rsid w:val="6FB3C90F"/>
    <w:rsid w:val="7040AFF0"/>
    <w:rsid w:val="70431015"/>
    <w:rsid w:val="70744D1D"/>
    <w:rsid w:val="7074D3EF"/>
    <w:rsid w:val="71693A3F"/>
    <w:rsid w:val="729F8961"/>
    <w:rsid w:val="738E07A8"/>
    <w:rsid w:val="74461D11"/>
    <w:rsid w:val="75047D13"/>
    <w:rsid w:val="75DF264F"/>
    <w:rsid w:val="76EFDE7E"/>
    <w:rsid w:val="7701A923"/>
    <w:rsid w:val="77430F72"/>
    <w:rsid w:val="79B7DEC0"/>
    <w:rsid w:val="79E9F25B"/>
    <w:rsid w:val="7B516A13"/>
    <w:rsid w:val="7C63E8BE"/>
    <w:rsid w:val="7C7985AF"/>
    <w:rsid w:val="7EB36C9C"/>
    <w:rsid w:val="7EDB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9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locked="0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66032"/>
    <w:pPr>
      <w:suppressAutoHyphens/>
      <w:spacing w:before="120" w:after="60" w:line="260" w:lineRule="atLeast"/>
    </w:pPr>
    <w:rPr>
      <w:color w:val="495965" w:themeColor="text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7561"/>
    <w:pPr>
      <w:keepNext/>
      <w:keepLines/>
      <w:spacing w:before="0" w:after="180" w:line="380" w:lineRule="exact"/>
      <w:contextualSpacing/>
      <w:outlineLvl w:val="0"/>
    </w:pPr>
    <w:rPr>
      <w:rFonts w:asciiTheme="majorHAnsi" w:eastAsiaTheme="majorEastAsia" w:hAnsiTheme="majorHAnsi" w:cstheme="majorBidi"/>
      <w:b/>
      <w:bCs/>
      <w:caps/>
      <w:color w:val="auto"/>
      <w:sz w:val="38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2A7561"/>
    <w:pPr>
      <w:spacing w:before="240" w:after="0" w:line="240" w:lineRule="auto"/>
      <w:outlineLvl w:val="1"/>
    </w:pPr>
    <w:rPr>
      <w:bCs w:val="0"/>
      <w:sz w:val="26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0534B3"/>
    <w:pPr>
      <w:outlineLvl w:val="2"/>
    </w:pPr>
    <w:rPr>
      <w:rFonts w:asciiTheme="minorHAnsi" w:hAnsiTheme="minorHAnsi" w:cstheme="minorHAnsi"/>
      <w:bCs/>
      <w:iCs/>
      <w:caps w:val="0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144F"/>
    <w:pPr>
      <w:spacing w:line="280" w:lineRule="atLeast"/>
      <w:outlineLvl w:val="3"/>
    </w:pPr>
    <w:rPr>
      <w:iCs w:val="0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B71AD8"/>
    <w:pPr>
      <w:spacing w:line="200" w:lineRule="atLeast"/>
      <w:outlineLvl w:val="4"/>
    </w:pPr>
    <w:rPr>
      <w:b w:val="0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286B5F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locked/>
    <w:rsid w:val="00486804"/>
    <w:pPr>
      <w:outlineLvl w:val="6"/>
    </w:pPr>
    <w:rPr>
      <w:i/>
      <w:iCs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486804"/>
    <w:pPr>
      <w:outlineLvl w:val="8"/>
    </w:pPr>
    <w:rPr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561"/>
    <w:rPr>
      <w:rFonts w:asciiTheme="majorHAnsi" w:eastAsiaTheme="majorEastAsia" w:hAnsiTheme="majorHAnsi" w:cstheme="majorBidi"/>
      <w:b/>
      <w:bCs/>
      <w:caps/>
      <w:sz w:val="3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A7561"/>
    <w:rPr>
      <w:rFonts w:asciiTheme="majorHAnsi" w:eastAsiaTheme="majorEastAsia" w:hAnsiTheme="majorHAnsi" w:cstheme="majorBidi"/>
      <w:b/>
      <w:cap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534B3"/>
    <w:rPr>
      <w:rFonts w:eastAsiaTheme="majorEastAsia" w:cstheme="minorHAnsi"/>
      <w:b/>
      <w:bCs/>
      <w:iCs/>
      <w:color w:val="495965" w:themeColor="text2"/>
      <w:lang w:val="en-GB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64BD1"/>
    <w:pPr>
      <w:spacing w:after="0"/>
    </w:pPr>
    <w:rPr>
      <w:spacing w:val="-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BD1"/>
    <w:rPr>
      <w:rFonts w:asciiTheme="majorHAnsi" w:eastAsiaTheme="majorEastAsia" w:hAnsiTheme="majorHAnsi" w:cstheme="majorBidi"/>
      <w:b/>
      <w:bCs/>
      <w:caps/>
      <w:color w:val="495965" w:themeColor="text2"/>
      <w:spacing w:val="-10"/>
      <w:kern w:val="28"/>
      <w:sz w:val="38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D64BD1"/>
    <w:pPr>
      <w:numPr>
        <w:ilvl w:val="1"/>
      </w:numPr>
      <w:spacing w:before="60" w:after="300"/>
    </w:pPr>
    <w:rPr>
      <w:rFonts w:asciiTheme="minorHAnsi" w:hAnsiTheme="minorHAnsi"/>
      <w:b w:val="0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D1"/>
    <w:rPr>
      <w:rFonts w:eastAsiaTheme="majorEastAsia" w:cstheme="majorBidi"/>
      <w:bCs/>
      <w:iCs/>
      <w:caps/>
      <w:color w:val="495965" w:themeColor="text2"/>
      <w:spacing w:val="-10"/>
      <w:kern w:val="28"/>
      <w:sz w:val="38"/>
      <w:szCs w:val="24"/>
    </w:rPr>
  </w:style>
  <w:style w:type="paragraph" w:customStyle="1" w:styleId="Bullet1">
    <w:name w:val="Bullet 1"/>
    <w:basedOn w:val="Normal"/>
    <w:qFormat/>
    <w:rsid w:val="00B71AD8"/>
    <w:pPr>
      <w:numPr>
        <w:numId w:val="10"/>
      </w:numPr>
      <w:spacing w:before="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F2684E"/>
    <w:pPr>
      <w:numPr>
        <w:numId w:val="7"/>
      </w:numPr>
      <w:spacing w:before="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6"/>
      </w:numPr>
    </w:pPr>
  </w:style>
  <w:style w:type="paragraph" w:customStyle="1" w:styleId="Heading2Numbered">
    <w:name w:val="Heading 2 Numbered"/>
    <w:basedOn w:val="Heading2"/>
    <w:next w:val="Normal"/>
    <w:qFormat/>
    <w:rsid w:val="00ED2831"/>
    <w:pPr>
      <w:numPr>
        <w:ilvl w:val="1"/>
        <w:numId w:val="6"/>
      </w:numPr>
      <w:spacing w:after="60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ED2831"/>
    <w:pPr>
      <w:numPr>
        <w:ilvl w:val="2"/>
        <w:numId w:val="6"/>
      </w:numPr>
      <w:spacing w:before="300" w:after="60"/>
    </w:pPr>
  </w:style>
  <w:style w:type="numbering" w:customStyle="1" w:styleId="BulletsList">
    <w:name w:val="Bullets List"/>
    <w:uiPriority w:val="99"/>
    <w:rsid w:val="00B71AD8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2"/>
      </w:numPr>
    </w:pPr>
  </w:style>
  <w:style w:type="numbering" w:customStyle="1" w:styleId="HeadingsList">
    <w:name w:val="Headings List"/>
    <w:uiPriority w:val="99"/>
    <w:rsid w:val="001E1DC0"/>
    <w:pPr>
      <w:numPr>
        <w:numId w:val="3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D2831"/>
    <w:pPr>
      <w:suppressAutoHyphens w:val="0"/>
      <w:spacing w:after="600"/>
      <w:contextualSpacing w:val="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4144F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D2831"/>
    <w:pPr>
      <w:pBdr>
        <w:top w:val="single" w:sz="4" w:space="6" w:color="65C5B4" w:themeColor="accent1"/>
        <w:between w:val="single" w:sz="4" w:space="6" w:color="65C5B4" w:themeColor="accent1"/>
      </w:pBdr>
      <w:tabs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D283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FE6F2A"/>
    <w:pPr>
      <w:tabs>
        <w:tab w:val="center" w:pos="4513"/>
        <w:tab w:val="right" w:pos="9026"/>
      </w:tabs>
      <w:spacing w:before="0" w:after="0"/>
      <w:ind w:left="227"/>
    </w:pPr>
    <w:rPr>
      <w:b/>
      <w:caps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ED2831"/>
    <w:pPr>
      <w:numPr>
        <w:numId w:val="4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B71AD8"/>
    <w:pPr>
      <w:spacing w:before="400" w:after="400" w:line="280" w:lineRule="exact"/>
    </w:pPr>
    <w:rPr>
      <w:b/>
      <w:color w:val="ACD08C" w:themeColor="accent2"/>
      <w:sz w:val="28"/>
    </w:rPr>
  </w:style>
  <w:style w:type="table" w:styleId="TableGrid">
    <w:name w:val="Table Grid"/>
    <w:basedOn w:val="TableNormal"/>
    <w:uiPriority w:val="59"/>
    <w:locked/>
    <w:rsid w:val="00E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E6F2A"/>
    <w:rPr>
      <w:b/>
      <w:caps/>
      <w:color w:val="495965" w:themeColor="text2"/>
      <w:sz w:val="20"/>
      <w:lang w:val="en-GB"/>
    </w:rPr>
  </w:style>
  <w:style w:type="numbering" w:customStyle="1" w:styleId="FigureTitles">
    <w:name w:val="Figure Titles"/>
    <w:uiPriority w:val="99"/>
    <w:rsid w:val="006346BC"/>
    <w:pPr>
      <w:numPr>
        <w:numId w:val="5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D32D6F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B71AD8"/>
    <w:rPr>
      <w:rFonts w:asciiTheme="majorHAnsi" w:eastAsiaTheme="majorEastAsia" w:hAnsiTheme="majorHAnsi" w:cstheme="majorBidi"/>
      <w:b/>
      <w:bCs/>
      <w:iCs/>
      <w:color w:val="495965" w:themeColor="text2"/>
      <w:szCs w:val="2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1214BE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CD0E4B"/>
    <w:pPr>
      <w:spacing w:before="0" w:after="0" w:line="240" w:lineRule="exact"/>
      <w:ind w:right="284"/>
      <w:jc w:val="right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CD0E4B"/>
    <w:rPr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qFormat/>
    <w:rsid w:val="00ED2831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D64BD1"/>
    <w:pPr>
      <w:spacing w:before="0"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64BD1"/>
    <w:rPr>
      <w:iCs/>
      <w:color w:val="495965" w:themeColor="text2"/>
      <w:sz w:val="28"/>
      <w:lang w:val="en-GB"/>
    </w:rPr>
  </w:style>
  <w:style w:type="paragraph" w:customStyle="1" w:styleId="QuoteHeading">
    <w:name w:val="Quote Heading"/>
    <w:basedOn w:val="Quote"/>
    <w:qFormat/>
    <w:locked/>
    <w:rsid w:val="00C5182A"/>
    <w:rPr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5A0E"/>
    <w:pPr>
      <w:spacing w:before="60" w:after="0" w:line="140" w:lineRule="atLeast"/>
      <w:ind w:left="170" w:hanging="17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5A0E"/>
    <w:rPr>
      <w:color w:val="495965" w:themeColor="text2"/>
      <w:sz w:val="1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02C0"/>
    <w:rPr>
      <w:vertAlign w:val="superscript"/>
    </w:rPr>
  </w:style>
  <w:style w:type="paragraph" w:customStyle="1" w:styleId="GreyRoundBoxText">
    <w:name w:val="Grey Round Box Text"/>
    <w:basedOn w:val="Normal"/>
    <w:qFormat/>
    <w:rsid w:val="000D66D6"/>
    <w:pPr>
      <w:spacing w:before="0"/>
    </w:pPr>
    <w:rPr>
      <w:b/>
      <w:caps/>
      <w:color w:val="FFFFFF" w:themeColor="background1"/>
      <w:sz w:val="18"/>
    </w:rPr>
  </w:style>
  <w:style w:type="character" w:customStyle="1" w:styleId="Green">
    <w:name w:val="Green"/>
    <w:basedOn w:val="DefaultParagraphFont"/>
    <w:uiPriority w:val="1"/>
    <w:qFormat/>
    <w:rsid w:val="00244229"/>
    <w:rPr>
      <w:color w:val="ACD08C" w:themeColor="accent2"/>
    </w:rPr>
  </w:style>
  <w:style w:type="paragraph" w:customStyle="1" w:styleId="PhotoMargins">
    <w:name w:val="Photo Margins"/>
    <w:basedOn w:val="Normal"/>
    <w:qFormat/>
    <w:rsid w:val="00992C76"/>
  </w:style>
  <w:style w:type="paragraph" w:customStyle="1" w:styleId="PhotoLeft">
    <w:name w:val="Photo Left"/>
    <w:basedOn w:val="PhotoMargins"/>
    <w:qFormat/>
    <w:rsid w:val="00F82271"/>
    <w:pPr>
      <w:ind w:left="-851"/>
    </w:pPr>
  </w:style>
  <w:style w:type="paragraph" w:customStyle="1" w:styleId="PhotoRight">
    <w:name w:val="Photo Right"/>
    <w:basedOn w:val="PhotoMargins"/>
    <w:qFormat/>
    <w:rsid w:val="00F82271"/>
    <w:pPr>
      <w:ind w:right="-851"/>
      <w:jc w:val="right"/>
    </w:pPr>
  </w:style>
  <w:style w:type="paragraph" w:customStyle="1" w:styleId="PhotoCaption">
    <w:name w:val="Photo Caption"/>
    <w:basedOn w:val="Normal"/>
    <w:qFormat/>
    <w:rsid w:val="00897FA2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C06B13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FootnoteSeparator">
    <w:name w:val="Footnote Separator"/>
    <w:basedOn w:val="Footer"/>
    <w:qFormat/>
    <w:rsid w:val="00ED2831"/>
    <w:pPr>
      <w:pBdr>
        <w:top w:val="single" w:sz="4" w:space="1" w:color="495965" w:themeColor="text2"/>
      </w:pBdr>
      <w:tabs>
        <w:tab w:val="right" w:pos="9356"/>
        <w:tab w:val="center" w:pos="10036"/>
      </w:tabs>
      <w:spacing w:line="220" w:lineRule="atLeast"/>
      <w:ind w:right="0"/>
      <w:jc w:val="left"/>
    </w:pPr>
    <w:rPr>
      <w:color w:val="495965" w:themeColor="text2"/>
      <w:sz w:val="14"/>
    </w:rPr>
  </w:style>
  <w:style w:type="paragraph" w:customStyle="1" w:styleId="Heading1smallspaceafter">
    <w:name w:val="Heading 1 small space after"/>
    <w:basedOn w:val="Heading1"/>
    <w:qFormat/>
    <w:rsid w:val="00F25A93"/>
    <w:pPr>
      <w:spacing w:after="600"/>
      <w:contextualSpacing w:val="0"/>
    </w:pPr>
  </w:style>
  <w:style w:type="paragraph" w:customStyle="1" w:styleId="TableBullet1">
    <w:name w:val="Table Bullet 1"/>
    <w:basedOn w:val="Bullet1"/>
    <w:qFormat/>
    <w:rsid w:val="00ED2831"/>
    <w:pPr>
      <w:numPr>
        <w:numId w:val="0"/>
      </w:numPr>
      <w:spacing w:before="60" w:line="220" w:lineRule="atLeast"/>
      <w:ind w:left="284" w:hanging="284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qFormat/>
    <w:rsid w:val="00ED2831"/>
    <w:pPr>
      <w:numPr>
        <w:ilvl w:val="0"/>
        <w:numId w:val="0"/>
      </w:numPr>
      <w:spacing w:before="60" w:line="220" w:lineRule="atLeast"/>
      <w:ind w:left="568" w:hanging="284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qFormat/>
    <w:rsid w:val="00ED2831"/>
    <w:pPr>
      <w:numPr>
        <w:ilvl w:val="0"/>
        <w:numId w:val="0"/>
      </w:numPr>
      <w:spacing w:before="60" w:line="220" w:lineRule="atLeast"/>
      <w:ind w:left="852" w:hanging="284"/>
    </w:pPr>
    <w:rPr>
      <w:rFonts w:ascii="Calibri" w:hAnsi="Calibri"/>
      <w:sz w:val="18"/>
    </w:rPr>
  </w:style>
  <w:style w:type="paragraph" w:customStyle="1" w:styleId="TableHeaderRow">
    <w:name w:val="Table Header Row"/>
    <w:basedOn w:val="Normal"/>
    <w:qFormat/>
    <w:rsid w:val="00C06B13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NumberedList1">
    <w:name w:val="Table Numbered List 1"/>
    <w:basedOn w:val="NumberedLis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qFormat/>
    <w:rsid w:val="00ED2831"/>
    <w:pPr>
      <w:spacing w:before="60" w:line="220" w:lineRule="atLeast"/>
      <w:ind w:left="851"/>
    </w:pPr>
    <w:rPr>
      <w:rFonts w:ascii="Calibri" w:hAnsi="Calibri"/>
      <w:sz w:val="18"/>
    </w:rPr>
  </w:style>
  <w:style w:type="paragraph" w:customStyle="1" w:styleId="TableSourceNotes">
    <w:name w:val="Table Source Notes"/>
    <w:basedOn w:val="Normal"/>
    <w:qFormat/>
    <w:rsid w:val="00ED2831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TotalRow">
    <w:name w:val="Table Total Row"/>
    <w:basedOn w:val="Normal"/>
    <w:qFormat/>
    <w:rsid w:val="00CF07BA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BoxHeading">
    <w:name w:val="Box Heading"/>
    <w:basedOn w:val="Heading3"/>
    <w:qFormat/>
    <w:locked/>
    <w:rsid w:val="00ED2831"/>
    <w:pPr>
      <w:spacing w:before="60"/>
    </w:pPr>
  </w:style>
  <w:style w:type="paragraph" w:customStyle="1" w:styleId="QuoteAuthor">
    <w:name w:val="Quote Author"/>
    <w:basedOn w:val="Quote"/>
    <w:qFormat/>
    <w:rsid w:val="00D64BD1"/>
    <w:pPr>
      <w:spacing w:after="60" w:line="200" w:lineRule="atLeast"/>
    </w:pPr>
    <w:rPr>
      <w:sz w:val="16"/>
    </w:rPr>
  </w:style>
  <w:style w:type="paragraph" w:customStyle="1" w:styleId="TableText">
    <w:name w:val="Table Text"/>
    <w:basedOn w:val="Normal"/>
    <w:qFormat/>
    <w:rsid w:val="0080204D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PhotoCredit">
    <w:name w:val="Photo Credit"/>
    <w:basedOn w:val="Normal"/>
    <w:qFormat/>
    <w:rsid w:val="00A80F95"/>
    <w:pPr>
      <w:spacing w:after="200" w:line="160" w:lineRule="atLeast"/>
      <w:jc w:val="righ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61B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4D"/>
    <w:rPr>
      <w:rFonts w:ascii="Tahoma" w:hAnsi="Tahoma" w:cs="Tahoma"/>
      <w:color w:val="495965" w:themeColor="text2"/>
      <w:sz w:val="16"/>
      <w:szCs w:val="16"/>
      <w:lang w:val="en-GB"/>
    </w:rPr>
  </w:style>
  <w:style w:type="paragraph" w:customStyle="1" w:styleId="SpacebeforeTitle">
    <w:name w:val="Space before Title"/>
    <w:basedOn w:val="Normal"/>
    <w:qFormat/>
    <w:rsid w:val="00B33C0A"/>
    <w:pPr>
      <w:spacing w:after="900"/>
    </w:pPr>
  </w:style>
  <w:style w:type="paragraph" w:customStyle="1" w:styleId="Box1Text">
    <w:name w:val="Box 1 Text"/>
    <w:basedOn w:val="Normal"/>
    <w:qFormat/>
    <w:rsid w:val="00E8296D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  <w:lang w:val="en-AU"/>
    </w:rPr>
  </w:style>
  <w:style w:type="paragraph" w:customStyle="1" w:styleId="Box1Heading">
    <w:name w:val="Box 1 Heading"/>
    <w:basedOn w:val="Box1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qFormat/>
    <w:rsid w:val="00522396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qFormat/>
    <w:rsid w:val="00C42541"/>
    <w:pPr>
      <w:numPr>
        <w:numId w:val="8"/>
      </w:numPr>
      <w:ind w:left="454" w:hanging="170"/>
    </w:pPr>
  </w:style>
  <w:style w:type="paragraph" w:customStyle="1" w:styleId="Box2Bullet">
    <w:name w:val="Box 2 Bullet"/>
    <w:basedOn w:val="Box2Text"/>
    <w:qFormat/>
    <w:rsid w:val="00C42541"/>
    <w:pPr>
      <w:numPr>
        <w:numId w:val="9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rsid w:val="000020C1"/>
  </w:style>
  <w:style w:type="character" w:customStyle="1" w:styleId="BodyTextChar">
    <w:name w:val="Body Text Char"/>
    <w:basedOn w:val="DefaultParagraphFont"/>
    <w:link w:val="BodyText"/>
    <w:uiPriority w:val="99"/>
    <w:rsid w:val="000020C1"/>
    <w:rPr>
      <w:color w:val="495965" w:themeColor="text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0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20C1"/>
    <w:rPr>
      <w:color w:val="495965" w:themeColor="text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020C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20C1"/>
    <w:rPr>
      <w:color w:val="495965" w:themeColor="text2"/>
      <w:sz w:val="16"/>
      <w:szCs w:val="16"/>
      <w:lang w:val="en-GB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000020C1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020C1"/>
    <w:rPr>
      <w:color w:val="495965" w:themeColor="text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020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0C1"/>
    <w:rPr>
      <w:color w:val="495965" w:themeColor="text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8457B"/>
    <w:pPr>
      <w:spacing w:after="6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457B"/>
    <w:rPr>
      <w:color w:val="495965" w:themeColor="text2"/>
      <w:lang w:val="en-GB"/>
    </w:rPr>
  </w:style>
  <w:style w:type="paragraph" w:styleId="BlockText">
    <w:name w:val="Block Text"/>
    <w:basedOn w:val="Normal"/>
    <w:uiPriority w:val="99"/>
    <w:unhideWhenUsed/>
    <w:locked/>
    <w:rsid w:val="00E8457B"/>
    <w:pPr>
      <w:pBdr>
        <w:top w:val="single" w:sz="2" w:space="10" w:color="65C5B4" w:themeColor="accent1"/>
        <w:left w:val="single" w:sz="2" w:space="10" w:color="65C5B4" w:themeColor="accent1"/>
        <w:bottom w:val="single" w:sz="2" w:space="10" w:color="65C5B4" w:themeColor="accent1"/>
        <w:right w:val="single" w:sz="2" w:space="10" w:color="65C5B4" w:themeColor="accent1"/>
      </w:pBdr>
      <w:ind w:left="1152" w:right="1152"/>
    </w:pPr>
    <w:rPr>
      <w:rFonts w:eastAsiaTheme="minorEastAsia"/>
      <w:i/>
      <w:iCs/>
      <w:color w:val="65C5B4" w:themeColor="accent1"/>
    </w:rPr>
  </w:style>
  <w:style w:type="table" w:customStyle="1" w:styleId="DFATTable2">
    <w:name w:val="DFAT Table 2"/>
    <w:basedOn w:val="TableNormal"/>
    <w:uiPriority w:val="99"/>
    <w:rsid w:val="00482AE8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</w:style>
  <w:style w:type="character" w:styleId="CommentReference">
    <w:name w:val="annotation reference"/>
    <w:basedOn w:val="DefaultParagraphFont"/>
    <w:uiPriority w:val="99"/>
    <w:semiHidden/>
    <w:unhideWhenUsed/>
    <w:rsid w:val="00520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4D2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D2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qFormat/>
    <w:locked/>
    <w:rsid w:val="001214BE"/>
    <w:rPr>
      <w:color w:val="65C5B4" w:themeColor="accent1"/>
    </w:rPr>
  </w:style>
  <w:style w:type="paragraph" w:styleId="ListParagraph">
    <w:name w:val="List Paragraph"/>
    <w:aliases w:val="List Paragraph1,Recommendation,List Paragraph11,L,F5 List Paragraph,Dot pt,CV text,Table text,List Paragraph111,Medium Grid 1 - Accent 21,Numbered Paragraph,List Paragraph2,Bulleted Para,NFP GP Bulleted List,FooterText,numbered,列出段落,列出段落1"/>
    <w:basedOn w:val="Normal"/>
    <w:link w:val="ListParagraphChar"/>
    <w:uiPriority w:val="34"/>
    <w:qFormat/>
    <w:locked/>
    <w:rsid w:val="00A97244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List Paragraph11 Char,L Char,F5 List Paragraph Char,Dot pt Char,CV text Char,Table text Char,List Paragraph111 Char,Medium Grid 1 - Accent 21 Char,Numbered Paragraph Char,List Paragraph2 Char"/>
    <w:link w:val="ListParagraph"/>
    <w:uiPriority w:val="34"/>
    <w:qFormat/>
    <w:locked/>
    <w:rsid w:val="00A97244"/>
    <w:rPr>
      <w:color w:val="495965" w:themeColor="text2"/>
      <w:lang w:val="en-GB"/>
    </w:rPr>
  </w:style>
  <w:style w:type="table" w:customStyle="1" w:styleId="DFATTable11">
    <w:name w:val="DFAT Table 11"/>
    <w:basedOn w:val="TableNormal"/>
    <w:uiPriority w:val="99"/>
    <w:rsid w:val="00E4584F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table" w:styleId="GridTable4-Accent1">
    <w:name w:val="Grid Table 4 Accent 1"/>
    <w:basedOn w:val="TableNormal"/>
    <w:uiPriority w:val="49"/>
    <w:locked/>
    <w:rsid w:val="00DC238C"/>
    <w:pPr>
      <w:spacing w:after="0" w:line="240" w:lineRule="auto"/>
    </w:pPr>
    <w:tblPr>
      <w:tblStyleRowBandSize w:val="1"/>
      <w:tblStyleColBandSize w:val="1"/>
      <w:tblBorders>
        <w:top w:val="single" w:sz="4" w:space="0" w:color="A2DCD1" w:themeColor="accent1" w:themeTint="99"/>
        <w:left w:val="single" w:sz="4" w:space="0" w:color="A2DCD1" w:themeColor="accent1" w:themeTint="99"/>
        <w:bottom w:val="single" w:sz="4" w:space="0" w:color="A2DCD1" w:themeColor="accent1" w:themeTint="99"/>
        <w:right w:val="single" w:sz="4" w:space="0" w:color="A2DCD1" w:themeColor="accent1" w:themeTint="99"/>
        <w:insideH w:val="single" w:sz="4" w:space="0" w:color="A2DCD1" w:themeColor="accent1" w:themeTint="99"/>
        <w:insideV w:val="single" w:sz="4" w:space="0" w:color="A2DCD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nil"/>
          <w:insideV w:val="nil"/>
        </w:tcBorders>
        <w:shd w:val="clear" w:color="auto" w:fill="65C5B4" w:themeFill="accent1"/>
      </w:tcPr>
    </w:tblStylePr>
    <w:tblStylePr w:type="lastRow">
      <w:rPr>
        <w:b/>
        <w:bCs/>
      </w:rPr>
      <w:tblPr/>
      <w:tcPr>
        <w:tcBorders>
          <w:top w:val="double" w:sz="4" w:space="0" w:color="65C5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3EF" w:themeFill="accent1" w:themeFillTint="33"/>
      </w:tcPr>
    </w:tblStylePr>
    <w:tblStylePr w:type="band1Horz">
      <w:tblPr/>
      <w:tcPr>
        <w:shd w:val="clear" w:color="auto" w:fill="E0F3EF" w:themeFill="accent1" w:themeFillTint="33"/>
      </w:tcPr>
    </w:tblStylePr>
  </w:style>
  <w:style w:type="table" w:customStyle="1" w:styleId="APPR">
    <w:name w:val="APPR"/>
    <w:basedOn w:val="TableNormal"/>
    <w:uiPriority w:val="99"/>
    <w:rsid w:val="00681633"/>
    <w:pPr>
      <w:spacing w:after="0" w:line="240" w:lineRule="auto"/>
    </w:pPr>
    <w:rPr>
      <w:rFonts w:ascii="Franklin Gothic Book" w:hAnsi="Franklin Gothic Book"/>
      <w:sz w:val="17"/>
      <w:lang w:eastAsia="en-AU"/>
    </w:rPr>
    <w:tblPr>
      <w:tblStyleRowBandSize w:val="1"/>
      <w:tblCellSpacing w:w="14" w:type="dxa"/>
      <w:tblBorders>
        <w:top w:val="single" w:sz="12" w:space="0" w:color="000000" w:themeColor="text1"/>
        <w:bottom w:val="single" w:sz="12" w:space="0" w:color="000000" w:themeColor="text1"/>
      </w:tblBorders>
    </w:tblPr>
    <w:trPr>
      <w:tblHeader/>
      <w:tblCellSpacing w:w="14" w:type="dxa"/>
    </w:trPr>
    <w:tblStylePr w:type="firstRow">
      <w:pPr>
        <w:wordWrap/>
      </w:pPr>
      <w:rPr>
        <w:rFonts w:ascii="Franklin Gothic Medium" w:hAnsi="Franklin Gothic Medium"/>
        <w:b/>
        <w:sz w:val="17"/>
      </w:rPr>
      <w:tblPr/>
      <w:tcPr>
        <w:tcBorders>
          <w:top w:val="nil"/>
          <w:bottom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8C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1F60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y2iqfc">
    <w:name w:val="y2iqfc"/>
    <w:basedOn w:val="DefaultParagraphFont"/>
    <w:rsid w:val="008C1F60"/>
  </w:style>
  <w:style w:type="character" w:styleId="UnresolvedMention">
    <w:name w:val="Unresolved Mention"/>
    <w:basedOn w:val="DefaultParagraphFont"/>
    <w:uiPriority w:val="99"/>
    <w:semiHidden/>
    <w:unhideWhenUsed/>
    <w:rsid w:val="008447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710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73AEA"/>
    <w:pPr>
      <w:spacing w:after="0" w:line="240" w:lineRule="auto"/>
    </w:pPr>
    <w:rPr>
      <w:color w:val="495965" w:themeColor="text2"/>
      <w:lang w:val="en-GB"/>
    </w:rPr>
  </w:style>
  <w:style w:type="character" w:customStyle="1" w:styleId="eop">
    <w:name w:val="eop"/>
    <w:basedOn w:val="DefaultParagraphFont"/>
    <w:rsid w:val="00CF2BBB"/>
  </w:style>
  <w:style w:type="paragraph" w:customStyle="1" w:styleId="pf0">
    <w:name w:val="pf0"/>
    <w:basedOn w:val="Normal"/>
    <w:rsid w:val="0033514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customStyle="1" w:styleId="cf01">
    <w:name w:val="cf01"/>
    <w:basedOn w:val="DefaultParagraphFont"/>
    <w:rsid w:val="0033514B"/>
    <w:rPr>
      <w:rFonts w:ascii="Segoe UI" w:hAnsi="Segoe UI" w:cs="Segoe UI" w:hint="default"/>
      <w:color w:val="495965"/>
      <w:sz w:val="18"/>
      <w:szCs w:val="18"/>
    </w:rPr>
  </w:style>
  <w:style w:type="character" w:customStyle="1" w:styleId="cf11">
    <w:name w:val="cf11"/>
    <w:basedOn w:val="DefaultParagraphFont"/>
    <w:rsid w:val="0033514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4CF51C84DCD4692C0DBE656617F0B" ma:contentTypeVersion="9" ma:contentTypeDescription="Create a new document." ma:contentTypeScope="" ma:versionID="b43cc67f5971412b5aa5e1fe230ff620">
  <xsd:schema xmlns:xsd="http://www.w3.org/2001/XMLSchema" xmlns:xs="http://www.w3.org/2001/XMLSchema" xmlns:p="http://schemas.microsoft.com/office/2006/metadata/properties" xmlns:ns2="78d0bf03-9cf1-435a-9150-bb1741ef4aca" xmlns:ns3="b968483e-5775-4ddf-9a20-dc883da9a1ba" targetNamespace="http://schemas.microsoft.com/office/2006/metadata/properties" ma:root="true" ma:fieldsID="188315cb295a3cf91f28238864ed215d" ns2:_="" ns3:_="">
    <xsd:import namespace="78d0bf03-9cf1-435a-9150-bb1741ef4aca"/>
    <xsd:import namespace="b968483e-5775-4ddf-9a20-dc883da9a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0bf03-9cf1-435a-9150-bb1741ef4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8483e-5775-4ddf-9a20-dc883da9a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1743E-2C24-4F5B-BEBF-920B5C58E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0bf03-9cf1-435a-9150-bb1741ef4aca"/>
    <ds:schemaRef ds:uri="b968483e-5775-4ddf-9a20-dc883da9a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E48E43-4209-4146-8E59-4D0F09FF91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055413-C6F6-4B2E-946E-42B4E26591A6}">
  <ds:schemaRefs>
    <ds:schemaRef ds:uri="http://schemas.microsoft.com/office/2006/metadata/properties"/>
    <ds:schemaRef ds:uri="http://purl.org/dc/terms/"/>
    <ds:schemaRef ds:uri="78d0bf03-9cf1-435a-9150-bb1741ef4ac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968483e-5775-4ddf-9a20-dc883da9a1b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AF9D400-8AF7-4434-87B4-1127DA62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1360</Words>
  <Characters>8155</Characters>
  <Application>Microsoft Office Word</Application>
  <DocSecurity>0</DocSecurity>
  <Lines>270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 - Covid-response-progress-report-template - updated 2022</vt:lpstr>
    </vt:vector>
  </TitlesOfParts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Samoa Development Program Progress Report</dc:title>
  <dc:subject/>
  <dc:creator/>
  <cp:keywords>[SEC=OFFICIAL]</cp:keywords>
  <cp:lastModifiedBy/>
  <cp:revision>1</cp:revision>
  <dcterms:created xsi:type="dcterms:W3CDTF">2023-11-09T04:23:00Z</dcterms:created>
  <dcterms:modified xsi:type="dcterms:W3CDTF">2023-11-22T02:34:00Z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64e0aaa1-fff8-40c4-b3d5-ccbb449ce979</vt:lpwstr>
  </property>
  <property fmtid="{D5CDD505-2E9C-101B-9397-08002B2CF9AE}" pid="3" name="SEC">
    <vt:lpwstr>OFFICIAL</vt:lpwstr>
  </property>
  <property fmtid="{D5CDD505-2E9C-101B-9397-08002B2CF9AE}" pid="4" name="PM_MinimumSecurityClassification">
    <vt:lpwstr>OFFICIAL</vt:lpwstr>
  </property>
  <property fmtid="{D5CDD505-2E9C-101B-9397-08002B2CF9AE}" pid="5" name="PM_Caveats_Count">
    <vt:lpwstr>0</vt:lpwstr>
  </property>
  <property fmtid="{D5CDD505-2E9C-101B-9397-08002B2CF9AE}" pid="6" name="PM_DisplayValueSecClassificationWithQualifier">
    <vt:lpwstr>OFFICIAL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InsertionValue">
    <vt:lpwstr>OFFICIAL</vt:lpwstr>
  </property>
  <property fmtid="{D5CDD505-2E9C-101B-9397-08002B2CF9AE}" pid="10" name="PM_Originating_FileId">
    <vt:lpwstr>63FA5E0138FE4A06847B5F31F02136CD</vt:lpwstr>
  </property>
  <property fmtid="{D5CDD505-2E9C-101B-9397-08002B2CF9AE}" pid="11" name="PM_ProtectiveMarkingValue_Footer">
    <vt:lpwstr>OFFICIAL</vt:lpwstr>
  </property>
  <property fmtid="{D5CDD505-2E9C-101B-9397-08002B2CF9AE}" pid="12" name="PM_Originator_Hash_SHA1">
    <vt:lpwstr>D9F6E5C82DFAF7AB6E3D596D48DD43C72EDFDAB4</vt:lpwstr>
  </property>
  <property fmtid="{D5CDD505-2E9C-101B-9397-08002B2CF9AE}" pid="13" name="PM_OriginationTimeStamp">
    <vt:lpwstr>2023-04-17T02:14:26Z</vt:lpwstr>
  </property>
  <property fmtid="{D5CDD505-2E9C-101B-9397-08002B2CF9AE}" pid="14" name="PM_ProtectiveMarkingValue_Header">
    <vt:lpwstr>OFFICIAL</vt:lpwstr>
  </property>
  <property fmtid="{D5CDD505-2E9C-101B-9397-08002B2CF9AE}" pid="15" name="PM_ProtectiveMarkingImage_Header">
    <vt:lpwstr>C:\Program Files (x86)\Common Files\janusNET Shared\janusSEAL\Images\DocumentSlashBlue.png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Hash_Version">
    <vt:lpwstr>2022.1</vt:lpwstr>
  </property>
  <property fmtid="{D5CDD505-2E9C-101B-9397-08002B2CF9AE}" pid="22" name="PM_Hash_Salt_Prev">
    <vt:lpwstr>A5B2BD8E0527D89BC875C155D456E148</vt:lpwstr>
  </property>
  <property fmtid="{D5CDD505-2E9C-101B-9397-08002B2CF9AE}" pid="23" name="PM_Hash_Salt">
    <vt:lpwstr>9912643770BBFCCF90F184BAD740D6A2</vt:lpwstr>
  </property>
  <property fmtid="{D5CDD505-2E9C-101B-9397-08002B2CF9AE}" pid="24" name="PM_Hash_SHA1">
    <vt:lpwstr>B6AA25EDB192DA4681CB707651140B8201DD0612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ContentTypeId">
    <vt:lpwstr>0x0101007D14CF51C84DCD4692C0DBE656617F0B</vt:lpwstr>
  </property>
  <property fmtid="{D5CDD505-2E9C-101B-9397-08002B2CF9AE}" pid="28" name="PM_Display">
    <vt:lpwstr>OFFICIAL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OriginatorUserAccountName_SHA256">
    <vt:lpwstr>3E9DB5AB808CA91EB3E8EC398CDB7F67B110581D6BB28BC88565729DCE387350</vt:lpwstr>
  </property>
  <property fmtid="{D5CDD505-2E9C-101B-9397-08002B2CF9AE}" pid="31" name="PM_OriginatorDomainName_SHA256">
    <vt:lpwstr>6F3591835F3B2A8A025B00B5BA6418010DA3A17C9C26EA9C049FFD28039489A2</vt:lpwstr>
  </property>
  <property fmtid="{D5CDD505-2E9C-101B-9397-08002B2CF9AE}" pid="32" name="PMHMAC">
    <vt:lpwstr>v=2022.1;a=SHA256;h=902E05B31BD68D5C109B073A210C2243BFE23C41DD2C7569D9AB74C153C05A44</vt:lpwstr>
  </property>
</Properties>
</file>