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D5DA" w14:textId="024C0D0C" w:rsidR="00D03F59" w:rsidRPr="008E5A1D" w:rsidRDefault="0A22D4D0" w:rsidP="00ED22A3">
      <w:pPr>
        <w:pStyle w:val="Heading1"/>
      </w:pPr>
      <w:r w:rsidRPr="00ED22A3">
        <w:t>202</w:t>
      </w:r>
      <w:r w:rsidR="0913F967" w:rsidRPr="00ED22A3">
        <w:t>2</w:t>
      </w:r>
      <w:r w:rsidRPr="008E5A1D">
        <w:t>-2</w:t>
      </w:r>
      <w:r w:rsidR="0913F967" w:rsidRPr="008E5A1D">
        <w:t>3</w:t>
      </w:r>
      <w:r w:rsidRPr="008E5A1D">
        <w:t xml:space="preserve"> </w:t>
      </w:r>
      <w:r w:rsidR="00F251BE" w:rsidRPr="008E5A1D">
        <w:t>Vanuatu</w:t>
      </w:r>
      <w:r w:rsidR="33181F71" w:rsidRPr="008E5A1D">
        <w:t xml:space="preserve"> D</w:t>
      </w:r>
      <w:r w:rsidR="07BFF5F4" w:rsidRPr="008E5A1D">
        <w:t>evelopment</w:t>
      </w:r>
      <w:r w:rsidR="33181F71" w:rsidRPr="008E5A1D">
        <w:t xml:space="preserve"> </w:t>
      </w:r>
      <w:r w:rsidRPr="008E5A1D">
        <w:t>P</w:t>
      </w:r>
      <w:r w:rsidR="07BFF5F4" w:rsidRPr="008E5A1D">
        <w:t xml:space="preserve">rogram </w:t>
      </w:r>
      <w:r w:rsidRPr="008E5A1D">
        <w:t>P</w:t>
      </w:r>
      <w:r w:rsidR="07BFF5F4" w:rsidRPr="008E5A1D">
        <w:t>rogress</w:t>
      </w:r>
      <w:r w:rsidRPr="008E5A1D">
        <w:t xml:space="preserve"> R</w:t>
      </w:r>
      <w:r w:rsidR="07BFF5F4" w:rsidRPr="008E5A1D">
        <w:t>eport</w:t>
      </w:r>
      <w:r w:rsidR="51325D80" w:rsidRPr="008E5A1D">
        <w:t>ING</w:t>
      </w:r>
      <w:r w:rsidR="33181F71" w:rsidRPr="008E5A1D">
        <w:t xml:space="preserve"> </w:t>
      </w:r>
    </w:p>
    <w:p w14:paraId="12E24BAE" w14:textId="3992E382" w:rsidR="00BC1FED" w:rsidRPr="008E5A1D" w:rsidRDefault="0068172A" w:rsidP="00ED22A3">
      <w:pPr>
        <w:pStyle w:val="Heading2"/>
      </w:pPr>
      <w:r w:rsidRPr="008E5A1D">
        <w:t xml:space="preserve">Progress against COVID-19 </w:t>
      </w:r>
      <w:r w:rsidR="008C1A18" w:rsidRPr="008E5A1D">
        <w:t xml:space="preserve">development </w:t>
      </w:r>
      <w:r w:rsidR="008A1503" w:rsidRPr="008E5A1D">
        <w:t xml:space="preserve">Response plan </w:t>
      </w:r>
      <w:r w:rsidR="00E1666D" w:rsidRPr="008E5A1D">
        <w:t>results indicators</w:t>
      </w:r>
    </w:p>
    <w:p w14:paraId="53E0B1CB" w14:textId="03F10127" w:rsidR="00AE2B7B" w:rsidRPr="008E5A1D" w:rsidRDefault="00AE2B7B" w:rsidP="00B5354E">
      <w:pPr>
        <w:pStyle w:val="Heading3"/>
      </w:pPr>
      <w:r w:rsidRPr="008E5A1D">
        <w:t>Health Security</w:t>
      </w:r>
    </w:p>
    <w:tbl>
      <w:tblPr>
        <w:tblStyle w:val="TableGrid"/>
        <w:tblW w:w="10536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106"/>
        <w:gridCol w:w="6430"/>
      </w:tblGrid>
      <w:tr w:rsidR="008E5A1D" w:rsidRPr="008E5A1D" w14:paraId="228F7F02" w14:textId="77777777" w:rsidTr="55CB72C0">
        <w:trPr>
          <w:cantSplit/>
        </w:trPr>
        <w:tc>
          <w:tcPr>
            <w:tcW w:w="4106" w:type="dxa"/>
            <w:shd w:val="clear" w:color="auto" w:fill="A2DCD1" w:themeFill="accent1" w:themeFillTint="99"/>
          </w:tcPr>
          <w:p w14:paraId="7116F4F5" w14:textId="2BCC79D7" w:rsidR="004F5615" w:rsidRPr="008E5A1D" w:rsidRDefault="00A96364" w:rsidP="00EC2FAB">
            <w:pPr>
              <w:spacing w:after="120" w:line="240" w:lineRule="auto"/>
              <w:jc w:val="center"/>
              <w:rPr>
                <w:b/>
                <w:color w:val="auto"/>
              </w:rPr>
            </w:pPr>
            <w:r w:rsidRPr="008E5A1D">
              <w:rPr>
                <w:b/>
                <w:color w:val="auto"/>
              </w:rPr>
              <w:t xml:space="preserve">Key Results </w:t>
            </w:r>
            <w:r w:rsidR="00E1666D" w:rsidRPr="008E5A1D">
              <w:rPr>
                <w:b/>
                <w:color w:val="auto"/>
              </w:rPr>
              <w:t>Indicators</w:t>
            </w:r>
          </w:p>
        </w:tc>
        <w:tc>
          <w:tcPr>
            <w:tcW w:w="6430" w:type="dxa"/>
            <w:shd w:val="clear" w:color="auto" w:fill="A2DCD1" w:themeFill="accent1" w:themeFillTint="99"/>
          </w:tcPr>
          <w:p w14:paraId="18C04122" w14:textId="30B10914" w:rsidR="004F5615" w:rsidRPr="008E5A1D" w:rsidRDefault="00AD19F7" w:rsidP="00EC2FAB">
            <w:pPr>
              <w:spacing w:after="120" w:line="240" w:lineRule="auto"/>
              <w:jc w:val="center"/>
              <w:rPr>
                <w:color w:val="auto"/>
              </w:rPr>
            </w:pPr>
            <w:r w:rsidRPr="008E5A1D">
              <w:rPr>
                <w:b/>
                <w:color w:val="auto"/>
              </w:rPr>
              <w:t>Progress/Result</w:t>
            </w:r>
          </w:p>
        </w:tc>
      </w:tr>
      <w:tr w:rsidR="008E5A1D" w:rsidRPr="008E5A1D" w14:paraId="5D4066B5" w14:textId="77777777" w:rsidTr="55CB72C0">
        <w:trPr>
          <w:cantSplit/>
        </w:trPr>
        <w:tc>
          <w:tcPr>
            <w:tcW w:w="4106" w:type="dxa"/>
          </w:tcPr>
          <w:p w14:paraId="354112BD" w14:textId="5DD61D04" w:rsidR="005A3D07" w:rsidRPr="008E5A1D" w:rsidRDefault="005A3D07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Strengthened health systems including preparedness for health emergencies</w:t>
            </w:r>
          </w:p>
        </w:tc>
        <w:tc>
          <w:tcPr>
            <w:tcW w:w="6430" w:type="dxa"/>
          </w:tcPr>
          <w:p w14:paraId="1C78B18E" w14:textId="7A4A8C39" w:rsidR="005A3D07" w:rsidRPr="008E5A1D" w:rsidRDefault="00B068E6" w:rsidP="00673A1F">
            <w:pPr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Australia provided technical support to the Ministry of Health</w:t>
            </w:r>
            <w:r w:rsidR="00310ECF" w:rsidRPr="008E5A1D">
              <w:rPr>
                <w:color w:val="auto"/>
              </w:rPr>
              <w:t xml:space="preserve"> </w:t>
            </w:r>
            <w:r w:rsidR="00246549">
              <w:rPr>
                <w:color w:val="auto"/>
              </w:rPr>
              <w:t xml:space="preserve">(MoH) </w:t>
            </w:r>
            <w:r w:rsidR="00310ECF" w:rsidRPr="008E5A1D">
              <w:rPr>
                <w:color w:val="auto"/>
              </w:rPr>
              <w:t xml:space="preserve">to </w:t>
            </w:r>
            <w:r w:rsidRPr="008E5A1D">
              <w:rPr>
                <w:color w:val="auto"/>
              </w:rPr>
              <w:t xml:space="preserve">strengthen provincial </w:t>
            </w:r>
            <w:r w:rsidR="00EE1FC6">
              <w:rPr>
                <w:color w:val="auto"/>
              </w:rPr>
              <w:t xml:space="preserve">health </w:t>
            </w:r>
            <w:r w:rsidRPr="008E5A1D">
              <w:rPr>
                <w:color w:val="auto"/>
              </w:rPr>
              <w:t xml:space="preserve">service delivery. </w:t>
            </w:r>
            <w:r w:rsidR="00EE1FC6">
              <w:rPr>
                <w:color w:val="auto"/>
              </w:rPr>
              <w:t>Key outcomes</w:t>
            </w:r>
            <w:r w:rsidR="003745FD">
              <w:rPr>
                <w:color w:val="auto"/>
              </w:rPr>
              <w:t xml:space="preserve"> included the </w:t>
            </w:r>
            <w:r w:rsidRPr="008E5A1D">
              <w:rPr>
                <w:color w:val="auto"/>
              </w:rPr>
              <w:t>broker</w:t>
            </w:r>
            <w:r w:rsidR="003745FD">
              <w:rPr>
                <w:color w:val="auto"/>
              </w:rPr>
              <w:t>ing of</w:t>
            </w:r>
            <w:r w:rsidRPr="008E5A1D">
              <w:rPr>
                <w:color w:val="auto"/>
              </w:rPr>
              <w:t xml:space="preserve"> relationships between the </w:t>
            </w:r>
            <w:r w:rsidRPr="00927DF8">
              <w:rPr>
                <w:color w:val="auto"/>
              </w:rPr>
              <w:t xml:space="preserve">Ministry and </w:t>
            </w:r>
            <w:r w:rsidR="00927DF8" w:rsidRPr="00927DF8">
              <w:rPr>
                <w:color w:val="auto"/>
              </w:rPr>
              <w:t xml:space="preserve">the </w:t>
            </w:r>
            <w:proofErr w:type="spellStart"/>
            <w:r w:rsidRPr="00927DF8">
              <w:rPr>
                <w:color w:val="auto"/>
              </w:rPr>
              <w:t>Sanma</w:t>
            </w:r>
            <w:proofErr w:type="spellEnd"/>
            <w:r w:rsidRPr="00927DF8">
              <w:rPr>
                <w:color w:val="auto"/>
              </w:rPr>
              <w:t xml:space="preserve"> Provincial Government to pilot a primary health care model at </w:t>
            </w:r>
            <w:proofErr w:type="spellStart"/>
            <w:r w:rsidRPr="00927DF8">
              <w:rPr>
                <w:color w:val="auto"/>
              </w:rPr>
              <w:t>Tasmalum</w:t>
            </w:r>
            <w:proofErr w:type="spellEnd"/>
            <w:r w:rsidRPr="00927DF8">
              <w:rPr>
                <w:color w:val="auto"/>
              </w:rPr>
              <w:t xml:space="preserve"> Health Centre. The pilot will drive provincial reform, address bottlenecks</w:t>
            </w:r>
            <w:r w:rsidRPr="008E5A1D">
              <w:rPr>
                <w:color w:val="auto"/>
              </w:rPr>
              <w:t xml:space="preserve"> and influence decentralisation of health services more broadly.</w:t>
            </w:r>
          </w:p>
        </w:tc>
      </w:tr>
      <w:tr w:rsidR="008E5A1D" w:rsidRPr="008E5A1D" w14:paraId="4AD746D8" w14:textId="77777777" w:rsidTr="55CB72C0">
        <w:trPr>
          <w:cantSplit/>
        </w:trPr>
        <w:tc>
          <w:tcPr>
            <w:tcW w:w="4106" w:type="dxa"/>
          </w:tcPr>
          <w:p w14:paraId="0AB10A98" w14:textId="54FC739A" w:rsidR="005A3D07" w:rsidRPr="008E5A1D" w:rsidRDefault="005A3D07" w:rsidP="00EC2FAB">
            <w:pPr>
              <w:spacing w:after="120" w:line="240" w:lineRule="auto"/>
              <w:rPr>
                <w:color w:val="auto"/>
              </w:rPr>
            </w:pPr>
            <w:bookmarkStart w:id="0" w:name="_Hlk142937387"/>
            <w:r w:rsidRPr="008E5A1D">
              <w:rPr>
                <w:color w:val="auto"/>
              </w:rPr>
              <w:t>Evidence that Vanuatu has improved its response to health security threats</w:t>
            </w:r>
          </w:p>
        </w:tc>
        <w:tc>
          <w:tcPr>
            <w:tcW w:w="6430" w:type="dxa"/>
          </w:tcPr>
          <w:p w14:paraId="44F01EB8" w14:textId="3C8C254E" w:rsidR="00271D5E" w:rsidRPr="008E5A1D" w:rsidRDefault="00271D5E" w:rsidP="00EC2FAB">
            <w:pPr>
              <w:spacing w:after="120" w:line="240" w:lineRule="auto"/>
              <w:rPr>
                <w:color w:val="auto"/>
              </w:rPr>
            </w:pPr>
            <w:r w:rsidRPr="55CB72C0">
              <w:rPr>
                <w:color w:val="auto"/>
              </w:rPr>
              <w:t xml:space="preserve">Australia supported Vanuatu </w:t>
            </w:r>
            <w:r w:rsidR="62916C37" w:rsidRPr="55CB72C0">
              <w:rPr>
                <w:color w:val="auto"/>
              </w:rPr>
              <w:t xml:space="preserve">to </w:t>
            </w:r>
            <w:r w:rsidRPr="55CB72C0">
              <w:rPr>
                <w:color w:val="auto"/>
              </w:rPr>
              <w:t xml:space="preserve">avoid severe COVID-19 impacts </w:t>
            </w:r>
            <w:r w:rsidR="00F070FB" w:rsidRPr="55CB72C0">
              <w:rPr>
                <w:color w:val="auto"/>
              </w:rPr>
              <w:t>by providing</w:t>
            </w:r>
            <w:r w:rsidRPr="55CB72C0">
              <w:rPr>
                <w:color w:val="auto"/>
              </w:rPr>
              <w:t xml:space="preserve"> accelerated funding for vaccine coverage, supporting </w:t>
            </w:r>
            <w:r w:rsidR="00246549" w:rsidRPr="55CB72C0">
              <w:rPr>
                <w:color w:val="auto"/>
              </w:rPr>
              <w:t xml:space="preserve">the MoH for </w:t>
            </w:r>
            <w:r w:rsidRPr="55CB72C0">
              <w:rPr>
                <w:color w:val="auto"/>
              </w:rPr>
              <w:t>outbreak preparedness and response activities, and policymakers</w:t>
            </w:r>
            <w:r w:rsidR="24DF81D2" w:rsidRPr="55CB72C0">
              <w:rPr>
                <w:color w:val="auto"/>
              </w:rPr>
              <w:t xml:space="preserve"> to</w:t>
            </w:r>
            <w:r w:rsidR="00D336E3" w:rsidRPr="55CB72C0">
              <w:rPr>
                <w:color w:val="auto"/>
              </w:rPr>
              <w:t xml:space="preserve"> </w:t>
            </w:r>
            <w:r w:rsidR="00B719F9" w:rsidRPr="55CB72C0">
              <w:rPr>
                <w:color w:val="auto"/>
              </w:rPr>
              <w:t xml:space="preserve">receive </w:t>
            </w:r>
            <w:r w:rsidR="00F070FB" w:rsidRPr="55CB72C0">
              <w:rPr>
                <w:color w:val="auto"/>
              </w:rPr>
              <w:t>evidence-based</w:t>
            </w:r>
            <w:r w:rsidR="00C848C9" w:rsidRPr="55CB72C0">
              <w:rPr>
                <w:color w:val="auto"/>
              </w:rPr>
              <w:t xml:space="preserve"> </w:t>
            </w:r>
            <w:r w:rsidRPr="55CB72C0">
              <w:rPr>
                <w:color w:val="auto"/>
              </w:rPr>
              <w:t xml:space="preserve">recommendations. </w:t>
            </w:r>
            <w:r w:rsidR="001E3760" w:rsidRPr="55CB72C0">
              <w:rPr>
                <w:color w:val="auto"/>
              </w:rPr>
              <w:t xml:space="preserve">This </w:t>
            </w:r>
            <w:r w:rsidR="00F070FB" w:rsidRPr="55CB72C0">
              <w:rPr>
                <w:color w:val="auto"/>
              </w:rPr>
              <w:t>support</w:t>
            </w:r>
            <w:r w:rsidRPr="55CB72C0">
              <w:rPr>
                <w:color w:val="auto"/>
              </w:rPr>
              <w:t xml:space="preserve"> also </w:t>
            </w:r>
            <w:r w:rsidR="001E3760" w:rsidRPr="55CB72C0">
              <w:rPr>
                <w:color w:val="auto"/>
              </w:rPr>
              <w:t>enabled</w:t>
            </w:r>
            <w:r w:rsidRPr="55CB72C0">
              <w:rPr>
                <w:color w:val="auto"/>
              </w:rPr>
              <w:t xml:space="preserve"> M</w:t>
            </w:r>
            <w:r w:rsidR="001E3760" w:rsidRPr="55CB72C0">
              <w:rPr>
                <w:color w:val="auto"/>
              </w:rPr>
              <w:t>o</w:t>
            </w:r>
            <w:r w:rsidRPr="55CB72C0">
              <w:rPr>
                <w:color w:val="auto"/>
              </w:rPr>
              <w:t>H address emerging health threats via a catch-up measles campaign</w:t>
            </w:r>
            <w:r w:rsidR="001E3760" w:rsidRPr="55CB72C0">
              <w:rPr>
                <w:color w:val="auto"/>
              </w:rPr>
              <w:t>,</w:t>
            </w:r>
            <w:r w:rsidRPr="55CB72C0">
              <w:rPr>
                <w:color w:val="auto"/>
              </w:rPr>
              <w:t xml:space="preserve"> prevent</w:t>
            </w:r>
            <w:r w:rsidR="001E3760" w:rsidRPr="55CB72C0">
              <w:rPr>
                <w:color w:val="auto"/>
              </w:rPr>
              <w:t>ing</w:t>
            </w:r>
            <w:r w:rsidRPr="55CB72C0">
              <w:rPr>
                <w:color w:val="auto"/>
              </w:rPr>
              <w:t xml:space="preserve"> an outbreak and deploying malaria surge teams to control outbreaks.</w:t>
            </w:r>
          </w:p>
        </w:tc>
      </w:tr>
      <w:bookmarkEnd w:id="0"/>
      <w:tr w:rsidR="008E5A1D" w:rsidRPr="008E5A1D" w14:paraId="561E10FB" w14:textId="77777777" w:rsidTr="55CB72C0">
        <w:trPr>
          <w:cantSplit/>
        </w:trPr>
        <w:tc>
          <w:tcPr>
            <w:tcW w:w="4106" w:type="dxa"/>
          </w:tcPr>
          <w:p w14:paraId="3FC5A9AE" w14:textId="63D3F1FB" w:rsidR="005A3D07" w:rsidRPr="008E5A1D" w:rsidRDefault="00407C0F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Examples of new or improved therapeutics, diagnostics, </w:t>
            </w:r>
            <w:r w:rsidR="002F2618" w:rsidRPr="008E5A1D">
              <w:rPr>
                <w:color w:val="auto"/>
              </w:rPr>
              <w:t>vaccines,</w:t>
            </w:r>
            <w:r w:rsidRPr="008E5A1D">
              <w:rPr>
                <w:color w:val="auto"/>
              </w:rPr>
              <w:t xml:space="preserve"> and additional equipment to which Australia has contributed that are accessible in Vanuatu</w:t>
            </w:r>
          </w:p>
        </w:tc>
        <w:tc>
          <w:tcPr>
            <w:tcW w:w="6430" w:type="dxa"/>
          </w:tcPr>
          <w:p w14:paraId="1D0B508E" w14:textId="7BFBC1F2" w:rsidR="005A3D07" w:rsidRPr="008E5A1D" w:rsidRDefault="00F070FB" w:rsidP="00EC2FAB">
            <w:pPr>
              <w:suppressAutoHyphens w:val="0"/>
              <w:spacing w:after="12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AU" w:eastAsia="en-AU"/>
              </w:rPr>
            </w:pPr>
            <w:r>
              <w:rPr>
                <w:color w:val="auto"/>
              </w:rPr>
              <w:t>T</w:t>
            </w:r>
            <w:r w:rsidR="000911E9" w:rsidRPr="008E5A1D">
              <w:rPr>
                <w:color w:val="auto"/>
              </w:rPr>
              <w:t>he Vanuatu Australia Health Partnership,</w:t>
            </w:r>
            <w:r>
              <w:rPr>
                <w:color w:val="auto"/>
              </w:rPr>
              <w:t xml:space="preserve"> </w:t>
            </w:r>
            <w:r w:rsidR="000911E9" w:rsidRPr="008E5A1D">
              <w:rPr>
                <w:color w:val="auto"/>
              </w:rPr>
              <w:t>supported</w:t>
            </w:r>
            <w:r w:rsidR="003C4BED" w:rsidRPr="008E5A1D">
              <w:rPr>
                <w:color w:val="auto"/>
              </w:rPr>
              <w:t xml:space="preserve"> the </w:t>
            </w:r>
            <w:r w:rsidR="006C2729">
              <w:rPr>
                <w:color w:val="auto"/>
              </w:rPr>
              <w:t xml:space="preserve">MoH </w:t>
            </w:r>
            <w:r w:rsidR="000911E9" w:rsidRPr="008E5A1D">
              <w:rPr>
                <w:color w:val="auto"/>
              </w:rPr>
              <w:t xml:space="preserve">purchase </w:t>
            </w:r>
            <w:r w:rsidR="003C4BED" w:rsidRPr="008E5A1D">
              <w:rPr>
                <w:color w:val="auto"/>
              </w:rPr>
              <w:t>five bio-hazard</w:t>
            </w:r>
            <w:r w:rsidR="000911E9" w:rsidRPr="008E5A1D">
              <w:rPr>
                <w:color w:val="auto"/>
              </w:rPr>
              <w:t xml:space="preserve"> incinerators </w:t>
            </w:r>
            <w:r w:rsidR="004E3300" w:rsidRPr="008E5A1D">
              <w:rPr>
                <w:color w:val="auto"/>
              </w:rPr>
              <w:t>used to safely dispose of hospital waste.</w:t>
            </w:r>
          </w:p>
        </w:tc>
      </w:tr>
      <w:tr w:rsidR="00EC2FAB" w:rsidRPr="008E5A1D" w14:paraId="6024B2EE" w14:textId="77777777" w:rsidTr="55CB72C0">
        <w:trPr>
          <w:cantSplit/>
        </w:trPr>
        <w:tc>
          <w:tcPr>
            <w:tcW w:w="4106" w:type="dxa"/>
          </w:tcPr>
          <w:p w14:paraId="078248AE" w14:textId="68979E88" w:rsidR="005A3D07" w:rsidRPr="008E5A1D" w:rsidRDefault="005A3D07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Number of vulnerable women, men, girls and boys provided with emergency assistance in a </w:t>
            </w:r>
            <w:proofErr w:type="gramStart"/>
            <w:r w:rsidRPr="008E5A1D">
              <w:rPr>
                <w:color w:val="auto"/>
              </w:rPr>
              <w:t>crisis</w:t>
            </w:r>
            <w:proofErr w:type="gramEnd"/>
          </w:p>
          <w:p w14:paraId="5A7E4C44" w14:textId="1DA192CA" w:rsidR="000C40C9" w:rsidRPr="008E5A1D" w:rsidRDefault="000C40C9" w:rsidP="00EC2FAB">
            <w:pPr>
              <w:spacing w:after="120" w:line="240" w:lineRule="auto"/>
              <w:rPr>
                <w:color w:val="auto"/>
              </w:rPr>
            </w:pPr>
          </w:p>
        </w:tc>
        <w:tc>
          <w:tcPr>
            <w:tcW w:w="6430" w:type="dxa"/>
          </w:tcPr>
          <w:p w14:paraId="5EA26A04" w14:textId="6A7585D3" w:rsidR="00550384" w:rsidRPr="008E5A1D" w:rsidRDefault="00AC42E9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In response to</w:t>
            </w:r>
            <w:r w:rsidR="00196C09" w:rsidRPr="008E5A1D">
              <w:rPr>
                <w:color w:val="auto"/>
              </w:rPr>
              <w:t xml:space="preserve"> Tropical Cyclones Judy and Kevin</w:t>
            </w:r>
            <w:r w:rsidR="00484348" w:rsidRPr="008E5A1D">
              <w:rPr>
                <w:color w:val="auto"/>
              </w:rPr>
              <w:t>,</w:t>
            </w:r>
            <w:r w:rsidR="00196C09" w:rsidRPr="008E5A1D">
              <w:rPr>
                <w:color w:val="auto"/>
              </w:rPr>
              <w:t xml:space="preserve"> Australia</w:t>
            </w:r>
            <w:r w:rsidR="004B29D9" w:rsidRPr="008E5A1D">
              <w:rPr>
                <w:color w:val="auto"/>
              </w:rPr>
              <w:t xml:space="preserve"> </w:t>
            </w:r>
            <w:r w:rsidRPr="008E5A1D">
              <w:rPr>
                <w:color w:val="auto"/>
              </w:rPr>
              <w:t>deploy</w:t>
            </w:r>
            <w:r w:rsidR="004B29D9" w:rsidRPr="008E5A1D">
              <w:rPr>
                <w:color w:val="auto"/>
              </w:rPr>
              <w:t xml:space="preserve">ed </w:t>
            </w:r>
            <w:r w:rsidRPr="008E5A1D">
              <w:rPr>
                <w:color w:val="auto"/>
              </w:rPr>
              <w:t xml:space="preserve">the HMAS Canberra, a Rapid Assessment Team, aerial assessment flights, </w:t>
            </w:r>
            <w:r w:rsidR="00E43879" w:rsidRPr="008E5A1D">
              <w:rPr>
                <w:color w:val="auto"/>
              </w:rPr>
              <w:t xml:space="preserve">and </w:t>
            </w:r>
            <w:r w:rsidRPr="008E5A1D">
              <w:rPr>
                <w:color w:val="auto"/>
              </w:rPr>
              <w:t>$12.8 million in response and early recovery funding</w:t>
            </w:r>
            <w:r w:rsidR="00E43879" w:rsidRPr="008E5A1D">
              <w:rPr>
                <w:color w:val="auto"/>
              </w:rPr>
              <w:t>.</w:t>
            </w:r>
            <w:r w:rsidR="004B29D9" w:rsidRPr="008E5A1D">
              <w:rPr>
                <w:color w:val="auto"/>
              </w:rPr>
              <w:t xml:space="preserve"> </w:t>
            </w:r>
            <w:r w:rsidR="00E43879" w:rsidRPr="008E5A1D">
              <w:rPr>
                <w:color w:val="auto"/>
              </w:rPr>
              <w:t xml:space="preserve">Australia </w:t>
            </w:r>
            <w:r w:rsidR="004B29D9" w:rsidRPr="008E5A1D">
              <w:rPr>
                <w:color w:val="auto"/>
              </w:rPr>
              <w:t>transported</w:t>
            </w:r>
            <w:r w:rsidR="00E43879" w:rsidRPr="008E5A1D">
              <w:rPr>
                <w:color w:val="auto"/>
              </w:rPr>
              <w:t xml:space="preserve"> over 139 tonnes of humanitarian supplies </w:t>
            </w:r>
            <w:r w:rsidR="004B29D9" w:rsidRPr="008E5A1D">
              <w:rPr>
                <w:color w:val="auto"/>
              </w:rPr>
              <w:t xml:space="preserve">for </w:t>
            </w:r>
            <w:r w:rsidR="00E43879" w:rsidRPr="008E5A1D">
              <w:rPr>
                <w:color w:val="auto"/>
              </w:rPr>
              <w:t xml:space="preserve">impacted communities </w:t>
            </w:r>
            <w:r w:rsidR="00273FF1" w:rsidRPr="008E5A1D">
              <w:rPr>
                <w:color w:val="auto"/>
              </w:rPr>
              <w:t>assisting</w:t>
            </w:r>
            <w:r w:rsidR="00E43879" w:rsidRPr="008E5A1D">
              <w:rPr>
                <w:color w:val="auto"/>
              </w:rPr>
              <w:t xml:space="preserve"> an estimated 27,690 people</w:t>
            </w:r>
            <w:r w:rsidR="001A4F3B" w:rsidRPr="008E5A1D">
              <w:rPr>
                <w:color w:val="auto"/>
              </w:rPr>
              <w:t>.</w:t>
            </w:r>
          </w:p>
        </w:tc>
      </w:tr>
    </w:tbl>
    <w:p w14:paraId="73A67A4C" w14:textId="370E43B0" w:rsidR="001402E5" w:rsidRPr="008E5A1D" w:rsidRDefault="001402E5" w:rsidP="00B5354E">
      <w:pPr>
        <w:pStyle w:val="Heading3"/>
      </w:pPr>
    </w:p>
    <w:p w14:paraId="3947992B" w14:textId="77777777" w:rsidR="001402E5" w:rsidRPr="008E5A1D" w:rsidRDefault="001402E5">
      <w:pPr>
        <w:suppressAutoHyphens w:val="0"/>
        <w:spacing w:before="0" w:after="120" w:line="440" w:lineRule="atLeast"/>
        <w:rPr>
          <w:rFonts w:eastAsiaTheme="majorEastAsia" w:cstheme="minorHAnsi"/>
          <w:b/>
          <w:bCs/>
          <w:iCs/>
          <w:color w:val="auto"/>
        </w:rPr>
      </w:pPr>
      <w:r w:rsidRPr="008E5A1D">
        <w:rPr>
          <w:color w:val="auto"/>
        </w:rPr>
        <w:br w:type="page"/>
      </w:r>
    </w:p>
    <w:p w14:paraId="08BBE344" w14:textId="1C935BF8" w:rsidR="00AE2B7B" w:rsidRPr="008E5A1D" w:rsidRDefault="2C1AD208" w:rsidP="00B5354E">
      <w:pPr>
        <w:pStyle w:val="Heading3"/>
      </w:pPr>
      <w:r w:rsidRPr="008E5A1D">
        <w:lastRenderedPageBreak/>
        <w:t>Stability</w:t>
      </w:r>
      <w:r w:rsidR="00AE2B7B" w:rsidRPr="008E5A1D">
        <w:tab/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3964"/>
        <w:gridCol w:w="6146"/>
      </w:tblGrid>
      <w:tr w:rsidR="008E5A1D" w:rsidRPr="008E5A1D" w14:paraId="14EF210E" w14:textId="77777777" w:rsidTr="00ED22A3">
        <w:trPr>
          <w:cantSplit/>
          <w:tblHeader/>
        </w:trPr>
        <w:tc>
          <w:tcPr>
            <w:tcW w:w="3964" w:type="dxa"/>
            <w:shd w:val="clear" w:color="auto" w:fill="A2DCD1" w:themeFill="accent1" w:themeFillTint="99"/>
            <w:vAlign w:val="bottom"/>
          </w:tcPr>
          <w:p w14:paraId="47014330" w14:textId="7A7E2C4C" w:rsidR="00CA5021" w:rsidRPr="008E5A1D" w:rsidRDefault="00A96364" w:rsidP="00EC2FAB">
            <w:pPr>
              <w:widowControl w:val="0"/>
              <w:spacing w:after="120" w:line="240" w:lineRule="auto"/>
              <w:jc w:val="center"/>
              <w:rPr>
                <w:color w:val="auto"/>
              </w:rPr>
            </w:pPr>
            <w:r w:rsidRPr="008E5A1D">
              <w:rPr>
                <w:b/>
                <w:color w:val="auto"/>
              </w:rPr>
              <w:t>Key Results</w:t>
            </w:r>
            <w:r w:rsidR="00CA5021" w:rsidRPr="008E5A1D">
              <w:rPr>
                <w:b/>
                <w:color w:val="auto"/>
              </w:rPr>
              <w:t xml:space="preserve"> Indicator</w:t>
            </w:r>
            <w:r w:rsidRPr="008E5A1D">
              <w:rPr>
                <w:b/>
                <w:color w:val="auto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bottom"/>
          </w:tcPr>
          <w:p w14:paraId="167B5817" w14:textId="6DB7E03D" w:rsidR="00CA5021" w:rsidRPr="008E5A1D" w:rsidRDefault="00AD19F7" w:rsidP="00EC2FAB">
            <w:pPr>
              <w:widowControl w:val="0"/>
              <w:spacing w:after="120" w:line="240" w:lineRule="auto"/>
              <w:jc w:val="center"/>
              <w:rPr>
                <w:color w:val="auto"/>
              </w:rPr>
            </w:pPr>
            <w:r w:rsidRPr="008E5A1D">
              <w:rPr>
                <w:b/>
                <w:color w:val="auto"/>
              </w:rPr>
              <w:t>Progress/Result</w:t>
            </w:r>
          </w:p>
        </w:tc>
      </w:tr>
      <w:tr w:rsidR="008E5A1D" w:rsidRPr="008E5A1D" w14:paraId="593A8551" w14:textId="77777777" w:rsidTr="55CB72C0">
        <w:trPr>
          <w:cantSplit/>
        </w:trPr>
        <w:tc>
          <w:tcPr>
            <w:tcW w:w="3964" w:type="dxa"/>
          </w:tcPr>
          <w:p w14:paraId="2AA59D1C" w14:textId="213C1946" w:rsidR="00C56023" w:rsidRPr="008E5A1D" w:rsidRDefault="00C56023" w:rsidP="00EC2FAB">
            <w:pPr>
              <w:spacing w:after="120" w:line="240" w:lineRule="auto"/>
              <w:rPr>
                <w:rFonts w:ascii="Calibri Light" w:eastAsia="Calibri Light" w:hAnsi="Calibri Light" w:cs="Calibri Light"/>
                <w:color w:val="auto"/>
              </w:rPr>
            </w:pPr>
            <w:bookmarkStart w:id="1" w:name="_Hlk142937569"/>
            <w:r w:rsidRPr="008E5A1D">
              <w:rPr>
                <w:color w:val="auto"/>
              </w:rPr>
              <w:t>Strengthened governance systems, including assistance provided and significant policy change achieved)</w:t>
            </w:r>
          </w:p>
        </w:tc>
        <w:tc>
          <w:tcPr>
            <w:tcW w:w="6146" w:type="dxa"/>
          </w:tcPr>
          <w:p w14:paraId="1A0C2ECC" w14:textId="78678D9C" w:rsidR="004B2D54" w:rsidRPr="008E5A1D" w:rsidRDefault="00A80A99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Australia's Governance for Growth </w:t>
            </w:r>
            <w:r w:rsidR="00B70B66">
              <w:rPr>
                <w:color w:val="auto"/>
              </w:rPr>
              <w:t>(</w:t>
            </w:r>
            <w:proofErr w:type="spellStart"/>
            <w:r w:rsidR="00B70B66">
              <w:rPr>
                <w:color w:val="auto"/>
              </w:rPr>
              <w:t>GfG</w:t>
            </w:r>
            <w:proofErr w:type="spellEnd"/>
            <w:r w:rsidR="00B70B66">
              <w:rPr>
                <w:color w:val="auto"/>
              </w:rPr>
              <w:t xml:space="preserve">) </w:t>
            </w:r>
            <w:r w:rsidRPr="008E5A1D">
              <w:rPr>
                <w:color w:val="auto"/>
              </w:rPr>
              <w:t>program supported reforms at the Vanuatu Broadcasting and Television Cooperation (V</w:t>
            </w:r>
            <w:r w:rsidR="00FD00FF" w:rsidRPr="008E5A1D">
              <w:rPr>
                <w:color w:val="auto"/>
              </w:rPr>
              <w:t>BT</w:t>
            </w:r>
            <w:r w:rsidRPr="008E5A1D">
              <w:rPr>
                <w:color w:val="auto"/>
              </w:rPr>
              <w:t>C), Vanuatu's National Broadcaster and a prominent S</w:t>
            </w:r>
            <w:r w:rsidR="008D4767" w:rsidRPr="008E5A1D">
              <w:rPr>
                <w:color w:val="auto"/>
              </w:rPr>
              <w:t>tate</w:t>
            </w:r>
            <w:r w:rsidR="00FD00FF" w:rsidRPr="008E5A1D">
              <w:rPr>
                <w:color w:val="auto"/>
              </w:rPr>
              <w:t>-</w:t>
            </w:r>
            <w:r w:rsidR="008D4767" w:rsidRPr="008E5A1D">
              <w:rPr>
                <w:color w:val="auto"/>
              </w:rPr>
              <w:t>Owned Enterprise</w:t>
            </w:r>
            <w:r w:rsidRPr="008E5A1D">
              <w:rPr>
                <w:color w:val="auto"/>
              </w:rPr>
              <w:t xml:space="preserve">. These reforms strengthened VBTC's editorial autonomy, </w:t>
            </w:r>
            <w:r w:rsidR="00F070FB" w:rsidRPr="008E5A1D">
              <w:rPr>
                <w:color w:val="auto"/>
              </w:rPr>
              <w:t>performance,</w:t>
            </w:r>
            <w:r w:rsidRPr="008E5A1D">
              <w:rPr>
                <w:color w:val="auto"/>
              </w:rPr>
              <w:t xml:space="preserve"> and financial sustainability. </w:t>
            </w:r>
            <w:r w:rsidR="008D4767" w:rsidRPr="008E5A1D">
              <w:rPr>
                <w:color w:val="auto"/>
              </w:rPr>
              <w:t xml:space="preserve">Vanuatu </w:t>
            </w:r>
            <w:r w:rsidRPr="008E5A1D">
              <w:rPr>
                <w:color w:val="auto"/>
              </w:rPr>
              <w:t xml:space="preserve">has requested ongoing support to embed and </w:t>
            </w:r>
            <w:r w:rsidR="005569A1">
              <w:rPr>
                <w:color w:val="auto"/>
              </w:rPr>
              <w:t xml:space="preserve">further </w:t>
            </w:r>
            <w:r w:rsidRPr="008E5A1D">
              <w:rPr>
                <w:color w:val="auto"/>
              </w:rPr>
              <w:t xml:space="preserve">extend this reform agenda. </w:t>
            </w:r>
          </w:p>
          <w:p w14:paraId="2E8902BB" w14:textId="79B2D1AC" w:rsidR="00932732" w:rsidRPr="008E5A1D" w:rsidRDefault="00ED7FB6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 </w:t>
            </w:r>
            <w:r w:rsidR="004B29D9" w:rsidRPr="008E5A1D">
              <w:rPr>
                <w:color w:val="auto"/>
              </w:rPr>
              <w:t>trained</w:t>
            </w:r>
            <w:r w:rsidRPr="008E5A1D">
              <w:rPr>
                <w:color w:val="auto"/>
              </w:rPr>
              <w:t xml:space="preserve"> 713 justice and policing officials (33 per cent women)</w:t>
            </w:r>
            <w:r w:rsidR="00A731A7" w:rsidRPr="008E5A1D">
              <w:rPr>
                <w:color w:val="auto"/>
              </w:rPr>
              <w:t xml:space="preserve"> </w:t>
            </w:r>
            <w:r w:rsidR="00F40BBE" w:rsidRPr="008E5A1D">
              <w:rPr>
                <w:color w:val="auto"/>
              </w:rPr>
              <w:t>focused on improving</w:t>
            </w:r>
            <w:r w:rsidR="00F74F2C" w:rsidRPr="008E5A1D">
              <w:rPr>
                <w:color w:val="auto"/>
              </w:rPr>
              <w:t xml:space="preserve"> access to justice and policing services for women, children, youth, and vulnerable groups.</w:t>
            </w:r>
          </w:p>
        </w:tc>
      </w:tr>
      <w:tr w:rsidR="008E5A1D" w:rsidRPr="008E5A1D" w14:paraId="0556A95D" w14:textId="77777777" w:rsidTr="55CB72C0">
        <w:trPr>
          <w:cantSplit/>
        </w:trPr>
        <w:tc>
          <w:tcPr>
            <w:tcW w:w="3964" w:type="dxa"/>
          </w:tcPr>
          <w:p w14:paraId="62F5276A" w14:textId="43334EAD" w:rsidR="00C56023" w:rsidRPr="008E5A1D" w:rsidRDefault="00C56023" w:rsidP="00EC2FAB">
            <w:pPr>
              <w:spacing w:after="120" w:line="240" w:lineRule="auto"/>
              <w:rPr>
                <w:color w:val="auto"/>
              </w:rPr>
            </w:pPr>
            <w:bookmarkStart w:id="2" w:name="_Hlk142555636"/>
            <w:bookmarkEnd w:id="1"/>
            <w:r w:rsidRPr="008E5A1D">
              <w:rPr>
                <w:color w:val="auto"/>
              </w:rPr>
              <w:t>Examples of increased participation of women in decision-making and leadership in key sectors with Australian support</w:t>
            </w:r>
            <w:bookmarkEnd w:id="2"/>
          </w:p>
        </w:tc>
        <w:tc>
          <w:tcPr>
            <w:tcW w:w="6146" w:type="dxa"/>
          </w:tcPr>
          <w:p w14:paraId="200F1AF7" w14:textId="70DC2C18" w:rsidR="00455D4B" w:rsidRPr="008E5A1D" w:rsidRDefault="00911C04" w:rsidP="00EC2FAB">
            <w:pPr>
              <w:spacing w:after="120" w:line="240" w:lineRule="auto"/>
              <w:rPr>
                <w:rFonts w:ascii="Calibri Light" w:eastAsia="Calibri Light" w:hAnsi="Calibri Light" w:cs="Times New Roman"/>
                <w:color w:val="auto"/>
              </w:rPr>
            </w:pPr>
            <w:r w:rsidRPr="008E5A1D">
              <w:rPr>
                <w:rFonts w:ascii="Calibri Light" w:eastAsia="Calibri Light" w:hAnsi="Calibri Light" w:cs="Times New Roman"/>
                <w:color w:val="auto"/>
              </w:rPr>
              <w:t xml:space="preserve">Australia </w:t>
            </w:r>
            <w:r w:rsidR="004B29D9" w:rsidRPr="008E5A1D">
              <w:rPr>
                <w:rFonts w:ascii="Calibri Light" w:eastAsia="Calibri Light" w:hAnsi="Calibri Light" w:cs="Times New Roman"/>
                <w:color w:val="auto"/>
              </w:rPr>
              <w:t>funded</w:t>
            </w:r>
            <w:r w:rsidRPr="008E5A1D">
              <w:rPr>
                <w:rFonts w:ascii="Calibri Light" w:eastAsia="Calibri Light" w:hAnsi="Calibri Light" w:cs="Times New Roman"/>
                <w:color w:val="auto"/>
              </w:rPr>
              <w:t xml:space="preserve"> the Femme </w:t>
            </w:r>
            <w:proofErr w:type="spellStart"/>
            <w:r w:rsidRPr="008E5A1D">
              <w:rPr>
                <w:rFonts w:ascii="Calibri Light" w:eastAsia="Calibri Light" w:hAnsi="Calibri Light" w:cs="Times New Roman"/>
                <w:color w:val="auto"/>
              </w:rPr>
              <w:t>Pawa</w:t>
            </w:r>
            <w:proofErr w:type="spellEnd"/>
            <w:r w:rsidRPr="008E5A1D">
              <w:rPr>
                <w:rFonts w:ascii="Calibri Light" w:eastAsia="Calibri Light" w:hAnsi="Calibri Light" w:cs="Times New Roman"/>
                <w:color w:val="auto"/>
              </w:rPr>
              <w:t xml:space="preserve"> (Women’s Power) FM radio station </w:t>
            </w:r>
            <w:r w:rsidR="004B29D9" w:rsidRPr="008E5A1D">
              <w:rPr>
                <w:rFonts w:ascii="Calibri Light" w:eastAsia="Calibri Light" w:hAnsi="Calibri Light" w:cs="Times New Roman"/>
                <w:color w:val="auto"/>
              </w:rPr>
              <w:t>a</w:t>
            </w:r>
            <w:r w:rsidRPr="008E5A1D">
              <w:rPr>
                <w:rFonts w:ascii="Calibri Light" w:eastAsia="Calibri Light" w:hAnsi="Calibri Light" w:cs="Times New Roman"/>
                <w:color w:val="auto"/>
              </w:rPr>
              <w:t xml:space="preserve"> platform to elevate ni-Vanuatu women’s voices, especially in rural areas</w:t>
            </w:r>
            <w:r w:rsidR="004B29D9" w:rsidRPr="008E5A1D">
              <w:rPr>
                <w:rFonts w:ascii="Calibri Light" w:eastAsia="Calibri Light" w:hAnsi="Calibri Light" w:cs="Times New Roman"/>
                <w:color w:val="auto"/>
              </w:rPr>
              <w:t>. The station</w:t>
            </w:r>
            <w:r w:rsidR="0071169B" w:rsidRPr="008E5A1D">
              <w:rPr>
                <w:rFonts w:ascii="Calibri Light" w:eastAsia="Calibri Light" w:hAnsi="Calibri Light" w:cs="Times New Roman"/>
                <w:color w:val="auto"/>
              </w:rPr>
              <w:t xml:space="preserve"> </w:t>
            </w:r>
            <w:r w:rsidR="004B29D9" w:rsidRPr="008E5A1D">
              <w:rPr>
                <w:rFonts w:ascii="Calibri Light" w:eastAsia="Calibri Light" w:hAnsi="Calibri Light" w:cs="Times New Roman"/>
                <w:color w:val="auto"/>
              </w:rPr>
              <w:t>provided</w:t>
            </w:r>
            <w:r w:rsidRPr="008E5A1D">
              <w:rPr>
                <w:rFonts w:ascii="Calibri Light" w:eastAsia="Calibri Light" w:hAnsi="Calibri Light" w:cs="Times New Roman"/>
                <w:color w:val="auto"/>
              </w:rPr>
              <w:t xml:space="preserve"> valuable information on health, education, nutrition, and disaster preparedness.</w:t>
            </w:r>
            <w:bookmarkStart w:id="3" w:name="_Hlk142555505"/>
          </w:p>
          <w:p w14:paraId="71F5FF79" w14:textId="02031194" w:rsidR="00A76B10" w:rsidRPr="008E5A1D" w:rsidRDefault="008304F4" w:rsidP="00EC2FAB">
            <w:pPr>
              <w:spacing w:after="120" w:line="240" w:lineRule="auto"/>
              <w:rPr>
                <w:color w:val="auto"/>
                <w:lang w:val="en-AU"/>
              </w:rPr>
            </w:pPr>
            <w:r>
              <w:rPr>
                <w:color w:val="auto"/>
              </w:rPr>
              <w:t xml:space="preserve">In the reporting </w:t>
            </w:r>
            <w:r w:rsidR="00F070FB">
              <w:rPr>
                <w:color w:val="auto"/>
              </w:rPr>
              <w:t xml:space="preserve">period, </w:t>
            </w:r>
            <w:r w:rsidR="00F070FB" w:rsidRPr="008E5A1D">
              <w:rPr>
                <w:color w:val="auto"/>
              </w:rPr>
              <w:t>46</w:t>
            </w:r>
            <w:r w:rsidR="00455D4B" w:rsidRPr="008E5A1D">
              <w:rPr>
                <w:color w:val="auto"/>
              </w:rPr>
              <w:t xml:space="preserve"> young women (</w:t>
            </w:r>
            <w:r w:rsidR="00FD00FF" w:rsidRPr="008E5A1D">
              <w:rPr>
                <w:color w:val="auto"/>
              </w:rPr>
              <w:t>two</w:t>
            </w:r>
            <w:r w:rsidR="00455D4B" w:rsidRPr="008E5A1D">
              <w:rPr>
                <w:color w:val="auto"/>
              </w:rPr>
              <w:t xml:space="preserve"> with disabilities</w:t>
            </w:r>
            <w:r>
              <w:rPr>
                <w:color w:val="auto"/>
              </w:rPr>
              <w:t xml:space="preserve"> and </w:t>
            </w:r>
            <w:r w:rsidR="00FD00FF" w:rsidRPr="008E5A1D">
              <w:rPr>
                <w:color w:val="auto"/>
              </w:rPr>
              <w:t>two</w:t>
            </w:r>
            <w:r w:rsidR="00455D4B" w:rsidRPr="008E5A1D">
              <w:rPr>
                <w:color w:val="auto"/>
              </w:rPr>
              <w:t xml:space="preserve"> LGBTIQ identifying) graduated from the Australian-</w:t>
            </w:r>
            <w:r w:rsidR="00A0187B" w:rsidRPr="008E5A1D">
              <w:rPr>
                <w:color w:val="auto"/>
              </w:rPr>
              <w:t>funded Young</w:t>
            </w:r>
            <w:r w:rsidR="00455D4B" w:rsidRPr="008E5A1D">
              <w:rPr>
                <w:color w:val="auto"/>
              </w:rPr>
              <w:t xml:space="preserve"> Women’s Leadership Program (YWLP). </w:t>
            </w:r>
            <w:r w:rsidR="007455F4">
              <w:rPr>
                <w:color w:val="auto"/>
              </w:rPr>
              <w:t xml:space="preserve">This </w:t>
            </w:r>
            <w:r w:rsidR="009F2D10">
              <w:rPr>
                <w:color w:val="auto"/>
              </w:rPr>
              <w:t xml:space="preserve">enabled </w:t>
            </w:r>
            <w:r w:rsidR="00455D4B" w:rsidRPr="008E5A1D">
              <w:rPr>
                <w:color w:val="auto"/>
              </w:rPr>
              <w:t xml:space="preserve">YWLP alumni (128 total - </w:t>
            </w:r>
            <w:r w:rsidR="00FD00FF" w:rsidRPr="008E5A1D">
              <w:rPr>
                <w:color w:val="auto"/>
              </w:rPr>
              <w:t>four</w:t>
            </w:r>
            <w:r w:rsidR="00455D4B" w:rsidRPr="008E5A1D">
              <w:rPr>
                <w:color w:val="auto"/>
              </w:rPr>
              <w:t xml:space="preserve"> LGBTIQ, </w:t>
            </w:r>
            <w:r w:rsidR="00FD00FF" w:rsidRPr="008E5A1D">
              <w:rPr>
                <w:color w:val="auto"/>
              </w:rPr>
              <w:t>five</w:t>
            </w:r>
            <w:r w:rsidR="00455D4B" w:rsidRPr="008E5A1D">
              <w:rPr>
                <w:color w:val="auto"/>
              </w:rPr>
              <w:t xml:space="preserve"> with disabilities) t</w:t>
            </w:r>
            <w:r w:rsidR="009F2D10">
              <w:rPr>
                <w:color w:val="auto"/>
              </w:rPr>
              <w:t xml:space="preserve">ransition </w:t>
            </w:r>
            <w:r w:rsidR="00F070FB">
              <w:rPr>
                <w:color w:val="auto"/>
              </w:rPr>
              <w:t xml:space="preserve">into </w:t>
            </w:r>
            <w:r w:rsidR="00F070FB" w:rsidRPr="008E5A1D">
              <w:rPr>
                <w:color w:val="auto"/>
              </w:rPr>
              <w:t>new</w:t>
            </w:r>
            <w:r w:rsidR="00455D4B" w:rsidRPr="008E5A1D">
              <w:rPr>
                <w:color w:val="auto"/>
              </w:rPr>
              <w:t xml:space="preserve"> employment, start small businesses and challenge </w:t>
            </w:r>
            <w:r w:rsidR="00F070FB">
              <w:rPr>
                <w:color w:val="auto"/>
              </w:rPr>
              <w:t xml:space="preserve">stereotypical </w:t>
            </w:r>
            <w:r w:rsidR="00F070FB" w:rsidRPr="008E5A1D">
              <w:rPr>
                <w:color w:val="auto"/>
              </w:rPr>
              <w:t>gender</w:t>
            </w:r>
            <w:r w:rsidR="00455D4B" w:rsidRPr="008E5A1D">
              <w:rPr>
                <w:color w:val="auto"/>
              </w:rPr>
              <w:t xml:space="preserve"> roles. </w:t>
            </w:r>
            <w:bookmarkEnd w:id="3"/>
          </w:p>
        </w:tc>
      </w:tr>
      <w:tr w:rsidR="008E5A1D" w:rsidRPr="008E5A1D" w14:paraId="5DF0BAD4" w14:textId="77777777" w:rsidTr="55CB72C0">
        <w:trPr>
          <w:cantSplit/>
        </w:trPr>
        <w:tc>
          <w:tcPr>
            <w:tcW w:w="3964" w:type="dxa"/>
          </w:tcPr>
          <w:p w14:paraId="476782F7" w14:textId="5EC31BF4" w:rsidR="00C56023" w:rsidRPr="008E5A1D" w:rsidRDefault="00C56023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Number of women and </w:t>
            </w:r>
            <w:r w:rsidR="004F3090" w:rsidRPr="008E5A1D">
              <w:rPr>
                <w:color w:val="auto"/>
              </w:rPr>
              <w:t>child</w:t>
            </w:r>
            <w:r w:rsidRPr="008E5A1D">
              <w:rPr>
                <w:color w:val="auto"/>
              </w:rPr>
              <w:t xml:space="preserve"> survivors of violence receiving services such as counselling</w:t>
            </w:r>
          </w:p>
        </w:tc>
        <w:tc>
          <w:tcPr>
            <w:tcW w:w="6146" w:type="dxa"/>
          </w:tcPr>
          <w:p w14:paraId="69182282" w14:textId="4189AAAD" w:rsidR="009C5FD6" w:rsidRPr="008E5A1D" w:rsidRDefault="00911C04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 supported the Vanuatu Women’s Centre (VWC) provide counselling </w:t>
            </w:r>
            <w:r w:rsidR="002854E4" w:rsidRPr="008E5A1D">
              <w:rPr>
                <w:color w:val="auto"/>
              </w:rPr>
              <w:t xml:space="preserve">for </w:t>
            </w:r>
            <w:r w:rsidRPr="008E5A1D">
              <w:rPr>
                <w:color w:val="auto"/>
              </w:rPr>
              <w:t xml:space="preserve">7,548 women and children affected by </w:t>
            </w:r>
            <w:r w:rsidR="00653A0E">
              <w:rPr>
                <w:color w:val="auto"/>
              </w:rPr>
              <w:t xml:space="preserve">gender-based </w:t>
            </w:r>
            <w:r w:rsidRPr="008E5A1D">
              <w:rPr>
                <w:color w:val="auto"/>
              </w:rPr>
              <w:t>violence</w:t>
            </w:r>
            <w:r w:rsidR="00653A0E">
              <w:rPr>
                <w:color w:val="auto"/>
              </w:rPr>
              <w:t xml:space="preserve"> (GBV)</w:t>
            </w:r>
            <w:r w:rsidRPr="008E5A1D">
              <w:rPr>
                <w:color w:val="auto"/>
              </w:rPr>
              <w:t xml:space="preserve">. VWC also supported 643 </w:t>
            </w:r>
            <w:r w:rsidR="00F070FB" w:rsidRPr="008E5A1D">
              <w:rPr>
                <w:color w:val="auto"/>
              </w:rPr>
              <w:t>women obtain</w:t>
            </w:r>
            <w:r w:rsidRPr="008E5A1D">
              <w:rPr>
                <w:color w:val="auto"/>
              </w:rPr>
              <w:t xml:space="preserve"> family protection orders, responded to 6,178 information requests, and reached 12,824</w:t>
            </w:r>
            <w:r w:rsidR="00FD00FF" w:rsidRPr="008E5A1D">
              <w:rPr>
                <w:color w:val="auto"/>
              </w:rPr>
              <w:t> </w:t>
            </w:r>
            <w:r w:rsidRPr="008E5A1D">
              <w:rPr>
                <w:color w:val="auto"/>
              </w:rPr>
              <w:t>people (230 with a disability) with its anti-</w:t>
            </w:r>
            <w:r w:rsidR="00311E1C">
              <w:rPr>
                <w:color w:val="auto"/>
              </w:rPr>
              <w:t xml:space="preserve">GBV </w:t>
            </w:r>
            <w:r w:rsidR="00311E1C" w:rsidRPr="008E5A1D">
              <w:rPr>
                <w:color w:val="auto"/>
              </w:rPr>
              <w:t>community</w:t>
            </w:r>
            <w:r w:rsidRPr="008E5A1D">
              <w:rPr>
                <w:color w:val="auto"/>
              </w:rPr>
              <w:t xml:space="preserve"> awareness activities.</w:t>
            </w:r>
          </w:p>
        </w:tc>
      </w:tr>
      <w:tr w:rsidR="008E5A1D" w:rsidRPr="008E5A1D" w14:paraId="7E704FEB" w14:textId="77777777" w:rsidTr="55CB72C0">
        <w:trPr>
          <w:cantSplit/>
        </w:trPr>
        <w:tc>
          <w:tcPr>
            <w:tcW w:w="3964" w:type="dxa"/>
          </w:tcPr>
          <w:p w14:paraId="1CC2F0CD" w14:textId="2DDDF794" w:rsidR="00C56023" w:rsidRPr="008E5A1D" w:rsidRDefault="00C56023" w:rsidP="00EC2FAB">
            <w:pPr>
              <w:spacing w:after="120" w:line="240" w:lineRule="auto"/>
              <w:rPr>
                <w:color w:val="auto"/>
              </w:rPr>
            </w:pPr>
            <w:bookmarkStart w:id="4" w:name="_Hlk142555558"/>
            <w:r w:rsidRPr="008E5A1D">
              <w:rPr>
                <w:color w:val="auto"/>
              </w:rPr>
              <w:t>Strengthened security capability and resilience (with examples)</w:t>
            </w:r>
            <w:bookmarkEnd w:id="4"/>
          </w:p>
        </w:tc>
        <w:tc>
          <w:tcPr>
            <w:tcW w:w="6146" w:type="dxa"/>
          </w:tcPr>
          <w:p w14:paraId="5D01358E" w14:textId="125CD912" w:rsidR="00A15D48" w:rsidRPr="008E5A1D" w:rsidRDefault="00CA3697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Australia supported the training of 47 new police recruits (34 per cent women</w:t>
            </w:r>
            <w:r w:rsidR="0038438C" w:rsidRPr="008E5A1D">
              <w:rPr>
                <w:color w:val="auto"/>
              </w:rPr>
              <w:t>, up from 25 per cent in 2021</w:t>
            </w:r>
            <w:r w:rsidRPr="008E5A1D">
              <w:rPr>
                <w:color w:val="auto"/>
              </w:rPr>
              <w:t xml:space="preserve">), </w:t>
            </w:r>
            <w:r w:rsidR="002A011B" w:rsidRPr="008E5A1D">
              <w:rPr>
                <w:color w:val="auto"/>
              </w:rPr>
              <w:t xml:space="preserve">improving the reach and capacity of the Vanuatu Police Force. Since 2018, Australia has supported the training of 387 new police recruits, </w:t>
            </w:r>
            <w:r w:rsidRPr="008E5A1D">
              <w:rPr>
                <w:color w:val="auto"/>
              </w:rPr>
              <w:t>over 40 per cent of</w:t>
            </w:r>
            <w:r w:rsidR="002A011B" w:rsidRPr="008E5A1D">
              <w:rPr>
                <w:color w:val="auto"/>
              </w:rPr>
              <w:t xml:space="preserve"> the VPF.</w:t>
            </w:r>
          </w:p>
          <w:p w14:paraId="7D9CAB9B" w14:textId="362F9362" w:rsidR="00CA3697" w:rsidRPr="008E5A1D" w:rsidRDefault="00E43879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Following Tropical Cyclones Judy and Kevin, Australian Defence Force personnel supported repairs to health and education facilities</w:t>
            </w:r>
            <w:r w:rsidR="00A0246A">
              <w:rPr>
                <w:color w:val="auto"/>
              </w:rPr>
              <w:t>,</w:t>
            </w:r>
            <w:r w:rsidRPr="008E5A1D">
              <w:rPr>
                <w:color w:val="auto"/>
              </w:rPr>
              <w:t xml:space="preserve"> including </w:t>
            </w:r>
            <w:r w:rsidR="00A0246A">
              <w:rPr>
                <w:color w:val="auto"/>
              </w:rPr>
              <w:t xml:space="preserve">the </w:t>
            </w:r>
            <w:r w:rsidRPr="008E5A1D">
              <w:rPr>
                <w:color w:val="auto"/>
              </w:rPr>
              <w:t xml:space="preserve">Port Vila Central Hospital, and </w:t>
            </w:r>
            <w:r w:rsidR="007C3D3C">
              <w:rPr>
                <w:color w:val="auto"/>
              </w:rPr>
              <w:t>19</w:t>
            </w:r>
            <w:r w:rsidRPr="008E5A1D">
              <w:rPr>
                <w:color w:val="auto"/>
              </w:rPr>
              <w:t xml:space="preserve"> school classrooms at </w:t>
            </w:r>
            <w:r w:rsidR="008313D4">
              <w:rPr>
                <w:color w:val="auto"/>
              </w:rPr>
              <w:t>six</w:t>
            </w:r>
            <w:r w:rsidRPr="008E5A1D">
              <w:rPr>
                <w:color w:val="auto"/>
              </w:rPr>
              <w:t xml:space="preserve"> schools, enabling over 700 children to return to school. Australian Humanitarian Partnership NGOs also assisted with impact assessments, distributed humanitarian supplies, and supported impacted communities.</w:t>
            </w:r>
            <w:r w:rsidR="00FB0AEB" w:rsidRPr="008E5A1D">
              <w:rPr>
                <w:color w:val="auto"/>
              </w:rPr>
              <w:t xml:space="preserve">  </w:t>
            </w:r>
          </w:p>
        </w:tc>
      </w:tr>
      <w:tr w:rsidR="008E5A1D" w:rsidRPr="008E5A1D" w14:paraId="2D9FE5C3" w14:textId="77777777" w:rsidTr="55CB72C0">
        <w:trPr>
          <w:cantSplit/>
          <w:trHeight w:val="300"/>
        </w:trPr>
        <w:tc>
          <w:tcPr>
            <w:tcW w:w="3964" w:type="dxa"/>
          </w:tcPr>
          <w:p w14:paraId="07505657" w14:textId="6507772E" w:rsidR="00C56023" w:rsidRPr="008E5A1D" w:rsidRDefault="00C56023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lastRenderedPageBreak/>
              <w:t>Number of additional girls and boys enrolled in school (men/ women)</w:t>
            </w:r>
          </w:p>
        </w:tc>
        <w:tc>
          <w:tcPr>
            <w:tcW w:w="6146" w:type="dxa"/>
          </w:tcPr>
          <w:p w14:paraId="588EE7BB" w14:textId="065B969A" w:rsidR="00B537E7" w:rsidRPr="008E5A1D" w:rsidRDefault="00B329A6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Australian support to </w:t>
            </w:r>
            <w:r w:rsidR="003B2A6E">
              <w:rPr>
                <w:color w:val="auto"/>
              </w:rPr>
              <w:t xml:space="preserve">the </w:t>
            </w:r>
            <w:r w:rsidRPr="008E5A1D">
              <w:rPr>
                <w:color w:val="auto"/>
              </w:rPr>
              <w:t>M</w:t>
            </w:r>
            <w:r w:rsidR="00D71016" w:rsidRPr="008E5A1D">
              <w:rPr>
                <w:color w:val="auto"/>
              </w:rPr>
              <w:t>inistry of Ed</w:t>
            </w:r>
            <w:r w:rsidR="0074052A" w:rsidRPr="008E5A1D">
              <w:rPr>
                <w:color w:val="auto"/>
              </w:rPr>
              <w:t>ucation</w:t>
            </w:r>
            <w:r w:rsidRPr="008E5A1D">
              <w:rPr>
                <w:color w:val="auto"/>
              </w:rPr>
              <w:t xml:space="preserve"> resulted in the enrolment of an additional </w:t>
            </w:r>
            <w:r w:rsidR="00716EF9" w:rsidRPr="008E5A1D">
              <w:rPr>
                <w:color w:val="auto"/>
              </w:rPr>
              <w:t>9,22</w:t>
            </w:r>
            <w:r w:rsidR="009D1F5B" w:rsidRPr="008E5A1D">
              <w:rPr>
                <w:color w:val="auto"/>
              </w:rPr>
              <w:t>2</w:t>
            </w:r>
            <w:r w:rsidR="00716EF9" w:rsidRPr="008E5A1D">
              <w:rPr>
                <w:color w:val="auto"/>
              </w:rPr>
              <w:t xml:space="preserve"> </w:t>
            </w:r>
            <w:r w:rsidR="001C2D07" w:rsidRPr="008E5A1D">
              <w:rPr>
                <w:color w:val="auto"/>
              </w:rPr>
              <w:t xml:space="preserve">children </w:t>
            </w:r>
            <w:r w:rsidR="008B2535" w:rsidRPr="008E5A1D">
              <w:rPr>
                <w:color w:val="auto"/>
              </w:rPr>
              <w:t>at</w:t>
            </w:r>
            <w:r w:rsidR="00273819" w:rsidRPr="008E5A1D">
              <w:rPr>
                <w:color w:val="auto"/>
              </w:rPr>
              <w:t xml:space="preserve"> primary school</w:t>
            </w:r>
            <w:r w:rsidR="008A3009" w:rsidRPr="008E5A1D">
              <w:rPr>
                <w:color w:val="auto"/>
              </w:rPr>
              <w:t xml:space="preserve"> (48 per cent </w:t>
            </w:r>
            <w:r w:rsidR="00311E1C">
              <w:rPr>
                <w:color w:val="auto"/>
              </w:rPr>
              <w:t>girls)</w:t>
            </w:r>
            <w:r w:rsidR="00273819" w:rsidRPr="008E5A1D">
              <w:rPr>
                <w:color w:val="auto"/>
              </w:rPr>
              <w:t xml:space="preserve">, and </w:t>
            </w:r>
            <w:r w:rsidR="008B2535" w:rsidRPr="008E5A1D">
              <w:rPr>
                <w:color w:val="auto"/>
              </w:rPr>
              <w:t>secondary school</w:t>
            </w:r>
            <w:r w:rsidR="003512CA" w:rsidRPr="008E5A1D">
              <w:rPr>
                <w:color w:val="auto"/>
              </w:rPr>
              <w:t xml:space="preserve"> (51 per cent </w:t>
            </w:r>
            <w:r w:rsidR="003B2A6E">
              <w:rPr>
                <w:color w:val="auto"/>
              </w:rPr>
              <w:t>girls</w:t>
            </w:r>
            <w:r w:rsidR="003512CA" w:rsidRPr="008E5A1D">
              <w:rPr>
                <w:color w:val="auto"/>
              </w:rPr>
              <w:t>).</w:t>
            </w:r>
          </w:p>
        </w:tc>
      </w:tr>
      <w:tr w:rsidR="008E5A1D" w:rsidRPr="008E5A1D" w14:paraId="1FB8DC0E" w14:textId="77777777" w:rsidTr="55CB72C0">
        <w:trPr>
          <w:cantSplit/>
          <w:trHeight w:val="300"/>
        </w:trPr>
        <w:tc>
          <w:tcPr>
            <w:tcW w:w="3964" w:type="dxa"/>
          </w:tcPr>
          <w:p w14:paraId="1A9D0BCC" w14:textId="0B36EBE5" w:rsidR="00C56023" w:rsidRPr="008E5A1D" w:rsidRDefault="00C56023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Number of new or repaired buildings that meet universal access standards, and disaster and climate resilient standards</w:t>
            </w:r>
          </w:p>
        </w:tc>
        <w:tc>
          <w:tcPr>
            <w:tcW w:w="6146" w:type="dxa"/>
          </w:tcPr>
          <w:p w14:paraId="04C7BDF1" w14:textId="04BF2406" w:rsidR="007433F3" w:rsidRPr="008E5A1D" w:rsidRDefault="00146C37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 supported the construction of </w:t>
            </w:r>
            <w:r w:rsidR="007E4854" w:rsidRPr="008E5A1D">
              <w:rPr>
                <w:color w:val="auto"/>
              </w:rPr>
              <w:t>30</w:t>
            </w:r>
            <w:r w:rsidR="00252FE3" w:rsidRPr="008E5A1D">
              <w:rPr>
                <w:color w:val="auto"/>
              </w:rPr>
              <w:t xml:space="preserve"> </w:t>
            </w:r>
            <w:r w:rsidR="00F4730F" w:rsidRPr="008E5A1D">
              <w:rPr>
                <w:color w:val="auto"/>
              </w:rPr>
              <w:t>buildings</w:t>
            </w:r>
            <w:r w:rsidRPr="008E5A1D">
              <w:rPr>
                <w:color w:val="auto"/>
              </w:rPr>
              <w:t xml:space="preserve"> across Vanuatu that meet universal access standards, and disaster and climate-resilient standards. These include health centres</w:t>
            </w:r>
            <w:r w:rsidR="004A3093" w:rsidRPr="008E5A1D">
              <w:rPr>
                <w:color w:val="auto"/>
              </w:rPr>
              <w:t xml:space="preserve">, </w:t>
            </w:r>
            <w:r w:rsidR="00AF410C" w:rsidRPr="008E5A1D">
              <w:rPr>
                <w:color w:val="auto"/>
              </w:rPr>
              <w:t>market house</w:t>
            </w:r>
            <w:r w:rsidR="00632169" w:rsidRPr="008E5A1D">
              <w:rPr>
                <w:color w:val="auto"/>
              </w:rPr>
              <w:t>s</w:t>
            </w:r>
            <w:r w:rsidR="00AF410C" w:rsidRPr="008E5A1D">
              <w:rPr>
                <w:color w:val="auto"/>
              </w:rPr>
              <w:t xml:space="preserve">, </w:t>
            </w:r>
            <w:r w:rsidR="004A3093" w:rsidRPr="008E5A1D">
              <w:rPr>
                <w:color w:val="auto"/>
              </w:rPr>
              <w:t>school buildings,</w:t>
            </w:r>
            <w:r w:rsidR="00EB52AB" w:rsidRPr="008E5A1D">
              <w:rPr>
                <w:color w:val="auto"/>
              </w:rPr>
              <w:t xml:space="preserve"> court </w:t>
            </w:r>
            <w:r w:rsidR="00AF2D9D" w:rsidRPr="008E5A1D">
              <w:rPr>
                <w:color w:val="auto"/>
              </w:rPr>
              <w:t>houses</w:t>
            </w:r>
            <w:r w:rsidRPr="008E5A1D">
              <w:rPr>
                <w:color w:val="auto"/>
              </w:rPr>
              <w:t>, and police posts.</w:t>
            </w:r>
          </w:p>
        </w:tc>
      </w:tr>
      <w:tr w:rsidR="008E5A1D" w:rsidRPr="008E5A1D" w14:paraId="5A9E75B8" w14:textId="77777777" w:rsidTr="55CB72C0">
        <w:trPr>
          <w:cantSplit/>
          <w:trHeight w:val="300"/>
        </w:trPr>
        <w:tc>
          <w:tcPr>
            <w:tcW w:w="3964" w:type="dxa"/>
            <w:shd w:val="clear" w:color="auto" w:fill="auto"/>
          </w:tcPr>
          <w:p w14:paraId="34C9BBE7" w14:textId="3DEDC1BD" w:rsidR="00C56023" w:rsidRPr="008E5A1D" w:rsidRDefault="00C56023" w:rsidP="00EC2FAB">
            <w:pPr>
              <w:spacing w:after="120" w:line="240" w:lineRule="auto"/>
              <w:rPr>
                <w:color w:val="auto"/>
                <w:highlight w:val="green"/>
              </w:rPr>
            </w:pPr>
            <w:r w:rsidRPr="008E5A1D">
              <w:rPr>
                <w:color w:val="auto"/>
              </w:rPr>
              <w:t>Number of people reached with new or improved social protection programs, including remote communities)</w:t>
            </w:r>
          </w:p>
        </w:tc>
        <w:tc>
          <w:tcPr>
            <w:tcW w:w="6146" w:type="dxa"/>
          </w:tcPr>
          <w:p w14:paraId="037FFDAA" w14:textId="5788D858" w:rsidR="00CE06A6" w:rsidRPr="008E5A1D" w:rsidRDefault="00CE7614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Australia provided</w:t>
            </w:r>
            <w:r w:rsidR="00FB0AEB" w:rsidRPr="008E5A1D">
              <w:rPr>
                <w:color w:val="auto"/>
              </w:rPr>
              <w:t xml:space="preserve"> social protection in the form of</w:t>
            </w:r>
            <w:r w:rsidRPr="008E5A1D">
              <w:rPr>
                <w:color w:val="auto"/>
              </w:rPr>
              <w:t xml:space="preserve"> school fee subsidies to </w:t>
            </w:r>
            <w:r w:rsidR="00F13EF9" w:rsidRPr="008E5A1D">
              <w:rPr>
                <w:color w:val="auto"/>
              </w:rPr>
              <w:t>8,060</w:t>
            </w:r>
            <w:r w:rsidRPr="008E5A1D">
              <w:rPr>
                <w:color w:val="auto"/>
              </w:rPr>
              <w:t xml:space="preserve"> secondary school students </w:t>
            </w:r>
            <w:r w:rsidR="001A1BD9" w:rsidRPr="008E5A1D">
              <w:rPr>
                <w:color w:val="auto"/>
              </w:rPr>
              <w:t>(51 per cent girls)</w:t>
            </w:r>
            <w:r w:rsidR="00FB0AEB" w:rsidRPr="008E5A1D">
              <w:rPr>
                <w:color w:val="auto"/>
              </w:rPr>
              <w:t xml:space="preserve"> and</w:t>
            </w:r>
            <w:r w:rsidR="001A1BD9" w:rsidRPr="008E5A1D">
              <w:rPr>
                <w:color w:val="auto"/>
              </w:rPr>
              <w:t xml:space="preserve"> </w:t>
            </w:r>
            <w:r w:rsidRPr="008E5A1D">
              <w:rPr>
                <w:color w:val="auto"/>
              </w:rPr>
              <w:t>fee subsidies to 1,813 students in post-secondary education and training programs</w:t>
            </w:r>
            <w:r w:rsidR="00CA5088">
              <w:rPr>
                <w:color w:val="auto"/>
              </w:rPr>
              <w:t>.</w:t>
            </w:r>
            <w:r w:rsidR="00A50926">
              <w:rPr>
                <w:color w:val="auto"/>
              </w:rPr>
              <w:t xml:space="preserve"> This supported students to </w:t>
            </w:r>
            <w:r w:rsidR="00CE2408">
              <w:rPr>
                <w:color w:val="auto"/>
              </w:rPr>
              <w:t xml:space="preserve">continue learning uninterrupted and </w:t>
            </w:r>
            <w:r w:rsidR="00A50926">
              <w:rPr>
                <w:color w:val="auto"/>
              </w:rPr>
              <w:t>employment relevant studies</w:t>
            </w:r>
            <w:r w:rsidR="00CE2408">
              <w:rPr>
                <w:color w:val="auto"/>
              </w:rPr>
              <w:t>.</w:t>
            </w:r>
          </w:p>
        </w:tc>
      </w:tr>
      <w:tr w:rsidR="008E5A1D" w:rsidRPr="008E5A1D" w14:paraId="09EB30AB" w14:textId="77777777" w:rsidTr="55CB72C0">
        <w:trPr>
          <w:cantSplit/>
          <w:trHeight w:val="300"/>
        </w:trPr>
        <w:tc>
          <w:tcPr>
            <w:tcW w:w="3964" w:type="dxa"/>
          </w:tcPr>
          <w:p w14:paraId="2578B7F6" w14:textId="6F272BD0" w:rsidR="00C56023" w:rsidRPr="008E5A1D" w:rsidRDefault="00247BED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Improved food security</w:t>
            </w:r>
            <w:r w:rsidR="00C56023" w:rsidRPr="008E5A1D">
              <w:rPr>
                <w:rStyle w:val="FootnoteReference"/>
                <w:color w:val="auto"/>
              </w:rPr>
              <w:footnoteReference w:id="2"/>
            </w:r>
          </w:p>
          <w:p w14:paraId="52343066" w14:textId="338E95C8" w:rsidR="003939FD" w:rsidRPr="008E5A1D" w:rsidRDefault="003939FD" w:rsidP="00EC2FAB">
            <w:pPr>
              <w:spacing w:after="120" w:line="240" w:lineRule="auto"/>
              <w:rPr>
                <w:rFonts w:ascii="Calibri Light" w:eastAsia="Calibri Light" w:hAnsi="Calibri Light" w:cs="Calibri Light"/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6146" w:type="dxa"/>
          </w:tcPr>
          <w:p w14:paraId="7BA04B81" w14:textId="68F0E89C" w:rsidR="00487D56" w:rsidRPr="00F070FB" w:rsidRDefault="589BCA4F" w:rsidP="00EC2FAB">
            <w:pPr>
              <w:spacing w:after="120" w:line="240" w:lineRule="auto"/>
              <w:rPr>
                <w:color w:val="auto"/>
              </w:rPr>
            </w:pPr>
            <w:r w:rsidRPr="55CB72C0">
              <w:rPr>
                <w:color w:val="auto"/>
              </w:rPr>
              <w:t>T</w:t>
            </w:r>
            <w:r w:rsidR="5BAE0714" w:rsidRPr="55CB72C0">
              <w:rPr>
                <w:color w:val="auto"/>
              </w:rPr>
              <w:t xml:space="preserve">he Vanuatu Skills Partnership </w:t>
            </w:r>
            <w:r w:rsidR="3B66C343" w:rsidRPr="55CB72C0">
              <w:rPr>
                <w:color w:val="auto"/>
              </w:rPr>
              <w:t>(VSP)</w:t>
            </w:r>
            <w:r w:rsidR="0000259D">
              <w:rPr>
                <w:color w:val="auto"/>
              </w:rPr>
              <w:t xml:space="preserve">, </w:t>
            </w:r>
            <w:r w:rsidR="5BAE0714" w:rsidRPr="55CB72C0">
              <w:rPr>
                <w:color w:val="auto"/>
              </w:rPr>
              <w:t>through its Farm to School and Farm to Hospital program</w:t>
            </w:r>
            <w:r w:rsidR="0000259D">
              <w:rPr>
                <w:color w:val="auto"/>
              </w:rPr>
              <w:t>,</w:t>
            </w:r>
            <w:r w:rsidR="5BAE0714" w:rsidRPr="55CB72C0">
              <w:rPr>
                <w:color w:val="auto"/>
              </w:rPr>
              <w:t xml:space="preserve"> provid</w:t>
            </w:r>
            <w:r w:rsidR="6B42E005" w:rsidRPr="55CB72C0">
              <w:rPr>
                <w:color w:val="auto"/>
              </w:rPr>
              <w:t>ed</w:t>
            </w:r>
            <w:r w:rsidR="5BAE0714" w:rsidRPr="55CB72C0">
              <w:rPr>
                <w:color w:val="auto"/>
              </w:rPr>
              <w:t xml:space="preserve"> training and mentoring to farmers</w:t>
            </w:r>
            <w:r w:rsidR="6A6D716C" w:rsidRPr="55CB72C0">
              <w:rPr>
                <w:color w:val="auto"/>
              </w:rPr>
              <w:t>,</w:t>
            </w:r>
            <w:r w:rsidR="5BAE0714" w:rsidRPr="55CB72C0">
              <w:rPr>
                <w:color w:val="auto"/>
              </w:rPr>
              <w:t xml:space="preserve"> </w:t>
            </w:r>
            <w:r w:rsidR="6A6D716C" w:rsidRPr="55CB72C0">
              <w:rPr>
                <w:color w:val="auto"/>
              </w:rPr>
              <w:t xml:space="preserve">including linkages to </w:t>
            </w:r>
            <w:r w:rsidR="5BAE0714" w:rsidRPr="55CB72C0">
              <w:rPr>
                <w:color w:val="auto"/>
              </w:rPr>
              <w:t>local hospitals and schools</w:t>
            </w:r>
            <w:r w:rsidR="6E4814C2" w:rsidRPr="55CB72C0">
              <w:rPr>
                <w:color w:val="auto"/>
              </w:rPr>
              <w:t xml:space="preserve"> to provide healthy</w:t>
            </w:r>
            <w:r w:rsidR="49EC6D97" w:rsidRPr="55CB72C0">
              <w:rPr>
                <w:color w:val="auto"/>
              </w:rPr>
              <w:t xml:space="preserve">, locally </w:t>
            </w:r>
            <w:r w:rsidR="32853477" w:rsidRPr="55CB72C0">
              <w:rPr>
                <w:color w:val="auto"/>
              </w:rPr>
              <w:t>produced</w:t>
            </w:r>
            <w:r w:rsidR="49EC6D97" w:rsidRPr="55CB72C0">
              <w:rPr>
                <w:color w:val="auto"/>
              </w:rPr>
              <w:t xml:space="preserve"> food for students and </w:t>
            </w:r>
            <w:r w:rsidR="198CCF74" w:rsidRPr="55CB72C0">
              <w:rPr>
                <w:color w:val="auto"/>
              </w:rPr>
              <w:t>patients to replace un</w:t>
            </w:r>
            <w:r w:rsidR="7370C802" w:rsidRPr="55CB72C0">
              <w:rPr>
                <w:color w:val="auto"/>
              </w:rPr>
              <w:t xml:space="preserve">healthy imported </w:t>
            </w:r>
            <w:r w:rsidR="32853477" w:rsidRPr="55CB72C0">
              <w:rPr>
                <w:color w:val="auto"/>
              </w:rPr>
              <w:t>alternatives</w:t>
            </w:r>
            <w:r w:rsidR="7FF033C5" w:rsidRPr="55CB72C0">
              <w:rPr>
                <w:color w:val="auto"/>
              </w:rPr>
              <w:t>. T</w:t>
            </w:r>
            <w:r w:rsidR="5BAE0714" w:rsidRPr="55CB72C0">
              <w:rPr>
                <w:color w:val="auto"/>
              </w:rPr>
              <w:t xml:space="preserve">he program trained </w:t>
            </w:r>
            <w:r w:rsidR="1599C07E" w:rsidRPr="55CB72C0">
              <w:rPr>
                <w:color w:val="auto"/>
              </w:rPr>
              <w:t>three</w:t>
            </w:r>
            <w:r w:rsidR="5BAE0714" w:rsidRPr="55CB72C0">
              <w:rPr>
                <w:color w:val="auto"/>
              </w:rPr>
              <w:t xml:space="preserve"> staff at the Northern Provincial Hospital and 44 farmers (14 women) at </w:t>
            </w:r>
            <w:proofErr w:type="spellStart"/>
            <w:r w:rsidR="5BAE0714" w:rsidRPr="55CB72C0">
              <w:rPr>
                <w:color w:val="auto"/>
              </w:rPr>
              <w:t>Ambaebulu</w:t>
            </w:r>
            <w:proofErr w:type="spellEnd"/>
            <w:r w:rsidR="7FF033C5" w:rsidRPr="55CB72C0">
              <w:rPr>
                <w:color w:val="auto"/>
              </w:rPr>
              <w:t xml:space="preserve"> </w:t>
            </w:r>
            <w:r w:rsidR="5BAE0714" w:rsidRPr="55CB72C0">
              <w:rPr>
                <w:color w:val="auto"/>
              </w:rPr>
              <w:t xml:space="preserve">School in </w:t>
            </w:r>
            <w:proofErr w:type="spellStart"/>
            <w:r w:rsidR="5BAE0714" w:rsidRPr="55CB72C0">
              <w:rPr>
                <w:color w:val="auto"/>
              </w:rPr>
              <w:t>Penama</w:t>
            </w:r>
            <w:proofErr w:type="spellEnd"/>
            <w:r w:rsidR="7370C802" w:rsidRPr="55CB72C0">
              <w:rPr>
                <w:color w:val="auto"/>
              </w:rPr>
              <w:t>.</w:t>
            </w:r>
          </w:p>
          <w:p w14:paraId="4519867F" w14:textId="1B875E5A" w:rsidR="00C56023" w:rsidRPr="008E5A1D" w:rsidRDefault="6823DE41" w:rsidP="00EC2FAB">
            <w:pPr>
              <w:spacing w:after="120" w:line="240" w:lineRule="auto"/>
              <w:rPr>
                <w:color w:val="auto"/>
              </w:rPr>
            </w:pPr>
            <w:r w:rsidRPr="55CB72C0">
              <w:rPr>
                <w:color w:val="auto"/>
              </w:rPr>
              <w:t xml:space="preserve">Australia is supporting agricultural research to improve food security and productivity. </w:t>
            </w:r>
            <w:r w:rsidR="3FE79364" w:rsidRPr="55CB72C0">
              <w:rPr>
                <w:color w:val="auto"/>
              </w:rPr>
              <w:t xml:space="preserve">The </w:t>
            </w:r>
            <w:proofErr w:type="spellStart"/>
            <w:r w:rsidR="3FE79364" w:rsidRPr="55CB72C0">
              <w:rPr>
                <w:color w:val="auto"/>
              </w:rPr>
              <w:t>GfG</w:t>
            </w:r>
            <w:proofErr w:type="spellEnd"/>
            <w:r w:rsidR="3FE79364" w:rsidRPr="55CB72C0">
              <w:rPr>
                <w:color w:val="auto"/>
              </w:rPr>
              <w:t xml:space="preserve"> </w:t>
            </w:r>
            <w:r w:rsidRPr="55CB72C0">
              <w:rPr>
                <w:color w:val="auto"/>
              </w:rPr>
              <w:t xml:space="preserve">program supported the Vanuatu Agricultural Research and Technical </w:t>
            </w:r>
            <w:r w:rsidR="6483EB34" w:rsidRPr="55CB72C0">
              <w:rPr>
                <w:color w:val="auto"/>
              </w:rPr>
              <w:t>Centre</w:t>
            </w:r>
            <w:r w:rsidR="3FE79364" w:rsidRPr="55CB72C0">
              <w:rPr>
                <w:color w:val="auto"/>
              </w:rPr>
              <w:t>’s</w:t>
            </w:r>
            <w:r w:rsidRPr="55CB72C0">
              <w:rPr>
                <w:color w:val="auto"/>
              </w:rPr>
              <w:t xml:space="preserve"> </w:t>
            </w:r>
            <w:r w:rsidR="275FBC4B" w:rsidRPr="55CB72C0">
              <w:rPr>
                <w:color w:val="auto"/>
              </w:rPr>
              <w:t xml:space="preserve">(VARTC) </w:t>
            </w:r>
            <w:r w:rsidRPr="55CB72C0">
              <w:rPr>
                <w:color w:val="auto"/>
              </w:rPr>
              <w:t xml:space="preserve">first 10-year Strategic Research Plan. </w:t>
            </w:r>
            <w:r w:rsidR="522AAFEC" w:rsidRPr="55CB72C0">
              <w:rPr>
                <w:color w:val="auto"/>
              </w:rPr>
              <w:t xml:space="preserve">The Australian Centre for International Agricultural Research </w:t>
            </w:r>
            <w:r w:rsidRPr="55CB72C0">
              <w:rPr>
                <w:color w:val="auto"/>
              </w:rPr>
              <w:t>is partnering with VARTC to research more climate resilient and productive livestock husbandry, alongside business skills, to support smallholder farmers.</w:t>
            </w:r>
          </w:p>
        </w:tc>
      </w:tr>
    </w:tbl>
    <w:p w14:paraId="272E2751" w14:textId="77777777" w:rsidR="00DF3B7A" w:rsidRDefault="00DF3B7A" w:rsidP="00B5354E">
      <w:pPr>
        <w:pStyle w:val="Heading3"/>
      </w:pPr>
    </w:p>
    <w:p w14:paraId="05F58D34" w14:textId="77777777" w:rsidR="00DF3B7A" w:rsidRDefault="00DF3B7A">
      <w:pPr>
        <w:suppressAutoHyphens w:val="0"/>
        <w:spacing w:before="0" w:after="120" w:line="440" w:lineRule="atLeast"/>
        <w:rPr>
          <w:rFonts w:eastAsia="Times New Roman" w:cstheme="minorHAnsi"/>
          <w:b/>
          <w:iCs/>
          <w:color w:val="auto"/>
          <w:sz w:val="26"/>
          <w:szCs w:val="21"/>
        </w:rPr>
      </w:pPr>
      <w:r>
        <w:rPr>
          <w:color w:val="auto"/>
        </w:rPr>
        <w:br w:type="page"/>
      </w:r>
    </w:p>
    <w:p w14:paraId="3F2619AB" w14:textId="2E407BC5" w:rsidR="00AE2B7B" w:rsidRPr="008E5A1D" w:rsidRDefault="00AE2B7B" w:rsidP="00B5354E">
      <w:pPr>
        <w:pStyle w:val="Heading3"/>
      </w:pPr>
      <w:r w:rsidRPr="008E5A1D">
        <w:lastRenderedPageBreak/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3964"/>
        <w:gridCol w:w="6521"/>
      </w:tblGrid>
      <w:tr w:rsidR="008E5A1D" w:rsidRPr="008E5A1D" w14:paraId="6541DEB5" w14:textId="77777777" w:rsidTr="00ED22A3">
        <w:trPr>
          <w:cantSplit/>
          <w:tblHeader/>
        </w:trPr>
        <w:tc>
          <w:tcPr>
            <w:tcW w:w="3964" w:type="dxa"/>
            <w:shd w:val="clear" w:color="auto" w:fill="A2DCD1" w:themeFill="accent1" w:themeFillTint="99"/>
            <w:vAlign w:val="bottom"/>
          </w:tcPr>
          <w:p w14:paraId="7B68B645" w14:textId="39A83BEA" w:rsidR="00CA5021" w:rsidRPr="008E5A1D" w:rsidRDefault="00A96364" w:rsidP="00EC2FAB">
            <w:pPr>
              <w:widowControl w:val="0"/>
              <w:spacing w:after="120" w:line="240" w:lineRule="auto"/>
              <w:jc w:val="center"/>
              <w:rPr>
                <w:color w:val="auto"/>
              </w:rPr>
            </w:pPr>
            <w:r w:rsidRPr="008E5A1D">
              <w:rPr>
                <w:b/>
                <w:color w:val="auto"/>
              </w:rPr>
              <w:t xml:space="preserve">Key Results </w:t>
            </w:r>
            <w:r w:rsidR="00CA5021" w:rsidRPr="008E5A1D">
              <w:rPr>
                <w:b/>
                <w:color w:val="auto"/>
              </w:rPr>
              <w:t>Indicator</w:t>
            </w:r>
            <w:r w:rsidRPr="008E5A1D">
              <w:rPr>
                <w:b/>
                <w:color w:val="auto"/>
              </w:rPr>
              <w:t>s</w:t>
            </w:r>
          </w:p>
        </w:tc>
        <w:tc>
          <w:tcPr>
            <w:tcW w:w="6521" w:type="dxa"/>
            <w:shd w:val="clear" w:color="auto" w:fill="A2DCD1" w:themeFill="accent1" w:themeFillTint="99"/>
            <w:vAlign w:val="bottom"/>
          </w:tcPr>
          <w:p w14:paraId="7B256934" w14:textId="69DE6F90" w:rsidR="00CA5021" w:rsidRPr="008E5A1D" w:rsidRDefault="00AD19F7" w:rsidP="00EC2FAB">
            <w:pPr>
              <w:widowControl w:val="0"/>
              <w:spacing w:after="120" w:line="240" w:lineRule="auto"/>
              <w:jc w:val="center"/>
              <w:rPr>
                <w:color w:val="auto"/>
              </w:rPr>
            </w:pPr>
            <w:r w:rsidRPr="008E5A1D">
              <w:rPr>
                <w:b/>
                <w:color w:val="auto"/>
              </w:rPr>
              <w:t>Progress/Result</w:t>
            </w:r>
          </w:p>
        </w:tc>
      </w:tr>
      <w:tr w:rsidR="008E5A1D" w:rsidRPr="008E5A1D" w14:paraId="564E6F58" w14:textId="77777777" w:rsidTr="5B7299E3">
        <w:trPr>
          <w:cantSplit/>
        </w:trPr>
        <w:tc>
          <w:tcPr>
            <w:tcW w:w="3964" w:type="dxa"/>
          </w:tcPr>
          <w:p w14:paraId="234C1CE4" w14:textId="535F1E0F" w:rsidR="00C56023" w:rsidRPr="008E5A1D" w:rsidRDefault="00C56023" w:rsidP="00EC2FAB">
            <w:pPr>
              <w:spacing w:after="120" w:line="240" w:lineRule="auto"/>
              <w:rPr>
                <w:rFonts w:ascii="Calibri Light" w:eastAsia="Calibri Light" w:hAnsi="Calibri Light" w:cs="Calibri Light"/>
                <w:color w:val="auto"/>
              </w:rPr>
            </w:pPr>
            <w:bookmarkStart w:id="5" w:name="_Hlk142940069"/>
            <w:r w:rsidRPr="008E5A1D">
              <w:rPr>
                <w:color w:val="auto"/>
              </w:rPr>
              <w:t>Policy and technical advice on sustainable stimulus measures and longer-term economic recovery (with examples)</w:t>
            </w:r>
          </w:p>
        </w:tc>
        <w:tc>
          <w:tcPr>
            <w:tcW w:w="6521" w:type="dxa"/>
          </w:tcPr>
          <w:p w14:paraId="52F5BEE9" w14:textId="63985934" w:rsidR="005A15FC" w:rsidRPr="008E5A1D" w:rsidRDefault="00326190" w:rsidP="00EC2FAB">
            <w:pPr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In 2022-23, Australia provided Vanuatu with a $25 million economic support package which is supporting economic growth and addressing priority sectors </w:t>
            </w:r>
            <w:r w:rsidR="009855C5">
              <w:rPr>
                <w:color w:val="auto"/>
              </w:rPr>
              <w:t>(</w:t>
            </w:r>
            <w:r w:rsidRPr="008E5A1D">
              <w:rPr>
                <w:color w:val="auto"/>
              </w:rPr>
              <w:t>infrastructure, trade, and agriculture</w:t>
            </w:r>
            <w:r w:rsidR="009855C5">
              <w:rPr>
                <w:color w:val="auto"/>
              </w:rPr>
              <w:t>)</w:t>
            </w:r>
            <w:r w:rsidRPr="008E5A1D">
              <w:rPr>
                <w:color w:val="auto"/>
              </w:rPr>
              <w:t xml:space="preserve">. </w:t>
            </w:r>
            <w:r w:rsidR="00035FB1" w:rsidRPr="008E5A1D">
              <w:rPr>
                <w:color w:val="auto"/>
              </w:rPr>
              <w:t xml:space="preserve">This package includes direct budget </w:t>
            </w:r>
            <w:r w:rsidR="00A57121" w:rsidRPr="008E5A1D">
              <w:rPr>
                <w:color w:val="auto"/>
              </w:rPr>
              <w:t xml:space="preserve">funding to support the </w:t>
            </w:r>
            <w:r w:rsidR="00742DC8">
              <w:rPr>
                <w:color w:val="auto"/>
              </w:rPr>
              <w:t>G</w:t>
            </w:r>
            <w:r w:rsidR="00A2799A">
              <w:rPr>
                <w:color w:val="auto"/>
              </w:rPr>
              <w:t>overnment of Vanuatu (</w:t>
            </w:r>
            <w:proofErr w:type="spellStart"/>
            <w:r w:rsidR="00A2799A">
              <w:rPr>
                <w:color w:val="auto"/>
              </w:rPr>
              <w:t>GoV</w:t>
            </w:r>
            <w:proofErr w:type="spellEnd"/>
            <w:r w:rsidR="00A2799A">
              <w:rPr>
                <w:color w:val="auto"/>
              </w:rPr>
              <w:t>)</w:t>
            </w:r>
            <w:r w:rsidR="00742DC8">
              <w:rPr>
                <w:color w:val="auto"/>
              </w:rPr>
              <w:t xml:space="preserve"> </w:t>
            </w:r>
            <w:r w:rsidR="00A57121" w:rsidRPr="008E5A1D">
              <w:rPr>
                <w:color w:val="auto"/>
              </w:rPr>
              <w:t xml:space="preserve">implement </w:t>
            </w:r>
            <w:r w:rsidR="00BF7196" w:rsidRPr="008E5A1D">
              <w:rPr>
                <w:color w:val="auto"/>
              </w:rPr>
              <w:t xml:space="preserve">economic and financial </w:t>
            </w:r>
            <w:r w:rsidR="00FE1630" w:rsidRPr="008E5A1D">
              <w:rPr>
                <w:color w:val="auto"/>
              </w:rPr>
              <w:t xml:space="preserve">reforms </w:t>
            </w:r>
            <w:r w:rsidR="00A57121" w:rsidRPr="008E5A1D">
              <w:rPr>
                <w:color w:val="auto"/>
              </w:rPr>
              <w:t>under a Joint Policy Action Matrix, th</w:t>
            </w:r>
            <w:r w:rsidR="006078F5" w:rsidRPr="008E5A1D">
              <w:rPr>
                <w:color w:val="auto"/>
              </w:rPr>
              <w:t>e</w:t>
            </w:r>
            <w:r w:rsidR="00A57121" w:rsidRPr="008E5A1D">
              <w:rPr>
                <w:color w:val="auto"/>
              </w:rPr>
              <w:t xml:space="preserve"> first of its kind in Vanuatu.</w:t>
            </w:r>
            <w:r w:rsidR="00035FB1" w:rsidRPr="008E5A1D">
              <w:rPr>
                <w:color w:val="auto"/>
              </w:rPr>
              <w:t xml:space="preserve"> </w:t>
            </w:r>
          </w:p>
          <w:p w14:paraId="5A50515E" w14:textId="4E3D8C62" w:rsidR="003F1C48" w:rsidRPr="008E5A1D" w:rsidRDefault="00945649" w:rsidP="00EC2FAB">
            <w:pPr>
              <w:spacing w:after="12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The </w:t>
            </w:r>
            <w:proofErr w:type="spellStart"/>
            <w:r w:rsidR="00E04A9F" w:rsidRPr="008E5A1D">
              <w:rPr>
                <w:color w:val="auto"/>
              </w:rPr>
              <w:t>G</w:t>
            </w:r>
            <w:r w:rsidR="002A1E39">
              <w:rPr>
                <w:color w:val="auto"/>
              </w:rPr>
              <w:t>f</w:t>
            </w:r>
            <w:r w:rsidR="00E04A9F" w:rsidRPr="008E5A1D">
              <w:rPr>
                <w:color w:val="auto"/>
              </w:rPr>
              <w:t>G</w:t>
            </w:r>
            <w:proofErr w:type="spellEnd"/>
            <w:r w:rsidR="00E04A9F" w:rsidRPr="008E5A1D">
              <w:rPr>
                <w:color w:val="auto"/>
              </w:rPr>
              <w:t xml:space="preserve"> program provides technical support to the </w:t>
            </w:r>
            <w:proofErr w:type="spellStart"/>
            <w:r w:rsidR="002A1E39">
              <w:rPr>
                <w:color w:val="auto"/>
              </w:rPr>
              <w:t>GoV</w:t>
            </w:r>
            <w:proofErr w:type="spellEnd"/>
            <w:r w:rsidR="002A1E39">
              <w:rPr>
                <w:color w:val="auto"/>
              </w:rPr>
              <w:t xml:space="preserve"> </w:t>
            </w:r>
            <w:r w:rsidR="00E04A9F" w:rsidRPr="008E5A1D">
              <w:rPr>
                <w:color w:val="auto"/>
              </w:rPr>
              <w:t xml:space="preserve">to strengthen public financial management and procurement. In </w:t>
            </w:r>
            <w:r w:rsidR="00FD00FF" w:rsidRPr="008E5A1D">
              <w:rPr>
                <w:color w:val="auto"/>
              </w:rPr>
              <w:t>20</w:t>
            </w:r>
            <w:r w:rsidR="00E04A9F" w:rsidRPr="008E5A1D">
              <w:rPr>
                <w:color w:val="auto"/>
              </w:rPr>
              <w:t>22</w:t>
            </w:r>
            <w:r w:rsidR="00FD00FF" w:rsidRPr="008E5A1D">
              <w:rPr>
                <w:color w:val="auto"/>
              </w:rPr>
              <w:t>-</w:t>
            </w:r>
            <w:r w:rsidR="00E04A9F" w:rsidRPr="008E5A1D">
              <w:rPr>
                <w:color w:val="auto"/>
              </w:rPr>
              <w:t xml:space="preserve">23, </w:t>
            </w:r>
            <w:proofErr w:type="spellStart"/>
            <w:r w:rsidR="00E04A9F" w:rsidRPr="008E5A1D">
              <w:rPr>
                <w:color w:val="auto"/>
              </w:rPr>
              <w:t>G</w:t>
            </w:r>
            <w:r w:rsidR="002A1E39">
              <w:rPr>
                <w:color w:val="auto"/>
              </w:rPr>
              <w:t>f</w:t>
            </w:r>
            <w:r w:rsidR="00E04A9F" w:rsidRPr="008E5A1D">
              <w:rPr>
                <w:color w:val="auto"/>
              </w:rPr>
              <w:t>G</w:t>
            </w:r>
            <w:proofErr w:type="spellEnd"/>
            <w:r w:rsidR="00E04A9F" w:rsidRPr="008E5A1D">
              <w:rPr>
                <w:color w:val="auto"/>
              </w:rPr>
              <w:t xml:space="preserve"> supported the overdue national financial statements (2017-21) and ensure </w:t>
            </w:r>
            <w:r w:rsidR="00B11A13">
              <w:rPr>
                <w:color w:val="auto"/>
              </w:rPr>
              <w:t xml:space="preserve">that the </w:t>
            </w:r>
            <w:proofErr w:type="spellStart"/>
            <w:r w:rsidR="00B11A13">
              <w:rPr>
                <w:color w:val="auto"/>
              </w:rPr>
              <w:t>GoV</w:t>
            </w:r>
            <w:proofErr w:type="spellEnd"/>
            <w:r w:rsidR="00B11A13">
              <w:rPr>
                <w:color w:val="auto"/>
              </w:rPr>
              <w:t xml:space="preserve"> </w:t>
            </w:r>
            <w:r w:rsidR="00E04A9F" w:rsidRPr="008E5A1D">
              <w:rPr>
                <w:color w:val="auto"/>
              </w:rPr>
              <w:t xml:space="preserve">2022 statement </w:t>
            </w:r>
            <w:r w:rsidR="004B6CC0">
              <w:rPr>
                <w:color w:val="auto"/>
              </w:rPr>
              <w:t>were</w:t>
            </w:r>
            <w:r w:rsidR="00E04A9F" w:rsidRPr="008E5A1D">
              <w:rPr>
                <w:color w:val="auto"/>
              </w:rPr>
              <w:t xml:space="preserve"> submitted on time. </w:t>
            </w:r>
            <w:r w:rsidR="00A0187B" w:rsidRPr="008E5A1D">
              <w:rPr>
                <w:color w:val="auto"/>
              </w:rPr>
              <w:t>Th</w:t>
            </w:r>
            <w:r w:rsidR="004B623D">
              <w:rPr>
                <w:color w:val="auto"/>
              </w:rPr>
              <w:t xml:space="preserve">is is </w:t>
            </w:r>
            <w:r w:rsidR="00A0187B" w:rsidRPr="008E5A1D">
              <w:rPr>
                <w:color w:val="auto"/>
              </w:rPr>
              <w:t>driv</w:t>
            </w:r>
            <w:r w:rsidR="004B623D">
              <w:rPr>
                <w:color w:val="auto"/>
              </w:rPr>
              <w:t>ing</w:t>
            </w:r>
            <w:r w:rsidR="00E04A9F" w:rsidRPr="008E5A1D">
              <w:rPr>
                <w:color w:val="auto"/>
              </w:rPr>
              <w:t xml:space="preserve"> increased transparency and accountability.</w:t>
            </w:r>
          </w:p>
        </w:tc>
      </w:tr>
      <w:tr w:rsidR="008E5A1D" w:rsidRPr="008E5A1D" w14:paraId="1EAE2D66" w14:textId="77777777" w:rsidTr="5B7299E3">
        <w:trPr>
          <w:cantSplit/>
        </w:trPr>
        <w:tc>
          <w:tcPr>
            <w:tcW w:w="3964" w:type="dxa"/>
          </w:tcPr>
          <w:p w14:paraId="65838CB2" w14:textId="416D93A9" w:rsidR="00C56023" w:rsidRPr="008E5A1D" w:rsidRDefault="00C5602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bookmarkStart w:id="6" w:name="_Hlk142940798"/>
            <w:bookmarkEnd w:id="5"/>
            <w:r w:rsidRPr="008E5A1D">
              <w:rPr>
                <w:color w:val="auto"/>
              </w:rPr>
              <w:t>Number of women entrepreneurs provided with financial and/or business development services</w:t>
            </w:r>
          </w:p>
        </w:tc>
        <w:tc>
          <w:tcPr>
            <w:tcW w:w="6521" w:type="dxa"/>
          </w:tcPr>
          <w:p w14:paraId="6408C0CA" w14:textId="62BA1C0E" w:rsidR="00ED4CD6" w:rsidRPr="008E5A1D" w:rsidRDefault="776580F8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55CB72C0">
              <w:rPr>
                <w:color w:val="auto"/>
              </w:rPr>
              <w:t>Since 2019, Australia has supported the Vanuatu Chamber of Commerce and Industry (VCCI)</w:t>
            </w:r>
            <w:r w:rsidR="4DF1B246" w:rsidRPr="55CB72C0">
              <w:rPr>
                <w:color w:val="auto"/>
              </w:rPr>
              <w:t xml:space="preserve"> </w:t>
            </w:r>
            <w:r w:rsidR="6B080CED" w:rsidRPr="55CB72C0">
              <w:rPr>
                <w:color w:val="auto"/>
              </w:rPr>
              <w:t xml:space="preserve">to provide </w:t>
            </w:r>
            <w:r w:rsidR="0EE94BC1" w:rsidRPr="55CB72C0">
              <w:rPr>
                <w:color w:val="auto"/>
              </w:rPr>
              <w:t xml:space="preserve">business and financial skills </w:t>
            </w:r>
            <w:r w:rsidRPr="55CB72C0">
              <w:rPr>
                <w:color w:val="auto"/>
              </w:rPr>
              <w:t>training and capacity-building</w:t>
            </w:r>
            <w:r w:rsidR="59BCE50C" w:rsidRPr="55CB72C0">
              <w:rPr>
                <w:color w:val="auto"/>
              </w:rPr>
              <w:t xml:space="preserve"> to women entrepreneurs</w:t>
            </w:r>
            <w:r w:rsidR="6C18C5D6" w:rsidRPr="55CB72C0">
              <w:rPr>
                <w:color w:val="auto"/>
              </w:rPr>
              <w:t>.</w:t>
            </w:r>
            <w:r w:rsidR="5DEAF24D" w:rsidRPr="55CB72C0">
              <w:rPr>
                <w:color w:val="auto"/>
              </w:rPr>
              <w:t xml:space="preserve"> </w:t>
            </w:r>
            <w:r w:rsidR="36A223D5" w:rsidRPr="55CB72C0">
              <w:rPr>
                <w:color w:val="auto"/>
              </w:rPr>
              <w:t xml:space="preserve">In the reporting period, the </w:t>
            </w:r>
            <w:r w:rsidR="5DEAF24D" w:rsidRPr="55CB72C0">
              <w:rPr>
                <w:color w:val="auto"/>
              </w:rPr>
              <w:t>VCCI</w:t>
            </w:r>
            <w:r w:rsidR="01DBFAE6" w:rsidRPr="55CB72C0">
              <w:rPr>
                <w:color w:val="auto"/>
              </w:rPr>
              <w:t xml:space="preserve"> train</w:t>
            </w:r>
            <w:r w:rsidR="5DEAF24D" w:rsidRPr="55CB72C0">
              <w:rPr>
                <w:color w:val="auto"/>
              </w:rPr>
              <w:t>ed</w:t>
            </w:r>
            <w:r w:rsidR="01DBFAE6" w:rsidRPr="55CB72C0">
              <w:rPr>
                <w:color w:val="auto"/>
              </w:rPr>
              <w:t xml:space="preserve"> </w:t>
            </w:r>
            <w:r w:rsidR="438CD920" w:rsidRPr="55CB72C0">
              <w:rPr>
                <w:color w:val="auto"/>
              </w:rPr>
              <w:t>1</w:t>
            </w:r>
            <w:r w:rsidR="1599C07E" w:rsidRPr="55CB72C0">
              <w:rPr>
                <w:color w:val="auto"/>
              </w:rPr>
              <w:t>,</w:t>
            </w:r>
            <w:r w:rsidR="438CD920" w:rsidRPr="55CB72C0">
              <w:rPr>
                <w:color w:val="auto"/>
              </w:rPr>
              <w:t>887</w:t>
            </w:r>
            <w:r w:rsidRPr="55CB72C0">
              <w:rPr>
                <w:color w:val="auto"/>
              </w:rPr>
              <w:t xml:space="preserve"> </w:t>
            </w:r>
            <w:r w:rsidR="438CD920" w:rsidRPr="55CB72C0">
              <w:rPr>
                <w:color w:val="auto"/>
              </w:rPr>
              <w:t>women</w:t>
            </w:r>
            <w:r w:rsidR="36A223D5" w:rsidRPr="55CB72C0">
              <w:rPr>
                <w:color w:val="auto"/>
              </w:rPr>
              <w:t>.</w:t>
            </w:r>
          </w:p>
          <w:p w14:paraId="02B96D99" w14:textId="7D18923E" w:rsidR="003F1C48" w:rsidRPr="008E5A1D" w:rsidRDefault="003E1E8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Th</w:t>
            </w:r>
            <w:r w:rsidR="005620B8">
              <w:rPr>
                <w:color w:val="auto"/>
              </w:rPr>
              <w:t xml:space="preserve">rough VSP, Australia </w:t>
            </w:r>
            <w:r w:rsidR="00843541">
              <w:rPr>
                <w:color w:val="auto"/>
              </w:rPr>
              <w:t xml:space="preserve">facilitated </w:t>
            </w:r>
            <w:r w:rsidR="00ED4CD6" w:rsidRPr="008E5A1D">
              <w:rPr>
                <w:color w:val="auto"/>
              </w:rPr>
              <w:t>423 women, including 13 with a disability, with skills training, coaching and professional development activities to build businesses, increas</w:t>
            </w:r>
            <w:r w:rsidR="00A2799A">
              <w:rPr>
                <w:color w:val="auto"/>
              </w:rPr>
              <w:t xml:space="preserve">e </w:t>
            </w:r>
            <w:r w:rsidR="00ED4CD6" w:rsidRPr="008E5A1D">
              <w:rPr>
                <w:color w:val="auto"/>
              </w:rPr>
              <w:t>their livelihoods and income generating opportunities.</w:t>
            </w:r>
          </w:p>
        </w:tc>
      </w:tr>
      <w:tr w:rsidR="008E5A1D" w:rsidRPr="008E5A1D" w14:paraId="4DF45926" w14:textId="77777777" w:rsidTr="5B7299E3">
        <w:trPr>
          <w:cantSplit/>
        </w:trPr>
        <w:tc>
          <w:tcPr>
            <w:tcW w:w="3964" w:type="dxa"/>
          </w:tcPr>
          <w:p w14:paraId="0B1E2DC4" w14:textId="34FCE35C" w:rsidR="00C56023" w:rsidRPr="008E5A1D" w:rsidRDefault="00C5602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bookmarkStart w:id="7" w:name="_Hlk142965884"/>
            <w:bookmarkStart w:id="8" w:name="_Hlk142966919"/>
            <w:bookmarkEnd w:id="6"/>
            <w:r w:rsidRPr="008E5A1D">
              <w:rPr>
                <w:color w:val="auto"/>
              </w:rPr>
              <w:t>Training provided to increase livelihood and income generating opportunities</w:t>
            </w:r>
            <w:bookmarkEnd w:id="7"/>
          </w:p>
        </w:tc>
        <w:tc>
          <w:tcPr>
            <w:tcW w:w="6521" w:type="dxa"/>
          </w:tcPr>
          <w:p w14:paraId="1FCE71E6" w14:textId="0F9129F6" w:rsidR="003F1C48" w:rsidRPr="008E5A1D" w:rsidRDefault="00442D6F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5B7299E3">
              <w:rPr>
                <w:color w:val="auto"/>
              </w:rPr>
              <w:t xml:space="preserve">Australia upskilled 1,057 people (423 </w:t>
            </w:r>
            <w:r w:rsidR="00F74C71" w:rsidRPr="5B7299E3">
              <w:rPr>
                <w:color w:val="auto"/>
              </w:rPr>
              <w:t>women</w:t>
            </w:r>
            <w:r w:rsidRPr="5B7299E3">
              <w:rPr>
                <w:color w:val="auto"/>
              </w:rPr>
              <w:t xml:space="preserve"> </w:t>
            </w:r>
            <w:r w:rsidR="00F74C71" w:rsidRPr="5B7299E3">
              <w:rPr>
                <w:color w:val="auto"/>
              </w:rPr>
              <w:t>and</w:t>
            </w:r>
            <w:r w:rsidRPr="5B7299E3">
              <w:rPr>
                <w:color w:val="auto"/>
              </w:rPr>
              <w:t xml:space="preserve"> 634 m</w:t>
            </w:r>
            <w:r w:rsidR="00F74C71" w:rsidRPr="5B7299E3">
              <w:rPr>
                <w:color w:val="auto"/>
              </w:rPr>
              <w:t>en</w:t>
            </w:r>
            <w:r w:rsidRPr="5B7299E3">
              <w:rPr>
                <w:color w:val="auto"/>
              </w:rPr>
              <w:t>; including 50</w:t>
            </w:r>
            <w:r w:rsidR="00FD00FF" w:rsidRPr="5B7299E3">
              <w:rPr>
                <w:color w:val="auto"/>
              </w:rPr>
              <w:t> </w:t>
            </w:r>
            <w:r w:rsidRPr="5B7299E3">
              <w:rPr>
                <w:color w:val="auto"/>
              </w:rPr>
              <w:t xml:space="preserve">people with disabilities) </w:t>
            </w:r>
            <w:r w:rsidR="00F74C71" w:rsidRPr="5B7299E3">
              <w:rPr>
                <w:color w:val="auto"/>
              </w:rPr>
              <w:t xml:space="preserve">in </w:t>
            </w:r>
            <w:r w:rsidRPr="5B7299E3">
              <w:rPr>
                <w:color w:val="auto"/>
              </w:rPr>
              <w:t>agriculture, construction, plumbing, handicrafts, and tourism</w:t>
            </w:r>
            <w:r w:rsidR="00F74C71" w:rsidRPr="5B7299E3">
              <w:rPr>
                <w:color w:val="auto"/>
              </w:rPr>
              <w:t xml:space="preserve"> sectors</w:t>
            </w:r>
            <w:r w:rsidRPr="5B7299E3">
              <w:rPr>
                <w:color w:val="auto"/>
              </w:rPr>
              <w:t>, to support livelihoods and grow businesses.</w:t>
            </w:r>
          </w:p>
        </w:tc>
      </w:tr>
      <w:bookmarkEnd w:id="8"/>
      <w:tr w:rsidR="008E5A1D" w:rsidRPr="008E5A1D" w14:paraId="51A15CF9" w14:textId="77777777" w:rsidTr="5B7299E3">
        <w:trPr>
          <w:cantSplit/>
        </w:trPr>
        <w:tc>
          <w:tcPr>
            <w:tcW w:w="3964" w:type="dxa"/>
            <w:shd w:val="clear" w:color="auto" w:fill="auto"/>
          </w:tcPr>
          <w:p w14:paraId="3C75C9F9" w14:textId="6F7114F8" w:rsidR="00C56023" w:rsidRPr="008E5A1D" w:rsidRDefault="00C5602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Examples of partnering with the private sector and other partners to ensure supply lines are open</w:t>
            </w:r>
          </w:p>
        </w:tc>
        <w:tc>
          <w:tcPr>
            <w:tcW w:w="6521" w:type="dxa"/>
            <w:shd w:val="clear" w:color="auto" w:fill="auto"/>
          </w:tcPr>
          <w:p w14:paraId="0A00D49D" w14:textId="4E6CDCD9" w:rsidR="007E735C" w:rsidRPr="008E5A1D" w:rsidRDefault="71DA1B56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5B7299E3">
              <w:rPr>
                <w:color w:val="auto"/>
              </w:rPr>
              <w:t xml:space="preserve">Australia is supporting the ongoing expansion of Vanuatu’s online trade facilitation portal, with Vanuatu now a </w:t>
            </w:r>
            <w:r w:rsidR="315E40BC" w:rsidRPr="5B7299E3">
              <w:rPr>
                <w:color w:val="auto"/>
              </w:rPr>
              <w:t xml:space="preserve">regional </w:t>
            </w:r>
            <w:r w:rsidRPr="5B7299E3">
              <w:rPr>
                <w:color w:val="auto"/>
              </w:rPr>
              <w:t xml:space="preserve">leader in the Pacific. The portal makes trade faster, easier, </w:t>
            </w:r>
            <w:r w:rsidR="315E40BC" w:rsidRPr="5B7299E3">
              <w:rPr>
                <w:color w:val="auto"/>
              </w:rPr>
              <w:t>cheaper,</w:t>
            </w:r>
            <w:r w:rsidRPr="5B7299E3">
              <w:rPr>
                <w:color w:val="auto"/>
              </w:rPr>
              <w:t xml:space="preserve"> and more reliable by digitising paper-based processes. Supporting the agenda to keep supply chains open</w:t>
            </w:r>
            <w:r w:rsidR="5DD9CBEA" w:rsidRPr="5B7299E3">
              <w:rPr>
                <w:color w:val="auto"/>
              </w:rPr>
              <w:t>,</w:t>
            </w:r>
            <w:r w:rsidRPr="5B7299E3">
              <w:rPr>
                <w:color w:val="auto"/>
              </w:rPr>
              <w:t xml:space="preserve"> </w:t>
            </w:r>
            <w:r w:rsidR="13C39530" w:rsidRPr="5B7299E3">
              <w:rPr>
                <w:color w:val="auto"/>
              </w:rPr>
              <w:t>t</w:t>
            </w:r>
            <w:r w:rsidRPr="5B7299E3">
              <w:rPr>
                <w:color w:val="auto"/>
              </w:rPr>
              <w:t xml:space="preserve">he </w:t>
            </w:r>
            <w:proofErr w:type="spellStart"/>
            <w:r w:rsidR="1A30BCB1" w:rsidRPr="5B7299E3">
              <w:rPr>
                <w:color w:val="auto"/>
              </w:rPr>
              <w:t>GoV</w:t>
            </w:r>
            <w:proofErr w:type="spellEnd"/>
            <w:r w:rsidR="1A30BCB1" w:rsidRPr="5B7299E3">
              <w:rPr>
                <w:color w:val="auto"/>
              </w:rPr>
              <w:t xml:space="preserve"> </w:t>
            </w:r>
            <w:r w:rsidRPr="5B7299E3">
              <w:rPr>
                <w:color w:val="auto"/>
              </w:rPr>
              <w:t xml:space="preserve">allocated funding in </w:t>
            </w:r>
            <w:r w:rsidR="13C39530" w:rsidRPr="5B7299E3">
              <w:rPr>
                <w:color w:val="auto"/>
              </w:rPr>
              <w:t>its</w:t>
            </w:r>
            <w:r w:rsidRPr="5B7299E3">
              <w:rPr>
                <w:color w:val="auto"/>
              </w:rPr>
              <w:t xml:space="preserve"> own 2023 budget, demonstrating buy-in and ownership.</w:t>
            </w:r>
          </w:p>
          <w:p w14:paraId="0DD22350" w14:textId="03796FD0" w:rsidR="003F1C48" w:rsidRPr="008E5A1D" w:rsidRDefault="088FABFB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  <w:shd w:val="clear" w:color="auto" w:fill="FF00FF"/>
              </w:rPr>
            </w:pPr>
            <w:bookmarkStart w:id="9" w:name="_Hlk142550125"/>
            <w:r w:rsidRPr="008E5A1D">
              <w:rPr>
                <w:color w:val="auto"/>
              </w:rPr>
              <w:t xml:space="preserve">Australia is </w:t>
            </w:r>
            <w:r w:rsidR="3F829B2E" w:rsidRPr="008E5A1D">
              <w:rPr>
                <w:color w:val="auto"/>
              </w:rPr>
              <w:t xml:space="preserve">strengthening </w:t>
            </w:r>
            <w:r w:rsidR="3119296E" w:rsidRPr="008E5A1D">
              <w:rPr>
                <w:color w:val="auto"/>
              </w:rPr>
              <w:t>kava value chains</w:t>
            </w:r>
            <w:r w:rsidR="7F2F3B7A">
              <w:rPr>
                <w:color w:val="auto"/>
              </w:rPr>
              <w:t xml:space="preserve">, including </w:t>
            </w:r>
            <w:r w:rsidR="49FE5614">
              <w:rPr>
                <w:color w:val="auto"/>
              </w:rPr>
              <w:t xml:space="preserve">a </w:t>
            </w:r>
            <w:r w:rsidR="3119296E" w:rsidRPr="008E5A1D">
              <w:rPr>
                <w:color w:val="auto"/>
              </w:rPr>
              <w:t xml:space="preserve">pilot </w:t>
            </w:r>
            <w:r w:rsidR="39A0EF87">
              <w:rPr>
                <w:color w:val="auto"/>
              </w:rPr>
              <w:t xml:space="preserve">which is </w:t>
            </w:r>
            <w:r w:rsidR="14F5A0E1">
              <w:rPr>
                <w:color w:val="auto"/>
              </w:rPr>
              <w:t>opening</w:t>
            </w:r>
            <w:r w:rsidR="3119296E" w:rsidRPr="008E5A1D">
              <w:rPr>
                <w:color w:val="auto"/>
              </w:rPr>
              <w:t xml:space="preserve"> a new export market, with </w:t>
            </w:r>
            <w:r w:rsidR="06E211CE" w:rsidRPr="008E5A1D">
              <w:rPr>
                <w:color w:val="auto"/>
              </w:rPr>
              <w:t>38</w:t>
            </w:r>
            <w:r w:rsidR="6DE23B91" w:rsidRPr="008E5A1D">
              <w:rPr>
                <w:color w:val="auto"/>
              </w:rPr>
              <w:t xml:space="preserve"> </w:t>
            </w:r>
            <w:r w:rsidR="3119296E" w:rsidRPr="008E5A1D">
              <w:rPr>
                <w:color w:val="auto"/>
              </w:rPr>
              <w:t>tonnes exported to Australia since</w:t>
            </w:r>
            <w:r w:rsidR="3F829B2E" w:rsidRPr="008E5A1D">
              <w:rPr>
                <w:color w:val="auto"/>
              </w:rPr>
              <w:t xml:space="preserve"> </w:t>
            </w:r>
            <w:r w:rsidR="06E211CE" w:rsidRPr="008E5A1D">
              <w:rPr>
                <w:color w:val="auto"/>
              </w:rPr>
              <w:t>December 2021</w:t>
            </w:r>
            <w:r w:rsidR="3119296E" w:rsidRPr="008E5A1D">
              <w:rPr>
                <w:color w:val="auto"/>
              </w:rPr>
              <w:t xml:space="preserve">. </w:t>
            </w:r>
            <w:r w:rsidR="298061B5" w:rsidRPr="008E5A1D">
              <w:rPr>
                <w:color w:val="auto"/>
              </w:rPr>
              <w:t>PHAMA Plus is assisting</w:t>
            </w:r>
            <w:r w:rsidR="5D5DC493" w:rsidRPr="008E5A1D">
              <w:rPr>
                <w:color w:val="auto"/>
              </w:rPr>
              <w:t xml:space="preserve"> </w:t>
            </w:r>
            <w:r w:rsidR="7712A5F8" w:rsidRPr="008E5A1D">
              <w:rPr>
                <w:color w:val="auto"/>
              </w:rPr>
              <w:t>smallholder</w:t>
            </w:r>
            <w:r w:rsidR="5D5DC493" w:rsidRPr="008E5A1D">
              <w:rPr>
                <w:color w:val="auto"/>
              </w:rPr>
              <w:t xml:space="preserve"> producers increase quality and value</w:t>
            </w:r>
            <w:r w:rsidR="3F829B2E" w:rsidRPr="008E5A1D">
              <w:rPr>
                <w:color w:val="auto"/>
              </w:rPr>
              <w:t>; a</w:t>
            </w:r>
            <w:r w:rsidR="5D5DC493" w:rsidRPr="008E5A1D">
              <w:rPr>
                <w:color w:val="auto"/>
              </w:rPr>
              <w:t>nd</w:t>
            </w:r>
            <w:r w:rsidR="1F4FF737" w:rsidRPr="008E5A1D">
              <w:rPr>
                <w:color w:val="auto"/>
              </w:rPr>
              <w:t xml:space="preserve"> is </w:t>
            </w:r>
            <w:r w:rsidR="5D5DC493" w:rsidRPr="008E5A1D">
              <w:rPr>
                <w:color w:val="auto"/>
              </w:rPr>
              <w:t>working with</w:t>
            </w:r>
            <w:r w:rsidR="1F4FF737" w:rsidRPr="008E5A1D">
              <w:rPr>
                <w:color w:val="auto"/>
              </w:rPr>
              <w:t xml:space="preserve"> wholesalers to improve packaging and labelling to </w:t>
            </w:r>
            <w:r w:rsidR="00E35600" w:rsidRPr="008E5A1D">
              <w:rPr>
                <w:color w:val="auto"/>
              </w:rPr>
              <w:t>increase sales.</w:t>
            </w:r>
            <w:r w:rsidR="7CCA6558" w:rsidRPr="008E5A1D">
              <w:rPr>
                <w:color w:val="auto"/>
                <w:shd w:val="clear" w:color="auto" w:fill="FF00FF"/>
              </w:rPr>
              <w:t xml:space="preserve"> </w:t>
            </w:r>
            <w:bookmarkEnd w:id="9"/>
          </w:p>
        </w:tc>
      </w:tr>
      <w:tr w:rsidR="008E5A1D" w:rsidRPr="008E5A1D" w14:paraId="74A01CD4" w14:textId="77777777" w:rsidTr="5B7299E3">
        <w:trPr>
          <w:cantSplit/>
          <w:trHeight w:val="300"/>
        </w:trPr>
        <w:tc>
          <w:tcPr>
            <w:tcW w:w="3964" w:type="dxa"/>
            <w:shd w:val="clear" w:color="auto" w:fill="auto"/>
          </w:tcPr>
          <w:p w14:paraId="7DF5CFAD" w14:textId="52D5B0EA" w:rsidR="00C56023" w:rsidRPr="008E5A1D" w:rsidRDefault="00C56023" w:rsidP="00EC2FAB">
            <w:pPr>
              <w:widowControl w:val="0"/>
              <w:suppressAutoHyphens w:val="0"/>
              <w:spacing w:after="120" w:line="240" w:lineRule="auto"/>
              <w:rPr>
                <w:rFonts w:ascii="Calibri Light" w:eastAsia="Calibri Light" w:hAnsi="Calibri Light" w:cs="Calibri Light"/>
                <w:color w:val="auto"/>
                <w:highlight w:val="green"/>
              </w:rPr>
            </w:pPr>
            <w:r w:rsidRPr="008E5A1D">
              <w:rPr>
                <w:color w:val="auto"/>
              </w:rPr>
              <w:t>Australian budget support in response to COVID-19 as a percentage of estimated domestic revenue</w:t>
            </w:r>
          </w:p>
        </w:tc>
        <w:tc>
          <w:tcPr>
            <w:tcW w:w="6521" w:type="dxa"/>
          </w:tcPr>
          <w:p w14:paraId="21DF1B09" w14:textId="4EFBFE8A" w:rsidR="00A8748F" w:rsidRPr="008E5A1D" w:rsidRDefault="026B9655" w:rsidP="55CB72C0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5B7299E3">
              <w:rPr>
                <w:color w:val="auto"/>
              </w:rPr>
              <w:t xml:space="preserve">In the 2022-23, Australia provided </w:t>
            </w:r>
            <w:r w:rsidR="1599C07E" w:rsidRPr="5B7299E3">
              <w:rPr>
                <w:color w:val="auto"/>
              </w:rPr>
              <w:t>$</w:t>
            </w:r>
            <w:r w:rsidRPr="5B7299E3">
              <w:rPr>
                <w:color w:val="auto"/>
              </w:rPr>
              <w:t xml:space="preserve">40.48 million in direct and sectoral budget support to Vanuatu, representing an estimated 10.16 per cent of total domestic revenue. </w:t>
            </w:r>
          </w:p>
        </w:tc>
      </w:tr>
      <w:tr w:rsidR="008E5A1D" w:rsidRPr="008E5A1D" w14:paraId="73B4E152" w14:textId="77777777" w:rsidTr="5B7299E3">
        <w:trPr>
          <w:cantSplit/>
          <w:trHeight w:val="300"/>
        </w:trPr>
        <w:tc>
          <w:tcPr>
            <w:tcW w:w="3964" w:type="dxa"/>
          </w:tcPr>
          <w:p w14:paraId="28AC5A0D" w14:textId="27F10157" w:rsidR="00C56023" w:rsidRPr="008E5A1D" w:rsidRDefault="00C5602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bookmarkStart w:id="10" w:name="_Hlk142966621"/>
            <w:r w:rsidRPr="008E5A1D">
              <w:rPr>
                <w:color w:val="auto"/>
              </w:rPr>
              <w:lastRenderedPageBreak/>
              <w:t>Length (km) of national road network maintained or repaired</w:t>
            </w:r>
          </w:p>
        </w:tc>
        <w:tc>
          <w:tcPr>
            <w:tcW w:w="6521" w:type="dxa"/>
          </w:tcPr>
          <w:p w14:paraId="78BF228D" w14:textId="1FB46220" w:rsidR="00231561" w:rsidRPr="008E5A1D" w:rsidRDefault="669C1523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55CB72C0">
              <w:rPr>
                <w:color w:val="auto"/>
              </w:rPr>
              <w:t xml:space="preserve">Australia </w:t>
            </w:r>
            <w:r w:rsidR="59A9FBB7" w:rsidRPr="55CB72C0">
              <w:rPr>
                <w:color w:val="auto"/>
              </w:rPr>
              <w:t xml:space="preserve">supported </w:t>
            </w:r>
            <w:r w:rsidR="799F4CFD" w:rsidRPr="55CB72C0">
              <w:rPr>
                <w:color w:val="auto"/>
              </w:rPr>
              <w:t xml:space="preserve">the </w:t>
            </w:r>
            <w:r w:rsidR="59A9FBB7" w:rsidRPr="55CB72C0">
              <w:rPr>
                <w:color w:val="auto"/>
              </w:rPr>
              <w:t xml:space="preserve">Vanuatu Public Works Department (PWD) investment in climate resilient, all-weather accessible roads with over </w:t>
            </w:r>
            <w:r w:rsidRPr="55CB72C0">
              <w:rPr>
                <w:color w:val="auto"/>
              </w:rPr>
              <w:t xml:space="preserve">1,026km </w:t>
            </w:r>
            <w:r w:rsidR="59A9FBB7" w:rsidRPr="55CB72C0">
              <w:rPr>
                <w:color w:val="auto"/>
              </w:rPr>
              <w:t xml:space="preserve">(target 1,201km) </w:t>
            </w:r>
            <w:r w:rsidRPr="55CB72C0">
              <w:rPr>
                <w:color w:val="auto"/>
              </w:rPr>
              <w:t>of roads improved and maintained in Vanuatu linking communities to markets and services.</w:t>
            </w:r>
          </w:p>
          <w:p w14:paraId="77077232" w14:textId="5439C0B7" w:rsidR="007938D2" w:rsidRPr="008E5A1D" w:rsidRDefault="00231561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From 2009</w:t>
            </w:r>
            <w:r w:rsidR="00FD00FF" w:rsidRPr="008E5A1D">
              <w:rPr>
                <w:color w:val="auto"/>
              </w:rPr>
              <w:t>-</w:t>
            </w:r>
            <w:r w:rsidRPr="008E5A1D">
              <w:rPr>
                <w:color w:val="auto"/>
              </w:rPr>
              <w:t xml:space="preserve">2023, Australia </w:t>
            </w:r>
            <w:r w:rsidR="00E44F4D">
              <w:rPr>
                <w:color w:val="auto"/>
              </w:rPr>
              <w:t xml:space="preserve">has </w:t>
            </w:r>
            <w:r w:rsidRPr="008E5A1D">
              <w:rPr>
                <w:color w:val="auto"/>
              </w:rPr>
              <w:t xml:space="preserve">invested over $98 million </w:t>
            </w:r>
            <w:r w:rsidR="00706C20">
              <w:rPr>
                <w:color w:val="auto"/>
              </w:rPr>
              <w:t xml:space="preserve">on </w:t>
            </w:r>
            <w:r w:rsidRPr="008E5A1D">
              <w:rPr>
                <w:color w:val="auto"/>
              </w:rPr>
              <w:t xml:space="preserve">physical road works, training small-scale contractors and site inspectors, trialling new technologies and strengthening </w:t>
            </w:r>
            <w:r w:rsidR="00911E30">
              <w:rPr>
                <w:color w:val="auto"/>
              </w:rPr>
              <w:t>the PWD.</w:t>
            </w:r>
          </w:p>
        </w:tc>
      </w:tr>
      <w:bookmarkEnd w:id="10"/>
      <w:tr w:rsidR="00EC2FAB" w:rsidRPr="008E5A1D" w14:paraId="478A1C65" w14:textId="77777777" w:rsidTr="5B7299E3">
        <w:trPr>
          <w:cantSplit/>
          <w:trHeight w:val="300"/>
        </w:trPr>
        <w:tc>
          <w:tcPr>
            <w:tcW w:w="3964" w:type="dxa"/>
          </w:tcPr>
          <w:p w14:paraId="6ABDF8EE" w14:textId="49800F45" w:rsidR="00AF54A5" w:rsidRPr="008E5A1D" w:rsidRDefault="00AF54A5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Examples of improved policies and regulations in the infrastructure sector*</w:t>
            </w:r>
            <w:r w:rsidRPr="008E5A1D">
              <w:rPr>
                <w:rStyle w:val="FootnoteReference"/>
                <w:color w:val="auto"/>
              </w:rPr>
              <w:footnoteReference w:id="3"/>
            </w:r>
          </w:p>
        </w:tc>
        <w:tc>
          <w:tcPr>
            <w:tcW w:w="6521" w:type="dxa"/>
          </w:tcPr>
          <w:p w14:paraId="2B008130" w14:textId="43A4FB59" w:rsidR="00160A6F" w:rsidRPr="008E5A1D" w:rsidRDefault="00A43A44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>Australia’s support to develop climate-resilient and cost-effective fibre reinforced concrete</w:t>
            </w:r>
            <w:r w:rsidR="00144BD2">
              <w:rPr>
                <w:color w:val="auto"/>
              </w:rPr>
              <w:t xml:space="preserve"> </w:t>
            </w:r>
            <w:r w:rsidRPr="008E5A1D">
              <w:rPr>
                <w:color w:val="auto"/>
              </w:rPr>
              <w:t>roads in Vanuatu has now become standard</w:t>
            </w:r>
            <w:r w:rsidR="00706C20">
              <w:rPr>
                <w:color w:val="auto"/>
              </w:rPr>
              <w:t>ised</w:t>
            </w:r>
            <w:r w:rsidRPr="008E5A1D">
              <w:rPr>
                <w:color w:val="auto"/>
              </w:rPr>
              <w:t xml:space="preserve"> and is being </w:t>
            </w:r>
            <w:r w:rsidR="001B44E7">
              <w:rPr>
                <w:color w:val="auto"/>
              </w:rPr>
              <w:t>followed</w:t>
            </w:r>
            <w:r w:rsidR="00A2799A">
              <w:rPr>
                <w:color w:val="auto"/>
              </w:rPr>
              <w:t xml:space="preserve"> </w:t>
            </w:r>
            <w:r w:rsidRPr="008E5A1D">
              <w:rPr>
                <w:color w:val="auto"/>
              </w:rPr>
              <w:t>by other donors, including the World Bank.</w:t>
            </w:r>
          </w:p>
          <w:p w14:paraId="1503A2D2" w14:textId="74C8F6F7" w:rsidR="00A16DEA" w:rsidRPr="008E5A1D" w:rsidRDefault="00A16DEA" w:rsidP="00EC2FAB">
            <w:pPr>
              <w:widowControl w:val="0"/>
              <w:suppressAutoHyphens w:val="0"/>
              <w:spacing w:after="120" w:line="240" w:lineRule="auto"/>
              <w:rPr>
                <w:color w:val="auto"/>
              </w:rPr>
            </w:pPr>
            <w:r w:rsidRPr="008E5A1D">
              <w:rPr>
                <w:color w:val="auto"/>
              </w:rPr>
              <w:t xml:space="preserve">Australia supported Vanuatu’s </w:t>
            </w:r>
            <w:r w:rsidR="001B44E7">
              <w:rPr>
                <w:color w:val="auto"/>
              </w:rPr>
              <w:t xml:space="preserve">PWD </w:t>
            </w:r>
            <w:r w:rsidR="00552E2F" w:rsidRPr="008E5A1D">
              <w:rPr>
                <w:color w:val="auto"/>
              </w:rPr>
              <w:t xml:space="preserve">to </w:t>
            </w:r>
            <w:r w:rsidRPr="008E5A1D">
              <w:rPr>
                <w:color w:val="auto"/>
              </w:rPr>
              <w:t>strengthen its gender equality, disability</w:t>
            </w:r>
            <w:r w:rsidR="00F44C4F">
              <w:rPr>
                <w:color w:val="auto"/>
              </w:rPr>
              <w:t xml:space="preserve">, </w:t>
            </w:r>
            <w:r w:rsidRPr="008E5A1D">
              <w:rPr>
                <w:color w:val="auto"/>
              </w:rPr>
              <w:t xml:space="preserve">social </w:t>
            </w:r>
            <w:r w:rsidR="00CA3D18" w:rsidRPr="008E5A1D">
              <w:rPr>
                <w:color w:val="auto"/>
              </w:rPr>
              <w:t>inclusion</w:t>
            </w:r>
            <w:r w:rsidR="00CA3D18">
              <w:rPr>
                <w:color w:val="auto"/>
              </w:rPr>
              <w:t xml:space="preserve"> (GEDSI) </w:t>
            </w:r>
            <w:r w:rsidR="00F44C4F">
              <w:rPr>
                <w:color w:val="auto"/>
              </w:rPr>
              <w:t xml:space="preserve">and </w:t>
            </w:r>
            <w:r w:rsidRPr="008E5A1D">
              <w:rPr>
                <w:color w:val="auto"/>
              </w:rPr>
              <w:t>safeguards</w:t>
            </w:r>
            <w:r w:rsidR="00CA3D18">
              <w:rPr>
                <w:color w:val="auto"/>
              </w:rPr>
              <w:t xml:space="preserve"> </w:t>
            </w:r>
            <w:r w:rsidRPr="008E5A1D">
              <w:rPr>
                <w:color w:val="auto"/>
              </w:rPr>
              <w:t xml:space="preserve">policies. In 2022, 100 per cent of roadwork contracts included GEDSI </w:t>
            </w:r>
            <w:r w:rsidR="00F44C4F">
              <w:rPr>
                <w:color w:val="auto"/>
              </w:rPr>
              <w:t xml:space="preserve">and safeguards </w:t>
            </w:r>
            <w:r w:rsidRPr="008E5A1D">
              <w:rPr>
                <w:color w:val="auto"/>
              </w:rPr>
              <w:t>provisions, up from 86 per cent in 2021 and 11 per cent in 2020</w:t>
            </w:r>
            <w:r w:rsidR="00FD00FF" w:rsidRPr="008E5A1D">
              <w:rPr>
                <w:color w:val="auto"/>
              </w:rPr>
              <w:t>.</w:t>
            </w:r>
          </w:p>
        </w:tc>
      </w:tr>
    </w:tbl>
    <w:p w14:paraId="540E9FA1" w14:textId="77777777" w:rsidR="00D07D13" w:rsidRPr="008E5A1D" w:rsidRDefault="00D07D13" w:rsidP="00D07D13">
      <w:pPr>
        <w:rPr>
          <w:color w:val="auto"/>
        </w:rPr>
      </w:pPr>
    </w:p>
    <w:p w14:paraId="2F13E6BA" w14:textId="200AA953" w:rsidR="00D07D13" w:rsidRPr="008E5A1D" w:rsidRDefault="00D07D13" w:rsidP="00D07D13">
      <w:pPr>
        <w:rPr>
          <w:color w:val="auto"/>
        </w:rPr>
        <w:sectPr w:rsidR="00D07D13" w:rsidRPr="008E5A1D" w:rsidSect="009528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559" w:right="680" w:bottom="1418" w:left="680" w:header="567" w:footer="340" w:gutter="0"/>
          <w:cols w:space="397"/>
          <w:docGrid w:linePitch="360"/>
        </w:sectPr>
      </w:pPr>
    </w:p>
    <w:p w14:paraId="4BFAB4EA" w14:textId="5916FD68" w:rsidR="0068172A" w:rsidRPr="008E5A1D" w:rsidRDefault="00D1231A" w:rsidP="00ED22A3">
      <w:pPr>
        <w:pStyle w:val="Heading3"/>
      </w:pPr>
      <w:r w:rsidRPr="008E5A1D">
        <w:lastRenderedPageBreak/>
        <w:t>Investment Performance</w:t>
      </w:r>
      <w:r w:rsidR="000F78C9" w:rsidRPr="008E5A1D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4815"/>
        <w:gridCol w:w="1276"/>
        <w:gridCol w:w="1512"/>
        <w:gridCol w:w="1323"/>
        <w:gridCol w:w="1701"/>
      </w:tblGrid>
      <w:tr w:rsidR="008E5A1D" w:rsidRPr="008E5A1D" w14:paraId="69FD1E5F" w14:textId="77777777" w:rsidTr="0039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2DCD1" w:themeFill="accent1" w:themeFillTint="99"/>
            <w:noWrap/>
            <w:hideMark/>
          </w:tcPr>
          <w:p w14:paraId="287BF78E" w14:textId="77777777" w:rsidR="00AC551D" w:rsidRPr="008E5A1D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Investment Details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36D4C187" w14:textId="77777777" w:rsidR="00AC551D" w:rsidRPr="008E5A1D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Year</w:t>
            </w:r>
          </w:p>
        </w:tc>
        <w:tc>
          <w:tcPr>
            <w:tcW w:w="1512" w:type="dxa"/>
            <w:shd w:val="clear" w:color="auto" w:fill="A2DCD1" w:themeFill="accent1" w:themeFillTint="99"/>
            <w:noWrap/>
            <w:hideMark/>
          </w:tcPr>
          <w:p w14:paraId="1B1121B3" w14:textId="77777777" w:rsidR="00AC551D" w:rsidRPr="008E5A1D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Effectiveness</w:t>
            </w:r>
          </w:p>
        </w:tc>
        <w:tc>
          <w:tcPr>
            <w:tcW w:w="1323" w:type="dxa"/>
            <w:shd w:val="clear" w:color="auto" w:fill="A2DCD1" w:themeFill="accent1" w:themeFillTint="99"/>
            <w:noWrap/>
            <w:hideMark/>
          </w:tcPr>
          <w:p w14:paraId="7B4698B4" w14:textId="77777777" w:rsidR="00AC551D" w:rsidRPr="008E5A1D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Efficiency</w:t>
            </w:r>
          </w:p>
        </w:tc>
        <w:tc>
          <w:tcPr>
            <w:tcW w:w="1701" w:type="dxa"/>
            <w:shd w:val="clear" w:color="auto" w:fill="A2DCD1" w:themeFill="accent1" w:themeFillTint="99"/>
            <w:noWrap/>
            <w:hideMark/>
          </w:tcPr>
          <w:p w14:paraId="5E5D38EF" w14:textId="4CC6B5C6" w:rsidR="00AC551D" w:rsidRPr="008E5A1D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Gender Equality</w:t>
            </w:r>
          </w:p>
        </w:tc>
      </w:tr>
      <w:tr w:rsidR="008E5A1D" w:rsidRPr="008E5A1D" w14:paraId="1867487D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2E831155" w14:textId="6C39163E" w:rsidR="00E718A8" w:rsidRPr="008E5A1D" w:rsidRDefault="00E718A8" w:rsidP="00E718A8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Skills for Economic Growth Phase 4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753CB627" w14:textId="72728F46" w:rsidR="00E718A8" w:rsidRPr="008E5A1D" w:rsidRDefault="00E718A8" w:rsidP="00E718A8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3524F2ED" w14:textId="0E06172E" w:rsidR="00E718A8" w:rsidRPr="008E5A1D" w:rsidRDefault="00762006" w:rsidP="00E718A8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65883235" w14:textId="1AB3FD61" w:rsidR="00E718A8" w:rsidRPr="008E5A1D" w:rsidRDefault="00762006" w:rsidP="00E718A8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4FAF95D" w14:textId="060C3886" w:rsidR="00E718A8" w:rsidRPr="008E5A1D" w:rsidRDefault="00762006" w:rsidP="00E718A8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3F9940CA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D54A0A0" w14:textId="68E26504" w:rsidR="00D66407" w:rsidRPr="008E5A1D" w:rsidRDefault="00D66407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20016-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27;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$57.3m 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42A30353" w14:textId="0E791758" w:rsidR="00D66407" w:rsidRPr="008E5A1D" w:rsidRDefault="00D66407" w:rsidP="00D6640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02C361E5" w14:textId="02E4BA15" w:rsidR="00D66407" w:rsidRPr="008E5A1D" w:rsidRDefault="00D66407" w:rsidP="00D6640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1C8F4065" w14:textId="0B1A3998" w:rsidR="00D66407" w:rsidRPr="008E5A1D" w:rsidRDefault="00D66407" w:rsidP="00D6640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EA630FF" w14:textId="1F9C97FA" w:rsidR="00D66407" w:rsidRPr="008E5A1D" w:rsidRDefault="00D66407" w:rsidP="00D6640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664415AC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5576776" w14:textId="1ECB3A32" w:rsidR="00D66407" w:rsidRPr="008E5A1D" w:rsidRDefault="00D66407" w:rsidP="00D6640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Governance for Growth Phase 3</w:t>
            </w:r>
          </w:p>
        </w:tc>
        <w:tc>
          <w:tcPr>
            <w:tcW w:w="1276" w:type="dxa"/>
            <w:hideMark/>
          </w:tcPr>
          <w:p w14:paraId="35291127" w14:textId="39A9B18A" w:rsidR="00D66407" w:rsidRPr="008E5A1D" w:rsidRDefault="00D66407" w:rsidP="00D66407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noWrap/>
          </w:tcPr>
          <w:p w14:paraId="0383E59B" w14:textId="1DE12EB2" w:rsidR="00D66407" w:rsidRPr="008E5A1D" w:rsidRDefault="00762006" w:rsidP="00D66407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noWrap/>
          </w:tcPr>
          <w:p w14:paraId="760C1604" w14:textId="62C9171D" w:rsidR="00D66407" w:rsidRPr="008E5A1D" w:rsidRDefault="00762006" w:rsidP="00D66407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noWrap/>
          </w:tcPr>
          <w:p w14:paraId="48B585D3" w14:textId="57889311" w:rsidR="00D66407" w:rsidRPr="008E5A1D" w:rsidRDefault="00762006" w:rsidP="00D66407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5EA4A873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5D004B83" w14:textId="4B69F45C" w:rsidR="009E7F2D" w:rsidRPr="008E5A1D" w:rsidRDefault="009E7F2D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2017-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24;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$33.7m </w:t>
            </w:r>
          </w:p>
        </w:tc>
        <w:tc>
          <w:tcPr>
            <w:tcW w:w="1276" w:type="dxa"/>
            <w:shd w:val="clear" w:color="auto" w:fill="E0F3EF" w:themeFill="accent1" w:themeFillTint="33"/>
            <w:hideMark/>
          </w:tcPr>
          <w:p w14:paraId="6F5DCD3C" w14:textId="0DF13F05" w:rsidR="009E7F2D" w:rsidRPr="008E5A1D" w:rsidRDefault="009E7F2D" w:rsidP="009E7F2D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E0F3EF" w:themeFill="accent1" w:themeFillTint="33"/>
            <w:noWrap/>
          </w:tcPr>
          <w:p w14:paraId="7C975F2B" w14:textId="13315961" w:rsidR="009E7F2D" w:rsidRPr="008E5A1D" w:rsidRDefault="009E7F2D" w:rsidP="009E7F2D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E0F3EF" w:themeFill="accent1" w:themeFillTint="33"/>
            <w:noWrap/>
          </w:tcPr>
          <w:p w14:paraId="562AF5DF" w14:textId="673E8F2A" w:rsidR="009E7F2D" w:rsidRPr="008E5A1D" w:rsidRDefault="009E7F2D" w:rsidP="009E7F2D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49275297" w14:textId="66072F8C" w:rsidR="009E7F2D" w:rsidRPr="008E5A1D" w:rsidRDefault="009E7F2D" w:rsidP="009E7F2D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7C3C602D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F2B53" w14:textId="2AA07988" w:rsidR="009E7F2D" w:rsidRPr="008E5A1D" w:rsidRDefault="009E7F2D" w:rsidP="009E7F2D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Health Program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258E1068" w14:textId="7D70279D" w:rsidR="009E7F2D" w:rsidRPr="008E5A1D" w:rsidRDefault="009E7F2D" w:rsidP="009E7F2D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561825FE" w14:textId="679A7601" w:rsidR="009E7F2D" w:rsidRPr="008E5A1D" w:rsidRDefault="00836AE2" w:rsidP="009E7F2D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777674A9" w14:textId="2BAE0099" w:rsidR="009E7F2D" w:rsidRPr="008E5A1D" w:rsidRDefault="00836AE2" w:rsidP="009E7F2D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6666D1C" w14:textId="4D59A734" w:rsidR="009E7F2D" w:rsidRPr="008E5A1D" w:rsidRDefault="00836AE2" w:rsidP="009E7F2D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173568D7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3342A73E" w14:textId="651C520F" w:rsidR="006428FC" w:rsidRPr="008E5A1D" w:rsidRDefault="006428FC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2019-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24;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$29.2m 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1F16C9F8" w14:textId="43DD3B53" w:rsidR="006428FC" w:rsidRPr="008E5A1D" w:rsidRDefault="006428FC" w:rsidP="006428FC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484EFDC5" w14:textId="24BCD6D3" w:rsidR="006428FC" w:rsidRPr="008E5A1D" w:rsidRDefault="006428FC" w:rsidP="006428FC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196A3DC5" w14:textId="7B8A2E9F" w:rsidR="006428FC" w:rsidRPr="008E5A1D" w:rsidRDefault="006428FC" w:rsidP="006428FC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BD061D2" w14:textId="7F2B7F05" w:rsidR="006428FC" w:rsidRPr="008E5A1D" w:rsidRDefault="006428FC" w:rsidP="006428FC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2DB7CA6C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6AA24B9E" w14:textId="62604ACD" w:rsidR="006428FC" w:rsidRPr="008E5A1D" w:rsidRDefault="006428FC" w:rsidP="006428FC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Education Support Program Phase 2</w:t>
            </w:r>
          </w:p>
        </w:tc>
        <w:tc>
          <w:tcPr>
            <w:tcW w:w="1276" w:type="dxa"/>
            <w:hideMark/>
          </w:tcPr>
          <w:p w14:paraId="6F3BD093" w14:textId="77777777" w:rsidR="006428FC" w:rsidRPr="008E5A1D" w:rsidRDefault="006428FC" w:rsidP="006428FC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noWrap/>
          </w:tcPr>
          <w:p w14:paraId="64BD91FC" w14:textId="322ABCAC" w:rsidR="006428FC" w:rsidRPr="008E5A1D" w:rsidRDefault="00836AE2" w:rsidP="006428FC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noWrap/>
          </w:tcPr>
          <w:p w14:paraId="579650AE" w14:textId="2C94E62E" w:rsidR="006428FC" w:rsidRPr="008E5A1D" w:rsidRDefault="00836AE2" w:rsidP="006428FC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noWrap/>
          </w:tcPr>
          <w:p w14:paraId="3CA1FEC6" w14:textId="674F486D" w:rsidR="006428FC" w:rsidRPr="008E5A1D" w:rsidRDefault="00836AE2" w:rsidP="006428FC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2D85CBE8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7EDD5890" w14:textId="2A6EB8C2" w:rsidR="00585762" w:rsidRPr="008E5A1D" w:rsidRDefault="00585762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2018-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26;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$75.9m </w:t>
            </w:r>
          </w:p>
        </w:tc>
        <w:tc>
          <w:tcPr>
            <w:tcW w:w="1276" w:type="dxa"/>
            <w:shd w:val="clear" w:color="auto" w:fill="E0F3EF" w:themeFill="accent1" w:themeFillTint="33"/>
            <w:hideMark/>
          </w:tcPr>
          <w:p w14:paraId="0C9B8985" w14:textId="77777777" w:rsidR="00585762" w:rsidRPr="008E5A1D" w:rsidRDefault="00585762" w:rsidP="00585762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E0F3EF" w:themeFill="accent1" w:themeFillTint="33"/>
            <w:noWrap/>
          </w:tcPr>
          <w:p w14:paraId="45F77ADF" w14:textId="0C73697D" w:rsidR="00585762" w:rsidRPr="008E5A1D" w:rsidRDefault="00585762" w:rsidP="00585762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E0F3EF" w:themeFill="accent1" w:themeFillTint="33"/>
            <w:noWrap/>
          </w:tcPr>
          <w:p w14:paraId="4231A8C2" w14:textId="42A28A12" w:rsidR="00585762" w:rsidRPr="008E5A1D" w:rsidRDefault="00585762" w:rsidP="00585762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0623FBF6" w14:textId="7097AE13" w:rsidR="00585762" w:rsidRPr="008E5A1D" w:rsidRDefault="00585762" w:rsidP="00585762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1C3F9B8A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EC5E53" w14:textId="2246A9CB" w:rsidR="00585762" w:rsidRPr="008E5A1D" w:rsidRDefault="00585762" w:rsidP="00585762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Australia Policing and Justice Program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06EB3DDE" w14:textId="77777777" w:rsidR="00585762" w:rsidRPr="008E5A1D" w:rsidRDefault="00585762" w:rsidP="00585762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09B12B78" w14:textId="3678FF41" w:rsidR="00585762" w:rsidRPr="008E5A1D" w:rsidRDefault="00762006" w:rsidP="00585762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6CDD53F3" w14:textId="5AE527CB" w:rsidR="00585762" w:rsidRPr="008E5A1D" w:rsidRDefault="00762006" w:rsidP="00585762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1EA8010" w14:textId="24348604" w:rsidR="00585762" w:rsidRPr="008E5A1D" w:rsidRDefault="00762006" w:rsidP="00585762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1557EB64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F3EB9AD" w14:textId="710106CF" w:rsidR="00F24E50" w:rsidRPr="008E5A1D" w:rsidRDefault="00F24E50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2016-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25;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$56.2m 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346609B3" w14:textId="77777777" w:rsidR="00F24E50" w:rsidRPr="008E5A1D" w:rsidRDefault="00F24E50" w:rsidP="00F24E5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498EE86D" w14:textId="6B255319" w:rsidR="00F24E50" w:rsidRPr="008E5A1D" w:rsidRDefault="00F24E50" w:rsidP="00F24E5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0A77739E" w14:textId="11F1E696" w:rsidR="00F24E50" w:rsidRPr="008E5A1D" w:rsidRDefault="00F24E50" w:rsidP="00F24E5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39B3BF5" w14:textId="0827CFC1" w:rsidR="00F24E50" w:rsidRPr="008E5A1D" w:rsidRDefault="00F24E50" w:rsidP="00F24E50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14FA304D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0705C2A4" w14:textId="008857F6" w:rsidR="00F24E50" w:rsidRPr="008E5A1D" w:rsidRDefault="00F24E50" w:rsidP="00F24E50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Roads for Development Program Phase 2</w:t>
            </w:r>
          </w:p>
        </w:tc>
        <w:tc>
          <w:tcPr>
            <w:tcW w:w="1276" w:type="dxa"/>
            <w:hideMark/>
          </w:tcPr>
          <w:p w14:paraId="0308CF72" w14:textId="77777777" w:rsidR="00F24E50" w:rsidRPr="008E5A1D" w:rsidRDefault="00F24E50" w:rsidP="00F24E5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noWrap/>
          </w:tcPr>
          <w:p w14:paraId="040AEEEE" w14:textId="2D7EE3B8" w:rsidR="00F24E50" w:rsidRPr="008E5A1D" w:rsidRDefault="00762006" w:rsidP="00F24E5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noWrap/>
          </w:tcPr>
          <w:p w14:paraId="327CE1E0" w14:textId="77F2DCF0" w:rsidR="00F24E50" w:rsidRPr="008E5A1D" w:rsidRDefault="00762006" w:rsidP="00F24E5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noWrap/>
          </w:tcPr>
          <w:p w14:paraId="7BF22ECC" w14:textId="3B12CDE3" w:rsidR="00F24E50" w:rsidRPr="008E5A1D" w:rsidRDefault="00762006" w:rsidP="00F24E50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39B3EAEA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5D1BB04B" w14:textId="753C88F5" w:rsidR="00FB4785" w:rsidRPr="008E5A1D" w:rsidRDefault="00FB4785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2018-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24;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$44.1m </w:t>
            </w:r>
          </w:p>
        </w:tc>
        <w:tc>
          <w:tcPr>
            <w:tcW w:w="1276" w:type="dxa"/>
            <w:shd w:val="clear" w:color="auto" w:fill="E0F3EF" w:themeFill="accent1" w:themeFillTint="33"/>
            <w:hideMark/>
          </w:tcPr>
          <w:p w14:paraId="0A47218A" w14:textId="77777777" w:rsidR="00FB4785" w:rsidRPr="008E5A1D" w:rsidRDefault="00FB4785" w:rsidP="00FB478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E0F3EF" w:themeFill="accent1" w:themeFillTint="33"/>
            <w:noWrap/>
          </w:tcPr>
          <w:p w14:paraId="65DE5B03" w14:textId="7497B0CB" w:rsidR="00FB4785" w:rsidRPr="008E5A1D" w:rsidRDefault="00FB4785" w:rsidP="00FB478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E0F3EF" w:themeFill="accent1" w:themeFillTint="33"/>
            <w:noWrap/>
          </w:tcPr>
          <w:p w14:paraId="1E565E8E" w14:textId="7A664BC3" w:rsidR="00FB4785" w:rsidRPr="008E5A1D" w:rsidRDefault="00FB4785" w:rsidP="00FB478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7276269B" w14:textId="417566F5" w:rsidR="00FB4785" w:rsidRPr="008E5A1D" w:rsidRDefault="00FB4785" w:rsidP="00FB478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7C5CD006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7EE58" w14:textId="64EE8C8D" w:rsidR="00FB4785" w:rsidRPr="008E5A1D" w:rsidRDefault="00FB4785" w:rsidP="00FB478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Tropical Cyclone Harold Recovery Program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508F8FEB" w14:textId="77777777" w:rsidR="00FB4785" w:rsidRPr="008E5A1D" w:rsidRDefault="00FB4785" w:rsidP="00FB478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2E90FE11" w14:textId="38DC652B" w:rsidR="00FB4785" w:rsidRPr="008E5A1D" w:rsidRDefault="007106FD" w:rsidP="00FB478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0B6FA7E6" w14:textId="7A21ED8C" w:rsidR="00FB4785" w:rsidRPr="008E5A1D" w:rsidRDefault="007106FD" w:rsidP="00FB478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588CE3D" w14:textId="02A30647" w:rsidR="00FB4785" w:rsidRPr="008E5A1D" w:rsidRDefault="007106FD" w:rsidP="00FB478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</w:tr>
      <w:tr w:rsidR="008E5A1D" w:rsidRPr="008E5A1D" w14:paraId="6C78CB6D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0FA57C88" w14:textId="3F5FF830" w:rsidR="00F803B5" w:rsidRPr="008E5A1D" w:rsidRDefault="00F803B5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2021-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26;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: $24</w:t>
            </w:r>
            <w:r w:rsidR="00077B0B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.0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m 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5AA714BE" w14:textId="77777777" w:rsidR="00F803B5" w:rsidRPr="008E5A1D" w:rsidRDefault="00F803B5" w:rsidP="00F803B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56D3A4B9" w14:textId="550C3B13" w:rsidR="00F803B5" w:rsidRPr="008E5A1D" w:rsidRDefault="00F803B5" w:rsidP="00F803B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10633609" w14:textId="5143306D" w:rsidR="00F803B5" w:rsidRPr="008E5A1D" w:rsidRDefault="00F803B5" w:rsidP="00F803B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491CAF2A" w14:textId="19A5AE5A" w:rsidR="00F803B5" w:rsidRPr="008E5A1D" w:rsidRDefault="00F803B5" w:rsidP="00F803B5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786A0A7A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71210763" w14:textId="61331442" w:rsidR="00F803B5" w:rsidRPr="008E5A1D" w:rsidRDefault="00F803B5" w:rsidP="00F803B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Volcano Recovery Program 2019-2022</w:t>
            </w:r>
          </w:p>
        </w:tc>
        <w:tc>
          <w:tcPr>
            <w:tcW w:w="1276" w:type="dxa"/>
            <w:hideMark/>
          </w:tcPr>
          <w:p w14:paraId="1B25454C" w14:textId="77777777" w:rsidR="00F803B5" w:rsidRPr="008E5A1D" w:rsidRDefault="00F803B5" w:rsidP="00F803B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noWrap/>
          </w:tcPr>
          <w:p w14:paraId="7FE03079" w14:textId="4334935B" w:rsidR="00F803B5" w:rsidRPr="008E5A1D" w:rsidRDefault="007106FD" w:rsidP="00F803B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noWrap/>
          </w:tcPr>
          <w:p w14:paraId="56B0972E" w14:textId="5305E16D" w:rsidR="00F803B5" w:rsidRPr="008E5A1D" w:rsidRDefault="007106FD" w:rsidP="00F803B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noWrap/>
          </w:tcPr>
          <w:p w14:paraId="4FA4980D" w14:textId="23A5FB80" w:rsidR="00F803B5" w:rsidRPr="008E5A1D" w:rsidRDefault="007106FD" w:rsidP="00F803B5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3</w:t>
            </w:r>
          </w:p>
        </w:tc>
      </w:tr>
      <w:tr w:rsidR="008E5A1D" w:rsidRPr="008E5A1D" w14:paraId="32BA9DE1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1720EFC5" w14:textId="04CE928E" w:rsidR="00C722A4" w:rsidRPr="008E5A1D" w:rsidRDefault="00C722A4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2019-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23;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$4.7m </w:t>
            </w:r>
          </w:p>
        </w:tc>
        <w:tc>
          <w:tcPr>
            <w:tcW w:w="1276" w:type="dxa"/>
            <w:shd w:val="clear" w:color="auto" w:fill="E0F3EF" w:themeFill="accent1" w:themeFillTint="33"/>
            <w:hideMark/>
          </w:tcPr>
          <w:p w14:paraId="659B1F5F" w14:textId="77777777" w:rsidR="00C722A4" w:rsidRPr="008E5A1D" w:rsidRDefault="00C722A4" w:rsidP="00C722A4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E0F3EF" w:themeFill="accent1" w:themeFillTint="33"/>
            <w:noWrap/>
          </w:tcPr>
          <w:p w14:paraId="0B0F724E" w14:textId="59FF912F" w:rsidR="00C722A4" w:rsidRPr="008E5A1D" w:rsidRDefault="00C722A4" w:rsidP="00C722A4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E0F3EF" w:themeFill="accent1" w:themeFillTint="33"/>
            <w:noWrap/>
          </w:tcPr>
          <w:p w14:paraId="6AA0D84D" w14:textId="3C71A5FF" w:rsidR="00C722A4" w:rsidRPr="008E5A1D" w:rsidRDefault="00C722A4" w:rsidP="00C722A4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3796E421" w14:textId="6EF9ED05" w:rsidR="00C722A4" w:rsidRPr="008E5A1D" w:rsidRDefault="00C722A4" w:rsidP="00C722A4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3AF43FCE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79D0D" w14:textId="5B4AC56B" w:rsidR="00C722A4" w:rsidRPr="008E5A1D" w:rsidRDefault="00C722A4" w:rsidP="00C722A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Gender Equality Program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2260CD2C" w14:textId="77777777" w:rsidR="00C722A4" w:rsidRPr="008E5A1D" w:rsidRDefault="00C722A4" w:rsidP="00C722A4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2023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76ABD577" w14:textId="31AE1C5E" w:rsidR="00C722A4" w:rsidRPr="008E5A1D" w:rsidRDefault="007106FD" w:rsidP="00C722A4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3929372F" w14:textId="7F8304D5" w:rsidR="00C722A4" w:rsidRPr="008E5A1D" w:rsidRDefault="007106FD" w:rsidP="00C722A4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D36D0C6" w14:textId="605D528B" w:rsidR="00C722A4" w:rsidRPr="008E5A1D" w:rsidRDefault="007106FD" w:rsidP="00C722A4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432B4F22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  <w:hideMark/>
          </w:tcPr>
          <w:p w14:paraId="47408FB0" w14:textId="365C573A" w:rsidR="00347699" w:rsidRPr="008E5A1D" w:rsidRDefault="00347699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2021-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26;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$10.3m </w:t>
            </w:r>
          </w:p>
        </w:tc>
        <w:tc>
          <w:tcPr>
            <w:tcW w:w="1276" w:type="dxa"/>
            <w:shd w:val="clear" w:color="auto" w:fill="F2F2F2" w:themeFill="background1" w:themeFillShade="F2"/>
            <w:hideMark/>
          </w:tcPr>
          <w:p w14:paraId="12D52237" w14:textId="77777777" w:rsidR="00347699" w:rsidRPr="008E5A1D" w:rsidRDefault="00347699" w:rsidP="00347699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158E5234" w14:textId="70B35388" w:rsidR="00347699" w:rsidRPr="008E5A1D" w:rsidRDefault="00347699" w:rsidP="00347699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0FF44D8A" w14:textId="2A98816B" w:rsidR="00347699" w:rsidRPr="008E5A1D" w:rsidRDefault="00347699" w:rsidP="00347699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A4F66E6" w14:textId="37A9A6D6" w:rsidR="00347699" w:rsidRPr="008E5A1D" w:rsidRDefault="00347699" w:rsidP="00347699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172FFE72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E0F3EF" w:themeFill="accent1" w:themeFillTint="33"/>
            <w:noWrap/>
            <w:vAlign w:val="bottom"/>
            <w:hideMark/>
          </w:tcPr>
          <w:p w14:paraId="18C16095" w14:textId="72F1DB92" w:rsidR="00347699" w:rsidRPr="008E5A1D" w:rsidRDefault="00347699" w:rsidP="00347699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 xml:space="preserve">Wan </w:t>
            </w:r>
            <w:proofErr w:type="spellStart"/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Smolbag</w:t>
            </w:r>
            <w:proofErr w:type="spellEnd"/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 xml:space="preserve"> Theatre Community Partnership</w:t>
            </w:r>
          </w:p>
        </w:tc>
        <w:tc>
          <w:tcPr>
            <w:tcW w:w="1276" w:type="dxa"/>
            <w:hideMark/>
          </w:tcPr>
          <w:p w14:paraId="4DA30547" w14:textId="77777777" w:rsidR="00347699" w:rsidRPr="008E5A1D" w:rsidRDefault="00347699" w:rsidP="00347699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2023</w:t>
            </w:r>
          </w:p>
        </w:tc>
        <w:tc>
          <w:tcPr>
            <w:tcW w:w="1512" w:type="dxa"/>
            <w:noWrap/>
          </w:tcPr>
          <w:p w14:paraId="020E43C6" w14:textId="20DC49A5" w:rsidR="00347699" w:rsidRPr="008E5A1D" w:rsidRDefault="00A73387" w:rsidP="00347699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noWrap/>
          </w:tcPr>
          <w:p w14:paraId="784AA146" w14:textId="3E01FC29" w:rsidR="00347699" w:rsidRPr="008E5A1D" w:rsidRDefault="00A73387" w:rsidP="00347699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noWrap/>
          </w:tcPr>
          <w:p w14:paraId="6219E9EC" w14:textId="108C4A21" w:rsidR="00347699" w:rsidRPr="008E5A1D" w:rsidRDefault="00A73387" w:rsidP="00347699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5FB9486A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  <w:hideMark/>
          </w:tcPr>
          <w:p w14:paraId="27410A9F" w14:textId="69931DCC" w:rsidR="00A73387" w:rsidRPr="008E5A1D" w:rsidRDefault="00A73387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2010-</w:t>
            </w:r>
            <w:r w:rsidR="00BC401A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27; Budget</w:t>
            </w: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$24.5m </w:t>
            </w:r>
          </w:p>
        </w:tc>
        <w:tc>
          <w:tcPr>
            <w:tcW w:w="1276" w:type="dxa"/>
            <w:shd w:val="clear" w:color="auto" w:fill="E0F3EF" w:themeFill="accent1" w:themeFillTint="33"/>
            <w:hideMark/>
          </w:tcPr>
          <w:p w14:paraId="054139E0" w14:textId="77777777" w:rsidR="00A73387" w:rsidRPr="008E5A1D" w:rsidRDefault="00A73387" w:rsidP="00A7338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eastAsia="en-AU"/>
              </w:rPr>
              <w:t>2022</w:t>
            </w:r>
          </w:p>
        </w:tc>
        <w:tc>
          <w:tcPr>
            <w:tcW w:w="1512" w:type="dxa"/>
            <w:shd w:val="clear" w:color="auto" w:fill="E0F3EF" w:themeFill="accent1" w:themeFillTint="33"/>
            <w:noWrap/>
          </w:tcPr>
          <w:p w14:paraId="3255FE1F" w14:textId="541B8E5B" w:rsidR="00A73387" w:rsidRPr="008E5A1D" w:rsidRDefault="00A73387" w:rsidP="00A7338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323" w:type="dxa"/>
            <w:shd w:val="clear" w:color="auto" w:fill="E0F3EF" w:themeFill="accent1" w:themeFillTint="33"/>
            <w:noWrap/>
          </w:tcPr>
          <w:p w14:paraId="2802CA7F" w14:textId="4031093C" w:rsidR="00A73387" w:rsidRPr="008E5A1D" w:rsidRDefault="00A73387" w:rsidP="00A7338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701" w:type="dxa"/>
            <w:shd w:val="clear" w:color="auto" w:fill="E0F3EF" w:themeFill="accent1" w:themeFillTint="33"/>
            <w:noWrap/>
          </w:tcPr>
          <w:p w14:paraId="0E1F3ECF" w14:textId="343C0F60" w:rsidR="00A73387" w:rsidRPr="008E5A1D" w:rsidRDefault="00A73387" w:rsidP="00A73387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0A853253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nil"/>
            </w:tcBorders>
            <w:shd w:val="clear" w:color="auto" w:fill="F2F2F2" w:themeFill="background1" w:themeFillShade="F2"/>
            <w:noWrap/>
          </w:tcPr>
          <w:p w14:paraId="61A1873F" w14:textId="61D258CC" w:rsidR="001C3E1B" w:rsidRPr="008E5A1D" w:rsidRDefault="001C3E1B" w:rsidP="001C3E1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Vanuatu Supreme Court Hall of Justice Building</w:t>
            </w: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 xml:space="preserve"> (</w:t>
            </w:r>
            <w:proofErr w:type="spellStart"/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HoJ</w:t>
            </w:r>
            <w:proofErr w:type="spellEnd"/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)</w: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0CCE5E32" w14:textId="5DA57EEC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2023 IMR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640063A0" w14:textId="31030465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7DFAEB8E" w14:textId="5BCC564E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3</w:t>
            </w:r>
          </w:p>
        </w:tc>
        <w:tc>
          <w:tcPr>
            <w:tcW w:w="0" w:type="dxa"/>
            <w:shd w:val="clear" w:color="auto" w:fill="F2F2F2" w:themeFill="background1" w:themeFillShade="F2"/>
            <w:noWrap/>
          </w:tcPr>
          <w:p w14:paraId="1E2B9F26" w14:textId="4917D058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4</w:t>
            </w:r>
          </w:p>
        </w:tc>
      </w:tr>
      <w:tr w:rsidR="008E5A1D" w:rsidRPr="008E5A1D" w14:paraId="1DD30BFA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</w:tcBorders>
            <w:shd w:val="clear" w:color="auto" w:fill="F2F2F2" w:themeFill="background1" w:themeFillShade="F2"/>
          </w:tcPr>
          <w:p w14:paraId="32E85280" w14:textId="310DBA4F" w:rsidR="001C3E1B" w:rsidRPr="008E5A1D" w:rsidRDefault="001C3E1B" w:rsidP="00B5354E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duration: 2021-26; Budget: $3.0m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B1C2C2" w14:textId="04E489BC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2022 IMR</w:t>
            </w:r>
          </w:p>
        </w:tc>
        <w:tc>
          <w:tcPr>
            <w:tcW w:w="1512" w:type="dxa"/>
            <w:shd w:val="clear" w:color="auto" w:fill="F2F2F2" w:themeFill="background1" w:themeFillShade="F2"/>
            <w:noWrap/>
          </w:tcPr>
          <w:p w14:paraId="5F89402D" w14:textId="74226CEA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1323" w:type="dxa"/>
            <w:shd w:val="clear" w:color="auto" w:fill="F2F2F2" w:themeFill="background1" w:themeFillShade="F2"/>
            <w:noWrap/>
          </w:tcPr>
          <w:p w14:paraId="2F6FE4ED" w14:textId="67B9500E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N/A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2AE251F" w14:textId="4B411D73" w:rsidR="001C3E1B" w:rsidRPr="008E5A1D" w:rsidRDefault="001C3E1B" w:rsidP="001C3E1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</w:pPr>
            <w:r w:rsidRPr="008E5A1D">
              <w:rPr>
                <w:rFonts w:eastAsia="Times New Roman" w:cstheme="minorHAnsi"/>
                <w:color w:val="auto"/>
                <w:lang w:val="en-AU" w:eastAsia="en-AU"/>
              </w:rPr>
              <w:t>N/A</w:t>
            </w:r>
          </w:p>
        </w:tc>
      </w:tr>
    </w:tbl>
    <w:p w14:paraId="3800A196" w14:textId="20BAFCBC" w:rsidR="00E221FA" w:rsidRPr="008E5A1D" w:rsidRDefault="00E221FA" w:rsidP="00B5354E">
      <w:pPr>
        <w:pStyle w:val="Heading2"/>
      </w:pPr>
    </w:p>
    <w:p w14:paraId="752E2382" w14:textId="77777777" w:rsidR="00C2560F" w:rsidRPr="00B5354E" w:rsidRDefault="00C2560F" w:rsidP="00ED22A3">
      <w:pPr>
        <w:pStyle w:val="Heading3"/>
      </w:pPr>
      <w:r w:rsidRPr="00B5354E">
        <w:t>Final Investment Performance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4815"/>
        <w:gridCol w:w="1276"/>
        <w:gridCol w:w="1559"/>
        <w:gridCol w:w="1276"/>
        <w:gridCol w:w="1701"/>
      </w:tblGrid>
      <w:tr w:rsidR="008E5A1D" w:rsidRPr="008E5A1D" w14:paraId="2F788481" w14:textId="77777777" w:rsidTr="00390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2DCD1" w:themeFill="accent1" w:themeFillTint="99"/>
            <w:noWrap/>
            <w:hideMark/>
          </w:tcPr>
          <w:p w14:paraId="06152A31" w14:textId="77777777" w:rsidR="00C2560F" w:rsidRPr="008E5A1D" w:rsidRDefault="00C2560F" w:rsidP="00AB280D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Investment Details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750045EE" w14:textId="77777777" w:rsidR="00C2560F" w:rsidRPr="008E5A1D" w:rsidRDefault="00C2560F" w:rsidP="00AB280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Year</w:t>
            </w:r>
          </w:p>
        </w:tc>
        <w:tc>
          <w:tcPr>
            <w:tcW w:w="1559" w:type="dxa"/>
            <w:shd w:val="clear" w:color="auto" w:fill="A2DCD1" w:themeFill="accent1" w:themeFillTint="99"/>
            <w:noWrap/>
            <w:hideMark/>
          </w:tcPr>
          <w:p w14:paraId="2687BB24" w14:textId="77777777" w:rsidR="00C2560F" w:rsidRPr="008E5A1D" w:rsidRDefault="00C2560F" w:rsidP="00AB280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Effectiveness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40231B56" w14:textId="77777777" w:rsidR="00C2560F" w:rsidRPr="008E5A1D" w:rsidRDefault="00C2560F" w:rsidP="00AB280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Efficiency</w:t>
            </w:r>
          </w:p>
        </w:tc>
        <w:tc>
          <w:tcPr>
            <w:tcW w:w="1701" w:type="dxa"/>
            <w:shd w:val="clear" w:color="auto" w:fill="A2DCD1" w:themeFill="accent1" w:themeFillTint="99"/>
            <w:noWrap/>
            <w:hideMark/>
          </w:tcPr>
          <w:p w14:paraId="1DDC821E" w14:textId="77777777" w:rsidR="00C2560F" w:rsidRPr="008E5A1D" w:rsidRDefault="00C2560F" w:rsidP="00AB280D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val="en-AU" w:eastAsia="en-AU"/>
              </w:rPr>
              <w:t>Gender Equality</w:t>
            </w:r>
          </w:p>
        </w:tc>
      </w:tr>
      <w:tr w:rsidR="008E5A1D" w:rsidRPr="008E5A1D" w14:paraId="320D57B3" w14:textId="77777777" w:rsidTr="00390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nil"/>
            </w:tcBorders>
            <w:shd w:val="clear" w:color="auto" w:fill="F2F2F2" w:themeFill="background1" w:themeFillShade="F2"/>
            <w:vAlign w:val="bottom"/>
          </w:tcPr>
          <w:p w14:paraId="7F19D05C" w14:textId="1A010352" w:rsidR="00C1456B" w:rsidRPr="008E5A1D" w:rsidRDefault="00C1456B" w:rsidP="00C1456B">
            <w:pPr>
              <w:spacing w:before="0" w:after="0" w:line="240" w:lineRule="auto"/>
              <w:rPr>
                <w:rFonts w:eastAsia="Times New Roman"/>
                <w:color w:val="auto"/>
                <w:lang w:eastAsia="en-AU"/>
              </w:rPr>
            </w:pPr>
            <w:r w:rsidRPr="008E5A1D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Pacific Women (Vanuatu)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5B543B" w14:textId="34245EEE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2023 FIMR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6BB2A2E" w14:textId="1167931C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54E233F" w14:textId="4D834BF9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21AAD72B" w14:textId="41066F24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  <w:tr w:rsidR="008E5A1D" w:rsidRPr="008E5A1D" w14:paraId="48B71AE8" w14:textId="77777777" w:rsidTr="00390B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hRule="exact"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nil"/>
            </w:tcBorders>
            <w:shd w:val="clear" w:color="auto" w:fill="F2F2F2" w:themeFill="background1" w:themeFillShade="F2"/>
          </w:tcPr>
          <w:p w14:paraId="2107F80E" w14:textId="01DA25DA" w:rsidR="00C1456B" w:rsidRPr="008E5A1D" w:rsidRDefault="001D0291" w:rsidP="00B5354E">
            <w:pPr>
              <w:suppressAutoHyphens w:val="0"/>
              <w:spacing w:before="0" w:after="0" w:line="240" w:lineRule="auto"/>
              <w:rPr>
                <w:rFonts w:eastAsia="Times New Roman"/>
                <w:color w:val="auto"/>
                <w:lang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Investment duration</w:t>
            </w:r>
            <w:r w:rsidR="00DF7812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 xml:space="preserve">: 2016-22; Budget: </w:t>
            </w:r>
            <w:r w:rsidR="00C1456B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$</w:t>
            </w:r>
            <w:r w:rsidR="00412B26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10.5</w:t>
            </w:r>
            <w:r w:rsidR="00C1456B"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9C3FB0A" w14:textId="478CC1C6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2022 IMR</w:t>
            </w:r>
          </w:p>
        </w:tc>
        <w:tc>
          <w:tcPr>
            <w:tcW w:w="1559" w:type="dxa"/>
            <w:shd w:val="clear" w:color="auto" w:fill="F2F2F2" w:themeFill="background1" w:themeFillShade="F2"/>
            <w:noWrap/>
          </w:tcPr>
          <w:p w14:paraId="7E82932F" w14:textId="21656AB2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2556922" w14:textId="08AD4AD1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1AF2F51" w14:textId="07BD8939" w:rsidR="00C1456B" w:rsidRPr="008E5A1D" w:rsidRDefault="00C1456B" w:rsidP="00C1456B">
            <w:pPr>
              <w:suppressAutoHyphens w:val="0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auto"/>
                <w:lang w:val="en-AU" w:eastAsia="en-AU"/>
              </w:rPr>
            </w:pPr>
            <w:r w:rsidRPr="008E5A1D">
              <w:rPr>
                <w:rFonts w:asciiTheme="minorHAnsi" w:eastAsia="Times New Roman" w:hAnsiTheme="minorHAnsi" w:cstheme="minorHAnsi"/>
                <w:color w:val="auto"/>
                <w:lang w:val="en-AU" w:eastAsia="en-AU"/>
              </w:rPr>
              <w:t>5</w:t>
            </w:r>
          </w:p>
        </w:tc>
      </w:tr>
    </w:tbl>
    <w:p w14:paraId="7F3E5F1F" w14:textId="77777777" w:rsidR="00C2560F" w:rsidRPr="008E5A1D" w:rsidRDefault="00C2560F" w:rsidP="00B5354E">
      <w:pPr>
        <w:pStyle w:val="Heading2"/>
      </w:pPr>
    </w:p>
    <w:p w14:paraId="3C3E53FA" w14:textId="77777777" w:rsidR="00ED22A3" w:rsidRDefault="00ED22A3">
      <w:pPr>
        <w:suppressAutoHyphens w:val="0"/>
        <w:spacing w:before="0" w:after="120" w:line="440" w:lineRule="atLeast"/>
        <w:rPr>
          <w:rFonts w:eastAsia="Times New Roman" w:cstheme="minorHAnsi"/>
          <w:b/>
          <w:iCs/>
          <w:color w:val="auto"/>
          <w:sz w:val="26"/>
          <w:szCs w:val="21"/>
        </w:rPr>
      </w:pPr>
      <w:r>
        <w:br w:type="page"/>
      </w:r>
    </w:p>
    <w:p w14:paraId="17600418" w14:textId="4070A387" w:rsidR="00681633" w:rsidRPr="008E5A1D" w:rsidRDefault="300E1F71" w:rsidP="00ED22A3">
      <w:pPr>
        <w:pStyle w:val="Heading3"/>
      </w:pPr>
      <w:r w:rsidRPr="008E5A1D">
        <w:lastRenderedPageBreak/>
        <w:t>Definitions of rating scale:</w:t>
      </w:r>
      <w:r w:rsidR="00681633" w:rsidRPr="008E5A1D">
        <w:tab/>
      </w:r>
    </w:p>
    <w:p w14:paraId="5989C7B0" w14:textId="77777777" w:rsidR="00681633" w:rsidRPr="008E5A1D" w:rsidRDefault="00681633" w:rsidP="00681633">
      <w:pPr>
        <w:spacing w:before="20" w:after="20" w:line="180" w:lineRule="atLeast"/>
        <w:jc w:val="both"/>
        <w:rPr>
          <w:rFonts w:eastAsia="Times New Roman"/>
          <w:color w:val="auto"/>
          <w:sz w:val="20"/>
          <w:szCs w:val="20"/>
        </w:rPr>
      </w:pPr>
      <w:r w:rsidRPr="008E5A1D">
        <w:rPr>
          <w:rFonts w:eastAsia="Times New Roman"/>
          <w:color w:val="auto"/>
          <w:sz w:val="20"/>
          <w:szCs w:val="20"/>
          <w:u w:val="single"/>
        </w:rPr>
        <w:t>Satisfactory (4, 5 and 6)</w:t>
      </w:r>
    </w:p>
    <w:p w14:paraId="15BE82E8" w14:textId="77777777" w:rsidR="00681633" w:rsidRPr="008E5A1D" w:rsidRDefault="00681633" w:rsidP="00681633">
      <w:pPr>
        <w:spacing w:line="240" w:lineRule="auto"/>
        <w:rPr>
          <w:color w:val="auto"/>
          <w:sz w:val="20"/>
          <w:szCs w:val="20"/>
        </w:rPr>
      </w:pPr>
      <w:r w:rsidRPr="008E5A1D">
        <w:rPr>
          <w:color w:val="auto"/>
          <w:sz w:val="20"/>
          <w:szCs w:val="20"/>
        </w:rPr>
        <w:t xml:space="preserve">6 = Very good; satisfies criteria in all areas. </w:t>
      </w:r>
      <w:r w:rsidRPr="008E5A1D">
        <w:rPr>
          <w:color w:val="auto"/>
          <w:sz w:val="20"/>
          <w:szCs w:val="20"/>
        </w:rPr>
        <w:br/>
        <w:t>5 = Good; satisfies criteria in almost all areas.</w:t>
      </w:r>
      <w:r w:rsidRPr="008E5A1D">
        <w:rPr>
          <w:color w:val="auto"/>
          <w:sz w:val="20"/>
          <w:szCs w:val="20"/>
        </w:rPr>
        <w:br/>
        <w:t>4 = Adequate; on balance, satisfies criteria; does not fail in any major area.</w:t>
      </w:r>
    </w:p>
    <w:p w14:paraId="48B0BB33" w14:textId="77777777" w:rsidR="00681633" w:rsidRPr="008E5A1D" w:rsidRDefault="00681633" w:rsidP="00681633">
      <w:pPr>
        <w:spacing w:line="240" w:lineRule="auto"/>
        <w:rPr>
          <w:color w:val="auto"/>
          <w:sz w:val="20"/>
          <w:szCs w:val="20"/>
          <w:u w:val="single"/>
        </w:rPr>
      </w:pPr>
      <w:r w:rsidRPr="008E5A1D">
        <w:rPr>
          <w:color w:val="auto"/>
          <w:sz w:val="20"/>
          <w:szCs w:val="20"/>
          <w:u w:val="single"/>
        </w:rPr>
        <w:t>Less than satisfactory (1, 2 and 3)</w:t>
      </w:r>
    </w:p>
    <w:p w14:paraId="4DC45723" w14:textId="1DDB53CF" w:rsidR="00681633" w:rsidRPr="00077B0B" w:rsidRDefault="00681633" w:rsidP="00996FC8">
      <w:pPr>
        <w:spacing w:line="240" w:lineRule="auto"/>
        <w:rPr>
          <w:sz w:val="20"/>
          <w:szCs w:val="20"/>
        </w:rPr>
      </w:pPr>
      <w:r w:rsidRPr="008E5A1D">
        <w:rPr>
          <w:color w:val="auto"/>
          <w:sz w:val="20"/>
          <w:szCs w:val="20"/>
        </w:rPr>
        <w:t>3 = Less than adequate; on balance does not satisfy criteria and/or fails in at least one major area.</w:t>
      </w:r>
      <w:r w:rsidRPr="008E5A1D">
        <w:rPr>
          <w:color w:val="auto"/>
          <w:sz w:val="20"/>
          <w:szCs w:val="20"/>
        </w:rPr>
        <w:br/>
        <w:t>2 = Poor; does not satisfy criteria in major areas.</w:t>
      </w:r>
      <w:r w:rsidR="00996FC8" w:rsidRPr="008E5A1D">
        <w:rPr>
          <w:color w:val="auto"/>
          <w:sz w:val="20"/>
          <w:szCs w:val="20"/>
        </w:rPr>
        <w:br/>
      </w:r>
      <w:r w:rsidRPr="008E5A1D">
        <w:rPr>
          <w:color w:val="auto"/>
          <w:sz w:val="20"/>
          <w:szCs w:val="20"/>
        </w:rPr>
        <w:t xml:space="preserve">1 = Very poor; does not satisfy criteria in many major </w:t>
      </w:r>
      <w:r w:rsidR="00D03F59" w:rsidRPr="008E5A1D">
        <w:rPr>
          <w:color w:val="auto"/>
          <w:sz w:val="20"/>
          <w:szCs w:val="20"/>
        </w:rPr>
        <w:t>areas</w:t>
      </w:r>
      <w:r w:rsidRPr="00077B0B">
        <w:rPr>
          <w:sz w:val="20"/>
          <w:szCs w:val="20"/>
        </w:rPr>
        <w:t>.</w:t>
      </w:r>
    </w:p>
    <w:sectPr w:rsidR="00681633" w:rsidRPr="00077B0B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167A" w14:textId="77777777" w:rsidR="007B54DA" w:rsidRDefault="007B54DA" w:rsidP="00D37B04">
      <w:r>
        <w:separator/>
      </w:r>
    </w:p>
  </w:endnote>
  <w:endnote w:type="continuationSeparator" w:id="0">
    <w:p w14:paraId="3DC15C84" w14:textId="77777777" w:rsidR="007B54DA" w:rsidRDefault="007B54DA" w:rsidP="00D37B04">
      <w:r>
        <w:continuationSeparator/>
      </w:r>
    </w:p>
  </w:endnote>
  <w:endnote w:type="continuationNotice" w:id="1">
    <w:p w14:paraId="2F417B13" w14:textId="77777777" w:rsidR="007B54DA" w:rsidRDefault="007B54D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0B9" w14:textId="77777777" w:rsidR="005E37AA" w:rsidRDefault="005E3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6EFC2" w14:textId="1258C877" w:rsidR="001D3DDD" w:rsidRPr="0042526D" w:rsidRDefault="0005564F" w:rsidP="00EC2FAB">
        <w:pPr>
          <w:spacing w:before="60"/>
          <w:ind w:left="170" w:hanging="170"/>
          <w:jc w:val="center"/>
          <w:rPr>
            <w:noProof/>
            <w:color w:val="auto"/>
            <w:sz w:val="20"/>
            <w:szCs w:val="20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8240" behindDoc="1" locked="0" layoutInCell="1" allowOverlap="1" wp14:anchorId="0A9940EE" wp14:editId="336C2F48">
              <wp:simplePos x="0" y="0"/>
              <wp:positionH relativeFrom="margin">
                <wp:posOffset>0</wp:posOffset>
              </wp:positionH>
              <wp:positionV relativeFrom="paragraph">
                <wp:posOffset>-99695</wp:posOffset>
              </wp:positionV>
              <wp:extent cx="6629948" cy="357173"/>
              <wp:effectExtent l="0" t="0" r="0" b="5080"/>
              <wp:wrapNone/>
              <wp:docPr id="310" name="Picture 3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D3DDD" w:rsidRPr="0042526D">
          <w:rPr>
            <w:color w:val="auto"/>
            <w:sz w:val="20"/>
            <w:szCs w:val="20"/>
          </w:rPr>
          <w:fldChar w:fldCharType="begin"/>
        </w:r>
        <w:r w:rsidR="001D3DDD" w:rsidRPr="0042526D">
          <w:rPr>
            <w:color w:val="auto"/>
            <w:sz w:val="20"/>
            <w:szCs w:val="20"/>
          </w:rPr>
          <w:instrText xml:space="preserve"> PAGE   \* MERGEFORMAT </w:instrText>
        </w:r>
        <w:r w:rsidR="001D3DDD" w:rsidRPr="0042526D">
          <w:rPr>
            <w:color w:val="auto"/>
            <w:sz w:val="20"/>
            <w:szCs w:val="20"/>
          </w:rPr>
          <w:fldChar w:fldCharType="separate"/>
        </w:r>
        <w:r w:rsidR="001D3DDD" w:rsidRPr="0042526D">
          <w:rPr>
            <w:noProof/>
            <w:color w:val="auto"/>
            <w:sz w:val="20"/>
            <w:szCs w:val="20"/>
          </w:rPr>
          <w:t>2</w:t>
        </w:r>
        <w:r w:rsidR="001D3DDD" w:rsidRPr="0042526D">
          <w:rPr>
            <w:noProof/>
            <w:color w:val="auto"/>
            <w:sz w:val="20"/>
            <w:szCs w:val="20"/>
          </w:rPr>
          <w:fldChar w:fldCharType="end"/>
        </w:r>
      </w:p>
      <w:p w14:paraId="1E51B8D5" w14:textId="59F3CE97" w:rsidR="001D3DDD" w:rsidRPr="001D3DDD" w:rsidRDefault="001D6095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9131E9" w:rsidRDefault="009131E9" w:rsidP="009131E9">
    <w:pPr>
      <w:pStyle w:val="Footer"/>
      <w:spacing w:line="240" w:lineRule="aut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76B6" w14:textId="77777777" w:rsidR="005E37AA" w:rsidRDefault="005E3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5115" w14:textId="77777777" w:rsidR="007B54DA" w:rsidRPr="008C5A0E" w:rsidRDefault="007B54DA" w:rsidP="00D37B04">
      <w:pPr>
        <w:pStyle w:val="Footer"/>
      </w:pPr>
    </w:p>
  </w:footnote>
  <w:footnote w:type="continuationSeparator" w:id="0">
    <w:p w14:paraId="427A18F9" w14:textId="77777777" w:rsidR="007B54DA" w:rsidRDefault="007B54DA" w:rsidP="00D37B04">
      <w:r>
        <w:continuationSeparator/>
      </w:r>
    </w:p>
  </w:footnote>
  <w:footnote w:type="continuationNotice" w:id="1">
    <w:p w14:paraId="2C19AFAC" w14:textId="77777777" w:rsidR="007B54DA" w:rsidRDefault="007B54DA">
      <w:pPr>
        <w:spacing w:before="0" w:after="0" w:line="240" w:lineRule="auto"/>
      </w:pPr>
    </w:p>
  </w:footnote>
  <w:footnote w:id="2">
    <w:p w14:paraId="62F72147" w14:textId="400C2CFC" w:rsidR="00C56023" w:rsidRPr="00EC2FAB" w:rsidRDefault="00C56023">
      <w:pPr>
        <w:pStyle w:val="FootnoteText"/>
        <w:rPr>
          <w:sz w:val="16"/>
          <w:szCs w:val="16"/>
          <w:lang w:val="en-AU"/>
        </w:rPr>
      </w:pPr>
      <w:r w:rsidRPr="00EC2FAB">
        <w:rPr>
          <w:rStyle w:val="FootnoteReference"/>
          <w:sz w:val="16"/>
          <w:szCs w:val="16"/>
          <w:vertAlign w:val="baseline"/>
        </w:rPr>
        <w:footnoteRef/>
      </w:r>
      <w:r w:rsidRPr="00EC2FAB">
        <w:rPr>
          <w:sz w:val="16"/>
          <w:szCs w:val="16"/>
        </w:rPr>
        <w:t xml:space="preserve"> </w:t>
      </w:r>
      <w:r w:rsidRPr="00EC2FAB">
        <w:rPr>
          <w:sz w:val="16"/>
          <w:szCs w:val="16"/>
          <w:lang w:val="en-AU"/>
        </w:rPr>
        <w:t xml:space="preserve">New indicator in </w:t>
      </w:r>
      <w:r w:rsidR="0089331A">
        <w:rPr>
          <w:sz w:val="16"/>
          <w:szCs w:val="16"/>
          <w:lang w:val="en-AU"/>
        </w:rPr>
        <w:t>20</w:t>
      </w:r>
      <w:r w:rsidRPr="00EC2FAB">
        <w:rPr>
          <w:sz w:val="16"/>
          <w:szCs w:val="16"/>
          <w:lang w:val="en-AU"/>
        </w:rPr>
        <w:t>22</w:t>
      </w:r>
      <w:r w:rsidR="00FD00FF">
        <w:rPr>
          <w:sz w:val="16"/>
          <w:szCs w:val="16"/>
          <w:lang w:val="en-AU"/>
        </w:rPr>
        <w:t>-</w:t>
      </w:r>
      <w:r w:rsidRPr="00EC2FAB">
        <w:rPr>
          <w:sz w:val="16"/>
          <w:szCs w:val="16"/>
          <w:lang w:val="en-AU"/>
        </w:rPr>
        <w:t>23</w:t>
      </w:r>
    </w:p>
  </w:footnote>
  <w:footnote w:id="3">
    <w:p w14:paraId="6DC1D7E5" w14:textId="359A7544" w:rsidR="00AF54A5" w:rsidRPr="00EC2FAB" w:rsidRDefault="00AF54A5" w:rsidP="00AF54A5">
      <w:pPr>
        <w:pStyle w:val="FootnoteText"/>
        <w:rPr>
          <w:sz w:val="16"/>
          <w:szCs w:val="16"/>
          <w:lang w:val="en-AU"/>
        </w:rPr>
      </w:pPr>
      <w:r w:rsidRPr="0089331A">
        <w:rPr>
          <w:rStyle w:val="FootnoteReference"/>
          <w:sz w:val="16"/>
          <w:szCs w:val="16"/>
          <w:vertAlign w:val="baseline"/>
        </w:rPr>
        <w:footnoteRef/>
      </w:r>
      <w:r w:rsidRPr="0089331A">
        <w:rPr>
          <w:sz w:val="16"/>
          <w:szCs w:val="16"/>
        </w:rPr>
        <w:t xml:space="preserve"> </w:t>
      </w:r>
      <w:r w:rsidRPr="0089331A">
        <w:rPr>
          <w:sz w:val="16"/>
          <w:szCs w:val="16"/>
          <w:lang w:val="en-AU"/>
        </w:rPr>
        <w:t xml:space="preserve">New indicator in </w:t>
      </w:r>
      <w:r w:rsidR="0089331A" w:rsidRPr="0089331A">
        <w:rPr>
          <w:sz w:val="16"/>
          <w:szCs w:val="16"/>
          <w:lang w:val="en-AU"/>
        </w:rPr>
        <w:t>20</w:t>
      </w:r>
      <w:r w:rsidRPr="0089331A">
        <w:rPr>
          <w:sz w:val="16"/>
          <w:szCs w:val="16"/>
          <w:lang w:val="en-AU"/>
        </w:rPr>
        <w:t>22</w:t>
      </w:r>
      <w:r w:rsidR="00FD00FF">
        <w:rPr>
          <w:sz w:val="16"/>
          <w:szCs w:val="16"/>
          <w:lang w:val="en-AU"/>
        </w:rPr>
        <w:t>-</w:t>
      </w:r>
      <w:r w:rsidRPr="0089331A">
        <w:rPr>
          <w:sz w:val="16"/>
          <w:szCs w:val="16"/>
          <w:lang w:val="en-AU"/>
        </w:rPr>
        <w:t>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2437" w14:textId="77777777" w:rsidR="005E37AA" w:rsidRDefault="005E3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E92" w14:textId="5DE035D6" w:rsidR="009131E9" w:rsidRDefault="009131E9" w:rsidP="007A4493">
    <w:pPr>
      <w:pStyle w:val="Header"/>
      <w:ind w:left="0"/>
    </w:pP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309" name="Picture 30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E375E" w14:textId="77777777" w:rsidR="00EC2FAB" w:rsidRDefault="00EC2FAB" w:rsidP="007A4493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A5E" w14:textId="483FCFE4" w:rsidR="00920854" w:rsidRDefault="009131E9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311" name="Picture 311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92AB9" w14:textId="77777777" w:rsidR="00920854" w:rsidRPr="00943730" w:rsidRDefault="00920854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38F132CE"/>
    <w:multiLevelType w:val="multilevel"/>
    <w:tmpl w:val="3B7A10DE"/>
    <w:numStyleLink w:val="BulletsList"/>
  </w:abstractNum>
  <w:abstractNum w:abstractNumId="7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1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D3019"/>
    <w:multiLevelType w:val="hybridMultilevel"/>
    <w:tmpl w:val="C2EA2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5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8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79BB"/>
    <w:multiLevelType w:val="hybridMultilevel"/>
    <w:tmpl w:val="8058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3274753">
    <w:abstractNumId w:val="22"/>
  </w:num>
  <w:num w:numId="2" w16cid:durableId="1383601203">
    <w:abstractNumId w:val="1"/>
  </w:num>
  <w:num w:numId="3" w16cid:durableId="319120605">
    <w:abstractNumId w:val="5"/>
  </w:num>
  <w:num w:numId="4" w16cid:durableId="305283904">
    <w:abstractNumId w:val="14"/>
  </w:num>
  <w:num w:numId="5" w16cid:durableId="2135638982">
    <w:abstractNumId w:val="17"/>
  </w:num>
  <w:num w:numId="6" w16cid:durableId="1368604776">
    <w:abstractNumId w:val="5"/>
  </w:num>
  <w:num w:numId="7" w16cid:durableId="949046480">
    <w:abstractNumId w:val="1"/>
  </w:num>
  <w:num w:numId="8" w16cid:durableId="1576696065">
    <w:abstractNumId w:val="3"/>
  </w:num>
  <w:num w:numId="9" w16cid:durableId="1796632600">
    <w:abstractNumId w:val="25"/>
  </w:num>
  <w:num w:numId="10" w16cid:durableId="1205407063">
    <w:abstractNumId w:val="6"/>
  </w:num>
  <w:num w:numId="11" w16cid:durableId="1105493169">
    <w:abstractNumId w:val="11"/>
  </w:num>
  <w:num w:numId="12" w16cid:durableId="411464620">
    <w:abstractNumId w:val="12"/>
  </w:num>
  <w:num w:numId="13" w16cid:durableId="1995137753">
    <w:abstractNumId w:val="0"/>
  </w:num>
  <w:num w:numId="14" w16cid:durableId="1910194437">
    <w:abstractNumId w:val="10"/>
  </w:num>
  <w:num w:numId="15" w16cid:durableId="876233729">
    <w:abstractNumId w:val="15"/>
  </w:num>
  <w:num w:numId="16" w16cid:durableId="1401060447">
    <w:abstractNumId w:val="19"/>
  </w:num>
  <w:num w:numId="17" w16cid:durableId="1738163198">
    <w:abstractNumId w:val="4"/>
  </w:num>
  <w:num w:numId="18" w16cid:durableId="578710075">
    <w:abstractNumId w:val="16"/>
  </w:num>
  <w:num w:numId="19" w16cid:durableId="1455173352">
    <w:abstractNumId w:val="24"/>
  </w:num>
  <w:num w:numId="20" w16cid:durableId="594215023">
    <w:abstractNumId w:val="8"/>
  </w:num>
  <w:num w:numId="21" w16cid:durableId="1083839384">
    <w:abstractNumId w:val="23"/>
  </w:num>
  <w:num w:numId="22" w16cid:durableId="362944788">
    <w:abstractNumId w:val="7"/>
  </w:num>
  <w:num w:numId="23" w16cid:durableId="1643198583">
    <w:abstractNumId w:val="2"/>
  </w:num>
  <w:num w:numId="24" w16cid:durableId="1663238415">
    <w:abstractNumId w:val="21"/>
  </w:num>
  <w:num w:numId="25" w16cid:durableId="1890260840">
    <w:abstractNumId w:val="26"/>
  </w:num>
  <w:num w:numId="26" w16cid:durableId="216473753">
    <w:abstractNumId w:val="9"/>
  </w:num>
  <w:num w:numId="27" w16cid:durableId="1984848509">
    <w:abstractNumId w:val="18"/>
  </w:num>
  <w:num w:numId="28" w16cid:durableId="311251070">
    <w:abstractNumId w:val="20"/>
  </w:num>
  <w:num w:numId="29" w16cid:durableId="7511277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DA8"/>
    <w:rsid w:val="000020C1"/>
    <w:rsid w:val="0000259D"/>
    <w:rsid w:val="00005E7E"/>
    <w:rsid w:val="00010006"/>
    <w:rsid w:val="00010B4D"/>
    <w:rsid w:val="00010D3E"/>
    <w:rsid w:val="00011235"/>
    <w:rsid w:val="00011D66"/>
    <w:rsid w:val="00015306"/>
    <w:rsid w:val="00015AB7"/>
    <w:rsid w:val="00015DC0"/>
    <w:rsid w:val="0002080A"/>
    <w:rsid w:val="0002125E"/>
    <w:rsid w:val="0002782F"/>
    <w:rsid w:val="00031486"/>
    <w:rsid w:val="000314BA"/>
    <w:rsid w:val="00035BBF"/>
    <w:rsid w:val="00035CBC"/>
    <w:rsid w:val="00035FB1"/>
    <w:rsid w:val="000417C3"/>
    <w:rsid w:val="00041CA8"/>
    <w:rsid w:val="000444F3"/>
    <w:rsid w:val="00050806"/>
    <w:rsid w:val="00051F3B"/>
    <w:rsid w:val="00052368"/>
    <w:rsid w:val="000534B3"/>
    <w:rsid w:val="0005380F"/>
    <w:rsid w:val="0005417C"/>
    <w:rsid w:val="000546D9"/>
    <w:rsid w:val="00054E4D"/>
    <w:rsid w:val="0005564F"/>
    <w:rsid w:val="00055880"/>
    <w:rsid w:val="00056F24"/>
    <w:rsid w:val="00057A45"/>
    <w:rsid w:val="0006004C"/>
    <w:rsid w:val="00060073"/>
    <w:rsid w:val="000616C6"/>
    <w:rsid w:val="0006598D"/>
    <w:rsid w:val="00077B0B"/>
    <w:rsid w:val="000822AD"/>
    <w:rsid w:val="000854FD"/>
    <w:rsid w:val="000911E9"/>
    <w:rsid w:val="0009676B"/>
    <w:rsid w:val="000A25AC"/>
    <w:rsid w:val="000A39DD"/>
    <w:rsid w:val="000A407E"/>
    <w:rsid w:val="000A4FFC"/>
    <w:rsid w:val="000A7826"/>
    <w:rsid w:val="000B0622"/>
    <w:rsid w:val="000B37F5"/>
    <w:rsid w:val="000B40E9"/>
    <w:rsid w:val="000B5DA7"/>
    <w:rsid w:val="000B78E6"/>
    <w:rsid w:val="000C1C1F"/>
    <w:rsid w:val="000C3A4C"/>
    <w:rsid w:val="000C40C9"/>
    <w:rsid w:val="000C4411"/>
    <w:rsid w:val="000C5534"/>
    <w:rsid w:val="000C5D8D"/>
    <w:rsid w:val="000C7193"/>
    <w:rsid w:val="000D003A"/>
    <w:rsid w:val="000D2896"/>
    <w:rsid w:val="000D66D6"/>
    <w:rsid w:val="000E1045"/>
    <w:rsid w:val="000E1226"/>
    <w:rsid w:val="000E58BF"/>
    <w:rsid w:val="000E6C44"/>
    <w:rsid w:val="000E7DC4"/>
    <w:rsid w:val="000F0F1E"/>
    <w:rsid w:val="000F1286"/>
    <w:rsid w:val="000F22AB"/>
    <w:rsid w:val="000F2600"/>
    <w:rsid w:val="000F78C9"/>
    <w:rsid w:val="000F78FA"/>
    <w:rsid w:val="00100347"/>
    <w:rsid w:val="00102ED9"/>
    <w:rsid w:val="00103AFD"/>
    <w:rsid w:val="001042A6"/>
    <w:rsid w:val="00104C8B"/>
    <w:rsid w:val="00106ADF"/>
    <w:rsid w:val="00107072"/>
    <w:rsid w:val="001128E4"/>
    <w:rsid w:val="00113288"/>
    <w:rsid w:val="0011475A"/>
    <w:rsid w:val="001164F1"/>
    <w:rsid w:val="00116E9F"/>
    <w:rsid w:val="001203A0"/>
    <w:rsid w:val="001214BE"/>
    <w:rsid w:val="0012165D"/>
    <w:rsid w:val="00121DDD"/>
    <w:rsid w:val="001227F1"/>
    <w:rsid w:val="001235AD"/>
    <w:rsid w:val="00125077"/>
    <w:rsid w:val="0013101C"/>
    <w:rsid w:val="00132357"/>
    <w:rsid w:val="0013385F"/>
    <w:rsid w:val="00134AEA"/>
    <w:rsid w:val="001355B4"/>
    <w:rsid w:val="00137F4E"/>
    <w:rsid w:val="001402E5"/>
    <w:rsid w:val="00144BD2"/>
    <w:rsid w:val="001461D6"/>
    <w:rsid w:val="00146C37"/>
    <w:rsid w:val="00146E07"/>
    <w:rsid w:val="001541EA"/>
    <w:rsid w:val="00160557"/>
    <w:rsid w:val="00160A6F"/>
    <w:rsid w:val="0016223D"/>
    <w:rsid w:val="00163DB1"/>
    <w:rsid w:val="00166032"/>
    <w:rsid w:val="001662F8"/>
    <w:rsid w:val="001665E5"/>
    <w:rsid w:val="00167165"/>
    <w:rsid w:val="001828E9"/>
    <w:rsid w:val="001841C8"/>
    <w:rsid w:val="00186B4B"/>
    <w:rsid w:val="00192A9C"/>
    <w:rsid w:val="00193C49"/>
    <w:rsid w:val="00195E38"/>
    <w:rsid w:val="00196C09"/>
    <w:rsid w:val="001A1BD9"/>
    <w:rsid w:val="001A4F3B"/>
    <w:rsid w:val="001A51EE"/>
    <w:rsid w:val="001A7815"/>
    <w:rsid w:val="001A7A74"/>
    <w:rsid w:val="001A7E0F"/>
    <w:rsid w:val="001B44E7"/>
    <w:rsid w:val="001B78DA"/>
    <w:rsid w:val="001B7D2F"/>
    <w:rsid w:val="001C14F4"/>
    <w:rsid w:val="001C1F11"/>
    <w:rsid w:val="001C2D07"/>
    <w:rsid w:val="001C3E1B"/>
    <w:rsid w:val="001C483F"/>
    <w:rsid w:val="001C5221"/>
    <w:rsid w:val="001C72C5"/>
    <w:rsid w:val="001D0291"/>
    <w:rsid w:val="001D1A8F"/>
    <w:rsid w:val="001D3689"/>
    <w:rsid w:val="001D3C98"/>
    <w:rsid w:val="001D3DDD"/>
    <w:rsid w:val="001D4091"/>
    <w:rsid w:val="001D6095"/>
    <w:rsid w:val="001D663E"/>
    <w:rsid w:val="001E03BE"/>
    <w:rsid w:val="001E1DC0"/>
    <w:rsid w:val="001E20CA"/>
    <w:rsid w:val="001E222C"/>
    <w:rsid w:val="001E3760"/>
    <w:rsid w:val="001E4E03"/>
    <w:rsid w:val="001E563B"/>
    <w:rsid w:val="001E6D20"/>
    <w:rsid w:val="001F16E7"/>
    <w:rsid w:val="001F4386"/>
    <w:rsid w:val="001F501B"/>
    <w:rsid w:val="001F63EC"/>
    <w:rsid w:val="001F7A8B"/>
    <w:rsid w:val="001F7F4D"/>
    <w:rsid w:val="00207939"/>
    <w:rsid w:val="00214573"/>
    <w:rsid w:val="00216C55"/>
    <w:rsid w:val="002219E4"/>
    <w:rsid w:val="002231BD"/>
    <w:rsid w:val="002270F7"/>
    <w:rsid w:val="0022790D"/>
    <w:rsid w:val="00227E56"/>
    <w:rsid w:val="00231561"/>
    <w:rsid w:val="002326DD"/>
    <w:rsid w:val="002404E8"/>
    <w:rsid w:val="00242D6E"/>
    <w:rsid w:val="00244229"/>
    <w:rsid w:val="002443C7"/>
    <w:rsid w:val="00244B60"/>
    <w:rsid w:val="00246549"/>
    <w:rsid w:val="00247365"/>
    <w:rsid w:val="00247BED"/>
    <w:rsid w:val="00252FE3"/>
    <w:rsid w:val="00255F45"/>
    <w:rsid w:val="00257949"/>
    <w:rsid w:val="002608E2"/>
    <w:rsid w:val="00261565"/>
    <w:rsid w:val="002616C5"/>
    <w:rsid w:val="002703E8"/>
    <w:rsid w:val="00270C70"/>
    <w:rsid w:val="00271D5E"/>
    <w:rsid w:val="002721B5"/>
    <w:rsid w:val="00273819"/>
    <w:rsid w:val="00273FF1"/>
    <w:rsid w:val="002854E4"/>
    <w:rsid w:val="0028602A"/>
    <w:rsid w:val="002863E4"/>
    <w:rsid w:val="00286A28"/>
    <w:rsid w:val="002901E1"/>
    <w:rsid w:val="00291D7F"/>
    <w:rsid w:val="002945C4"/>
    <w:rsid w:val="0029663F"/>
    <w:rsid w:val="00297258"/>
    <w:rsid w:val="00297FD1"/>
    <w:rsid w:val="002A011B"/>
    <w:rsid w:val="002A1E39"/>
    <w:rsid w:val="002A283A"/>
    <w:rsid w:val="002A303A"/>
    <w:rsid w:val="002A72EF"/>
    <w:rsid w:val="002B2057"/>
    <w:rsid w:val="002B3381"/>
    <w:rsid w:val="002B55F3"/>
    <w:rsid w:val="002B5E10"/>
    <w:rsid w:val="002C1861"/>
    <w:rsid w:val="002C793D"/>
    <w:rsid w:val="002D04CC"/>
    <w:rsid w:val="002D25D9"/>
    <w:rsid w:val="002D35C9"/>
    <w:rsid w:val="002D37C0"/>
    <w:rsid w:val="002D38D6"/>
    <w:rsid w:val="002D4108"/>
    <w:rsid w:val="002D430F"/>
    <w:rsid w:val="002D5B25"/>
    <w:rsid w:val="002D626F"/>
    <w:rsid w:val="002E2AF4"/>
    <w:rsid w:val="002E38B2"/>
    <w:rsid w:val="002E500A"/>
    <w:rsid w:val="002F03FB"/>
    <w:rsid w:val="002F0903"/>
    <w:rsid w:val="002F2618"/>
    <w:rsid w:val="002F4F2B"/>
    <w:rsid w:val="002F6581"/>
    <w:rsid w:val="002F67AE"/>
    <w:rsid w:val="003002C0"/>
    <w:rsid w:val="00300FBA"/>
    <w:rsid w:val="00301144"/>
    <w:rsid w:val="003013AA"/>
    <w:rsid w:val="0030234E"/>
    <w:rsid w:val="003031C6"/>
    <w:rsid w:val="00304984"/>
    <w:rsid w:val="00307370"/>
    <w:rsid w:val="00310ECF"/>
    <w:rsid w:val="00311946"/>
    <w:rsid w:val="00311E1C"/>
    <w:rsid w:val="00312BF8"/>
    <w:rsid w:val="00313E07"/>
    <w:rsid w:val="003148B7"/>
    <w:rsid w:val="003158C3"/>
    <w:rsid w:val="00320DC8"/>
    <w:rsid w:val="00326190"/>
    <w:rsid w:val="003274CD"/>
    <w:rsid w:val="003275AF"/>
    <w:rsid w:val="00330FF5"/>
    <w:rsid w:val="003317A9"/>
    <w:rsid w:val="00333501"/>
    <w:rsid w:val="0033779C"/>
    <w:rsid w:val="003406AF"/>
    <w:rsid w:val="003406C3"/>
    <w:rsid w:val="0034562D"/>
    <w:rsid w:val="003457C4"/>
    <w:rsid w:val="00347699"/>
    <w:rsid w:val="0035119D"/>
    <w:rsid w:val="003512CA"/>
    <w:rsid w:val="003535F8"/>
    <w:rsid w:val="00354415"/>
    <w:rsid w:val="00354641"/>
    <w:rsid w:val="003546D0"/>
    <w:rsid w:val="0035532B"/>
    <w:rsid w:val="003622C1"/>
    <w:rsid w:val="00363A9F"/>
    <w:rsid w:val="0036403F"/>
    <w:rsid w:val="0036456C"/>
    <w:rsid w:val="003664FE"/>
    <w:rsid w:val="003705E3"/>
    <w:rsid w:val="003745FD"/>
    <w:rsid w:val="00374956"/>
    <w:rsid w:val="00375D23"/>
    <w:rsid w:val="003770C6"/>
    <w:rsid w:val="003806FE"/>
    <w:rsid w:val="00382CE7"/>
    <w:rsid w:val="0038438C"/>
    <w:rsid w:val="003848C6"/>
    <w:rsid w:val="00384D2A"/>
    <w:rsid w:val="00387873"/>
    <w:rsid w:val="00387EC8"/>
    <w:rsid w:val="00390BB1"/>
    <w:rsid w:val="0039215F"/>
    <w:rsid w:val="0039344A"/>
    <w:rsid w:val="003939FD"/>
    <w:rsid w:val="00396547"/>
    <w:rsid w:val="003A3F34"/>
    <w:rsid w:val="003A6D76"/>
    <w:rsid w:val="003B2A6E"/>
    <w:rsid w:val="003B3091"/>
    <w:rsid w:val="003B4F12"/>
    <w:rsid w:val="003B5132"/>
    <w:rsid w:val="003C03D0"/>
    <w:rsid w:val="003C4BED"/>
    <w:rsid w:val="003C61B2"/>
    <w:rsid w:val="003C6C4F"/>
    <w:rsid w:val="003C7D0E"/>
    <w:rsid w:val="003D1253"/>
    <w:rsid w:val="003D1DF4"/>
    <w:rsid w:val="003D2F93"/>
    <w:rsid w:val="003E03B8"/>
    <w:rsid w:val="003E0545"/>
    <w:rsid w:val="003E1E83"/>
    <w:rsid w:val="003E24BA"/>
    <w:rsid w:val="003F1C48"/>
    <w:rsid w:val="003F2041"/>
    <w:rsid w:val="003F4679"/>
    <w:rsid w:val="003F7D26"/>
    <w:rsid w:val="004007ED"/>
    <w:rsid w:val="00400D50"/>
    <w:rsid w:val="00402ACC"/>
    <w:rsid w:val="00403FD8"/>
    <w:rsid w:val="00404157"/>
    <w:rsid w:val="00404443"/>
    <w:rsid w:val="00404602"/>
    <w:rsid w:val="00407C0F"/>
    <w:rsid w:val="0041092B"/>
    <w:rsid w:val="004120EC"/>
    <w:rsid w:val="0041267F"/>
    <w:rsid w:val="00412B26"/>
    <w:rsid w:val="0041422E"/>
    <w:rsid w:val="00414AD9"/>
    <w:rsid w:val="004174A5"/>
    <w:rsid w:val="00417DDA"/>
    <w:rsid w:val="00423DB9"/>
    <w:rsid w:val="00423DE0"/>
    <w:rsid w:val="00423F31"/>
    <w:rsid w:val="0042526D"/>
    <w:rsid w:val="00426340"/>
    <w:rsid w:val="00426B6A"/>
    <w:rsid w:val="004303AA"/>
    <w:rsid w:val="004311AC"/>
    <w:rsid w:val="004315FF"/>
    <w:rsid w:val="00431899"/>
    <w:rsid w:val="00436688"/>
    <w:rsid w:val="004412B9"/>
    <w:rsid w:val="00442D6F"/>
    <w:rsid w:val="00443F72"/>
    <w:rsid w:val="0044491C"/>
    <w:rsid w:val="00446CC6"/>
    <w:rsid w:val="00446F46"/>
    <w:rsid w:val="00450381"/>
    <w:rsid w:val="004529F1"/>
    <w:rsid w:val="00453B1A"/>
    <w:rsid w:val="00454824"/>
    <w:rsid w:val="00455CA9"/>
    <w:rsid w:val="00455D4B"/>
    <w:rsid w:val="00456F85"/>
    <w:rsid w:val="004576DC"/>
    <w:rsid w:val="00462A57"/>
    <w:rsid w:val="00462E80"/>
    <w:rsid w:val="00467174"/>
    <w:rsid w:val="004708FA"/>
    <w:rsid w:val="00470CF2"/>
    <w:rsid w:val="0047145A"/>
    <w:rsid w:val="004728DD"/>
    <w:rsid w:val="00473F2D"/>
    <w:rsid w:val="00473F39"/>
    <w:rsid w:val="00474037"/>
    <w:rsid w:val="00475782"/>
    <w:rsid w:val="004821BB"/>
    <w:rsid w:val="00482AE8"/>
    <w:rsid w:val="00484348"/>
    <w:rsid w:val="00486804"/>
    <w:rsid w:val="00487549"/>
    <w:rsid w:val="00487D56"/>
    <w:rsid w:val="00493F17"/>
    <w:rsid w:val="00493F80"/>
    <w:rsid w:val="00494242"/>
    <w:rsid w:val="00496766"/>
    <w:rsid w:val="004A3093"/>
    <w:rsid w:val="004A41B8"/>
    <w:rsid w:val="004B0AB5"/>
    <w:rsid w:val="004B29D9"/>
    <w:rsid w:val="004B2D54"/>
    <w:rsid w:val="004B3775"/>
    <w:rsid w:val="004B4EF5"/>
    <w:rsid w:val="004B623D"/>
    <w:rsid w:val="004B6CC0"/>
    <w:rsid w:val="004D0BA0"/>
    <w:rsid w:val="004D6406"/>
    <w:rsid w:val="004D6B47"/>
    <w:rsid w:val="004D7F36"/>
    <w:rsid w:val="004E058F"/>
    <w:rsid w:val="004E0601"/>
    <w:rsid w:val="004E31EF"/>
    <w:rsid w:val="004E3300"/>
    <w:rsid w:val="004E37B2"/>
    <w:rsid w:val="004E3B87"/>
    <w:rsid w:val="004E549D"/>
    <w:rsid w:val="004F1A41"/>
    <w:rsid w:val="004F3090"/>
    <w:rsid w:val="004F5615"/>
    <w:rsid w:val="004F6B7E"/>
    <w:rsid w:val="0050150F"/>
    <w:rsid w:val="00502041"/>
    <w:rsid w:val="00503EB4"/>
    <w:rsid w:val="0050592F"/>
    <w:rsid w:val="00510921"/>
    <w:rsid w:val="00510AD3"/>
    <w:rsid w:val="0051197C"/>
    <w:rsid w:val="00513348"/>
    <w:rsid w:val="00513AD8"/>
    <w:rsid w:val="00516BFD"/>
    <w:rsid w:val="00517DD0"/>
    <w:rsid w:val="005204D2"/>
    <w:rsid w:val="00522396"/>
    <w:rsid w:val="00527AD8"/>
    <w:rsid w:val="005303B9"/>
    <w:rsid w:val="0053159D"/>
    <w:rsid w:val="00531B69"/>
    <w:rsid w:val="00533B5D"/>
    <w:rsid w:val="00534D96"/>
    <w:rsid w:val="00535004"/>
    <w:rsid w:val="00536343"/>
    <w:rsid w:val="00536AC5"/>
    <w:rsid w:val="00536BAB"/>
    <w:rsid w:val="00540A22"/>
    <w:rsid w:val="0054190B"/>
    <w:rsid w:val="00546877"/>
    <w:rsid w:val="005474FC"/>
    <w:rsid w:val="00550384"/>
    <w:rsid w:val="00552E2F"/>
    <w:rsid w:val="00553079"/>
    <w:rsid w:val="005569A1"/>
    <w:rsid w:val="005579C6"/>
    <w:rsid w:val="00560E83"/>
    <w:rsid w:val="005620B8"/>
    <w:rsid w:val="00562BBB"/>
    <w:rsid w:val="0056D3BB"/>
    <w:rsid w:val="00572581"/>
    <w:rsid w:val="005736BB"/>
    <w:rsid w:val="00577815"/>
    <w:rsid w:val="005822D6"/>
    <w:rsid w:val="00583326"/>
    <w:rsid w:val="005838FD"/>
    <w:rsid w:val="005839E5"/>
    <w:rsid w:val="00585762"/>
    <w:rsid w:val="00592F03"/>
    <w:rsid w:val="0059380E"/>
    <w:rsid w:val="00596EDF"/>
    <w:rsid w:val="00597B38"/>
    <w:rsid w:val="005A15FC"/>
    <w:rsid w:val="005A20F6"/>
    <w:rsid w:val="005A257E"/>
    <w:rsid w:val="005A33AE"/>
    <w:rsid w:val="005A3D07"/>
    <w:rsid w:val="005A78BF"/>
    <w:rsid w:val="005B7577"/>
    <w:rsid w:val="005C2EC9"/>
    <w:rsid w:val="005C4FAE"/>
    <w:rsid w:val="005C532B"/>
    <w:rsid w:val="005D3296"/>
    <w:rsid w:val="005D3655"/>
    <w:rsid w:val="005D5489"/>
    <w:rsid w:val="005D69AA"/>
    <w:rsid w:val="005D7F03"/>
    <w:rsid w:val="005E0058"/>
    <w:rsid w:val="005E234E"/>
    <w:rsid w:val="005E37AA"/>
    <w:rsid w:val="005E4830"/>
    <w:rsid w:val="005E5524"/>
    <w:rsid w:val="005E73CC"/>
    <w:rsid w:val="005F2F66"/>
    <w:rsid w:val="005F5FE0"/>
    <w:rsid w:val="006031AC"/>
    <w:rsid w:val="00603321"/>
    <w:rsid w:val="00606793"/>
    <w:rsid w:val="006078F5"/>
    <w:rsid w:val="00610F46"/>
    <w:rsid w:val="0061537E"/>
    <w:rsid w:val="00616A58"/>
    <w:rsid w:val="0061740F"/>
    <w:rsid w:val="00620A3D"/>
    <w:rsid w:val="00622B86"/>
    <w:rsid w:val="00623BA1"/>
    <w:rsid w:val="00630092"/>
    <w:rsid w:val="00630E7C"/>
    <w:rsid w:val="00632169"/>
    <w:rsid w:val="006346BC"/>
    <w:rsid w:val="0063581F"/>
    <w:rsid w:val="006362FF"/>
    <w:rsid w:val="006378FE"/>
    <w:rsid w:val="006408FF"/>
    <w:rsid w:val="006428FC"/>
    <w:rsid w:val="00653A0E"/>
    <w:rsid w:val="00654608"/>
    <w:rsid w:val="0065649B"/>
    <w:rsid w:val="00657DD0"/>
    <w:rsid w:val="0066203A"/>
    <w:rsid w:val="00665846"/>
    <w:rsid w:val="0066652A"/>
    <w:rsid w:val="006665E6"/>
    <w:rsid w:val="006716B3"/>
    <w:rsid w:val="006719C3"/>
    <w:rsid w:val="00673A1F"/>
    <w:rsid w:val="006745FC"/>
    <w:rsid w:val="00674B82"/>
    <w:rsid w:val="006750D9"/>
    <w:rsid w:val="00675D33"/>
    <w:rsid w:val="00677DD7"/>
    <w:rsid w:val="00680115"/>
    <w:rsid w:val="00680522"/>
    <w:rsid w:val="00681633"/>
    <w:rsid w:val="0068172A"/>
    <w:rsid w:val="00682167"/>
    <w:rsid w:val="0068642A"/>
    <w:rsid w:val="00690AE1"/>
    <w:rsid w:val="00693DEF"/>
    <w:rsid w:val="00694598"/>
    <w:rsid w:val="006A3AB8"/>
    <w:rsid w:val="006A6521"/>
    <w:rsid w:val="006A6F52"/>
    <w:rsid w:val="006A791A"/>
    <w:rsid w:val="006B0064"/>
    <w:rsid w:val="006B1FE0"/>
    <w:rsid w:val="006B3E95"/>
    <w:rsid w:val="006B51B2"/>
    <w:rsid w:val="006B6F6D"/>
    <w:rsid w:val="006C0B06"/>
    <w:rsid w:val="006C11C6"/>
    <w:rsid w:val="006C1B60"/>
    <w:rsid w:val="006C2729"/>
    <w:rsid w:val="006C3BBD"/>
    <w:rsid w:val="006C42AF"/>
    <w:rsid w:val="006C565B"/>
    <w:rsid w:val="006C6498"/>
    <w:rsid w:val="006D01C5"/>
    <w:rsid w:val="006D0AD9"/>
    <w:rsid w:val="006D15F1"/>
    <w:rsid w:val="006D5A56"/>
    <w:rsid w:val="006E4323"/>
    <w:rsid w:val="006F581A"/>
    <w:rsid w:val="006F59F1"/>
    <w:rsid w:val="006F6BA7"/>
    <w:rsid w:val="007044CD"/>
    <w:rsid w:val="00705FDB"/>
    <w:rsid w:val="00706136"/>
    <w:rsid w:val="00706C20"/>
    <w:rsid w:val="007075DF"/>
    <w:rsid w:val="007079E4"/>
    <w:rsid w:val="007106FD"/>
    <w:rsid w:val="0071169B"/>
    <w:rsid w:val="00711D8E"/>
    <w:rsid w:val="00712672"/>
    <w:rsid w:val="007139DD"/>
    <w:rsid w:val="00716EF9"/>
    <w:rsid w:val="007178C4"/>
    <w:rsid w:val="007238C0"/>
    <w:rsid w:val="00723DB7"/>
    <w:rsid w:val="00727E09"/>
    <w:rsid w:val="00734E3F"/>
    <w:rsid w:val="00736985"/>
    <w:rsid w:val="0074052A"/>
    <w:rsid w:val="00742DC8"/>
    <w:rsid w:val="00742DE3"/>
    <w:rsid w:val="007431EC"/>
    <w:rsid w:val="007433F3"/>
    <w:rsid w:val="007455F4"/>
    <w:rsid w:val="00745DF5"/>
    <w:rsid w:val="00751718"/>
    <w:rsid w:val="0075269C"/>
    <w:rsid w:val="00752A57"/>
    <w:rsid w:val="00753924"/>
    <w:rsid w:val="00753C53"/>
    <w:rsid w:val="00762006"/>
    <w:rsid w:val="0076250F"/>
    <w:rsid w:val="00762FFD"/>
    <w:rsid w:val="00763564"/>
    <w:rsid w:val="007648C1"/>
    <w:rsid w:val="0076591D"/>
    <w:rsid w:val="00767ABA"/>
    <w:rsid w:val="00770F88"/>
    <w:rsid w:val="0077324F"/>
    <w:rsid w:val="007733DC"/>
    <w:rsid w:val="0077747B"/>
    <w:rsid w:val="00780FA5"/>
    <w:rsid w:val="007826CA"/>
    <w:rsid w:val="007864CF"/>
    <w:rsid w:val="00790182"/>
    <w:rsid w:val="007938D2"/>
    <w:rsid w:val="00794D99"/>
    <w:rsid w:val="00796F1C"/>
    <w:rsid w:val="007A06E3"/>
    <w:rsid w:val="007A0921"/>
    <w:rsid w:val="007A4493"/>
    <w:rsid w:val="007A4DF5"/>
    <w:rsid w:val="007B53DB"/>
    <w:rsid w:val="007B53F9"/>
    <w:rsid w:val="007B541E"/>
    <w:rsid w:val="007B54DA"/>
    <w:rsid w:val="007B6200"/>
    <w:rsid w:val="007C05F7"/>
    <w:rsid w:val="007C19B3"/>
    <w:rsid w:val="007C35DE"/>
    <w:rsid w:val="007C3D3C"/>
    <w:rsid w:val="007C4D69"/>
    <w:rsid w:val="007C6CF4"/>
    <w:rsid w:val="007C735B"/>
    <w:rsid w:val="007D46C6"/>
    <w:rsid w:val="007D618F"/>
    <w:rsid w:val="007E0370"/>
    <w:rsid w:val="007E4854"/>
    <w:rsid w:val="007E5361"/>
    <w:rsid w:val="007E556D"/>
    <w:rsid w:val="007E735C"/>
    <w:rsid w:val="007E7BC7"/>
    <w:rsid w:val="007F3395"/>
    <w:rsid w:val="007F351E"/>
    <w:rsid w:val="007F5C0B"/>
    <w:rsid w:val="007F646C"/>
    <w:rsid w:val="007F7D3B"/>
    <w:rsid w:val="008017ED"/>
    <w:rsid w:val="00801B9F"/>
    <w:rsid w:val="0080204D"/>
    <w:rsid w:val="00813EA6"/>
    <w:rsid w:val="0082053C"/>
    <w:rsid w:val="00822F43"/>
    <w:rsid w:val="00824476"/>
    <w:rsid w:val="00827F48"/>
    <w:rsid w:val="008304F4"/>
    <w:rsid w:val="00830866"/>
    <w:rsid w:val="008313D4"/>
    <w:rsid w:val="00835145"/>
    <w:rsid w:val="00836AE2"/>
    <w:rsid w:val="00836B54"/>
    <w:rsid w:val="0084191E"/>
    <w:rsid w:val="00843541"/>
    <w:rsid w:val="00843B76"/>
    <w:rsid w:val="00844737"/>
    <w:rsid w:val="0084677E"/>
    <w:rsid w:val="008475F0"/>
    <w:rsid w:val="008515AF"/>
    <w:rsid w:val="00852411"/>
    <w:rsid w:val="00852C32"/>
    <w:rsid w:val="00854F69"/>
    <w:rsid w:val="008557A7"/>
    <w:rsid w:val="00856BFE"/>
    <w:rsid w:val="00857312"/>
    <w:rsid w:val="00860698"/>
    <w:rsid w:val="00862BCF"/>
    <w:rsid w:val="00864605"/>
    <w:rsid w:val="00865DE2"/>
    <w:rsid w:val="00870928"/>
    <w:rsid w:val="00871BF6"/>
    <w:rsid w:val="00873AEA"/>
    <w:rsid w:val="008740B3"/>
    <w:rsid w:val="00876B47"/>
    <w:rsid w:val="00877620"/>
    <w:rsid w:val="00881605"/>
    <w:rsid w:val="00881F8A"/>
    <w:rsid w:val="00883A6B"/>
    <w:rsid w:val="008864FC"/>
    <w:rsid w:val="00887404"/>
    <w:rsid w:val="0089331A"/>
    <w:rsid w:val="0089405C"/>
    <w:rsid w:val="00894FEB"/>
    <w:rsid w:val="00895A77"/>
    <w:rsid w:val="00896109"/>
    <w:rsid w:val="00897FA2"/>
    <w:rsid w:val="008A1503"/>
    <w:rsid w:val="008A3009"/>
    <w:rsid w:val="008A5AFE"/>
    <w:rsid w:val="008A6BB7"/>
    <w:rsid w:val="008A745C"/>
    <w:rsid w:val="008A7B6F"/>
    <w:rsid w:val="008B2535"/>
    <w:rsid w:val="008B4E65"/>
    <w:rsid w:val="008B66AD"/>
    <w:rsid w:val="008B78CC"/>
    <w:rsid w:val="008B7ED3"/>
    <w:rsid w:val="008C1A18"/>
    <w:rsid w:val="008C1F60"/>
    <w:rsid w:val="008C478C"/>
    <w:rsid w:val="008C5A0E"/>
    <w:rsid w:val="008C6149"/>
    <w:rsid w:val="008C6511"/>
    <w:rsid w:val="008C708C"/>
    <w:rsid w:val="008C7226"/>
    <w:rsid w:val="008D138E"/>
    <w:rsid w:val="008D4767"/>
    <w:rsid w:val="008D5EA7"/>
    <w:rsid w:val="008E4B49"/>
    <w:rsid w:val="008E4BCA"/>
    <w:rsid w:val="008E5A1D"/>
    <w:rsid w:val="008E7A6E"/>
    <w:rsid w:val="008F0EAA"/>
    <w:rsid w:val="008F24ED"/>
    <w:rsid w:val="008F6625"/>
    <w:rsid w:val="008F772E"/>
    <w:rsid w:val="00905A35"/>
    <w:rsid w:val="00911C04"/>
    <w:rsid w:val="00911E30"/>
    <w:rsid w:val="009131E9"/>
    <w:rsid w:val="00913875"/>
    <w:rsid w:val="00916582"/>
    <w:rsid w:val="00917A7A"/>
    <w:rsid w:val="00920854"/>
    <w:rsid w:val="00925AC5"/>
    <w:rsid w:val="00927DF8"/>
    <w:rsid w:val="00927FF1"/>
    <w:rsid w:val="0093173D"/>
    <w:rsid w:val="00932732"/>
    <w:rsid w:val="00937866"/>
    <w:rsid w:val="00941E94"/>
    <w:rsid w:val="00943730"/>
    <w:rsid w:val="0094438E"/>
    <w:rsid w:val="00945649"/>
    <w:rsid w:val="0095059B"/>
    <w:rsid w:val="009505AE"/>
    <w:rsid w:val="009506ED"/>
    <w:rsid w:val="00950D65"/>
    <w:rsid w:val="00952815"/>
    <w:rsid w:val="009543B9"/>
    <w:rsid w:val="00963805"/>
    <w:rsid w:val="0096512B"/>
    <w:rsid w:val="00975CA5"/>
    <w:rsid w:val="009774B4"/>
    <w:rsid w:val="009855C5"/>
    <w:rsid w:val="00986590"/>
    <w:rsid w:val="00991579"/>
    <w:rsid w:val="00992C76"/>
    <w:rsid w:val="009969D6"/>
    <w:rsid w:val="00996FC8"/>
    <w:rsid w:val="009A112B"/>
    <w:rsid w:val="009A2619"/>
    <w:rsid w:val="009A58FC"/>
    <w:rsid w:val="009A744E"/>
    <w:rsid w:val="009A76C0"/>
    <w:rsid w:val="009B0EFB"/>
    <w:rsid w:val="009B394F"/>
    <w:rsid w:val="009B4113"/>
    <w:rsid w:val="009B4D3B"/>
    <w:rsid w:val="009C1052"/>
    <w:rsid w:val="009C1693"/>
    <w:rsid w:val="009C18DB"/>
    <w:rsid w:val="009C4A5F"/>
    <w:rsid w:val="009C5FD6"/>
    <w:rsid w:val="009D1F5B"/>
    <w:rsid w:val="009D1F71"/>
    <w:rsid w:val="009D3438"/>
    <w:rsid w:val="009D7407"/>
    <w:rsid w:val="009E0866"/>
    <w:rsid w:val="009E273C"/>
    <w:rsid w:val="009E41E6"/>
    <w:rsid w:val="009E7F2D"/>
    <w:rsid w:val="009F1350"/>
    <w:rsid w:val="009F2D10"/>
    <w:rsid w:val="009F6423"/>
    <w:rsid w:val="00A0187B"/>
    <w:rsid w:val="00A02002"/>
    <w:rsid w:val="00A0246A"/>
    <w:rsid w:val="00A07A86"/>
    <w:rsid w:val="00A107B9"/>
    <w:rsid w:val="00A10D97"/>
    <w:rsid w:val="00A12B40"/>
    <w:rsid w:val="00A15D48"/>
    <w:rsid w:val="00A16DEA"/>
    <w:rsid w:val="00A1707D"/>
    <w:rsid w:val="00A17461"/>
    <w:rsid w:val="00A22CD1"/>
    <w:rsid w:val="00A237B8"/>
    <w:rsid w:val="00A24A62"/>
    <w:rsid w:val="00A24E22"/>
    <w:rsid w:val="00A264D7"/>
    <w:rsid w:val="00A2799A"/>
    <w:rsid w:val="00A31B0E"/>
    <w:rsid w:val="00A31C9F"/>
    <w:rsid w:val="00A33149"/>
    <w:rsid w:val="00A37B41"/>
    <w:rsid w:val="00A4144F"/>
    <w:rsid w:val="00A4385D"/>
    <w:rsid w:val="00A43A44"/>
    <w:rsid w:val="00A46B28"/>
    <w:rsid w:val="00A47135"/>
    <w:rsid w:val="00A50926"/>
    <w:rsid w:val="00A544CE"/>
    <w:rsid w:val="00A57121"/>
    <w:rsid w:val="00A608E0"/>
    <w:rsid w:val="00A61B4D"/>
    <w:rsid w:val="00A71167"/>
    <w:rsid w:val="00A72201"/>
    <w:rsid w:val="00A729F9"/>
    <w:rsid w:val="00A731A7"/>
    <w:rsid w:val="00A73387"/>
    <w:rsid w:val="00A74192"/>
    <w:rsid w:val="00A75B84"/>
    <w:rsid w:val="00A76B10"/>
    <w:rsid w:val="00A80123"/>
    <w:rsid w:val="00A80305"/>
    <w:rsid w:val="00A80A99"/>
    <w:rsid w:val="00A80F95"/>
    <w:rsid w:val="00A854F9"/>
    <w:rsid w:val="00A868CB"/>
    <w:rsid w:val="00A8748F"/>
    <w:rsid w:val="00A96364"/>
    <w:rsid w:val="00A968BB"/>
    <w:rsid w:val="00A97244"/>
    <w:rsid w:val="00A97BF1"/>
    <w:rsid w:val="00AA298A"/>
    <w:rsid w:val="00AA3AA8"/>
    <w:rsid w:val="00AA6E54"/>
    <w:rsid w:val="00AA75DF"/>
    <w:rsid w:val="00AB280D"/>
    <w:rsid w:val="00AB4795"/>
    <w:rsid w:val="00AB5D49"/>
    <w:rsid w:val="00AB6748"/>
    <w:rsid w:val="00AB6BD2"/>
    <w:rsid w:val="00AC107C"/>
    <w:rsid w:val="00AC164A"/>
    <w:rsid w:val="00AC3944"/>
    <w:rsid w:val="00AC42E9"/>
    <w:rsid w:val="00AC551D"/>
    <w:rsid w:val="00AC6C89"/>
    <w:rsid w:val="00AD19F7"/>
    <w:rsid w:val="00AD2C2E"/>
    <w:rsid w:val="00AD5185"/>
    <w:rsid w:val="00AE2B7B"/>
    <w:rsid w:val="00AE2E1A"/>
    <w:rsid w:val="00AE448A"/>
    <w:rsid w:val="00AE4A95"/>
    <w:rsid w:val="00AE612C"/>
    <w:rsid w:val="00AE63F6"/>
    <w:rsid w:val="00AE74DA"/>
    <w:rsid w:val="00AE7AB3"/>
    <w:rsid w:val="00AF18F4"/>
    <w:rsid w:val="00AF1E01"/>
    <w:rsid w:val="00AF2050"/>
    <w:rsid w:val="00AF2D9D"/>
    <w:rsid w:val="00AF4103"/>
    <w:rsid w:val="00AF410C"/>
    <w:rsid w:val="00AF4A1C"/>
    <w:rsid w:val="00AF54A5"/>
    <w:rsid w:val="00AF5701"/>
    <w:rsid w:val="00AF7ECC"/>
    <w:rsid w:val="00B0024D"/>
    <w:rsid w:val="00B00BF4"/>
    <w:rsid w:val="00B02B2A"/>
    <w:rsid w:val="00B03CA8"/>
    <w:rsid w:val="00B05B87"/>
    <w:rsid w:val="00B068E6"/>
    <w:rsid w:val="00B11A13"/>
    <w:rsid w:val="00B12991"/>
    <w:rsid w:val="00B1417B"/>
    <w:rsid w:val="00B16EF6"/>
    <w:rsid w:val="00B221A8"/>
    <w:rsid w:val="00B22F0E"/>
    <w:rsid w:val="00B249EC"/>
    <w:rsid w:val="00B329A6"/>
    <w:rsid w:val="00B33C0A"/>
    <w:rsid w:val="00B34763"/>
    <w:rsid w:val="00B35443"/>
    <w:rsid w:val="00B401AF"/>
    <w:rsid w:val="00B43728"/>
    <w:rsid w:val="00B452DE"/>
    <w:rsid w:val="00B50ED0"/>
    <w:rsid w:val="00B51C2F"/>
    <w:rsid w:val="00B5354E"/>
    <w:rsid w:val="00B537E7"/>
    <w:rsid w:val="00B55E19"/>
    <w:rsid w:val="00B56E71"/>
    <w:rsid w:val="00B579A6"/>
    <w:rsid w:val="00B6518C"/>
    <w:rsid w:val="00B664A8"/>
    <w:rsid w:val="00B66D3E"/>
    <w:rsid w:val="00B70B66"/>
    <w:rsid w:val="00B719F9"/>
    <w:rsid w:val="00B71AD8"/>
    <w:rsid w:val="00B84553"/>
    <w:rsid w:val="00B84B3C"/>
    <w:rsid w:val="00B857E1"/>
    <w:rsid w:val="00B8599B"/>
    <w:rsid w:val="00B86990"/>
    <w:rsid w:val="00B8755E"/>
    <w:rsid w:val="00B91FE7"/>
    <w:rsid w:val="00B929BE"/>
    <w:rsid w:val="00B937FE"/>
    <w:rsid w:val="00B94758"/>
    <w:rsid w:val="00B964FC"/>
    <w:rsid w:val="00BA1B89"/>
    <w:rsid w:val="00BA4B6D"/>
    <w:rsid w:val="00BB26C5"/>
    <w:rsid w:val="00BB2F84"/>
    <w:rsid w:val="00BB3FD0"/>
    <w:rsid w:val="00BB5D73"/>
    <w:rsid w:val="00BC1FED"/>
    <w:rsid w:val="00BC401A"/>
    <w:rsid w:val="00BC63A8"/>
    <w:rsid w:val="00BD0F5C"/>
    <w:rsid w:val="00BD4FFA"/>
    <w:rsid w:val="00BD6304"/>
    <w:rsid w:val="00BD710C"/>
    <w:rsid w:val="00BD7EEF"/>
    <w:rsid w:val="00BE12B6"/>
    <w:rsid w:val="00BE605E"/>
    <w:rsid w:val="00BF1579"/>
    <w:rsid w:val="00BF1A38"/>
    <w:rsid w:val="00BF379E"/>
    <w:rsid w:val="00BF4DE6"/>
    <w:rsid w:val="00BF5A32"/>
    <w:rsid w:val="00BF6703"/>
    <w:rsid w:val="00BF7196"/>
    <w:rsid w:val="00C04D72"/>
    <w:rsid w:val="00C06B13"/>
    <w:rsid w:val="00C1456B"/>
    <w:rsid w:val="00C16A47"/>
    <w:rsid w:val="00C2560F"/>
    <w:rsid w:val="00C2795F"/>
    <w:rsid w:val="00C27D25"/>
    <w:rsid w:val="00C35791"/>
    <w:rsid w:val="00C37697"/>
    <w:rsid w:val="00C4188E"/>
    <w:rsid w:val="00C42541"/>
    <w:rsid w:val="00C42CDE"/>
    <w:rsid w:val="00C444A0"/>
    <w:rsid w:val="00C45941"/>
    <w:rsid w:val="00C50B58"/>
    <w:rsid w:val="00C5182A"/>
    <w:rsid w:val="00C52108"/>
    <w:rsid w:val="00C52463"/>
    <w:rsid w:val="00C52B3D"/>
    <w:rsid w:val="00C54A7B"/>
    <w:rsid w:val="00C55983"/>
    <w:rsid w:val="00C56023"/>
    <w:rsid w:val="00C6016C"/>
    <w:rsid w:val="00C61649"/>
    <w:rsid w:val="00C61935"/>
    <w:rsid w:val="00C63EE9"/>
    <w:rsid w:val="00C722A4"/>
    <w:rsid w:val="00C776B7"/>
    <w:rsid w:val="00C80172"/>
    <w:rsid w:val="00C80315"/>
    <w:rsid w:val="00C80F83"/>
    <w:rsid w:val="00C80F99"/>
    <w:rsid w:val="00C83D7B"/>
    <w:rsid w:val="00C83F4E"/>
    <w:rsid w:val="00C848C9"/>
    <w:rsid w:val="00C84C30"/>
    <w:rsid w:val="00C87B9B"/>
    <w:rsid w:val="00C908C7"/>
    <w:rsid w:val="00C92805"/>
    <w:rsid w:val="00C972B6"/>
    <w:rsid w:val="00CA16F3"/>
    <w:rsid w:val="00CA3403"/>
    <w:rsid w:val="00CA3697"/>
    <w:rsid w:val="00CA37B1"/>
    <w:rsid w:val="00CA3D18"/>
    <w:rsid w:val="00CA3FD8"/>
    <w:rsid w:val="00CA4E7F"/>
    <w:rsid w:val="00CA5021"/>
    <w:rsid w:val="00CA5088"/>
    <w:rsid w:val="00CA575B"/>
    <w:rsid w:val="00CB1488"/>
    <w:rsid w:val="00CB1959"/>
    <w:rsid w:val="00CB40BD"/>
    <w:rsid w:val="00CB4A23"/>
    <w:rsid w:val="00CC0FD1"/>
    <w:rsid w:val="00CC1D45"/>
    <w:rsid w:val="00CC54A6"/>
    <w:rsid w:val="00CC5BF1"/>
    <w:rsid w:val="00CC741B"/>
    <w:rsid w:val="00CC7AC1"/>
    <w:rsid w:val="00CD0E4B"/>
    <w:rsid w:val="00CD3F5D"/>
    <w:rsid w:val="00CD4AD4"/>
    <w:rsid w:val="00CD707D"/>
    <w:rsid w:val="00CD7B49"/>
    <w:rsid w:val="00CE06A6"/>
    <w:rsid w:val="00CE0FA3"/>
    <w:rsid w:val="00CE2408"/>
    <w:rsid w:val="00CE2CF5"/>
    <w:rsid w:val="00CE4C89"/>
    <w:rsid w:val="00CE63FE"/>
    <w:rsid w:val="00CE6D07"/>
    <w:rsid w:val="00CE7614"/>
    <w:rsid w:val="00CF03EE"/>
    <w:rsid w:val="00CF07BA"/>
    <w:rsid w:val="00CF21A3"/>
    <w:rsid w:val="00CF2BBB"/>
    <w:rsid w:val="00CF31BA"/>
    <w:rsid w:val="00D0296C"/>
    <w:rsid w:val="00D038D3"/>
    <w:rsid w:val="00D03C65"/>
    <w:rsid w:val="00D03F59"/>
    <w:rsid w:val="00D05E55"/>
    <w:rsid w:val="00D07D13"/>
    <w:rsid w:val="00D12271"/>
    <w:rsid w:val="00D1231A"/>
    <w:rsid w:val="00D17DC0"/>
    <w:rsid w:val="00D20A30"/>
    <w:rsid w:val="00D20BC7"/>
    <w:rsid w:val="00D23F2B"/>
    <w:rsid w:val="00D2641E"/>
    <w:rsid w:val="00D3068D"/>
    <w:rsid w:val="00D3170B"/>
    <w:rsid w:val="00D32D6F"/>
    <w:rsid w:val="00D336E3"/>
    <w:rsid w:val="00D34D5D"/>
    <w:rsid w:val="00D37B04"/>
    <w:rsid w:val="00D4182C"/>
    <w:rsid w:val="00D45555"/>
    <w:rsid w:val="00D4628C"/>
    <w:rsid w:val="00D462F8"/>
    <w:rsid w:val="00D479B5"/>
    <w:rsid w:val="00D540C6"/>
    <w:rsid w:val="00D5560C"/>
    <w:rsid w:val="00D564A7"/>
    <w:rsid w:val="00D64BD1"/>
    <w:rsid w:val="00D653C7"/>
    <w:rsid w:val="00D659CE"/>
    <w:rsid w:val="00D66407"/>
    <w:rsid w:val="00D704F5"/>
    <w:rsid w:val="00D71016"/>
    <w:rsid w:val="00D71F34"/>
    <w:rsid w:val="00D7310B"/>
    <w:rsid w:val="00D84E17"/>
    <w:rsid w:val="00D85F0B"/>
    <w:rsid w:val="00D90B37"/>
    <w:rsid w:val="00D92254"/>
    <w:rsid w:val="00D924D3"/>
    <w:rsid w:val="00D94CF9"/>
    <w:rsid w:val="00DA1B52"/>
    <w:rsid w:val="00DA4B3C"/>
    <w:rsid w:val="00DB4975"/>
    <w:rsid w:val="00DB4F88"/>
    <w:rsid w:val="00DB5306"/>
    <w:rsid w:val="00DC0996"/>
    <w:rsid w:val="00DC238C"/>
    <w:rsid w:val="00DC5A4E"/>
    <w:rsid w:val="00DC6D78"/>
    <w:rsid w:val="00DD1991"/>
    <w:rsid w:val="00DD3E88"/>
    <w:rsid w:val="00DE084C"/>
    <w:rsid w:val="00DF2254"/>
    <w:rsid w:val="00DF3B7A"/>
    <w:rsid w:val="00DF68CF"/>
    <w:rsid w:val="00DF7812"/>
    <w:rsid w:val="00E00CBC"/>
    <w:rsid w:val="00E0138E"/>
    <w:rsid w:val="00E0497E"/>
    <w:rsid w:val="00E04A9F"/>
    <w:rsid w:val="00E04C4B"/>
    <w:rsid w:val="00E04DD2"/>
    <w:rsid w:val="00E055AB"/>
    <w:rsid w:val="00E1402F"/>
    <w:rsid w:val="00E14E3E"/>
    <w:rsid w:val="00E14E55"/>
    <w:rsid w:val="00E14F51"/>
    <w:rsid w:val="00E15A6C"/>
    <w:rsid w:val="00E1666D"/>
    <w:rsid w:val="00E16D5F"/>
    <w:rsid w:val="00E20334"/>
    <w:rsid w:val="00E20945"/>
    <w:rsid w:val="00E221FA"/>
    <w:rsid w:val="00E25096"/>
    <w:rsid w:val="00E3076E"/>
    <w:rsid w:val="00E32094"/>
    <w:rsid w:val="00E32706"/>
    <w:rsid w:val="00E33AA8"/>
    <w:rsid w:val="00E35600"/>
    <w:rsid w:val="00E357B7"/>
    <w:rsid w:val="00E40E8B"/>
    <w:rsid w:val="00E410F8"/>
    <w:rsid w:val="00E42990"/>
    <w:rsid w:val="00E42E50"/>
    <w:rsid w:val="00E43879"/>
    <w:rsid w:val="00E44F4D"/>
    <w:rsid w:val="00E4531A"/>
    <w:rsid w:val="00E4584F"/>
    <w:rsid w:val="00E462CA"/>
    <w:rsid w:val="00E4674E"/>
    <w:rsid w:val="00E50C45"/>
    <w:rsid w:val="00E532A8"/>
    <w:rsid w:val="00E53800"/>
    <w:rsid w:val="00E576D1"/>
    <w:rsid w:val="00E6081F"/>
    <w:rsid w:val="00E614AA"/>
    <w:rsid w:val="00E624EC"/>
    <w:rsid w:val="00E70C37"/>
    <w:rsid w:val="00E718A8"/>
    <w:rsid w:val="00E72420"/>
    <w:rsid w:val="00E7322B"/>
    <w:rsid w:val="00E735E4"/>
    <w:rsid w:val="00E8296D"/>
    <w:rsid w:val="00E8457B"/>
    <w:rsid w:val="00E944AA"/>
    <w:rsid w:val="00E961F0"/>
    <w:rsid w:val="00E97A30"/>
    <w:rsid w:val="00EA04B2"/>
    <w:rsid w:val="00EA20F3"/>
    <w:rsid w:val="00EA36D9"/>
    <w:rsid w:val="00EB52AB"/>
    <w:rsid w:val="00EB6196"/>
    <w:rsid w:val="00EC2B54"/>
    <w:rsid w:val="00EC2FAB"/>
    <w:rsid w:val="00EC55B0"/>
    <w:rsid w:val="00EC608A"/>
    <w:rsid w:val="00EC6D38"/>
    <w:rsid w:val="00ED179A"/>
    <w:rsid w:val="00ED18EE"/>
    <w:rsid w:val="00ED1AAD"/>
    <w:rsid w:val="00ED22A3"/>
    <w:rsid w:val="00ED2831"/>
    <w:rsid w:val="00ED3B2D"/>
    <w:rsid w:val="00ED43D1"/>
    <w:rsid w:val="00ED4CD6"/>
    <w:rsid w:val="00ED6E38"/>
    <w:rsid w:val="00ED7FB6"/>
    <w:rsid w:val="00EE0466"/>
    <w:rsid w:val="00EE1CFF"/>
    <w:rsid w:val="00EE1FC6"/>
    <w:rsid w:val="00EE4EE1"/>
    <w:rsid w:val="00EF4574"/>
    <w:rsid w:val="00F003E0"/>
    <w:rsid w:val="00F01921"/>
    <w:rsid w:val="00F06982"/>
    <w:rsid w:val="00F070FB"/>
    <w:rsid w:val="00F13373"/>
    <w:rsid w:val="00F13EF9"/>
    <w:rsid w:val="00F17115"/>
    <w:rsid w:val="00F20898"/>
    <w:rsid w:val="00F217A8"/>
    <w:rsid w:val="00F24E50"/>
    <w:rsid w:val="00F251BE"/>
    <w:rsid w:val="00F258BF"/>
    <w:rsid w:val="00F25A93"/>
    <w:rsid w:val="00F2684E"/>
    <w:rsid w:val="00F27235"/>
    <w:rsid w:val="00F32F70"/>
    <w:rsid w:val="00F34FD2"/>
    <w:rsid w:val="00F4065A"/>
    <w:rsid w:val="00F40BBE"/>
    <w:rsid w:val="00F442D2"/>
    <w:rsid w:val="00F445B1"/>
    <w:rsid w:val="00F44C4F"/>
    <w:rsid w:val="00F4540E"/>
    <w:rsid w:val="00F45486"/>
    <w:rsid w:val="00F45AEA"/>
    <w:rsid w:val="00F4730F"/>
    <w:rsid w:val="00F47942"/>
    <w:rsid w:val="00F53309"/>
    <w:rsid w:val="00F53E91"/>
    <w:rsid w:val="00F5404C"/>
    <w:rsid w:val="00F55791"/>
    <w:rsid w:val="00F64397"/>
    <w:rsid w:val="00F64AD5"/>
    <w:rsid w:val="00F650C7"/>
    <w:rsid w:val="00F67C6A"/>
    <w:rsid w:val="00F70504"/>
    <w:rsid w:val="00F707E0"/>
    <w:rsid w:val="00F71A19"/>
    <w:rsid w:val="00F71CB4"/>
    <w:rsid w:val="00F728BB"/>
    <w:rsid w:val="00F729EF"/>
    <w:rsid w:val="00F746B7"/>
    <w:rsid w:val="00F74C71"/>
    <w:rsid w:val="00F74F2C"/>
    <w:rsid w:val="00F75D24"/>
    <w:rsid w:val="00F760AE"/>
    <w:rsid w:val="00F77CAE"/>
    <w:rsid w:val="00F803B5"/>
    <w:rsid w:val="00F82271"/>
    <w:rsid w:val="00F8304C"/>
    <w:rsid w:val="00F83428"/>
    <w:rsid w:val="00F875A8"/>
    <w:rsid w:val="00F90B17"/>
    <w:rsid w:val="00F91CDC"/>
    <w:rsid w:val="00F95998"/>
    <w:rsid w:val="00F96BB9"/>
    <w:rsid w:val="00F975C0"/>
    <w:rsid w:val="00F97A75"/>
    <w:rsid w:val="00FA0B0F"/>
    <w:rsid w:val="00FA27A9"/>
    <w:rsid w:val="00FA4D1A"/>
    <w:rsid w:val="00FA5EFD"/>
    <w:rsid w:val="00FB0AEB"/>
    <w:rsid w:val="00FB4785"/>
    <w:rsid w:val="00FC1216"/>
    <w:rsid w:val="00FC5365"/>
    <w:rsid w:val="00FD00FF"/>
    <w:rsid w:val="00FD15CE"/>
    <w:rsid w:val="00FD1850"/>
    <w:rsid w:val="00FD657B"/>
    <w:rsid w:val="00FD710F"/>
    <w:rsid w:val="00FE1630"/>
    <w:rsid w:val="00FE291D"/>
    <w:rsid w:val="00FE6D51"/>
    <w:rsid w:val="00FE6F2A"/>
    <w:rsid w:val="00FF0590"/>
    <w:rsid w:val="00FF4D05"/>
    <w:rsid w:val="00FF551B"/>
    <w:rsid w:val="01DBFAE6"/>
    <w:rsid w:val="026B9655"/>
    <w:rsid w:val="02ED7AD8"/>
    <w:rsid w:val="03742070"/>
    <w:rsid w:val="050FF0D1"/>
    <w:rsid w:val="05353499"/>
    <w:rsid w:val="05F53B74"/>
    <w:rsid w:val="06E211CE"/>
    <w:rsid w:val="07BFF5F4"/>
    <w:rsid w:val="07F92D43"/>
    <w:rsid w:val="08479193"/>
    <w:rsid w:val="088FABFB"/>
    <w:rsid w:val="0913F967"/>
    <w:rsid w:val="0A22D4D0"/>
    <w:rsid w:val="0B7F3255"/>
    <w:rsid w:val="0C19B50A"/>
    <w:rsid w:val="0C76811D"/>
    <w:rsid w:val="0C8F1C9A"/>
    <w:rsid w:val="0D583FEB"/>
    <w:rsid w:val="0D836C6D"/>
    <w:rsid w:val="0EB6D317"/>
    <w:rsid w:val="0EC34891"/>
    <w:rsid w:val="0ED914AA"/>
    <w:rsid w:val="0EE94BC1"/>
    <w:rsid w:val="0FAE21DF"/>
    <w:rsid w:val="10142F8E"/>
    <w:rsid w:val="1052A378"/>
    <w:rsid w:val="1102BFE0"/>
    <w:rsid w:val="118AE76E"/>
    <w:rsid w:val="11FAE953"/>
    <w:rsid w:val="134AED97"/>
    <w:rsid w:val="13C39530"/>
    <w:rsid w:val="13ECEC14"/>
    <w:rsid w:val="1461AD0A"/>
    <w:rsid w:val="14F5A0E1"/>
    <w:rsid w:val="15323006"/>
    <w:rsid w:val="1599C07E"/>
    <w:rsid w:val="16E5F9D4"/>
    <w:rsid w:val="17F09CDA"/>
    <w:rsid w:val="198CCF74"/>
    <w:rsid w:val="1A30BCB1"/>
    <w:rsid w:val="1A56DA97"/>
    <w:rsid w:val="1A93A3CC"/>
    <w:rsid w:val="1F4FF737"/>
    <w:rsid w:val="1FCACEA6"/>
    <w:rsid w:val="1FE578E5"/>
    <w:rsid w:val="220DB0D9"/>
    <w:rsid w:val="2228AC7B"/>
    <w:rsid w:val="23C47CDC"/>
    <w:rsid w:val="23F83131"/>
    <w:rsid w:val="24DF81D2"/>
    <w:rsid w:val="2610161C"/>
    <w:rsid w:val="275FBC4B"/>
    <w:rsid w:val="295AE937"/>
    <w:rsid w:val="2970B550"/>
    <w:rsid w:val="298061B5"/>
    <w:rsid w:val="2A33BE60"/>
    <w:rsid w:val="2B0AA791"/>
    <w:rsid w:val="2BA34280"/>
    <w:rsid w:val="2BB54A97"/>
    <w:rsid w:val="2C1AD208"/>
    <w:rsid w:val="2CA85612"/>
    <w:rsid w:val="2CCB28A3"/>
    <w:rsid w:val="2E2AFE16"/>
    <w:rsid w:val="2E45F9B8"/>
    <w:rsid w:val="2FC6CE77"/>
    <w:rsid w:val="300E1F71"/>
    <w:rsid w:val="3119296E"/>
    <w:rsid w:val="315E40BC"/>
    <w:rsid w:val="317BC735"/>
    <w:rsid w:val="32853477"/>
    <w:rsid w:val="33181F71"/>
    <w:rsid w:val="34B367F7"/>
    <w:rsid w:val="3564A37A"/>
    <w:rsid w:val="36360FFB"/>
    <w:rsid w:val="363DFD81"/>
    <w:rsid w:val="364F3858"/>
    <w:rsid w:val="36510B9D"/>
    <w:rsid w:val="36A223D5"/>
    <w:rsid w:val="373A411E"/>
    <w:rsid w:val="39A0EF87"/>
    <w:rsid w:val="39D7A7F9"/>
    <w:rsid w:val="3B08556E"/>
    <w:rsid w:val="3B66C343"/>
    <w:rsid w:val="3CDC5E57"/>
    <w:rsid w:val="3D803B95"/>
    <w:rsid w:val="3DF609F7"/>
    <w:rsid w:val="3E046DB7"/>
    <w:rsid w:val="3E4630F0"/>
    <w:rsid w:val="3E5C1D82"/>
    <w:rsid w:val="3F67F39B"/>
    <w:rsid w:val="3F829B2E"/>
    <w:rsid w:val="3FE4DFC7"/>
    <w:rsid w:val="3FE79364"/>
    <w:rsid w:val="407E0DAB"/>
    <w:rsid w:val="411EBEC2"/>
    <w:rsid w:val="4193BE44"/>
    <w:rsid w:val="426F0313"/>
    <w:rsid w:val="43149303"/>
    <w:rsid w:val="438CD920"/>
    <w:rsid w:val="46397161"/>
    <w:rsid w:val="464C33C5"/>
    <w:rsid w:val="4654214B"/>
    <w:rsid w:val="46E89917"/>
    <w:rsid w:val="47121FA6"/>
    <w:rsid w:val="47DB72C8"/>
    <w:rsid w:val="495EE429"/>
    <w:rsid w:val="49EC6D97"/>
    <w:rsid w:val="49FE5614"/>
    <w:rsid w:val="4A40E94A"/>
    <w:rsid w:val="4A4C8765"/>
    <w:rsid w:val="4A7F8500"/>
    <w:rsid w:val="4C22734C"/>
    <w:rsid w:val="4DF1B246"/>
    <w:rsid w:val="4E7421A6"/>
    <w:rsid w:val="4EE9990E"/>
    <w:rsid w:val="4F480448"/>
    <w:rsid w:val="4F52F623"/>
    <w:rsid w:val="51325D80"/>
    <w:rsid w:val="51B39B0E"/>
    <w:rsid w:val="522AAFEC"/>
    <w:rsid w:val="52716E88"/>
    <w:rsid w:val="53347798"/>
    <w:rsid w:val="5390AAAC"/>
    <w:rsid w:val="540D3EE9"/>
    <w:rsid w:val="54C414E5"/>
    <w:rsid w:val="54D14DE7"/>
    <w:rsid w:val="55CB72C0"/>
    <w:rsid w:val="56911A96"/>
    <w:rsid w:val="572D204D"/>
    <w:rsid w:val="589BCA4F"/>
    <w:rsid w:val="58E3B241"/>
    <w:rsid w:val="59A1E5D7"/>
    <w:rsid w:val="59A9FBB7"/>
    <w:rsid w:val="59BCE50C"/>
    <w:rsid w:val="5B223644"/>
    <w:rsid w:val="5B295360"/>
    <w:rsid w:val="5B561869"/>
    <w:rsid w:val="5B7299E3"/>
    <w:rsid w:val="5BAE0714"/>
    <w:rsid w:val="5C2DA45D"/>
    <w:rsid w:val="5D04A77E"/>
    <w:rsid w:val="5D5DC493"/>
    <w:rsid w:val="5D969B5C"/>
    <w:rsid w:val="5DD9CBEA"/>
    <w:rsid w:val="5DEAF24D"/>
    <w:rsid w:val="60192EA7"/>
    <w:rsid w:val="60CE3C1E"/>
    <w:rsid w:val="62271D5A"/>
    <w:rsid w:val="62916C37"/>
    <w:rsid w:val="638DBAF6"/>
    <w:rsid w:val="6483EB34"/>
    <w:rsid w:val="64B4FB4D"/>
    <w:rsid w:val="651EF096"/>
    <w:rsid w:val="65534BFF"/>
    <w:rsid w:val="65BE0764"/>
    <w:rsid w:val="6639283B"/>
    <w:rsid w:val="6699CDAA"/>
    <w:rsid w:val="669C1523"/>
    <w:rsid w:val="6823DE41"/>
    <w:rsid w:val="68E30A31"/>
    <w:rsid w:val="69452C73"/>
    <w:rsid w:val="69D16E6C"/>
    <w:rsid w:val="69ECF6EE"/>
    <w:rsid w:val="6A6D716C"/>
    <w:rsid w:val="6B080CED"/>
    <w:rsid w:val="6B42E005"/>
    <w:rsid w:val="6C18C5D6"/>
    <w:rsid w:val="6C2E7498"/>
    <w:rsid w:val="6D2497B0"/>
    <w:rsid w:val="6D89C2A6"/>
    <w:rsid w:val="6DAFF0EC"/>
    <w:rsid w:val="6DE23B91"/>
    <w:rsid w:val="6DE8C46F"/>
    <w:rsid w:val="6E4814C2"/>
    <w:rsid w:val="6EB61A66"/>
    <w:rsid w:val="6F2F672A"/>
    <w:rsid w:val="6F710515"/>
    <w:rsid w:val="7040AFF0"/>
    <w:rsid w:val="70431015"/>
    <w:rsid w:val="70744D1D"/>
    <w:rsid w:val="7074D3EF"/>
    <w:rsid w:val="71693A3F"/>
    <w:rsid w:val="71DA1B56"/>
    <w:rsid w:val="729F8961"/>
    <w:rsid w:val="7370C802"/>
    <w:rsid w:val="738E07A8"/>
    <w:rsid w:val="74461D11"/>
    <w:rsid w:val="75047D13"/>
    <w:rsid w:val="75DF264F"/>
    <w:rsid w:val="76EFDE7E"/>
    <w:rsid w:val="7701A923"/>
    <w:rsid w:val="7712A5F8"/>
    <w:rsid w:val="77430F72"/>
    <w:rsid w:val="776580F8"/>
    <w:rsid w:val="799F4CFD"/>
    <w:rsid w:val="79B7DEC0"/>
    <w:rsid w:val="79E9F25B"/>
    <w:rsid w:val="7B516A13"/>
    <w:rsid w:val="7C7985AF"/>
    <w:rsid w:val="7CCA6558"/>
    <w:rsid w:val="7EB36C9C"/>
    <w:rsid w:val="7EDB5663"/>
    <w:rsid w:val="7F2F3B7A"/>
    <w:rsid w:val="7FF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2A3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auto"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D22A3"/>
    <w:pPr>
      <w:spacing w:before="120" w:after="120" w:line="240" w:lineRule="auto"/>
      <w:outlineLvl w:val="1"/>
    </w:pPr>
    <w:rPr>
      <w:rFonts w:asciiTheme="minorHAnsi" w:eastAsia="Times New Roman" w:hAnsiTheme="minorHAnsi" w:cstheme="minorHAnsi"/>
      <w:sz w:val="26"/>
      <w:szCs w:val="21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BC401A"/>
    <w:pPr>
      <w:outlineLvl w:val="2"/>
    </w:pPr>
    <w:rPr>
      <w:bCs w:val="0"/>
      <w:iCs/>
      <w:cap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2A3"/>
    <w:rPr>
      <w:rFonts w:asciiTheme="majorHAnsi" w:eastAsiaTheme="majorEastAsia" w:hAnsiTheme="majorHAnsi" w:cstheme="majorBidi"/>
      <w:b/>
      <w:bCs/>
      <w:caps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D22A3"/>
    <w:rPr>
      <w:rFonts w:eastAsia="Times New Roman" w:cstheme="minorHAnsi"/>
      <w:b/>
      <w:bCs/>
      <w:caps/>
      <w:sz w:val="26"/>
      <w:szCs w:val="2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C401A"/>
    <w:rPr>
      <w:rFonts w:eastAsia="Times New Roman" w:cstheme="minorHAnsi"/>
      <w:b/>
      <w:iCs/>
      <w:color w:val="495965" w:themeColor="text2"/>
      <w:sz w:val="26"/>
      <w:szCs w:val="21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AEA"/>
    <w:pPr>
      <w:spacing w:after="0" w:line="240" w:lineRule="auto"/>
    </w:pPr>
    <w:rPr>
      <w:color w:val="495965" w:themeColor="text2"/>
      <w:lang w:val="en-GB"/>
    </w:rPr>
  </w:style>
  <w:style w:type="character" w:customStyle="1" w:styleId="eop">
    <w:name w:val="eop"/>
    <w:basedOn w:val="DefaultParagraphFont"/>
    <w:rsid w:val="00CF2BBB"/>
  </w:style>
  <w:style w:type="character" w:customStyle="1" w:styleId="cf01">
    <w:name w:val="cf01"/>
    <w:basedOn w:val="DefaultParagraphFont"/>
    <w:rsid w:val="00374956"/>
    <w:rPr>
      <w:rFonts w:ascii="Segoe UI" w:hAnsi="Segoe UI" w:cs="Segoe UI" w:hint="default"/>
      <w:color w:val="495965"/>
      <w:sz w:val="18"/>
      <w:szCs w:val="18"/>
    </w:rPr>
  </w:style>
  <w:style w:type="character" w:customStyle="1" w:styleId="ui-provider">
    <w:name w:val="ui-provider"/>
    <w:basedOn w:val="DefaultParagraphFont"/>
    <w:rsid w:val="00D5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9" ma:contentTypeDescription="Create a new document." ma:contentTypeScope="" ma:versionID="b43cc67f5971412b5aa5e1fe230ff620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188315cb295a3cf91f28238864ed215d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B21C0-4B92-4567-B211-A1E40622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055413-C6F6-4B2E-946E-42B4E26591A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8d0bf03-9cf1-435a-9150-bb1741ef4aca"/>
    <ds:schemaRef ds:uri="http://purl.org/dc/elements/1.1/"/>
    <ds:schemaRef ds:uri="http://schemas.openxmlformats.org/package/2006/metadata/core-properties"/>
    <ds:schemaRef ds:uri="b968483e-5775-4ddf-9a20-dc883da9a1b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E48E43-4209-4146-8E59-4D0F09FF9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1745</Words>
  <Characters>10462</Characters>
  <Application>Microsoft Office Word</Application>
  <DocSecurity>0</DocSecurity>
  <Lines>351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Covid-response-progress-report-template - updated 2022</vt:lpstr>
    </vt:vector>
  </TitlesOfParts>
  <Company/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Vanuatu Development Program Progress Report</dc:title>
  <dc:subject/>
  <dc:creator/>
  <cp:keywords>[SEC=OFFICIAL]</cp:keywords>
  <cp:lastModifiedBy/>
  <cp:revision>1</cp:revision>
  <dcterms:created xsi:type="dcterms:W3CDTF">2023-10-30T03:31:00Z</dcterms:created>
  <dcterms:modified xsi:type="dcterms:W3CDTF">2023-11-22T02:52:00Z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64e0aaa1-fff8-40c4-b3d5-ccbb449ce979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63FA5E0138FE4A06847B5F31F02136CD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OriginationTimeStamp">
    <vt:lpwstr>2023-10-05T02:45:00Z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FA10867E11FD2093B73D0B45698CBD0C</vt:lpwstr>
  </property>
  <property fmtid="{D5CDD505-2E9C-101B-9397-08002B2CF9AE}" pid="23" name="PM_Hash_Salt">
    <vt:lpwstr>06D89BCD7A3B5A3F62ECF5F930585EE2</vt:lpwstr>
  </property>
  <property fmtid="{D5CDD505-2E9C-101B-9397-08002B2CF9AE}" pid="24" name="PM_Hash_SHA1">
    <vt:lpwstr>26BA0881FA1E713D0E48C7302098AA8E1B3DCD45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0x0101007D14CF51C84DCD4692C0DBE656617F0B</vt:lpwstr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3E9DB5AB808CA91EB3E8EC398CDB7F67B110581D6BB28BC88565729DCE387350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v=2022.1;a=SHA256;h=17EAA1101A1E8D520756ADE0CCB7A31670FAE0F13748152CE89091426AFD9D5D</vt:lpwstr>
  </property>
</Properties>
</file>