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97AB" w14:textId="26C5F79F" w:rsidR="0068172A" w:rsidRPr="00FD4C47" w:rsidRDefault="002E500A" w:rsidP="00D20101">
      <w:pPr>
        <w:pStyle w:val="Heading1"/>
      </w:pPr>
      <w:r w:rsidRPr="00FD4C47">
        <w:t>202</w:t>
      </w:r>
      <w:r w:rsidR="00996FC8" w:rsidRPr="00FD4C47">
        <w:t>2</w:t>
      </w:r>
      <w:r w:rsidRPr="00FD4C47">
        <w:t>-2</w:t>
      </w:r>
      <w:r w:rsidR="00996FC8" w:rsidRPr="00FD4C47">
        <w:t>3</w:t>
      </w:r>
      <w:r w:rsidRPr="00FD4C47">
        <w:t xml:space="preserve"> </w:t>
      </w:r>
      <w:r w:rsidR="009354A8" w:rsidRPr="00FD4C47">
        <w:t>VIETNAM</w:t>
      </w:r>
      <w:r w:rsidR="001F7F4D" w:rsidRPr="00FD4C47">
        <w:t xml:space="preserve"> D</w:t>
      </w:r>
      <w:r w:rsidR="00382CE7" w:rsidRPr="00FD4C47">
        <w:t>evelopment</w:t>
      </w:r>
      <w:r w:rsidR="001F7F4D" w:rsidRPr="00FD4C47">
        <w:t xml:space="preserve"> </w:t>
      </w:r>
      <w:r w:rsidRPr="00FD4C47">
        <w:t>P</w:t>
      </w:r>
      <w:r w:rsidR="00382CE7" w:rsidRPr="00FD4C47">
        <w:t xml:space="preserve">rogram </w:t>
      </w:r>
      <w:r w:rsidRPr="00FD4C47">
        <w:t>P</w:t>
      </w:r>
      <w:r w:rsidR="00382CE7" w:rsidRPr="00FD4C47">
        <w:t>rogress</w:t>
      </w:r>
      <w:r w:rsidRPr="00FD4C47">
        <w:t xml:space="preserve"> R</w:t>
      </w:r>
      <w:r w:rsidR="00382CE7" w:rsidRPr="00FD4C47">
        <w:t>eport</w:t>
      </w:r>
      <w:r w:rsidR="0068172A" w:rsidRPr="00FD4C47">
        <w:t>ING</w:t>
      </w:r>
      <w:r w:rsidR="001F7F4D" w:rsidRPr="00FD4C47">
        <w:t xml:space="preserve"> </w:t>
      </w:r>
    </w:p>
    <w:p w14:paraId="12E24BAE" w14:textId="3992E382" w:rsidR="00BC1FED" w:rsidRPr="00FD4C47" w:rsidRDefault="0068172A" w:rsidP="00D20101">
      <w:pPr>
        <w:pStyle w:val="Heading2"/>
        <w:rPr>
          <w:bCs/>
        </w:rPr>
      </w:pPr>
      <w:r w:rsidRPr="00FD4C47">
        <w:t xml:space="preserve">Progress against COVID-19 </w:t>
      </w:r>
      <w:r w:rsidR="008C1A18" w:rsidRPr="00FD4C47">
        <w:t xml:space="preserve">development </w:t>
      </w:r>
      <w:r w:rsidR="008A1503" w:rsidRPr="00FD4C47">
        <w:t xml:space="preserve">Response plan </w:t>
      </w:r>
      <w:r w:rsidR="00E1666D" w:rsidRPr="00FD4C47">
        <w:t>results indicators</w:t>
      </w:r>
    </w:p>
    <w:p w14:paraId="53E0B1CB" w14:textId="0109D6CC" w:rsidR="00AE2B7B" w:rsidRPr="00FD4C47" w:rsidRDefault="00AE2B7B" w:rsidP="001D3DCA">
      <w:pPr>
        <w:pStyle w:val="Heading3"/>
      </w:pPr>
      <w:r w:rsidRPr="00FD4C47">
        <w:t>Health Security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health security"/>
      </w:tblPr>
      <w:tblGrid>
        <w:gridCol w:w="4390"/>
        <w:gridCol w:w="6146"/>
      </w:tblGrid>
      <w:tr w:rsidR="00C20123" w:rsidRPr="00C20123" w14:paraId="228F7F02" w14:textId="77777777" w:rsidTr="78999F29">
        <w:trPr>
          <w:tblHeader/>
        </w:trPr>
        <w:tc>
          <w:tcPr>
            <w:tcW w:w="4390" w:type="dxa"/>
            <w:shd w:val="clear" w:color="auto" w:fill="A2DCD1" w:themeFill="accent1" w:themeFillTint="99"/>
          </w:tcPr>
          <w:p w14:paraId="7116F4F5" w14:textId="2BCC79D7" w:rsidR="004F5615" w:rsidRPr="00FD4C47" w:rsidRDefault="00A96364" w:rsidP="00CA5021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D4C47">
              <w:rPr>
                <w:rFonts w:cstheme="minorHAnsi"/>
                <w:b/>
                <w:color w:val="auto"/>
                <w:sz w:val="20"/>
                <w:szCs w:val="20"/>
              </w:rPr>
              <w:t xml:space="preserve">Key Results </w:t>
            </w:r>
            <w:r w:rsidR="00E1666D" w:rsidRPr="00FD4C47">
              <w:rPr>
                <w:rFonts w:cstheme="minorHAnsi"/>
                <w:b/>
                <w:color w:val="auto"/>
                <w:sz w:val="20"/>
                <w:szCs w:val="20"/>
              </w:rPr>
              <w:t>Indicators</w:t>
            </w:r>
          </w:p>
        </w:tc>
        <w:tc>
          <w:tcPr>
            <w:tcW w:w="6146" w:type="dxa"/>
            <w:shd w:val="clear" w:color="auto" w:fill="A2DCD1" w:themeFill="accent1" w:themeFillTint="99"/>
          </w:tcPr>
          <w:p w14:paraId="18C04122" w14:textId="30B10914" w:rsidR="004F5615" w:rsidRPr="00FD4C47" w:rsidRDefault="2B0B07AA" w:rsidP="78999F29">
            <w:pPr>
              <w:spacing w:before="0" w:after="0"/>
              <w:ind w:left="100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D4C47">
              <w:rPr>
                <w:rFonts w:cstheme="minorHAnsi"/>
                <w:b/>
                <w:bCs/>
                <w:color w:val="auto"/>
                <w:sz w:val="20"/>
                <w:szCs w:val="20"/>
              </w:rPr>
              <w:t>Progress/Result</w:t>
            </w:r>
          </w:p>
        </w:tc>
      </w:tr>
      <w:tr w:rsidR="00C20123" w:rsidRPr="00C20123" w14:paraId="5D4066B5" w14:textId="77777777" w:rsidTr="78999F29">
        <w:trPr>
          <w:tblHeader/>
        </w:trPr>
        <w:tc>
          <w:tcPr>
            <w:tcW w:w="4390" w:type="dxa"/>
          </w:tcPr>
          <w:p w14:paraId="354112BD" w14:textId="0ECB5811" w:rsidR="006E5D45" w:rsidRPr="00FD4C47" w:rsidRDefault="006E5D45" w:rsidP="006E5D45">
            <w:p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Evidence of improved health system functionality, including number of children immunised, no of </w:t>
            </w:r>
            <w:r w:rsidR="00F71BF2" w:rsidRPr="00F71BF2">
              <w:rPr>
                <w:rFonts w:cstheme="minorHAnsi"/>
                <w:color w:val="auto"/>
                <w:sz w:val="20"/>
                <w:szCs w:val="20"/>
              </w:rPr>
              <w:t xml:space="preserve">couple years of protection </w:t>
            </w:r>
            <w:r w:rsidR="00F71BF2">
              <w:rPr>
                <w:rFonts w:cstheme="minorHAnsi"/>
                <w:color w:val="auto"/>
                <w:sz w:val="20"/>
                <w:szCs w:val="20"/>
              </w:rPr>
              <w:t>(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>CYP</w:t>
            </w:r>
            <w:r w:rsidR="00F71BF2">
              <w:rPr>
                <w:rFonts w:cstheme="minorHAnsi"/>
                <w:color w:val="auto"/>
                <w:sz w:val="20"/>
                <w:szCs w:val="20"/>
              </w:rPr>
              <w:t>)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 achieved through access to contraceptive services, and</w:t>
            </w:r>
            <w:r w:rsidR="0078728E">
              <w:rPr>
                <w:rFonts w:cstheme="minorHAnsi"/>
                <w:color w:val="auto"/>
                <w:sz w:val="20"/>
                <w:szCs w:val="20"/>
              </w:rPr>
              <w:t>/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 or improved community sanitation or disease prevention practices</w:t>
            </w:r>
            <w:r w:rsidRPr="00FD4C47">
              <w:rPr>
                <w:rFonts w:cstheme="minorHAnsi"/>
                <w:color w:val="auto"/>
                <w:sz w:val="20"/>
                <w:szCs w:val="20"/>
                <w:vertAlign w:val="superscript"/>
              </w:rPr>
              <w:footnoteReference w:id="2"/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146" w:type="dxa"/>
          </w:tcPr>
          <w:p w14:paraId="702087F2" w14:textId="68CEFFA0" w:rsidR="006E5D45" w:rsidRDefault="38DA4BEA" w:rsidP="00716143">
            <w:p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Australia </w:t>
            </w:r>
            <w:r w:rsidR="0093110C" w:rsidRPr="00FD4C47">
              <w:rPr>
                <w:rFonts w:cstheme="minorHAnsi"/>
                <w:color w:val="auto"/>
                <w:sz w:val="20"/>
                <w:szCs w:val="20"/>
              </w:rPr>
              <w:t>supported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 the Ministry of Health</w:t>
            </w:r>
            <w:r w:rsidR="00AE0F79" w:rsidRPr="00FD4C47">
              <w:rPr>
                <w:rFonts w:cstheme="minorHAnsi"/>
                <w:color w:val="auto"/>
                <w:sz w:val="20"/>
                <w:szCs w:val="20"/>
              </w:rPr>
              <w:t xml:space="preserve"> (MoH)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="00224870">
              <w:rPr>
                <w:rFonts w:cstheme="minorHAnsi"/>
                <w:color w:val="auto"/>
                <w:sz w:val="20"/>
                <w:szCs w:val="20"/>
              </w:rPr>
              <w:t xml:space="preserve">the </w:t>
            </w:r>
            <w:r w:rsidR="00224870" w:rsidRPr="00224870">
              <w:rPr>
                <w:rFonts w:cstheme="minorHAnsi"/>
                <w:color w:val="auto"/>
                <w:sz w:val="20"/>
                <w:szCs w:val="20"/>
              </w:rPr>
              <w:t>United Nations Children's Fund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 and </w:t>
            </w:r>
            <w:r w:rsidR="0045158D">
              <w:rPr>
                <w:rFonts w:cstheme="minorHAnsi"/>
                <w:color w:val="auto"/>
                <w:sz w:val="20"/>
                <w:szCs w:val="20"/>
              </w:rPr>
              <w:t xml:space="preserve">the World Health </w:t>
            </w:r>
            <w:r w:rsidR="00AF50CB">
              <w:rPr>
                <w:rFonts w:cstheme="minorHAnsi"/>
                <w:color w:val="auto"/>
                <w:sz w:val="20"/>
                <w:szCs w:val="20"/>
              </w:rPr>
              <w:t>Organisation</w:t>
            </w:r>
            <w:r w:rsidR="0045158D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to </w:t>
            </w:r>
            <w:r w:rsidR="0093110C" w:rsidRPr="00FD4C47">
              <w:rPr>
                <w:rFonts w:cstheme="minorHAnsi"/>
                <w:color w:val="auto"/>
                <w:sz w:val="20"/>
                <w:szCs w:val="20"/>
              </w:rPr>
              <w:t>ro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>ll out COVID-19 vaccination</w:t>
            </w:r>
            <w:r w:rsidR="00F2330C" w:rsidRPr="00FD4C47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D1420D" w:rsidRPr="00FD4C47">
              <w:rPr>
                <w:rFonts w:cstheme="minorHAnsi"/>
                <w:color w:val="auto"/>
                <w:sz w:val="20"/>
                <w:szCs w:val="20"/>
              </w:rPr>
              <w:t>and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 strengthen the </w:t>
            </w:r>
            <w:r w:rsidR="0093110C" w:rsidRPr="00FD4C47">
              <w:rPr>
                <w:rFonts w:cstheme="minorHAnsi"/>
                <w:color w:val="auto"/>
                <w:sz w:val="20"/>
                <w:szCs w:val="20"/>
              </w:rPr>
              <w:t xml:space="preserve">national 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>immuni</w:t>
            </w:r>
            <w:r w:rsidR="0093110C" w:rsidRPr="00FD4C47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>ation system</w:t>
            </w:r>
            <w:r w:rsidR="1FA0354A" w:rsidRPr="00FD4C47">
              <w:rPr>
                <w:rFonts w:cstheme="minorHAnsi"/>
                <w:color w:val="auto"/>
                <w:sz w:val="20"/>
                <w:szCs w:val="20"/>
              </w:rPr>
              <w:t>.</w:t>
            </w:r>
            <w:r w:rsidR="3A6B0B5F" w:rsidRPr="00FD4C4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14:paraId="66229A6F" w14:textId="77777777" w:rsidR="00322633" w:rsidRPr="00FD4C47" w:rsidRDefault="00322633" w:rsidP="00716143">
            <w:pPr>
              <w:spacing w:before="0" w:after="0"/>
              <w:rPr>
                <w:color w:val="auto"/>
              </w:rPr>
            </w:pPr>
          </w:p>
          <w:p w14:paraId="4F3740C8" w14:textId="77777777" w:rsidR="00D76380" w:rsidRPr="00D76380" w:rsidRDefault="00AE0F79" w:rsidP="00D7638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uppressAutoHyphens w:val="0"/>
              <w:spacing w:before="0" w:line="240" w:lineRule="auto"/>
              <w:rPr>
                <w:rStyle w:val="ui-provider"/>
                <w:rFonts w:cstheme="minorHAnsi"/>
                <w:color w:val="auto"/>
                <w:sz w:val="20"/>
                <w:szCs w:val="20"/>
              </w:rPr>
            </w:pPr>
            <w:r w:rsidRPr="00FD4C47">
              <w:rPr>
                <w:rStyle w:val="ui-provider"/>
                <w:color w:val="auto"/>
                <w:sz w:val="20"/>
                <w:szCs w:val="20"/>
              </w:rPr>
              <w:t>MoH issued updated guideline</w:t>
            </w:r>
            <w:r w:rsidR="00CE113F" w:rsidRPr="00FD4C47">
              <w:rPr>
                <w:rStyle w:val="ui-provider"/>
                <w:color w:val="auto"/>
                <w:sz w:val="20"/>
                <w:szCs w:val="20"/>
              </w:rPr>
              <w:t>s</w:t>
            </w:r>
            <w:r w:rsidRPr="00FD4C47">
              <w:rPr>
                <w:rStyle w:val="ui-provider"/>
                <w:color w:val="auto"/>
                <w:sz w:val="20"/>
                <w:szCs w:val="20"/>
              </w:rPr>
              <w:t xml:space="preserve"> to provide catch-up immuni</w:t>
            </w:r>
            <w:r w:rsidR="00CE113F" w:rsidRPr="00FD4C47">
              <w:rPr>
                <w:rStyle w:val="ui-provider"/>
                <w:color w:val="auto"/>
                <w:sz w:val="20"/>
                <w:szCs w:val="20"/>
              </w:rPr>
              <w:t>s</w:t>
            </w:r>
            <w:r w:rsidRPr="00FD4C47">
              <w:rPr>
                <w:rStyle w:val="ui-provider"/>
                <w:color w:val="auto"/>
                <w:sz w:val="20"/>
                <w:szCs w:val="20"/>
              </w:rPr>
              <w:t>ation</w:t>
            </w:r>
            <w:r w:rsidR="00CE113F" w:rsidRPr="00FD4C47">
              <w:rPr>
                <w:rStyle w:val="ui-provider"/>
                <w:color w:val="auto"/>
                <w:sz w:val="20"/>
                <w:szCs w:val="20"/>
              </w:rPr>
              <w:t>s</w:t>
            </w:r>
            <w:r w:rsidRPr="00FD4C47">
              <w:rPr>
                <w:rStyle w:val="ui-provider"/>
                <w:color w:val="auto"/>
                <w:sz w:val="20"/>
                <w:szCs w:val="20"/>
              </w:rPr>
              <w:t xml:space="preserve"> for children who missed</w:t>
            </w:r>
            <w:r w:rsidR="00CE113F" w:rsidRPr="00FD4C47">
              <w:rPr>
                <w:rStyle w:val="ui-provider"/>
                <w:color w:val="auto"/>
                <w:sz w:val="20"/>
                <w:szCs w:val="20"/>
              </w:rPr>
              <w:t xml:space="preserve"> r</w:t>
            </w:r>
            <w:r w:rsidRPr="00FD4C47">
              <w:rPr>
                <w:rStyle w:val="ui-provider"/>
                <w:color w:val="auto"/>
                <w:sz w:val="20"/>
                <w:szCs w:val="20"/>
              </w:rPr>
              <w:t>outine Immuni</w:t>
            </w:r>
            <w:r w:rsidR="00CE113F" w:rsidRPr="00FD4C47">
              <w:rPr>
                <w:rStyle w:val="ui-provider"/>
                <w:color w:val="auto"/>
                <w:sz w:val="20"/>
                <w:szCs w:val="20"/>
              </w:rPr>
              <w:t>s</w:t>
            </w:r>
            <w:r w:rsidRPr="00FD4C47">
              <w:rPr>
                <w:rStyle w:val="ui-provider"/>
                <w:color w:val="auto"/>
                <w:sz w:val="20"/>
                <w:szCs w:val="20"/>
              </w:rPr>
              <w:t>ation doses.</w:t>
            </w:r>
          </w:p>
          <w:p w14:paraId="1C78B18E" w14:textId="6EBFCD63" w:rsidR="006E5D45" w:rsidRPr="00D76380" w:rsidRDefault="00D1420D" w:rsidP="00D7638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uppressAutoHyphens w:val="0"/>
              <w:spacing w:before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76380">
              <w:rPr>
                <w:rFonts w:cstheme="minorHAnsi"/>
                <w:color w:val="auto"/>
                <w:sz w:val="20"/>
                <w:szCs w:val="20"/>
              </w:rPr>
              <w:t>6500</w:t>
            </w:r>
            <w:r w:rsidR="0093110C" w:rsidRPr="00D76380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D76380">
              <w:rPr>
                <w:rFonts w:cstheme="minorHAnsi"/>
                <w:color w:val="auto"/>
                <w:sz w:val="20"/>
                <w:szCs w:val="20"/>
              </w:rPr>
              <w:t>health staff</w:t>
            </w:r>
            <w:r w:rsidR="0093110C" w:rsidRPr="00D76380">
              <w:rPr>
                <w:rFonts w:cstheme="minorHAnsi"/>
                <w:color w:val="auto"/>
                <w:sz w:val="20"/>
                <w:szCs w:val="20"/>
              </w:rPr>
              <w:t xml:space="preserve"> and </w:t>
            </w:r>
            <w:r w:rsidRPr="00D76380">
              <w:rPr>
                <w:rFonts w:cstheme="minorHAnsi"/>
                <w:color w:val="auto"/>
                <w:sz w:val="20"/>
                <w:szCs w:val="20"/>
              </w:rPr>
              <w:t>community members received training on COVID-19 and routine vaccination</w:t>
            </w:r>
            <w:r w:rsidR="00322633" w:rsidRPr="00D76380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</w:tc>
      </w:tr>
      <w:tr w:rsidR="00C20123" w:rsidRPr="00C20123" w14:paraId="4AD746D8" w14:textId="77777777" w:rsidTr="78999F29">
        <w:trPr>
          <w:tblHeader/>
        </w:trPr>
        <w:tc>
          <w:tcPr>
            <w:tcW w:w="4390" w:type="dxa"/>
          </w:tcPr>
          <w:p w14:paraId="0AB10A98" w14:textId="5C5B63DE" w:rsidR="006E5D45" w:rsidRPr="00FD4C47" w:rsidRDefault="006E5D45" w:rsidP="006E5D45">
            <w:p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 w:rsidRPr="00FD4C47">
              <w:rPr>
                <w:rFonts w:cstheme="minorHAnsi"/>
                <w:color w:val="auto"/>
                <w:sz w:val="20"/>
                <w:szCs w:val="20"/>
              </w:rPr>
              <w:t>Number of people who accessed vaccinations</w:t>
            </w:r>
          </w:p>
        </w:tc>
        <w:tc>
          <w:tcPr>
            <w:tcW w:w="6146" w:type="dxa"/>
          </w:tcPr>
          <w:p w14:paraId="5283D3D9" w14:textId="3106E115" w:rsidR="15A0C82C" w:rsidRPr="00FD4C47" w:rsidRDefault="15A0C82C" w:rsidP="002D2253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uppressAutoHyphens w:val="0"/>
              <w:spacing w:before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D4C47">
              <w:rPr>
                <w:rFonts w:cstheme="minorHAnsi"/>
                <w:color w:val="auto"/>
                <w:sz w:val="20"/>
                <w:szCs w:val="20"/>
              </w:rPr>
              <w:t>In 2022, Australia contributed 4.2 million COVID-19 vaccine doses</w:t>
            </w:r>
            <w:r w:rsidR="00C95985" w:rsidRPr="00FD4C47">
              <w:rPr>
                <w:rFonts w:cstheme="minorHAnsi"/>
                <w:color w:val="auto"/>
                <w:sz w:val="20"/>
                <w:szCs w:val="20"/>
              </w:rPr>
              <w:t xml:space="preserve">, making 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Australia Vietnam’s second largest COVID-19 vaccine donor with </w:t>
            </w:r>
            <w:r w:rsidR="00C95985" w:rsidRPr="00FD4C47">
              <w:rPr>
                <w:rFonts w:cstheme="minorHAnsi"/>
                <w:color w:val="auto"/>
                <w:sz w:val="20"/>
                <w:szCs w:val="20"/>
              </w:rPr>
              <w:t xml:space="preserve">a 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>total of 26.4 million doses.</w:t>
            </w:r>
          </w:p>
          <w:p w14:paraId="44F01EB8" w14:textId="44D6053A" w:rsidR="006E5D45" w:rsidRPr="00FD4C47" w:rsidRDefault="44FEF5C5" w:rsidP="002D2253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uppressAutoHyphens w:val="0"/>
              <w:spacing w:before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D4C47">
              <w:rPr>
                <w:rFonts w:cstheme="minorHAnsi"/>
                <w:color w:val="auto"/>
                <w:sz w:val="20"/>
                <w:szCs w:val="20"/>
              </w:rPr>
              <w:t>32 provinces deployed 6,965 mobile vaccination teams to communities and schools</w:t>
            </w:r>
            <w:r w:rsidR="0093110C" w:rsidRPr="00FD4C47">
              <w:rPr>
                <w:rFonts w:cstheme="minorHAnsi"/>
                <w:color w:val="auto"/>
                <w:sz w:val="20"/>
                <w:szCs w:val="20"/>
              </w:rPr>
              <w:t>,</w:t>
            </w:r>
            <w:r w:rsidR="004C3FB6" w:rsidRPr="00FD4C47">
              <w:rPr>
                <w:rFonts w:cstheme="minorHAnsi"/>
                <w:color w:val="auto"/>
                <w:sz w:val="20"/>
                <w:szCs w:val="20"/>
              </w:rPr>
              <w:t xml:space="preserve"> reaching 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>209,000 beneficiaries</w:t>
            </w:r>
            <w:r w:rsidR="00F71BF2">
              <w:rPr>
                <w:rFonts w:cstheme="minorHAnsi"/>
                <w:color w:val="auto"/>
                <w:sz w:val="20"/>
                <w:szCs w:val="20"/>
              </w:rPr>
              <w:t xml:space="preserve"> and vulnerable communities. </w:t>
            </w:r>
          </w:p>
        </w:tc>
      </w:tr>
      <w:tr w:rsidR="00C20123" w:rsidRPr="00C20123" w14:paraId="561E10FB" w14:textId="77777777" w:rsidTr="78999F29">
        <w:trPr>
          <w:tblHeader/>
        </w:trPr>
        <w:tc>
          <w:tcPr>
            <w:tcW w:w="4390" w:type="dxa"/>
          </w:tcPr>
          <w:p w14:paraId="3FC5A9AE" w14:textId="079B6BE2" w:rsidR="006E5D45" w:rsidRPr="00FD4C47" w:rsidRDefault="006E5D45" w:rsidP="006E5D45">
            <w:p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Number of people with access to water, </w:t>
            </w:r>
            <w:r w:rsidR="009F76DA" w:rsidRPr="00FD4C47">
              <w:rPr>
                <w:rFonts w:cstheme="minorHAnsi"/>
                <w:color w:val="auto"/>
                <w:sz w:val="20"/>
                <w:szCs w:val="20"/>
              </w:rPr>
              <w:t>sanitation,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 and hygiene, mental health and psycho-social support, protection</w:t>
            </w:r>
          </w:p>
        </w:tc>
        <w:tc>
          <w:tcPr>
            <w:tcW w:w="6146" w:type="dxa"/>
          </w:tcPr>
          <w:p w14:paraId="604CAF8A" w14:textId="06436362" w:rsidR="00FB0E6B" w:rsidRDefault="00115600" w:rsidP="78999F29">
            <w:pPr>
              <w:spacing w:before="0" w:after="0"/>
              <w:ind w:left="10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With Australia’s support, </w:t>
            </w:r>
            <w:r w:rsidR="00C95985" w:rsidRPr="00FD4C47">
              <w:rPr>
                <w:rFonts w:cstheme="minorHAnsi"/>
                <w:color w:val="auto"/>
                <w:sz w:val="20"/>
                <w:szCs w:val="20"/>
              </w:rPr>
              <w:t>M</w:t>
            </w:r>
            <w:r w:rsidR="001B6CCB">
              <w:rPr>
                <w:rFonts w:cstheme="minorHAnsi"/>
                <w:color w:val="auto"/>
                <w:sz w:val="20"/>
                <w:szCs w:val="20"/>
              </w:rPr>
              <w:t xml:space="preserve">arie Stopes International </w:t>
            </w:r>
            <w:r w:rsidR="002A393E">
              <w:rPr>
                <w:rFonts w:cstheme="minorHAnsi"/>
                <w:color w:val="auto"/>
                <w:sz w:val="20"/>
                <w:szCs w:val="20"/>
              </w:rPr>
              <w:t>R</w:t>
            </w:r>
            <w:r w:rsidR="00C95985" w:rsidRPr="00FD4C47">
              <w:rPr>
                <w:rFonts w:cstheme="minorHAnsi"/>
                <w:color w:val="auto"/>
                <w:sz w:val="20"/>
                <w:szCs w:val="20"/>
              </w:rPr>
              <w:t>eproductive Choices</w:t>
            </w:r>
            <w:r w:rsidR="0093110C" w:rsidRPr="00FD4C4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E11B48">
              <w:rPr>
                <w:rFonts w:cstheme="minorHAnsi"/>
                <w:color w:val="auto"/>
                <w:sz w:val="20"/>
                <w:szCs w:val="20"/>
              </w:rPr>
              <w:t xml:space="preserve">program </w:t>
            </w:r>
            <w:r w:rsidR="00FB0E6B" w:rsidRPr="00FD4C47">
              <w:rPr>
                <w:rFonts w:cstheme="minorHAnsi"/>
                <w:color w:val="auto"/>
                <w:sz w:val="20"/>
                <w:szCs w:val="20"/>
              </w:rPr>
              <w:t>provided</w:t>
            </w:r>
            <w:r w:rsidR="0F80F0F5" w:rsidRPr="00FD4C47">
              <w:rPr>
                <w:rFonts w:cstheme="minorHAnsi"/>
                <w:color w:val="auto"/>
                <w:sz w:val="20"/>
                <w:szCs w:val="20"/>
              </w:rPr>
              <w:t xml:space="preserve"> access to essential </w:t>
            </w:r>
            <w:r w:rsidR="00127498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="00127498" w:rsidRPr="00127498">
              <w:rPr>
                <w:rFonts w:cstheme="minorHAnsi"/>
                <w:color w:val="auto"/>
                <w:sz w:val="20"/>
                <w:szCs w:val="20"/>
              </w:rPr>
              <w:t xml:space="preserve">exual and </w:t>
            </w:r>
            <w:r w:rsidR="00127498">
              <w:rPr>
                <w:rFonts w:cstheme="minorHAnsi"/>
                <w:color w:val="auto"/>
                <w:sz w:val="20"/>
                <w:szCs w:val="20"/>
              </w:rPr>
              <w:t>r</w:t>
            </w:r>
            <w:r w:rsidR="00127498" w:rsidRPr="00127498">
              <w:rPr>
                <w:rFonts w:cstheme="minorHAnsi"/>
                <w:color w:val="auto"/>
                <w:sz w:val="20"/>
                <w:szCs w:val="20"/>
              </w:rPr>
              <w:t xml:space="preserve">eproductive </w:t>
            </w:r>
            <w:r w:rsidR="00127498">
              <w:rPr>
                <w:rFonts w:cstheme="minorHAnsi"/>
                <w:color w:val="auto"/>
                <w:sz w:val="20"/>
                <w:szCs w:val="20"/>
              </w:rPr>
              <w:t>h</w:t>
            </w:r>
            <w:r w:rsidR="00127498" w:rsidRPr="00127498">
              <w:rPr>
                <w:rFonts w:cstheme="minorHAnsi"/>
                <w:color w:val="auto"/>
                <w:sz w:val="20"/>
                <w:szCs w:val="20"/>
              </w:rPr>
              <w:t>ealth</w:t>
            </w:r>
            <w:r w:rsidR="00D27971">
              <w:rPr>
                <w:rFonts w:cstheme="minorHAnsi"/>
                <w:color w:val="auto"/>
                <w:sz w:val="20"/>
                <w:szCs w:val="20"/>
              </w:rPr>
              <w:t xml:space="preserve"> (SRH)</w:t>
            </w:r>
            <w:r w:rsidR="00127498" w:rsidRPr="00127498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F80F0F5" w:rsidRPr="00FD4C47">
              <w:rPr>
                <w:rFonts w:cstheme="minorHAnsi"/>
                <w:color w:val="auto"/>
                <w:sz w:val="20"/>
                <w:szCs w:val="20"/>
              </w:rPr>
              <w:t>services for women, girls, and marginalised populations</w:t>
            </w:r>
            <w:r w:rsidR="00127498">
              <w:rPr>
                <w:rFonts w:cstheme="minorHAnsi"/>
                <w:color w:val="auto"/>
                <w:sz w:val="20"/>
                <w:szCs w:val="20"/>
              </w:rPr>
              <w:t xml:space="preserve">, including: </w:t>
            </w:r>
          </w:p>
          <w:p w14:paraId="0C092613" w14:textId="77777777" w:rsidR="00322633" w:rsidRPr="00FD4C47" w:rsidRDefault="00322633" w:rsidP="78999F29">
            <w:pPr>
              <w:spacing w:before="0" w:after="0"/>
              <w:ind w:left="100"/>
              <w:rPr>
                <w:rFonts w:cstheme="minorHAnsi"/>
                <w:color w:val="auto"/>
                <w:sz w:val="20"/>
                <w:szCs w:val="20"/>
              </w:rPr>
            </w:pPr>
          </w:p>
          <w:p w14:paraId="041D9F63" w14:textId="0DE510EC" w:rsidR="006E5D45" w:rsidRPr="00FD4C47" w:rsidRDefault="37EFE58C" w:rsidP="002D2253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uppressAutoHyphens w:val="0"/>
              <w:spacing w:before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D4C47">
              <w:rPr>
                <w:rFonts w:cstheme="minorHAnsi"/>
                <w:color w:val="auto"/>
                <w:sz w:val="20"/>
                <w:szCs w:val="20"/>
              </w:rPr>
              <w:t>26,676 SRH services</w:t>
            </w:r>
            <w:r w:rsidR="0093110C" w:rsidRPr="00FD4C47">
              <w:rPr>
                <w:rFonts w:cstheme="minorHAnsi"/>
                <w:color w:val="auto"/>
                <w:sz w:val="20"/>
                <w:szCs w:val="20"/>
              </w:rPr>
              <w:t xml:space="preserve"> were </w:t>
            </w:r>
            <w:r w:rsidR="001D3DCA" w:rsidRPr="00FD4C47">
              <w:rPr>
                <w:rFonts w:cstheme="minorHAnsi"/>
                <w:color w:val="auto"/>
                <w:sz w:val="20"/>
                <w:szCs w:val="20"/>
              </w:rPr>
              <w:t>delivered</w:t>
            </w:r>
            <w:r w:rsidR="001F102E">
              <w:rPr>
                <w:rFonts w:cstheme="minorHAnsi"/>
                <w:color w:val="auto"/>
                <w:sz w:val="20"/>
                <w:szCs w:val="20"/>
              </w:rPr>
              <w:t>.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14:paraId="0BB28823" w14:textId="733D3347" w:rsidR="006E5D45" w:rsidRPr="00FD4C47" w:rsidRDefault="37EFE58C" w:rsidP="002D2253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uppressAutoHyphens w:val="0"/>
              <w:spacing w:before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57,952 CYPs </w:t>
            </w:r>
            <w:r w:rsidR="0093110C" w:rsidRPr="00FD4C47">
              <w:rPr>
                <w:rFonts w:cstheme="minorHAnsi"/>
                <w:color w:val="auto"/>
                <w:sz w:val="20"/>
                <w:szCs w:val="20"/>
              </w:rPr>
              <w:t xml:space="preserve">were </w:t>
            </w:r>
            <w:r w:rsidR="001D3DCA" w:rsidRPr="00FD4C47">
              <w:rPr>
                <w:rFonts w:cstheme="minorHAnsi"/>
                <w:color w:val="auto"/>
                <w:sz w:val="20"/>
                <w:szCs w:val="20"/>
              </w:rPr>
              <w:t>generated</w:t>
            </w:r>
            <w:r w:rsidR="001F102E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  <w:p w14:paraId="02D2BB77" w14:textId="6B7B461A" w:rsidR="006E5D45" w:rsidRPr="00FD4C47" w:rsidRDefault="37EFE58C" w:rsidP="002D2253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uppressAutoHyphens w:val="0"/>
              <w:spacing w:before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20,100 SRH clients </w:t>
            </w:r>
            <w:r w:rsidR="0093110C" w:rsidRPr="00FD4C47">
              <w:rPr>
                <w:rFonts w:cstheme="minorHAnsi"/>
                <w:color w:val="auto"/>
                <w:sz w:val="20"/>
                <w:szCs w:val="20"/>
              </w:rPr>
              <w:t xml:space="preserve">were </w:t>
            </w:r>
            <w:r w:rsidR="001D3DCA" w:rsidRPr="00FD4C47">
              <w:rPr>
                <w:rFonts w:cstheme="minorHAnsi"/>
                <w:color w:val="auto"/>
                <w:sz w:val="20"/>
                <w:szCs w:val="20"/>
              </w:rPr>
              <w:t>served</w:t>
            </w:r>
            <w:r w:rsidR="001F102E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  <w:p w14:paraId="2B4E6849" w14:textId="1DE08E57" w:rsidR="006E5D45" w:rsidRPr="00FD4C47" w:rsidRDefault="37EFE58C" w:rsidP="002D2253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uppressAutoHyphens w:val="0"/>
              <w:spacing w:before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60 </w:t>
            </w:r>
            <w:r w:rsidR="0093110C" w:rsidRPr="00FD4C47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="724FB9E7" w:rsidRPr="00FD4C47">
              <w:rPr>
                <w:rFonts w:cstheme="minorHAnsi"/>
                <w:color w:val="auto"/>
                <w:sz w:val="20"/>
                <w:szCs w:val="20"/>
              </w:rPr>
              <w:t>exual and gender-based violence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D27971">
              <w:rPr>
                <w:rFonts w:cstheme="minorHAnsi"/>
                <w:color w:val="auto"/>
                <w:sz w:val="20"/>
                <w:szCs w:val="20"/>
              </w:rPr>
              <w:t xml:space="preserve">(GBV) </w:t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>survivors were referred for follow-on support</w:t>
            </w:r>
            <w:r w:rsidR="000663FE">
              <w:rPr>
                <w:rFonts w:cstheme="minorHAnsi"/>
                <w:color w:val="auto"/>
                <w:sz w:val="20"/>
                <w:szCs w:val="20"/>
              </w:rPr>
              <w:t xml:space="preserve">; and </w:t>
            </w:r>
          </w:p>
          <w:p w14:paraId="1D0B508E" w14:textId="5278CB14" w:rsidR="006E5D45" w:rsidRPr="00FD4C47" w:rsidRDefault="37EFE58C" w:rsidP="002D2253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uppressAutoHyphens w:val="0"/>
              <w:spacing w:before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D4C47">
              <w:rPr>
                <w:rFonts w:cstheme="minorHAnsi"/>
                <w:color w:val="auto"/>
                <w:sz w:val="20"/>
                <w:szCs w:val="20"/>
              </w:rPr>
              <w:t>154,936 people accessed SRH information digital</w:t>
            </w:r>
            <w:r w:rsidR="0093110C" w:rsidRPr="00FD4C47">
              <w:rPr>
                <w:rFonts w:cstheme="minorHAnsi"/>
                <w:color w:val="auto"/>
                <w:sz w:val="20"/>
                <w:szCs w:val="20"/>
              </w:rPr>
              <w:t>ly</w:t>
            </w:r>
            <w:r w:rsidR="001D3DCA">
              <w:rPr>
                <w:rFonts w:cstheme="minorHAnsi"/>
                <w:color w:val="auto"/>
                <w:sz w:val="20"/>
                <w:szCs w:val="20"/>
              </w:rPr>
              <w:t>.</w:t>
            </w:r>
            <w:r w:rsidR="001D3DCA">
              <w:rPr>
                <w:rFonts w:cstheme="minorHAnsi"/>
              </w:rPr>
              <w:t xml:space="preserve"> </w:t>
            </w:r>
          </w:p>
        </w:tc>
      </w:tr>
      <w:tr w:rsidR="00C20123" w:rsidRPr="00C20123" w14:paraId="6024B2EE" w14:textId="77777777" w:rsidTr="78999F29">
        <w:trPr>
          <w:tblHeader/>
        </w:trPr>
        <w:tc>
          <w:tcPr>
            <w:tcW w:w="4390" w:type="dxa"/>
          </w:tcPr>
          <w:p w14:paraId="5A7E4C44" w14:textId="2CAAA865" w:rsidR="006E5D45" w:rsidRPr="00FD4C47" w:rsidRDefault="006E5D45" w:rsidP="006E5D45">
            <w:p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 w:rsidRPr="00FD4C47">
              <w:rPr>
                <w:rFonts w:cstheme="minorHAnsi"/>
                <w:color w:val="auto"/>
                <w:sz w:val="20"/>
                <w:szCs w:val="20"/>
              </w:rPr>
              <w:t>Evidence of partnerships, significant people-to-people engagements and institutional collaboration which contribute to health system strengthening in Vietnam</w:t>
            </w:r>
            <w:r w:rsidRPr="00FD4C47">
              <w:rPr>
                <w:rFonts w:cstheme="minorHAnsi"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FD4C4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146" w:type="dxa"/>
          </w:tcPr>
          <w:p w14:paraId="3A40B9CD" w14:textId="4C2495AD" w:rsidR="00693FED" w:rsidRPr="00FD4C47" w:rsidRDefault="00693FED" w:rsidP="005022C6">
            <w:pPr>
              <w:spacing w:before="0" w:after="0"/>
              <w:ind w:left="100"/>
              <w:rPr>
                <w:rFonts w:cstheme="minorHAnsi"/>
                <w:color w:val="auto"/>
                <w:sz w:val="20"/>
                <w:szCs w:val="20"/>
              </w:rPr>
            </w:pPr>
            <w:r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>Australia’s Therapeutic Goods Administration</w:t>
            </w:r>
            <w:r w:rsidR="00CE113F"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</w:t>
            </w:r>
            <w:r w:rsidR="0093110C"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>supported</w:t>
            </w:r>
            <w:r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Vietnam’s National Regulatory Authorities to strengthen regulatory practice </w:t>
            </w:r>
            <w:r w:rsidR="009310F9"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>and</w:t>
            </w:r>
            <w:r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ensure timely access to quality assured, safe and efficacious medical products. The collaboration focused on information sharing on</w:t>
            </w:r>
            <w:r w:rsidR="007204A6"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paediatric</w:t>
            </w:r>
            <w:r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COVID-19 vaccines</w:t>
            </w:r>
            <w:r w:rsidR="00CE113F"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and </w:t>
            </w:r>
            <w:r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>system improvement</w:t>
            </w:r>
            <w:r w:rsidR="00CE113F"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>s</w:t>
            </w:r>
            <w:r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</w:t>
            </w:r>
            <w:r w:rsidR="00E41BEC"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>for</w:t>
            </w:r>
            <w:r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drug registration, bioequivalence studies for marketing authori</w:t>
            </w:r>
            <w:r w:rsidR="009310F9"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>s</w:t>
            </w:r>
            <w:r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ation, and </w:t>
            </w:r>
            <w:r w:rsidR="00BD3083"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the </w:t>
            </w:r>
            <w:r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>amendment of Vietnam</w:t>
            </w:r>
            <w:r w:rsidR="00BD3083"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>’s</w:t>
            </w:r>
            <w:r w:rsidRPr="00FD4C47">
              <w:rPr>
                <w:rFonts w:cstheme="minorHAnsi"/>
                <w:color w:val="auto"/>
                <w:sz w:val="20"/>
                <w:szCs w:val="20"/>
                <w:lang w:val="en-AU"/>
              </w:rPr>
              <w:t xml:space="preserve"> Pharmaceutical Law.</w:t>
            </w:r>
          </w:p>
        </w:tc>
      </w:tr>
    </w:tbl>
    <w:p w14:paraId="08BBE344" w14:textId="0FF84E22" w:rsidR="00AE2B7B" w:rsidRPr="001D3DCA" w:rsidRDefault="00AE2B7B" w:rsidP="001D3DCA">
      <w:pPr>
        <w:pStyle w:val="Heading3"/>
      </w:pPr>
      <w:r w:rsidRPr="001D3DCA">
        <w:lastRenderedPageBreak/>
        <w:t>Stability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Stability "/>
      </w:tblPr>
      <w:tblGrid>
        <w:gridCol w:w="4390"/>
        <w:gridCol w:w="6146"/>
      </w:tblGrid>
      <w:tr w:rsidR="009A3E07" w:rsidRPr="00035DDB" w14:paraId="14EF210E" w14:textId="77777777" w:rsidTr="78999F29">
        <w:trPr>
          <w:tblHeader/>
        </w:trPr>
        <w:tc>
          <w:tcPr>
            <w:tcW w:w="4390" w:type="dxa"/>
            <w:shd w:val="clear" w:color="auto" w:fill="A2DCD1" w:themeFill="accent1" w:themeFillTint="99"/>
            <w:vAlign w:val="bottom"/>
          </w:tcPr>
          <w:p w14:paraId="47014330" w14:textId="7A7E2C4C" w:rsidR="00CA5021" w:rsidRPr="00053B17" w:rsidRDefault="00A96364" w:rsidP="00CA5021">
            <w:pPr>
              <w:widowControl w:val="0"/>
              <w:spacing w:before="0" w:after="0" w:line="240" w:lineRule="auto"/>
              <w:jc w:val="center"/>
              <w:rPr>
                <w:rFonts w:cstheme="minorHAnsi"/>
                <w:color w:val="auto"/>
              </w:rPr>
            </w:pPr>
            <w:r w:rsidRPr="00053B17">
              <w:rPr>
                <w:rFonts w:cstheme="minorHAnsi"/>
                <w:b/>
                <w:color w:val="auto"/>
              </w:rPr>
              <w:t>Key Results</w:t>
            </w:r>
            <w:r w:rsidR="00CA5021" w:rsidRPr="00053B17">
              <w:rPr>
                <w:rFonts w:cstheme="minorHAnsi"/>
                <w:b/>
                <w:color w:val="auto"/>
              </w:rPr>
              <w:t xml:space="preserve"> Indicator</w:t>
            </w:r>
            <w:r w:rsidRPr="00053B17">
              <w:rPr>
                <w:rFonts w:cstheme="minorHAnsi"/>
                <w:b/>
                <w:color w:val="auto"/>
              </w:rPr>
              <w:t>s</w:t>
            </w:r>
          </w:p>
        </w:tc>
        <w:tc>
          <w:tcPr>
            <w:tcW w:w="6146" w:type="dxa"/>
            <w:shd w:val="clear" w:color="auto" w:fill="A2DCD1" w:themeFill="accent1" w:themeFillTint="99"/>
            <w:vAlign w:val="bottom"/>
          </w:tcPr>
          <w:p w14:paraId="167B5817" w14:textId="6DB7E03D" w:rsidR="00CA5021" w:rsidRPr="00053B17" w:rsidRDefault="00AD19F7" w:rsidP="00CA5021">
            <w:pPr>
              <w:widowControl w:val="0"/>
              <w:spacing w:before="0" w:after="0" w:line="240" w:lineRule="auto"/>
              <w:jc w:val="center"/>
              <w:rPr>
                <w:rFonts w:cstheme="minorHAnsi"/>
                <w:color w:val="auto"/>
              </w:rPr>
            </w:pPr>
            <w:r w:rsidRPr="00053B17">
              <w:rPr>
                <w:rFonts w:cstheme="minorHAnsi"/>
                <w:b/>
                <w:color w:val="auto"/>
              </w:rPr>
              <w:t>Progress/Result</w:t>
            </w:r>
          </w:p>
        </w:tc>
      </w:tr>
      <w:tr w:rsidR="009A3E07" w:rsidRPr="00035DDB" w14:paraId="593A8551" w14:textId="77777777" w:rsidTr="78999F29">
        <w:trPr>
          <w:tblHeader/>
        </w:trPr>
        <w:tc>
          <w:tcPr>
            <w:tcW w:w="4390" w:type="dxa"/>
          </w:tcPr>
          <w:p w14:paraId="2AA59D1C" w14:textId="7AF9FA64" w:rsidR="006E5D45" w:rsidRPr="00053B17" w:rsidRDefault="006E5D45" w:rsidP="006E5D45">
            <w:p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bookmarkStart w:id="0" w:name="_Hlk81821107"/>
            <w:r w:rsidRPr="00053B17">
              <w:rPr>
                <w:rFonts w:cstheme="minorHAnsi"/>
                <w:color w:val="auto"/>
                <w:sz w:val="20"/>
                <w:szCs w:val="20"/>
              </w:rPr>
              <w:t>The Vietnam-Australia Centre (VAC) is established and has provided leadership and public policy skills training to Vietnamese leaders</w:t>
            </w:r>
            <w:bookmarkEnd w:id="0"/>
            <w:r w:rsidRPr="00053B17">
              <w:rPr>
                <w:rFonts w:cstheme="minorHAnsi"/>
                <w:color w:val="auto"/>
                <w:sz w:val="20"/>
                <w:szCs w:val="20"/>
                <w:vertAlign w:val="superscript"/>
              </w:rPr>
              <w:footnoteReference w:id="4"/>
            </w:r>
            <w:r w:rsidRPr="00053B17">
              <w:rPr>
                <w:rFonts w:cstheme="minorHAnsi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146" w:type="dxa"/>
            <w:shd w:val="clear" w:color="auto" w:fill="FFFFFF" w:themeFill="background1"/>
          </w:tcPr>
          <w:p w14:paraId="781571C9" w14:textId="25CE32D2" w:rsidR="00E939CB" w:rsidRPr="00053B17" w:rsidRDefault="009310F9" w:rsidP="00C06C31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rPr>
                <w:rFonts w:cstheme="minorHAnsi"/>
                <w:color w:val="auto"/>
                <w:sz w:val="20"/>
                <w:szCs w:val="20"/>
                <w:lang w:val="en-US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  <w:lang w:val="en-US"/>
              </w:rPr>
              <w:t>O</w:t>
            </w:r>
            <w:r w:rsidR="00E939CB" w:rsidRPr="00053B17">
              <w:rPr>
                <w:rFonts w:cstheme="minorHAnsi"/>
                <w:color w:val="auto"/>
                <w:sz w:val="20"/>
                <w:szCs w:val="20"/>
                <w:lang w:val="en-US"/>
              </w:rPr>
              <w:t>ver 400 provincial and district officials received refresh</w:t>
            </w:r>
            <w:r w:rsidR="006043C9" w:rsidRPr="00053B17">
              <w:rPr>
                <w:rFonts w:cstheme="minorHAnsi"/>
                <w:color w:val="auto"/>
                <w:sz w:val="20"/>
                <w:szCs w:val="20"/>
                <w:lang w:val="en-US"/>
              </w:rPr>
              <w:t>er</w:t>
            </w:r>
            <w:r w:rsidR="00E939CB" w:rsidRPr="00053B17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 leadership training, over 600 emerging leaders of the Communist Party of Vietnam attended Leadership in Public Sector courses, </w:t>
            </w:r>
            <w:r w:rsidR="00E939CB" w:rsidRPr="00053B17">
              <w:rPr>
                <w:rFonts w:eastAsia="Calibri Light" w:cstheme="minorHAnsi"/>
                <w:color w:val="auto"/>
                <w:sz w:val="20"/>
                <w:szCs w:val="20"/>
              </w:rPr>
              <w:t>25 women managers from ten partner organisations completed the 4th Women in Leadership course.</w:t>
            </w:r>
          </w:p>
          <w:p w14:paraId="2E8902BB" w14:textId="1FF89A48" w:rsidR="006E5D45" w:rsidRPr="00053B17" w:rsidRDefault="00E939CB" w:rsidP="00C06C31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rPr>
                <w:rFonts w:eastAsia="Calibri Light" w:cstheme="minorHAnsi"/>
                <w:color w:val="auto"/>
                <w:sz w:val="20"/>
                <w:szCs w:val="20"/>
              </w:rPr>
            </w:pPr>
            <w:r w:rsidRPr="00053B17">
              <w:rPr>
                <w:rFonts w:eastAsia="Calibri Light" w:cstheme="minorHAnsi"/>
                <w:color w:val="auto"/>
                <w:sz w:val="20"/>
                <w:szCs w:val="20"/>
              </w:rPr>
              <w:t xml:space="preserve">VAC supported knowledge exchange </w:t>
            </w:r>
            <w:r w:rsidR="001D3C68" w:rsidRPr="00053B17">
              <w:rPr>
                <w:rFonts w:eastAsia="Calibri Light" w:cstheme="minorHAnsi"/>
                <w:color w:val="auto"/>
                <w:sz w:val="20"/>
                <w:szCs w:val="20"/>
              </w:rPr>
              <w:t>through</w:t>
            </w:r>
            <w:r w:rsidRPr="00053B17">
              <w:rPr>
                <w:rFonts w:eastAsia="Calibri Light" w:cstheme="minorHAnsi"/>
                <w:color w:val="auto"/>
                <w:sz w:val="20"/>
                <w:szCs w:val="20"/>
              </w:rPr>
              <w:t xml:space="preserve"> a Governance and Public Sector Leadership study mission to Australia for 17 senior officials</w:t>
            </w:r>
            <w:r w:rsidR="00162243" w:rsidRPr="00053B17">
              <w:rPr>
                <w:rFonts w:eastAsia="Calibri Light" w:cstheme="minorHAnsi"/>
                <w:color w:val="auto"/>
                <w:sz w:val="20"/>
                <w:szCs w:val="20"/>
              </w:rPr>
              <w:t>;</w:t>
            </w:r>
            <w:r w:rsidRPr="00053B17">
              <w:rPr>
                <w:rFonts w:eastAsia="Calibri Light" w:cstheme="minorHAnsi"/>
                <w:color w:val="auto"/>
                <w:sz w:val="20"/>
                <w:szCs w:val="20"/>
              </w:rPr>
              <w:t xml:space="preserve"> Women in Diplomacy workshop for 30 women managers from the foreign services</w:t>
            </w:r>
            <w:r w:rsidR="00162243" w:rsidRPr="00053B17">
              <w:rPr>
                <w:rFonts w:eastAsia="Calibri Light" w:cstheme="minorHAnsi"/>
                <w:color w:val="auto"/>
                <w:sz w:val="20"/>
                <w:szCs w:val="20"/>
              </w:rPr>
              <w:t>;</w:t>
            </w:r>
            <w:r w:rsidR="00CE113F" w:rsidRPr="00053B17">
              <w:rPr>
                <w:rFonts w:eastAsia="Calibri Light" w:cstheme="minorHAnsi"/>
                <w:color w:val="auto"/>
                <w:sz w:val="20"/>
                <w:szCs w:val="20"/>
              </w:rPr>
              <w:t xml:space="preserve"> </w:t>
            </w:r>
            <w:r w:rsidRPr="00053B17">
              <w:rPr>
                <w:rFonts w:eastAsia="Calibri Light" w:cstheme="minorHAnsi"/>
                <w:color w:val="auto"/>
                <w:sz w:val="20"/>
                <w:szCs w:val="20"/>
              </w:rPr>
              <w:t>joint Australian – Vietnamese research on Gender Equality Index</w:t>
            </w:r>
            <w:r w:rsidR="00162243" w:rsidRPr="00053B17">
              <w:rPr>
                <w:rFonts w:eastAsia="Calibri Light" w:cstheme="minorHAnsi"/>
                <w:color w:val="auto"/>
                <w:sz w:val="20"/>
                <w:szCs w:val="20"/>
              </w:rPr>
              <w:t>;</w:t>
            </w:r>
            <w:r w:rsidRPr="00053B17">
              <w:rPr>
                <w:rFonts w:eastAsia="Calibri Light" w:cstheme="minorHAnsi"/>
                <w:color w:val="auto"/>
                <w:sz w:val="20"/>
                <w:szCs w:val="20"/>
              </w:rPr>
              <w:t xml:space="preserve"> and linkages with Australian universities and think tanks.</w:t>
            </w:r>
          </w:p>
        </w:tc>
      </w:tr>
      <w:tr w:rsidR="009A3E07" w:rsidRPr="00035DDB" w14:paraId="0556A95D" w14:textId="77777777" w:rsidTr="78999F29">
        <w:trPr>
          <w:tblHeader/>
        </w:trPr>
        <w:tc>
          <w:tcPr>
            <w:tcW w:w="4390" w:type="dxa"/>
          </w:tcPr>
          <w:p w14:paraId="62F5276A" w14:textId="71DAC6BF" w:rsidR="006E5D45" w:rsidRPr="00053B17" w:rsidRDefault="006E5D45" w:rsidP="006E5D45">
            <w:p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>Evidence of improved inclusion of vulnerable groups in Vietnamese society and COVID-19 recovery support</w:t>
            </w:r>
          </w:p>
        </w:tc>
        <w:tc>
          <w:tcPr>
            <w:tcW w:w="6146" w:type="dxa"/>
          </w:tcPr>
          <w:p w14:paraId="301D8525" w14:textId="5F302F0F" w:rsidR="00A22F80" w:rsidRPr="00053B17" w:rsidRDefault="00E939CB" w:rsidP="00325C0A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053B17">
              <w:rPr>
                <w:rFonts w:eastAsia="Times New Roman" w:cstheme="minorHAnsi"/>
                <w:color w:val="auto"/>
                <w:sz w:val="20"/>
                <w:szCs w:val="20"/>
              </w:rPr>
              <w:t>Aus4Skills mainstream</w:t>
            </w:r>
            <w:r w:rsidR="0093110C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ed</w:t>
            </w:r>
            <w:r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 gender, social and disability inclusion into </w:t>
            </w:r>
            <w:r w:rsidR="0093110C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the </w:t>
            </w:r>
            <w:r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training and recruitment policies of ten </w:t>
            </w:r>
            <w:r w:rsidR="00204071">
              <w:rPr>
                <w:rFonts w:eastAsia="Times New Roman" w:cstheme="minorHAnsi"/>
                <w:color w:val="auto"/>
                <w:sz w:val="20"/>
                <w:szCs w:val="20"/>
              </w:rPr>
              <w:t>v</w:t>
            </w:r>
            <w:r w:rsidR="00204071" w:rsidRPr="00204071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ocational </w:t>
            </w:r>
            <w:r w:rsidR="00204071">
              <w:rPr>
                <w:rFonts w:eastAsia="Times New Roman" w:cstheme="minorHAnsi"/>
                <w:color w:val="auto"/>
                <w:sz w:val="20"/>
                <w:szCs w:val="20"/>
              </w:rPr>
              <w:t>e</w:t>
            </w:r>
            <w:r w:rsidR="00204071" w:rsidRPr="00204071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ducation and </w:t>
            </w:r>
            <w:r w:rsidR="00204071">
              <w:rPr>
                <w:rFonts w:eastAsia="Times New Roman" w:cstheme="minorHAnsi"/>
                <w:color w:val="auto"/>
                <w:sz w:val="20"/>
                <w:szCs w:val="20"/>
              </w:rPr>
              <w:t>t</w:t>
            </w:r>
            <w:r w:rsidR="00204071" w:rsidRPr="00204071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raining </w:t>
            </w:r>
            <w:r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colleges. </w:t>
            </w:r>
            <w:r w:rsidR="00841918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Enrolment of women </w:t>
            </w:r>
            <w:r w:rsidRPr="00053B17">
              <w:rPr>
                <w:rFonts w:eastAsia="Times New Roman" w:cstheme="minorHAnsi"/>
                <w:color w:val="auto"/>
                <w:sz w:val="20"/>
                <w:szCs w:val="20"/>
              </w:rPr>
              <w:t>students in logistics courses increased from 42% in 2021 to 60% in 2022</w:t>
            </w:r>
            <w:r w:rsidR="005B0862">
              <w:rPr>
                <w:rFonts w:eastAsia="Times New Roman" w:cstheme="minorHAnsi"/>
                <w:color w:val="auto"/>
                <w:sz w:val="20"/>
                <w:szCs w:val="20"/>
              </w:rPr>
              <w:t>.</w:t>
            </w:r>
            <w:r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17 students with </w:t>
            </w:r>
            <w:r w:rsidR="005B0862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a </w:t>
            </w:r>
            <w:r w:rsidRPr="00053B17">
              <w:rPr>
                <w:rFonts w:eastAsia="Times New Roman" w:cstheme="minorHAnsi"/>
                <w:color w:val="auto"/>
                <w:sz w:val="20"/>
                <w:szCs w:val="20"/>
              </w:rPr>
              <w:t>disability enrolled in 2022</w:t>
            </w:r>
            <w:r w:rsidR="0093110C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,</w:t>
            </w:r>
            <w:r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 </w:t>
            </w:r>
            <w:r w:rsidR="00011AEF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up </w:t>
            </w:r>
            <w:r w:rsidRPr="00053B17">
              <w:rPr>
                <w:rFonts w:eastAsia="Times New Roman" w:cstheme="minorHAnsi"/>
                <w:color w:val="auto"/>
                <w:sz w:val="20"/>
                <w:szCs w:val="20"/>
              </w:rPr>
              <w:t>from six in 2021.</w:t>
            </w:r>
          </w:p>
          <w:p w14:paraId="71F5FF79" w14:textId="46468896" w:rsidR="007D1B43" w:rsidRPr="00053B17" w:rsidRDefault="00BB3C67" w:rsidP="00325C0A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>
              <w:rPr>
                <w:rFonts w:eastAsia="Times New Roman" w:cstheme="minorHAnsi"/>
                <w:color w:val="auto"/>
                <w:sz w:val="20"/>
                <w:szCs w:val="20"/>
              </w:rPr>
              <w:t xml:space="preserve">In </w:t>
            </w:r>
            <w:r w:rsidR="00A22F80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partnership with the World Bank, provi</w:t>
            </w:r>
            <w:r w:rsidR="00B77EE3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sion of </w:t>
            </w:r>
            <w:r w:rsidR="00A22F80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technical advice </w:t>
            </w:r>
            <w:r w:rsidR="00B77EE3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which reformed </w:t>
            </w:r>
            <w:r w:rsidR="00A22F80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Vietnam’s social assistance </w:t>
            </w:r>
            <w:r w:rsidR="00242082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scheme and</w:t>
            </w:r>
            <w:r w:rsidR="00B77EE3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 increased the </w:t>
            </w:r>
            <w:r w:rsidR="00A22F80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benefit by 33 per cent; and </w:t>
            </w:r>
            <w:r w:rsidR="0093110C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expanding </w:t>
            </w:r>
            <w:r w:rsidR="00A22F80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eligibility to an additional 3.5 million </w:t>
            </w:r>
            <w:r w:rsidR="00A50581">
              <w:rPr>
                <w:rFonts w:eastAsia="Times New Roman" w:cstheme="minorHAnsi"/>
                <w:color w:val="auto"/>
                <w:sz w:val="20"/>
                <w:szCs w:val="20"/>
              </w:rPr>
              <w:t>people.</w:t>
            </w:r>
          </w:p>
        </w:tc>
      </w:tr>
      <w:tr w:rsidR="009A3E07" w:rsidRPr="00035DDB" w14:paraId="5DF0BAD4" w14:textId="77777777" w:rsidTr="78999F29">
        <w:trPr>
          <w:tblHeader/>
        </w:trPr>
        <w:tc>
          <w:tcPr>
            <w:tcW w:w="4390" w:type="dxa"/>
          </w:tcPr>
          <w:p w14:paraId="476782F7" w14:textId="4B8D8EB5" w:rsidR="006E5D45" w:rsidRPr="00053B17" w:rsidRDefault="006E5D45" w:rsidP="006E5D45">
            <w:p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Increased support available to women survivors of </w:t>
            </w:r>
            <w:r w:rsidR="00A50581">
              <w:rPr>
                <w:rFonts w:cstheme="minorHAnsi"/>
                <w:color w:val="auto"/>
                <w:sz w:val="20"/>
                <w:szCs w:val="20"/>
              </w:rPr>
              <w:t>GBV</w:t>
            </w:r>
            <w:r w:rsidRPr="00053B17">
              <w:rPr>
                <w:rFonts w:cstheme="minorHAnsi"/>
                <w:color w:val="auto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6146" w:type="dxa"/>
          </w:tcPr>
          <w:p w14:paraId="26AD7302" w14:textId="3A85D026" w:rsidR="006E5D45" w:rsidRPr="00053B17" w:rsidRDefault="00D453CB" w:rsidP="00FC4E3D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 w:rsidRPr="00053B17">
              <w:rPr>
                <w:rFonts w:eastAsia="Times New Roman" w:cstheme="minorHAnsi"/>
                <w:color w:val="auto"/>
                <w:sz w:val="20"/>
                <w:szCs w:val="20"/>
              </w:rPr>
              <w:t>The</w:t>
            </w:r>
            <w:r w:rsidR="00DF11A9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 Elimination of </w:t>
            </w:r>
            <w:r w:rsidR="00B4236E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Violence </w:t>
            </w:r>
            <w:r w:rsidR="00E36567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A</w:t>
            </w:r>
            <w:r w:rsidR="00B4236E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gainst Women and Children </w:t>
            </w:r>
            <w:r w:rsidRPr="00053B17">
              <w:rPr>
                <w:rFonts w:eastAsia="Times New Roman" w:cstheme="minorHAnsi"/>
                <w:color w:val="auto"/>
                <w:sz w:val="20"/>
                <w:szCs w:val="20"/>
              </w:rPr>
              <w:t>program</w:t>
            </w:r>
            <w:r w:rsidR="00B4236E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 </w:t>
            </w:r>
            <w:r w:rsidR="77C64641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integrated services </w:t>
            </w:r>
            <w:r w:rsidR="00482F91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in</w:t>
            </w:r>
            <w:r w:rsidR="009E363A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 three </w:t>
            </w:r>
            <w:r w:rsidR="00482F91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new </w:t>
            </w:r>
            <w:r w:rsidR="00001CFB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“</w:t>
            </w:r>
            <w:r w:rsidR="009E363A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One-Stop Service Centres</w:t>
            </w:r>
            <w:r w:rsidR="00001CFB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”</w:t>
            </w:r>
            <w:r w:rsidR="0093110C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,</w:t>
            </w:r>
            <w:r w:rsidR="005C5505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 </w:t>
            </w:r>
            <w:r w:rsidR="00001CFB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support</w:t>
            </w:r>
            <w:r w:rsidR="0093110C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ing</w:t>
            </w:r>
            <w:r w:rsidR="009E363A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 </w:t>
            </w:r>
            <w:r w:rsidR="00001CFB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comprehensive case management </w:t>
            </w:r>
            <w:r w:rsidR="009E363A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for</w:t>
            </w:r>
            <w:r w:rsidR="77C64641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 135 survivors. Hotlines </w:t>
            </w:r>
            <w:r w:rsidR="005C5505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managed </w:t>
            </w:r>
            <w:r w:rsidR="77C64641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by the Centres provided </w:t>
            </w:r>
            <w:r w:rsidR="007B4919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response and referral</w:t>
            </w:r>
            <w:r w:rsidR="0093110C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s</w:t>
            </w:r>
            <w:r w:rsidR="007B4919" w:rsidRPr="00053B17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 for </w:t>
            </w:r>
            <w:r w:rsidR="77C64641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1</w:t>
            </w:r>
            <w:r w:rsidR="00001CFB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,</w:t>
            </w:r>
            <w:r w:rsidR="77C64641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700</w:t>
            </w:r>
            <w:r w:rsidR="00A50581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 GBV </w:t>
            </w:r>
            <w:r w:rsidR="77C64641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survivors</w:t>
            </w:r>
            <w:r w:rsidR="00B4236E" w:rsidRPr="00053B17">
              <w:rPr>
                <w:rFonts w:eastAsia="Times New Roman" w:cstheme="minorHAnsi"/>
                <w:color w:val="auto"/>
                <w:sz w:val="20"/>
                <w:szCs w:val="20"/>
              </w:rPr>
              <w:t>.</w:t>
            </w:r>
          </w:p>
          <w:p w14:paraId="69182282" w14:textId="08EDBF1A" w:rsidR="00FC4E3D" w:rsidRPr="00053B17" w:rsidRDefault="00A50581" w:rsidP="00294FD0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="008059DE" w:rsidRPr="00053B17">
              <w:rPr>
                <w:rFonts w:cstheme="minorHAnsi"/>
                <w:color w:val="auto"/>
                <w:sz w:val="20"/>
                <w:szCs w:val="20"/>
              </w:rPr>
              <w:t xml:space="preserve">upported workshops </w:t>
            </w:r>
            <w:r w:rsidR="002E2566" w:rsidRPr="00053B17">
              <w:rPr>
                <w:rFonts w:cstheme="minorHAnsi"/>
                <w:color w:val="auto"/>
                <w:sz w:val="20"/>
                <w:szCs w:val="20"/>
              </w:rPr>
              <w:t xml:space="preserve">and a study visit to Australia </w:t>
            </w:r>
            <w:r w:rsidR="008059DE" w:rsidRPr="00053B17">
              <w:rPr>
                <w:rFonts w:cstheme="minorHAnsi"/>
                <w:color w:val="auto"/>
                <w:sz w:val="20"/>
                <w:szCs w:val="20"/>
              </w:rPr>
              <w:t xml:space="preserve">on the </w:t>
            </w:r>
            <w:r w:rsidR="002E2566" w:rsidRPr="00053B17">
              <w:rPr>
                <w:rFonts w:cstheme="minorHAnsi"/>
                <w:color w:val="auto"/>
                <w:sz w:val="20"/>
                <w:szCs w:val="20"/>
              </w:rPr>
              <w:t>Law on Domestic Violence Prevention and Control, approved by the National Assembly on 14 November 2022</w:t>
            </w:r>
            <w:r w:rsidR="008059DE" w:rsidRPr="00053B17">
              <w:rPr>
                <w:rFonts w:cstheme="minorHAnsi"/>
                <w:color w:val="auto"/>
                <w:sz w:val="20"/>
                <w:szCs w:val="20"/>
              </w:rPr>
              <w:t xml:space="preserve">. </w:t>
            </w:r>
            <w:r w:rsidR="002E2566" w:rsidRPr="00053B17">
              <w:rPr>
                <w:rFonts w:cstheme="minorHAnsi"/>
                <w:color w:val="auto"/>
                <w:sz w:val="20"/>
                <w:szCs w:val="20"/>
              </w:rPr>
              <w:t xml:space="preserve">This </w:t>
            </w:r>
            <w:r w:rsidR="008059DE" w:rsidRPr="00053B17">
              <w:rPr>
                <w:rFonts w:cstheme="minorHAnsi"/>
                <w:color w:val="auto"/>
                <w:sz w:val="20"/>
                <w:szCs w:val="20"/>
              </w:rPr>
              <w:t>influenced key reforms</w:t>
            </w:r>
            <w:r w:rsidR="005F6756">
              <w:rPr>
                <w:rFonts w:cstheme="minorHAnsi"/>
                <w:color w:val="auto"/>
                <w:sz w:val="20"/>
                <w:szCs w:val="20"/>
              </w:rPr>
              <w:t xml:space="preserve">, including the </w:t>
            </w:r>
            <w:r w:rsidR="008059DE" w:rsidRPr="00053B17">
              <w:rPr>
                <w:rFonts w:cstheme="minorHAnsi"/>
                <w:color w:val="auto"/>
                <w:sz w:val="20"/>
                <w:szCs w:val="20"/>
              </w:rPr>
              <w:t>“no contact orders”</w:t>
            </w:r>
            <w:r w:rsidR="005F6756">
              <w:rPr>
                <w:rFonts w:cstheme="minorHAnsi"/>
                <w:color w:val="auto"/>
                <w:sz w:val="20"/>
                <w:szCs w:val="20"/>
              </w:rPr>
              <w:t xml:space="preserve">. </w:t>
            </w:r>
          </w:p>
        </w:tc>
      </w:tr>
      <w:tr w:rsidR="009A3E07" w:rsidRPr="00035DDB" w14:paraId="7E704FEB" w14:textId="77777777" w:rsidTr="78999F29">
        <w:trPr>
          <w:tblHeader/>
        </w:trPr>
        <w:tc>
          <w:tcPr>
            <w:tcW w:w="4390" w:type="dxa"/>
          </w:tcPr>
          <w:p w14:paraId="1CC2F0CD" w14:textId="75EB9CA9" w:rsidR="006E5D45" w:rsidRPr="00053B17" w:rsidRDefault="006E5D45" w:rsidP="006E5D45">
            <w:p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Examples of policy or practice uptake </w:t>
            </w:r>
            <w:proofErr w:type="gramStart"/>
            <w:r w:rsidRPr="00053B17">
              <w:rPr>
                <w:rFonts w:cstheme="minorHAnsi"/>
                <w:color w:val="auto"/>
                <w:sz w:val="20"/>
                <w:szCs w:val="20"/>
              </w:rPr>
              <w:t>as a result of</w:t>
            </w:r>
            <w:proofErr w:type="gramEnd"/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 advice or technical assistance on building resilience to future shocks and supporting improved agricultural practices and water management</w:t>
            </w:r>
            <w:r w:rsidRPr="00053B17">
              <w:rPr>
                <w:rFonts w:cstheme="minorHAnsi"/>
                <w:color w:val="auto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6146" w:type="dxa"/>
          </w:tcPr>
          <w:p w14:paraId="0F6297C7" w14:textId="4B8353CF" w:rsidR="00F36082" w:rsidRPr="00053B17" w:rsidRDefault="0093543F" w:rsidP="006A0BEA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In</w:t>
            </w:r>
            <w:r w:rsidR="00F36082" w:rsidRPr="00053B17">
              <w:rPr>
                <w:rFonts w:cstheme="minorHAnsi"/>
                <w:color w:val="auto"/>
                <w:sz w:val="20"/>
                <w:szCs w:val="20"/>
              </w:rPr>
              <w:t xml:space="preserve"> partnership with the</w:t>
            </w:r>
            <w:r w:rsidR="005F6756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1F102E">
              <w:rPr>
                <w:rFonts w:cstheme="minorHAnsi"/>
                <w:color w:val="auto"/>
                <w:sz w:val="20"/>
                <w:szCs w:val="20"/>
              </w:rPr>
              <w:t>World Bank</w:t>
            </w:r>
            <w:r w:rsidR="00F36082" w:rsidRPr="00053B17">
              <w:rPr>
                <w:rFonts w:cstheme="minorHAnsi"/>
                <w:color w:val="auto"/>
                <w:sz w:val="20"/>
                <w:szCs w:val="20"/>
              </w:rPr>
              <w:t xml:space="preserve">, supported the Mekong Delta Regional Master Plan, which guides regional climate-resilient and sustainable agriculture and investment across 13 </w:t>
            </w:r>
            <w:r w:rsidR="002E2566" w:rsidRPr="00053B17">
              <w:rPr>
                <w:rFonts w:cstheme="minorHAnsi"/>
                <w:color w:val="auto"/>
                <w:sz w:val="20"/>
                <w:szCs w:val="20"/>
              </w:rPr>
              <w:t xml:space="preserve">vulnerable Mekong </w:t>
            </w:r>
            <w:r w:rsidR="00F36082" w:rsidRPr="00053B17">
              <w:rPr>
                <w:rFonts w:cstheme="minorHAnsi"/>
                <w:color w:val="auto"/>
                <w:sz w:val="20"/>
                <w:szCs w:val="20"/>
              </w:rPr>
              <w:t xml:space="preserve">provinces.  </w:t>
            </w:r>
          </w:p>
          <w:p w14:paraId="7D9CAB9B" w14:textId="72E3308F" w:rsidR="006E5D45" w:rsidRPr="00053B17" w:rsidRDefault="00890ACA" w:rsidP="00AC38E0">
            <w:pPr>
              <w:pStyle w:val="ListParagraph"/>
              <w:numPr>
                <w:ilvl w:val="0"/>
                <w:numId w:val="46"/>
              </w:numPr>
              <w:spacing w:after="120"/>
              <w:ind w:left="714" w:hanging="357"/>
              <w:rPr>
                <w:rFonts w:eastAsia="Calibri Light"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The </w:t>
            </w:r>
            <w:r w:rsidRPr="00890ACA">
              <w:rPr>
                <w:rFonts w:cstheme="minorHAnsi"/>
                <w:color w:val="auto"/>
                <w:sz w:val="20"/>
                <w:szCs w:val="20"/>
              </w:rPr>
              <w:t xml:space="preserve">Australian Centre for International Agricultural </w:t>
            </w:r>
            <w:r w:rsidR="00242082" w:rsidRPr="00890ACA">
              <w:rPr>
                <w:rFonts w:cstheme="minorHAnsi"/>
                <w:color w:val="auto"/>
                <w:sz w:val="20"/>
                <w:szCs w:val="20"/>
              </w:rPr>
              <w:t>Research</w:t>
            </w:r>
            <w:r w:rsidR="00242082">
              <w:rPr>
                <w:rFonts w:cstheme="minorHAnsi"/>
                <w:color w:val="auto"/>
                <w:sz w:val="20"/>
                <w:szCs w:val="20"/>
              </w:rPr>
              <w:t xml:space="preserve"> (</w:t>
            </w:r>
            <w:r w:rsidR="00806829">
              <w:rPr>
                <w:rFonts w:cstheme="minorHAnsi"/>
                <w:color w:val="auto"/>
                <w:sz w:val="20"/>
                <w:szCs w:val="20"/>
              </w:rPr>
              <w:t>ACIAR</w:t>
            </w:r>
            <w:r w:rsidR="00806829" w:rsidRPr="00242082">
              <w:rPr>
                <w:rFonts w:cstheme="minorHAnsi"/>
                <w:color w:val="auto"/>
                <w:sz w:val="20"/>
                <w:szCs w:val="20"/>
              </w:rPr>
              <w:t>)</w:t>
            </w:r>
            <w:r w:rsidRPr="00D76380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051903" w:rsidRPr="00242082">
              <w:rPr>
                <w:rFonts w:cstheme="minorHAnsi"/>
                <w:color w:val="auto"/>
                <w:sz w:val="20"/>
                <w:szCs w:val="20"/>
              </w:rPr>
              <w:t xml:space="preserve">Farmer </w:t>
            </w:r>
            <w:r w:rsidR="00B4236E" w:rsidRPr="00242082">
              <w:rPr>
                <w:rFonts w:cstheme="minorHAnsi"/>
                <w:color w:val="auto"/>
                <w:sz w:val="20"/>
                <w:szCs w:val="20"/>
              </w:rPr>
              <w:t>O</w:t>
            </w:r>
            <w:r w:rsidR="00051903" w:rsidRPr="00242082">
              <w:rPr>
                <w:rFonts w:cstheme="minorHAnsi"/>
                <w:color w:val="auto"/>
                <w:sz w:val="20"/>
                <w:szCs w:val="20"/>
              </w:rPr>
              <w:t xml:space="preserve">ptions for </w:t>
            </w:r>
            <w:r w:rsidR="00B4236E" w:rsidRPr="00242082">
              <w:rPr>
                <w:rFonts w:cstheme="minorHAnsi"/>
                <w:color w:val="auto"/>
                <w:sz w:val="20"/>
                <w:szCs w:val="20"/>
              </w:rPr>
              <w:t>C</w:t>
            </w:r>
            <w:r w:rsidR="00051903" w:rsidRPr="00242082">
              <w:rPr>
                <w:rFonts w:cstheme="minorHAnsi"/>
                <w:color w:val="auto"/>
                <w:sz w:val="20"/>
                <w:szCs w:val="20"/>
              </w:rPr>
              <w:t xml:space="preserve">rops under </w:t>
            </w:r>
            <w:r w:rsidR="00B4236E" w:rsidRPr="00242082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="00051903" w:rsidRPr="00242082">
              <w:rPr>
                <w:rFonts w:cstheme="minorHAnsi"/>
                <w:color w:val="auto"/>
                <w:sz w:val="20"/>
                <w:szCs w:val="20"/>
              </w:rPr>
              <w:t xml:space="preserve">aline </w:t>
            </w:r>
            <w:r w:rsidR="00B4236E" w:rsidRPr="00242082">
              <w:rPr>
                <w:rFonts w:cstheme="minorHAnsi"/>
                <w:color w:val="auto"/>
                <w:sz w:val="20"/>
                <w:szCs w:val="20"/>
              </w:rPr>
              <w:t>C</w:t>
            </w:r>
            <w:r w:rsidR="00051903" w:rsidRPr="00242082">
              <w:rPr>
                <w:rFonts w:cstheme="minorHAnsi"/>
                <w:color w:val="auto"/>
                <w:sz w:val="20"/>
                <w:szCs w:val="20"/>
              </w:rPr>
              <w:t xml:space="preserve">onditions in the Mekong River Delta </w:t>
            </w:r>
            <w:r w:rsidR="376C7FD3" w:rsidRPr="00242082">
              <w:rPr>
                <w:rFonts w:cstheme="minorHAnsi"/>
                <w:color w:val="auto"/>
                <w:sz w:val="20"/>
                <w:szCs w:val="20"/>
              </w:rPr>
              <w:t>is</w:t>
            </w:r>
            <w:r w:rsidR="376C7FD3" w:rsidRPr="00053B1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FB0E6B" w:rsidRPr="00053B17">
              <w:rPr>
                <w:rFonts w:cstheme="minorHAnsi"/>
                <w:color w:val="auto"/>
                <w:sz w:val="20"/>
                <w:szCs w:val="20"/>
              </w:rPr>
              <w:t>increasing the</w:t>
            </w:r>
            <w:r w:rsidR="376C7FD3" w:rsidRPr="00053B17">
              <w:rPr>
                <w:rFonts w:cstheme="minorHAnsi"/>
                <w:color w:val="auto"/>
                <w:sz w:val="20"/>
                <w:szCs w:val="20"/>
              </w:rPr>
              <w:t xml:space="preserve"> profitability of saline affected crop production systems and</w:t>
            </w:r>
            <w:r w:rsidR="009310F9" w:rsidRPr="00053B17">
              <w:rPr>
                <w:rFonts w:cstheme="minorHAnsi"/>
                <w:color w:val="auto"/>
                <w:sz w:val="20"/>
                <w:szCs w:val="20"/>
              </w:rPr>
              <w:t xml:space="preserve"> assisting with</w:t>
            </w:r>
            <w:r w:rsidR="376C7FD3" w:rsidRPr="00053B17">
              <w:rPr>
                <w:rFonts w:cstheme="minorHAnsi"/>
                <w:color w:val="auto"/>
                <w:sz w:val="20"/>
                <w:szCs w:val="20"/>
              </w:rPr>
              <w:t xml:space="preserve"> adapt</w:t>
            </w:r>
            <w:r w:rsidR="009310F9" w:rsidRPr="00053B17">
              <w:rPr>
                <w:rFonts w:cstheme="minorHAnsi"/>
                <w:color w:val="auto"/>
                <w:sz w:val="20"/>
                <w:szCs w:val="20"/>
              </w:rPr>
              <w:t>ation</w:t>
            </w:r>
            <w:r w:rsidR="376C7FD3" w:rsidRPr="00053B17">
              <w:rPr>
                <w:rFonts w:cstheme="minorHAnsi"/>
                <w:color w:val="auto"/>
                <w:sz w:val="20"/>
                <w:szCs w:val="20"/>
              </w:rPr>
              <w:t xml:space="preserve"> to climate change. </w:t>
            </w:r>
            <w:r w:rsidR="00963FA4" w:rsidRPr="00053B17">
              <w:rPr>
                <w:rFonts w:cstheme="minorHAnsi"/>
                <w:color w:val="auto"/>
                <w:sz w:val="20"/>
                <w:szCs w:val="20"/>
              </w:rPr>
              <w:t>The project is helping farmers adopt profitable non-rice crops as an alternative to dry season rice production</w:t>
            </w:r>
            <w:r w:rsidR="00FB0E6B" w:rsidRPr="00053B17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</w:tc>
      </w:tr>
      <w:tr w:rsidR="009A3E07" w:rsidRPr="00035DDB" w14:paraId="02C1EDDC" w14:textId="77777777" w:rsidTr="78999F29">
        <w:trPr>
          <w:tblHeader/>
        </w:trPr>
        <w:tc>
          <w:tcPr>
            <w:tcW w:w="4390" w:type="dxa"/>
          </w:tcPr>
          <w:p w14:paraId="29091547" w14:textId="64CED016" w:rsidR="006E5D45" w:rsidRPr="00053B17" w:rsidRDefault="006E5D45" w:rsidP="006E5D45">
            <w:p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>Design of a new activity on energy security to support economic stability</w:t>
            </w:r>
          </w:p>
        </w:tc>
        <w:tc>
          <w:tcPr>
            <w:tcW w:w="6146" w:type="dxa"/>
          </w:tcPr>
          <w:p w14:paraId="5C820335" w14:textId="370ACC3D" w:rsidR="006E5D45" w:rsidRPr="00053B17" w:rsidRDefault="00CE113F" w:rsidP="00977646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eastAsia="Calibri Light"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>T</w:t>
            </w:r>
            <w:r w:rsidR="0265791C" w:rsidRPr="00053B17">
              <w:rPr>
                <w:rFonts w:cstheme="minorHAnsi"/>
                <w:color w:val="auto"/>
                <w:sz w:val="20"/>
                <w:szCs w:val="20"/>
              </w:rPr>
              <w:t>he first phase of Future Electricity of Vietnam</w:t>
            </w:r>
            <w:r w:rsidR="3132FD20" w:rsidRPr="00053B1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>hosted a dialogue on the energy transition for over</w:t>
            </w:r>
            <w:r w:rsidR="0086361F" w:rsidRPr="00053B17">
              <w:rPr>
                <w:rStyle w:val="ui-provider"/>
                <w:color w:val="auto"/>
                <w:sz w:val="20"/>
                <w:szCs w:val="20"/>
              </w:rPr>
              <w:t xml:space="preserve"> 100 participants </w:t>
            </w:r>
            <w:r w:rsidRPr="00053B17">
              <w:rPr>
                <w:rStyle w:val="ui-provider"/>
                <w:color w:val="auto"/>
                <w:sz w:val="20"/>
                <w:szCs w:val="20"/>
              </w:rPr>
              <w:t xml:space="preserve">from the Communist </w:t>
            </w:r>
            <w:r w:rsidR="00E044F0" w:rsidRPr="00053B17">
              <w:rPr>
                <w:rStyle w:val="ui-provider"/>
                <w:color w:val="auto"/>
                <w:sz w:val="20"/>
                <w:szCs w:val="20"/>
              </w:rPr>
              <w:t>Party’s Central</w:t>
            </w:r>
            <w:r w:rsidRPr="00053B17">
              <w:rPr>
                <w:rStyle w:val="ui-provider"/>
                <w:color w:val="auto"/>
                <w:sz w:val="20"/>
                <w:szCs w:val="20"/>
              </w:rPr>
              <w:t xml:space="preserve"> Economic Commission </w:t>
            </w:r>
            <w:r w:rsidR="0086361F" w:rsidRPr="00053B17">
              <w:rPr>
                <w:rStyle w:val="ui-provider"/>
                <w:color w:val="auto"/>
                <w:sz w:val="20"/>
                <w:szCs w:val="20"/>
              </w:rPr>
              <w:t>and other stakeholders.</w:t>
            </w:r>
            <w:r w:rsidR="0086361F" w:rsidRPr="00053B17">
              <w:rPr>
                <w:rStyle w:val="ui-provider"/>
                <w:color w:val="auto"/>
              </w:rPr>
              <w:t xml:space="preserve"> </w:t>
            </w:r>
            <w:r w:rsidR="2898CC44" w:rsidRPr="00053B17">
              <w:rPr>
                <w:rFonts w:cstheme="minorHAnsi"/>
                <w:color w:val="auto"/>
                <w:sz w:val="20"/>
                <w:szCs w:val="20"/>
              </w:rPr>
              <w:t>T</w:t>
            </w:r>
            <w:r w:rsidR="4968EBAE" w:rsidRPr="00053B17">
              <w:rPr>
                <w:rFonts w:cstheme="minorHAnsi"/>
                <w:color w:val="auto"/>
                <w:sz w:val="20"/>
                <w:szCs w:val="20"/>
              </w:rPr>
              <w:t>he first exchange workshop</w:t>
            </w:r>
            <w:r w:rsidR="1EEDE590" w:rsidRPr="00053B1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4968EBAE" w:rsidRPr="00053B17">
              <w:rPr>
                <w:rFonts w:cstheme="minorHAnsi"/>
                <w:color w:val="auto"/>
                <w:sz w:val="20"/>
                <w:szCs w:val="20"/>
              </w:rPr>
              <w:t>betwee</w:t>
            </w:r>
            <w:r w:rsidR="01472203" w:rsidRPr="00053B17">
              <w:rPr>
                <w:rFonts w:cstheme="minorHAnsi"/>
                <w:color w:val="auto"/>
                <w:sz w:val="20"/>
                <w:szCs w:val="20"/>
              </w:rPr>
              <w:t xml:space="preserve">n Australian Energy Regulator and Electricity Regulatory Authority of Vietnam </w:t>
            </w:r>
            <w:r w:rsidR="71366FBF" w:rsidRPr="00053B17">
              <w:rPr>
                <w:rFonts w:cstheme="minorHAnsi"/>
                <w:color w:val="auto"/>
                <w:sz w:val="20"/>
                <w:szCs w:val="20"/>
              </w:rPr>
              <w:t xml:space="preserve">was </w:t>
            </w:r>
            <w:r w:rsidR="00B65942" w:rsidRPr="00053B17">
              <w:rPr>
                <w:rFonts w:cstheme="minorHAnsi"/>
                <w:color w:val="auto"/>
                <w:sz w:val="20"/>
                <w:szCs w:val="20"/>
              </w:rPr>
              <w:t>held</w:t>
            </w:r>
            <w:r w:rsidR="71366FBF" w:rsidRPr="00053B1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71A8CE97" w:rsidRPr="00053B17">
              <w:rPr>
                <w:rFonts w:cstheme="minorHAnsi"/>
                <w:color w:val="auto"/>
                <w:sz w:val="20"/>
                <w:szCs w:val="20"/>
              </w:rPr>
              <w:t xml:space="preserve">in </w:t>
            </w:r>
            <w:r w:rsidR="71366FBF" w:rsidRPr="00053B17">
              <w:rPr>
                <w:rFonts w:cstheme="minorHAnsi"/>
                <w:color w:val="auto"/>
                <w:sz w:val="20"/>
                <w:szCs w:val="20"/>
              </w:rPr>
              <w:t>May 2023</w:t>
            </w:r>
            <w:r w:rsidR="38DD94D3" w:rsidRPr="00053B17">
              <w:rPr>
                <w:rFonts w:cstheme="minorHAnsi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3F2619AB" w14:textId="422D1445" w:rsidR="00AE2B7B" w:rsidRPr="00053B17" w:rsidRDefault="00AE2B7B" w:rsidP="001D3DCA">
      <w:pPr>
        <w:pStyle w:val="Heading3"/>
      </w:pPr>
      <w:r w:rsidRPr="00053B17">
        <w:lastRenderedPageBreak/>
        <w:t>Economic Recovery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economic recovery"/>
      </w:tblPr>
      <w:tblGrid>
        <w:gridCol w:w="4248"/>
        <w:gridCol w:w="6288"/>
      </w:tblGrid>
      <w:tr w:rsidR="00A8204F" w:rsidRPr="00A8204F" w14:paraId="6541DEB5" w14:textId="77777777" w:rsidTr="00137111">
        <w:trPr>
          <w:tblHeader/>
        </w:trPr>
        <w:tc>
          <w:tcPr>
            <w:tcW w:w="4248" w:type="dxa"/>
            <w:shd w:val="clear" w:color="auto" w:fill="A2DCD1" w:themeFill="accent1" w:themeFillTint="99"/>
            <w:vAlign w:val="bottom"/>
          </w:tcPr>
          <w:p w14:paraId="7B68B645" w14:textId="20D1C4AE" w:rsidR="00CA5021" w:rsidRPr="00053B17" w:rsidRDefault="00A96364" w:rsidP="00CA5021">
            <w:pPr>
              <w:widowControl w:val="0"/>
              <w:spacing w:before="0" w:after="0" w:line="240" w:lineRule="auto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b/>
                <w:color w:val="auto"/>
                <w:sz w:val="20"/>
                <w:szCs w:val="20"/>
              </w:rPr>
              <w:t xml:space="preserve">Key Results </w:t>
            </w:r>
            <w:r w:rsidR="00CA5021" w:rsidRPr="00053B17">
              <w:rPr>
                <w:rFonts w:cstheme="minorHAnsi"/>
                <w:b/>
                <w:color w:val="auto"/>
                <w:sz w:val="20"/>
                <w:szCs w:val="20"/>
              </w:rPr>
              <w:t>Indicator</w:t>
            </w:r>
            <w:r w:rsidRPr="00053B17">
              <w:rPr>
                <w:rFonts w:cstheme="minorHAnsi"/>
                <w:b/>
                <w:color w:val="auto"/>
                <w:sz w:val="20"/>
                <w:szCs w:val="20"/>
              </w:rPr>
              <w:t>s</w:t>
            </w:r>
          </w:p>
        </w:tc>
        <w:tc>
          <w:tcPr>
            <w:tcW w:w="6288" w:type="dxa"/>
            <w:shd w:val="clear" w:color="auto" w:fill="A2DCD1" w:themeFill="accent1" w:themeFillTint="99"/>
            <w:vAlign w:val="bottom"/>
          </w:tcPr>
          <w:p w14:paraId="7B256934" w14:textId="69DE6F90" w:rsidR="00CA5021" w:rsidRPr="00053B17" w:rsidRDefault="00AD19F7" w:rsidP="00CA5021">
            <w:pPr>
              <w:widowControl w:val="0"/>
              <w:spacing w:before="0" w:after="0" w:line="240" w:lineRule="auto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b/>
                <w:color w:val="auto"/>
                <w:sz w:val="20"/>
                <w:szCs w:val="20"/>
              </w:rPr>
              <w:t>Progress/Result</w:t>
            </w:r>
          </w:p>
        </w:tc>
      </w:tr>
      <w:tr w:rsidR="00A8204F" w:rsidRPr="00A8204F" w14:paraId="564E6F58" w14:textId="77777777" w:rsidTr="00137111">
        <w:trPr>
          <w:tblHeader/>
        </w:trPr>
        <w:tc>
          <w:tcPr>
            <w:tcW w:w="4248" w:type="dxa"/>
          </w:tcPr>
          <w:p w14:paraId="234C1CE4" w14:textId="73E3F0DF" w:rsidR="006E5D45" w:rsidRPr="00053B17" w:rsidRDefault="006E5D45" w:rsidP="006E5D45">
            <w:p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Examples of economic policy or practice taken up by Vietnamese institutions </w:t>
            </w:r>
            <w:proofErr w:type="gramStart"/>
            <w:r w:rsidRPr="00053B17">
              <w:rPr>
                <w:rFonts w:cstheme="minorHAnsi"/>
                <w:color w:val="auto"/>
                <w:sz w:val="20"/>
                <w:szCs w:val="20"/>
              </w:rPr>
              <w:t>as a result of</w:t>
            </w:r>
            <w:proofErr w:type="gramEnd"/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 advice and technical assistance provided</w:t>
            </w:r>
            <w:r w:rsidRPr="00053B17">
              <w:rPr>
                <w:rFonts w:cstheme="minorHAnsi"/>
                <w:color w:val="auto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6288" w:type="dxa"/>
          </w:tcPr>
          <w:p w14:paraId="6ECEA686" w14:textId="2B2B1CD3" w:rsidR="003A09DF" w:rsidRPr="00053B17" w:rsidRDefault="00F062C6" w:rsidP="006F539F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Aus4Reform supported </w:t>
            </w:r>
            <w:r w:rsidR="00873A4A" w:rsidRPr="00053B17">
              <w:rPr>
                <w:rFonts w:cstheme="minorHAnsi"/>
                <w:color w:val="auto"/>
                <w:sz w:val="20"/>
                <w:szCs w:val="20"/>
              </w:rPr>
              <w:t xml:space="preserve">the 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>Agency for Business Registration to assess the ability of Vietnamese enterprises to respond to C</w:t>
            </w:r>
            <w:r w:rsidR="00873A4A" w:rsidRPr="00053B17">
              <w:rPr>
                <w:rFonts w:cstheme="minorHAnsi"/>
                <w:color w:val="auto"/>
                <w:sz w:val="20"/>
                <w:szCs w:val="20"/>
              </w:rPr>
              <w:t>OVID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-19. The Central Economic Commission </w:t>
            </w:r>
            <w:r w:rsidR="002E2566" w:rsidRPr="00053B17">
              <w:rPr>
                <w:rFonts w:cstheme="minorHAnsi"/>
                <w:color w:val="auto"/>
                <w:sz w:val="20"/>
                <w:szCs w:val="20"/>
              </w:rPr>
              <w:t>was supported to analyse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 the impact of COVID-19 on efficiency of sending Vietnamese workers abroad. The Vietnam Chamber of Commerce and Industry </w:t>
            </w:r>
            <w:r w:rsidR="002E2566" w:rsidRPr="00053B17">
              <w:rPr>
                <w:rFonts w:cstheme="minorHAnsi"/>
                <w:color w:val="auto"/>
                <w:sz w:val="20"/>
                <w:szCs w:val="20"/>
              </w:rPr>
              <w:t>was supported to prepare a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 report monitoring the implementation of the National Strategy on Gender Equality 2021- 2030. </w:t>
            </w:r>
          </w:p>
          <w:p w14:paraId="5A50515E" w14:textId="602B2451" w:rsidR="003437B2" w:rsidRPr="00053B17" w:rsidRDefault="00A22F80" w:rsidP="006F539F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Aus4Transport </w:t>
            </w:r>
            <w:r w:rsidR="00CE113F" w:rsidRPr="00053B17">
              <w:rPr>
                <w:rFonts w:cstheme="minorHAnsi"/>
                <w:color w:val="auto"/>
                <w:sz w:val="20"/>
                <w:szCs w:val="20"/>
              </w:rPr>
              <w:t>supported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 39</w:t>
            </w:r>
            <w:r w:rsidR="00CE113F" w:rsidRPr="00053B17">
              <w:rPr>
                <w:rFonts w:cstheme="minorHAnsi"/>
                <w:color w:val="auto"/>
                <w:sz w:val="20"/>
                <w:szCs w:val="20"/>
              </w:rPr>
              <w:t xml:space="preserve"> public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 transport agencies</w:t>
            </w:r>
            <w:r w:rsidR="000A6CE7" w:rsidRPr="00053B17">
              <w:rPr>
                <w:rFonts w:cstheme="minorHAnsi"/>
                <w:color w:val="auto"/>
                <w:sz w:val="20"/>
                <w:szCs w:val="20"/>
              </w:rPr>
              <w:t xml:space="preserve"> to develop new policies</w:t>
            </w:r>
            <w:r w:rsidR="007E6637">
              <w:rPr>
                <w:rFonts w:cstheme="minorHAnsi"/>
                <w:color w:val="auto"/>
                <w:sz w:val="20"/>
                <w:szCs w:val="20"/>
              </w:rPr>
              <w:t xml:space="preserve"> and </w:t>
            </w:r>
            <w:r w:rsidR="002E2566" w:rsidRPr="00053B17">
              <w:rPr>
                <w:rFonts w:cstheme="minorHAnsi"/>
                <w:color w:val="auto"/>
                <w:sz w:val="20"/>
                <w:szCs w:val="20"/>
              </w:rPr>
              <w:t xml:space="preserve">developed three 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Environment and Social Impact Assessment Technical Guidelines </w:t>
            </w:r>
            <w:r w:rsidR="009310F9" w:rsidRPr="00053B17">
              <w:rPr>
                <w:rFonts w:cstheme="minorHAnsi"/>
                <w:color w:val="auto"/>
                <w:sz w:val="20"/>
                <w:szCs w:val="20"/>
              </w:rPr>
              <w:t>incorporating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9310F9" w:rsidRPr="00053B17">
              <w:rPr>
                <w:rFonts w:cstheme="minorHAnsi"/>
                <w:color w:val="auto"/>
                <w:sz w:val="20"/>
                <w:szCs w:val="20"/>
              </w:rPr>
              <w:t>i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nternational </w:t>
            </w:r>
            <w:r w:rsidR="009310F9" w:rsidRPr="00053B17">
              <w:rPr>
                <w:rFonts w:cstheme="minorHAnsi"/>
                <w:color w:val="auto"/>
                <w:sz w:val="20"/>
                <w:szCs w:val="20"/>
              </w:rPr>
              <w:t>best p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>ractice</w:t>
            </w:r>
            <w:r w:rsidR="00155D06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</w:tc>
      </w:tr>
      <w:tr w:rsidR="00A8204F" w:rsidRPr="00A8204F" w14:paraId="1EAE2D66" w14:textId="77777777" w:rsidTr="00137111">
        <w:trPr>
          <w:tblHeader/>
        </w:trPr>
        <w:tc>
          <w:tcPr>
            <w:tcW w:w="4248" w:type="dxa"/>
          </w:tcPr>
          <w:p w14:paraId="65838CB2" w14:textId="35D020B2" w:rsidR="006E5D45" w:rsidRPr="00053B17" w:rsidRDefault="006E5D45" w:rsidP="006E5D45">
            <w:p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>Evidence of increased investment in infrastructure</w:t>
            </w:r>
          </w:p>
        </w:tc>
        <w:tc>
          <w:tcPr>
            <w:tcW w:w="6288" w:type="dxa"/>
          </w:tcPr>
          <w:p w14:paraId="02B96D99" w14:textId="7F698830" w:rsidR="00947F74" w:rsidRPr="00053B17" w:rsidRDefault="00947F74" w:rsidP="00A4552A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color w:val="auto"/>
                <w:sz w:val="20"/>
                <w:szCs w:val="20"/>
                <w:lang w:val="en-AU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>Aus4Tranport</w:t>
            </w:r>
            <w:r w:rsidR="002E2566" w:rsidRPr="00053B17">
              <w:rPr>
                <w:rFonts w:cstheme="minorHAnsi"/>
                <w:color w:val="auto"/>
                <w:sz w:val="20"/>
                <w:szCs w:val="20"/>
              </w:rPr>
              <w:t xml:space="preserve">’s </w:t>
            </w:r>
            <w:r w:rsidR="009310F9" w:rsidRPr="00053B17">
              <w:rPr>
                <w:rFonts w:cstheme="minorHAnsi"/>
                <w:color w:val="auto"/>
                <w:sz w:val="20"/>
                <w:szCs w:val="20"/>
              </w:rPr>
              <w:t>project preparation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2E2566" w:rsidRPr="00053B17">
              <w:rPr>
                <w:rFonts w:cstheme="minorHAnsi"/>
                <w:color w:val="auto"/>
                <w:sz w:val="20"/>
                <w:szCs w:val="20"/>
              </w:rPr>
              <w:t xml:space="preserve">assistance 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>for three large-scale transport projects enabl</w:t>
            </w:r>
            <w:r w:rsidR="002E2566" w:rsidRPr="00053B17">
              <w:rPr>
                <w:rFonts w:cstheme="minorHAnsi"/>
                <w:color w:val="auto"/>
                <w:sz w:val="20"/>
                <w:szCs w:val="20"/>
              </w:rPr>
              <w:t>ed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 the government to leverage over US</w:t>
            </w:r>
            <w:r w:rsidR="000546D2">
              <w:rPr>
                <w:rFonts w:cstheme="minorHAnsi"/>
                <w:color w:val="auto"/>
                <w:sz w:val="20"/>
                <w:szCs w:val="20"/>
              </w:rPr>
              <w:t>D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 500 million from </w:t>
            </w:r>
            <w:r w:rsidR="009310F9" w:rsidRPr="00053B17">
              <w:rPr>
                <w:rFonts w:cstheme="minorHAnsi"/>
                <w:color w:val="auto"/>
                <w:sz w:val="20"/>
                <w:szCs w:val="20"/>
              </w:rPr>
              <w:t>m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ultilateral </w:t>
            </w:r>
            <w:r w:rsidR="009310F9" w:rsidRPr="00053B17">
              <w:rPr>
                <w:rFonts w:cstheme="minorHAnsi"/>
                <w:color w:val="auto"/>
                <w:sz w:val="20"/>
                <w:szCs w:val="20"/>
              </w:rPr>
              <w:t>d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evelopment </w:t>
            </w:r>
            <w:r w:rsidR="009310F9" w:rsidRPr="00053B17">
              <w:rPr>
                <w:rFonts w:cstheme="minorHAnsi"/>
                <w:color w:val="auto"/>
                <w:sz w:val="20"/>
                <w:szCs w:val="20"/>
              </w:rPr>
              <w:t>b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>anks to build and upgrade 352 km of roads and 279 km of inland waterways.</w:t>
            </w:r>
          </w:p>
        </w:tc>
      </w:tr>
      <w:tr w:rsidR="00A8204F" w:rsidRPr="00A8204F" w14:paraId="4DF45926" w14:textId="77777777" w:rsidTr="00137111">
        <w:trPr>
          <w:tblHeader/>
        </w:trPr>
        <w:tc>
          <w:tcPr>
            <w:tcW w:w="4248" w:type="dxa"/>
          </w:tcPr>
          <w:p w14:paraId="0B1E2DC4" w14:textId="0C832DED" w:rsidR="006E5D45" w:rsidRPr="00053B17" w:rsidRDefault="006E5D45" w:rsidP="006E5D45">
            <w:p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>Number of participants provided with improved business, technical or management skills for improved workforce participation</w:t>
            </w:r>
          </w:p>
        </w:tc>
        <w:tc>
          <w:tcPr>
            <w:tcW w:w="6288" w:type="dxa"/>
          </w:tcPr>
          <w:p w14:paraId="3B290875" w14:textId="77777777" w:rsidR="007E6637" w:rsidRPr="00D70853" w:rsidRDefault="00605215" w:rsidP="00E80A62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eastAsiaTheme="majorEastAsia"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Aus4Skill supported </w:t>
            </w:r>
            <w:r w:rsidR="00D018AC" w:rsidRPr="00053B17">
              <w:rPr>
                <w:rFonts w:cstheme="minorHAnsi"/>
                <w:color w:val="auto"/>
                <w:sz w:val="20"/>
                <w:szCs w:val="20"/>
              </w:rPr>
              <w:t>202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 Vietnamese participants (</w:t>
            </w:r>
            <w:r w:rsidR="00D018AC" w:rsidRPr="00053B17">
              <w:rPr>
                <w:rFonts w:cstheme="minorHAnsi"/>
                <w:color w:val="auto"/>
                <w:sz w:val="20"/>
                <w:szCs w:val="20"/>
              </w:rPr>
              <w:t>82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 women) to attend Australia Awards Short Courses on university governance and autonomy, industry-le</w:t>
            </w:r>
            <w:r w:rsidR="009310F9" w:rsidRPr="00053B17">
              <w:rPr>
                <w:rFonts w:cstheme="minorHAnsi"/>
                <w:color w:val="auto"/>
                <w:sz w:val="20"/>
                <w:szCs w:val="20"/>
              </w:rPr>
              <w:t>d vocational education and training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, leadership, </w:t>
            </w:r>
            <w:r w:rsidR="00D018AC" w:rsidRPr="00053B17">
              <w:rPr>
                <w:rFonts w:cstheme="minorHAnsi"/>
                <w:color w:val="auto"/>
                <w:sz w:val="20"/>
                <w:szCs w:val="20"/>
              </w:rPr>
              <w:t>energy transition</w:t>
            </w:r>
            <w:r w:rsidR="00FE2D8E">
              <w:rPr>
                <w:rFonts w:cstheme="minorHAnsi"/>
                <w:color w:val="auto"/>
                <w:sz w:val="20"/>
                <w:szCs w:val="20"/>
              </w:rPr>
              <w:t xml:space="preserve"> and 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>water diplomacy</w:t>
            </w:r>
            <w:r w:rsidR="00FE2D8E">
              <w:rPr>
                <w:rFonts w:cstheme="minorHAnsi"/>
                <w:color w:val="auto"/>
                <w:sz w:val="20"/>
                <w:szCs w:val="20"/>
              </w:rPr>
              <w:t xml:space="preserve">. </w:t>
            </w:r>
          </w:p>
          <w:p w14:paraId="1FCE71E6" w14:textId="50D72B7A" w:rsidR="003437B2" w:rsidRPr="00053B17" w:rsidRDefault="522FCC79" w:rsidP="00E80A62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eastAsiaTheme="majorEastAsia"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>Aus4Transport provided 38 training courses for approximately 1,500 people (36</w:t>
            </w:r>
            <w:r w:rsidR="00213C1B" w:rsidRPr="00053B17">
              <w:rPr>
                <w:rFonts w:cstheme="minorHAnsi"/>
                <w:color w:val="auto"/>
                <w:sz w:val="20"/>
                <w:szCs w:val="20"/>
              </w:rPr>
              <w:t xml:space="preserve"> per cent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 women) in the transport infrastructure sector</w:t>
            </w:r>
            <w:r w:rsidR="00260519">
              <w:rPr>
                <w:rFonts w:cstheme="minorHAnsi"/>
                <w:color w:val="auto"/>
                <w:sz w:val="20"/>
                <w:szCs w:val="20"/>
              </w:rPr>
              <w:t xml:space="preserve">. </w:t>
            </w:r>
          </w:p>
        </w:tc>
      </w:tr>
      <w:tr w:rsidR="00A8204F" w:rsidRPr="00A8204F" w14:paraId="51A15CF9" w14:textId="77777777" w:rsidTr="00A47774">
        <w:trPr>
          <w:trHeight w:val="996"/>
          <w:tblHeader/>
        </w:trPr>
        <w:tc>
          <w:tcPr>
            <w:tcW w:w="4248" w:type="dxa"/>
          </w:tcPr>
          <w:p w14:paraId="3C75C9F9" w14:textId="1BE00FCC" w:rsidR="006E5D45" w:rsidRPr="00053B17" w:rsidRDefault="006E5D45" w:rsidP="001D3C68">
            <w:pPr>
              <w:spacing w:before="60"/>
              <w:ind w:left="96"/>
              <w:rPr>
                <w:rFonts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>Number of women provided with economic empowerment opportunities including through business or financial support</w:t>
            </w:r>
            <w:r w:rsidRPr="00053B17">
              <w:rPr>
                <w:rFonts w:cstheme="minorHAnsi"/>
                <w:color w:val="auto"/>
                <w:sz w:val="20"/>
                <w:szCs w:val="20"/>
                <w:vertAlign w:val="superscript"/>
              </w:rPr>
              <w:footnoteReference w:id="8"/>
            </w:r>
            <w:r w:rsidRPr="00053B17">
              <w:rPr>
                <w:rFonts w:cstheme="minorHAns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288" w:type="dxa"/>
          </w:tcPr>
          <w:p w14:paraId="0DD22350" w14:textId="4836729C" w:rsidR="006E5D45" w:rsidRPr="00053B17" w:rsidRDefault="0004495C" w:rsidP="00A47774">
            <w:pPr>
              <w:pStyle w:val="ListParagraph"/>
              <w:numPr>
                <w:ilvl w:val="0"/>
                <w:numId w:val="46"/>
              </w:numPr>
              <w:spacing w:before="0" w:after="0"/>
              <w:ind w:left="714" w:hanging="357"/>
              <w:rPr>
                <w:rFonts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>Investing in Women supported f</w:t>
            </w:r>
            <w:r w:rsidR="33DE7BAC" w:rsidRPr="00053B17">
              <w:rPr>
                <w:rFonts w:cstheme="minorHAnsi"/>
                <w:color w:val="auto"/>
                <w:sz w:val="20"/>
                <w:szCs w:val="20"/>
              </w:rPr>
              <w:t xml:space="preserve">our </w:t>
            </w:r>
            <w:r w:rsidR="3985E853" w:rsidRPr="00053B17">
              <w:rPr>
                <w:rFonts w:cstheme="minorHAnsi"/>
                <w:color w:val="auto"/>
                <w:sz w:val="20"/>
                <w:szCs w:val="20"/>
              </w:rPr>
              <w:t xml:space="preserve">women owned or led </w:t>
            </w:r>
            <w:r w:rsidR="00A505C8" w:rsidRPr="00053B17">
              <w:rPr>
                <w:rFonts w:cstheme="minorHAnsi"/>
                <w:color w:val="auto"/>
                <w:sz w:val="20"/>
                <w:szCs w:val="20"/>
              </w:rPr>
              <w:t xml:space="preserve">enterprises </w:t>
            </w:r>
            <w:r w:rsidR="3985E853" w:rsidRPr="00053B17">
              <w:rPr>
                <w:rFonts w:cstheme="minorHAnsi"/>
                <w:color w:val="auto"/>
                <w:sz w:val="20"/>
                <w:szCs w:val="20"/>
              </w:rPr>
              <w:t xml:space="preserve">with investment capital and </w:t>
            </w:r>
            <w:r w:rsidR="7AFEBA44" w:rsidRPr="00053B17">
              <w:rPr>
                <w:rFonts w:cstheme="minorHAnsi"/>
                <w:color w:val="auto"/>
                <w:sz w:val="20"/>
                <w:szCs w:val="20"/>
              </w:rPr>
              <w:t>technical assistance</w:t>
            </w:r>
            <w:r w:rsidR="3985E853" w:rsidRPr="00053B1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ED8CD64" w:rsidRPr="00053B17">
              <w:rPr>
                <w:rFonts w:cstheme="minorHAnsi"/>
                <w:color w:val="auto"/>
                <w:sz w:val="20"/>
                <w:szCs w:val="20"/>
              </w:rPr>
              <w:t xml:space="preserve">in 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>to improve their business</w:t>
            </w:r>
            <w:r w:rsidR="002E2566" w:rsidRPr="00053B17">
              <w:rPr>
                <w:rFonts w:cstheme="minorHAnsi"/>
                <w:color w:val="auto"/>
                <w:sz w:val="20"/>
                <w:szCs w:val="20"/>
              </w:rPr>
              <w:t>es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>.</w:t>
            </w:r>
            <w:r w:rsidRPr="00053B17">
              <w:rPr>
                <w:rFonts w:eastAsia="Calibri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A8204F" w:rsidRPr="00053B17" w14:paraId="4A240460" w14:textId="77777777" w:rsidTr="00137111">
        <w:trPr>
          <w:tblHeader/>
        </w:trPr>
        <w:tc>
          <w:tcPr>
            <w:tcW w:w="4248" w:type="dxa"/>
          </w:tcPr>
          <w:p w14:paraId="2F47362B" w14:textId="62C8B189" w:rsidR="006E5D45" w:rsidRPr="00053B17" w:rsidRDefault="006E5D45" w:rsidP="006E5D45">
            <w:pPr>
              <w:spacing w:before="60"/>
              <w:ind w:left="96"/>
              <w:rPr>
                <w:rFonts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>Examples of partnering with the private sector and other partners (or government) to ensure supply lines are open to promote the utilisation of FTA provisions and to support increased trade</w:t>
            </w:r>
            <w:r w:rsidRPr="00053B17">
              <w:rPr>
                <w:rFonts w:cstheme="minorHAnsi"/>
                <w:color w:val="auto"/>
                <w:sz w:val="20"/>
                <w:szCs w:val="20"/>
                <w:vertAlign w:val="superscript"/>
              </w:rPr>
              <w:footnoteReference w:id="9"/>
            </w:r>
            <w:r w:rsidRPr="00053B17">
              <w:rPr>
                <w:rFonts w:cstheme="minorHAns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288" w:type="dxa"/>
          </w:tcPr>
          <w:p w14:paraId="63368056" w14:textId="265DB05F" w:rsidR="0EC1AA95" w:rsidRPr="00053B17" w:rsidRDefault="00222D55" w:rsidP="006A002E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hyperlink r:id="rId11">
              <w:r w:rsidR="00B108D2" w:rsidRPr="00053B17">
                <w:rPr>
                  <w:rFonts w:cstheme="minorHAnsi"/>
                  <w:color w:val="auto"/>
                  <w:sz w:val="20"/>
                  <w:szCs w:val="20"/>
                </w:rPr>
                <w:t>ACIAR cooperated</w:t>
              </w:r>
              <w:r w:rsidR="0093110C" w:rsidRPr="00053B17">
                <w:rPr>
                  <w:rFonts w:cstheme="minorHAnsi"/>
                  <w:color w:val="auto"/>
                  <w:sz w:val="20"/>
                  <w:szCs w:val="20"/>
                </w:rPr>
                <w:t xml:space="preserve"> with</w:t>
              </w:r>
              <w:r w:rsidR="74CDDFAB" w:rsidRPr="00053B17">
                <w:rPr>
                  <w:rFonts w:cstheme="minorHAns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74CDDFAB" w:rsidRPr="00053B17">
                <w:rPr>
                  <w:rFonts w:cstheme="minorHAnsi"/>
                  <w:color w:val="auto"/>
                  <w:sz w:val="20"/>
                  <w:szCs w:val="20"/>
                </w:rPr>
                <w:t>SunRice</w:t>
              </w:r>
              <w:proofErr w:type="spellEnd"/>
              <w:r w:rsidR="74CDDFAB" w:rsidRPr="00053B17">
                <w:rPr>
                  <w:rFonts w:cstheme="minorHAnsi"/>
                  <w:color w:val="auto"/>
                  <w:sz w:val="20"/>
                  <w:szCs w:val="20"/>
                </w:rPr>
                <w:t xml:space="preserve"> </w:t>
              </w:r>
            </w:hyperlink>
            <w:r w:rsidR="74CDDFAB" w:rsidRPr="00053B17">
              <w:rPr>
                <w:rFonts w:cstheme="minorHAnsi"/>
                <w:color w:val="auto"/>
                <w:sz w:val="20"/>
                <w:szCs w:val="20"/>
              </w:rPr>
              <w:t xml:space="preserve">to establish a productive, sustainable, traceable, quality-assured rice value chain in the Mekong Delta, </w:t>
            </w:r>
            <w:r w:rsidR="00963FA4" w:rsidRPr="00053B17">
              <w:rPr>
                <w:rFonts w:cstheme="minorHAnsi"/>
                <w:color w:val="auto"/>
                <w:sz w:val="20"/>
                <w:szCs w:val="20"/>
              </w:rPr>
              <w:t>improving income for rice-farming households through increased export opportunities.</w:t>
            </w:r>
          </w:p>
          <w:p w14:paraId="59F5EA22" w14:textId="52B364BD" w:rsidR="006E5D45" w:rsidRPr="00053B17" w:rsidRDefault="002E2566" w:rsidP="006A002E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cstheme="minorHAnsi"/>
                <w:color w:val="auto"/>
                <w:sz w:val="20"/>
                <w:szCs w:val="20"/>
              </w:rPr>
            </w:pPr>
            <w:r w:rsidRPr="00053B17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="4644F979" w:rsidRPr="00053B17">
              <w:rPr>
                <w:rFonts w:cstheme="minorHAnsi"/>
                <w:color w:val="auto"/>
                <w:sz w:val="20"/>
                <w:szCs w:val="20"/>
              </w:rPr>
              <w:t>ix</w:t>
            </w:r>
            <w:r w:rsidR="5E5643DA" w:rsidRPr="00053B17">
              <w:rPr>
                <w:rFonts w:cstheme="minorHAnsi"/>
                <w:color w:val="auto"/>
                <w:sz w:val="20"/>
                <w:szCs w:val="20"/>
              </w:rPr>
              <w:t xml:space="preserve"> new projects 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 xml:space="preserve">were launched </w:t>
            </w:r>
            <w:r w:rsidR="5E5643DA" w:rsidRPr="00053B17">
              <w:rPr>
                <w:rFonts w:cstheme="minorHAnsi"/>
                <w:color w:val="auto"/>
                <w:sz w:val="20"/>
                <w:szCs w:val="20"/>
              </w:rPr>
              <w:t>under the Business Partnership Platform</w:t>
            </w:r>
            <w:r w:rsidR="00260519">
              <w:rPr>
                <w:rFonts w:cstheme="minorHAnsi"/>
                <w:color w:val="auto"/>
                <w:sz w:val="20"/>
                <w:szCs w:val="20"/>
              </w:rPr>
              <w:t>.</w:t>
            </w:r>
            <w:r w:rsidR="0093110C" w:rsidRPr="00053B1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053B17">
              <w:rPr>
                <w:rFonts w:cstheme="minorHAnsi"/>
                <w:color w:val="auto"/>
                <w:sz w:val="20"/>
                <w:szCs w:val="20"/>
              </w:rPr>
              <w:t>DFAT’s investment of</w:t>
            </w:r>
            <w:r w:rsidR="0004495C" w:rsidRPr="00053B17">
              <w:rPr>
                <w:rFonts w:cstheme="minorHAnsi"/>
                <w:color w:val="auto"/>
                <w:sz w:val="20"/>
                <w:szCs w:val="20"/>
              </w:rPr>
              <w:t xml:space="preserve"> $3.3 million leverage</w:t>
            </w:r>
            <w:r w:rsidR="0093110C" w:rsidRPr="00053B17">
              <w:rPr>
                <w:rFonts w:cstheme="minorHAnsi"/>
                <w:color w:val="auto"/>
                <w:sz w:val="20"/>
                <w:szCs w:val="20"/>
              </w:rPr>
              <w:t>d</w:t>
            </w:r>
            <w:r w:rsidR="0004495C" w:rsidRPr="00053B17">
              <w:rPr>
                <w:rFonts w:cstheme="minorHAnsi"/>
                <w:color w:val="auto"/>
                <w:sz w:val="20"/>
                <w:szCs w:val="20"/>
              </w:rPr>
              <w:t xml:space="preserve"> more than $3.7 million from </w:t>
            </w:r>
            <w:r w:rsidR="00D84531" w:rsidRPr="00053B17">
              <w:rPr>
                <w:rFonts w:cstheme="minorHAnsi"/>
                <w:color w:val="auto"/>
                <w:sz w:val="20"/>
                <w:szCs w:val="20"/>
              </w:rPr>
              <w:t xml:space="preserve">the </w:t>
            </w:r>
            <w:r w:rsidR="0004495C" w:rsidRPr="00053B17">
              <w:rPr>
                <w:rFonts w:cstheme="minorHAnsi"/>
                <w:color w:val="auto"/>
                <w:sz w:val="20"/>
                <w:szCs w:val="20"/>
              </w:rPr>
              <w:t xml:space="preserve">private sector, </w:t>
            </w:r>
            <w:r w:rsidR="5494A4BB" w:rsidRPr="00053B17">
              <w:rPr>
                <w:rFonts w:cstheme="minorHAnsi"/>
                <w:color w:val="auto"/>
                <w:sz w:val="20"/>
                <w:szCs w:val="20"/>
              </w:rPr>
              <w:t>to promote the growth of sustainable carbon markets</w:t>
            </w:r>
            <w:r w:rsidR="00D70853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</w:tc>
      </w:tr>
    </w:tbl>
    <w:p w14:paraId="2F13E6BA" w14:textId="77777777" w:rsidR="008A6BB7" w:rsidRPr="00053B17" w:rsidRDefault="008A6BB7" w:rsidP="00DF27BA">
      <w:pPr>
        <w:pStyle w:val="Heading2"/>
        <w:rPr>
          <w:sz w:val="20"/>
          <w:szCs w:val="20"/>
        </w:rPr>
        <w:sectPr w:rsidR="008A6BB7" w:rsidRPr="00053B17" w:rsidSect="00952815">
          <w:headerReference w:type="default" r:id="rId12"/>
          <w:footerReference w:type="default" r:id="rId13"/>
          <w:headerReference w:type="first" r:id="rId14"/>
          <w:pgSz w:w="11906" w:h="16838" w:code="9"/>
          <w:pgMar w:top="1559" w:right="680" w:bottom="1418" w:left="680" w:header="567" w:footer="340" w:gutter="0"/>
          <w:cols w:space="397"/>
          <w:docGrid w:linePitch="360"/>
        </w:sectPr>
      </w:pPr>
    </w:p>
    <w:p w14:paraId="06ABEE3D" w14:textId="6ABF67B7" w:rsidR="00D1231A" w:rsidRPr="00053B17" w:rsidRDefault="00D1231A" w:rsidP="00D20101">
      <w:pPr>
        <w:pStyle w:val="Heading3"/>
      </w:pPr>
      <w:r w:rsidRPr="00053B17">
        <w:lastRenderedPageBreak/>
        <w:t>Investment Performance</w:t>
      </w:r>
      <w:r w:rsidR="000F78C9" w:rsidRPr="00053B17">
        <w:t xml:space="preserve"> ratings</w:t>
      </w:r>
    </w:p>
    <w:tbl>
      <w:tblPr>
        <w:tblStyle w:val="DFATTable1"/>
        <w:tblW w:w="10627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5807"/>
        <w:gridCol w:w="1134"/>
        <w:gridCol w:w="1276"/>
        <w:gridCol w:w="1134"/>
        <w:gridCol w:w="1276"/>
      </w:tblGrid>
      <w:tr w:rsidR="00A8204F" w:rsidRPr="00A8204F" w14:paraId="69FD1E5F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A2DCD1" w:themeFill="accent1" w:themeFillTint="99"/>
            <w:noWrap/>
            <w:hideMark/>
          </w:tcPr>
          <w:p w14:paraId="287BF78E" w14:textId="77777777" w:rsidR="00AC551D" w:rsidRPr="00053B17" w:rsidRDefault="00AC551D" w:rsidP="00AF18F4">
            <w:pPr>
              <w:suppressAutoHyphens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053B1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Investment Details</w:t>
            </w:r>
          </w:p>
        </w:tc>
        <w:tc>
          <w:tcPr>
            <w:tcW w:w="1134" w:type="dxa"/>
            <w:shd w:val="clear" w:color="auto" w:fill="A2DCD1" w:themeFill="accent1" w:themeFillTint="99"/>
            <w:noWrap/>
            <w:hideMark/>
          </w:tcPr>
          <w:p w14:paraId="36D4C187" w14:textId="77777777" w:rsidR="00AC551D" w:rsidRPr="00053B17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053B1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Year</w:t>
            </w:r>
          </w:p>
        </w:tc>
        <w:tc>
          <w:tcPr>
            <w:tcW w:w="1276" w:type="dxa"/>
            <w:shd w:val="clear" w:color="auto" w:fill="A2DCD1" w:themeFill="accent1" w:themeFillTint="99"/>
            <w:noWrap/>
            <w:hideMark/>
          </w:tcPr>
          <w:p w14:paraId="1B1121B3" w14:textId="77777777" w:rsidR="00AC551D" w:rsidRPr="00053B17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053B1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Effectiveness</w:t>
            </w:r>
          </w:p>
        </w:tc>
        <w:tc>
          <w:tcPr>
            <w:tcW w:w="1134" w:type="dxa"/>
            <w:shd w:val="clear" w:color="auto" w:fill="A2DCD1" w:themeFill="accent1" w:themeFillTint="99"/>
            <w:noWrap/>
            <w:hideMark/>
          </w:tcPr>
          <w:p w14:paraId="7B4698B4" w14:textId="77777777" w:rsidR="00AC551D" w:rsidRPr="00053B17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053B1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Efficiency</w:t>
            </w:r>
          </w:p>
        </w:tc>
        <w:tc>
          <w:tcPr>
            <w:tcW w:w="1276" w:type="dxa"/>
            <w:shd w:val="clear" w:color="auto" w:fill="A2DCD1" w:themeFill="accent1" w:themeFillTint="99"/>
            <w:noWrap/>
            <w:hideMark/>
          </w:tcPr>
          <w:p w14:paraId="5E5D38EF" w14:textId="4CC6B5C6" w:rsidR="00AC551D" w:rsidRPr="00053B17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053B1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Gender Equality</w:t>
            </w:r>
          </w:p>
        </w:tc>
      </w:tr>
      <w:tr w:rsidR="00A8204F" w:rsidRPr="00A8204F" w14:paraId="1867487D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  <w:vAlign w:val="bottom"/>
            <w:hideMark/>
          </w:tcPr>
          <w:p w14:paraId="4E8693CC" w14:textId="46465E62" w:rsidR="00391156" w:rsidRPr="00A93740" w:rsidRDefault="00136CE3" w:rsidP="00AF18F4">
            <w:pPr>
              <w:suppressAutoHyphens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9374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Human Resource Development Facility</w:t>
            </w:r>
          </w:p>
          <w:p w14:paraId="2E831155" w14:textId="71C28573" w:rsidR="00391156" w:rsidRPr="00A93740" w:rsidRDefault="00391156" w:rsidP="00AF18F4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14:paraId="753CB627" w14:textId="72728F46" w:rsidR="00AC551D" w:rsidRPr="00A93740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AU"/>
              </w:rPr>
              <w:t>202</w:t>
            </w:r>
            <w:r w:rsidR="00996FC8"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3524F2ED" w14:textId="7EAF5C5D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65883235" w14:textId="2877602F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34FAF95D" w14:textId="06B1C36B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6</w:t>
            </w:r>
          </w:p>
        </w:tc>
      </w:tr>
      <w:tr w:rsidR="00A8204F" w:rsidRPr="00A8204F" w14:paraId="3F9940CA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  <w:hideMark/>
          </w:tcPr>
          <w:p w14:paraId="4D54A0A0" w14:textId="615B02A8" w:rsidR="00AC551D" w:rsidRPr="00A93740" w:rsidRDefault="007178C4" w:rsidP="006B5503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Investment d</w:t>
            </w:r>
            <w:r w:rsidR="00AC551D"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uration: </w:t>
            </w:r>
            <w:r w:rsidR="00136CE3" w:rsidRPr="00A937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2016-25; Budget: $86.4m</w:t>
            </w:r>
            <w:r w:rsidR="00AC551D"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14:paraId="42A30353" w14:textId="0E791758" w:rsidR="00AC551D" w:rsidRPr="00A93740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AU"/>
              </w:rPr>
              <w:t>202</w:t>
            </w:r>
            <w:r w:rsidR="00996FC8"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02C361E5" w14:textId="66F706A4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1C8F4065" w14:textId="2DC6BC63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3EA630FF" w14:textId="3C35F0A4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</w:tr>
      <w:tr w:rsidR="00A8204F" w:rsidRPr="00A8204F" w14:paraId="664415AC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E0F3EF" w:themeFill="accent1" w:themeFillTint="33"/>
            <w:noWrap/>
            <w:vAlign w:val="bottom"/>
            <w:hideMark/>
          </w:tcPr>
          <w:p w14:paraId="75576776" w14:textId="51F84C97" w:rsidR="00AC551D" w:rsidRPr="00A93740" w:rsidRDefault="00136CE3" w:rsidP="00AF18F4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Australia World Bank Partnership Phase 2</w:t>
            </w:r>
          </w:p>
        </w:tc>
        <w:tc>
          <w:tcPr>
            <w:tcW w:w="1134" w:type="dxa"/>
            <w:shd w:val="clear" w:color="auto" w:fill="E0F3EF" w:themeFill="accent1" w:themeFillTint="33"/>
            <w:hideMark/>
          </w:tcPr>
          <w:p w14:paraId="35291127" w14:textId="39A9B18A" w:rsidR="00AC551D" w:rsidRPr="00A93740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AU"/>
              </w:rPr>
              <w:t>202</w:t>
            </w:r>
            <w:r w:rsidR="00996FC8"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0383E59B" w14:textId="6CA29944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760C1604" w14:textId="34DEA4CA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48B585D3" w14:textId="5C64A030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</w:tr>
      <w:tr w:rsidR="00A8204F" w:rsidRPr="00A8204F" w14:paraId="5EA4A873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E0F3EF" w:themeFill="accent1" w:themeFillTint="33"/>
            <w:hideMark/>
          </w:tcPr>
          <w:p w14:paraId="5D004B83" w14:textId="3DDBC769" w:rsidR="00AC551D" w:rsidRPr="00A93740" w:rsidRDefault="70EF1DE3" w:rsidP="006B5503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Investment duration: 2017-2</w:t>
            </w:r>
            <w:r w:rsidR="223AC040" w:rsidRPr="00A937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Pr="00A937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 Budget: $5</w:t>
            </w:r>
            <w:r w:rsidR="24618B4C" w:rsidRPr="00A937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 w:rsidRPr="00A937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</w:t>
            </w:r>
          </w:p>
        </w:tc>
        <w:tc>
          <w:tcPr>
            <w:tcW w:w="1134" w:type="dxa"/>
            <w:shd w:val="clear" w:color="auto" w:fill="E0F3EF" w:themeFill="accent1" w:themeFillTint="33"/>
            <w:hideMark/>
          </w:tcPr>
          <w:p w14:paraId="6F5DCD3C" w14:textId="0DF13F05" w:rsidR="00AC551D" w:rsidRPr="00A93740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AU"/>
              </w:rPr>
              <w:t>202</w:t>
            </w:r>
            <w:r w:rsidR="00996FC8"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7C975F2B" w14:textId="7C5D92C6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562AF5DF" w14:textId="047F958C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49275297" w14:textId="40A7E817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</w:tr>
      <w:tr w:rsidR="00A8204F" w:rsidRPr="00A8204F" w14:paraId="7C3C602D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  <w:noWrap/>
            <w:vAlign w:val="bottom"/>
            <w:hideMark/>
          </w:tcPr>
          <w:p w14:paraId="6DDF2B53" w14:textId="4F79BA5B" w:rsidR="00AC551D" w:rsidRPr="00A93740" w:rsidRDefault="00136CE3" w:rsidP="00AF18F4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Aus4Equality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14:paraId="258E1068" w14:textId="7D70279D" w:rsidR="00AC551D" w:rsidRPr="00A93740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202</w:t>
            </w:r>
            <w:r w:rsidR="00996FC8"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561825FE" w14:textId="1B62443B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777674A9" w14:textId="23E04967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16666D1C" w14:textId="6E6CB035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6</w:t>
            </w:r>
          </w:p>
        </w:tc>
      </w:tr>
      <w:tr w:rsidR="00A8204F" w:rsidRPr="00A8204F" w14:paraId="173568D7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  <w:hideMark/>
          </w:tcPr>
          <w:p w14:paraId="3342A73E" w14:textId="34CB808E" w:rsidR="00AC551D" w:rsidRPr="00A93740" w:rsidRDefault="00136CE3" w:rsidP="006B5503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Investment duration: 2015-28; Budget: $8</w:t>
            </w:r>
            <w:r w:rsidR="0011011B" w:rsidRPr="00A937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3.4</w:t>
            </w:r>
            <w:r w:rsidRPr="00A937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14:paraId="1F16C9F8" w14:textId="43DD3B53" w:rsidR="00AC551D" w:rsidRPr="00A93740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202</w:t>
            </w:r>
            <w:r w:rsidR="00996FC8"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484EFDC5" w14:textId="2D98D182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196A3DC5" w14:textId="5AAA442A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1BD061D2" w14:textId="5105D43A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</w:tr>
      <w:tr w:rsidR="00A8204F" w:rsidRPr="00A8204F" w14:paraId="433D367E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E0F3EF" w:themeFill="accent1" w:themeFillTint="33"/>
            <w:noWrap/>
            <w:vAlign w:val="bottom"/>
            <w:hideMark/>
          </w:tcPr>
          <w:p w14:paraId="7703CD34" w14:textId="39D8B658" w:rsidR="00AC551D" w:rsidRPr="00A93740" w:rsidRDefault="00136CE3" w:rsidP="00AF18F4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Aus4Transport</w:t>
            </w:r>
          </w:p>
        </w:tc>
        <w:tc>
          <w:tcPr>
            <w:tcW w:w="1134" w:type="dxa"/>
            <w:shd w:val="clear" w:color="auto" w:fill="E0F3EF" w:themeFill="accent1" w:themeFillTint="33"/>
            <w:hideMark/>
          </w:tcPr>
          <w:p w14:paraId="67E44092" w14:textId="56275DB2" w:rsidR="00AC551D" w:rsidRPr="00A93740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202</w:t>
            </w:r>
            <w:r w:rsidR="00996FC8"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3A8E0478" w14:textId="5AB0DF82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754E4ADA" w14:textId="4E7B5A9D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579A968A" w14:textId="6D501173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</w:tr>
      <w:tr w:rsidR="00A8204F" w:rsidRPr="00A8204F" w14:paraId="2F1DE13E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E0F3EF" w:themeFill="accent1" w:themeFillTint="33"/>
            <w:hideMark/>
          </w:tcPr>
          <w:p w14:paraId="1E605139" w14:textId="4B679CB2" w:rsidR="00AC551D" w:rsidRPr="00A93740" w:rsidRDefault="00136CE3" w:rsidP="006B5503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Investment duration: 2016-24; Budget: $30.5m</w:t>
            </w:r>
          </w:p>
        </w:tc>
        <w:tc>
          <w:tcPr>
            <w:tcW w:w="1134" w:type="dxa"/>
            <w:shd w:val="clear" w:color="auto" w:fill="E0F3EF" w:themeFill="accent1" w:themeFillTint="33"/>
            <w:hideMark/>
          </w:tcPr>
          <w:p w14:paraId="7018BC30" w14:textId="6E8932AE" w:rsidR="00AC551D" w:rsidRPr="00A93740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202</w:t>
            </w:r>
            <w:r w:rsidR="00996FC8"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7FF87E63" w14:textId="67AB8E28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7B158D07" w14:textId="3B79939C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04D0497F" w14:textId="4220A3E9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</w:tr>
      <w:tr w:rsidR="00A8204F" w:rsidRPr="00A8204F" w14:paraId="1FF9A082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  <w:noWrap/>
            <w:vAlign w:val="bottom"/>
            <w:hideMark/>
          </w:tcPr>
          <w:p w14:paraId="2856E45D" w14:textId="48903649" w:rsidR="00AC551D" w:rsidRPr="00A93740" w:rsidRDefault="00391156" w:rsidP="00AF18F4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AU"/>
              </w:rPr>
              <w:t xml:space="preserve">Aus4Reform 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14:paraId="28837949" w14:textId="22B52C05" w:rsidR="00AC551D" w:rsidRPr="00A93740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202</w:t>
            </w:r>
            <w:r w:rsidR="00996FC8"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56D0B385" w14:textId="33BA4F81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1F83D288" w14:textId="0D88E2E8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1F305D63" w14:textId="577585FE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</w:tr>
      <w:tr w:rsidR="00A8204F" w:rsidRPr="00A8204F" w14:paraId="51634969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  <w:hideMark/>
          </w:tcPr>
          <w:p w14:paraId="468F61F5" w14:textId="228E3CCE" w:rsidR="00AC551D" w:rsidRPr="00A93740" w:rsidRDefault="00391156" w:rsidP="006B5503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Investment duration: 2017-25; Budget: $20.5m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14:paraId="05ADDFD4" w14:textId="4488F941" w:rsidR="00AC551D" w:rsidRPr="00A93740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202</w:t>
            </w:r>
            <w:r w:rsidR="00996FC8"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7A708A19" w14:textId="793CEC1F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4A6EE93A" w14:textId="313B503B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1BF6318F" w14:textId="4B81C1B9" w:rsidR="00AC551D" w:rsidRPr="00A93740" w:rsidRDefault="00685753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</w:tr>
      <w:tr w:rsidR="00A8204F" w:rsidRPr="00A8204F" w14:paraId="2E42B0D3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E0F3EF" w:themeFill="accent1" w:themeFillTint="33"/>
          </w:tcPr>
          <w:p w14:paraId="42C4FCF6" w14:textId="073F3D4F" w:rsidR="00B108D2" w:rsidRPr="00A93740" w:rsidRDefault="00B108D2" w:rsidP="00D76380">
            <w:pPr>
              <w:suppressAutoHyphens w:val="0"/>
              <w:spacing w:before="0"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374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Aus4Innovation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1A294502" w14:textId="01E94DB9" w:rsidR="00B108D2" w:rsidRPr="00A93740" w:rsidRDefault="00B108D2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2023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3C4916D3" w14:textId="6E57642F" w:rsidR="00B108D2" w:rsidRPr="00A93740" w:rsidRDefault="00B108D2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5AFD5FDD" w14:textId="29AB3ED6" w:rsidR="00B108D2" w:rsidRPr="00A93740" w:rsidRDefault="00B108D2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45537880" w14:textId="2996678B" w:rsidR="00B108D2" w:rsidRPr="00A93740" w:rsidRDefault="00B108D2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</w:tr>
      <w:tr w:rsidR="00A8204F" w:rsidRPr="00A8204F" w14:paraId="1DEE1D97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E0F3EF" w:themeFill="accent1" w:themeFillTint="33"/>
          </w:tcPr>
          <w:p w14:paraId="25E66EE2" w14:textId="21C9DD72" w:rsidR="00B108D2" w:rsidRPr="00A93740" w:rsidRDefault="00B108D2" w:rsidP="006B5503">
            <w:pPr>
              <w:suppressAutoHyphens w:val="0"/>
              <w:spacing w:before="0"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37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Investment duration: 2018-2028; Budget: $31.4m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1438966B" w14:textId="2D4029E9" w:rsidR="00B108D2" w:rsidRPr="00A93740" w:rsidRDefault="00E044F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2022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59EF30D4" w14:textId="1194A704" w:rsidR="00B108D2" w:rsidRPr="00A93740" w:rsidRDefault="00E044F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48312A6E" w14:textId="0ED7EFFD" w:rsidR="00B108D2" w:rsidRPr="00A93740" w:rsidRDefault="00E044F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213589A4" w14:textId="0D1E84D8" w:rsidR="00B108D2" w:rsidRPr="00A93740" w:rsidRDefault="00E044F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</w:tr>
      <w:tr w:rsidR="00A8204F" w:rsidRPr="00A8204F" w14:paraId="7600EF71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</w:tcPr>
          <w:p w14:paraId="4A59C798" w14:textId="482FFC54" w:rsidR="00391156" w:rsidRPr="00A93740" w:rsidRDefault="00391156" w:rsidP="00391156">
            <w:pPr>
              <w:suppressAutoHyphens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9374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</w:t>
            </w:r>
            <w:r w:rsidR="00685753" w:rsidRPr="00A9374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limination of Violence against Women and Children in Vietnam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4AE310" w14:textId="70ED65FD" w:rsidR="00391156" w:rsidRPr="00A93740" w:rsidRDefault="00391156" w:rsidP="00391156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2023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60F5DCA3" w14:textId="52A24574" w:rsidR="00391156" w:rsidRPr="00A93740" w:rsidRDefault="00685753" w:rsidP="00391156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531E54EC" w14:textId="364F475C" w:rsidR="00391156" w:rsidRPr="00A93740" w:rsidRDefault="00685753" w:rsidP="00391156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4DACB74D" w14:textId="1A71748F" w:rsidR="00391156" w:rsidRPr="00A93740" w:rsidRDefault="00685753" w:rsidP="00391156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</w:tr>
      <w:tr w:rsidR="00A8204F" w:rsidRPr="00A8204F" w14:paraId="125EDD81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</w:tcPr>
          <w:p w14:paraId="5363791C" w14:textId="6CC578CC" w:rsidR="00391156" w:rsidRPr="00A93740" w:rsidRDefault="00391156" w:rsidP="00391156">
            <w:pPr>
              <w:suppressAutoHyphens w:val="0"/>
              <w:spacing w:before="0"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37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Investment duration: 2021-25: Budget: $9.5m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A2A05F5" w14:textId="5E6E8827" w:rsidR="00391156" w:rsidRPr="00A93740" w:rsidRDefault="00391156" w:rsidP="00391156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2022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2933593A" w14:textId="4BF1AB53" w:rsidR="00391156" w:rsidRPr="00A93740" w:rsidRDefault="00685753" w:rsidP="00391156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31F2DC04" w14:textId="1146762F" w:rsidR="00391156" w:rsidRPr="00A93740" w:rsidRDefault="00685753" w:rsidP="00391156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4CEF460A" w14:textId="5730932F" w:rsidR="00391156" w:rsidRPr="00A93740" w:rsidRDefault="00685753" w:rsidP="00391156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</w:tr>
      <w:tr w:rsidR="00A8204F" w:rsidRPr="00A8204F" w14:paraId="017BF0A1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E0F3EF" w:themeFill="accent1" w:themeFillTint="33"/>
          </w:tcPr>
          <w:p w14:paraId="4319E9BD" w14:textId="3517AAE1" w:rsidR="00685753" w:rsidRPr="00A93740" w:rsidRDefault="00685753" w:rsidP="00685753">
            <w:pPr>
              <w:suppressAutoHyphens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9374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Supporting COVID-19 Vaccine Delivery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5428D266" w14:textId="6E45B610" w:rsidR="00685753" w:rsidRPr="00A93740" w:rsidRDefault="00685753" w:rsidP="00685753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2023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3D1C6B9F" w14:textId="7E4E58F8" w:rsidR="00685753" w:rsidRPr="00A93740" w:rsidRDefault="00FA3E91" w:rsidP="00685753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06598111" w14:textId="1EB820A6" w:rsidR="00685753" w:rsidRPr="00A93740" w:rsidRDefault="00FA3E91" w:rsidP="00685753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32B91589" w14:textId="18C95234" w:rsidR="00685753" w:rsidRPr="00A93740" w:rsidRDefault="00FA3E91" w:rsidP="00685753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3</w:t>
            </w:r>
          </w:p>
        </w:tc>
      </w:tr>
      <w:tr w:rsidR="00A8204F" w:rsidRPr="00A8204F" w14:paraId="0AAF7445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E0F3EF" w:themeFill="accent1" w:themeFillTint="33"/>
          </w:tcPr>
          <w:p w14:paraId="14E7FB80" w14:textId="6610DD5B" w:rsidR="00685753" w:rsidRPr="00A93740" w:rsidRDefault="00685753" w:rsidP="00685753">
            <w:pPr>
              <w:suppressAutoHyphens w:val="0"/>
              <w:spacing w:before="0"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37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Investment duration: 2021-23; Budget: $18.3m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22A81DDE" w14:textId="03666406" w:rsidR="00685753" w:rsidRPr="00A93740" w:rsidRDefault="00685753" w:rsidP="00685753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2022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268E8240" w14:textId="7D8B4F0F" w:rsidR="00685753" w:rsidRPr="00A93740" w:rsidRDefault="00685753" w:rsidP="00685753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4427985B" w14:textId="6464DC3F" w:rsidR="00685753" w:rsidRPr="00A93740" w:rsidRDefault="00685753" w:rsidP="00685753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3E0CC35C" w14:textId="0C624903" w:rsidR="00685753" w:rsidRPr="00A93740" w:rsidRDefault="00685753" w:rsidP="00685753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3</w:t>
            </w:r>
          </w:p>
        </w:tc>
      </w:tr>
      <w:tr w:rsidR="00A8204F" w:rsidRPr="00A8204F" w14:paraId="5FBD4F29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</w:tcPr>
          <w:p w14:paraId="274B2738" w14:textId="194218AE" w:rsidR="00685753" w:rsidRPr="00A93740" w:rsidRDefault="00685753" w:rsidP="00685753">
            <w:pPr>
              <w:suppressAutoHyphens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9374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Vietnam Private Sector Development Partnership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92C59FA" w14:textId="485D83A8" w:rsidR="00685753" w:rsidRPr="00A93740" w:rsidRDefault="00685753" w:rsidP="00685753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2023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05847C01" w14:textId="7E635CD1" w:rsidR="00685753" w:rsidRPr="00A93740" w:rsidRDefault="00FA3E91" w:rsidP="00685753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4695DDF9" w14:textId="44ECCC84" w:rsidR="00685753" w:rsidRPr="00A93740" w:rsidRDefault="00FA3E91" w:rsidP="00685753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7E71685A" w14:textId="4B6EB0E7" w:rsidR="00685753" w:rsidRPr="00A93740" w:rsidRDefault="00FA3E91" w:rsidP="00685753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4</w:t>
            </w:r>
          </w:p>
        </w:tc>
      </w:tr>
      <w:tr w:rsidR="00A8204F" w:rsidRPr="00A8204F" w14:paraId="17E795D1" w14:textId="77777777" w:rsidTr="47B6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</w:tcPr>
          <w:p w14:paraId="18AD6785" w14:textId="2599D1E7" w:rsidR="00685753" w:rsidRPr="00A93740" w:rsidRDefault="00685753" w:rsidP="00685753">
            <w:pPr>
              <w:suppressAutoHyphens w:val="0"/>
              <w:spacing w:before="0"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37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Investment duration: 2022-27: Budget: $15m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F6907FF" w14:textId="4690AAC2" w:rsidR="00685753" w:rsidRPr="00A93740" w:rsidRDefault="00685753" w:rsidP="00685753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2022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0B64A1B3" w14:textId="46E40EB5" w:rsidR="00685753" w:rsidRPr="00A93740" w:rsidRDefault="00685753" w:rsidP="00685753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n/a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2E9BFE42" w14:textId="509A6DDC" w:rsidR="00685753" w:rsidRPr="00A93740" w:rsidRDefault="00685753" w:rsidP="00685753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n/a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31760697" w14:textId="784C2605" w:rsidR="00685753" w:rsidRPr="00A93740" w:rsidRDefault="00685753" w:rsidP="00685753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A937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  <w:t>n/a</w:t>
            </w:r>
          </w:p>
        </w:tc>
      </w:tr>
    </w:tbl>
    <w:p w14:paraId="17600418" w14:textId="5EA41F23" w:rsidR="00681633" w:rsidRPr="00053B17" w:rsidRDefault="00681633" w:rsidP="00D20101">
      <w:pPr>
        <w:pStyle w:val="Heading4"/>
        <w:rPr>
          <w:rFonts w:eastAsia="Times New Roman"/>
        </w:rPr>
      </w:pPr>
      <w:r w:rsidRPr="00053B17">
        <w:rPr>
          <w:rFonts w:eastAsia="Times New Roman"/>
        </w:rPr>
        <w:t>Definitions of rating scale:</w:t>
      </w:r>
      <w:r w:rsidRPr="00053B17">
        <w:rPr>
          <w:rFonts w:eastAsia="Times New Roman"/>
        </w:rPr>
        <w:tab/>
      </w:r>
    </w:p>
    <w:p w14:paraId="5989C7B0" w14:textId="77777777" w:rsidR="00681633" w:rsidRPr="00053B17" w:rsidRDefault="00681633" w:rsidP="00681633">
      <w:pPr>
        <w:spacing w:before="20" w:after="20" w:line="180" w:lineRule="atLeast"/>
        <w:jc w:val="both"/>
        <w:rPr>
          <w:rFonts w:eastAsia="Times New Roman"/>
          <w:color w:val="auto"/>
          <w:sz w:val="17"/>
          <w:szCs w:val="17"/>
        </w:rPr>
      </w:pPr>
      <w:r w:rsidRPr="00053B17">
        <w:rPr>
          <w:rFonts w:eastAsia="Times New Roman"/>
          <w:color w:val="auto"/>
          <w:sz w:val="17"/>
          <w:szCs w:val="17"/>
          <w:u w:val="single"/>
        </w:rPr>
        <w:t>Satisfactory (4, 5 and 6)</w:t>
      </w:r>
    </w:p>
    <w:p w14:paraId="15BE82E8" w14:textId="77777777" w:rsidR="00681633" w:rsidRPr="00053B17" w:rsidRDefault="00681633" w:rsidP="00681633">
      <w:pPr>
        <w:spacing w:line="240" w:lineRule="auto"/>
        <w:rPr>
          <w:color w:val="auto"/>
          <w:sz w:val="16"/>
          <w:szCs w:val="16"/>
        </w:rPr>
      </w:pPr>
      <w:r w:rsidRPr="00053B17">
        <w:rPr>
          <w:color w:val="auto"/>
          <w:sz w:val="16"/>
          <w:szCs w:val="16"/>
        </w:rPr>
        <w:t xml:space="preserve">6 = Very good; satisfies criteria in all areas. </w:t>
      </w:r>
      <w:r w:rsidRPr="00053B17">
        <w:rPr>
          <w:color w:val="auto"/>
          <w:sz w:val="16"/>
          <w:szCs w:val="16"/>
        </w:rPr>
        <w:br/>
        <w:t>5 = Good; satisfies criteria in almost all areas.</w:t>
      </w:r>
      <w:r w:rsidRPr="00053B17">
        <w:rPr>
          <w:color w:val="auto"/>
          <w:sz w:val="16"/>
          <w:szCs w:val="16"/>
        </w:rPr>
        <w:br/>
        <w:t>4 = Adequate; on balance, satisfies criteria; does not fail in any major area.</w:t>
      </w:r>
    </w:p>
    <w:p w14:paraId="48B0BB33" w14:textId="77777777" w:rsidR="00681633" w:rsidRPr="00053B17" w:rsidRDefault="00681633" w:rsidP="00681633">
      <w:pPr>
        <w:spacing w:line="240" w:lineRule="auto"/>
        <w:rPr>
          <w:color w:val="auto"/>
          <w:sz w:val="16"/>
          <w:szCs w:val="16"/>
          <w:u w:val="single"/>
        </w:rPr>
      </w:pPr>
      <w:r w:rsidRPr="00053B17">
        <w:rPr>
          <w:color w:val="auto"/>
          <w:sz w:val="16"/>
          <w:szCs w:val="16"/>
          <w:u w:val="single"/>
        </w:rPr>
        <w:t>Less than satisfactory (1, 2 and 3)</w:t>
      </w:r>
    </w:p>
    <w:p w14:paraId="4DC45723" w14:textId="64C8CBA9" w:rsidR="00681633" w:rsidRPr="00053B17" w:rsidRDefault="00681633" w:rsidP="00AC38E0">
      <w:pPr>
        <w:spacing w:line="240" w:lineRule="auto"/>
        <w:contextualSpacing/>
        <w:rPr>
          <w:color w:val="auto"/>
          <w:sz w:val="16"/>
          <w:szCs w:val="16"/>
        </w:rPr>
      </w:pPr>
      <w:r w:rsidRPr="00053B17">
        <w:rPr>
          <w:color w:val="auto"/>
          <w:sz w:val="16"/>
          <w:szCs w:val="16"/>
        </w:rPr>
        <w:t>3 = Less than adequate; on balance does not satisfy criteria and/or fails in at least one major area.</w:t>
      </w:r>
      <w:r w:rsidRPr="00053B17">
        <w:rPr>
          <w:color w:val="auto"/>
          <w:sz w:val="16"/>
          <w:szCs w:val="16"/>
        </w:rPr>
        <w:br/>
        <w:t>2 = Poor; does not satisfy criteria in major areas.</w:t>
      </w:r>
      <w:r w:rsidR="00996FC8" w:rsidRPr="00053B17">
        <w:rPr>
          <w:color w:val="auto"/>
          <w:sz w:val="16"/>
          <w:szCs w:val="16"/>
        </w:rPr>
        <w:br/>
      </w:r>
      <w:r w:rsidRPr="00053B17">
        <w:rPr>
          <w:color w:val="auto"/>
          <w:sz w:val="16"/>
          <w:szCs w:val="16"/>
        </w:rPr>
        <w:t xml:space="preserve">1 = Very poor; does not satisfy criteria in many major </w:t>
      </w:r>
      <w:proofErr w:type="gramStart"/>
      <w:r w:rsidRPr="00053B17">
        <w:rPr>
          <w:color w:val="auto"/>
          <w:sz w:val="16"/>
          <w:szCs w:val="16"/>
        </w:rPr>
        <w:t>area</w:t>
      </w:r>
      <w:proofErr w:type="gramEnd"/>
      <w:r w:rsidRPr="00053B17">
        <w:rPr>
          <w:color w:val="auto"/>
        </w:rPr>
        <w:t>.</w:t>
      </w:r>
    </w:p>
    <w:sectPr w:rsidR="00681633" w:rsidRPr="00053B17" w:rsidSect="00363A9F">
      <w:pgSz w:w="11906" w:h="16838" w:code="9"/>
      <w:pgMar w:top="1559" w:right="680" w:bottom="1418" w:left="680" w:header="567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319B" w14:textId="77777777" w:rsidR="00AE1EA7" w:rsidRDefault="00AE1EA7" w:rsidP="00D37B04">
      <w:r>
        <w:separator/>
      </w:r>
    </w:p>
  </w:endnote>
  <w:endnote w:type="continuationSeparator" w:id="0">
    <w:p w14:paraId="1D634BDC" w14:textId="77777777" w:rsidR="00AE1EA7" w:rsidRDefault="00AE1EA7" w:rsidP="00D37B04">
      <w:r>
        <w:continuationSeparator/>
      </w:r>
    </w:p>
  </w:endnote>
  <w:endnote w:type="continuationNotice" w:id="1">
    <w:p w14:paraId="1AF3BF80" w14:textId="77777777" w:rsidR="00AE1EA7" w:rsidRDefault="00AE1EA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16136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36999" w14:textId="540F0069" w:rsidR="0005564F" w:rsidRDefault="0005564F">
        <w:pPr>
          <w:pStyle w:val="Footer"/>
          <w:jc w:val="center"/>
          <w:rPr>
            <w:color w:val="auto"/>
          </w:rPr>
        </w:pPr>
      </w:p>
      <w:p w14:paraId="10BB5A1F" w14:textId="79495BDB" w:rsidR="0005564F" w:rsidRDefault="0005564F">
        <w:pPr>
          <w:pStyle w:val="Footer"/>
          <w:jc w:val="center"/>
          <w:rPr>
            <w:color w:val="auto"/>
          </w:rPr>
        </w:pPr>
        <w:r>
          <w:rPr>
            <w:noProof/>
            <w:color w:val="auto"/>
          </w:rPr>
          <w:drawing>
            <wp:anchor distT="0" distB="0" distL="114300" distR="114300" simplePos="0" relativeHeight="251658240" behindDoc="1" locked="0" layoutInCell="1" allowOverlap="1" wp14:anchorId="0A9940EE" wp14:editId="4060A275">
              <wp:simplePos x="0" y="0"/>
              <wp:positionH relativeFrom="margin">
                <wp:align>left</wp:align>
              </wp:positionH>
              <wp:positionV relativeFrom="paragraph">
                <wp:posOffset>5163</wp:posOffset>
              </wp:positionV>
              <wp:extent cx="6629948" cy="357173"/>
              <wp:effectExtent l="0" t="0" r="0" b="5080"/>
              <wp:wrapNone/>
              <wp:docPr id="8" name="Pictur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4" name="Picture 28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9948" cy="3571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F66EFC2" w14:textId="15A3A4C4" w:rsidR="001D3DDD" w:rsidRPr="0042526D" w:rsidRDefault="001D3DDD">
        <w:pPr>
          <w:pStyle w:val="Footer"/>
          <w:jc w:val="center"/>
          <w:rPr>
            <w:noProof/>
            <w:color w:val="auto"/>
            <w:sz w:val="20"/>
            <w:szCs w:val="20"/>
          </w:rPr>
        </w:pPr>
        <w:r w:rsidRPr="0042526D">
          <w:rPr>
            <w:color w:val="auto"/>
            <w:sz w:val="20"/>
            <w:szCs w:val="20"/>
          </w:rPr>
          <w:fldChar w:fldCharType="begin"/>
        </w:r>
        <w:r w:rsidRPr="0042526D">
          <w:rPr>
            <w:color w:val="auto"/>
            <w:sz w:val="20"/>
            <w:szCs w:val="20"/>
          </w:rPr>
          <w:instrText xml:space="preserve"> PAGE   \* MERGEFORMAT </w:instrText>
        </w:r>
        <w:r w:rsidRPr="0042526D">
          <w:rPr>
            <w:color w:val="auto"/>
            <w:sz w:val="20"/>
            <w:szCs w:val="20"/>
          </w:rPr>
          <w:fldChar w:fldCharType="separate"/>
        </w:r>
        <w:r w:rsidRPr="0042526D">
          <w:rPr>
            <w:noProof/>
            <w:color w:val="auto"/>
            <w:sz w:val="20"/>
            <w:szCs w:val="20"/>
          </w:rPr>
          <w:t>2</w:t>
        </w:r>
        <w:r w:rsidRPr="0042526D">
          <w:rPr>
            <w:noProof/>
            <w:color w:val="auto"/>
            <w:sz w:val="20"/>
            <w:szCs w:val="20"/>
          </w:rPr>
          <w:fldChar w:fldCharType="end"/>
        </w:r>
      </w:p>
      <w:p w14:paraId="1E51B8D5" w14:textId="59F3CE97" w:rsidR="001D3DDD" w:rsidRPr="001D3DDD" w:rsidRDefault="00222D55" w:rsidP="0005564F">
        <w:pPr>
          <w:pStyle w:val="Footer"/>
          <w:spacing w:line="240" w:lineRule="auto"/>
          <w:jc w:val="center"/>
          <w:rPr>
            <w:color w:val="auto"/>
          </w:rPr>
        </w:pPr>
      </w:p>
    </w:sdtContent>
  </w:sdt>
  <w:p w14:paraId="3A729F02" w14:textId="519EAB54" w:rsidR="009131E9" w:rsidRDefault="009131E9" w:rsidP="009131E9">
    <w:pPr>
      <w:pStyle w:val="Footer"/>
      <w:spacing w:line="240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66CF" w14:textId="77777777" w:rsidR="00AE1EA7" w:rsidRPr="008C5A0E" w:rsidRDefault="00AE1EA7" w:rsidP="00D37B04">
      <w:pPr>
        <w:pStyle w:val="Footer"/>
      </w:pPr>
    </w:p>
  </w:footnote>
  <w:footnote w:type="continuationSeparator" w:id="0">
    <w:p w14:paraId="449975A1" w14:textId="77777777" w:rsidR="00AE1EA7" w:rsidRDefault="00AE1EA7" w:rsidP="00D37B04">
      <w:r>
        <w:continuationSeparator/>
      </w:r>
    </w:p>
  </w:footnote>
  <w:footnote w:type="continuationNotice" w:id="1">
    <w:p w14:paraId="675CB8DE" w14:textId="77777777" w:rsidR="00AE1EA7" w:rsidRDefault="00AE1EA7">
      <w:pPr>
        <w:spacing w:before="0" w:after="0" w:line="240" w:lineRule="auto"/>
      </w:pPr>
    </w:p>
  </w:footnote>
  <w:footnote w:id="2">
    <w:p w14:paraId="668A2286" w14:textId="20D840EF" w:rsidR="006E5D45" w:rsidRPr="00AE3203" w:rsidRDefault="006E5D45" w:rsidP="00AE3203">
      <w:pPr>
        <w:spacing w:before="0" w:after="0" w:line="259" w:lineRule="auto"/>
        <w:rPr>
          <w:rFonts w:cstheme="minorHAnsi"/>
          <w:sz w:val="12"/>
          <w:szCs w:val="12"/>
        </w:rPr>
      </w:pPr>
      <w:r w:rsidRPr="00AE3203">
        <w:rPr>
          <w:rFonts w:cstheme="minorHAnsi"/>
          <w:sz w:val="12"/>
          <w:szCs w:val="12"/>
        </w:rPr>
        <w:footnoteRef/>
      </w:r>
      <w:r w:rsidRPr="00AE3203">
        <w:rPr>
          <w:rFonts w:cstheme="minorHAnsi"/>
          <w:sz w:val="12"/>
          <w:szCs w:val="12"/>
        </w:rPr>
        <w:t xml:space="preserve"> Tier 2 Indicator: Evidence that partner countries have improved responses to health security threats: Note the Vietnam CRP indicator includes </w:t>
      </w:r>
      <w:proofErr w:type="gramStart"/>
      <w:r w:rsidRPr="00AE3203">
        <w:rPr>
          <w:rFonts w:cstheme="minorHAnsi"/>
          <w:sz w:val="12"/>
          <w:szCs w:val="12"/>
        </w:rPr>
        <w:t>a number of</w:t>
      </w:r>
      <w:proofErr w:type="gramEnd"/>
      <w:r w:rsidRPr="00AE3203">
        <w:rPr>
          <w:rFonts w:cstheme="minorHAnsi"/>
          <w:sz w:val="12"/>
          <w:szCs w:val="12"/>
        </w:rPr>
        <w:t xml:space="preserve"> other indicators in this </w:t>
      </w:r>
      <w:r w:rsidR="00B57A4E" w:rsidRPr="00AE3203">
        <w:rPr>
          <w:rFonts w:cstheme="minorHAnsi"/>
          <w:sz w:val="12"/>
          <w:szCs w:val="12"/>
        </w:rPr>
        <w:t>indicator.</w:t>
      </w:r>
      <w:r w:rsidRPr="00AE3203">
        <w:rPr>
          <w:rFonts w:cstheme="minorHAnsi"/>
          <w:sz w:val="12"/>
          <w:szCs w:val="12"/>
        </w:rPr>
        <w:t xml:space="preserve"> </w:t>
      </w:r>
    </w:p>
  </w:footnote>
  <w:footnote w:id="3">
    <w:p w14:paraId="2A0AE836" w14:textId="77777777" w:rsidR="006E5D45" w:rsidRPr="003E5F68" w:rsidRDefault="006E5D45" w:rsidP="006E5D45">
      <w:pPr>
        <w:pStyle w:val="FootnoteText"/>
        <w:numPr>
          <w:ilvl w:val="0"/>
          <w:numId w:val="35"/>
        </w:numPr>
        <w:suppressAutoHyphens w:val="0"/>
        <w:spacing w:before="0" w:line="259" w:lineRule="auto"/>
      </w:pPr>
      <w:r w:rsidRPr="00AE3203">
        <w:rPr>
          <w:rFonts w:cstheme="minorHAnsi"/>
          <w:szCs w:val="12"/>
        </w:rPr>
        <w:footnoteRef/>
      </w:r>
      <w:r w:rsidRPr="00AE3203">
        <w:rPr>
          <w:rFonts w:cstheme="minorHAnsi"/>
          <w:szCs w:val="12"/>
        </w:rPr>
        <w:t xml:space="preserve"> Tier 2 Indicator: Number of partner countries where Australia has contributed to strengthened health systems including preparedness for health emergencies (with examples).</w:t>
      </w:r>
    </w:p>
  </w:footnote>
  <w:footnote w:id="4">
    <w:p w14:paraId="0B4BB13A" w14:textId="77777777" w:rsidR="006E5D45" w:rsidRDefault="006E5D45" w:rsidP="006E5D45">
      <w:pPr>
        <w:pStyle w:val="FootnoteText"/>
        <w:numPr>
          <w:ilvl w:val="0"/>
          <w:numId w:val="35"/>
        </w:numPr>
        <w:suppressAutoHyphens w:val="0"/>
        <w:spacing w:before="0" w:line="259" w:lineRule="auto"/>
        <w:rPr>
          <w:rFonts w:ascii="Arial Narrow" w:hAnsi="Arial Narrow"/>
        </w:rPr>
      </w:pPr>
      <w:r w:rsidRPr="00AE3203">
        <w:rPr>
          <w:rStyle w:val="FootnoteReference"/>
        </w:rPr>
        <w:footnoteRef/>
      </w:r>
      <w:r w:rsidRPr="00AE3203">
        <w:t xml:space="preserve"> Tier 2 Indicator: Countries Australia has supported in last 12 months to strengthen governance systems (by type) (including examples of assistance provided and significant policy change achieved)</w:t>
      </w:r>
    </w:p>
  </w:footnote>
  <w:footnote w:id="5">
    <w:p w14:paraId="4AE95EEE" w14:textId="77777777" w:rsidR="006E5D45" w:rsidRPr="00AE3203" w:rsidRDefault="006E5D45" w:rsidP="006E5D45">
      <w:pPr>
        <w:pStyle w:val="FootnoteText"/>
        <w:numPr>
          <w:ilvl w:val="0"/>
          <w:numId w:val="35"/>
        </w:numPr>
        <w:suppressAutoHyphens w:val="0"/>
        <w:spacing w:before="0" w:line="260" w:lineRule="auto"/>
      </w:pPr>
      <w:r w:rsidRPr="003E5F68">
        <w:rPr>
          <w:rStyle w:val="FootnoteReference"/>
        </w:rPr>
        <w:footnoteRef/>
      </w:r>
      <w:r w:rsidRPr="003E5F68">
        <w:t xml:space="preserve"> </w:t>
      </w:r>
      <w:r w:rsidRPr="00AE3203">
        <w:t xml:space="preserve">Tier 2 Indicator: Number of women and </w:t>
      </w:r>
      <w:proofErr w:type="gramStart"/>
      <w:r w:rsidRPr="00AE3203">
        <w:t>girls</w:t>
      </w:r>
      <w:proofErr w:type="gramEnd"/>
      <w:r w:rsidRPr="00AE3203">
        <w:t xml:space="preserve"> survivors of violence receiving services such as counselling</w:t>
      </w:r>
    </w:p>
  </w:footnote>
  <w:footnote w:id="6">
    <w:p w14:paraId="6AE5F52E" w14:textId="77777777" w:rsidR="006E5D45" w:rsidRPr="00AE3203" w:rsidRDefault="006E5D45" w:rsidP="006E5D45">
      <w:pPr>
        <w:pStyle w:val="FootnoteText"/>
        <w:numPr>
          <w:ilvl w:val="0"/>
          <w:numId w:val="35"/>
        </w:numPr>
        <w:suppressAutoHyphens w:val="0"/>
        <w:spacing w:before="0" w:line="260" w:lineRule="auto"/>
      </w:pPr>
      <w:r w:rsidRPr="003E5F68">
        <w:rPr>
          <w:rStyle w:val="FootnoteReference"/>
        </w:rPr>
        <w:footnoteRef/>
      </w:r>
      <w:r w:rsidRPr="003E5F68">
        <w:t xml:space="preserve"> </w:t>
      </w:r>
      <w:r w:rsidRPr="00AE3203">
        <w:t xml:space="preserve">Tier 2 indicator: Countries Australia has supported in the last 12 months with policy and technical advice on building capacity for food </w:t>
      </w:r>
      <w:proofErr w:type="gramStart"/>
      <w:r w:rsidRPr="00AE3203">
        <w:t>security</w:t>
      </w:r>
      <w:proofErr w:type="gramEnd"/>
    </w:p>
  </w:footnote>
  <w:footnote w:id="7">
    <w:p w14:paraId="0A9CA0C3" w14:textId="77777777" w:rsidR="006E5D45" w:rsidRDefault="006E5D45" w:rsidP="006E5D45">
      <w:pPr>
        <w:pStyle w:val="FootnoteText"/>
        <w:numPr>
          <w:ilvl w:val="0"/>
          <w:numId w:val="35"/>
        </w:numPr>
        <w:suppressAutoHyphens w:val="0"/>
        <w:spacing w:before="0" w:line="260" w:lineRule="auto"/>
        <w:rPr>
          <w:rFonts w:ascii="Arial Narrow" w:hAnsi="Arial Narrow"/>
        </w:rPr>
      </w:pPr>
      <w:r w:rsidRPr="00AE3203">
        <w:rPr>
          <w:rStyle w:val="FootnoteReference"/>
        </w:rPr>
        <w:footnoteRef/>
      </w:r>
      <w:r w:rsidRPr="00AE3203">
        <w:t xml:space="preserve"> Tier 2 indicator: Countries Australia has supported in the last 12 months with policy and technical advice on stimulus measures and longer-term economic recovery (including examples of assistance provided and results achieved)</w:t>
      </w:r>
    </w:p>
  </w:footnote>
  <w:footnote w:id="8">
    <w:p w14:paraId="60B4F855" w14:textId="77777777" w:rsidR="006E5D45" w:rsidRPr="000B67B0" w:rsidRDefault="006E5D45" w:rsidP="006E5D45">
      <w:pPr>
        <w:pStyle w:val="FootnoteText"/>
        <w:numPr>
          <w:ilvl w:val="0"/>
          <w:numId w:val="35"/>
        </w:numPr>
        <w:suppressAutoHyphens w:val="0"/>
        <w:spacing w:before="0" w:line="260" w:lineRule="auto"/>
        <w:rPr>
          <w:rFonts w:cstheme="minorHAnsi"/>
        </w:rPr>
      </w:pPr>
      <w:r w:rsidRPr="00AE3203">
        <w:rPr>
          <w:rStyle w:val="FootnoteReference"/>
        </w:rPr>
        <w:footnoteRef/>
      </w:r>
      <w:r w:rsidRPr="00AE3203">
        <w:t xml:space="preserve"> </w:t>
      </w:r>
      <w:r w:rsidRPr="000B67B0">
        <w:rPr>
          <w:rFonts w:cstheme="minorHAnsi"/>
        </w:rPr>
        <w:t xml:space="preserve">Tier 2 indicator: Number of female entrepreneurs provided with financial and/or business development </w:t>
      </w:r>
      <w:proofErr w:type="gramStart"/>
      <w:r w:rsidRPr="000B67B0">
        <w:rPr>
          <w:rFonts w:cstheme="minorHAnsi"/>
        </w:rPr>
        <w:t>services</w:t>
      </w:r>
      <w:proofErr w:type="gramEnd"/>
    </w:p>
  </w:footnote>
  <w:footnote w:id="9">
    <w:p w14:paraId="484FCCBB" w14:textId="77777777" w:rsidR="006E5D45" w:rsidRDefault="006E5D45" w:rsidP="006E5D45">
      <w:pPr>
        <w:pStyle w:val="FootnoteText"/>
        <w:numPr>
          <w:ilvl w:val="0"/>
          <w:numId w:val="35"/>
        </w:numPr>
        <w:suppressAutoHyphens w:val="0"/>
        <w:spacing w:before="0" w:line="240" w:lineRule="auto"/>
        <w:rPr>
          <w:rFonts w:ascii="Arial Narrow" w:hAnsi="Arial Narrow"/>
        </w:rPr>
      </w:pPr>
      <w:r w:rsidRPr="000B67B0">
        <w:rPr>
          <w:rStyle w:val="FootnoteReference"/>
          <w:rFonts w:cstheme="minorHAnsi"/>
        </w:rPr>
        <w:footnoteRef/>
      </w:r>
      <w:r w:rsidRPr="000B67B0">
        <w:rPr>
          <w:rFonts w:cstheme="minorHAnsi"/>
        </w:rPr>
        <w:t xml:space="preserve"> Tier 2 indicator: Examples of partnering with the private sector and other partners to ensure supply lines are </w:t>
      </w:r>
      <w:proofErr w:type="gramStart"/>
      <w:r w:rsidRPr="000B67B0">
        <w:rPr>
          <w:rFonts w:cstheme="minorHAnsi"/>
        </w:rPr>
        <w:t>open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7E92" w14:textId="4CFCB8E8" w:rsidR="009131E9" w:rsidRDefault="009131E9" w:rsidP="007A4493">
    <w:pPr>
      <w:pStyle w:val="Header"/>
      <w:ind w:left="0"/>
    </w:pPr>
    <w:r w:rsidRPr="00A12B40">
      <w:rPr>
        <w:i/>
        <w:noProof/>
        <w:lang w:val="en-AU" w:eastAsia="en-AU"/>
      </w:rPr>
      <w:drawing>
        <wp:inline distT="0" distB="0" distL="0" distR="0" wp14:anchorId="7248A92F" wp14:editId="7CBD7E78">
          <wp:extent cx="6718853" cy="707390"/>
          <wp:effectExtent l="0" t="0" r="6350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-Aqua-Head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267" cy="71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2A5E" w14:textId="483FCFE4" w:rsidR="00920854" w:rsidRDefault="009131E9" w:rsidP="001F7F4D">
    <w:pPr>
      <w:pStyle w:val="Header"/>
      <w:spacing w:after="240"/>
      <w:ind w:left="0"/>
    </w:pPr>
    <w:r>
      <w:rPr>
        <w:noProof/>
      </w:rPr>
      <w:drawing>
        <wp:inline distT="0" distB="0" distL="0" distR="0" wp14:anchorId="53173A37" wp14:editId="3D212865">
          <wp:extent cx="6696075" cy="1247775"/>
          <wp:effectExtent l="0" t="0" r="9525" b="9525"/>
          <wp:docPr id="9" name="Picture 9" descr="Australian Government DFAT logo and Australian 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 descr="Australian Government DFAT logo and Australian 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92AB9" w14:textId="77777777" w:rsidR="00920854" w:rsidRPr="00943730" w:rsidRDefault="00920854" w:rsidP="008C6149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1548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604F3"/>
    <w:multiLevelType w:val="hybridMultilevel"/>
    <w:tmpl w:val="36C69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29FC2"/>
    <w:multiLevelType w:val="hybridMultilevel"/>
    <w:tmpl w:val="3CCE1D7A"/>
    <w:lvl w:ilvl="0" w:tplc="3C3ADE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8C2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CB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20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01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88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07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A7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67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0DF06AC3"/>
    <w:multiLevelType w:val="hybridMultilevel"/>
    <w:tmpl w:val="CFC098A4"/>
    <w:lvl w:ilvl="0" w:tplc="B7968C8E"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1E8A4774"/>
    <w:multiLevelType w:val="hybridMultilevel"/>
    <w:tmpl w:val="80CA63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548BC"/>
    <w:multiLevelType w:val="hybridMultilevel"/>
    <w:tmpl w:val="26D04D08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559EC"/>
    <w:multiLevelType w:val="multilevel"/>
    <w:tmpl w:val="C920726E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hAnsiTheme="minorHAnsi" w:cs="Times New Roman" w:hint="default"/>
        <w:color w:val="65C5B4" w:themeColor="accent1"/>
      </w:rPr>
    </w:lvl>
    <w:lvl w:ilvl="2">
      <w:start w:val="1"/>
      <w:numFmt w:val="lowerLetter"/>
      <w:lvlText w:val="%3."/>
      <w:lvlJc w:val="left"/>
      <w:pPr>
        <w:ind w:left="864" w:hanging="432"/>
      </w:pPr>
      <w:rPr>
        <w:rFonts w:asciiTheme="minorHAnsi" w:hAnsiTheme="minorHAnsi" w:cs="Times New Roman" w:hint="default"/>
        <w:color w:val="D3875F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02461B"/>
    <w:multiLevelType w:val="hybridMultilevel"/>
    <w:tmpl w:val="80BC41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34043246"/>
    <w:multiLevelType w:val="hybridMultilevel"/>
    <w:tmpl w:val="C0146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10911"/>
    <w:multiLevelType w:val="hybridMultilevel"/>
    <w:tmpl w:val="12BC3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132CE"/>
    <w:multiLevelType w:val="multilevel"/>
    <w:tmpl w:val="3B7A10DE"/>
    <w:numStyleLink w:val="BulletsList"/>
  </w:abstractNum>
  <w:abstractNum w:abstractNumId="14" w15:restartNumberingAfterBreak="0">
    <w:nsid w:val="3A854A3D"/>
    <w:multiLevelType w:val="hybridMultilevel"/>
    <w:tmpl w:val="B8BED28E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512C0"/>
    <w:multiLevelType w:val="hybridMultilevel"/>
    <w:tmpl w:val="0372A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92F75"/>
    <w:multiLevelType w:val="hybridMultilevel"/>
    <w:tmpl w:val="B00E78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DF0A07"/>
    <w:multiLevelType w:val="hybridMultilevel"/>
    <w:tmpl w:val="B7E0A20E"/>
    <w:lvl w:ilvl="0" w:tplc="C2B656C8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A148B"/>
    <w:multiLevelType w:val="hybridMultilevel"/>
    <w:tmpl w:val="FC90C7DA"/>
    <w:lvl w:ilvl="0" w:tplc="59463C12">
      <w:start w:val="6"/>
      <w:numFmt w:val="bullet"/>
      <w:lvlText w:val="-"/>
      <w:lvlJc w:val="left"/>
      <w:pPr>
        <w:ind w:left="26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19" w15:restartNumberingAfterBreak="0">
    <w:nsid w:val="484F50B2"/>
    <w:multiLevelType w:val="hybridMultilevel"/>
    <w:tmpl w:val="ED440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02377"/>
    <w:multiLevelType w:val="hybridMultilevel"/>
    <w:tmpl w:val="66A68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669A6"/>
    <w:multiLevelType w:val="hybridMultilevel"/>
    <w:tmpl w:val="96EC6980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51100950"/>
    <w:multiLevelType w:val="hybridMultilevel"/>
    <w:tmpl w:val="0686927C"/>
    <w:lvl w:ilvl="0" w:tplc="0C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A93951"/>
    <w:multiLevelType w:val="hybridMultilevel"/>
    <w:tmpl w:val="161EE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5" w15:restartNumberingAfterBreak="0">
    <w:nsid w:val="5BD54DA3"/>
    <w:multiLevelType w:val="hybridMultilevel"/>
    <w:tmpl w:val="4A145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D667C"/>
    <w:multiLevelType w:val="hybridMultilevel"/>
    <w:tmpl w:val="ED2C4C28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7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8" w15:restartNumberingAfterBreak="0">
    <w:nsid w:val="60DC3033"/>
    <w:multiLevelType w:val="hybridMultilevel"/>
    <w:tmpl w:val="9D040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B8BA8"/>
    <w:multiLevelType w:val="hybridMultilevel"/>
    <w:tmpl w:val="1E3C6EAE"/>
    <w:lvl w:ilvl="0" w:tplc="7840A5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A4B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88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C3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21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AA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07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EF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A7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357A9"/>
    <w:multiLevelType w:val="hybridMultilevel"/>
    <w:tmpl w:val="9664113C"/>
    <w:lvl w:ilvl="0" w:tplc="B08A2B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3EE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A3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68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22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84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06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C7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122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81736"/>
    <w:multiLevelType w:val="hybridMultilevel"/>
    <w:tmpl w:val="5FA847FC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679BB"/>
    <w:multiLevelType w:val="hybridMultilevel"/>
    <w:tmpl w:val="80582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C5D79"/>
    <w:multiLevelType w:val="hybridMultilevel"/>
    <w:tmpl w:val="D714D16E"/>
    <w:lvl w:ilvl="0" w:tplc="DF22A0BC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763EB"/>
    <w:multiLevelType w:val="hybridMultilevel"/>
    <w:tmpl w:val="1346E5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04C47E"/>
    <w:multiLevelType w:val="hybridMultilevel"/>
    <w:tmpl w:val="4B8EFF96"/>
    <w:lvl w:ilvl="0" w:tplc="D0481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A02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A5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09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46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92A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0D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E9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E4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07305"/>
    <w:multiLevelType w:val="multilevel"/>
    <w:tmpl w:val="3B7A10DE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7" w15:restartNumberingAfterBreak="0">
    <w:nsid w:val="73166602"/>
    <w:multiLevelType w:val="hybridMultilevel"/>
    <w:tmpl w:val="71381298"/>
    <w:lvl w:ilvl="0" w:tplc="59463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57496"/>
    <w:multiLevelType w:val="hybridMultilevel"/>
    <w:tmpl w:val="F5044486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" w15:restartNumberingAfterBreak="0">
    <w:nsid w:val="74BE7A65"/>
    <w:multiLevelType w:val="hybridMultilevel"/>
    <w:tmpl w:val="A4D4C220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9EC726E"/>
    <w:multiLevelType w:val="hybridMultilevel"/>
    <w:tmpl w:val="BD200B18"/>
    <w:lvl w:ilvl="0" w:tplc="D9B240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66C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2A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C3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64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10E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80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B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20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D33EF"/>
    <w:multiLevelType w:val="hybridMultilevel"/>
    <w:tmpl w:val="0AC2FD7E"/>
    <w:lvl w:ilvl="0" w:tplc="84F409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36612"/>
    <w:multiLevelType w:val="hybridMultilevel"/>
    <w:tmpl w:val="81F86768"/>
    <w:lvl w:ilvl="0" w:tplc="853A88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E66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46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68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02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45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C1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4D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CB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244929">
    <w:abstractNumId w:val="2"/>
  </w:num>
  <w:num w:numId="2" w16cid:durableId="1271476246">
    <w:abstractNumId w:val="30"/>
  </w:num>
  <w:num w:numId="3" w16cid:durableId="691034641">
    <w:abstractNumId w:val="35"/>
  </w:num>
  <w:num w:numId="4" w16cid:durableId="839081132">
    <w:abstractNumId w:val="43"/>
  </w:num>
  <w:num w:numId="5" w16cid:durableId="448087656">
    <w:abstractNumId w:val="29"/>
  </w:num>
  <w:num w:numId="6" w16cid:durableId="1423139090">
    <w:abstractNumId w:val="41"/>
  </w:num>
  <w:num w:numId="7" w16cid:durableId="920918544">
    <w:abstractNumId w:val="36"/>
  </w:num>
  <w:num w:numId="8" w16cid:durableId="1687172131">
    <w:abstractNumId w:val="3"/>
  </w:num>
  <w:num w:numId="9" w16cid:durableId="533735419">
    <w:abstractNumId w:val="10"/>
  </w:num>
  <w:num w:numId="10" w16cid:durableId="1874683978">
    <w:abstractNumId w:val="24"/>
  </w:num>
  <w:num w:numId="11" w16cid:durableId="511721748">
    <w:abstractNumId w:val="27"/>
  </w:num>
  <w:num w:numId="12" w16cid:durableId="420830548">
    <w:abstractNumId w:val="10"/>
  </w:num>
  <w:num w:numId="13" w16cid:durableId="598490419">
    <w:abstractNumId w:val="3"/>
  </w:num>
  <w:num w:numId="14" w16cid:durableId="496924754">
    <w:abstractNumId w:val="5"/>
  </w:num>
  <w:num w:numId="15" w16cid:durableId="1452478102">
    <w:abstractNumId w:val="40"/>
  </w:num>
  <w:num w:numId="16" w16cid:durableId="1756391090">
    <w:abstractNumId w:val="13"/>
  </w:num>
  <w:num w:numId="17" w16cid:durableId="1188132894">
    <w:abstractNumId w:val="21"/>
  </w:num>
  <w:num w:numId="18" w16cid:durableId="327633182">
    <w:abstractNumId w:val="22"/>
  </w:num>
  <w:num w:numId="19" w16cid:durableId="1828666030">
    <w:abstractNumId w:val="0"/>
  </w:num>
  <w:num w:numId="20" w16cid:durableId="1249995747">
    <w:abstractNumId w:val="18"/>
  </w:num>
  <w:num w:numId="21" w16cid:durableId="802574983">
    <w:abstractNumId w:val="25"/>
  </w:num>
  <w:num w:numId="22" w16cid:durableId="1117916950">
    <w:abstractNumId w:val="31"/>
  </w:num>
  <w:num w:numId="23" w16cid:durableId="804469779">
    <w:abstractNumId w:val="7"/>
  </w:num>
  <w:num w:numId="24" w16cid:durableId="2145348267">
    <w:abstractNumId w:val="26"/>
  </w:num>
  <w:num w:numId="25" w16cid:durableId="1475951837">
    <w:abstractNumId w:val="39"/>
  </w:num>
  <w:num w:numId="26" w16cid:durableId="1506164704">
    <w:abstractNumId w:val="15"/>
  </w:num>
  <w:num w:numId="27" w16cid:durableId="1033262809">
    <w:abstractNumId w:val="37"/>
  </w:num>
  <w:num w:numId="28" w16cid:durableId="1407612220">
    <w:abstractNumId w:val="14"/>
  </w:num>
  <w:num w:numId="29" w16cid:durableId="2007978917">
    <w:abstractNumId w:val="4"/>
  </w:num>
  <w:num w:numId="30" w16cid:durableId="1610694681">
    <w:abstractNumId w:val="33"/>
  </w:num>
  <w:num w:numId="31" w16cid:durableId="1320111193">
    <w:abstractNumId w:val="42"/>
  </w:num>
  <w:num w:numId="32" w16cid:durableId="1635603485">
    <w:abstractNumId w:val="17"/>
  </w:num>
  <w:num w:numId="33" w16cid:durableId="1320620031">
    <w:abstractNumId w:val="28"/>
  </w:num>
  <w:num w:numId="34" w16cid:durableId="823814915">
    <w:abstractNumId w:val="32"/>
  </w:num>
  <w:num w:numId="35" w16cid:durableId="1006900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0028277">
    <w:abstractNumId w:val="6"/>
  </w:num>
  <w:num w:numId="37" w16cid:durableId="1181627496">
    <w:abstractNumId w:val="9"/>
  </w:num>
  <w:num w:numId="38" w16cid:durableId="1982422237">
    <w:abstractNumId w:val="16"/>
  </w:num>
  <w:num w:numId="39" w16cid:durableId="1763260405">
    <w:abstractNumId w:val="1"/>
  </w:num>
  <w:num w:numId="40" w16cid:durableId="192964366">
    <w:abstractNumId w:val="20"/>
  </w:num>
  <w:num w:numId="41" w16cid:durableId="167332757">
    <w:abstractNumId w:val="23"/>
  </w:num>
  <w:num w:numId="42" w16cid:durableId="2003926336">
    <w:abstractNumId w:val="11"/>
  </w:num>
  <w:num w:numId="43" w16cid:durableId="141385221">
    <w:abstractNumId w:val="12"/>
  </w:num>
  <w:num w:numId="44" w16cid:durableId="1179857448">
    <w:abstractNumId w:val="38"/>
  </w:num>
  <w:num w:numId="45" w16cid:durableId="2066756016">
    <w:abstractNumId w:val="34"/>
  </w:num>
  <w:num w:numId="46" w16cid:durableId="151973037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58"/>
    <w:rsid w:val="000005F0"/>
    <w:rsid w:val="00001CFB"/>
    <w:rsid w:val="00001DA8"/>
    <w:rsid w:val="000020C1"/>
    <w:rsid w:val="00010006"/>
    <w:rsid w:val="00011235"/>
    <w:rsid w:val="00011AEF"/>
    <w:rsid w:val="00015AB7"/>
    <w:rsid w:val="00015DC0"/>
    <w:rsid w:val="0002080A"/>
    <w:rsid w:val="000238EB"/>
    <w:rsid w:val="0002782F"/>
    <w:rsid w:val="00031486"/>
    <w:rsid w:val="000314BA"/>
    <w:rsid w:val="00031A6B"/>
    <w:rsid w:val="00031AFE"/>
    <w:rsid w:val="00035BBF"/>
    <w:rsid w:val="00035CBC"/>
    <w:rsid w:val="00035DDB"/>
    <w:rsid w:val="000417C3"/>
    <w:rsid w:val="00041CA8"/>
    <w:rsid w:val="0004243D"/>
    <w:rsid w:val="000444F3"/>
    <w:rsid w:val="0004495C"/>
    <w:rsid w:val="00047032"/>
    <w:rsid w:val="000473DE"/>
    <w:rsid w:val="00050806"/>
    <w:rsid w:val="00051903"/>
    <w:rsid w:val="00051F3B"/>
    <w:rsid w:val="000534B3"/>
    <w:rsid w:val="00053B17"/>
    <w:rsid w:val="0005417C"/>
    <w:rsid w:val="000546D2"/>
    <w:rsid w:val="000546D9"/>
    <w:rsid w:val="00054E4D"/>
    <w:rsid w:val="0005564F"/>
    <w:rsid w:val="00055880"/>
    <w:rsid w:val="00056F24"/>
    <w:rsid w:val="00060073"/>
    <w:rsid w:val="000616C6"/>
    <w:rsid w:val="000663FE"/>
    <w:rsid w:val="000822AD"/>
    <w:rsid w:val="000854FD"/>
    <w:rsid w:val="0009173F"/>
    <w:rsid w:val="00094EE3"/>
    <w:rsid w:val="0009676B"/>
    <w:rsid w:val="000A39DD"/>
    <w:rsid w:val="000A407E"/>
    <w:rsid w:val="000A6CE7"/>
    <w:rsid w:val="000A7826"/>
    <w:rsid w:val="000B37F5"/>
    <w:rsid w:val="000B40E9"/>
    <w:rsid w:val="000B5DA7"/>
    <w:rsid w:val="000B78E6"/>
    <w:rsid w:val="000C3A4C"/>
    <w:rsid w:val="000C4411"/>
    <w:rsid w:val="000D003A"/>
    <w:rsid w:val="000D0EFC"/>
    <w:rsid w:val="000D2896"/>
    <w:rsid w:val="000D45F1"/>
    <w:rsid w:val="000D66D6"/>
    <w:rsid w:val="000E1045"/>
    <w:rsid w:val="000E136F"/>
    <w:rsid w:val="000E58BF"/>
    <w:rsid w:val="000E6C44"/>
    <w:rsid w:val="000E7260"/>
    <w:rsid w:val="000F1286"/>
    <w:rsid w:val="000F2600"/>
    <w:rsid w:val="000F3CD9"/>
    <w:rsid w:val="000F78C9"/>
    <w:rsid w:val="00100347"/>
    <w:rsid w:val="0011011B"/>
    <w:rsid w:val="00113288"/>
    <w:rsid w:val="0011475A"/>
    <w:rsid w:val="00115600"/>
    <w:rsid w:val="00116E9F"/>
    <w:rsid w:val="001203A0"/>
    <w:rsid w:val="001214BE"/>
    <w:rsid w:val="0012165D"/>
    <w:rsid w:val="00121DDD"/>
    <w:rsid w:val="001227F1"/>
    <w:rsid w:val="00127498"/>
    <w:rsid w:val="00130AE6"/>
    <w:rsid w:val="0013101C"/>
    <w:rsid w:val="0013385F"/>
    <w:rsid w:val="001346ED"/>
    <w:rsid w:val="00134AEA"/>
    <w:rsid w:val="00136CE3"/>
    <w:rsid w:val="00137111"/>
    <w:rsid w:val="00137F4E"/>
    <w:rsid w:val="001461D6"/>
    <w:rsid w:val="0014633F"/>
    <w:rsid w:val="00146E07"/>
    <w:rsid w:val="001541EA"/>
    <w:rsid w:val="00155D06"/>
    <w:rsid w:val="0016223D"/>
    <w:rsid w:val="00162243"/>
    <w:rsid w:val="00163DB1"/>
    <w:rsid w:val="00166032"/>
    <w:rsid w:val="001662F8"/>
    <w:rsid w:val="001841C8"/>
    <w:rsid w:val="00185D7D"/>
    <w:rsid w:val="00186B4B"/>
    <w:rsid w:val="00193C49"/>
    <w:rsid w:val="001A3370"/>
    <w:rsid w:val="001A4859"/>
    <w:rsid w:val="001A51EE"/>
    <w:rsid w:val="001A7815"/>
    <w:rsid w:val="001B20EB"/>
    <w:rsid w:val="001B6CCB"/>
    <w:rsid w:val="001B78DA"/>
    <w:rsid w:val="001C14F4"/>
    <w:rsid w:val="001C1F11"/>
    <w:rsid w:val="001C483F"/>
    <w:rsid w:val="001C72C5"/>
    <w:rsid w:val="001D1A8F"/>
    <w:rsid w:val="001D3C68"/>
    <w:rsid w:val="001D3C98"/>
    <w:rsid w:val="001D3DCA"/>
    <w:rsid w:val="001D3DDD"/>
    <w:rsid w:val="001D4091"/>
    <w:rsid w:val="001D415F"/>
    <w:rsid w:val="001D663E"/>
    <w:rsid w:val="001E03BE"/>
    <w:rsid w:val="001E1DC0"/>
    <w:rsid w:val="001E563B"/>
    <w:rsid w:val="001E5E91"/>
    <w:rsid w:val="001E6D20"/>
    <w:rsid w:val="001F102E"/>
    <w:rsid w:val="001F16E7"/>
    <w:rsid w:val="001F63EC"/>
    <w:rsid w:val="001F6A03"/>
    <w:rsid w:val="001F7A8B"/>
    <w:rsid w:val="001F7F4D"/>
    <w:rsid w:val="00204071"/>
    <w:rsid w:val="00213115"/>
    <w:rsid w:val="00213C1B"/>
    <w:rsid w:val="00216C55"/>
    <w:rsid w:val="00222D55"/>
    <w:rsid w:val="002231BD"/>
    <w:rsid w:val="00224870"/>
    <w:rsid w:val="00225355"/>
    <w:rsid w:val="002270F7"/>
    <w:rsid w:val="0022754A"/>
    <w:rsid w:val="0022790D"/>
    <w:rsid w:val="002404E8"/>
    <w:rsid w:val="00240606"/>
    <w:rsid w:val="00242082"/>
    <w:rsid w:val="00244229"/>
    <w:rsid w:val="002443C7"/>
    <w:rsid w:val="00247365"/>
    <w:rsid w:val="00255F45"/>
    <w:rsid w:val="00260519"/>
    <w:rsid w:val="00261565"/>
    <w:rsid w:val="00263032"/>
    <w:rsid w:val="00270C70"/>
    <w:rsid w:val="002721B5"/>
    <w:rsid w:val="0027606D"/>
    <w:rsid w:val="00276D40"/>
    <w:rsid w:val="00277728"/>
    <w:rsid w:val="002821CF"/>
    <w:rsid w:val="0028602A"/>
    <w:rsid w:val="002912E4"/>
    <w:rsid w:val="002945C4"/>
    <w:rsid w:val="00294FD0"/>
    <w:rsid w:val="0029663F"/>
    <w:rsid w:val="00297258"/>
    <w:rsid w:val="00297FD1"/>
    <w:rsid w:val="002A393E"/>
    <w:rsid w:val="002B3381"/>
    <w:rsid w:val="002B5E10"/>
    <w:rsid w:val="002C793D"/>
    <w:rsid w:val="002D2253"/>
    <w:rsid w:val="002D25D9"/>
    <w:rsid w:val="002D35C9"/>
    <w:rsid w:val="002D4108"/>
    <w:rsid w:val="002D430F"/>
    <w:rsid w:val="002D5B25"/>
    <w:rsid w:val="002D626F"/>
    <w:rsid w:val="002E2566"/>
    <w:rsid w:val="002E2AF4"/>
    <w:rsid w:val="002E38B2"/>
    <w:rsid w:val="002E500A"/>
    <w:rsid w:val="002F03FB"/>
    <w:rsid w:val="002F0903"/>
    <w:rsid w:val="002F3C12"/>
    <w:rsid w:val="002F4F2B"/>
    <w:rsid w:val="002F6581"/>
    <w:rsid w:val="002F67AE"/>
    <w:rsid w:val="003002C0"/>
    <w:rsid w:val="00300FBA"/>
    <w:rsid w:val="00301144"/>
    <w:rsid w:val="003030A4"/>
    <w:rsid w:val="003031C6"/>
    <w:rsid w:val="00304984"/>
    <w:rsid w:val="00305137"/>
    <w:rsid w:val="00311946"/>
    <w:rsid w:val="00312BF8"/>
    <w:rsid w:val="003148B7"/>
    <w:rsid w:val="003158C3"/>
    <w:rsid w:val="00320DC8"/>
    <w:rsid w:val="00322633"/>
    <w:rsid w:val="00325C0A"/>
    <w:rsid w:val="003274CD"/>
    <w:rsid w:val="003275AF"/>
    <w:rsid w:val="00333501"/>
    <w:rsid w:val="00335F35"/>
    <w:rsid w:val="003406AF"/>
    <w:rsid w:val="00341BC6"/>
    <w:rsid w:val="003437B2"/>
    <w:rsid w:val="003457C4"/>
    <w:rsid w:val="0035119D"/>
    <w:rsid w:val="003535F8"/>
    <w:rsid w:val="00354641"/>
    <w:rsid w:val="0035532B"/>
    <w:rsid w:val="003622C1"/>
    <w:rsid w:val="00363A9F"/>
    <w:rsid w:val="003664FE"/>
    <w:rsid w:val="003665AC"/>
    <w:rsid w:val="003707F3"/>
    <w:rsid w:val="003733B9"/>
    <w:rsid w:val="00375673"/>
    <w:rsid w:val="00375D23"/>
    <w:rsid w:val="003806FE"/>
    <w:rsid w:val="00382CE7"/>
    <w:rsid w:val="00384D2A"/>
    <w:rsid w:val="00387EC8"/>
    <w:rsid w:val="00391156"/>
    <w:rsid w:val="0039215F"/>
    <w:rsid w:val="0039344A"/>
    <w:rsid w:val="003A09DF"/>
    <w:rsid w:val="003B3091"/>
    <w:rsid w:val="003B4F12"/>
    <w:rsid w:val="003B5132"/>
    <w:rsid w:val="003C1246"/>
    <w:rsid w:val="003C3685"/>
    <w:rsid w:val="003C69F4"/>
    <w:rsid w:val="003C6C4F"/>
    <w:rsid w:val="003C7D0E"/>
    <w:rsid w:val="003D1253"/>
    <w:rsid w:val="003E03B8"/>
    <w:rsid w:val="003E0545"/>
    <w:rsid w:val="003E24BA"/>
    <w:rsid w:val="003F2041"/>
    <w:rsid w:val="003F4679"/>
    <w:rsid w:val="003F7D26"/>
    <w:rsid w:val="004007ED"/>
    <w:rsid w:val="00400D50"/>
    <w:rsid w:val="00402ACC"/>
    <w:rsid w:val="00403FD8"/>
    <w:rsid w:val="00404443"/>
    <w:rsid w:val="00404602"/>
    <w:rsid w:val="00406489"/>
    <w:rsid w:val="0041092E"/>
    <w:rsid w:val="004120EC"/>
    <w:rsid w:val="0041267F"/>
    <w:rsid w:val="00414AD9"/>
    <w:rsid w:val="004178D9"/>
    <w:rsid w:val="00423DB9"/>
    <w:rsid w:val="00423DE0"/>
    <w:rsid w:val="00423F31"/>
    <w:rsid w:val="00424A06"/>
    <w:rsid w:val="0042526D"/>
    <w:rsid w:val="00426340"/>
    <w:rsid w:val="004303AA"/>
    <w:rsid w:val="004311AC"/>
    <w:rsid w:val="0043184E"/>
    <w:rsid w:val="00431899"/>
    <w:rsid w:val="00435142"/>
    <w:rsid w:val="00437A93"/>
    <w:rsid w:val="00446F46"/>
    <w:rsid w:val="00450381"/>
    <w:rsid w:val="0045158D"/>
    <w:rsid w:val="004529F1"/>
    <w:rsid w:val="00453B1A"/>
    <w:rsid w:val="00460CC8"/>
    <w:rsid w:val="00462A57"/>
    <w:rsid w:val="004708FA"/>
    <w:rsid w:val="004728DD"/>
    <w:rsid w:val="00473F2D"/>
    <w:rsid w:val="00473F39"/>
    <w:rsid w:val="00474037"/>
    <w:rsid w:val="00475782"/>
    <w:rsid w:val="00476CB9"/>
    <w:rsid w:val="004821BB"/>
    <w:rsid w:val="00482AE8"/>
    <w:rsid w:val="00482F91"/>
    <w:rsid w:val="00486804"/>
    <w:rsid w:val="00487549"/>
    <w:rsid w:val="00490229"/>
    <w:rsid w:val="00493F17"/>
    <w:rsid w:val="00494242"/>
    <w:rsid w:val="00496766"/>
    <w:rsid w:val="004A34B9"/>
    <w:rsid w:val="004A41B8"/>
    <w:rsid w:val="004B3775"/>
    <w:rsid w:val="004B4EF5"/>
    <w:rsid w:val="004C020C"/>
    <w:rsid w:val="004C3FB6"/>
    <w:rsid w:val="004D0BA0"/>
    <w:rsid w:val="004D7F36"/>
    <w:rsid w:val="004E058F"/>
    <w:rsid w:val="004E3B87"/>
    <w:rsid w:val="004E549D"/>
    <w:rsid w:val="004E7AD5"/>
    <w:rsid w:val="004F5615"/>
    <w:rsid w:val="00502041"/>
    <w:rsid w:val="005022C6"/>
    <w:rsid w:val="00503EB4"/>
    <w:rsid w:val="0050592F"/>
    <w:rsid w:val="00510921"/>
    <w:rsid w:val="00510AD3"/>
    <w:rsid w:val="00513348"/>
    <w:rsid w:val="00513AD8"/>
    <w:rsid w:val="00517DD0"/>
    <w:rsid w:val="005204D2"/>
    <w:rsid w:val="00521851"/>
    <w:rsid w:val="00522396"/>
    <w:rsid w:val="00524AC9"/>
    <w:rsid w:val="00527AD8"/>
    <w:rsid w:val="005303B9"/>
    <w:rsid w:val="0053159D"/>
    <w:rsid w:val="00531B69"/>
    <w:rsid w:val="005329C5"/>
    <w:rsid w:val="00533B5D"/>
    <w:rsid w:val="00534D96"/>
    <w:rsid w:val="00536343"/>
    <w:rsid w:val="00536BAB"/>
    <w:rsid w:val="00540A22"/>
    <w:rsid w:val="00546877"/>
    <w:rsid w:val="005474FC"/>
    <w:rsid w:val="00547E1B"/>
    <w:rsid w:val="00553079"/>
    <w:rsid w:val="005579C6"/>
    <w:rsid w:val="00560E83"/>
    <w:rsid w:val="005736BB"/>
    <w:rsid w:val="00577815"/>
    <w:rsid w:val="005822D6"/>
    <w:rsid w:val="005838FD"/>
    <w:rsid w:val="005839E5"/>
    <w:rsid w:val="0059721E"/>
    <w:rsid w:val="005A20F6"/>
    <w:rsid w:val="005A257E"/>
    <w:rsid w:val="005A47D4"/>
    <w:rsid w:val="005B0862"/>
    <w:rsid w:val="005B205E"/>
    <w:rsid w:val="005B4A2F"/>
    <w:rsid w:val="005B7577"/>
    <w:rsid w:val="005C2EC9"/>
    <w:rsid w:val="005C532B"/>
    <w:rsid w:val="005C5505"/>
    <w:rsid w:val="005D3655"/>
    <w:rsid w:val="005D5489"/>
    <w:rsid w:val="005D69AA"/>
    <w:rsid w:val="005D7279"/>
    <w:rsid w:val="005D7F03"/>
    <w:rsid w:val="005E0058"/>
    <w:rsid w:val="005E4830"/>
    <w:rsid w:val="005E5524"/>
    <w:rsid w:val="005E73CC"/>
    <w:rsid w:val="005F0DE1"/>
    <w:rsid w:val="005F2F66"/>
    <w:rsid w:val="005F6756"/>
    <w:rsid w:val="005F6C35"/>
    <w:rsid w:val="006031AC"/>
    <w:rsid w:val="00603321"/>
    <w:rsid w:val="006043C9"/>
    <w:rsid w:val="00605215"/>
    <w:rsid w:val="00616A58"/>
    <w:rsid w:val="00620A3D"/>
    <w:rsid w:val="00622B86"/>
    <w:rsid w:val="00623BA1"/>
    <w:rsid w:val="00630092"/>
    <w:rsid w:val="006316ED"/>
    <w:rsid w:val="006346BC"/>
    <w:rsid w:val="006362FF"/>
    <w:rsid w:val="006378FE"/>
    <w:rsid w:val="006408FF"/>
    <w:rsid w:val="006516C3"/>
    <w:rsid w:val="0065649B"/>
    <w:rsid w:val="00660F29"/>
    <w:rsid w:val="0066203A"/>
    <w:rsid w:val="00663A5E"/>
    <w:rsid w:val="0066652A"/>
    <w:rsid w:val="006719C3"/>
    <w:rsid w:val="006745FC"/>
    <w:rsid w:val="006750D9"/>
    <w:rsid w:val="00676046"/>
    <w:rsid w:val="00677DD7"/>
    <w:rsid w:val="00680115"/>
    <w:rsid w:val="00680522"/>
    <w:rsid w:val="00681633"/>
    <w:rsid w:val="0068172A"/>
    <w:rsid w:val="00682167"/>
    <w:rsid w:val="00685753"/>
    <w:rsid w:val="00690AE1"/>
    <w:rsid w:val="00693FED"/>
    <w:rsid w:val="00694598"/>
    <w:rsid w:val="006A002E"/>
    <w:rsid w:val="006A0BEA"/>
    <w:rsid w:val="006A6F52"/>
    <w:rsid w:val="006A791A"/>
    <w:rsid w:val="006B0064"/>
    <w:rsid w:val="006B3E95"/>
    <w:rsid w:val="006B51B2"/>
    <w:rsid w:val="006B5503"/>
    <w:rsid w:val="006B5C2D"/>
    <w:rsid w:val="006B6F6D"/>
    <w:rsid w:val="006C0B06"/>
    <w:rsid w:val="006C3BBD"/>
    <w:rsid w:val="006C42AF"/>
    <w:rsid w:val="006C565B"/>
    <w:rsid w:val="006C6498"/>
    <w:rsid w:val="006D15F1"/>
    <w:rsid w:val="006D5A56"/>
    <w:rsid w:val="006E4323"/>
    <w:rsid w:val="006E5D45"/>
    <w:rsid w:val="006F4E2F"/>
    <w:rsid w:val="006F539F"/>
    <w:rsid w:val="006F59F1"/>
    <w:rsid w:val="006F6BA7"/>
    <w:rsid w:val="00706136"/>
    <w:rsid w:val="007075DF"/>
    <w:rsid w:val="00710ADC"/>
    <w:rsid w:val="00711D8E"/>
    <w:rsid w:val="00712672"/>
    <w:rsid w:val="00716143"/>
    <w:rsid w:val="007178C4"/>
    <w:rsid w:val="007204A6"/>
    <w:rsid w:val="00727E09"/>
    <w:rsid w:val="00734E3F"/>
    <w:rsid w:val="00736985"/>
    <w:rsid w:val="00745DF5"/>
    <w:rsid w:val="00751718"/>
    <w:rsid w:val="007528EE"/>
    <w:rsid w:val="00753924"/>
    <w:rsid w:val="007560D0"/>
    <w:rsid w:val="007624A8"/>
    <w:rsid w:val="0076250F"/>
    <w:rsid w:val="0077324F"/>
    <w:rsid w:val="007733DC"/>
    <w:rsid w:val="00780FA5"/>
    <w:rsid w:val="007812A5"/>
    <w:rsid w:val="007864CF"/>
    <w:rsid w:val="0078728E"/>
    <w:rsid w:val="00791CE3"/>
    <w:rsid w:val="007927AE"/>
    <w:rsid w:val="00794D99"/>
    <w:rsid w:val="00796F1C"/>
    <w:rsid w:val="007A4493"/>
    <w:rsid w:val="007A4DF5"/>
    <w:rsid w:val="007B4919"/>
    <w:rsid w:val="007B53DB"/>
    <w:rsid w:val="007B53F9"/>
    <w:rsid w:val="007B6200"/>
    <w:rsid w:val="007C05F7"/>
    <w:rsid w:val="007C19B3"/>
    <w:rsid w:val="007C35DE"/>
    <w:rsid w:val="007C4D69"/>
    <w:rsid w:val="007C735B"/>
    <w:rsid w:val="007D0BFC"/>
    <w:rsid w:val="007D1B43"/>
    <w:rsid w:val="007E5361"/>
    <w:rsid w:val="007E556D"/>
    <w:rsid w:val="007E6637"/>
    <w:rsid w:val="007E7BC7"/>
    <w:rsid w:val="007F3395"/>
    <w:rsid w:val="007F389F"/>
    <w:rsid w:val="007F5C0B"/>
    <w:rsid w:val="007F646C"/>
    <w:rsid w:val="00801B9F"/>
    <w:rsid w:val="0080204D"/>
    <w:rsid w:val="0080267A"/>
    <w:rsid w:val="00803439"/>
    <w:rsid w:val="008059DE"/>
    <w:rsid w:val="00806829"/>
    <w:rsid w:val="0081240C"/>
    <w:rsid w:val="00813EA6"/>
    <w:rsid w:val="0082053C"/>
    <w:rsid w:val="00822F43"/>
    <w:rsid w:val="00830866"/>
    <w:rsid w:val="00836B54"/>
    <w:rsid w:val="00837280"/>
    <w:rsid w:val="00841918"/>
    <w:rsid w:val="0084191E"/>
    <w:rsid w:val="00843B76"/>
    <w:rsid w:val="0084439E"/>
    <w:rsid w:val="00844737"/>
    <w:rsid w:val="008475F0"/>
    <w:rsid w:val="008515AF"/>
    <w:rsid w:val="00852C32"/>
    <w:rsid w:val="00854F69"/>
    <w:rsid w:val="008557A7"/>
    <w:rsid w:val="00855CC4"/>
    <w:rsid w:val="00856BFE"/>
    <w:rsid w:val="00857312"/>
    <w:rsid w:val="00860698"/>
    <w:rsid w:val="00862BCF"/>
    <w:rsid w:val="0086361F"/>
    <w:rsid w:val="00865DE2"/>
    <w:rsid w:val="00870928"/>
    <w:rsid w:val="00873A4A"/>
    <w:rsid w:val="00873AEA"/>
    <w:rsid w:val="008740B3"/>
    <w:rsid w:val="00876132"/>
    <w:rsid w:val="00876B47"/>
    <w:rsid w:val="00877620"/>
    <w:rsid w:val="00881605"/>
    <w:rsid w:val="00887404"/>
    <w:rsid w:val="00890ACA"/>
    <w:rsid w:val="0089405C"/>
    <w:rsid w:val="00894FEB"/>
    <w:rsid w:val="00897FA2"/>
    <w:rsid w:val="008A1503"/>
    <w:rsid w:val="008A2F16"/>
    <w:rsid w:val="008A5AFE"/>
    <w:rsid w:val="008A6BB7"/>
    <w:rsid w:val="008A745C"/>
    <w:rsid w:val="008A7B6F"/>
    <w:rsid w:val="008C1A18"/>
    <w:rsid w:val="008C1F60"/>
    <w:rsid w:val="008C478C"/>
    <w:rsid w:val="008C5A0E"/>
    <w:rsid w:val="008C6149"/>
    <w:rsid w:val="008C708C"/>
    <w:rsid w:val="008C7751"/>
    <w:rsid w:val="008E4B49"/>
    <w:rsid w:val="008E4BCA"/>
    <w:rsid w:val="008E7A6E"/>
    <w:rsid w:val="008F097B"/>
    <w:rsid w:val="008F2E5A"/>
    <w:rsid w:val="008F6625"/>
    <w:rsid w:val="00906793"/>
    <w:rsid w:val="009131E9"/>
    <w:rsid w:val="00913875"/>
    <w:rsid w:val="00916582"/>
    <w:rsid w:val="00917A7A"/>
    <w:rsid w:val="00920854"/>
    <w:rsid w:val="00927549"/>
    <w:rsid w:val="009310F9"/>
    <w:rsid w:val="0093110C"/>
    <w:rsid w:val="0093173D"/>
    <w:rsid w:val="0093543F"/>
    <w:rsid w:val="009354A8"/>
    <w:rsid w:val="00937866"/>
    <w:rsid w:val="00941E94"/>
    <w:rsid w:val="00943730"/>
    <w:rsid w:val="009447C7"/>
    <w:rsid w:val="00947F74"/>
    <w:rsid w:val="009505AE"/>
    <w:rsid w:val="0095099A"/>
    <w:rsid w:val="00950D65"/>
    <w:rsid w:val="00952815"/>
    <w:rsid w:val="009543B9"/>
    <w:rsid w:val="009553BD"/>
    <w:rsid w:val="00962B17"/>
    <w:rsid w:val="00963FA4"/>
    <w:rsid w:val="00973171"/>
    <w:rsid w:val="00975CA5"/>
    <w:rsid w:val="009774B4"/>
    <w:rsid w:val="00977646"/>
    <w:rsid w:val="00986590"/>
    <w:rsid w:val="00991579"/>
    <w:rsid w:val="00992C76"/>
    <w:rsid w:val="009969D6"/>
    <w:rsid w:val="00996FC8"/>
    <w:rsid w:val="009A112B"/>
    <w:rsid w:val="009A2219"/>
    <w:rsid w:val="009A2619"/>
    <w:rsid w:val="009A3E07"/>
    <w:rsid w:val="009A58FC"/>
    <w:rsid w:val="009A744E"/>
    <w:rsid w:val="009B394F"/>
    <w:rsid w:val="009B4D3B"/>
    <w:rsid w:val="009B77AC"/>
    <w:rsid w:val="009C18DB"/>
    <w:rsid w:val="009D1F71"/>
    <w:rsid w:val="009D3438"/>
    <w:rsid w:val="009D3592"/>
    <w:rsid w:val="009D7407"/>
    <w:rsid w:val="009E0866"/>
    <w:rsid w:val="009E1E58"/>
    <w:rsid w:val="009E273C"/>
    <w:rsid w:val="009E363A"/>
    <w:rsid w:val="009F1350"/>
    <w:rsid w:val="009F53D9"/>
    <w:rsid w:val="009F6423"/>
    <w:rsid w:val="009F76DA"/>
    <w:rsid w:val="00A07A86"/>
    <w:rsid w:val="00A107B9"/>
    <w:rsid w:val="00A12B40"/>
    <w:rsid w:val="00A13A7F"/>
    <w:rsid w:val="00A17461"/>
    <w:rsid w:val="00A22CD1"/>
    <w:rsid w:val="00A22F80"/>
    <w:rsid w:val="00A237B8"/>
    <w:rsid w:val="00A24A62"/>
    <w:rsid w:val="00A31C9F"/>
    <w:rsid w:val="00A33149"/>
    <w:rsid w:val="00A4144F"/>
    <w:rsid w:val="00A4552A"/>
    <w:rsid w:val="00A46B28"/>
    <w:rsid w:val="00A47135"/>
    <w:rsid w:val="00A47774"/>
    <w:rsid w:val="00A50581"/>
    <w:rsid w:val="00A505C8"/>
    <w:rsid w:val="00A552B5"/>
    <w:rsid w:val="00A61B4D"/>
    <w:rsid w:val="00A71167"/>
    <w:rsid w:val="00A72201"/>
    <w:rsid w:val="00A74192"/>
    <w:rsid w:val="00A75B84"/>
    <w:rsid w:val="00A80123"/>
    <w:rsid w:val="00A80305"/>
    <w:rsid w:val="00A80F95"/>
    <w:rsid w:val="00A8204F"/>
    <w:rsid w:val="00A842B3"/>
    <w:rsid w:val="00A854F9"/>
    <w:rsid w:val="00A85D8D"/>
    <w:rsid w:val="00A86174"/>
    <w:rsid w:val="00A868CB"/>
    <w:rsid w:val="00A93740"/>
    <w:rsid w:val="00A96364"/>
    <w:rsid w:val="00A97244"/>
    <w:rsid w:val="00A97BF1"/>
    <w:rsid w:val="00AA298A"/>
    <w:rsid w:val="00AA3AA8"/>
    <w:rsid w:val="00AB4795"/>
    <w:rsid w:val="00AB5D1A"/>
    <w:rsid w:val="00AB5D49"/>
    <w:rsid w:val="00AB6748"/>
    <w:rsid w:val="00AB6BD2"/>
    <w:rsid w:val="00AC107C"/>
    <w:rsid w:val="00AC164A"/>
    <w:rsid w:val="00AC38E0"/>
    <w:rsid w:val="00AC3944"/>
    <w:rsid w:val="00AC551D"/>
    <w:rsid w:val="00AC78D0"/>
    <w:rsid w:val="00AD19F7"/>
    <w:rsid w:val="00AD2C2E"/>
    <w:rsid w:val="00AE0DF6"/>
    <w:rsid w:val="00AE0F79"/>
    <w:rsid w:val="00AE1EA7"/>
    <w:rsid w:val="00AE2B7B"/>
    <w:rsid w:val="00AE448A"/>
    <w:rsid w:val="00AE63B0"/>
    <w:rsid w:val="00AE74DA"/>
    <w:rsid w:val="00AE7AB3"/>
    <w:rsid w:val="00AF18F4"/>
    <w:rsid w:val="00AF2050"/>
    <w:rsid w:val="00AF4103"/>
    <w:rsid w:val="00AF47A1"/>
    <w:rsid w:val="00AF4A1C"/>
    <w:rsid w:val="00AF50CB"/>
    <w:rsid w:val="00AF644B"/>
    <w:rsid w:val="00AF7ECC"/>
    <w:rsid w:val="00B00BF4"/>
    <w:rsid w:val="00B02B2A"/>
    <w:rsid w:val="00B03CA8"/>
    <w:rsid w:val="00B0534E"/>
    <w:rsid w:val="00B05B87"/>
    <w:rsid w:val="00B108D2"/>
    <w:rsid w:val="00B12991"/>
    <w:rsid w:val="00B160D7"/>
    <w:rsid w:val="00B16EF6"/>
    <w:rsid w:val="00B21CF6"/>
    <w:rsid w:val="00B22F0E"/>
    <w:rsid w:val="00B249EC"/>
    <w:rsid w:val="00B33C0A"/>
    <w:rsid w:val="00B34763"/>
    <w:rsid w:val="00B401AF"/>
    <w:rsid w:val="00B4236E"/>
    <w:rsid w:val="00B50ED0"/>
    <w:rsid w:val="00B51C2F"/>
    <w:rsid w:val="00B55E19"/>
    <w:rsid w:val="00B56E71"/>
    <w:rsid w:val="00B579A6"/>
    <w:rsid w:val="00B57A4E"/>
    <w:rsid w:val="00B638AE"/>
    <w:rsid w:val="00B65942"/>
    <w:rsid w:val="00B664A8"/>
    <w:rsid w:val="00B66D3E"/>
    <w:rsid w:val="00B71AD8"/>
    <w:rsid w:val="00B77EE3"/>
    <w:rsid w:val="00B83073"/>
    <w:rsid w:val="00B84249"/>
    <w:rsid w:val="00B84B3C"/>
    <w:rsid w:val="00B857E1"/>
    <w:rsid w:val="00B8599B"/>
    <w:rsid w:val="00B86990"/>
    <w:rsid w:val="00B91FE7"/>
    <w:rsid w:val="00B929BE"/>
    <w:rsid w:val="00B9448C"/>
    <w:rsid w:val="00B94758"/>
    <w:rsid w:val="00B957B5"/>
    <w:rsid w:val="00BA13E5"/>
    <w:rsid w:val="00BA1B89"/>
    <w:rsid w:val="00BA4B6D"/>
    <w:rsid w:val="00BB26C5"/>
    <w:rsid w:val="00BB2DEE"/>
    <w:rsid w:val="00BB2F84"/>
    <w:rsid w:val="00BB3C67"/>
    <w:rsid w:val="00BB3FD0"/>
    <w:rsid w:val="00BC1FED"/>
    <w:rsid w:val="00BC24B0"/>
    <w:rsid w:val="00BC63A8"/>
    <w:rsid w:val="00BD0F5C"/>
    <w:rsid w:val="00BD3083"/>
    <w:rsid w:val="00BD6304"/>
    <w:rsid w:val="00BD7083"/>
    <w:rsid w:val="00BD710C"/>
    <w:rsid w:val="00BD7EEF"/>
    <w:rsid w:val="00BE12B6"/>
    <w:rsid w:val="00BF1579"/>
    <w:rsid w:val="00BF4DE6"/>
    <w:rsid w:val="00BF6703"/>
    <w:rsid w:val="00C04D72"/>
    <w:rsid w:val="00C06B13"/>
    <w:rsid w:val="00C06C24"/>
    <w:rsid w:val="00C06C31"/>
    <w:rsid w:val="00C16A47"/>
    <w:rsid w:val="00C17B67"/>
    <w:rsid w:val="00C20123"/>
    <w:rsid w:val="00C21471"/>
    <w:rsid w:val="00C27D21"/>
    <w:rsid w:val="00C27D25"/>
    <w:rsid w:val="00C35791"/>
    <w:rsid w:val="00C37697"/>
    <w:rsid w:val="00C402E7"/>
    <w:rsid w:val="00C42541"/>
    <w:rsid w:val="00C42CDE"/>
    <w:rsid w:val="00C45941"/>
    <w:rsid w:val="00C50B58"/>
    <w:rsid w:val="00C5182A"/>
    <w:rsid w:val="00C5229E"/>
    <w:rsid w:val="00C52463"/>
    <w:rsid w:val="00C52B3D"/>
    <w:rsid w:val="00C537D6"/>
    <w:rsid w:val="00C55983"/>
    <w:rsid w:val="00C61649"/>
    <w:rsid w:val="00C61935"/>
    <w:rsid w:val="00C63EE9"/>
    <w:rsid w:val="00C63FD3"/>
    <w:rsid w:val="00C80F99"/>
    <w:rsid w:val="00C83F4E"/>
    <w:rsid w:val="00C84C30"/>
    <w:rsid w:val="00C87B9B"/>
    <w:rsid w:val="00C908C7"/>
    <w:rsid w:val="00C90A94"/>
    <w:rsid w:val="00C92805"/>
    <w:rsid w:val="00C95985"/>
    <w:rsid w:val="00C96733"/>
    <w:rsid w:val="00CA16F3"/>
    <w:rsid w:val="00CA3403"/>
    <w:rsid w:val="00CA37B1"/>
    <w:rsid w:val="00CA3FD8"/>
    <w:rsid w:val="00CA5021"/>
    <w:rsid w:val="00CA575B"/>
    <w:rsid w:val="00CB1488"/>
    <w:rsid w:val="00CB1959"/>
    <w:rsid w:val="00CB40BD"/>
    <w:rsid w:val="00CC0FD1"/>
    <w:rsid w:val="00CC1D45"/>
    <w:rsid w:val="00CC741B"/>
    <w:rsid w:val="00CC7AC1"/>
    <w:rsid w:val="00CD0E4B"/>
    <w:rsid w:val="00CD2A5E"/>
    <w:rsid w:val="00CD3F5D"/>
    <w:rsid w:val="00CD458C"/>
    <w:rsid w:val="00CD4AD4"/>
    <w:rsid w:val="00CE113F"/>
    <w:rsid w:val="00CE2CF5"/>
    <w:rsid w:val="00CE4C89"/>
    <w:rsid w:val="00CE6356"/>
    <w:rsid w:val="00CF07BA"/>
    <w:rsid w:val="00CF21A3"/>
    <w:rsid w:val="00D018AC"/>
    <w:rsid w:val="00D0296C"/>
    <w:rsid w:val="00D05E55"/>
    <w:rsid w:val="00D1231A"/>
    <w:rsid w:val="00D1270D"/>
    <w:rsid w:val="00D1420D"/>
    <w:rsid w:val="00D20101"/>
    <w:rsid w:val="00D20A30"/>
    <w:rsid w:val="00D20BC7"/>
    <w:rsid w:val="00D2194D"/>
    <w:rsid w:val="00D2641E"/>
    <w:rsid w:val="00D27971"/>
    <w:rsid w:val="00D3068D"/>
    <w:rsid w:val="00D3170B"/>
    <w:rsid w:val="00D32D6F"/>
    <w:rsid w:val="00D3476F"/>
    <w:rsid w:val="00D34D5D"/>
    <w:rsid w:val="00D37B04"/>
    <w:rsid w:val="00D43E08"/>
    <w:rsid w:val="00D453CB"/>
    <w:rsid w:val="00D45555"/>
    <w:rsid w:val="00D4628C"/>
    <w:rsid w:val="00D462F8"/>
    <w:rsid w:val="00D479B5"/>
    <w:rsid w:val="00D540C6"/>
    <w:rsid w:val="00D615B5"/>
    <w:rsid w:val="00D64BD1"/>
    <w:rsid w:val="00D70853"/>
    <w:rsid w:val="00D71F34"/>
    <w:rsid w:val="00D7310B"/>
    <w:rsid w:val="00D745A9"/>
    <w:rsid w:val="00D76380"/>
    <w:rsid w:val="00D7680B"/>
    <w:rsid w:val="00D83BB9"/>
    <w:rsid w:val="00D84531"/>
    <w:rsid w:val="00D85F0B"/>
    <w:rsid w:val="00D90B37"/>
    <w:rsid w:val="00D915F3"/>
    <w:rsid w:val="00D92254"/>
    <w:rsid w:val="00D924D3"/>
    <w:rsid w:val="00D94CF9"/>
    <w:rsid w:val="00D960BA"/>
    <w:rsid w:val="00DA1B52"/>
    <w:rsid w:val="00DA4B3C"/>
    <w:rsid w:val="00DC0996"/>
    <w:rsid w:val="00DC2266"/>
    <w:rsid w:val="00DC238C"/>
    <w:rsid w:val="00DC5A4E"/>
    <w:rsid w:val="00DC6D78"/>
    <w:rsid w:val="00DD3E88"/>
    <w:rsid w:val="00DE084C"/>
    <w:rsid w:val="00DE3655"/>
    <w:rsid w:val="00DF11A9"/>
    <w:rsid w:val="00DF2254"/>
    <w:rsid w:val="00DF27BA"/>
    <w:rsid w:val="00DF68CF"/>
    <w:rsid w:val="00E0138E"/>
    <w:rsid w:val="00E044F0"/>
    <w:rsid w:val="00E0497E"/>
    <w:rsid w:val="00E055AB"/>
    <w:rsid w:val="00E11B48"/>
    <w:rsid w:val="00E14E3E"/>
    <w:rsid w:val="00E14E55"/>
    <w:rsid w:val="00E14F51"/>
    <w:rsid w:val="00E15A6C"/>
    <w:rsid w:val="00E1666D"/>
    <w:rsid w:val="00E16D5F"/>
    <w:rsid w:val="00E20945"/>
    <w:rsid w:val="00E21981"/>
    <w:rsid w:val="00E221FA"/>
    <w:rsid w:val="00E23A65"/>
    <w:rsid w:val="00E3076E"/>
    <w:rsid w:val="00E32094"/>
    <w:rsid w:val="00E357B7"/>
    <w:rsid w:val="00E36567"/>
    <w:rsid w:val="00E40E8B"/>
    <w:rsid w:val="00E410F8"/>
    <w:rsid w:val="00E41BEC"/>
    <w:rsid w:val="00E42990"/>
    <w:rsid w:val="00E42E50"/>
    <w:rsid w:val="00E4584F"/>
    <w:rsid w:val="00E532A8"/>
    <w:rsid w:val="00E53800"/>
    <w:rsid w:val="00E6081F"/>
    <w:rsid w:val="00E614AA"/>
    <w:rsid w:val="00E624EC"/>
    <w:rsid w:val="00E70C37"/>
    <w:rsid w:val="00E711F4"/>
    <w:rsid w:val="00E80A62"/>
    <w:rsid w:val="00E82650"/>
    <w:rsid w:val="00E8296D"/>
    <w:rsid w:val="00E8457B"/>
    <w:rsid w:val="00E939CB"/>
    <w:rsid w:val="00E944AA"/>
    <w:rsid w:val="00E97D7C"/>
    <w:rsid w:val="00EA04B2"/>
    <w:rsid w:val="00EA20F3"/>
    <w:rsid w:val="00EA2BBA"/>
    <w:rsid w:val="00EA36D9"/>
    <w:rsid w:val="00EC18A4"/>
    <w:rsid w:val="00EC2B54"/>
    <w:rsid w:val="00EC43B8"/>
    <w:rsid w:val="00EC608A"/>
    <w:rsid w:val="00EC6D38"/>
    <w:rsid w:val="00EC7DC8"/>
    <w:rsid w:val="00ED179A"/>
    <w:rsid w:val="00ED18EE"/>
    <w:rsid w:val="00ED2831"/>
    <w:rsid w:val="00ED2940"/>
    <w:rsid w:val="00ED3B2D"/>
    <w:rsid w:val="00ED43D1"/>
    <w:rsid w:val="00ED6E38"/>
    <w:rsid w:val="00EE0466"/>
    <w:rsid w:val="00EE1CFF"/>
    <w:rsid w:val="00EE2D01"/>
    <w:rsid w:val="00EE4EE1"/>
    <w:rsid w:val="00EF4574"/>
    <w:rsid w:val="00F003E0"/>
    <w:rsid w:val="00F01921"/>
    <w:rsid w:val="00F0325C"/>
    <w:rsid w:val="00F062C6"/>
    <w:rsid w:val="00F06982"/>
    <w:rsid w:val="00F13373"/>
    <w:rsid w:val="00F20898"/>
    <w:rsid w:val="00F2330C"/>
    <w:rsid w:val="00F258BF"/>
    <w:rsid w:val="00F25A93"/>
    <w:rsid w:val="00F2684E"/>
    <w:rsid w:val="00F27235"/>
    <w:rsid w:val="00F32D3A"/>
    <w:rsid w:val="00F32F70"/>
    <w:rsid w:val="00F36082"/>
    <w:rsid w:val="00F3636B"/>
    <w:rsid w:val="00F45486"/>
    <w:rsid w:val="00F47942"/>
    <w:rsid w:val="00F53309"/>
    <w:rsid w:val="00F53CE6"/>
    <w:rsid w:val="00F53E91"/>
    <w:rsid w:val="00F5404C"/>
    <w:rsid w:val="00F55791"/>
    <w:rsid w:val="00F615FE"/>
    <w:rsid w:val="00F64397"/>
    <w:rsid w:val="00F64AD5"/>
    <w:rsid w:val="00F650C7"/>
    <w:rsid w:val="00F67C6A"/>
    <w:rsid w:val="00F70504"/>
    <w:rsid w:val="00F707E0"/>
    <w:rsid w:val="00F71BF2"/>
    <w:rsid w:val="00F71CB4"/>
    <w:rsid w:val="00F729EF"/>
    <w:rsid w:val="00F746B7"/>
    <w:rsid w:val="00F760AE"/>
    <w:rsid w:val="00F77CAE"/>
    <w:rsid w:val="00F82271"/>
    <w:rsid w:val="00F83428"/>
    <w:rsid w:val="00F875A8"/>
    <w:rsid w:val="00F90B17"/>
    <w:rsid w:val="00F96BB9"/>
    <w:rsid w:val="00F96D3C"/>
    <w:rsid w:val="00F975C0"/>
    <w:rsid w:val="00FA3E91"/>
    <w:rsid w:val="00FA4D1A"/>
    <w:rsid w:val="00FA5EFD"/>
    <w:rsid w:val="00FB0E6B"/>
    <w:rsid w:val="00FB25AD"/>
    <w:rsid w:val="00FC1216"/>
    <w:rsid w:val="00FC4E3D"/>
    <w:rsid w:val="00FC5365"/>
    <w:rsid w:val="00FC64C1"/>
    <w:rsid w:val="00FD1850"/>
    <w:rsid w:val="00FD4C47"/>
    <w:rsid w:val="00FD710F"/>
    <w:rsid w:val="00FE2D8E"/>
    <w:rsid w:val="00FE6D51"/>
    <w:rsid w:val="00FE6F2A"/>
    <w:rsid w:val="00FF0590"/>
    <w:rsid w:val="00FF2CC3"/>
    <w:rsid w:val="00FF551B"/>
    <w:rsid w:val="01472203"/>
    <w:rsid w:val="019A4B93"/>
    <w:rsid w:val="01B02899"/>
    <w:rsid w:val="01B4697E"/>
    <w:rsid w:val="0265791C"/>
    <w:rsid w:val="0292FF3E"/>
    <w:rsid w:val="02BE64D7"/>
    <w:rsid w:val="0306DD77"/>
    <w:rsid w:val="035BF1C3"/>
    <w:rsid w:val="03751A20"/>
    <w:rsid w:val="03D0124A"/>
    <w:rsid w:val="0422D35B"/>
    <w:rsid w:val="04C05BE8"/>
    <w:rsid w:val="04D3B490"/>
    <w:rsid w:val="04EBD785"/>
    <w:rsid w:val="052DB57B"/>
    <w:rsid w:val="056D2729"/>
    <w:rsid w:val="05AA9945"/>
    <w:rsid w:val="05CDA66B"/>
    <w:rsid w:val="05DA5B53"/>
    <w:rsid w:val="05E3C85D"/>
    <w:rsid w:val="05E722D1"/>
    <w:rsid w:val="065C2C49"/>
    <w:rsid w:val="066003D1"/>
    <w:rsid w:val="06CF9DCA"/>
    <w:rsid w:val="06EA5E14"/>
    <w:rsid w:val="074628A9"/>
    <w:rsid w:val="0759E55E"/>
    <w:rsid w:val="076C7D7D"/>
    <w:rsid w:val="078A31A5"/>
    <w:rsid w:val="078FCA67"/>
    <w:rsid w:val="0837FA2B"/>
    <w:rsid w:val="08CD87DB"/>
    <w:rsid w:val="09975F3B"/>
    <w:rsid w:val="09B3AE8A"/>
    <w:rsid w:val="09CB3347"/>
    <w:rsid w:val="09D4FA4B"/>
    <w:rsid w:val="0A4E6074"/>
    <w:rsid w:val="0AC1D267"/>
    <w:rsid w:val="0ACD5B5E"/>
    <w:rsid w:val="0B0780F6"/>
    <w:rsid w:val="0B08751D"/>
    <w:rsid w:val="0B492CB8"/>
    <w:rsid w:val="0B534829"/>
    <w:rsid w:val="0C19B50A"/>
    <w:rsid w:val="0C6497AB"/>
    <w:rsid w:val="0C6C0172"/>
    <w:rsid w:val="0C8F2C35"/>
    <w:rsid w:val="0CC005EE"/>
    <w:rsid w:val="0D1DA9A3"/>
    <w:rsid w:val="0DD5B1E5"/>
    <w:rsid w:val="0DE514E9"/>
    <w:rsid w:val="0DEDF514"/>
    <w:rsid w:val="0E125A1E"/>
    <w:rsid w:val="0E1377A6"/>
    <w:rsid w:val="0E1776F8"/>
    <w:rsid w:val="0E3BE59C"/>
    <w:rsid w:val="0E4015DF"/>
    <w:rsid w:val="0E590534"/>
    <w:rsid w:val="0E6A87B9"/>
    <w:rsid w:val="0EC1AA95"/>
    <w:rsid w:val="0EC7D0AD"/>
    <w:rsid w:val="0ED39087"/>
    <w:rsid w:val="0ED8CD64"/>
    <w:rsid w:val="0F04DBFC"/>
    <w:rsid w:val="0F45DCB7"/>
    <w:rsid w:val="0F80F0F5"/>
    <w:rsid w:val="1022F00E"/>
    <w:rsid w:val="10DDA4C5"/>
    <w:rsid w:val="10EEDBEB"/>
    <w:rsid w:val="1106BCD4"/>
    <w:rsid w:val="11CE8872"/>
    <w:rsid w:val="12041C05"/>
    <w:rsid w:val="12B40ED3"/>
    <w:rsid w:val="13220BFB"/>
    <w:rsid w:val="134AED97"/>
    <w:rsid w:val="143011E4"/>
    <w:rsid w:val="14402805"/>
    <w:rsid w:val="149A4AB5"/>
    <w:rsid w:val="1587AAE3"/>
    <w:rsid w:val="15A0C82C"/>
    <w:rsid w:val="15DEF5CA"/>
    <w:rsid w:val="161EEF73"/>
    <w:rsid w:val="1637A5D7"/>
    <w:rsid w:val="16A9B64F"/>
    <w:rsid w:val="1761DE3A"/>
    <w:rsid w:val="17651549"/>
    <w:rsid w:val="17BABFD4"/>
    <w:rsid w:val="182C77A5"/>
    <w:rsid w:val="1881D03C"/>
    <w:rsid w:val="18F6E057"/>
    <w:rsid w:val="19249D99"/>
    <w:rsid w:val="19569035"/>
    <w:rsid w:val="19993D6A"/>
    <w:rsid w:val="19A4BACC"/>
    <w:rsid w:val="19C46456"/>
    <w:rsid w:val="19E15711"/>
    <w:rsid w:val="1A93A3CC"/>
    <w:rsid w:val="1ABC2273"/>
    <w:rsid w:val="1AE8CC61"/>
    <w:rsid w:val="1B3D4BD2"/>
    <w:rsid w:val="1B5DBF24"/>
    <w:rsid w:val="1B8A16B5"/>
    <w:rsid w:val="1BAD33F2"/>
    <w:rsid w:val="1BC28B0A"/>
    <w:rsid w:val="1BFED9ED"/>
    <w:rsid w:val="1C15743E"/>
    <w:rsid w:val="1C94ABA9"/>
    <w:rsid w:val="1C9EB918"/>
    <w:rsid w:val="1CC4D7AC"/>
    <w:rsid w:val="1CC6CD53"/>
    <w:rsid w:val="1CFA25DE"/>
    <w:rsid w:val="1CFD9854"/>
    <w:rsid w:val="1DA41286"/>
    <w:rsid w:val="1DDC0DAC"/>
    <w:rsid w:val="1DEF6759"/>
    <w:rsid w:val="1E1E8D15"/>
    <w:rsid w:val="1E44BA57"/>
    <w:rsid w:val="1E5E272F"/>
    <w:rsid w:val="1E88AAB5"/>
    <w:rsid w:val="1E97D579"/>
    <w:rsid w:val="1EA2A4FF"/>
    <w:rsid w:val="1ED78B54"/>
    <w:rsid w:val="1EEDE590"/>
    <w:rsid w:val="1F5DEE3C"/>
    <w:rsid w:val="1F85173F"/>
    <w:rsid w:val="1F85D557"/>
    <w:rsid w:val="1F87A610"/>
    <w:rsid w:val="1FA0354A"/>
    <w:rsid w:val="20394FDC"/>
    <w:rsid w:val="21386F68"/>
    <w:rsid w:val="21838423"/>
    <w:rsid w:val="22271F44"/>
    <w:rsid w:val="223AC040"/>
    <w:rsid w:val="2255326B"/>
    <w:rsid w:val="22E46316"/>
    <w:rsid w:val="23B46ADE"/>
    <w:rsid w:val="243009C4"/>
    <w:rsid w:val="245B1733"/>
    <w:rsid w:val="24618B4C"/>
    <w:rsid w:val="246C5D87"/>
    <w:rsid w:val="2516C1A4"/>
    <w:rsid w:val="25365778"/>
    <w:rsid w:val="25E7C296"/>
    <w:rsid w:val="25F895DA"/>
    <w:rsid w:val="25FEA44E"/>
    <w:rsid w:val="2655C41A"/>
    <w:rsid w:val="26F26741"/>
    <w:rsid w:val="26F2980D"/>
    <w:rsid w:val="271CF534"/>
    <w:rsid w:val="2782EFF2"/>
    <w:rsid w:val="2786B930"/>
    <w:rsid w:val="279B9DE5"/>
    <w:rsid w:val="2898CC44"/>
    <w:rsid w:val="292E8856"/>
    <w:rsid w:val="29F56686"/>
    <w:rsid w:val="2A0754EC"/>
    <w:rsid w:val="2AAD0275"/>
    <w:rsid w:val="2B06DDB1"/>
    <w:rsid w:val="2B0B07AA"/>
    <w:rsid w:val="2B572109"/>
    <w:rsid w:val="2B787663"/>
    <w:rsid w:val="2C36E685"/>
    <w:rsid w:val="2C3FDCB0"/>
    <w:rsid w:val="2C5CC49E"/>
    <w:rsid w:val="2C662918"/>
    <w:rsid w:val="2C6E169E"/>
    <w:rsid w:val="2C934CBB"/>
    <w:rsid w:val="2CA2AE12"/>
    <w:rsid w:val="2CF67BD8"/>
    <w:rsid w:val="2D284100"/>
    <w:rsid w:val="2D507B62"/>
    <w:rsid w:val="2D5848E0"/>
    <w:rsid w:val="2D8CA371"/>
    <w:rsid w:val="2DD11B3A"/>
    <w:rsid w:val="2DD2B6E6"/>
    <w:rsid w:val="2E06937B"/>
    <w:rsid w:val="2E09B633"/>
    <w:rsid w:val="2E9EEA9B"/>
    <w:rsid w:val="2EB9B0B3"/>
    <w:rsid w:val="2ED486C1"/>
    <w:rsid w:val="2ED83663"/>
    <w:rsid w:val="2F3B3356"/>
    <w:rsid w:val="2F9DC9DA"/>
    <w:rsid w:val="2FDFB922"/>
    <w:rsid w:val="2FF03F86"/>
    <w:rsid w:val="2FF2C000"/>
    <w:rsid w:val="30CA3622"/>
    <w:rsid w:val="30F14A54"/>
    <w:rsid w:val="3121830B"/>
    <w:rsid w:val="3132FD20"/>
    <w:rsid w:val="314156F5"/>
    <w:rsid w:val="31E2608E"/>
    <w:rsid w:val="31F61BBC"/>
    <w:rsid w:val="32078B69"/>
    <w:rsid w:val="32354AB4"/>
    <w:rsid w:val="326A5F63"/>
    <w:rsid w:val="32A7E152"/>
    <w:rsid w:val="32BD343B"/>
    <w:rsid w:val="32C4396C"/>
    <w:rsid w:val="3311EF96"/>
    <w:rsid w:val="33978284"/>
    <w:rsid w:val="33DE7BAC"/>
    <w:rsid w:val="33F838F1"/>
    <w:rsid w:val="34622252"/>
    <w:rsid w:val="3478F7B7"/>
    <w:rsid w:val="34ACBE61"/>
    <w:rsid w:val="34B6E233"/>
    <w:rsid w:val="34EB60D8"/>
    <w:rsid w:val="3509D93B"/>
    <w:rsid w:val="351C4947"/>
    <w:rsid w:val="35806D07"/>
    <w:rsid w:val="358F5941"/>
    <w:rsid w:val="35F7D55D"/>
    <w:rsid w:val="35FB51DE"/>
    <w:rsid w:val="363FBCF3"/>
    <w:rsid w:val="36636B4A"/>
    <w:rsid w:val="36EF937A"/>
    <w:rsid w:val="376C7FD3"/>
    <w:rsid w:val="37B4FB9B"/>
    <w:rsid w:val="37EFE58C"/>
    <w:rsid w:val="38385943"/>
    <w:rsid w:val="3845CCE1"/>
    <w:rsid w:val="38DA4BEA"/>
    <w:rsid w:val="38DD94D3"/>
    <w:rsid w:val="392F761F"/>
    <w:rsid w:val="393CD1A3"/>
    <w:rsid w:val="39773948"/>
    <w:rsid w:val="3985E853"/>
    <w:rsid w:val="398A5356"/>
    <w:rsid w:val="3A6B0B5F"/>
    <w:rsid w:val="3AD8A204"/>
    <w:rsid w:val="3AF9B05B"/>
    <w:rsid w:val="3B87204E"/>
    <w:rsid w:val="3B89D585"/>
    <w:rsid w:val="3BD43F74"/>
    <w:rsid w:val="3C287B6F"/>
    <w:rsid w:val="3C447252"/>
    <w:rsid w:val="3C88B02B"/>
    <w:rsid w:val="3D33177F"/>
    <w:rsid w:val="3D6F43F4"/>
    <w:rsid w:val="3D96CC37"/>
    <w:rsid w:val="3D9C52DE"/>
    <w:rsid w:val="3DA09A11"/>
    <w:rsid w:val="3E27C783"/>
    <w:rsid w:val="3EC1354A"/>
    <w:rsid w:val="3EF6AA35"/>
    <w:rsid w:val="3FAC1327"/>
    <w:rsid w:val="3FC397E4"/>
    <w:rsid w:val="40B5DECE"/>
    <w:rsid w:val="40E1938B"/>
    <w:rsid w:val="410B709C"/>
    <w:rsid w:val="4147E388"/>
    <w:rsid w:val="418835C7"/>
    <w:rsid w:val="41B0628B"/>
    <w:rsid w:val="4207A9BE"/>
    <w:rsid w:val="422FCA6E"/>
    <w:rsid w:val="4251AF2F"/>
    <w:rsid w:val="432DED0C"/>
    <w:rsid w:val="43487212"/>
    <w:rsid w:val="435BB089"/>
    <w:rsid w:val="43B593D4"/>
    <w:rsid w:val="43B59C24"/>
    <w:rsid w:val="43D14271"/>
    <w:rsid w:val="43ED7F90"/>
    <w:rsid w:val="43F516AB"/>
    <w:rsid w:val="44F7A59F"/>
    <w:rsid w:val="44FEF5C5"/>
    <w:rsid w:val="4505DAC0"/>
    <w:rsid w:val="451961BA"/>
    <w:rsid w:val="4543EA42"/>
    <w:rsid w:val="454AF7AB"/>
    <w:rsid w:val="4575B91D"/>
    <w:rsid w:val="45985739"/>
    <w:rsid w:val="45A7A093"/>
    <w:rsid w:val="45C001B4"/>
    <w:rsid w:val="46250E5F"/>
    <w:rsid w:val="463BAEB1"/>
    <w:rsid w:val="4644F979"/>
    <w:rsid w:val="465DA9D6"/>
    <w:rsid w:val="468012D4"/>
    <w:rsid w:val="47269C5B"/>
    <w:rsid w:val="472F864B"/>
    <w:rsid w:val="47B609E9"/>
    <w:rsid w:val="47F18CB1"/>
    <w:rsid w:val="47F9496B"/>
    <w:rsid w:val="48165D5B"/>
    <w:rsid w:val="48587AA5"/>
    <w:rsid w:val="4872A3B2"/>
    <w:rsid w:val="48A187A5"/>
    <w:rsid w:val="48BAB002"/>
    <w:rsid w:val="48F03B6F"/>
    <w:rsid w:val="4968EBAE"/>
    <w:rsid w:val="499C22C1"/>
    <w:rsid w:val="4A568063"/>
    <w:rsid w:val="4B2E91BE"/>
    <w:rsid w:val="4BB923B1"/>
    <w:rsid w:val="4BE0E521"/>
    <w:rsid w:val="4C64ABE1"/>
    <w:rsid w:val="4D7CB582"/>
    <w:rsid w:val="4DA3566A"/>
    <w:rsid w:val="4F00A797"/>
    <w:rsid w:val="4F010126"/>
    <w:rsid w:val="4F43808F"/>
    <w:rsid w:val="4FA20730"/>
    <w:rsid w:val="4FF36636"/>
    <w:rsid w:val="50095179"/>
    <w:rsid w:val="50281C94"/>
    <w:rsid w:val="5042B7C5"/>
    <w:rsid w:val="509748AB"/>
    <w:rsid w:val="50AC998A"/>
    <w:rsid w:val="50BEB779"/>
    <w:rsid w:val="51125BBA"/>
    <w:rsid w:val="5181F01A"/>
    <w:rsid w:val="51D06F76"/>
    <w:rsid w:val="5216C730"/>
    <w:rsid w:val="522FCC79"/>
    <w:rsid w:val="523D3C30"/>
    <w:rsid w:val="52568836"/>
    <w:rsid w:val="525A86DF"/>
    <w:rsid w:val="5263D902"/>
    <w:rsid w:val="52980A59"/>
    <w:rsid w:val="53230481"/>
    <w:rsid w:val="53261407"/>
    <w:rsid w:val="533B4E92"/>
    <w:rsid w:val="533DE5F9"/>
    <w:rsid w:val="53834EC6"/>
    <w:rsid w:val="538D687B"/>
    <w:rsid w:val="53C70F32"/>
    <w:rsid w:val="540B90E0"/>
    <w:rsid w:val="5421F3FC"/>
    <w:rsid w:val="5494A4BB"/>
    <w:rsid w:val="54A825A1"/>
    <w:rsid w:val="555A347B"/>
    <w:rsid w:val="555D7DB1"/>
    <w:rsid w:val="557EAEC6"/>
    <w:rsid w:val="55915101"/>
    <w:rsid w:val="55B2C806"/>
    <w:rsid w:val="561C91F8"/>
    <w:rsid w:val="563B3805"/>
    <w:rsid w:val="565FE155"/>
    <w:rsid w:val="5699293C"/>
    <w:rsid w:val="56A5DA4A"/>
    <w:rsid w:val="572D204D"/>
    <w:rsid w:val="573D969F"/>
    <w:rsid w:val="5751667B"/>
    <w:rsid w:val="57B8925E"/>
    <w:rsid w:val="57D9ABE9"/>
    <w:rsid w:val="57DC3A7C"/>
    <w:rsid w:val="57DDF2F6"/>
    <w:rsid w:val="57E6E277"/>
    <w:rsid w:val="58119A89"/>
    <w:rsid w:val="58BDCBD3"/>
    <w:rsid w:val="58E835AB"/>
    <w:rsid w:val="58EDBF38"/>
    <w:rsid w:val="596D6967"/>
    <w:rsid w:val="598A38B7"/>
    <w:rsid w:val="59907805"/>
    <w:rsid w:val="59D483D5"/>
    <w:rsid w:val="5A7AD264"/>
    <w:rsid w:val="5AA7993C"/>
    <w:rsid w:val="5AA871F6"/>
    <w:rsid w:val="5AF777FF"/>
    <w:rsid w:val="5B6796E1"/>
    <w:rsid w:val="5BDF842E"/>
    <w:rsid w:val="5BED2072"/>
    <w:rsid w:val="5C0DCB05"/>
    <w:rsid w:val="5C662E22"/>
    <w:rsid w:val="5C7C0583"/>
    <w:rsid w:val="5C9076B2"/>
    <w:rsid w:val="5CA8FF8B"/>
    <w:rsid w:val="5CF18A98"/>
    <w:rsid w:val="5D1BB879"/>
    <w:rsid w:val="5D3CCDFE"/>
    <w:rsid w:val="5DC57EFD"/>
    <w:rsid w:val="5E5643DA"/>
    <w:rsid w:val="5ED79126"/>
    <w:rsid w:val="5F0CDE85"/>
    <w:rsid w:val="5F1320A4"/>
    <w:rsid w:val="5F2E0F9A"/>
    <w:rsid w:val="5F615E13"/>
    <w:rsid w:val="5FE904DB"/>
    <w:rsid w:val="60937AC1"/>
    <w:rsid w:val="61133836"/>
    <w:rsid w:val="614B17E2"/>
    <w:rsid w:val="6182618D"/>
    <w:rsid w:val="61CBC840"/>
    <w:rsid w:val="61DB119A"/>
    <w:rsid w:val="62141FEF"/>
    <w:rsid w:val="62169162"/>
    <w:rsid w:val="626E36FA"/>
    <w:rsid w:val="62D53E10"/>
    <w:rsid w:val="62F4B9A1"/>
    <w:rsid w:val="6339284B"/>
    <w:rsid w:val="634115D1"/>
    <w:rsid w:val="635F038B"/>
    <w:rsid w:val="6376E1FB"/>
    <w:rsid w:val="63B165E3"/>
    <w:rsid w:val="63C23F30"/>
    <w:rsid w:val="63E91821"/>
    <w:rsid w:val="6414A5F9"/>
    <w:rsid w:val="64639EAD"/>
    <w:rsid w:val="6470CC0C"/>
    <w:rsid w:val="64DD3E96"/>
    <w:rsid w:val="652EA403"/>
    <w:rsid w:val="65B0765A"/>
    <w:rsid w:val="65C63264"/>
    <w:rsid w:val="661149E0"/>
    <w:rsid w:val="6660F14F"/>
    <w:rsid w:val="6661010A"/>
    <w:rsid w:val="66ADC859"/>
    <w:rsid w:val="67405D26"/>
    <w:rsid w:val="689F70DB"/>
    <w:rsid w:val="68DC2D87"/>
    <w:rsid w:val="68DFF182"/>
    <w:rsid w:val="68FCB601"/>
    <w:rsid w:val="68FE7594"/>
    <w:rsid w:val="695F67D8"/>
    <w:rsid w:val="69CE450F"/>
    <w:rsid w:val="69F7BBB0"/>
    <w:rsid w:val="6AA0F21F"/>
    <w:rsid w:val="6AE2771D"/>
    <w:rsid w:val="6AE6024F"/>
    <w:rsid w:val="6B42BAAC"/>
    <w:rsid w:val="6B811919"/>
    <w:rsid w:val="6BAE01C9"/>
    <w:rsid w:val="6BDA8E1E"/>
    <w:rsid w:val="6CD4DCD6"/>
    <w:rsid w:val="6D132483"/>
    <w:rsid w:val="6D3933B4"/>
    <w:rsid w:val="6D72E1FE"/>
    <w:rsid w:val="6D765E7F"/>
    <w:rsid w:val="6D89C2A6"/>
    <w:rsid w:val="6E1AEF6C"/>
    <w:rsid w:val="6E986B2E"/>
    <w:rsid w:val="6EFE2596"/>
    <w:rsid w:val="701F98D9"/>
    <w:rsid w:val="704A14A6"/>
    <w:rsid w:val="70744D1D"/>
    <w:rsid w:val="70936AC5"/>
    <w:rsid w:val="70EF1DE3"/>
    <w:rsid w:val="71216EE6"/>
    <w:rsid w:val="71366FBF"/>
    <w:rsid w:val="71A8CE97"/>
    <w:rsid w:val="724FB9E7"/>
    <w:rsid w:val="7286A754"/>
    <w:rsid w:val="729AE18F"/>
    <w:rsid w:val="72A7FCAE"/>
    <w:rsid w:val="72AFBAF3"/>
    <w:rsid w:val="733A1614"/>
    <w:rsid w:val="735708CF"/>
    <w:rsid w:val="73992BBC"/>
    <w:rsid w:val="73F07696"/>
    <w:rsid w:val="73F4D496"/>
    <w:rsid w:val="74CDDFAB"/>
    <w:rsid w:val="7512730A"/>
    <w:rsid w:val="75A5732D"/>
    <w:rsid w:val="75CA5AA5"/>
    <w:rsid w:val="75EB578C"/>
    <w:rsid w:val="765C535B"/>
    <w:rsid w:val="76E015FA"/>
    <w:rsid w:val="76FDCEC8"/>
    <w:rsid w:val="772B626F"/>
    <w:rsid w:val="7756DFD1"/>
    <w:rsid w:val="778C4482"/>
    <w:rsid w:val="77C64641"/>
    <w:rsid w:val="77E9303A"/>
    <w:rsid w:val="77F37AA5"/>
    <w:rsid w:val="7820AFB2"/>
    <w:rsid w:val="785738FD"/>
    <w:rsid w:val="78999F29"/>
    <w:rsid w:val="79369FDF"/>
    <w:rsid w:val="79758577"/>
    <w:rsid w:val="797CE13F"/>
    <w:rsid w:val="79866EB3"/>
    <w:rsid w:val="79C67B1F"/>
    <w:rsid w:val="79E10647"/>
    <w:rsid w:val="7A17B6BC"/>
    <w:rsid w:val="7A3BA55C"/>
    <w:rsid w:val="7A5881F5"/>
    <w:rsid w:val="7A80ADD1"/>
    <w:rsid w:val="7A8C7EC7"/>
    <w:rsid w:val="7AFEBA44"/>
    <w:rsid w:val="7B516A13"/>
    <w:rsid w:val="7BDAFE93"/>
    <w:rsid w:val="7C11C3D9"/>
    <w:rsid w:val="7C67AFF6"/>
    <w:rsid w:val="7CCEB880"/>
    <w:rsid w:val="7CFDEB15"/>
    <w:rsid w:val="7D745086"/>
    <w:rsid w:val="7DC2CF89"/>
    <w:rsid w:val="7DE09A6F"/>
    <w:rsid w:val="7E177B0A"/>
    <w:rsid w:val="7E5C6EC4"/>
    <w:rsid w:val="7E684987"/>
    <w:rsid w:val="7E76A296"/>
    <w:rsid w:val="7ED210D9"/>
    <w:rsid w:val="7ED7A5F2"/>
    <w:rsid w:val="7EE2F258"/>
    <w:rsid w:val="7F19F661"/>
    <w:rsid w:val="7F1A086F"/>
    <w:rsid w:val="7F51A2F5"/>
    <w:rsid w:val="7F70D2A5"/>
    <w:rsid w:val="7FD4D11D"/>
    <w:rsid w:val="7F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9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66032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101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auto"/>
      <w:sz w:val="3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20101"/>
    <w:pPr>
      <w:spacing w:before="240" w:after="120" w:line="240" w:lineRule="auto"/>
      <w:outlineLvl w:val="1"/>
    </w:pPr>
    <w:rPr>
      <w:bC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1D3DCA"/>
    <w:pPr>
      <w:outlineLvl w:val="2"/>
    </w:pPr>
    <w:rPr>
      <w:rFonts w:asciiTheme="minorHAnsi" w:hAnsiTheme="minorHAnsi" w:cstheme="minorHAnsi"/>
      <w:bCs/>
      <w:iCs/>
      <w:caps w:val="0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line="280" w:lineRule="atLeast"/>
      <w:outlineLvl w:val="3"/>
    </w:pPr>
    <w:rPr>
      <w:iCs w:val="0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71AD8"/>
    <w:pPr>
      <w:spacing w:line="200" w:lineRule="atLeast"/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101"/>
    <w:rPr>
      <w:rFonts w:asciiTheme="majorHAnsi" w:eastAsiaTheme="majorEastAsia" w:hAnsiTheme="majorHAnsi" w:cstheme="majorBidi"/>
      <w:b/>
      <w:bCs/>
      <w:caps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20101"/>
    <w:rPr>
      <w:rFonts w:asciiTheme="majorHAnsi" w:eastAsiaTheme="majorEastAsia" w:hAnsiTheme="majorHAnsi" w:cstheme="majorBidi"/>
      <w:b/>
      <w:cap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D3DCA"/>
    <w:rPr>
      <w:rFonts w:eastAsiaTheme="majorEastAsia" w:cstheme="minorHAnsi"/>
      <w:b/>
      <w:bCs/>
      <w:iCs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B71AD8"/>
    <w:pPr>
      <w:numPr>
        <w:numId w:val="16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13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12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12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12"/>
      </w:numPr>
      <w:spacing w:before="300" w:after="60"/>
    </w:pPr>
  </w:style>
  <w:style w:type="numbering" w:customStyle="1" w:styleId="BulletsList">
    <w:name w:val="Bullets List"/>
    <w:uiPriority w:val="99"/>
    <w:rsid w:val="00B71AD8"/>
    <w:pPr>
      <w:numPr>
        <w:numId w:val="7"/>
      </w:numPr>
    </w:pPr>
  </w:style>
  <w:style w:type="numbering" w:customStyle="1" w:styleId="Numberedlist">
    <w:name w:val="Numbered list"/>
    <w:uiPriority w:val="99"/>
    <w:rsid w:val="00F2684E"/>
    <w:pPr>
      <w:numPr>
        <w:numId w:val="8"/>
      </w:numPr>
    </w:pPr>
  </w:style>
  <w:style w:type="numbering" w:customStyle="1" w:styleId="HeadingsList">
    <w:name w:val="Headings List"/>
    <w:uiPriority w:val="99"/>
    <w:rsid w:val="001E1DC0"/>
    <w:pPr>
      <w:numPr>
        <w:numId w:val="9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10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B71AD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1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71AD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244229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14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15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locked/>
    <w:rsid w:val="00A97244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link w:val="ListParagraph"/>
    <w:uiPriority w:val="34"/>
    <w:qFormat/>
    <w:locked/>
    <w:rsid w:val="00A97244"/>
    <w:rPr>
      <w:color w:val="495965" w:themeColor="text2"/>
      <w:lang w:val="en-GB"/>
    </w:rPr>
  </w:style>
  <w:style w:type="table" w:customStyle="1" w:styleId="DFATTable11">
    <w:name w:val="DFAT Table 11"/>
    <w:basedOn w:val="TableNormal"/>
    <w:uiPriority w:val="99"/>
    <w:rsid w:val="00E4584F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table" w:styleId="GridTable4-Accent1">
    <w:name w:val="Grid Table 4 Accent 1"/>
    <w:basedOn w:val="TableNormal"/>
    <w:uiPriority w:val="49"/>
    <w:locked/>
    <w:rsid w:val="00DC238C"/>
    <w:pPr>
      <w:spacing w:after="0" w:line="240" w:lineRule="auto"/>
    </w:pPr>
    <w:tblPr>
      <w:tblStyleRowBandSize w:val="1"/>
      <w:tblStyleColBandSize w:val="1"/>
      <w:tblBorders>
        <w:top w:val="single" w:sz="4" w:space="0" w:color="A2DCD1" w:themeColor="accent1" w:themeTint="99"/>
        <w:left w:val="single" w:sz="4" w:space="0" w:color="A2DCD1" w:themeColor="accent1" w:themeTint="99"/>
        <w:bottom w:val="single" w:sz="4" w:space="0" w:color="A2DCD1" w:themeColor="accent1" w:themeTint="99"/>
        <w:right w:val="single" w:sz="4" w:space="0" w:color="A2DCD1" w:themeColor="accent1" w:themeTint="99"/>
        <w:insideH w:val="single" w:sz="4" w:space="0" w:color="A2DCD1" w:themeColor="accent1" w:themeTint="99"/>
        <w:insideV w:val="single" w:sz="4" w:space="0" w:color="A2DC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</w:rPr>
      <w:tblPr/>
      <w:tcPr>
        <w:tcBorders>
          <w:top w:val="double" w:sz="4" w:space="0" w:color="65C5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F" w:themeFill="accent1" w:themeFillTint="33"/>
      </w:tcPr>
    </w:tblStylePr>
    <w:tblStylePr w:type="band1Horz">
      <w:tblPr/>
      <w:tcPr>
        <w:shd w:val="clear" w:color="auto" w:fill="E0F3EF" w:themeFill="accent1" w:themeFillTint="33"/>
      </w:tcPr>
    </w:tblStylePr>
  </w:style>
  <w:style w:type="table" w:customStyle="1" w:styleId="APPR">
    <w:name w:val="APPR"/>
    <w:basedOn w:val="TableNormal"/>
    <w:uiPriority w:val="99"/>
    <w:rsid w:val="00681633"/>
    <w:pPr>
      <w:spacing w:after="0" w:line="240" w:lineRule="auto"/>
    </w:pPr>
    <w:rPr>
      <w:rFonts w:ascii="Franklin Gothic Book" w:hAnsi="Franklin Gothic Book"/>
      <w:sz w:val="17"/>
      <w:lang w:eastAsia="en-AU"/>
    </w:rPr>
    <w:tblPr>
      <w:tblStyleRowBandSize w:val="1"/>
      <w:tblCellSpacing w:w="14" w:type="dxa"/>
      <w:tblBorders>
        <w:top w:val="single" w:sz="12" w:space="0" w:color="000000" w:themeColor="text1"/>
        <w:bottom w:val="single" w:sz="12" w:space="0" w:color="000000" w:themeColor="text1"/>
      </w:tblBorders>
    </w:tblPr>
    <w:trPr>
      <w:tblHeader/>
      <w:tblCellSpacing w:w="14" w:type="dxa"/>
    </w:trPr>
    <w:tblStylePr w:type="firstRow">
      <w:pPr>
        <w:wordWrap/>
      </w:pPr>
      <w:rPr>
        <w:rFonts w:ascii="Franklin Gothic Medium" w:hAnsi="Franklin Gothic Medium"/>
        <w:b/>
        <w:sz w:val="17"/>
      </w:rPr>
      <w:tblPr/>
      <w:tcPr>
        <w:tcBorders>
          <w:top w:val="nil"/>
          <w:bottom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8C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1F60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y2iqfc">
    <w:name w:val="y2iqfc"/>
    <w:basedOn w:val="DefaultParagraphFont"/>
    <w:rsid w:val="008C1F60"/>
  </w:style>
  <w:style w:type="character" w:styleId="UnresolvedMention">
    <w:name w:val="Unresolved Mention"/>
    <w:basedOn w:val="DefaultParagraphFont"/>
    <w:uiPriority w:val="99"/>
    <w:unhideWhenUsed/>
    <w:rsid w:val="00844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10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73AEA"/>
    <w:pPr>
      <w:spacing w:after="0" w:line="240" w:lineRule="auto"/>
    </w:pPr>
    <w:rPr>
      <w:color w:val="495965" w:themeColor="text2"/>
      <w:lang w:val="en-GB"/>
    </w:rPr>
  </w:style>
  <w:style w:type="character" w:customStyle="1" w:styleId="ui-provider">
    <w:name w:val="ui-provider"/>
    <w:basedOn w:val="DefaultParagraphFont"/>
    <w:rsid w:val="0086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iar.gov.au/project/agb-2019-15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4CF51C84DCD4692C0DBE656617F0B" ma:contentTypeVersion="9" ma:contentTypeDescription="Create a new document." ma:contentTypeScope="" ma:versionID="b43cc67f5971412b5aa5e1fe230ff620">
  <xsd:schema xmlns:xsd="http://www.w3.org/2001/XMLSchema" xmlns:xs="http://www.w3.org/2001/XMLSchema" xmlns:p="http://schemas.microsoft.com/office/2006/metadata/properties" xmlns:ns2="78d0bf03-9cf1-435a-9150-bb1741ef4aca" xmlns:ns3="b968483e-5775-4ddf-9a20-dc883da9a1ba" targetNamespace="http://schemas.microsoft.com/office/2006/metadata/properties" ma:root="true" ma:fieldsID="188315cb295a3cf91f28238864ed215d" ns2:_="" ns3:_="">
    <xsd:import namespace="78d0bf03-9cf1-435a-9150-bb1741ef4aca"/>
    <xsd:import namespace="b968483e-5775-4ddf-9a20-dc883da9a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0bf03-9cf1-435a-9150-bb1741ef4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8483e-5775-4ddf-9a20-dc883da9a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55413-C6F6-4B2E-946E-42B4E26591A6}">
  <ds:schemaRefs>
    <ds:schemaRef ds:uri="b968483e-5775-4ddf-9a20-dc883da9a1ba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8d0bf03-9cf1-435a-9150-bb1741ef4a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F9D400-8AF7-4434-87B4-1127DA6226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8CECB7-96E5-460E-A9AA-5A834699B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0bf03-9cf1-435a-9150-bb1741ef4aca"/>
    <ds:schemaRef ds:uri="b968483e-5775-4ddf-9a20-dc883da9a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E48E43-4209-4146-8E59-4D0F09FF91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1343</Words>
  <Characters>8205</Characters>
  <Application>Microsoft Office Word</Application>
  <DocSecurity>0</DocSecurity>
  <Lines>273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- Covid-response-progress-report-template - updated 2022</vt:lpstr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Vietnam Development Program Progress Report</dc:title>
  <dc:subject/>
  <dc:creator/>
  <cp:keywords>[SEC=OFFICIAL]</cp:keywords>
  <cp:lastModifiedBy/>
  <cp:revision>1</cp:revision>
  <dcterms:created xsi:type="dcterms:W3CDTF">2023-10-30T22:41:00Z</dcterms:created>
  <dcterms:modified xsi:type="dcterms:W3CDTF">2023-11-22T02:53:00Z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64e0aaa1-fff8-40c4-b3d5-ccbb449ce979</vt:lpwstr>
  </property>
  <property fmtid="{D5CDD505-2E9C-101B-9397-08002B2CF9AE}" pid="3" name="SEC">
    <vt:lpwstr>OFFICIAL</vt:lpwstr>
  </property>
  <property fmtid="{D5CDD505-2E9C-101B-9397-08002B2CF9AE}" pid="4" name="PM_MinimumSecurityClassification">
    <vt:lpwstr>OFFICIAL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63FA5E0138FE4A06847B5F31F02136CD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D9F6E5C82DFAF7AB6E3D596D48DD43C72EDFDAB4</vt:lpwstr>
  </property>
  <property fmtid="{D5CDD505-2E9C-101B-9397-08002B2CF9AE}" pid="13" name="PM_OriginationTimeStamp">
    <vt:lpwstr>2023-06-12T09:10:10Z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Header">
    <vt:lpwstr>C:\Program Files (x86)\Common Files\janusNET Shared\janusSEAL\Images\DocumentSlashBlue.png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2022.1</vt:lpwstr>
  </property>
  <property fmtid="{D5CDD505-2E9C-101B-9397-08002B2CF9AE}" pid="22" name="PM_Hash_Salt_Prev">
    <vt:lpwstr>B8D0825449CF2AB5F182AEF4240D4C99</vt:lpwstr>
  </property>
  <property fmtid="{D5CDD505-2E9C-101B-9397-08002B2CF9AE}" pid="23" name="PM_Hash_Salt">
    <vt:lpwstr>DF9B3D68C57343590DC7343A063A15C6</vt:lpwstr>
  </property>
  <property fmtid="{D5CDD505-2E9C-101B-9397-08002B2CF9AE}" pid="24" name="PM_Hash_SHA1">
    <vt:lpwstr>8901E13463BE0EFC28D2C18844A00300D88E83A9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0x0101007D14CF51C84DCD4692C0DBE656617F0B</vt:lpwstr>
  </property>
  <property fmtid="{D5CDD505-2E9C-101B-9397-08002B2CF9AE}" pid="28" name="PM_Display">
    <vt:lpwstr>OFFICIAL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OriginatorUserAccountName_SHA256">
    <vt:lpwstr>3E9DB5AB808CA91EB3E8EC398CDB7F67B110581D6BB28BC88565729DCE387350</vt:lpwstr>
  </property>
  <property fmtid="{D5CDD505-2E9C-101B-9397-08002B2CF9AE}" pid="31" name="PM_OriginatorDomainName_SHA256">
    <vt:lpwstr>6F3591835F3B2A8A025B00B5BA6418010DA3A17C9C26EA9C049FFD28039489A2</vt:lpwstr>
  </property>
  <property fmtid="{D5CDD505-2E9C-101B-9397-08002B2CF9AE}" pid="32" name="PMHMAC">
    <vt:lpwstr>v=2022.1;a=SHA256;h=DA535B00F66003C527FB7BCACB7BE863ABEAAD17C46291FEBD108D9A6F57D523</vt:lpwstr>
  </property>
</Properties>
</file>