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53BE0" w14:textId="77777777" w:rsidR="00DF5CB8" w:rsidRDefault="00DF5CB8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  <w:bookmarkStart w:id="0" w:name="_GoBack"/>
      <w:bookmarkEnd w:id="0"/>
    </w:p>
    <w:p w14:paraId="10EA539C" w14:textId="77777777" w:rsidR="00E9569C" w:rsidRDefault="00E9569C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</w:p>
    <w:p w14:paraId="61B6E228" w14:textId="6A31BB46" w:rsidR="00425352" w:rsidRPr="00B40229" w:rsidRDefault="00425352" w:rsidP="00425352">
      <w:pPr>
        <w:pStyle w:val="NormalWeb"/>
        <w:spacing w:before="2" w:after="2"/>
        <w:jc w:val="center"/>
        <w:rPr>
          <w:lang w:val="en-GB"/>
        </w:rPr>
      </w:pPr>
      <w:r w:rsidRPr="00B40229">
        <w:rPr>
          <w:rFonts w:ascii="Georgia" w:hAnsi="Georgia"/>
          <w:b/>
          <w:bCs/>
          <w:lang w:val="en-GB"/>
        </w:rPr>
        <w:t>Group of Friends of R2P Geneva</w:t>
      </w:r>
    </w:p>
    <w:p w14:paraId="400EF3F2" w14:textId="77777777" w:rsidR="00425352" w:rsidRPr="00B40229" w:rsidRDefault="00425352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  <w:r w:rsidRPr="00B40229">
        <w:rPr>
          <w:rFonts w:ascii="Georgia" w:hAnsi="Georgia"/>
          <w:b/>
          <w:bCs/>
          <w:lang w:val="en-GB"/>
        </w:rPr>
        <w:t>Statement on Item 2 - Annual report of the United Nations High Commissioner for Human Rights and reports of the Office of the High Commissioner and the Secretary-General</w:t>
      </w:r>
    </w:p>
    <w:p w14:paraId="18B15578" w14:textId="77777777" w:rsidR="00425352" w:rsidRPr="00D03E58" w:rsidRDefault="00425352" w:rsidP="00425352">
      <w:pPr>
        <w:pStyle w:val="NormalWeb"/>
        <w:spacing w:before="2" w:after="2"/>
        <w:jc w:val="both"/>
        <w:rPr>
          <w:lang w:val="en-GB"/>
        </w:rPr>
      </w:pPr>
    </w:p>
    <w:p w14:paraId="6628AC2A" w14:textId="77777777" w:rsidR="00E95DE9" w:rsidRPr="00F20C85" w:rsidRDefault="00425352" w:rsidP="00425352">
      <w:pPr>
        <w:jc w:val="right"/>
        <w:rPr>
          <w:rFonts w:ascii="Georgia" w:hAnsi="Georgia"/>
          <w:i/>
          <w:iCs/>
          <w:sz w:val="20"/>
          <w:szCs w:val="20"/>
          <w:lang w:val="en-GB"/>
        </w:rPr>
      </w:pPr>
      <w:r w:rsidRPr="00F20C85">
        <w:rPr>
          <w:rFonts w:ascii="Georgia" w:hAnsi="Georgia"/>
          <w:i/>
          <w:iCs/>
          <w:sz w:val="20"/>
          <w:szCs w:val="20"/>
          <w:lang w:val="en-GB"/>
        </w:rPr>
        <w:t>27 February 2020</w:t>
      </w:r>
    </w:p>
    <w:p w14:paraId="4161C3B7" w14:textId="77777777" w:rsidR="00425352" w:rsidRDefault="00425352" w:rsidP="00425352">
      <w:pPr>
        <w:jc w:val="right"/>
        <w:rPr>
          <w:rFonts w:ascii="Georgia" w:hAnsi="Georgia"/>
          <w:i/>
          <w:iCs/>
          <w:sz w:val="22"/>
          <w:szCs w:val="22"/>
          <w:lang w:val="en-GB"/>
        </w:rPr>
      </w:pPr>
    </w:p>
    <w:p w14:paraId="5E9E1201" w14:textId="77777777" w:rsidR="00425352" w:rsidRPr="00802DE9" w:rsidRDefault="00425352" w:rsidP="00425352">
      <w:pPr>
        <w:rPr>
          <w:rFonts w:ascii="Georgia" w:hAnsi="Georgia"/>
          <w:sz w:val="20"/>
          <w:szCs w:val="20"/>
          <w:lang w:val="en-GB"/>
        </w:rPr>
      </w:pPr>
      <w:r w:rsidRPr="00802DE9">
        <w:rPr>
          <w:rFonts w:ascii="Georgia" w:hAnsi="Georgia"/>
          <w:sz w:val="20"/>
          <w:szCs w:val="20"/>
          <w:lang w:val="en-GB"/>
        </w:rPr>
        <w:t>Mr. President,</w:t>
      </w:r>
    </w:p>
    <w:p w14:paraId="712597FD" w14:textId="77777777" w:rsidR="00425352" w:rsidRPr="00802DE9" w:rsidRDefault="00425352" w:rsidP="00425352">
      <w:pPr>
        <w:rPr>
          <w:rFonts w:ascii="Georgia" w:hAnsi="Georgia"/>
          <w:i/>
          <w:iCs/>
          <w:sz w:val="20"/>
          <w:szCs w:val="20"/>
          <w:lang w:val="en-GB"/>
        </w:rPr>
      </w:pPr>
      <w:r w:rsidRPr="00802DE9">
        <w:rPr>
          <w:rFonts w:ascii="Georgia" w:hAnsi="Georgia"/>
          <w:i/>
          <w:iCs/>
          <w:sz w:val="20"/>
          <w:szCs w:val="20"/>
          <w:lang w:val="en-GB"/>
        </w:rPr>
        <w:t xml:space="preserve"> </w:t>
      </w:r>
    </w:p>
    <w:p w14:paraId="4A44A6C4" w14:textId="77777777" w:rsidR="00B73630" w:rsidRPr="00802DE9" w:rsidRDefault="00425352" w:rsidP="00425352">
      <w:pPr>
        <w:pStyle w:val="NormalWeb"/>
        <w:spacing w:before="2" w:after="2"/>
        <w:jc w:val="both"/>
        <w:rPr>
          <w:rFonts w:ascii="Georgia" w:hAnsi="Georgia"/>
          <w:lang w:val="en-GB"/>
        </w:rPr>
      </w:pPr>
      <w:r w:rsidRPr="00802DE9">
        <w:rPr>
          <w:rFonts w:ascii="Georgia" w:hAnsi="Georgia"/>
          <w:lang w:val="en-GB"/>
        </w:rPr>
        <w:t xml:space="preserve">I have the honour to deliver this statement on behalf of members of the Group of Friends of the Responsibility to Protect. </w:t>
      </w:r>
    </w:p>
    <w:p w14:paraId="46BE8FBC" w14:textId="77777777" w:rsidR="00425352" w:rsidRPr="00802DE9" w:rsidRDefault="00425352" w:rsidP="00425352">
      <w:pPr>
        <w:pStyle w:val="NormalWeb"/>
        <w:spacing w:before="2" w:after="2"/>
        <w:jc w:val="both"/>
        <w:rPr>
          <w:lang w:val="en-GB"/>
        </w:rPr>
      </w:pPr>
    </w:p>
    <w:p w14:paraId="179CF3AB" w14:textId="20BBABA5" w:rsidR="00B73630" w:rsidRPr="00802DE9" w:rsidRDefault="00425352" w:rsidP="00B73630">
      <w:pPr>
        <w:jc w:val="both"/>
        <w:rPr>
          <w:rFonts w:ascii="Georgia" w:hAnsi="Georgia"/>
          <w:sz w:val="20"/>
          <w:szCs w:val="20"/>
          <w:lang w:val="en-GB"/>
        </w:rPr>
      </w:pPr>
      <w:r w:rsidRPr="00802DE9">
        <w:rPr>
          <w:rFonts w:ascii="Georgia" w:hAnsi="Georgia"/>
          <w:sz w:val="20"/>
          <w:szCs w:val="20"/>
          <w:lang w:val="en-GB"/>
        </w:rPr>
        <w:t xml:space="preserve">We </w:t>
      </w:r>
      <w:r w:rsidR="00EB5776">
        <w:rPr>
          <w:rFonts w:ascii="Georgia" w:hAnsi="Georgia"/>
          <w:sz w:val="20"/>
          <w:szCs w:val="20"/>
          <w:lang w:val="en-GB"/>
        </w:rPr>
        <w:t>thank</w:t>
      </w:r>
      <w:r w:rsidRPr="00802DE9">
        <w:rPr>
          <w:rFonts w:ascii="Georgia" w:hAnsi="Georgia"/>
          <w:sz w:val="20"/>
          <w:szCs w:val="20"/>
          <w:lang w:val="en-GB"/>
        </w:rPr>
        <w:t xml:space="preserve"> the High Commissioner</w:t>
      </w:r>
      <w:r w:rsidR="00B73630" w:rsidRPr="00802DE9">
        <w:rPr>
          <w:rFonts w:ascii="Georgia" w:hAnsi="Georgia"/>
          <w:sz w:val="20"/>
          <w:szCs w:val="20"/>
          <w:lang w:val="en-GB"/>
        </w:rPr>
        <w:t xml:space="preserve"> for her tireless efforts to report on</w:t>
      </w:r>
      <w:r w:rsidR="00EB5776">
        <w:rPr>
          <w:rFonts w:ascii="Georgia" w:hAnsi="Georgia"/>
          <w:sz w:val="20"/>
          <w:szCs w:val="20"/>
          <w:lang w:val="en-GB"/>
        </w:rPr>
        <w:t xml:space="preserve"> </w:t>
      </w:r>
      <w:r w:rsidR="00B73630" w:rsidRPr="00802DE9">
        <w:rPr>
          <w:rFonts w:ascii="Georgia" w:hAnsi="Georgia"/>
          <w:sz w:val="20"/>
          <w:szCs w:val="20"/>
          <w:lang w:val="en-GB"/>
        </w:rPr>
        <w:t>human rights violations and abuses and urg</w:t>
      </w:r>
      <w:r w:rsidR="00D37F0D">
        <w:rPr>
          <w:rFonts w:ascii="Georgia" w:hAnsi="Georgia"/>
          <w:sz w:val="20"/>
          <w:szCs w:val="20"/>
          <w:lang w:val="en-GB"/>
        </w:rPr>
        <w:t>e</w:t>
      </w:r>
      <w:r w:rsidR="00B73630" w:rsidRPr="00802DE9">
        <w:rPr>
          <w:rFonts w:ascii="Georgia" w:hAnsi="Georgia"/>
          <w:sz w:val="20"/>
          <w:szCs w:val="20"/>
          <w:lang w:val="en-GB"/>
        </w:rPr>
        <w:t xml:space="preserve"> the international community to</w:t>
      </w:r>
      <w:r w:rsidR="008959FB" w:rsidRPr="00802DE9">
        <w:rPr>
          <w:rFonts w:ascii="Georgia" w:hAnsi="Georgia"/>
          <w:sz w:val="20"/>
          <w:szCs w:val="20"/>
          <w:lang w:val="en-GB"/>
        </w:rPr>
        <w:t xml:space="preserve"> </w:t>
      </w:r>
      <w:r w:rsidR="00B73630" w:rsidRPr="00802DE9">
        <w:rPr>
          <w:rFonts w:ascii="Georgia" w:hAnsi="Georgia"/>
          <w:sz w:val="20"/>
          <w:szCs w:val="20"/>
          <w:lang w:val="en-GB"/>
        </w:rPr>
        <w:t>protect vulnerable populations</w:t>
      </w:r>
      <w:r w:rsidR="00090282">
        <w:rPr>
          <w:rFonts w:ascii="Georgia" w:hAnsi="Georgia"/>
          <w:sz w:val="20"/>
          <w:szCs w:val="20"/>
          <w:lang w:val="en-GB"/>
        </w:rPr>
        <w:t xml:space="preserve"> around the world</w:t>
      </w:r>
      <w:r w:rsidR="00B73630" w:rsidRPr="00802DE9">
        <w:rPr>
          <w:rFonts w:ascii="Georgia" w:hAnsi="Georgia"/>
          <w:sz w:val="20"/>
          <w:szCs w:val="20"/>
          <w:lang w:val="en-GB"/>
        </w:rPr>
        <w:t xml:space="preserve">. </w:t>
      </w:r>
      <w:r w:rsidR="00EB5776">
        <w:rPr>
          <w:rFonts w:ascii="Georgia" w:hAnsi="Georgia"/>
          <w:sz w:val="20"/>
          <w:szCs w:val="20"/>
          <w:lang w:val="en-GB"/>
        </w:rPr>
        <w:t>G</w:t>
      </w:r>
      <w:r w:rsidR="009B2CDC" w:rsidRPr="00802DE9">
        <w:rPr>
          <w:rFonts w:ascii="Georgia" w:hAnsi="Georgia"/>
          <w:sz w:val="20"/>
          <w:szCs w:val="20"/>
          <w:lang w:val="en-GB"/>
        </w:rPr>
        <w:t xml:space="preserve">ross human rights violations </w:t>
      </w:r>
      <w:r w:rsidR="00EB5776">
        <w:rPr>
          <w:rFonts w:ascii="Georgia" w:hAnsi="Georgia"/>
          <w:sz w:val="20"/>
          <w:szCs w:val="20"/>
          <w:lang w:val="en-GB"/>
        </w:rPr>
        <w:t>often serve</w:t>
      </w:r>
      <w:r w:rsidR="009B2CDC" w:rsidRPr="00802DE9">
        <w:rPr>
          <w:rFonts w:ascii="Georgia" w:hAnsi="Georgia"/>
          <w:sz w:val="20"/>
          <w:szCs w:val="20"/>
          <w:lang w:val="en-GB"/>
        </w:rPr>
        <w:t xml:space="preserve"> as early warning signs of situations that may escalate into atrocity crimes. We would therefore like to emphasize the crucial role that </w:t>
      </w:r>
      <w:r w:rsidR="00EB5776">
        <w:rPr>
          <w:rFonts w:ascii="Georgia" w:hAnsi="Georgia"/>
          <w:sz w:val="20"/>
          <w:szCs w:val="20"/>
          <w:lang w:val="en-GB"/>
        </w:rPr>
        <w:t xml:space="preserve">OHCHR </w:t>
      </w:r>
      <w:r w:rsidR="009B2CDC" w:rsidRPr="00802DE9">
        <w:rPr>
          <w:rFonts w:ascii="Georgia" w:hAnsi="Georgia"/>
          <w:sz w:val="20"/>
          <w:szCs w:val="20"/>
          <w:lang w:val="en-GB"/>
        </w:rPr>
        <w:t xml:space="preserve">– as well as the Human Rights Council </w:t>
      </w:r>
      <w:r w:rsidR="00322B49">
        <w:rPr>
          <w:rFonts w:ascii="Georgia" w:hAnsi="Georgia"/>
          <w:sz w:val="20"/>
          <w:szCs w:val="20"/>
          <w:lang w:val="en-GB"/>
        </w:rPr>
        <w:t xml:space="preserve">(HRC) </w:t>
      </w:r>
      <w:r w:rsidR="009B2CDC" w:rsidRPr="00802DE9">
        <w:rPr>
          <w:rFonts w:ascii="Georgia" w:hAnsi="Georgia"/>
          <w:sz w:val="20"/>
          <w:szCs w:val="20"/>
          <w:lang w:val="en-GB"/>
        </w:rPr>
        <w:t xml:space="preserve">and its procedures and mechanisms – </w:t>
      </w:r>
      <w:r w:rsidR="00A563DF">
        <w:rPr>
          <w:rFonts w:ascii="Georgia" w:hAnsi="Georgia"/>
          <w:sz w:val="20"/>
          <w:szCs w:val="20"/>
          <w:lang w:val="en-GB"/>
        </w:rPr>
        <w:t xml:space="preserve">can and should </w:t>
      </w:r>
      <w:r w:rsidR="009B2CDC" w:rsidRPr="00802DE9">
        <w:rPr>
          <w:rFonts w:ascii="Georgia" w:hAnsi="Georgia"/>
          <w:sz w:val="20"/>
          <w:szCs w:val="20"/>
          <w:lang w:val="en-GB"/>
        </w:rPr>
        <w:t xml:space="preserve">play in the prevention of </w:t>
      </w:r>
      <w:r w:rsidR="008470F3">
        <w:rPr>
          <w:rFonts w:ascii="Georgia" w:hAnsi="Georgia"/>
          <w:sz w:val="20"/>
          <w:szCs w:val="20"/>
          <w:lang w:val="en-GB"/>
        </w:rPr>
        <w:t>atrocity crimes</w:t>
      </w:r>
      <w:r w:rsidR="0074498E">
        <w:rPr>
          <w:rFonts w:ascii="Georgia" w:hAnsi="Georgia"/>
          <w:sz w:val="20"/>
          <w:szCs w:val="20"/>
          <w:lang w:val="en-GB"/>
        </w:rPr>
        <w:t xml:space="preserve">, in accordance with their mandates. </w:t>
      </w:r>
      <w:r w:rsidR="0074498E" w:rsidRPr="00802DE9">
        <w:rPr>
          <w:rFonts w:ascii="Georgia" w:hAnsi="Georgia"/>
          <w:sz w:val="20"/>
          <w:szCs w:val="20"/>
          <w:lang w:val="en-GB"/>
        </w:rPr>
        <w:t xml:space="preserve"> </w:t>
      </w:r>
    </w:p>
    <w:p w14:paraId="7B3CAED3" w14:textId="77777777" w:rsidR="009B2CDC" w:rsidRPr="00802DE9" w:rsidRDefault="009B2CDC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620BCE56" w14:textId="77777777" w:rsidR="009B2CDC" w:rsidRPr="00802DE9" w:rsidRDefault="00813549" w:rsidP="00B73630">
      <w:pPr>
        <w:jc w:val="both"/>
        <w:rPr>
          <w:rFonts w:ascii="Georgia" w:hAnsi="Georgia"/>
          <w:sz w:val="20"/>
          <w:szCs w:val="20"/>
          <w:lang w:val="en-GB"/>
        </w:rPr>
      </w:pPr>
      <w:r w:rsidRPr="00802DE9">
        <w:rPr>
          <w:rFonts w:ascii="Georgia" w:hAnsi="Georgia"/>
          <w:sz w:val="20"/>
          <w:szCs w:val="20"/>
          <w:lang w:val="en-GB"/>
        </w:rPr>
        <w:t>Mr. President,</w:t>
      </w:r>
    </w:p>
    <w:p w14:paraId="79F7927B" w14:textId="77777777" w:rsidR="00813549" w:rsidRPr="00802DE9" w:rsidRDefault="00813549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3EDDC121" w14:textId="27BCE268" w:rsidR="00FD46C1" w:rsidRDefault="00D37F0D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This year</w:t>
      </w:r>
      <w:r w:rsidRPr="00802DE9">
        <w:rPr>
          <w:rFonts w:ascii="Georgia" w:hAnsi="Georgia"/>
          <w:sz w:val="20"/>
          <w:szCs w:val="20"/>
          <w:lang w:val="en-GB"/>
        </w:rPr>
        <w:t xml:space="preserve"> </w:t>
      </w:r>
      <w:r w:rsidR="00813549" w:rsidRPr="00802DE9">
        <w:rPr>
          <w:rFonts w:ascii="Georgia" w:hAnsi="Georgia"/>
          <w:sz w:val="20"/>
          <w:szCs w:val="20"/>
          <w:lang w:val="en-GB"/>
        </w:rPr>
        <w:t xml:space="preserve">marks the </w:t>
      </w:r>
      <w:r w:rsidR="0011587A" w:rsidRPr="00802DE9">
        <w:rPr>
          <w:rFonts w:ascii="Georgia" w:hAnsi="Georgia"/>
          <w:sz w:val="20"/>
          <w:szCs w:val="20"/>
          <w:lang w:val="en-GB"/>
        </w:rPr>
        <w:t>15</w:t>
      </w:r>
      <w:r w:rsidR="0011587A" w:rsidRPr="00802DE9">
        <w:rPr>
          <w:rFonts w:ascii="Georgia" w:hAnsi="Georgia"/>
          <w:sz w:val="20"/>
          <w:szCs w:val="20"/>
          <w:vertAlign w:val="superscript"/>
          <w:lang w:val="en-GB"/>
        </w:rPr>
        <w:t>th</w:t>
      </w:r>
      <w:r w:rsidR="0011587A" w:rsidRPr="00802DE9">
        <w:rPr>
          <w:rFonts w:ascii="Georgia" w:hAnsi="Georgia"/>
          <w:sz w:val="20"/>
          <w:szCs w:val="20"/>
          <w:lang w:val="en-GB"/>
        </w:rPr>
        <w:t xml:space="preserve"> </w:t>
      </w:r>
      <w:r w:rsidR="00813549" w:rsidRPr="00802DE9">
        <w:rPr>
          <w:rFonts w:ascii="Georgia" w:hAnsi="Georgia"/>
          <w:sz w:val="20"/>
          <w:szCs w:val="20"/>
          <w:lang w:val="en-GB"/>
        </w:rPr>
        <w:t xml:space="preserve">anniversary of the Responsibility to Protect – a political commitment to protect populations from genocide, war crimes, crimes against humanity and ethnic cleansing, which was unanimously </w:t>
      </w:r>
      <w:r w:rsidR="00BA63A9">
        <w:rPr>
          <w:rFonts w:ascii="Georgia" w:hAnsi="Georgia"/>
          <w:sz w:val="20"/>
          <w:szCs w:val="20"/>
          <w:lang w:val="en-GB"/>
        </w:rPr>
        <w:t xml:space="preserve">adopted </w:t>
      </w:r>
      <w:r w:rsidR="00860E0D">
        <w:rPr>
          <w:rFonts w:ascii="Georgia" w:hAnsi="Georgia"/>
          <w:sz w:val="20"/>
          <w:szCs w:val="20"/>
          <w:lang w:val="en-GB"/>
        </w:rPr>
        <w:t>a</w:t>
      </w:r>
      <w:r w:rsidR="00813549" w:rsidRPr="00802DE9">
        <w:rPr>
          <w:rFonts w:ascii="Georgia" w:hAnsi="Georgia"/>
          <w:sz w:val="20"/>
          <w:szCs w:val="20"/>
          <w:lang w:val="en-GB"/>
        </w:rPr>
        <w:t>t the 2005 World Summit.</w:t>
      </w:r>
      <w:r w:rsidR="0011587A" w:rsidRPr="00802DE9">
        <w:rPr>
          <w:rFonts w:ascii="Georgia" w:hAnsi="Georgia"/>
          <w:sz w:val="20"/>
          <w:szCs w:val="20"/>
          <w:lang w:val="en-GB"/>
        </w:rPr>
        <w:t xml:space="preserve"> </w:t>
      </w:r>
      <w:r w:rsidR="00922C9B">
        <w:rPr>
          <w:rFonts w:ascii="Georgia" w:hAnsi="Georgia"/>
          <w:sz w:val="20"/>
          <w:szCs w:val="20"/>
          <w:lang w:val="en-GB"/>
        </w:rPr>
        <w:t xml:space="preserve">It has since become an important global principle to </w:t>
      </w:r>
      <w:r w:rsidR="00B10DF2">
        <w:rPr>
          <w:rFonts w:ascii="Georgia" w:hAnsi="Georgia"/>
          <w:sz w:val="20"/>
          <w:szCs w:val="20"/>
          <w:lang w:val="en-GB"/>
        </w:rPr>
        <w:t>respond</w:t>
      </w:r>
      <w:r w:rsidR="00922C9B">
        <w:rPr>
          <w:rFonts w:ascii="Georgia" w:hAnsi="Georgia"/>
          <w:sz w:val="20"/>
          <w:szCs w:val="20"/>
          <w:lang w:val="en-GB"/>
        </w:rPr>
        <w:t xml:space="preserve"> to warning signs and evidence of potential atrocity crimes. </w:t>
      </w:r>
      <w:r w:rsidR="002E4E41">
        <w:rPr>
          <w:rFonts w:ascii="Georgia" w:hAnsi="Georgia"/>
          <w:sz w:val="20"/>
          <w:szCs w:val="20"/>
          <w:lang w:val="en-GB"/>
        </w:rPr>
        <w:t>W</w:t>
      </w:r>
      <w:r w:rsidR="00C6482B">
        <w:rPr>
          <w:rFonts w:ascii="Georgia" w:hAnsi="Georgia"/>
          <w:sz w:val="20"/>
          <w:szCs w:val="20"/>
          <w:lang w:val="en-GB"/>
        </w:rPr>
        <w:t xml:space="preserve">e </w:t>
      </w:r>
      <w:r w:rsidR="00FD0D29">
        <w:rPr>
          <w:rFonts w:ascii="Georgia" w:hAnsi="Georgia"/>
          <w:sz w:val="20"/>
          <w:szCs w:val="20"/>
          <w:lang w:val="en-GB"/>
        </w:rPr>
        <w:t xml:space="preserve">would like to </w:t>
      </w:r>
      <w:r w:rsidR="003830C9">
        <w:rPr>
          <w:rFonts w:ascii="Georgia" w:hAnsi="Georgia"/>
          <w:sz w:val="20"/>
          <w:szCs w:val="20"/>
          <w:lang w:val="en-GB"/>
        </w:rPr>
        <w:t xml:space="preserve">use this year’s anniversary to </w:t>
      </w:r>
      <w:r w:rsidR="00FD0D29">
        <w:rPr>
          <w:rFonts w:ascii="Georgia" w:hAnsi="Georgia"/>
          <w:sz w:val="20"/>
          <w:szCs w:val="20"/>
          <w:lang w:val="en-GB"/>
        </w:rPr>
        <w:t>emphasize that</w:t>
      </w:r>
      <w:r w:rsidR="00C6482B">
        <w:rPr>
          <w:rFonts w:ascii="Georgia" w:hAnsi="Georgia"/>
          <w:sz w:val="20"/>
          <w:szCs w:val="20"/>
          <w:lang w:val="en-GB"/>
        </w:rPr>
        <w:t xml:space="preserve"> Geneva-based human rights mechanisms </w:t>
      </w:r>
      <w:r w:rsidR="007F1F2C">
        <w:rPr>
          <w:rFonts w:ascii="Georgia" w:hAnsi="Georgia"/>
          <w:sz w:val="20"/>
          <w:szCs w:val="20"/>
          <w:lang w:val="en-GB"/>
        </w:rPr>
        <w:t>a</w:t>
      </w:r>
      <w:r w:rsidR="00FD0D29">
        <w:rPr>
          <w:rFonts w:ascii="Georgia" w:hAnsi="Georgia"/>
          <w:sz w:val="20"/>
          <w:szCs w:val="20"/>
          <w:lang w:val="en-GB"/>
        </w:rPr>
        <w:t>re of particular relevance to upholding our individual and shared responsibility to protect</w:t>
      </w:r>
      <w:r w:rsidR="002C0994">
        <w:rPr>
          <w:rFonts w:ascii="Georgia" w:hAnsi="Georgia"/>
          <w:sz w:val="20"/>
          <w:szCs w:val="20"/>
          <w:lang w:val="en-GB"/>
        </w:rPr>
        <w:t xml:space="preserve">. </w:t>
      </w:r>
    </w:p>
    <w:p w14:paraId="5C46EEAC" w14:textId="77777777" w:rsidR="006550B7" w:rsidRDefault="006550B7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24D4F0D3" w14:textId="16C96B8C" w:rsidR="005B0011" w:rsidRPr="00515F76" w:rsidRDefault="008E2787" w:rsidP="005B0011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Special Procedures mandate holders are often </w:t>
      </w:r>
      <w:r w:rsidR="00246712">
        <w:rPr>
          <w:rFonts w:ascii="Georgia" w:hAnsi="Georgia"/>
          <w:sz w:val="20"/>
          <w:szCs w:val="20"/>
          <w:lang w:val="en-GB"/>
        </w:rPr>
        <w:t xml:space="preserve">at the forefront of </w:t>
      </w:r>
      <w:r>
        <w:rPr>
          <w:rFonts w:ascii="Georgia" w:hAnsi="Georgia"/>
          <w:sz w:val="20"/>
          <w:szCs w:val="20"/>
          <w:lang w:val="en-GB"/>
        </w:rPr>
        <w:t>rais</w:t>
      </w:r>
      <w:r w:rsidR="00246712">
        <w:rPr>
          <w:rFonts w:ascii="Georgia" w:hAnsi="Georgia"/>
          <w:sz w:val="20"/>
          <w:szCs w:val="20"/>
          <w:lang w:val="en-GB"/>
        </w:rPr>
        <w:t>ing</w:t>
      </w:r>
      <w:r>
        <w:rPr>
          <w:rFonts w:ascii="Georgia" w:hAnsi="Georgia"/>
          <w:sz w:val="20"/>
          <w:szCs w:val="20"/>
          <w:lang w:val="en-GB"/>
        </w:rPr>
        <w:t xml:space="preserve"> awareness about risk factors </w:t>
      </w:r>
      <w:r w:rsidR="00B370E9">
        <w:rPr>
          <w:rFonts w:ascii="Georgia" w:hAnsi="Georgia"/>
          <w:sz w:val="20"/>
          <w:szCs w:val="20"/>
          <w:lang w:val="en-GB"/>
        </w:rPr>
        <w:t xml:space="preserve">which </w:t>
      </w:r>
      <w:r w:rsidR="00210A6E">
        <w:rPr>
          <w:rFonts w:ascii="Georgia" w:hAnsi="Georgia"/>
          <w:sz w:val="20"/>
          <w:szCs w:val="20"/>
          <w:lang w:val="en-GB"/>
        </w:rPr>
        <w:t>may lead to atrocity crimes</w:t>
      </w:r>
      <w:r w:rsidR="008E7D93">
        <w:rPr>
          <w:rFonts w:ascii="Georgia" w:hAnsi="Georgia"/>
          <w:sz w:val="20"/>
          <w:szCs w:val="20"/>
          <w:lang w:val="en-GB"/>
        </w:rPr>
        <w:t xml:space="preserve">. </w:t>
      </w:r>
      <w:r w:rsidR="008249D2">
        <w:rPr>
          <w:rFonts w:ascii="Georgia" w:hAnsi="Georgia"/>
          <w:sz w:val="20"/>
          <w:szCs w:val="20"/>
          <w:lang w:val="en-GB"/>
        </w:rPr>
        <w:t xml:space="preserve">The </w:t>
      </w:r>
      <w:r w:rsidR="008E7D93">
        <w:rPr>
          <w:rFonts w:ascii="Georgia" w:hAnsi="Georgia"/>
          <w:sz w:val="20"/>
          <w:szCs w:val="20"/>
          <w:lang w:val="en-GB"/>
        </w:rPr>
        <w:t xml:space="preserve">Special Rapporteurs for </w:t>
      </w:r>
      <w:r w:rsidR="008E7D93" w:rsidRPr="00C36091">
        <w:rPr>
          <w:rFonts w:ascii="Georgia" w:hAnsi="Georgia"/>
          <w:b/>
          <w:bCs/>
          <w:sz w:val="20"/>
          <w:szCs w:val="20"/>
          <w:lang w:val="en-GB"/>
        </w:rPr>
        <w:t>Myanmar</w:t>
      </w:r>
      <w:r w:rsidR="008E7D93">
        <w:rPr>
          <w:rFonts w:ascii="Georgia" w:hAnsi="Georgia"/>
          <w:sz w:val="20"/>
          <w:szCs w:val="20"/>
          <w:lang w:val="en-GB"/>
        </w:rPr>
        <w:t xml:space="preserve"> </w:t>
      </w:r>
      <w:r w:rsidR="00893073">
        <w:rPr>
          <w:rFonts w:ascii="Georgia" w:hAnsi="Georgia"/>
          <w:sz w:val="20"/>
          <w:szCs w:val="20"/>
          <w:lang w:val="en-GB"/>
        </w:rPr>
        <w:t xml:space="preserve">had raised alarm about human rights violations long before August 2017. </w:t>
      </w:r>
      <w:r w:rsidR="004C4E3D">
        <w:rPr>
          <w:rFonts w:ascii="Georgia" w:hAnsi="Georgia"/>
          <w:sz w:val="20"/>
          <w:szCs w:val="20"/>
          <w:lang w:val="en-GB"/>
        </w:rPr>
        <w:t xml:space="preserve">Other mandate holders, including for the </w:t>
      </w:r>
      <w:r w:rsidR="004C4E3D" w:rsidRPr="004C4E3D">
        <w:rPr>
          <w:rFonts w:ascii="Georgia" w:hAnsi="Georgia"/>
          <w:b/>
          <w:bCs/>
          <w:sz w:val="20"/>
          <w:szCs w:val="20"/>
          <w:lang w:val="en-GB"/>
        </w:rPr>
        <w:t>Democratic People’s Republic of Korea</w:t>
      </w:r>
      <w:r w:rsidR="00EB5776">
        <w:rPr>
          <w:rFonts w:ascii="Georgia" w:hAnsi="Georgia"/>
          <w:b/>
          <w:bCs/>
          <w:sz w:val="20"/>
          <w:szCs w:val="20"/>
          <w:lang w:val="en-GB"/>
        </w:rPr>
        <w:t xml:space="preserve">, </w:t>
      </w:r>
      <w:r w:rsidR="00D37F0D">
        <w:rPr>
          <w:rFonts w:ascii="Georgia" w:hAnsi="Georgia"/>
          <w:sz w:val="20"/>
          <w:szCs w:val="20"/>
          <w:lang w:val="en-GB"/>
        </w:rPr>
        <w:t xml:space="preserve">have </w:t>
      </w:r>
      <w:r w:rsidR="0039770D">
        <w:rPr>
          <w:rFonts w:ascii="Georgia" w:hAnsi="Georgia"/>
          <w:sz w:val="20"/>
          <w:szCs w:val="20"/>
          <w:lang w:val="en-GB"/>
        </w:rPr>
        <w:t xml:space="preserve">continuously </w:t>
      </w:r>
      <w:r w:rsidR="00D37F0D">
        <w:rPr>
          <w:rFonts w:ascii="Georgia" w:hAnsi="Georgia"/>
          <w:sz w:val="20"/>
          <w:szCs w:val="20"/>
          <w:lang w:val="en-GB"/>
        </w:rPr>
        <w:t>highlighted the risk of potential crimes against humanity</w:t>
      </w:r>
      <w:r w:rsidR="00955EA1" w:rsidRPr="00E9722E">
        <w:rPr>
          <w:rFonts w:ascii="Georgia" w:hAnsi="Georgia"/>
          <w:sz w:val="20"/>
          <w:szCs w:val="20"/>
          <w:lang w:val="en-GB"/>
        </w:rPr>
        <w:t>.</w:t>
      </w:r>
      <w:r w:rsidR="00955EA1">
        <w:rPr>
          <w:rFonts w:ascii="Georgia" w:hAnsi="Georgia"/>
          <w:sz w:val="20"/>
          <w:szCs w:val="20"/>
          <w:lang w:val="en-GB"/>
        </w:rPr>
        <w:t xml:space="preserve"> </w:t>
      </w:r>
      <w:r w:rsidR="005B0011" w:rsidRPr="00E9722E">
        <w:rPr>
          <w:rFonts w:ascii="Georgia" w:hAnsi="Georgia"/>
          <w:sz w:val="20"/>
          <w:szCs w:val="20"/>
          <w:lang w:val="en-GB"/>
        </w:rPr>
        <w:t>The Commission</w:t>
      </w:r>
      <w:r w:rsidR="005B0011" w:rsidRPr="00515F76">
        <w:rPr>
          <w:rFonts w:ascii="Georgia" w:hAnsi="Georgia"/>
          <w:sz w:val="20"/>
          <w:szCs w:val="20"/>
          <w:lang w:val="en-GB"/>
        </w:rPr>
        <w:t xml:space="preserve"> of Inquiry on </w:t>
      </w:r>
      <w:r w:rsidR="005B0011" w:rsidRPr="00515F76">
        <w:rPr>
          <w:rFonts w:ascii="Georgia" w:hAnsi="Georgia"/>
          <w:b/>
          <w:bCs/>
          <w:sz w:val="20"/>
          <w:szCs w:val="20"/>
          <w:lang w:val="en-GB"/>
        </w:rPr>
        <w:t>Burundi</w:t>
      </w:r>
      <w:r w:rsidR="005B0011" w:rsidRPr="00515F76">
        <w:rPr>
          <w:rFonts w:ascii="Georgia" w:hAnsi="Georgia"/>
          <w:sz w:val="20"/>
          <w:szCs w:val="20"/>
          <w:lang w:val="en-GB"/>
        </w:rPr>
        <w:t xml:space="preserve"> similarly utilized the UN “Framework of Analysis for Atrocity Crimes” in its September 2019 report to warn about the serious risk of renewed atrocity crimes</w:t>
      </w:r>
      <w:r w:rsidR="008C6495" w:rsidRPr="00515F76">
        <w:rPr>
          <w:rFonts w:ascii="Georgia" w:hAnsi="Georgia"/>
          <w:sz w:val="20"/>
          <w:szCs w:val="20"/>
          <w:lang w:val="en-GB"/>
        </w:rPr>
        <w:t>, making a direct linkage between rising human rights violations and the potential for atrocities to occur</w:t>
      </w:r>
      <w:r w:rsidR="005B0011" w:rsidRPr="00515F76">
        <w:rPr>
          <w:rFonts w:ascii="Georgia" w:hAnsi="Georgia"/>
          <w:sz w:val="20"/>
          <w:szCs w:val="20"/>
          <w:lang w:val="en-GB"/>
        </w:rPr>
        <w:t xml:space="preserve">. </w:t>
      </w:r>
    </w:p>
    <w:p w14:paraId="6D3C19B2" w14:textId="77777777" w:rsidR="005B0011" w:rsidRPr="00515F76" w:rsidRDefault="005B0011" w:rsidP="005B0011">
      <w:pPr>
        <w:jc w:val="both"/>
        <w:rPr>
          <w:rFonts w:ascii="Georgia" w:hAnsi="Georgia"/>
          <w:sz w:val="20"/>
          <w:szCs w:val="20"/>
          <w:lang w:val="en-GB"/>
        </w:rPr>
      </w:pPr>
    </w:p>
    <w:p w14:paraId="283F149A" w14:textId="54A95F06" w:rsidR="008249D2" w:rsidRPr="00515F76" w:rsidRDefault="0086433A" w:rsidP="00B73630">
      <w:pPr>
        <w:jc w:val="both"/>
        <w:rPr>
          <w:rFonts w:ascii="Georgia" w:hAnsi="Georgia"/>
          <w:sz w:val="20"/>
          <w:szCs w:val="20"/>
          <w:lang w:val="en-GB"/>
        </w:rPr>
      </w:pPr>
      <w:r w:rsidRPr="00515F76">
        <w:rPr>
          <w:rFonts w:ascii="Georgia" w:hAnsi="Georgia"/>
          <w:sz w:val="20"/>
          <w:szCs w:val="20"/>
          <w:lang w:val="en-GB"/>
        </w:rPr>
        <w:t xml:space="preserve">These examples demonstrate </w:t>
      </w:r>
      <w:r w:rsidR="00D37F0D" w:rsidRPr="00515F76">
        <w:rPr>
          <w:rFonts w:ascii="Georgia" w:hAnsi="Georgia"/>
          <w:sz w:val="20"/>
          <w:szCs w:val="20"/>
          <w:lang w:val="en-GB"/>
        </w:rPr>
        <w:t xml:space="preserve">the valuable role of Special Procedures </w:t>
      </w:r>
      <w:r w:rsidR="005B0011" w:rsidRPr="00515F76">
        <w:rPr>
          <w:rFonts w:ascii="Georgia" w:hAnsi="Georgia"/>
          <w:sz w:val="20"/>
          <w:szCs w:val="20"/>
          <w:lang w:val="en-GB"/>
        </w:rPr>
        <w:t xml:space="preserve">and other Geneva-based mechanisms </w:t>
      </w:r>
      <w:r w:rsidR="00D37F0D" w:rsidRPr="00515F76">
        <w:rPr>
          <w:rFonts w:ascii="Georgia" w:hAnsi="Georgia"/>
          <w:sz w:val="20"/>
          <w:szCs w:val="20"/>
          <w:lang w:val="en-GB"/>
        </w:rPr>
        <w:t xml:space="preserve">in making </w:t>
      </w:r>
      <w:r w:rsidRPr="00515F76">
        <w:rPr>
          <w:rFonts w:ascii="Georgia" w:hAnsi="Georgia"/>
          <w:sz w:val="20"/>
          <w:szCs w:val="20"/>
          <w:lang w:val="en-GB"/>
        </w:rPr>
        <w:t xml:space="preserve">information </w:t>
      </w:r>
      <w:r w:rsidR="006F4A62" w:rsidRPr="00515F76">
        <w:rPr>
          <w:rFonts w:ascii="Georgia" w:hAnsi="Georgia"/>
          <w:sz w:val="20"/>
          <w:szCs w:val="20"/>
          <w:lang w:val="en-GB"/>
        </w:rPr>
        <w:t xml:space="preserve">on risk or evidence of </w:t>
      </w:r>
      <w:r w:rsidR="00210A6E">
        <w:rPr>
          <w:rFonts w:ascii="Georgia" w:hAnsi="Georgia"/>
          <w:sz w:val="20"/>
          <w:szCs w:val="20"/>
          <w:lang w:val="en-GB"/>
        </w:rPr>
        <w:t xml:space="preserve">potential </w:t>
      </w:r>
      <w:r w:rsidR="006F4A62" w:rsidRPr="00515F76">
        <w:rPr>
          <w:rFonts w:ascii="Georgia" w:hAnsi="Georgia"/>
          <w:sz w:val="20"/>
          <w:szCs w:val="20"/>
          <w:lang w:val="en-GB"/>
        </w:rPr>
        <w:t xml:space="preserve">atrocities </w:t>
      </w:r>
      <w:r w:rsidRPr="00515F76">
        <w:rPr>
          <w:rFonts w:ascii="Georgia" w:hAnsi="Georgia"/>
          <w:sz w:val="20"/>
          <w:szCs w:val="20"/>
          <w:lang w:val="en-GB"/>
        </w:rPr>
        <w:t xml:space="preserve">readily available; but it requires greater </w:t>
      </w:r>
      <w:r w:rsidR="004D1AA0" w:rsidRPr="00515F76">
        <w:rPr>
          <w:rFonts w:ascii="Georgia" w:hAnsi="Georgia"/>
          <w:sz w:val="20"/>
          <w:szCs w:val="20"/>
          <w:lang w:val="en-GB"/>
        </w:rPr>
        <w:t>act</w:t>
      </w:r>
      <w:r w:rsidR="005B0011" w:rsidRPr="00515F76">
        <w:rPr>
          <w:rFonts w:ascii="Georgia" w:hAnsi="Georgia"/>
          <w:sz w:val="20"/>
          <w:szCs w:val="20"/>
          <w:lang w:val="en-GB"/>
        </w:rPr>
        <w:t xml:space="preserve">ion and collective mobilization by states </w:t>
      </w:r>
      <w:r w:rsidR="00280D4B" w:rsidRPr="00FC266A">
        <w:rPr>
          <w:rFonts w:ascii="Georgia" w:hAnsi="Georgia"/>
          <w:sz w:val="20"/>
          <w:szCs w:val="20"/>
          <w:lang w:val="en-GB"/>
        </w:rPr>
        <w:t xml:space="preserve">to move from raising awareness to further increasing </w:t>
      </w:r>
      <w:r w:rsidR="00747F44">
        <w:rPr>
          <w:rFonts w:ascii="Georgia" w:hAnsi="Georgia"/>
          <w:sz w:val="20"/>
          <w:szCs w:val="20"/>
          <w:lang w:val="en-GB"/>
        </w:rPr>
        <w:t xml:space="preserve">the </w:t>
      </w:r>
      <w:r w:rsidR="00280D4B" w:rsidRPr="00FC266A">
        <w:rPr>
          <w:rFonts w:ascii="Georgia" w:hAnsi="Georgia"/>
          <w:sz w:val="20"/>
          <w:szCs w:val="20"/>
          <w:lang w:val="en-GB"/>
        </w:rPr>
        <w:t>positive impact</w:t>
      </w:r>
      <w:r w:rsidR="0018410D">
        <w:rPr>
          <w:rFonts w:ascii="Georgia" w:hAnsi="Georgia"/>
          <w:sz w:val="20"/>
          <w:szCs w:val="20"/>
          <w:lang w:val="en-GB"/>
        </w:rPr>
        <w:t xml:space="preserve"> of the mechanisms</w:t>
      </w:r>
      <w:r w:rsidR="00280D4B" w:rsidRPr="00FC266A">
        <w:rPr>
          <w:rFonts w:ascii="Georgia" w:hAnsi="Georgia"/>
          <w:sz w:val="20"/>
          <w:szCs w:val="20"/>
          <w:lang w:val="en-GB"/>
        </w:rPr>
        <w:t xml:space="preserve"> on vulnerable populations</w:t>
      </w:r>
      <w:r w:rsidR="00280D4B">
        <w:rPr>
          <w:lang w:val="en-US"/>
        </w:rPr>
        <w:t>.</w:t>
      </w:r>
      <w:r w:rsidR="00CD11DA" w:rsidRPr="00515F76">
        <w:rPr>
          <w:rFonts w:ascii="Georgia" w:hAnsi="Georgia"/>
          <w:sz w:val="20"/>
          <w:szCs w:val="20"/>
          <w:lang w:val="en-GB"/>
        </w:rPr>
        <w:t xml:space="preserve"> </w:t>
      </w:r>
    </w:p>
    <w:p w14:paraId="170622CD" w14:textId="77777777" w:rsidR="008249D2" w:rsidRPr="00515F76" w:rsidRDefault="008249D2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6171D78E" w14:textId="09D32C51" w:rsidR="008959FB" w:rsidRDefault="00EB5776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Additionally</w:t>
      </w:r>
      <w:r w:rsidR="004070ED" w:rsidRPr="00515F76">
        <w:rPr>
          <w:rFonts w:ascii="Georgia" w:hAnsi="Georgia"/>
          <w:sz w:val="20"/>
          <w:szCs w:val="20"/>
          <w:lang w:val="en-GB"/>
        </w:rPr>
        <w:t>,</w:t>
      </w:r>
      <w:r w:rsidR="003951C3" w:rsidRPr="00515F76">
        <w:rPr>
          <w:rFonts w:ascii="Georgia" w:hAnsi="Georgia"/>
          <w:sz w:val="20"/>
          <w:szCs w:val="20"/>
          <w:lang w:val="en-GB"/>
        </w:rPr>
        <w:t xml:space="preserve"> </w:t>
      </w:r>
      <w:r w:rsidR="00B97E97" w:rsidRPr="00515F76">
        <w:rPr>
          <w:rFonts w:ascii="Georgia" w:hAnsi="Georgia"/>
          <w:sz w:val="20"/>
          <w:szCs w:val="20"/>
          <w:lang w:val="en-GB"/>
        </w:rPr>
        <w:t>technical assistance and capacity</w:t>
      </w:r>
      <w:r w:rsidR="00B97E97">
        <w:rPr>
          <w:rFonts w:ascii="Georgia" w:hAnsi="Georgia"/>
          <w:sz w:val="20"/>
          <w:szCs w:val="20"/>
          <w:lang w:val="en-GB"/>
        </w:rPr>
        <w:t xml:space="preserve"> building through the Human Rights Council and its procedures </w:t>
      </w:r>
      <w:r>
        <w:rPr>
          <w:rFonts w:ascii="Georgia" w:hAnsi="Georgia"/>
          <w:sz w:val="20"/>
          <w:szCs w:val="20"/>
          <w:lang w:val="en-GB"/>
        </w:rPr>
        <w:t>can contribute to</w:t>
      </w:r>
      <w:r w:rsidR="00407E2C">
        <w:rPr>
          <w:rFonts w:ascii="Georgia" w:hAnsi="Georgia"/>
          <w:sz w:val="20"/>
          <w:szCs w:val="20"/>
          <w:lang w:val="en-GB"/>
        </w:rPr>
        <w:t xml:space="preserve"> </w:t>
      </w:r>
      <w:r w:rsidR="00D37F0D">
        <w:rPr>
          <w:rFonts w:ascii="Georgia" w:hAnsi="Georgia"/>
          <w:sz w:val="20"/>
          <w:szCs w:val="20"/>
          <w:lang w:val="en-GB"/>
        </w:rPr>
        <w:t xml:space="preserve">upholding </w:t>
      </w:r>
      <w:r w:rsidR="00407E2C">
        <w:rPr>
          <w:rFonts w:ascii="Georgia" w:hAnsi="Georgia"/>
          <w:sz w:val="20"/>
          <w:szCs w:val="20"/>
          <w:lang w:val="en-GB"/>
        </w:rPr>
        <w:t xml:space="preserve">Pillar I </w:t>
      </w:r>
      <w:r>
        <w:rPr>
          <w:rFonts w:ascii="Georgia" w:hAnsi="Georgia"/>
          <w:sz w:val="20"/>
          <w:szCs w:val="20"/>
          <w:lang w:val="en-GB"/>
        </w:rPr>
        <w:t>a</w:t>
      </w:r>
      <w:r w:rsidR="00407E2C">
        <w:rPr>
          <w:rFonts w:ascii="Georgia" w:hAnsi="Georgia"/>
          <w:sz w:val="20"/>
          <w:szCs w:val="20"/>
          <w:lang w:val="en-GB"/>
        </w:rPr>
        <w:t xml:space="preserve">nd Pillar II of R2P. </w:t>
      </w:r>
      <w:r w:rsidR="004E01F8">
        <w:rPr>
          <w:rFonts w:ascii="Georgia" w:hAnsi="Georgia"/>
          <w:sz w:val="20"/>
          <w:szCs w:val="20"/>
          <w:lang w:val="en-GB"/>
        </w:rPr>
        <w:t xml:space="preserve">Providing such assistance for </w:t>
      </w:r>
      <w:r w:rsidR="0009773C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="0009773C">
        <w:rPr>
          <w:rFonts w:ascii="Georgia" w:hAnsi="Georgia"/>
          <w:sz w:val="20"/>
          <w:szCs w:val="20"/>
          <w:lang w:val="en-GB"/>
        </w:rPr>
        <w:t>all</w:t>
      </w:r>
      <w:r w:rsidR="002D4CC6">
        <w:rPr>
          <w:rFonts w:ascii="Georgia" w:hAnsi="Georgia"/>
          <w:sz w:val="20"/>
          <w:szCs w:val="20"/>
          <w:lang w:val="en-GB"/>
        </w:rPr>
        <w:t xml:space="preserve"> States</w:t>
      </w:r>
      <w:r w:rsidR="0009773C">
        <w:rPr>
          <w:rFonts w:ascii="Georgia" w:hAnsi="Georgia"/>
          <w:sz w:val="20"/>
          <w:szCs w:val="20"/>
          <w:lang w:val="en-GB"/>
        </w:rPr>
        <w:t xml:space="preserve"> </w:t>
      </w:r>
      <w:r w:rsidR="004D78B6">
        <w:rPr>
          <w:rFonts w:ascii="Georgia" w:hAnsi="Georgia"/>
          <w:sz w:val="20"/>
          <w:szCs w:val="20"/>
          <w:lang w:val="en-GB"/>
        </w:rPr>
        <w:t xml:space="preserve">affected by armed conflict and atrocities </w:t>
      </w:r>
      <w:r w:rsidR="003325D2">
        <w:rPr>
          <w:rFonts w:ascii="Georgia" w:hAnsi="Georgia"/>
          <w:sz w:val="20"/>
          <w:szCs w:val="20"/>
          <w:lang w:val="en-GB"/>
        </w:rPr>
        <w:t xml:space="preserve">can form a key aspect of a holistic international effort to </w:t>
      </w:r>
      <w:r w:rsidR="001C38A4">
        <w:rPr>
          <w:rFonts w:ascii="Georgia" w:hAnsi="Georgia"/>
          <w:sz w:val="20"/>
          <w:szCs w:val="20"/>
          <w:lang w:val="en-GB"/>
        </w:rPr>
        <w:t xml:space="preserve">respond to </w:t>
      </w:r>
      <w:r w:rsidR="00523337">
        <w:rPr>
          <w:rFonts w:ascii="Georgia" w:hAnsi="Georgia"/>
          <w:sz w:val="20"/>
          <w:szCs w:val="20"/>
          <w:lang w:val="en-GB"/>
        </w:rPr>
        <w:t>ongoing or past crises</w:t>
      </w:r>
      <w:r w:rsidR="00422C51">
        <w:rPr>
          <w:rFonts w:ascii="Georgia" w:hAnsi="Georgia"/>
          <w:sz w:val="20"/>
          <w:szCs w:val="20"/>
          <w:lang w:val="en-GB"/>
        </w:rPr>
        <w:t xml:space="preserve"> and strengthen national capacities </w:t>
      </w:r>
      <w:r w:rsidR="00362002">
        <w:rPr>
          <w:rFonts w:ascii="Georgia" w:hAnsi="Georgia"/>
          <w:sz w:val="20"/>
          <w:szCs w:val="20"/>
          <w:lang w:val="en-GB"/>
        </w:rPr>
        <w:t>and societal resilience</w:t>
      </w:r>
      <w:r w:rsidR="00AF63E4">
        <w:rPr>
          <w:rFonts w:ascii="Georgia" w:hAnsi="Georgia"/>
          <w:sz w:val="20"/>
          <w:szCs w:val="20"/>
          <w:lang w:val="en-GB"/>
        </w:rPr>
        <w:t xml:space="preserve">. </w:t>
      </w:r>
    </w:p>
    <w:p w14:paraId="67674E8E" w14:textId="77777777" w:rsidR="00472689" w:rsidRDefault="00472689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2792EEAC" w14:textId="69130829" w:rsidR="0074498E" w:rsidRPr="006D01F7" w:rsidRDefault="00EB5776" w:rsidP="0074498E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HRC can also</w:t>
      </w:r>
      <w:r w:rsidR="00024EE3">
        <w:rPr>
          <w:rFonts w:ascii="Georgia" w:hAnsi="Georgia"/>
          <w:sz w:val="20"/>
          <w:szCs w:val="20"/>
          <w:lang w:val="en-GB"/>
        </w:rPr>
        <w:t xml:space="preserve"> </w:t>
      </w:r>
      <w:r w:rsidR="00F40B6A">
        <w:rPr>
          <w:rFonts w:ascii="Georgia" w:hAnsi="Georgia"/>
          <w:sz w:val="20"/>
          <w:szCs w:val="20"/>
          <w:lang w:val="en-GB"/>
        </w:rPr>
        <w:t>contribut</w:t>
      </w:r>
      <w:r>
        <w:rPr>
          <w:rFonts w:ascii="Georgia" w:hAnsi="Georgia"/>
          <w:sz w:val="20"/>
          <w:szCs w:val="20"/>
          <w:lang w:val="en-GB"/>
        </w:rPr>
        <w:t>e</w:t>
      </w:r>
      <w:r w:rsidR="00F40B6A">
        <w:rPr>
          <w:rFonts w:ascii="Georgia" w:hAnsi="Georgia"/>
          <w:sz w:val="20"/>
          <w:szCs w:val="20"/>
          <w:lang w:val="en-GB"/>
        </w:rPr>
        <w:t xml:space="preserve"> to accountability </w:t>
      </w:r>
      <w:r w:rsidR="00455CE2">
        <w:rPr>
          <w:rFonts w:ascii="Georgia" w:hAnsi="Georgia"/>
          <w:sz w:val="20"/>
          <w:szCs w:val="20"/>
          <w:lang w:val="en-GB"/>
        </w:rPr>
        <w:t xml:space="preserve">for past </w:t>
      </w:r>
      <w:r w:rsidR="009B515F">
        <w:rPr>
          <w:rFonts w:ascii="Georgia" w:hAnsi="Georgia"/>
          <w:sz w:val="20"/>
          <w:szCs w:val="20"/>
          <w:lang w:val="en-GB"/>
        </w:rPr>
        <w:t>gross human rights violations</w:t>
      </w:r>
      <w:r w:rsidR="00455CE2">
        <w:rPr>
          <w:rFonts w:ascii="Georgia" w:hAnsi="Georgia"/>
          <w:sz w:val="20"/>
          <w:szCs w:val="20"/>
          <w:lang w:val="en-GB"/>
        </w:rPr>
        <w:t>.</w:t>
      </w:r>
      <w:r w:rsidR="00775BD7" w:rsidRPr="006D01F7" w:rsidDel="00775BD7">
        <w:rPr>
          <w:rFonts w:ascii="Georgia" w:hAnsi="Georgia" w:cs="Times New Roman"/>
          <w:color w:val="FF0000"/>
          <w:sz w:val="20"/>
          <w:szCs w:val="22"/>
          <w:lang w:val="en-GB"/>
        </w:rPr>
        <w:t xml:space="preserve"> </w:t>
      </w:r>
      <w:r w:rsidR="00775BD7" w:rsidRPr="00775BD7">
        <w:rPr>
          <w:rFonts w:ascii="Georgia" w:hAnsi="Georgia" w:cs="Times New Roman"/>
          <w:sz w:val="20"/>
          <w:szCs w:val="22"/>
          <w:lang w:val="en-GB"/>
        </w:rPr>
        <w:t>H</w:t>
      </w:r>
      <w:r w:rsidR="00455CE2">
        <w:rPr>
          <w:rFonts w:ascii="Georgia" w:hAnsi="Georgia"/>
          <w:sz w:val="20"/>
          <w:szCs w:val="20"/>
          <w:lang w:val="en-GB"/>
        </w:rPr>
        <w:t>RC-mandated investigative mechanisms</w:t>
      </w:r>
      <w:r w:rsidR="009B515F" w:rsidRPr="00515F76">
        <w:rPr>
          <w:rFonts w:ascii="Georgia" w:hAnsi="Georgia"/>
          <w:sz w:val="20"/>
          <w:szCs w:val="20"/>
          <w:lang w:val="en-GB"/>
        </w:rPr>
        <w:t xml:space="preserve"> </w:t>
      </w:r>
      <w:r w:rsidR="009B515F">
        <w:rPr>
          <w:rFonts w:ascii="Georgia" w:hAnsi="Georgia"/>
          <w:sz w:val="20"/>
          <w:szCs w:val="20"/>
          <w:lang w:val="en-GB"/>
        </w:rPr>
        <w:t>may have</w:t>
      </w:r>
      <w:r w:rsidR="009B515F" w:rsidRPr="00515F76">
        <w:rPr>
          <w:rFonts w:ascii="Georgia" w:hAnsi="Georgia"/>
          <w:sz w:val="20"/>
          <w:szCs w:val="20"/>
          <w:lang w:val="en-GB"/>
        </w:rPr>
        <w:t xml:space="preserve"> long-lasting importance for processes of legal and political accountability</w:t>
      </w:r>
      <w:r w:rsidR="005864B7" w:rsidRPr="00515F76">
        <w:rPr>
          <w:rFonts w:ascii="Georgia" w:hAnsi="Georgia"/>
          <w:sz w:val="20"/>
          <w:szCs w:val="20"/>
          <w:lang w:val="en-GB"/>
        </w:rPr>
        <w:t>.</w:t>
      </w:r>
      <w:r w:rsidR="002D5B45" w:rsidRPr="00515F76">
        <w:rPr>
          <w:rFonts w:ascii="Georgia" w:hAnsi="Georgia"/>
          <w:sz w:val="20"/>
          <w:szCs w:val="20"/>
          <w:lang w:val="en-GB"/>
        </w:rPr>
        <w:t xml:space="preserve"> In addition, </w:t>
      </w:r>
      <w:r w:rsidR="0074498E" w:rsidRPr="006D01F7">
        <w:rPr>
          <w:rFonts w:ascii="Georgia" w:hAnsi="Georgia"/>
          <w:sz w:val="20"/>
          <w:szCs w:val="20"/>
          <w:lang w:val="en-GB"/>
        </w:rPr>
        <w:t xml:space="preserve">these mechanisms may also </w:t>
      </w:r>
      <w:r w:rsidR="0074498E" w:rsidRPr="00775BD7">
        <w:rPr>
          <w:rFonts w:ascii="Georgia" w:hAnsi="Georgia" w:cs="Calibri"/>
          <w:sz w:val="20"/>
          <w:szCs w:val="22"/>
          <w:lang w:val="en-GB"/>
        </w:rPr>
        <w:t xml:space="preserve">help re-establish the rule of law, promote stable and durable peace and </w:t>
      </w:r>
      <w:r w:rsidR="0074498E" w:rsidRPr="00775BD7">
        <w:rPr>
          <w:rFonts w:ascii="Georgia" w:hAnsi="Georgia"/>
          <w:sz w:val="20"/>
          <w:szCs w:val="20"/>
          <w:lang w:val="en-GB"/>
        </w:rPr>
        <w:t>have a deterrent effect on the fu</w:t>
      </w:r>
      <w:r w:rsidR="0074498E" w:rsidRPr="006D01F7">
        <w:rPr>
          <w:rFonts w:ascii="Georgia" w:hAnsi="Georgia"/>
          <w:sz w:val="20"/>
          <w:szCs w:val="20"/>
          <w:lang w:val="en-GB"/>
        </w:rPr>
        <w:t xml:space="preserve">ture commission of atrocity crimes. </w:t>
      </w:r>
    </w:p>
    <w:p w14:paraId="3084D568" w14:textId="47C7B56E" w:rsidR="005864B7" w:rsidRDefault="005864B7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0A6162CE" w14:textId="31A89393" w:rsidR="00A75040" w:rsidRDefault="00F17C39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These examples highlight</w:t>
      </w:r>
      <w:r w:rsidR="00713D88">
        <w:rPr>
          <w:rFonts w:ascii="Georgia" w:hAnsi="Georgia"/>
          <w:sz w:val="20"/>
          <w:szCs w:val="20"/>
          <w:lang w:val="en-GB"/>
        </w:rPr>
        <w:t xml:space="preserve"> the </w:t>
      </w:r>
      <w:r>
        <w:rPr>
          <w:rFonts w:ascii="Georgia" w:hAnsi="Georgia"/>
          <w:sz w:val="20"/>
          <w:szCs w:val="20"/>
          <w:lang w:val="en-GB"/>
        </w:rPr>
        <w:t xml:space="preserve">potential that the </w:t>
      </w:r>
      <w:r w:rsidR="00055105">
        <w:rPr>
          <w:rFonts w:ascii="Georgia" w:hAnsi="Georgia"/>
          <w:sz w:val="20"/>
          <w:szCs w:val="20"/>
          <w:lang w:val="en-GB"/>
        </w:rPr>
        <w:t>HRC</w:t>
      </w:r>
      <w:r w:rsidR="00713D88">
        <w:rPr>
          <w:rFonts w:ascii="Georgia" w:hAnsi="Georgia"/>
          <w:sz w:val="20"/>
          <w:szCs w:val="20"/>
          <w:lang w:val="en-GB"/>
        </w:rPr>
        <w:t xml:space="preserve">, its members and observers have in responding to situations </w:t>
      </w:r>
      <w:r w:rsidR="00D37F0D">
        <w:rPr>
          <w:rFonts w:ascii="Georgia" w:hAnsi="Georgia"/>
          <w:sz w:val="20"/>
          <w:szCs w:val="20"/>
          <w:lang w:val="en-GB"/>
        </w:rPr>
        <w:t xml:space="preserve">where vulnerable populations are </w:t>
      </w:r>
      <w:r w:rsidR="00713D88">
        <w:rPr>
          <w:rFonts w:ascii="Georgia" w:hAnsi="Georgia"/>
          <w:sz w:val="20"/>
          <w:szCs w:val="20"/>
          <w:lang w:val="en-GB"/>
        </w:rPr>
        <w:t xml:space="preserve">at risk of, or experiencing </w:t>
      </w:r>
      <w:r w:rsidR="00DB7638">
        <w:rPr>
          <w:rFonts w:ascii="Georgia" w:hAnsi="Georgia"/>
          <w:sz w:val="20"/>
          <w:szCs w:val="20"/>
          <w:lang w:val="en-GB"/>
        </w:rPr>
        <w:t xml:space="preserve">potential </w:t>
      </w:r>
      <w:r w:rsidR="00713D88">
        <w:rPr>
          <w:rFonts w:ascii="Georgia" w:hAnsi="Georgia"/>
          <w:sz w:val="20"/>
          <w:szCs w:val="20"/>
          <w:lang w:val="en-GB"/>
        </w:rPr>
        <w:t xml:space="preserve">atrocity crimes. </w:t>
      </w:r>
      <w:r w:rsidR="00995481">
        <w:rPr>
          <w:rFonts w:ascii="Georgia" w:hAnsi="Georgia"/>
          <w:sz w:val="20"/>
          <w:szCs w:val="20"/>
          <w:lang w:val="en-GB"/>
        </w:rPr>
        <w:t xml:space="preserve">Yet, as we celebrate 15 years of R2P, we must become better in utilizing the information </w:t>
      </w:r>
      <w:r w:rsidR="00D37F0D">
        <w:rPr>
          <w:rFonts w:ascii="Georgia" w:hAnsi="Georgia"/>
          <w:sz w:val="20"/>
          <w:szCs w:val="20"/>
          <w:lang w:val="en-GB"/>
        </w:rPr>
        <w:t>collected by these mechanisms</w:t>
      </w:r>
      <w:r w:rsidR="00995481">
        <w:rPr>
          <w:rFonts w:ascii="Georgia" w:hAnsi="Georgia"/>
          <w:sz w:val="20"/>
          <w:szCs w:val="20"/>
          <w:lang w:val="en-GB"/>
        </w:rPr>
        <w:t xml:space="preserve"> in a timely and decisive manner</w:t>
      </w:r>
      <w:r w:rsidR="00D074F7">
        <w:rPr>
          <w:rFonts w:ascii="Georgia" w:hAnsi="Georgia"/>
          <w:sz w:val="20"/>
          <w:szCs w:val="20"/>
          <w:lang w:val="en-GB"/>
        </w:rPr>
        <w:t xml:space="preserve"> to prevent atrocities before they occur. </w:t>
      </w:r>
      <w:r w:rsidR="00992835">
        <w:rPr>
          <w:rFonts w:ascii="Georgia" w:hAnsi="Georgia"/>
          <w:sz w:val="20"/>
          <w:szCs w:val="20"/>
          <w:lang w:val="en-GB"/>
        </w:rPr>
        <w:t xml:space="preserve">The political commitment made by 15o heads of states and government in 2005 must </w:t>
      </w:r>
      <w:r w:rsidR="00AF2A20">
        <w:rPr>
          <w:rFonts w:ascii="Georgia" w:hAnsi="Georgia"/>
          <w:sz w:val="20"/>
          <w:szCs w:val="20"/>
          <w:lang w:val="en-GB"/>
        </w:rPr>
        <w:t xml:space="preserve">be translated into a practical reality </w:t>
      </w:r>
      <w:r w:rsidR="002B3CFD">
        <w:rPr>
          <w:rFonts w:ascii="Georgia" w:hAnsi="Georgia"/>
          <w:sz w:val="20"/>
          <w:szCs w:val="20"/>
          <w:lang w:val="en-GB"/>
        </w:rPr>
        <w:t>regardless of where atrocities are occurring</w:t>
      </w:r>
      <w:r w:rsidR="00F475BB">
        <w:rPr>
          <w:rFonts w:ascii="Georgia" w:hAnsi="Georgia"/>
          <w:sz w:val="20"/>
          <w:szCs w:val="20"/>
          <w:lang w:val="en-GB"/>
        </w:rPr>
        <w:t xml:space="preserve">, or who is committing them. </w:t>
      </w:r>
    </w:p>
    <w:p w14:paraId="5518217C" w14:textId="77777777" w:rsidR="002B3CFD" w:rsidRDefault="002B3CFD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14:paraId="19C96D6D" w14:textId="77777777" w:rsidR="00425352" w:rsidRPr="000A0B8A" w:rsidRDefault="002B3CFD" w:rsidP="000A0B8A">
      <w:pPr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Thank you. </w:t>
      </w:r>
    </w:p>
    <w:sectPr w:rsidR="00425352" w:rsidRPr="000A0B8A" w:rsidSect="00775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95" w:right="1417" w:bottom="2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D9CA" w14:textId="77777777" w:rsidR="00C07398" w:rsidRDefault="00C07398" w:rsidP="00775BD7">
      <w:r>
        <w:separator/>
      </w:r>
    </w:p>
  </w:endnote>
  <w:endnote w:type="continuationSeparator" w:id="0">
    <w:p w14:paraId="77737D9F" w14:textId="77777777" w:rsidR="00C07398" w:rsidRDefault="00C07398" w:rsidP="0077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1FD6" w14:textId="77777777" w:rsidR="0055006B" w:rsidRDefault="0055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2237" w14:textId="77777777" w:rsidR="0055006B" w:rsidRDefault="00550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E1E2" w14:textId="77777777" w:rsidR="0055006B" w:rsidRDefault="0055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7C78" w14:textId="77777777" w:rsidR="00C07398" w:rsidRDefault="00C07398" w:rsidP="00775BD7">
      <w:r>
        <w:separator/>
      </w:r>
    </w:p>
  </w:footnote>
  <w:footnote w:type="continuationSeparator" w:id="0">
    <w:p w14:paraId="49644F30" w14:textId="77777777" w:rsidR="00C07398" w:rsidRDefault="00C07398" w:rsidP="0077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9A36" w14:textId="77777777" w:rsidR="0055006B" w:rsidRDefault="00550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C6B0" w14:textId="77777777" w:rsidR="0055006B" w:rsidRDefault="00550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8049" w14:textId="77777777" w:rsidR="0055006B" w:rsidRDefault="00550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C2"/>
    <w:rsid w:val="0002303E"/>
    <w:rsid w:val="00024EE3"/>
    <w:rsid w:val="00031D49"/>
    <w:rsid w:val="0003449C"/>
    <w:rsid w:val="00055105"/>
    <w:rsid w:val="00060CAF"/>
    <w:rsid w:val="00076CEB"/>
    <w:rsid w:val="00090282"/>
    <w:rsid w:val="0009773C"/>
    <w:rsid w:val="000A0B8A"/>
    <w:rsid w:val="000B1E84"/>
    <w:rsid w:val="000B792B"/>
    <w:rsid w:val="000D75A1"/>
    <w:rsid w:val="000E0341"/>
    <w:rsid w:val="000E221D"/>
    <w:rsid w:val="00100AA8"/>
    <w:rsid w:val="0011587A"/>
    <w:rsid w:val="001232BF"/>
    <w:rsid w:val="001307F8"/>
    <w:rsid w:val="00137FB7"/>
    <w:rsid w:val="00143226"/>
    <w:rsid w:val="00153698"/>
    <w:rsid w:val="0018410D"/>
    <w:rsid w:val="001A389E"/>
    <w:rsid w:val="001B0B10"/>
    <w:rsid w:val="001B64EA"/>
    <w:rsid w:val="001C14CE"/>
    <w:rsid w:val="001C16C0"/>
    <w:rsid w:val="001C38A4"/>
    <w:rsid w:val="001D426D"/>
    <w:rsid w:val="00210A6E"/>
    <w:rsid w:val="00213103"/>
    <w:rsid w:val="002255F4"/>
    <w:rsid w:val="00225A7F"/>
    <w:rsid w:val="00237934"/>
    <w:rsid w:val="00246712"/>
    <w:rsid w:val="002503E3"/>
    <w:rsid w:val="00275C73"/>
    <w:rsid w:val="00280D4B"/>
    <w:rsid w:val="00293E7C"/>
    <w:rsid w:val="002B3CFD"/>
    <w:rsid w:val="002C0994"/>
    <w:rsid w:val="002D220C"/>
    <w:rsid w:val="002D4CC6"/>
    <w:rsid w:val="002D5B45"/>
    <w:rsid w:val="002E4E41"/>
    <w:rsid w:val="00322B49"/>
    <w:rsid w:val="00326BFE"/>
    <w:rsid w:val="003325D2"/>
    <w:rsid w:val="00362002"/>
    <w:rsid w:val="00367689"/>
    <w:rsid w:val="003830C9"/>
    <w:rsid w:val="003951C3"/>
    <w:rsid w:val="0039770D"/>
    <w:rsid w:val="003A00F8"/>
    <w:rsid w:val="004070ED"/>
    <w:rsid w:val="00407E2C"/>
    <w:rsid w:val="00422C51"/>
    <w:rsid w:val="00424771"/>
    <w:rsid w:val="00425352"/>
    <w:rsid w:val="0044611E"/>
    <w:rsid w:val="00455CE2"/>
    <w:rsid w:val="0046755A"/>
    <w:rsid w:val="00472689"/>
    <w:rsid w:val="00477FC6"/>
    <w:rsid w:val="0048264B"/>
    <w:rsid w:val="004A69E1"/>
    <w:rsid w:val="004B6F68"/>
    <w:rsid w:val="004C4E3D"/>
    <w:rsid w:val="004D1AA0"/>
    <w:rsid w:val="004D2502"/>
    <w:rsid w:val="004D78B6"/>
    <w:rsid w:val="004E01F8"/>
    <w:rsid w:val="004E6E3F"/>
    <w:rsid w:val="0050495B"/>
    <w:rsid w:val="00515F76"/>
    <w:rsid w:val="00523337"/>
    <w:rsid w:val="005250E7"/>
    <w:rsid w:val="0055006B"/>
    <w:rsid w:val="005609FA"/>
    <w:rsid w:val="005864B7"/>
    <w:rsid w:val="005A2623"/>
    <w:rsid w:val="005B0011"/>
    <w:rsid w:val="005F3A6D"/>
    <w:rsid w:val="00635EFE"/>
    <w:rsid w:val="00654851"/>
    <w:rsid w:val="006550B7"/>
    <w:rsid w:val="00693E13"/>
    <w:rsid w:val="006A38EA"/>
    <w:rsid w:val="006A4F0A"/>
    <w:rsid w:val="006C416D"/>
    <w:rsid w:val="006F4A62"/>
    <w:rsid w:val="0070659C"/>
    <w:rsid w:val="00713D88"/>
    <w:rsid w:val="007274A0"/>
    <w:rsid w:val="0074498E"/>
    <w:rsid w:val="00747F44"/>
    <w:rsid w:val="00775BD7"/>
    <w:rsid w:val="007822EE"/>
    <w:rsid w:val="007A1793"/>
    <w:rsid w:val="007F087C"/>
    <w:rsid w:val="007F1F2C"/>
    <w:rsid w:val="00802DE9"/>
    <w:rsid w:val="00813549"/>
    <w:rsid w:val="00814942"/>
    <w:rsid w:val="0081696D"/>
    <w:rsid w:val="00821810"/>
    <w:rsid w:val="008249D2"/>
    <w:rsid w:val="008470F3"/>
    <w:rsid w:val="00860E0D"/>
    <w:rsid w:val="0086433A"/>
    <w:rsid w:val="00893073"/>
    <w:rsid w:val="008959FB"/>
    <w:rsid w:val="008C2601"/>
    <w:rsid w:val="008C4BF3"/>
    <w:rsid w:val="008C6495"/>
    <w:rsid w:val="008D7603"/>
    <w:rsid w:val="008E2787"/>
    <w:rsid w:val="008E7D93"/>
    <w:rsid w:val="00922C9B"/>
    <w:rsid w:val="00955EA1"/>
    <w:rsid w:val="009645C3"/>
    <w:rsid w:val="00967B85"/>
    <w:rsid w:val="00992835"/>
    <w:rsid w:val="009936C8"/>
    <w:rsid w:val="00993C2C"/>
    <w:rsid w:val="00995481"/>
    <w:rsid w:val="009B2CDC"/>
    <w:rsid w:val="009B515F"/>
    <w:rsid w:val="00A05D8B"/>
    <w:rsid w:val="00A11C94"/>
    <w:rsid w:val="00A12C90"/>
    <w:rsid w:val="00A55FA2"/>
    <w:rsid w:val="00A563DF"/>
    <w:rsid w:val="00A75040"/>
    <w:rsid w:val="00A92313"/>
    <w:rsid w:val="00A97FDA"/>
    <w:rsid w:val="00AD69CD"/>
    <w:rsid w:val="00AF2A20"/>
    <w:rsid w:val="00AF63E4"/>
    <w:rsid w:val="00B10DF2"/>
    <w:rsid w:val="00B370E9"/>
    <w:rsid w:val="00B40229"/>
    <w:rsid w:val="00B56A06"/>
    <w:rsid w:val="00B73630"/>
    <w:rsid w:val="00B8427E"/>
    <w:rsid w:val="00B95586"/>
    <w:rsid w:val="00B97E97"/>
    <w:rsid w:val="00BA63A9"/>
    <w:rsid w:val="00C07398"/>
    <w:rsid w:val="00C36091"/>
    <w:rsid w:val="00C6482B"/>
    <w:rsid w:val="00C651C2"/>
    <w:rsid w:val="00C71A75"/>
    <w:rsid w:val="00C92951"/>
    <w:rsid w:val="00CA021A"/>
    <w:rsid w:val="00CD11DA"/>
    <w:rsid w:val="00D074F7"/>
    <w:rsid w:val="00D17A9E"/>
    <w:rsid w:val="00D37F0D"/>
    <w:rsid w:val="00D86A96"/>
    <w:rsid w:val="00D917E6"/>
    <w:rsid w:val="00D96826"/>
    <w:rsid w:val="00DB7638"/>
    <w:rsid w:val="00DF5CB8"/>
    <w:rsid w:val="00E033D4"/>
    <w:rsid w:val="00E47645"/>
    <w:rsid w:val="00E9569C"/>
    <w:rsid w:val="00E9722E"/>
    <w:rsid w:val="00EB5776"/>
    <w:rsid w:val="00EE721E"/>
    <w:rsid w:val="00F06D28"/>
    <w:rsid w:val="00F17C39"/>
    <w:rsid w:val="00F20C85"/>
    <w:rsid w:val="00F2725F"/>
    <w:rsid w:val="00F40B6A"/>
    <w:rsid w:val="00F46AF1"/>
    <w:rsid w:val="00F475BB"/>
    <w:rsid w:val="00FC266A"/>
    <w:rsid w:val="00FD0D29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9FE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52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EB57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5352"/>
    <w:pPr>
      <w:spacing w:beforeLines="1" w:afterLines="1"/>
    </w:pPr>
    <w:rPr>
      <w:rFonts w:ascii="Times" w:hAnsi="Times" w:cs="Times New Roman"/>
      <w:sz w:val="2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D"/>
    <w:rPr>
      <w:rFonts w:ascii="Times New Roman" w:hAnsi="Times New Roman" w:cs="Times New Roman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37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F0D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F0D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EB5776"/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EB577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B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BD7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75B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0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6B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550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6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by the Group of Friends of the Right Responsibility to Protect for Item 2 General Debate</dc:title>
  <dc:subject/>
  <dc:creator/>
  <cp:keywords/>
  <dc:description/>
  <cp:lastModifiedBy/>
  <cp:revision>1</cp:revision>
  <dcterms:created xsi:type="dcterms:W3CDTF">2020-03-02T07:49:00Z</dcterms:created>
  <dcterms:modified xsi:type="dcterms:W3CDTF">2020-03-02T07:49:00Z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df0ec471-fd5d-43c8-9414-52b464ba5ffe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