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99BB3" w14:textId="615BA270" w:rsidR="008124A9" w:rsidRDefault="00FC22E0" w:rsidP="00190BED">
      <w:pPr>
        <w:pBdr>
          <w:top w:val="single" w:sz="4" w:space="8" w:color="808080"/>
          <w:left w:val="single" w:sz="4" w:space="4" w:color="808080"/>
          <w:bottom w:val="single" w:sz="4" w:space="8" w:color="808080"/>
          <w:right w:val="single" w:sz="4" w:space="4" w:color="808080"/>
        </w:pBdr>
        <w:spacing w:before="0" w:after="240" w:line="280" w:lineRule="exact"/>
        <w:jc w:val="center"/>
        <w:rPr>
          <w:b/>
          <w:color w:val="666699"/>
          <w:sz w:val="19"/>
          <w:szCs w:val="19"/>
        </w:rPr>
      </w:pPr>
      <w:r>
        <w:rPr>
          <w:b/>
          <w:noProof/>
          <w:color w:val="666699"/>
          <w:sz w:val="19"/>
          <w:szCs w:val="19"/>
          <w:lang w:eastAsia="en-AU"/>
        </w:rPr>
        <w:drawing>
          <wp:anchor distT="0" distB="0" distL="114300" distR="114300" simplePos="0" relativeHeight="251657728" behindDoc="1" locked="0" layoutInCell="1" allowOverlap="1" wp14:anchorId="5C88067B" wp14:editId="696D82A9">
            <wp:simplePos x="0" y="0"/>
            <wp:positionH relativeFrom="column">
              <wp:posOffset>0</wp:posOffset>
            </wp:positionH>
            <wp:positionV relativeFrom="paragraph">
              <wp:posOffset>66675</wp:posOffset>
            </wp:positionV>
            <wp:extent cx="1671955" cy="414655"/>
            <wp:effectExtent l="0" t="0" r="4445" b="0"/>
            <wp:wrapNone/>
            <wp:docPr id="28" name="Picture 28" descr="ausaid_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usaid_logo-s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195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6D4">
        <w:rPr>
          <w:b/>
          <w:color w:val="666699"/>
          <w:sz w:val="19"/>
          <w:szCs w:val="19"/>
        </w:rPr>
        <w:t xml:space="preserve"> </w:t>
      </w:r>
    </w:p>
    <w:p w14:paraId="0CE72947" w14:textId="77777777" w:rsidR="00190BED" w:rsidRPr="006C2BFD" w:rsidRDefault="00190BED" w:rsidP="00190BED">
      <w:pPr>
        <w:pBdr>
          <w:top w:val="single" w:sz="4" w:space="8" w:color="808080"/>
          <w:left w:val="single" w:sz="4" w:space="4" w:color="808080"/>
          <w:bottom w:val="single" w:sz="4" w:space="8" w:color="808080"/>
          <w:right w:val="single" w:sz="4" w:space="4" w:color="808080"/>
        </w:pBdr>
        <w:spacing w:before="0" w:after="240" w:line="280" w:lineRule="exact"/>
        <w:jc w:val="center"/>
        <w:rPr>
          <w:b/>
          <w:color w:val="FF0000"/>
          <w:sz w:val="19"/>
          <w:szCs w:val="19"/>
        </w:rPr>
      </w:pPr>
    </w:p>
    <w:p w14:paraId="1B273707" w14:textId="1373891E" w:rsidR="00FA0ECD" w:rsidRPr="006C2BFD" w:rsidRDefault="00FA0ECD" w:rsidP="006C2BFD">
      <w:pPr>
        <w:rPr>
          <w:color w:val="666699"/>
        </w:rPr>
      </w:pPr>
    </w:p>
    <w:p w14:paraId="070862C2" w14:textId="77777777" w:rsidR="0098092B" w:rsidRDefault="0098092B" w:rsidP="00FA0ECD"/>
    <w:p w14:paraId="67C16233" w14:textId="77777777" w:rsidR="00FA0ECD" w:rsidRDefault="00FA0ECD" w:rsidP="00FA0ECD"/>
    <w:p w14:paraId="3D79DACF" w14:textId="77777777" w:rsidR="00375816" w:rsidRDefault="00375816" w:rsidP="00FA0ECD"/>
    <w:p w14:paraId="06CC050E" w14:textId="77777777" w:rsidR="00375816" w:rsidRPr="00DD2BDB" w:rsidRDefault="00375816" w:rsidP="00FA0ECD"/>
    <w:p w14:paraId="00E12170" w14:textId="77777777" w:rsidR="00262D58" w:rsidRDefault="00262D58" w:rsidP="00FA0ECD"/>
    <w:p w14:paraId="08DFABD4" w14:textId="77777777" w:rsidR="00242488" w:rsidRDefault="00C77E99" w:rsidP="00761C13">
      <w:pPr>
        <w:pStyle w:val="BodyText"/>
        <w:jc w:val="center"/>
        <w:rPr>
          <w:b/>
          <w:sz w:val="28"/>
          <w:szCs w:val="28"/>
          <w:lang w:val="en-US"/>
        </w:rPr>
      </w:pPr>
      <w:r w:rsidRPr="00C77E99">
        <w:rPr>
          <w:b/>
          <w:sz w:val="28"/>
          <w:szCs w:val="28"/>
        </w:rPr>
        <w:t>Agreement Establishing the ASEAN</w:t>
      </w:r>
      <w:r w:rsidR="002C0808">
        <w:rPr>
          <w:b/>
          <w:sz w:val="28"/>
          <w:szCs w:val="28"/>
        </w:rPr>
        <w:t>–</w:t>
      </w:r>
      <w:r w:rsidRPr="00C77E99">
        <w:rPr>
          <w:b/>
          <w:sz w:val="28"/>
          <w:szCs w:val="28"/>
        </w:rPr>
        <w:t>Australia</w:t>
      </w:r>
      <w:r>
        <w:rPr>
          <w:b/>
          <w:sz w:val="28"/>
          <w:szCs w:val="28"/>
        </w:rPr>
        <w:t>–</w:t>
      </w:r>
      <w:r w:rsidRPr="00C77E99">
        <w:rPr>
          <w:b/>
          <w:sz w:val="28"/>
          <w:szCs w:val="28"/>
        </w:rPr>
        <w:t>New Zealand Free Trade Area</w:t>
      </w:r>
      <w:r w:rsidR="00714B4B">
        <w:rPr>
          <w:b/>
          <w:sz w:val="28"/>
          <w:szCs w:val="28"/>
        </w:rPr>
        <w:t xml:space="preserve"> </w:t>
      </w:r>
      <w:r w:rsidR="00190BED" w:rsidRPr="00761C13">
        <w:rPr>
          <w:b/>
          <w:sz w:val="28"/>
          <w:szCs w:val="28"/>
          <w:lang w:val="en-US"/>
        </w:rPr>
        <w:t xml:space="preserve">Economic Cooperation Support Program </w:t>
      </w:r>
    </w:p>
    <w:p w14:paraId="6C7DB7B1" w14:textId="07CF8E81" w:rsidR="00CE6593" w:rsidRPr="00761C13" w:rsidRDefault="00C77E99" w:rsidP="00761C13">
      <w:pPr>
        <w:pStyle w:val="BodyText"/>
        <w:jc w:val="center"/>
        <w:rPr>
          <w:b/>
          <w:sz w:val="28"/>
          <w:szCs w:val="28"/>
          <w:lang w:val="en-US"/>
        </w:rPr>
      </w:pPr>
      <w:r w:rsidRPr="00761C13">
        <w:rPr>
          <w:b/>
          <w:sz w:val="28"/>
          <w:szCs w:val="28"/>
          <w:lang w:val="en-US"/>
        </w:rPr>
        <w:t xml:space="preserve">independent progress report </w:t>
      </w:r>
    </w:p>
    <w:p w14:paraId="503A4B65" w14:textId="7AE6C529" w:rsidR="00761C13" w:rsidRPr="00761C13" w:rsidRDefault="00761C13" w:rsidP="00761C13"/>
    <w:p w14:paraId="590FF915" w14:textId="06AAE1EE" w:rsidR="00714B4B" w:rsidRPr="00761C13" w:rsidRDefault="00714B4B" w:rsidP="00714B4B">
      <w:pPr>
        <w:pStyle w:val="BodyText"/>
        <w:jc w:val="center"/>
        <w:rPr>
          <w:b/>
          <w:color w:val="000000" w:themeColor="text1"/>
          <w:sz w:val="28"/>
          <w:szCs w:val="28"/>
          <w:lang w:val="en-US"/>
        </w:rPr>
      </w:pPr>
      <w:r w:rsidRPr="00761C13">
        <w:rPr>
          <w:b/>
          <w:color w:val="000000" w:themeColor="text1"/>
          <w:sz w:val="28"/>
          <w:szCs w:val="28"/>
        </w:rPr>
        <w:t xml:space="preserve">AidWorks </w:t>
      </w:r>
      <w:r w:rsidR="00242488">
        <w:rPr>
          <w:b/>
          <w:color w:val="000000" w:themeColor="text1"/>
          <w:sz w:val="28"/>
          <w:szCs w:val="28"/>
        </w:rPr>
        <w:t>i</w:t>
      </w:r>
      <w:r w:rsidRPr="00761C13">
        <w:rPr>
          <w:b/>
          <w:color w:val="000000" w:themeColor="text1"/>
          <w:sz w:val="28"/>
          <w:szCs w:val="28"/>
        </w:rPr>
        <w:t xml:space="preserve">nitiative </w:t>
      </w:r>
      <w:r w:rsidRPr="00761C13">
        <w:rPr>
          <w:b/>
          <w:color w:val="000000" w:themeColor="text1"/>
          <w:sz w:val="28"/>
          <w:szCs w:val="28"/>
          <w:lang w:val="en-US"/>
        </w:rPr>
        <w:t>INI358</w:t>
      </w:r>
    </w:p>
    <w:p w14:paraId="1075A246" w14:textId="77777777" w:rsidR="00262D58" w:rsidRDefault="00262D58" w:rsidP="00262D58">
      <w:pPr>
        <w:spacing w:before="0"/>
        <w:ind w:left="360"/>
        <w:jc w:val="center"/>
        <w:rPr>
          <w:b/>
          <w:sz w:val="32"/>
          <w:szCs w:val="32"/>
        </w:rPr>
      </w:pPr>
    </w:p>
    <w:p w14:paraId="6FB67A65" w14:textId="77777777" w:rsidR="00A05CC2" w:rsidRDefault="00A05CC2" w:rsidP="00262D58">
      <w:pPr>
        <w:spacing w:before="0"/>
        <w:ind w:left="360"/>
        <w:jc w:val="center"/>
        <w:rPr>
          <w:b/>
          <w:sz w:val="32"/>
          <w:szCs w:val="32"/>
        </w:rPr>
      </w:pPr>
    </w:p>
    <w:p w14:paraId="4B2C4C0F" w14:textId="77777777" w:rsidR="00375816" w:rsidRDefault="00375816" w:rsidP="00262D58">
      <w:pPr>
        <w:spacing w:before="0"/>
        <w:ind w:left="360"/>
        <w:jc w:val="center"/>
        <w:rPr>
          <w:b/>
          <w:sz w:val="32"/>
          <w:szCs w:val="32"/>
        </w:rPr>
      </w:pPr>
    </w:p>
    <w:p w14:paraId="7D6ECA7D" w14:textId="77777777" w:rsidR="00375816" w:rsidRDefault="00375816" w:rsidP="00262D58">
      <w:pPr>
        <w:spacing w:before="0"/>
        <w:ind w:left="360"/>
        <w:jc w:val="center"/>
        <w:rPr>
          <w:b/>
          <w:sz w:val="32"/>
          <w:szCs w:val="32"/>
        </w:rPr>
      </w:pPr>
    </w:p>
    <w:p w14:paraId="1E5B24F5" w14:textId="77777777" w:rsidR="00375816" w:rsidRDefault="00375816" w:rsidP="00262D58">
      <w:pPr>
        <w:spacing w:before="0"/>
        <w:ind w:left="360"/>
        <w:jc w:val="center"/>
        <w:rPr>
          <w:b/>
          <w:sz w:val="32"/>
          <w:szCs w:val="32"/>
        </w:rPr>
      </w:pPr>
    </w:p>
    <w:p w14:paraId="46825AAB" w14:textId="77777777" w:rsidR="00A05CC2" w:rsidRPr="00262D58" w:rsidRDefault="00A05CC2" w:rsidP="00262D58">
      <w:pPr>
        <w:spacing w:before="0"/>
        <w:ind w:left="360"/>
        <w:jc w:val="center"/>
        <w:rPr>
          <w:b/>
          <w:sz w:val="32"/>
          <w:szCs w:val="32"/>
        </w:rPr>
      </w:pPr>
    </w:p>
    <w:p w14:paraId="0BDF01C5" w14:textId="77777777" w:rsidR="00262D58" w:rsidRPr="00262D58" w:rsidRDefault="00262D58" w:rsidP="00262D58">
      <w:pPr>
        <w:spacing w:before="0"/>
        <w:ind w:left="360"/>
        <w:jc w:val="center"/>
        <w:rPr>
          <w:b/>
          <w:sz w:val="28"/>
          <w:szCs w:val="28"/>
        </w:rPr>
      </w:pPr>
    </w:p>
    <w:p w14:paraId="055387BC" w14:textId="2BD1E091" w:rsidR="00262D58" w:rsidRPr="00375816" w:rsidRDefault="00190BED" w:rsidP="00CE6593">
      <w:pPr>
        <w:jc w:val="center"/>
        <w:rPr>
          <w:b/>
          <w:sz w:val="22"/>
          <w:szCs w:val="22"/>
        </w:rPr>
      </w:pPr>
      <w:r w:rsidRPr="00375816">
        <w:rPr>
          <w:b/>
          <w:sz w:val="22"/>
          <w:szCs w:val="22"/>
        </w:rPr>
        <w:t xml:space="preserve">Raymond Mallon, </w:t>
      </w:r>
      <w:r w:rsidR="00C77E99" w:rsidRPr="00375816">
        <w:rPr>
          <w:b/>
          <w:sz w:val="22"/>
          <w:szCs w:val="22"/>
        </w:rPr>
        <w:t xml:space="preserve">Economist </w:t>
      </w:r>
      <w:r w:rsidR="00C77E99">
        <w:rPr>
          <w:b/>
          <w:sz w:val="22"/>
          <w:szCs w:val="22"/>
        </w:rPr>
        <w:t xml:space="preserve">and </w:t>
      </w:r>
      <w:r w:rsidRPr="00375816">
        <w:rPr>
          <w:b/>
          <w:sz w:val="22"/>
          <w:szCs w:val="22"/>
        </w:rPr>
        <w:t>Team Leader</w:t>
      </w:r>
    </w:p>
    <w:p w14:paraId="708AEE5E" w14:textId="1A4E66A8" w:rsidR="00190BED" w:rsidRPr="00375816" w:rsidRDefault="00190BED" w:rsidP="00CE6593">
      <w:pPr>
        <w:jc w:val="center"/>
        <w:rPr>
          <w:b/>
          <w:sz w:val="22"/>
          <w:szCs w:val="22"/>
        </w:rPr>
      </w:pPr>
      <w:r w:rsidRPr="00375816">
        <w:rPr>
          <w:b/>
          <w:sz w:val="22"/>
          <w:szCs w:val="22"/>
        </w:rPr>
        <w:t>Peter Deacon</w:t>
      </w:r>
      <w:r w:rsidR="00EE2C55" w:rsidRPr="00375816">
        <w:rPr>
          <w:b/>
          <w:sz w:val="22"/>
          <w:szCs w:val="22"/>
        </w:rPr>
        <w:t xml:space="preserve">, </w:t>
      </w:r>
      <w:r w:rsidR="00EE2C55" w:rsidRPr="00375816">
        <w:rPr>
          <w:b/>
          <w:sz w:val="22"/>
          <w:szCs w:val="22"/>
          <w:lang w:val="en-US"/>
        </w:rPr>
        <w:t>Moni</w:t>
      </w:r>
      <w:r w:rsidR="00EF685E" w:rsidRPr="00375816">
        <w:rPr>
          <w:b/>
          <w:sz w:val="22"/>
          <w:szCs w:val="22"/>
          <w:lang w:val="en-US"/>
        </w:rPr>
        <w:t>toring and Evaluation/</w:t>
      </w:r>
      <w:r w:rsidR="00375816">
        <w:rPr>
          <w:b/>
          <w:sz w:val="22"/>
          <w:szCs w:val="22"/>
          <w:lang w:val="en-US"/>
        </w:rPr>
        <w:t>Capacity Development Consultant</w:t>
      </w:r>
    </w:p>
    <w:p w14:paraId="095663BC" w14:textId="77777777" w:rsidR="00A118BA" w:rsidRDefault="00A118BA" w:rsidP="00A118BA">
      <w:pPr>
        <w:pStyle w:val="BodyText"/>
        <w:jc w:val="center"/>
        <w:rPr>
          <w:lang w:eastAsia="en-AU"/>
        </w:rPr>
      </w:pPr>
    </w:p>
    <w:p w14:paraId="1C83D806" w14:textId="2C1E84BD" w:rsidR="00A118BA" w:rsidRPr="003A069A" w:rsidRDefault="00A118BA" w:rsidP="00A118BA">
      <w:pPr>
        <w:pStyle w:val="BodyText"/>
        <w:jc w:val="center"/>
        <w:rPr>
          <w:i/>
          <w:szCs w:val="20"/>
          <w:lang w:eastAsia="en-AU"/>
        </w:rPr>
      </w:pPr>
      <w:r w:rsidRPr="00A8315E">
        <w:rPr>
          <w:i/>
          <w:szCs w:val="20"/>
          <w:lang w:eastAsia="en-AU"/>
        </w:rPr>
        <w:t xml:space="preserve">The views in this report reflect the </w:t>
      </w:r>
      <w:r w:rsidR="00197E3E" w:rsidRPr="00A8315E">
        <w:rPr>
          <w:i/>
          <w:szCs w:val="20"/>
          <w:lang w:eastAsia="en-AU"/>
        </w:rPr>
        <w:t>findings</w:t>
      </w:r>
      <w:r w:rsidRPr="003A069A">
        <w:rPr>
          <w:i/>
          <w:szCs w:val="20"/>
          <w:lang w:eastAsia="en-AU"/>
        </w:rPr>
        <w:t xml:space="preserve"> of the independent evaluation team. They do not necessarily reflect the views of the various </w:t>
      </w:r>
      <w:r w:rsidR="002C0808" w:rsidRPr="00714B4B">
        <w:rPr>
          <w:rFonts w:cs="Arial"/>
          <w:i/>
          <w:szCs w:val="20"/>
        </w:rPr>
        <w:t>Agreement Establishing the ASEAN–Australia</w:t>
      </w:r>
      <w:r w:rsidR="00670B40">
        <w:rPr>
          <w:rFonts w:cs="Arial"/>
          <w:i/>
          <w:szCs w:val="20"/>
        </w:rPr>
        <w:t>–</w:t>
      </w:r>
      <w:r w:rsidR="002C0808" w:rsidRPr="00714B4B">
        <w:rPr>
          <w:rFonts w:cs="Arial"/>
          <w:i/>
          <w:szCs w:val="20"/>
        </w:rPr>
        <w:t>New Zealand Free Trade Area Economic Cooperation Support Program</w:t>
      </w:r>
      <w:r w:rsidR="002C0808" w:rsidRPr="00A8315E" w:rsidDel="002C0808">
        <w:rPr>
          <w:i/>
          <w:szCs w:val="20"/>
          <w:lang w:eastAsia="en-AU"/>
        </w:rPr>
        <w:t xml:space="preserve"> </w:t>
      </w:r>
      <w:r w:rsidRPr="00A8315E">
        <w:rPr>
          <w:i/>
          <w:szCs w:val="20"/>
          <w:lang w:eastAsia="en-AU"/>
        </w:rPr>
        <w:t>sta</w:t>
      </w:r>
      <w:r w:rsidRPr="003A069A">
        <w:rPr>
          <w:i/>
          <w:szCs w:val="20"/>
          <w:lang w:eastAsia="en-AU"/>
        </w:rPr>
        <w:t>keholders.</w:t>
      </w:r>
    </w:p>
    <w:p w14:paraId="08E36E99" w14:textId="77777777" w:rsidR="00A05CC2" w:rsidRDefault="00A05CC2" w:rsidP="00CE6593">
      <w:pPr>
        <w:spacing w:before="0"/>
        <w:ind w:left="360"/>
        <w:jc w:val="center"/>
        <w:rPr>
          <w:b/>
          <w:sz w:val="28"/>
          <w:szCs w:val="28"/>
        </w:rPr>
      </w:pPr>
    </w:p>
    <w:p w14:paraId="56254AE1" w14:textId="77777777" w:rsidR="00A05CC2" w:rsidRDefault="00A05CC2" w:rsidP="00CE6593">
      <w:pPr>
        <w:spacing w:before="0"/>
        <w:ind w:left="360"/>
        <w:jc w:val="center"/>
        <w:rPr>
          <w:b/>
          <w:sz w:val="28"/>
          <w:szCs w:val="28"/>
        </w:rPr>
      </w:pPr>
    </w:p>
    <w:p w14:paraId="29A5951C" w14:textId="77777777" w:rsidR="00375816" w:rsidRDefault="00375816" w:rsidP="00CE6593">
      <w:pPr>
        <w:spacing w:before="0"/>
        <w:ind w:left="360"/>
        <w:jc w:val="center"/>
        <w:rPr>
          <w:b/>
          <w:sz w:val="28"/>
          <w:szCs w:val="28"/>
        </w:rPr>
      </w:pPr>
    </w:p>
    <w:p w14:paraId="50561F4C" w14:textId="77777777" w:rsidR="00375816" w:rsidRDefault="00375816" w:rsidP="00CE6593">
      <w:pPr>
        <w:spacing w:before="0"/>
        <w:ind w:left="360"/>
        <w:jc w:val="center"/>
        <w:rPr>
          <w:b/>
          <w:sz w:val="28"/>
          <w:szCs w:val="28"/>
        </w:rPr>
      </w:pPr>
    </w:p>
    <w:p w14:paraId="12FB956E" w14:textId="77777777" w:rsidR="00375816" w:rsidRPr="00262D58" w:rsidRDefault="00375816" w:rsidP="00CE6593">
      <w:pPr>
        <w:spacing w:before="0"/>
        <w:ind w:left="360"/>
        <w:jc w:val="center"/>
        <w:rPr>
          <w:b/>
          <w:sz w:val="28"/>
          <w:szCs w:val="28"/>
        </w:rPr>
      </w:pPr>
    </w:p>
    <w:p w14:paraId="7728EB3C" w14:textId="2314D307" w:rsidR="00262D58" w:rsidRPr="00262D58" w:rsidRDefault="00586A61" w:rsidP="00CE6593">
      <w:pPr>
        <w:pStyle w:val="Date"/>
        <w:jc w:val="center"/>
      </w:pPr>
      <w:r>
        <w:t>1</w:t>
      </w:r>
      <w:r w:rsidR="00814BCA">
        <w:t>2</w:t>
      </w:r>
      <w:r>
        <w:t xml:space="preserve"> May</w:t>
      </w:r>
      <w:r w:rsidR="00190BED">
        <w:t xml:space="preserve"> 2013</w:t>
      </w:r>
    </w:p>
    <w:p w14:paraId="77D54AF0" w14:textId="77777777" w:rsidR="005A5717" w:rsidRDefault="005A5717" w:rsidP="00FA0ECD"/>
    <w:p w14:paraId="4CA8D9FD" w14:textId="77777777" w:rsidR="00FA1A5C" w:rsidRDefault="00FA1A5C" w:rsidP="00FA0ECD">
      <w:pPr>
        <w:rPr>
          <w:b/>
        </w:rPr>
      </w:pPr>
    </w:p>
    <w:p w14:paraId="5C967648" w14:textId="236B38CB" w:rsidR="009A14A3" w:rsidRPr="007079A2" w:rsidRDefault="009A14A3" w:rsidP="009A14A3">
      <w:pPr>
        <w:pStyle w:val="Heading1"/>
      </w:pPr>
      <w:bookmarkStart w:id="0" w:name="_Toc229924878"/>
      <w:bookmarkStart w:id="1" w:name="_Toc207171367"/>
      <w:r>
        <w:lastRenderedPageBreak/>
        <w:t xml:space="preserve">Aid </w:t>
      </w:r>
      <w:r w:rsidR="00C77E99">
        <w:t>a</w:t>
      </w:r>
      <w:r w:rsidR="00C77E99" w:rsidRPr="00A94B08">
        <w:t>ctivity</w:t>
      </w:r>
      <w:r w:rsidR="00C77E99">
        <w:t xml:space="preserve"> </w:t>
      </w:r>
      <w:bookmarkEnd w:id="0"/>
      <w:r w:rsidR="00C77E99">
        <w:t>summary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9A14A3" w:rsidRPr="00760AA0" w14:paraId="3970130E" w14:textId="77777777" w:rsidTr="002A5A9E">
        <w:trPr>
          <w:cantSplit/>
          <w:tblHeader/>
        </w:trPr>
        <w:tc>
          <w:tcPr>
            <w:tcW w:w="2235" w:type="dxa"/>
            <w:shd w:val="clear" w:color="auto" w:fill="E0E0E0"/>
            <w:vAlign w:val="center"/>
          </w:tcPr>
          <w:p w14:paraId="134497F4" w14:textId="22E2F4B9" w:rsidR="009A14A3" w:rsidRPr="00760AA0" w:rsidRDefault="009A14A3">
            <w:pPr>
              <w:pStyle w:val="Table-normal-text"/>
              <w:rPr>
                <w:b/>
              </w:rPr>
            </w:pPr>
            <w:r w:rsidRPr="00760AA0">
              <w:rPr>
                <w:b/>
              </w:rPr>
              <w:t xml:space="preserve">Aid </w:t>
            </w:r>
            <w:r w:rsidR="00C77E99">
              <w:rPr>
                <w:b/>
              </w:rPr>
              <w:t>a</w:t>
            </w:r>
            <w:r w:rsidR="00C77E99" w:rsidRPr="00760AA0">
              <w:rPr>
                <w:b/>
              </w:rPr>
              <w:t xml:space="preserve">ctivity </w:t>
            </w:r>
            <w:r w:rsidR="00C77E99">
              <w:rPr>
                <w:b/>
              </w:rPr>
              <w:t>n</w:t>
            </w:r>
            <w:r w:rsidR="00C77E99" w:rsidRPr="00760AA0">
              <w:rPr>
                <w:b/>
              </w:rPr>
              <w:t>ame</w:t>
            </w:r>
          </w:p>
        </w:tc>
        <w:tc>
          <w:tcPr>
            <w:tcW w:w="6191" w:type="dxa"/>
            <w:gridSpan w:val="3"/>
            <w:shd w:val="clear" w:color="auto" w:fill="E0E0E0"/>
            <w:vAlign w:val="center"/>
          </w:tcPr>
          <w:p w14:paraId="49861F6A" w14:textId="78590E0D" w:rsidR="009A14A3" w:rsidRPr="00C77E99" w:rsidRDefault="00670B40" w:rsidP="00097596">
            <w:pPr>
              <w:pStyle w:val="Table-normal-text"/>
              <w:rPr>
                <w:b/>
              </w:rPr>
            </w:pPr>
            <w:r w:rsidRPr="00670B40">
              <w:rPr>
                <w:b/>
                <w:iCs/>
              </w:rPr>
              <w:t>Agreement Establishing the ASEAN–Australi</w:t>
            </w:r>
            <w:r>
              <w:rPr>
                <w:b/>
                <w:iCs/>
              </w:rPr>
              <w:t>a–</w:t>
            </w:r>
            <w:r w:rsidRPr="00670B40">
              <w:rPr>
                <w:b/>
                <w:iCs/>
              </w:rPr>
              <w:t>New Zealand Free Trade Area</w:t>
            </w:r>
            <w:r w:rsidRPr="00670B40" w:rsidDel="00670B40">
              <w:rPr>
                <w:b/>
                <w:iCs/>
                <w:lang w:val="en-US"/>
              </w:rPr>
              <w:t xml:space="preserve"> </w:t>
            </w:r>
            <w:r w:rsidR="009A14A3" w:rsidRPr="00714B4B">
              <w:rPr>
                <w:b/>
                <w:iCs/>
                <w:lang w:val="en-US"/>
              </w:rPr>
              <w:t>Economic Cooperation Support Program</w:t>
            </w:r>
          </w:p>
        </w:tc>
      </w:tr>
      <w:tr w:rsidR="009A14A3" w:rsidRPr="00760AA0" w14:paraId="7A9C25AA" w14:textId="77777777" w:rsidTr="002A5A9E">
        <w:trPr>
          <w:cantSplit/>
        </w:trPr>
        <w:tc>
          <w:tcPr>
            <w:tcW w:w="2235" w:type="dxa"/>
            <w:shd w:val="clear" w:color="auto" w:fill="auto"/>
          </w:tcPr>
          <w:p w14:paraId="1B97C8FE" w14:textId="77777777" w:rsidR="009A14A3" w:rsidRPr="00F2320B" w:rsidRDefault="009A14A3" w:rsidP="002A5A9E">
            <w:pPr>
              <w:pStyle w:val="Table-normal-text"/>
            </w:pPr>
            <w:r w:rsidRPr="00F2320B">
              <w:t>AidWorks initiative number</w:t>
            </w:r>
          </w:p>
        </w:tc>
        <w:tc>
          <w:tcPr>
            <w:tcW w:w="6191" w:type="dxa"/>
            <w:gridSpan w:val="3"/>
            <w:shd w:val="clear" w:color="auto" w:fill="auto"/>
          </w:tcPr>
          <w:p w14:paraId="29068800" w14:textId="0B7D0A21" w:rsidR="009A14A3" w:rsidRPr="00F2320B" w:rsidRDefault="009A14A3" w:rsidP="002A5A9E">
            <w:pPr>
              <w:pStyle w:val="Table-normal-text"/>
            </w:pPr>
            <w:r>
              <w:rPr>
                <w:lang w:val="en-US"/>
              </w:rPr>
              <w:t xml:space="preserve">INI358 </w:t>
            </w:r>
          </w:p>
        </w:tc>
      </w:tr>
      <w:tr w:rsidR="009A14A3" w:rsidRPr="00760AA0" w14:paraId="27E728A2" w14:textId="77777777" w:rsidTr="002A5A9E">
        <w:trPr>
          <w:cantSplit/>
        </w:trPr>
        <w:tc>
          <w:tcPr>
            <w:tcW w:w="2235" w:type="dxa"/>
            <w:shd w:val="clear" w:color="auto" w:fill="auto"/>
          </w:tcPr>
          <w:p w14:paraId="535DD767" w14:textId="77777777" w:rsidR="009A14A3" w:rsidRPr="00F2320B" w:rsidRDefault="009A14A3" w:rsidP="002A5A9E">
            <w:pPr>
              <w:pStyle w:val="Table-normal-text"/>
            </w:pPr>
            <w:r w:rsidRPr="00F2320B">
              <w:t xml:space="preserve">Commencement </w:t>
            </w:r>
            <w:r>
              <w:t>d</w:t>
            </w:r>
            <w:r w:rsidRPr="00F2320B">
              <w:t>ate</w:t>
            </w:r>
          </w:p>
        </w:tc>
        <w:tc>
          <w:tcPr>
            <w:tcW w:w="2126" w:type="dxa"/>
            <w:shd w:val="clear" w:color="auto" w:fill="auto"/>
          </w:tcPr>
          <w:p w14:paraId="521D72F1" w14:textId="77777777" w:rsidR="009A14A3" w:rsidRPr="00F2320B" w:rsidRDefault="009A14A3" w:rsidP="002A5A9E">
            <w:pPr>
              <w:pStyle w:val="Table-normal-text"/>
            </w:pPr>
            <w:r>
              <w:t>3 November 2008</w:t>
            </w:r>
          </w:p>
        </w:tc>
        <w:tc>
          <w:tcPr>
            <w:tcW w:w="1701" w:type="dxa"/>
            <w:shd w:val="clear" w:color="auto" w:fill="auto"/>
          </w:tcPr>
          <w:p w14:paraId="4ECF704D" w14:textId="77777777" w:rsidR="009A14A3" w:rsidRPr="00F2320B" w:rsidRDefault="009A14A3" w:rsidP="002A5A9E">
            <w:pPr>
              <w:pStyle w:val="Table-normal-text"/>
            </w:pPr>
            <w:r w:rsidRPr="00F2320B">
              <w:t xml:space="preserve">Completion </w:t>
            </w:r>
            <w:r>
              <w:t>d</w:t>
            </w:r>
            <w:r w:rsidRPr="00F2320B">
              <w:t>ate</w:t>
            </w:r>
          </w:p>
        </w:tc>
        <w:tc>
          <w:tcPr>
            <w:tcW w:w="2364" w:type="dxa"/>
            <w:shd w:val="clear" w:color="auto" w:fill="auto"/>
          </w:tcPr>
          <w:p w14:paraId="07141145" w14:textId="77777777" w:rsidR="009A14A3" w:rsidRPr="00F2320B" w:rsidRDefault="009A14A3" w:rsidP="002A5A9E">
            <w:pPr>
              <w:pStyle w:val="Table-normal-text"/>
            </w:pPr>
            <w:r>
              <w:t>30 June 2014</w:t>
            </w:r>
          </w:p>
        </w:tc>
      </w:tr>
      <w:tr w:rsidR="009A14A3" w:rsidRPr="00760AA0" w14:paraId="7C5490F6" w14:textId="77777777" w:rsidTr="002A5A9E">
        <w:trPr>
          <w:cantSplit/>
        </w:trPr>
        <w:tc>
          <w:tcPr>
            <w:tcW w:w="2235" w:type="dxa"/>
            <w:shd w:val="clear" w:color="auto" w:fill="auto"/>
          </w:tcPr>
          <w:p w14:paraId="6A0E9AE7" w14:textId="56FA3BC6" w:rsidR="009A14A3" w:rsidRPr="00F2320B" w:rsidRDefault="009A14A3">
            <w:pPr>
              <w:pStyle w:val="Table-normal-text"/>
            </w:pPr>
            <w:r>
              <w:t>Total $</w:t>
            </w:r>
          </w:p>
        </w:tc>
        <w:tc>
          <w:tcPr>
            <w:tcW w:w="6191" w:type="dxa"/>
            <w:gridSpan w:val="3"/>
            <w:shd w:val="clear" w:color="auto" w:fill="auto"/>
          </w:tcPr>
          <w:p w14:paraId="4D5977C5" w14:textId="5FD39DC9" w:rsidR="009A14A3" w:rsidRPr="00F2320B" w:rsidRDefault="00CC454F" w:rsidP="002A5A9E">
            <w:pPr>
              <w:pStyle w:val="Table-normal-text"/>
            </w:pPr>
            <w:r>
              <w:t xml:space="preserve">Up to </w:t>
            </w:r>
            <w:r w:rsidR="009A14A3">
              <w:t>20.0 million</w:t>
            </w:r>
          </w:p>
        </w:tc>
      </w:tr>
      <w:tr w:rsidR="009A14A3" w:rsidRPr="00760AA0" w14:paraId="609E0615" w14:textId="77777777" w:rsidTr="002A5A9E">
        <w:trPr>
          <w:cantSplit/>
        </w:trPr>
        <w:tc>
          <w:tcPr>
            <w:tcW w:w="2235" w:type="dxa"/>
            <w:shd w:val="clear" w:color="auto" w:fill="auto"/>
          </w:tcPr>
          <w:p w14:paraId="534A29BF" w14:textId="77777777" w:rsidR="009A14A3" w:rsidRPr="00F2320B" w:rsidRDefault="009A14A3" w:rsidP="002A5A9E">
            <w:pPr>
              <w:pStyle w:val="Table-normal-text"/>
            </w:pPr>
            <w:r>
              <w:t>Total other $</w:t>
            </w:r>
          </w:p>
        </w:tc>
        <w:tc>
          <w:tcPr>
            <w:tcW w:w="6191" w:type="dxa"/>
            <w:gridSpan w:val="3"/>
            <w:shd w:val="clear" w:color="auto" w:fill="auto"/>
          </w:tcPr>
          <w:p w14:paraId="5F30724E" w14:textId="58F9FD5D" w:rsidR="009A14A3" w:rsidRPr="00F2320B" w:rsidRDefault="00D13824">
            <w:pPr>
              <w:pStyle w:val="Table-normal-text"/>
            </w:pPr>
            <w:r>
              <w:t>4.6</w:t>
            </w:r>
            <w:r w:rsidR="009A14A3">
              <w:t xml:space="preserve"> million (New Zealand </w:t>
            </w:r>
            <w:r w:rsidR="00E77996">
              <w:t>Ministry of Foreign Affairs and Trade</w:t>
            </w:r>
            <w:r w:rsidR="00BC4FCD">
              <w:t>)</w:t>
            </w:r>
          </w:p>
        </w:tc>
      </w:tr>
      <w:tr w:rsidR="009A14A3" w:rsidRPr="00760AA0" w14:paraId="115C08F2" w14:textId="77777777" w:rsidTr="002A5A9E">
        <w:trPr>
          <w:cantSplit/>
        </w:trPr>
        <w:tc>
          <w:tcPr>
            <w:tcW w:w="2235" w:type="dxa"/>
            <w:shd w:val="clear" w:color="auto" w:fill="auto"/>
          </w:tcPr>
          <w:p w14:paraId="295C351D" w14:textId="77777777" w:rsidR="009A14A3" w:rsidRPr="00F2320B" w:rsidRDefault="009A14A3" w:rsidP="002A5A9E">
            <w:pPr>
              <w:pStyle w:val="Table-normal-text"/>
            </w:pPr>
            <w:r>
              <w:t>Delivery organisation</w:t>
            </w:r>
          </w:p>
        </w:tc>
        <w:tc>
          <w:tcPr>
            <w:tcW w:w="6191" w:type="dxa"/>
            <w:gridSpan w:val="3"/>
            <w:shd w:val="clear" w:color="auto" w:fill="auto"/>
          </w:tcPr>
          <w:p w14:paraId="516E5913" w14:textId="77777777" w:rsidR="009A14A3" w:rsidRPr="00F97A5C" w:rsidRDefault="009A14A3" w:rsidP="002A5A9E">
            <w:pPr>
              <w:pStyle w:val="Table-normal-text"/>
              <w:rPr>
                <w:lang w:val="en-US"/>
              </w:rPr>
            </w:pPr>
            <w:r w:rsidRPr="00F97A5C">
              <w:rPr>
                <w:lang w:val="en-US"/>
              </w:rPr>
              <w:t>ASEAN Secretariat </w:t>
            </w:r>
          </w:p>
        </w:tc>
      </w:tr>
      <w:tr w:rsidR="009A14A3" w:rsidRPr="00760AA0" w14:paraId="646188B8" w14:textId="77777777" w:rsidTr="002A5A9E">
        <w:trPr>
          <w:cantSplit/>
        </w:trPr>
        <w:tc>
          <w:tcPr>
            <w:tcW w:w="2235" w:type="dxa"/>
            <w:shd w:val="clear" w:color="auto" w:fill="auto"/>
          </w:tcPr>
          <w:p w14:paraId="12CFD3A1" w14:textId="0979B94C" w:rsidR="009A14A3" w:rsidRPr="00F2320B" w:rsidRDefault="009A14A3">
            <w:pPr>
              <w:pStyle w:val="Table-normal-text"/>
            </w:pPr>
            <w:r>
              <w:t xml:space="preserve">Implementing </w:t>
            </w:r>
            <w:r w:rsidR="00C77E99">
              <w:t>partners</w:t>
            </w:r>
          </w:p>
        </w:tc>
        <w:tc>
          <w:tcPr>
            <w:tcW w:w="6191" w:type="dxa"/>
            <w:gridSpan w:val="3"/>
            <w:shd w:val="clear" w:color="auto" w:fill="auto"/>
          </w:tcPr>
          <w:p w14:paraId="49F6854E" w14:textId="77777777" w:rsidR="009A14A3" w:rsidRDefault="009A14A3" w:rsidP="002A5A9E">
            <w:pPr>
              <w:pStyle w:val="Table-normal-text"/>
              <w:rPr>
                <w:lang w:val="en-US"/>
              </w:rPr>
            </w:pPr>
            <w:r w:rsidRPr="00F97A5C">
              <w:rPr>
                <w:lang w:val="en-US"/>
              </w:rPr>
              <w:t>ASEAN Secretariat </w:t>
            </w:r>
          </w:p>
          <w:p w14:paraId="1164D58F" w14:textId="77777777" w:rsidR="009A14A3" w:rsidRPr="00F2320B" w:rsidRDefault="009A14A3" w:rsidP="002A5A9E">
            <w:pPr>
              <w:pStyle w:val="Table-normal-text"/>
            </w:pPr>
            <w:r w:rsidRPr="00F97A5C">
              <w:rPr>
                <w:lang w:val="en-US"/>
              </w:rPr>
              <w:t>New Zealand</w:t>
            </w:r>
          </w:p>
        </w:tc>
      </w:tr>
      <w:tr w:rsidR="009A14A3" w:rsidRPr="00760AA0" w14:paraId="2ADB40C3" w14:textId="77777777" w:rsidTr="002A5A9E">
        <w:trPr>
          <w:cantSplit/>
        </w:trPr>
        <w:tc>
          <w:tcPr>
            <w:tcW w:w="2235" w:type="dxa"/>
            <w:shd w:val="clear" w:color="auto" w:fill="auto"/>
          </w:tcPr>
          <w:p w14:paraId="0CC6D669" w14:textId="1DC64A4A" w:rsidR="009A14A3" w:rsidRPr="00F2320B" w:rsidRDefault="009A14A3">
            <w:pPr>
              <w:pStyle w:val="Table-normal-text"/>
            </w:pPr>
            <w:r w:rsidRPr="00F2320B">
              <w:t>Country/</w:t>
            </w:r>
            <w:r w:rsidR="00C77E99">
              <w:t>r</w:t>
            </w:r>
            <w:r w:rsidR="00C77E99" w:rsidRPr="00F2320B">
              <w:t>egion</w:t>
            </w:r>
          </w:p>
        </w:tc>
        <w:tc>
          <w:tcPr>
            <w:tcW w:w="6191" w:type="dxa"/>
            <w:gridSpan w:val="3"/>
            <w:shd w:val="clear" w:color="auto" w:fill="auto"/>
          </w:tcPr>
          <w:p w14:paraId="431C2C46" w14:textId="77777777" w:rsidR="009A14A3" w:rsidRPr="00F2320B" w:rsidRDefault="009A14A3" w:rsidP="002A5A9E">
            <w:pPr>
              <w:pStyle w:val="Table-normal-text"/>
            </w:pPr>
            <w:r>
              <w:t>ASEAN</w:t>
            </w:r>
          </w:p>
        </w:tc>
      </w:tr>
      <w:tr w:rsidR="009A14A3" w:rsidRPr="00760AA0" w14:paraId="34C161DE" w14:textId="77777777" w:rsidTr="002A5A9E">
        <w:trPr>
          <w:cantSplit/>
        </w:trPr>
        <w:tc>
          <w:tcPr>
            <w:tcW w:w="2235" w:type="dxa"/>
            <w:shd w:val="clear" w:color="auto" w:fill="auto"/>
          </w:tcPr>
          <w:p w14:paraId="38504FAF" w14:textId="5B1CBCC4" w:rsidR="009A14A3" w:rsidRPr="00F2320B" w:rsidRDefault="009A14A3">
            <w:pPr>
              <w:pStyle w:val="Table-normal-text"/>
            </w:pPr>
            <w:r w:rsidRPr="00F2320B">
              <w:t xml:space="preserve">Primary </w:t>
            </w:r>
            <w:r w:rsidR="00C77E99">
              <w:t>s</w:t>
            </w:r>
            <w:r w:rsidR="00C77E99" w:rsidRPr="00F2320B">
              <w:t>ector</w:t>
            </w:r>
          </w:p>
        </w:tc>
        <w:tc>
          <w:tcPr>
            <w:tcW w:w="6191" w:type="dxa"/>
            <w:gridSpan w:val="3"/>
            <w:shd w:val="clear" w:color="auto" w:fill="auto"/>
          </w:tcPr>
          <w:p w14:paraId="7C0DB40D" w14:textId="4578632A" w:rsidR="009A14A3" w:rsidRPr="00F2320B" w:rsidRDefault="00C77E99">
            <w:pPr>
              <w:pStyle w:val="Table-normal-text"/>
            </w:pPr>
            <w:r>
              <w:rPr>
                <w:lang w:val="en-US"/>
              </w:rPr>
              <w:t>E</w:t>
            </w:r>
            <w:r w:rsidRPr="00F97A5C">
              <w:rPr>
                <w:lang w:val="en-US"/>
              </w:rPr>
              <w:t xml:space="preserve">conomic infrastructure </w:t>
            </w:r>
            <w:r>
              <w:rPr>
                <w:lang w:val="en-US"/>
              </w:rPr>
              <w:t>and</w:t>
            </w:r>
            <w:r w:rsidRPr="00F97A5C">
              <w:rPr>
                <w:lang w:val="en-US"/>
              </w:rPr>
              <w:t xml:space="preserve"> services</w:t>
            </w:r>
          </w:p>
        </w:tc>
      </w:tr>
    </w:tbl>
    <w:p w14:paraId="79D440F6" w14:textId="77777777" w:rsidR="009A14A3" w:rsidRPr="00D80112" w:rsidRDefault="009A14A3" w:rsidP="009A14A3"/>
    <w:p w14:paraId="5ECD09DD" w14:textId="77777777" w:rsidR="009A14A3" w:rsidRPr="00AB7378" w:rsidRDefault="009A14A3" w:rsidP="009A14A3">
      <w:pPr>
        <w:pStyle w:val="Heading3"/>
      </w:pPr>
      <w:r>
        <w:t>Acknowledgments</w:t>
      </w:r>
    </w:p>
    <w:p w14:paraId="7B003DB8" w14:textId="3E7BD6D3" w:rsidR="009A14A3" w:rsidRDefault="009A14A3" w:rsidP="00B75A93">
      <w:pPr>
        <w:pStyle w:val="BodyText"/>
        <w:rPr>
          <w:lang w:eastAsia="en-AU"/>
        </w:rPr>
      </w:pPr>
      <w:r w:rsidRPr="002915C2">
        <w:rPr>
          <w:lang w:eastAsia="en-AU"/>
        </w:rPr>
        <w:t>The mission consult</w:t>
      </w:r>
      <w:r w:rsidR="00C77E99">
        <w:rPr>
          <w:lang w:eastAsia="en-AU"/>
        </w:rPr>
        <w:t xml:space="preserve">ed </w:t>
      </w:r>
      <w:r w:rsidRPr="002915C2">
        <w:rPr>
          <w:lang w:eastAsia="en-AU"/>
        </w:rPr>
        <w:t xml:space="preserve">with government agencies, development partners and stakeholders from </w:t>
      </w:r>
      <w:r>
        <w:rPr>
          <w:lang w:eastAsia="en-AU"/>
        </w:rPr>
        <w:t>supported activities</w:t>
      </w:r>
      <w:r w:rsidRPr="002915C2">
        <w:rPr>
          <w:lang w:eastAsia="en-AU"/>
        </w:rPr>
        <w:t xml:space="preserve">. A list of agencies and </w:t>
      </w:r>
      <w:r w:rsidR="00C77E99">
        <w:rPr>
          <w:lang w:eastAsia="en-AU"/>
        </w:rPr>
        <w:t>people</w:t>
      </w:r>
      <w:r w:rsidR="00C77E99" w:rsidRPr="002915C2">
        <w:rPr>
          <w:lang w:eastAsia="en-AU"/>
        </w:rPr>
        <w:t xml:space="preserve"> </w:t>
      </w:r>
      <w:r w:rsidRPr="002915C2">
        <w:rPr>
          <w:lang w:eastAsia="en-AU"/>
        </w:rPr>
        <w:t xml:space="preserve">consulted is </w:t>
      </w:r>
      <w:r w:rsidR="00C77E99">
        <w:rPr>
          <w:lang w:eastAsia="en-AU"/>
        </w:rPr>
        <w:t>provided</w:t>
      </w:r>
      <w:r w:rsidR="00C77E99" w:rsidRPr="002915C2">
        <w:rPr>
          <w:lang w:eastAsia="en-AU"/>
        </w:rPr>
        <w:t xml:space="preserve"> </w:t>
      </w:r>
      <w:r w:rsidR="00C77E99">
        <w:rPr>
          <w:lang w:eastAsia="en-AU"/>
        </w:rPr>
        <w:t>at</w:t>
      </w:r>
      <w:r w:rsidR="00C77E99" w:rsidRPr="002915C2">
        <w:rPr>
          <w:lang w:eastAsia="en-AU"/>
        </w:rPr>
        <w:t xml:space="preserve"> </w:t>
      </w:r>
      <w:r w:rsidR="00BC4FCD">
        <w:rPr>
          <w:lang w:eastAsia="en-AU"/>
        </w:rPr>
        <w:t>A</w:t>
      </w:r>
      <w:r w:rsidR="00C77E99" w:rsidRPr="002915C2">
        <w:rPr>
          <w:lang w:eastAsia="en-AU"/>
        </w:rPr>
        <w:t xml:space="preserve">ppendix </w:t>
      </w:r>
      <w:r w:rsidRPr="002915C2">
        <w:rPr>
          <w:lang w:eastAsia="en-AU"/>
        </w:rPr>
        <w:t xml:space="preserve">A. The mission </w:t>
      </w:r>
      <w:r w:rsidR="00D84D07">
        <w:rPr>
          <w:lang w:eastAsia="en-AU"/>
        </w:rPr>
        <w:t>benefited greatly from</w:t>
      </w:r>
      <w:r w:rsidRPr="002915C2">
        <w:rPr>
          <w:lang w:eastAsia="en-AU"/>
        </w:rPr>
        <w:t xml:space="preserve"> the</w:t>
      </w:r>
      <w:r w:rsidR="00D84D07">
        <w:rPr>
          <w:lang w:eastAsia="en-AU"/>
        </w:rPr>
        <w:t xml:space="preserve"> effective</w:t>
      </w:r>
      <w:r w:rsidRPr="002915C2">
        <w:rPr>
          <w:lang w:eastAsia="en-AU"/>
        </w:rPr>
        <w:t xml:space="preserve"> support provided by the ASEAN Secretariat</w:t>
      </w:r>
      <w:r w:rsidR="0075048E">
        <w:rPr>
          <w:lang w:eastAsia="en-AU"/>
        </w:rPr>
        <w:t xml:space="preserve">, the </w:t>
      </w:r>
      <w:r w:rsidR="00670B40" w:rsidRPr="00670B40">
        <w:rPr>
          <w:lang w:eastAsia="en-AU"/>
        </w:rPr>
        <w:t>Agreement Establishing the ASEAN–Australia-New Zealand Free Trade Area</w:t>
      </w:r>
      <w:r w:rsidR="00670B40" w:rsidRPr="00670B40" w:rsidDel="00670B40">
        <w:rPr>
          <w:lang w:eastAsia="en-AU"/>
        </w:rPr>
        <w:t xml:space="preserve"> </w:t>
      </w:r>
      <w:r w:rsidR="0075048E">
        <w:rPr>
          <w:lang w:eastAsia="en-AU"/>
        </w:rPr>
        <w:t>Support Unit</w:t>
      </w:r>
      <w:r w:rsidR="00670B40">
        <w:rPr>
          <w:lang w:eastAsia="en-AU"/>
        </w:rPr>
        <w:t>,</w:t>
      </w:r>
      <w:r w:rsidRPr="002915C2">
        <w:rPr>
          <w:lang w:eastAsia="en-AU"/>
        </w:rPr>
        <w:t xml:space="preserve"> and AusAID in Canberra and Jakarta. The team appreciated the open and productive discussions with stakeholders during the visit. </w:t>
      </w:r>
    </w:p>
    <w:p w14:paraId="27C9BCC0" w14:textId="63A453A9" w:rsidR="00FD1479" w:rsidRPr="00C77E99" w:rsidRDefault="00FD1479" w:rsidP="00B75A93">
      <w:pPr>
        <w:pStyle w:val="BodyText"/>
        <w:rPr>
          <w:lang w:eastAsia="en-AU"/>
        </w:rPr>
      </w:pPr>
      <w:r>
        <w:rPr>
          <w:lang w:eastAsia="en-AU"/>
        </w:rPr>
        <w:t xml:space="preserve">The views in this report reflect the initial impressions of the independent evaluation team. They do not necessarily reflect the views of various </w:t>
      </w:r>
      <w:r w:rsidR="00670B40" w:rsidRPr="00C77E99">
        <w:rPr>
          <w:lang w:eastAsia="en-AU"/>
        </w:rPr>
        <w:t>stakeholders</w:t>
      </w:r>
      <w:r w:rsidR="00670B40" w:rsidRPr="00670B40">
        <w:rPr>
          <w:iCs/>
          <w:lang w:eastAsia="en-AU"/>
        </w:rPr>
        <w:t xml:space="preserve"> </w:t>
      </w:r>
      <w:r w:rsidR="00670B40">
        <w:rPr>
          <w:iCs/>
          <w:lang w:eastAsia="en-AU"/>
        </w:rPr>
        <w:t xml:space="preserve">to </w:t>
      </w:r>
      <w:r w:rsidR="00670B40">
        <w:rPr>
          <w:lang w:eastAsia="en-AU"/>
        </w:rPr>
        <w:t xml:space="preserve">the </w:t>
      </w:r>
      <w:r w:rsidR="00670B40" w:rsidRPr="00670B40">
        <w:rPr>
          <w:iCs/>
          <w:lang w:eastAsia="en-AU"/>
        </w:rPr>
        <w:t>Agreement Establishing the ASEAN–Australia-New Zealand Free Trade Area</w:t>
      </w:r>
      <w:r w:rsidR="00670B40" w:rsidRPr="00670B40">
        <w:rPr>
          <w:iCs/>
          <w:lang w:val="en-US" w:eastAsia="en-AU"/>
        </w:rPr>
        <w:t xml:space="preserve"> </w:t>
      </w:r>
      <w:r w:rsidR="00C77E99" w:rsidRPr="00714B4B">
        <w:rPr>
          <w:iCs/>
          <w:lang w:val="en-US" w:eastAsia="en-AU"/>
        </w:rPr>
        <w:t>Economic Cooperation Support Program</w:t>
      </w:r>
      <w:r w:rsidRPr="00C77E99">
        <w:rPr>
          <w:lang w:eastAsia="en-AU"/>
        </w:rPr>
        <w:t>.</w:t>
      </w:r>
    </w:p>
    <w:p w14:paraId="534CC543" w14:textId="1FFC304B" w:rsidR="009A14A3" w:rsidRDefault="009A14A3" w:rsidP="009A14A3">
      <w:pPr>
        <w:pStyle w:val="Heading3"/>
      </w:pPr>
      <w:r w:rsidRPr="00AB7378">
        <w:t xml:space="preserve">Author’s </w:t>
      </w:r>
      <w:r w:rsidR="00C77E99">
        <w:t>d</w:t>
      </w:r>
      <w:r w:rsidR="00C77E99" w:rsidRPr="00AB7378">
        <w:t>etails</w:t>
      </w:r>
    </w:p>
    <w:p w14:paraId="43387A46" w14:textId="77777777" w:rsidR="009A14A3" w:rsidRPr="002915C2" w:rsidRDefault="009A14A3" w:rsidP="00B75A93">
      <w:pPr>
        <w:pStyle w:val="BodyText"/>
        <w:rPr>
          <w:lang w:eastAsia="en-AU"/>
        </w:rPr>
      </w:pPr>
      <w:r w:rsidRPr="002915C2">
        <w:rPr>
          <w:lang w:eastAsia="en-AU"/>
        </w:rPr>
        <w:t>The independent evaluation team comprised:</w:t>
      </w:r>
    </w:p>
    <w:p w14:paraId="68B7AE96" w14:textId="02151528" w:rsidR="009A14A3" w:rsidRPr="002915C2" w:rsidRDefault="009A14A3" w:rsidP="00A67183">
      <w:pPr>
        <w:pStyle w:val="ListParagraph"/>
        <w:numPr>
          <w:ilvl w:val="0"/>
          <w:numId w:val="12"/>
        </w:numPr>
        <w:rPr>
          <w:lang w:eastAsia="en-AU"/>
        </w:rPr>
      </w:pPr>
      <w:r w:rsidRPr="002915C2">
        <w:rPr>
          <w:lang w:eastAsia="en-AU"/>
        </w:rPr>
        <w:t xml:space="preserve">Raymond Mallon, </w:t>
      </w:r>
      <w:r w:rsidR="00C77E99">
        <w:rPr>
          <w:lang w:eastAsia="en-AU"/>
        </w:rPr>
        <w:t>E</w:t>
      </w:r>
      <w:r w:rsidR="00C77E99" w:rsidRPr="002915C2">
        <w:rPr>
          <w:lang w:eastAsia="en-AU"/>
        </w:rPr>
        <w:t>conomist</w:t>
      </w:r>
      <w:r w:rsidR="00C77E99">
        <w:rPr>
          <w:lang w:eastAsia="en-AU"/>
        </w:rPr>
        <w:t xml:space="preserve"> and</w:t>
      </w:r>
      <w:r w:rsidR="00C77E99" w:rsidRPr="002915C2">
        <w:rPr>
          <w:lang w:eastAsia="en-AU"/>
        </w:rPr>
        <w:t xml:space="preserve"> </w:t>
      </w:r>
      <w:r w:rsidR="00C77E99">
        <w:rPr>
          <w:lang w:eastAsia="en-AU"/>
        </w:rPr>
        <w:t>E</w:t>
      </w:r>
      <w:r w:rsidR="00C77E99" w:rsidRPr="002915C2">
        <w:rPr>
          <w:lang w:eastAsia="en-AU"/>
        </w:rPr>
        <w:t xml:space="preserve">valuation </w:t>
      </w:r>
      <w:r w:rsidR="00C77E99">
        <w:rPr>
          <w:lang w:eastAsia="en-AU"/>
        </w:rPr>
        <w:t>T</w:t>
      </w:r>
      <w:r w:rsidR="00C77E99" w:rsidRPr="002915C2">
        <w:rPr>
          <w:lang w:eastAsia="en-AU"/>
        </w:rPr>
        <w:t xml:space="preserve">eam </w:t>
      </w:r>
      <w:r w:rsidR="00C77E99">
        <w:rPr>
          <w:lang w:eastAsia="en-AU"/>
        </w:rPr>
        <w:t>L</w:t>
      </w:r>
      <w:r w:rsidR="00C77E99" w:rsidRPr="002915C2">
        <w:rPr>
          <w:lang w:eastAsia="en-AU"/>
        </w:rPr>
        <w:t>eader</w:t>
      </w:r>
      <w:r w:rsidRPr="002915C2">
        <w:rPr>
          <w:lang w:eastAsia="en-AU"/>
        </w:rPr>
        <w:t>.</w:t>
      </w:r>
      <w:r>
        <w:rPr>
          <w:lang w:eastAsia="en-AU"/>
        </w:rPr>
        <w:t xml:space="preserve"> Raymond had no previous interest in the program</w:t>
      </w:r>
    </w:p>
    <w:p w14:paraId="69B1A48E" w14:textId="2E2E1D7F" w:rsidR="009A14A3" w:rsidRPr="009B77FC" w:rsidRDefault="009A14A3" w:rsidP="00A67183">
      <w:pPr>
        <w:pStyle w:val="ListParagraph"/>
        <w:numPr>
          <w:ilvl w:val="0"/>
          <w:numId w:val="12"/>
        </w:numPr>
        <w:rPr>
          <w:lang w:eastAsia="en-AU"/>
        </w:rPr>
      </w:pPr>
      <w:r w:rsidRPr="00216CB1">
        <w:rPr>
          <w:lang w:val="en-US" w:eastAsia="en-AU"/>
        </w:rPr>
        <w:t xml:space="preserve">Peter Deacon, </w:t>
      </w:r>
      <w:r w:rsidR="00C77E99">
        <w:rPr>
          <w:lang w:val="en-US" w:eastAsia="en-AU"/>
        </w:rPr>
        <w:t>M</w:t>
      </w:r>
      <w:r w:rsidR="00C77E99" w:rsidRPr="00216CB1">
        <w:rPr>
          <w:lang w:val="en-US" w:eastAsia="en-AU"/>
        </w:rPr>
        <w:t xml:space="preserve">onitoring and </w:t>
      </w:r>
      <w:r w:rsidR="00C77E99">
        <w:rPr>
          <w:lang w:val="en-US" w:eastAsia="en-AU"/>
        </w:rPr>
        <w:t>E</w:t>
      </w:r>
      <w:r w:rsidR="00C77E99" w:rsidRPr="00216CB1">
        <w:rPr>
          <w:lang w:val="en-US" w:eastAsia="en-AU"/>
        </w:rPr>
        <w:t>valuation</w:t>
      </w:r>
      <w:r w:rsidR="00C77E99">
        <w:rPr>
          <w:lang w:val="en-US" w:eastAsia="en-AU"/>
        </w:rPr>
        <w:t>/Capacity Development C</w:t>
      </w:r>
      <w:r w:rsidR="00C77E99" w:rsidRPr="00216CB1">
        <w:rPr>
          <w:lang w:val="en-US" w:eastAsia="en-AU"/>
        </w:rPr>
        <w:t>onsultant</w:t>
      </w:r>
      <w:r w:rsidRPr="00216CB1">
        <w:rPr>
          <w:lang w:val="en-US" w:eastAsia="en-AU"/>
        </w:rPr>
        <w:t xml:space="preserve">. Peter </w:t>
      </w:r>
      <w:r>
        <w:rPr>
          <w:lang w:val="en-US" w:eastAsia="en-AU"/>
        </w:rPr>
        <w:t>has no conflict of</w:t>
      </w:r>
      <w:r w:rsidRPr="00216CB1">
        <w:rPr>
          <w:lang w:val="en-US" w:eastAsia="en-AU"/>
        </w:rPr>
        <w:t xml:space="preserve"> interest in conducting this independent review</w:t>
      </w:r>
      <w:r>
        <w:rPr>
          <w:lang w:val="en-US" w:eastAsia="en-AU"/>
        </w:rPr>
        <w:t>. His only previou</w:t>
      </w:r>
      <w:r w:rsidRPr="00216CB1">
        <w:rPr>
          <w:lang w:val="en-US" w:eastAsia="en-AU"/>
        </w:rPr>
        <w:t>s involvement with the program</w:t>
      </w:r>
      <w:r w:rsidR="00D84D07">
        <w:rPr>
          <w:lang w:val="en-US" w:eastAsia="en-AU"/>
        </w:rPr>
        <w:t xml:space="preserve"> was as a </w:t>
      </w:r>
      <w:r w:rsidR="00C77E99">
        <w:rPr>
          <w:lang w:val="en-US" w:eastAsia="en-AU"/>
        </w:rPr>
        <w:t xml:space="preserve">peer reviewer </w:t>
      </w:r>
      <w:r w:rsidR="00D84D07">
        <w:rPr>
          <w:lang w:val="en-US" w:eastAsia="en-AU"/>
        </w:rPr>
        <w:t>of the program d</w:t>
      </w:r>
      <w:r w:rsidRPr="00216CB1">
        <w:rPr>
          <w:lang w:val="en-US" w:eastAsia="en-AU"/>
        </w:rPr>
        <w:t xml:space="preserve">esign. </w:t>
      </w:r>
    </w:p>
    <w:p w14:paraId="5F02C349" w14:textId="27DD5398" w:rsidR="009A14A3" w:rsidRPr="002915C2" w:rsidRDefault="009A14A3" w:rsidP="00B75A93">
      <w:pPr>
        <w:pStyle w:val="BodyText"/>
        <w:rPr>
          <w:lang w:eastAsia="en-AU"/>
        </w:rPr>
      </w:pPr>
      <w:r w:rsidRPr="002915C2">
        <w:rPr>
          <w:lang w:eastAsia="en-AU"/>
        </w:rPr>
        <w:t xml:space="preserve">The independent evaluation team was joined and assisted </w:t>
      </w:r>
      <w:r w:rsidR="001E295B">
        <w:rPr>
          <w:lang w:eastAsia="en-AU"/>
        </w:rPr>
        <w:t xml:space="preserve">for parts of the mission </w:t>
      </w:r>
      <w:r w:rsidRPr="002915C2">
        <w:rPr>
          <w:lang w:eastAsia="en-AU"/>
        </w:rPr>
        <w:t>by:</w:t>
      </w:r>
    </w:p>
    <w:p w14:paraId="080AB059" w14:textId="3A2E4F07" w:rsidR="009A14A3" w:rsidRPr="002915C2" w:rsidRDefault="009A14A3" w:rsidP="00A67183">
      <w:pPr>
        <w:pStyle w:val="ListParagraph"/>
        <w:numPr>
          <w:ilvl w:val="0"/>
          <w:numId w:val="13"/>
        </w:numPr>
        <w:rPr>
          <w:lang w:eastAsia="en-AU"/>
        </w:rPr>
      </w:pPr>
      <w:r w:rsidRPr="00216CB1">
        <w:rPr>
          <w:lang w:val="en-US" w:eastAsia="en-AU"/>
        </w:rPr>
        <w:t>Brian Wilson, Special Advisor, New Zealand Ministry of Foreign Affairs and Trade</w:t>
      </w:r>
    </w:p>
    <w:p w14:paraId="1D1BFE3B" w14:textId="1D9A9ABC" w:rsidR="009A14A3" w:rsidRDefault="009A14A3" w:rsidP="00A67183">
      <w:pPr>
        <w:pStyle w:val="ListParagraph"/>
        <w:numPr>
          <w:ilvl w:val="0"/>
          <w:numId w:val="13"/>
        </w:numPr>
        <w:rPr>
          <w:lang w:val="en-US" w:eastAsia="en-AU"/>
        </w:rPr>
      </w:pPr>
      <w:r w:rsidRPr="00216CB1">
        <w:rPr>
          <w:lang w:val="en-US" w:eastAsia="en-AU"/>
        </w:rPr>
        <w:t xml:space="preserve">David Morgan, Director, Trade and Economic Issues, </w:t>
      </w:r>
      <w:r w:rsidRPr="009A14A3">
        <w:rPr>
          <w:lang w:val="en-US" w:eastAsia="en-AU"/>
        </w:rPr>
        <w:t>Policy Planning Branch</w:t>
      </w:r>
      <w:r w:rsidRPr="00216CB1">
        <w:rPr>
          <w:lang w:val="en-US" w:eastAsia="en-AU"/>
        </w:rPr>
        <w:t>, Department of Foreign Affairs and Trade</w:t>
      </w:r>
    </w:p>
    <w:p w14:paraId="21A47257" w14:textId="4F2ED3F2" w:rsidR="001E295B" w:rsidRDefault="001E295B" w:rsidP="00A67183">
      <w:pPr>
        <w:pStyle w:val="ListParagraph"/>
        <w:numPr>
          <w:ilvl w:val="0"/>
          <w:numId w:val="13"/>
        </w:numPr>
        <w:rPr>
          <w:lang w:val="en-US" w:eastAsia="en-AU"/>
        </w:rPr>
      </w:pPr>
      <w:r>
        <w:rPr>
          <w:lang w:val="en-US" w:eastAsia="en-AU"/>
        </w:rPr>
        <w:t xml:space="preserve">Pat Duggan, </w:t>
      </w:r>
      <w:r w:rsidRPr="001E295B">
        <w:rPr>
          <w:lang w:val="en-US" w:eastAsia="en-AU"/>
        </w:rPr>
        <w:t>Counsellor Regional AusAID</w:t>
      </w:r>
      <w:r w:rsidR="00431DE2">
        <w:rPr>
          <w:lang w:val="en-US" w:eastAsia="en-AU"/>
        </w:rPr>
        <w:t xml:space="preserve">, </w:t>
      </w:r>
      <w:r w:rsidRPr="001E295B">
        <w:rPr>
          <w:lang w:val="en-US" w:eastAsia="en-AU"/>
        </w:rPr>
        <w:t>Australian Embassy</w:t>
      </w:r>
      <w:r w:rsidR="00431DE2">
        <w:rPr>
          <w:lang w:val="en-US" w:eastAsia="en-AU"/>
        </w:rPr>
        <w:t>,</w:t>
      </w:r>
      <w:r w:rsidRPr="001E295B">
        <w:rPr>
          <w:lang w:val="en-US" w:eastAsia="en-AU"/>
        </w:rPr>
        <w:t xml:space="preserve"> Jakarta</w:t>
      </w:r>
    </w:p>
    <w:p w14:paraId="79703423" w14:textId="4EFB208B" w:rsidR="00E43A2E" w:rsidRPr="001E295B" w:rsidRDefault="001E295B" w:rsidP="00A67183">
      <w:pPr>
        <w:pStyle w:val="ListParagraph"/>
        <w:numPr>
          <w:ilvl w:val="0"/>
          <w:numId w:val="13"/>
        </w:numPr>
        <w:rPr>
          <w:lang w:val="en-US" w:eastAsia="en-AU"/>
        </w:rPr>
        <w:sectPr w:rsidR="00E43A2E" w:rsidRPr="001E295B" w:rsidSect="00B07B8E">
          <w:footerReference w:type="default" r:id="rId13"/>
          <w:footerReference w:type="first" r:id="rId14"/>
          <w:pgSz w:w="11900" w:h="16840" w:code="9"/>
          <w:pgMar w:top="1440" w:right="1797" w:bottom="1440" w:left="1797" w:header="567" w:footer="431" w:gutter="0"/>
          <w:pgNumType w:fmt="lowerRoman" w:start="1"/>
          <w:cols w:space="708"/>
          <w:titlePg/>
        </w:sectPr>
      </w:pPr>
      <w:r w:rsidRPr="001E295B">
        <w:rPr>
          <w:lang w:val="en-US" w:eastAsia="en-AU"/>
        </w:rPr>
        <w:t>Katty Danni</w:t>
      </w:r>
      <w:r>
        <w:rPr>
          <w:lang w:val="en-US" w:eastAsia="en-AU"/>
        </w:rPr>
        <w:t>, Program Manager,</w:t>
      </w:r>
      <w:r w:rsidRPr="001E295B">
        <w:rPr>
          <w:lang w:val="en-US" w:eastAsia="en-AU"/>
        </w:rPr>
        <w:t xml:space="preserve"> Regional AusAID</w:t>
      </w:r>
      <w:r w:rsidR="00431DE2">
        <w:rPr>
          <w:lang w:val="en-US" w:eastAsia="en-AU"/>
        </w:rPr>
        <w:t xml:space="preserve">, </w:t>
      </w:r>
      <w:r w:rsidRPr="001E295B">
        <w:rPr>
          <w:lang w:val="en-US" w:eastAsia="en-AU"/>
        </w:rPr>
        <w:t>Australian Embassy</w:t>
      </w:r>
      <w:r w:rsidR="00431DE2">
        <w:rPr>
          <w:lang w:val="en-US" w:eastAsia="en-AU"/>
        </w:rPr>
        <w:t>,</w:t>
      </w:r>
      <w:r w:rsidRPr="001E295B">
        <w:rPr>
          <w:lang w:val="en-US" w:eastAsia="en-AU"/>
        </w:rPr>
        <w:t xml:space="preserve"> Jakarta</w:t>
      </w:r>
      <w:r>
        <w:rPr>
          <w:lang w:val="en-US" w:eastAsia="en-AU"/>
        </w:rPr>
        <w:t>.</w:t>
      </w:r>
    </w:p>
    <w:p w14:paraId="6DCA4048" w14:textId="0B3ECC81" w:rsidR="00E43A2E" w:rsidRDefault="00E43A2E" w:rsidP="00E43A2E">
      <w:pPr>
        <w:pStyle w:val="Heading1"/>
      </w:pPr>
      <w:bookmarkStart w:id="2" w:name="_Toc229924879"/>
      <w:r>
        <w:lastRenderedPageBreak/>
        <w:t>Acronyms</w:t>
      </w:r>
      <w:bookmarkEnd w:id="2"/>
    </w:p>
    <w:tbl>
      <w:tblPr>
        <w:tblStyle w:val="Tablewithnoheader"/>
        <w:tblW w:w="8613" w:type="dxa"/>
        <w:tblLook w:val="04A0" w:firstRow="1" w:lastRow="0" w:firstColumn="1" w:lastColumn="0" w:noHBand="0" w:noVBand="1"/>
        <w:tblCaption w:val="Acronyms"/>
        <w:tblDescription w:val="Acronyms and their respective definition"/>
      </w:tblPr>
      <w:tblGrid>
        <w:gridCol w:w="1526"/>
        <w:gridCol w:w="7087"/>
      </w:tblGrid>
      <w:tr w:rsidR="009A14A3" w:rsidRPr="00636418" w14:paraId="5F698998" w14:textId="77777777" w:rsidTr="00856CC8">
        <w:trPr>
          <w:tblHeader/>
        </w:trPr>
        <w:tc>
          <w:tcPr>
            <w:tcW w:w="1526" w:type="dxa"/>
          </w:tcPr>
          <w:p w14:paraId="575BB98E" w14:textId="3CB681C4" w:rsidR="009A14A3" w:rsidRPr="00375816" w:rsidRDefault="009A14A3" w:rsidP="00375816">
            <w:pPr>
              <w:spacing w:before="0" w:after="0"/>
              <w:rPr>
                <w:rFonts w:cs="Arial"/>
                <w:sz w:val="18"/>
                <w:szCs w:val="18"/>
              </w:rPr>
            </w:pPr>
            <w:r w:rsidRPr="00375816">
              <w:rPr>
                <w:rFonts w:cs="Arial"/>
                <w:sz w:val="18"/>
                <w:szCs w:val="18"/>
              </w:rPr>
              <w:t>AADCP</w:t>
            </w:r>
            <w:r w:rsidR="001E295B">
              <w:rPr>
                <w:rFonts w:cs="Arial"/>
                <w:sz w:val="18"/>
                <w:szCs w:val="18"/>
              </w:rPr>
              <w:t xml:space="preserve"> II</w:t>
            </w:r>
          </w:p>
        </w:tc>
        <w:tc>
          <w:tcPr>
            <w:tcW w:w="7087" w:type="dxa"/>
          </w:tcPr>
          <w:p w14:paraId="74EA6675" w14:textId="0234DF85" w:rsidR="009A14A3" w:rsidRPr="00375816" w:rsidRDefault="009A14A3" w:rsidP="00375816">
            <w:pPr>
              <w:spacing w:before="0" w:after="0"/>
              <w:rPr>
                <w:rFonts w:cs="Arial"/>
                <w:sz w:val="18"/>
                <w:szCs w:val="18"/>
              </w:rPr>
            </w:pPr>
            <w:r w:rsidRPr="00375816">
              <w:rPr>
                <w:rFonts w:cs="Arial"/>
                <w:sz w:val="18"/>
                <w:szCs w:val="18"/>
              </w:rPr>
              <w:t>ASEAN Australia Development Cooperation Project</w:t>
            </w:r>
            <w:r w:rsidR="001E295B">
              <w:rPr>
                <w:rFonts w:cs="Arial"/>
                <w:sz w:val="18"/>
                <w:szCs w:val="18"/>
              </w:rPr>
              <w:t>: Phase II</w:t>
            </w:r>
          </w:p>
        </w:tc>
      </w:tr>
      <w:tr w:rsidR="009A14A3" w14:paraId="22FEC1CE" w14:textId="77777777" w:rsidTr="002A5A9E">
        <w:tc>
          <w:tcPr>
            <w:tcW w:w="1526" w:type="dxa"/>
          </w:tcPr>
          <w:p w14:paraId="6ED0660E" w14:textId="77777777" w:rsidR="009A14A3" w:rsidRPr="00375816" w:rsidRDefault="009A14A3" w:rsidP="00375816">
            <w:pPr>
              <w:spacing w:before="0" w:after="0"/>
              <w:rPr>
                <w:rFonts w:cs="Arial"/>
                <w:sz w:val="18"/>
                <w:szCs w:val="18"/>
              </w:rPr>
            </w:pPr>
            <w:r w:rsidRPr="00375816">
              <w:rPr>
                <w:rFonts w:cs="Arial"/>
                <w:sz w:val="18"/>
                <w:szCs w:val="18"/>
              </w:rPr>
              <w:t>AANZFTA</w:t>
            </w:r>
          </w:p>
        </w:tc>
        <w:tc>
          <w:tcPr>
            <w:tcW w:w="7087" w:type="dxa"/>
          </w:tcPr>
          <w:p w14:paraId="4BE81F1F" w14:textId="5285C6DA" w:rsidR="009A14A3" w:rsidRPr="00375816" w:rsidRDefault="00D419B4">
            <w:pPr>
              <w:spacing w:before="0" w:after="0"/>
              <w:rPr>
                <w:rFonts w:cs="Arial"/>
                <w:sz w:val="18"/>
                <w:szCs w:val="18"/>
              </w:rPr>
            </w:pPr>
            <w:r w:rsidRPr="00D419B4">
              <w:rPr>
                <w:rFonts w:cs="Arial"/>
                <w:sz w:val="18"/>
                <w:szCs w:val="18"/>
              </w:rPr>
              <w:t>Agreement Establishing the ASEAN</w:t>
            </w:r>
            <w:r w:rsidR="00C77E99">
              <w:rPr>
                <w:rFonts w:cs="Arial"/>
                <w:sz w:val="18"/>
                <w:szCs w:val="18"/>
              </w:rPr>
              <w:t>–</w:t>
            </w:r>
            <w:r w:rsidRPr="00D419B4">
              <w:rPr>
                <w:rFonts w:cs="Arial"/>
                <w:sz w:val="18"/>
                <w:szCs w:val="18"/>
              </w:rPr>
              <w:t>Australia-New Zealand Free Trade Area</w:t>
            </w:r>
          </w:p>
        </w:tc>
      </w:tr>
      <w:tr w:rsidR="00E72629" w14:paraId="129D2A76" w14:textId="77777777" w:rsidTr="002A5A9E">
        <w:tc>
          <w:tcPr>
            <w:tcW w:w="1526" w:type="dxa"/>
          </w:tcPr>
          <w:p w14:paraId="2D9C60D8" w14:textId="7533FD53" w:rsidR="00E72629" w:rsidRDefault="00E72629" w:rsidP="00375816">
            <w:pPr>
              <w:spacing w:before="0" w:after="0"/>
              <w:rPr>
                <w:rFonts w:cs="Arial"/>
                <w:sz w:val="18"/>
                <w:szCs w:val="18"/>
              </w:rPr>
            </w:pPr>
            <w:r>
              <w:rPr>
                <w:rFonts w:cs="Arial"/>
                <w:sz w:val="18"/>
                <w:szCs w:val="18"/>
              </w:rPr>
              <w:t xml:space="preserve">ACCC </w:t>
            </w:r>
          </w:p>
        </w:tc>
        <w:tc>
          <w:tcPr>
            <w:tcW w:w="7087" w:type="dxa"/>
          </w:tcPr>
          <w:p w14:paraId="633C1276" w14:textId="1EB05117" w:rsidR="00E72629" w:rsidRDefault="00E72629" w:rsidP="00E72629">
            <w:pPr>
              <w:spacing w:before="0" w:after="0"/>
              <w:rPr>
                <w:rFonts w:cs="Arial"/>
                <w:sz w:val="18"/>
                <w:szCs w:val="18"/>
              </w:rPr>
            </w:pPr>
            <w:r>
              <w:rPr>
                <w:rFonts w:cs="Arial"/>
                <w:sz w:val="18"/>
                <w:szCs w:val="18"/>
              </w:rPr>
              <w:t xml:space="preserve">Australian Competition and Consumer Commission </w:t>
            </w:r>
          </w:p>
        </w:tc>
      </w:tr>
      <w:tr w:rsidR="008973A2" w14:paraId="4F15AA79" w14:textId="77777777" w:rsidTr="002A5A9E">
        <w:tc>
          <w:tcPr>
            <w:tcW w:w="1526" w:type="dxa"/>
          </w:tcPr>
          <w:p w14:paraId="53E11D65" w14:textId="0D39B303" w:rsidR="008973A2" w:rsidRPr="00375816" w:rsidRDefault="008973A2" w:rsidP="00375816">
            <w:pPr>
              <w:spacing w:before="0" w:after="0"/>
              <w:rPr>
                <w:rFonts w:cs="Arial"/>
                <w:sz w:val="18"/>
                <w:szCs w:val="18"/>
              </w:rPr>
            </w:pPr>
            <w:r>
              <w:rPr>
                <w:rFonts w:cs="Arial"/>
                <w:sz w:val="18"/>
                <w:szCs w:val="18"/>
              </w:rPr>
              <w:t>ACTU</w:t>
            </w:r>
          </w:p>
        </w:tc>
        <w:tc>
          <w:tcPr>
            <w:tcW w:w="7087" w:type="dxa"/>
          </w:tcPr>
          <w:p w14:paraId="7E31945D" w14:textId="7793FC85" w:rsidR="008973A2" w:rsidRPr="00D419B4" w:rsidRDefault="00980DB4">
            <w:pPr>
              <w:spacing w:before="0" w:after="0"/>
              <w:rPr>
                <w:rFonts w:cs="Arial"/>
                <w:sz w:val="18"/>
                <w:szCs w:val="18"/>
              </w:rPr>
            </w:pPr>
            <w:r>
              <w:rPr>
                <w:rFonts w:cs="Arial"/>
                <w:sz w:val="18"/>
                <w:szCs w:val="18"/>
              </w:rPr>
              <w:t>Australian Council of Trade Unions</w:t>
            </w:r>
          </w:p>
        </w:tc>
      </w:tr>
      <w:tr w:rsidR="009A14A3" w14:paraId="3308154C" w14:textId="77777777" w:rsidTr="002A5A9E">
        <w:tc>
          <w:tcPr>
            <w:tcW w:w="1526" w:type="dxa"/>
          </w:tcPr>
          <w:p w14:paraId="225DB1A3" w14:textId="712A6E29" w:rsidR="009A14A3" w:rsidRPr="00375816" w:rsidRDefault="009A14A3" w:rsidP="00375816">
            <w:pPr>
              <w:spacing w:before="0" w:after="0"/>
              <w:rPr>
                <w:rFonts w:cs="Arial"/>
                <w:sz w:val="18"/>
                <w:szCs w:val="18"/>
              </w:rPr>
            </w:pPr>
            <w:r w:rsidRPr="00375816">
              <w:rPr>
                <w:rFonts w:cs="Arial"/>
                <w:sz w:val="18"/>
                <w:szCs w:val="18"/>
              </w:rPr>
              <w:t>AECSP</w:t>
            </w:r>
          </w:p>
        </w:tc>
        <w:tc>
          <w:tcPr>
            <w:tcW w:w="7087" w:type="dxa"/>
          </w:tcPr>
          <w:p w14:paraId="7F747DB9" w14:textId="03D11A5A" w:rsidR="009A14A3" w:rsidRPr="00375816" w:rsidRDefault="009A14A3" w:rsidP="00375816">
            <w:pPr>
              <w:spacing w:before="0" w:after="0"/>
              <w:rPr>
                <w:rFonts w:cs="Arial"/>
                <w:sz w:val="18"/>
                <w:szCs w:val="18"/>
              </w:rPr>
            </w:pPr>
            <w:r w:rsidRPr="00375816">
              <w:rPr>
                <w:rFonts w:cs="Arial"/>
                <w:sz w:val="18"/>
                <w:szCs w:val="18"/>
              </w:rPr>
              <w:t>AANZFTA Economic Cooperation Support Program</w:t>
            </w:r>
          </w:p>
        </w:tc>
      </w:tr>
      <w:tr w:rsidR="00CC454F" w14:paraId="3ECD22D9" w14:textId="77777777" w:rsidTr="002A5A9E">
        <w:tc>
          <w:tcPr>
            <w:tcW w:w="1526" w:type="dxa"/>
          </w:tcPr>
          <w:p w14:paraId="76EF3B27" w14:textId="5EBEB24D" w:rsidR="00CC454F" w:rsidRPr="00714B4B" w:rsidRDefault="00CC454F" w:rsidP="00375816">
            <w:pPr>
              <w:spacing w:before="0" w:after="0"/>
              <w:rPr>
                <w:rFonts w:cs="Arial"/>
                <w:sz w:val="18"/>
                <w:szCs w:val="18"/>
              </w:rPr>
            </w:pPr>
            <w:r>
              <w:rPr>
                <w:rFonts w:cs="Arial"/>
                <w:sz w:val="18"/>
                <w:szCs w:val="18"/>
              </w:rPr>
              <w:t>AEM-CER</w:t>
            </w:r>
          </w:p>
        </w:tc>
        <w:tc>
          <w:tcPr>
            <w:tcW w:w="7087" w:type="dxa"/>
          </w:tcPr>
          <w:p w14:paraId="52BD2F51" w14:textId="705DFD0C" w:rsidR="00CC454F" w:rsidRPr="00714B4B" w:rsidRDefault="00CC454F">
            <w:pPr>
              <w:spacing w:before="0" w:after="0"/>
              <w:rPr>
                <w:rFonts w:cs="Arial"/>
                <w:sz w:val="18"/>
                <w:szCs w:val="18"/>
              </w:rPr>
            </w:pPr>
            <w:r>
              <w:rPr>
                <w:rFonts w:cs="Arial"/>
                <w:sz w:val="18"/>
                <w:szCs w:val="18"/>
              </w:rPr>
              <w:t xml:space="preserve">ASEAN Economic Ministers – Closer Economic Relations </w:t>
            </w:r>
          </w:p>
        </w:tc>
      </w:tr>
      <w:tr w:rsidR="008973A2" w14:paraId="049B423B" w14:textId="77777777" w:rsidTr="002A5A9E">
        <w:tc>
          <w:tcPr>
            <w:tcW w:w="1526" w:type="dxa"/>
          </w:tcPr>
          <w:p w14:paraId="58CC3376" w14:textId="53488B21" w:rsidR="008973A2" w:rsidRPr="00714B4B" w:rsidRDefault="008973A2" w:rsidP="00375816">
            <w:pPr>
              <w:spacing w:before="0" w:after="0"/>
              <w:rPr>
                <w:rFonts w:cs="Arial"/>
                <w:sz w:val="18"/>
                <w:szCs w:val="18"/>
              </w:rPr>
            </w:pPr>
            <w:r w:rsidRPr="00714B4B">
              <w:rPr>
                <w:rFonts w:cs="Arial"/>
                <w:sz w:val="18"/>
                <w:szCs w:val="18"/>
              </w:rPr>
              <w:t>AIG</w:t>
            </w:r>
          </w:p>
        </w:tc>
        <w:tc>
          <w:tcPr>
            <w:tcW w:w="7087" w:type="dxa"/>
          </w:tcPr>
          <w:p w14:paraId="2CDF10FB" w14:textId="210E4596" w:rsidR="008973A2" w:rsidRPr="00714B4B" w:rsidRDefault="008973A2">
            <w:pPr>
              <w:spacing w:before="0" w:after="0"/>
              <w:rPr>
                <w:rFonts w:cs="Arial"/>
                <w:sz w:val="18"/>
                <w:szCs w:val="18"/>
              </w:rPr>
            </w:pPr>
            <w:r w:rsidRPr="00714B4B">
              <w:rPr>
                <w:rFonts w:cs="Arial"/>
                <w:sz w:val="18"/>
                <w:szCs w:val="18"/>
              </w:rPr>
              <w:t>Australian Industry Group</w:t>
            </w:r>
          </w:p>
        </w:tc>
      </w:tr>
      <w:tr w:rsidR="00980DB4" w14:paraId="38DD62D1" w14:textId="77777777" w:rsidTr="002A5A9E">
        <w:tc>
          <w:tcPr>
            <w:tcW w:w="1526" w:type="dxa"/>
          </w:tcPr>
          <w:p w14:paraId="64B13FDC" w14:textId="2024CE4F" w:rsidR="00980DB4" w:rsidRPr="00980DB4" w:rsidRDefault="00980DB4" w:rsidP="00375816">
            <w:pPr>
              <w:spacing w:before="0" w:after="0"/>
              <w:rPr>
                <w:rFonts w:cs="Arial"/>
                <w:sz w:val="18"/>
                <w:szCs w:val="18"/>
              </w:rPr>
            </w:pPr>
            <w:r>
              <w:rPr>
                <w:rFonts w:cs="Arial"/>
                <w:sz w:val="18"/>
                <w:szCs w:val="18"/>
              </w:rPr>
              <w:t>AIPEG</w:t>
            </w:r>
          </w:p>
        </w:tc>
        <w:tc>
          <w:tcPr>
            <w:tcW w:w="7087" w:type="dxa"/>
          </w:tcPr>
          <w:p w14:paraId="7EEBD87E" w14:textId="3F0B7322" w:rsidR="00980DB4" w:rsidRPr="00980DB4" w:rsidRDefault="00980DB4">
            <w:pPr>
              <w:spacing w:before="0" w:after="0"/>
              <w:rPr>
                <w:rFonts w:cs="Arial"/>
                <w:sz w:val="18"/>
                <w:szCs w:val="18"/>
              </w:rPr>
            </w:pPr>
            <w:r>
              <w:rPr>
                <w:rFonts w:cs="Arial"/>
                <w:sz w:val="18"/>
                <w:szCs w:val="18"/>
              </w:rPr>
              <w:t>Australia Indonesia Partnership for Economic Governance</w:t>
            </w:r>
          </w:p>
        </w:tc>
      </w:tr>
      <w:tr w:rsidR="008B28A5" w14:paraId="098C4139" w14:textId="77777777" w:rsidTr="002A5A9E">
        <w:tc>
          <w:tcPr>
            <w:tcW w:w="1526" w:type="dxa"/>
          </w:tcPr>
          <w:p w14:paraId="1D9385C2" w14:textId="64AED137" w:rsidR="008B28A5" w:rsidRPr="00714B4B" w:rsidRDefault="008B28A5" w:rsidP="00375816">
            <w:pPr>
              <w:spacing w:before="0" w:after="0"/>
              <w:rPr>
                <w:rFonts w:cs="Arial"/>
                <w:sz w:val="18"/>
                <w:szCs w:val="18"/>
              </w:rPr>
            </w:pPr>
            <w:r w:rsidRPr="00714B4B">
              <w:rPr>
                <w:rFonts w:cs="Arial"/>
                <w:sz w:val="18"/>
                <w:szCs w:val="18"/>
              </w:rPr>
              <w:t>ANU</w:t>
            </w:r>
          </w:p>
        </w:tc>
        <w:tc>
          <w:tcPr>
            <w:tcW w:w="7087" w:type="dxa"/>
          </w:tcPr>
          <w:p w14:paraId="3F7F166E" w14:textId="219D1CF3" w:rsidR="008B28A5" w:rsidRPr="00714B4B" w:rsidRDefault="008B28A5">
            <w:pPr>
              <w:spacing w:before="0" w:after="0"/>
              <w:rPr>
                <w:rFonts w:cs="Arial"/>
                <w:sz w:val="18"/>
                <w:szCs w:val="18"/>
              </w:rPr>
            </w:pPr>
            <w:r w:rsidRPr="00714B4B">
              <w:rPr>
                <w:rFonts w:cs="Arial"/>
                <w:sz w:val="18"/>
                <w:szCs w:val="18"/>
              </w:rPr>
              <w:t>Australian National University</w:t>
            </w:r>
          </w:p>
        </w:tc>
      </w:tr>
      <w:tr w:rsidR="009A14A3" w:rsidRPr="00636418" w14:paraId="1487B2C0" w14:textId="77777777" w:rsidTr="002A5A9E">
        <w:tc>
          <w:tcPr>
            <w:tcW w:w="1526" w:type="dxa"/>
          </w:tcPr>
          <w:p w14:paraId="4202317A" w14:textId="77777777" w:rsidR="009A14A3" w:rsidRPr="00375816" w:rsidRDefault="009A14A3" w:rsidP="00375816">
            <w:pPr>
              <w:spacing w:before="0" w:after="0"/>
              <w:rPr>
                <w:rFonts w:cs="Arial"/>
                <w:sz w:val="18"/>
                <w:szCs w:val="18"/>
              </w:rPr>
            </w:pPr>
            <w:r w:rsidRPr="00375816">
              <w:rPr>
                <w:rFonts w:cs="Arial"/>
                <w:sz w:val="18"/>
                <w:szCs w:val="18"/>
              </w:rPr>
              <w:t>APEC</w:t>
            </w:r>
          </w:p>
        </w:tc>
        <w:tc>
          <w:tcPr>
            <w:tcW w:w="7087" w:type="dxa"/>
          </w:tcPr>
          <w:p w14:paraId="6930E9D6" w14:textId="77777777" w:rsidR="009A14A3" w:rsidRPr="00375816" w:rsidRDefault="009A14A3" w:rsidP="00375816">
            <w:pPr>
              <w:spacing w:before="0" w:after="0"/>
              <w:rPr>
                <w:rFonts w:cs="Arial"/>
                <w:sz w:val="18"/>
                <w:szCs w:val="18"/>
              </w:rPr>
            </w:pPr>
            <w:r w:rsidRPr="00375816">
              <w:rPr>
                <w:rFonts w:cs="Arial"/>
                <w:sz w:val="18"/>
                <w:szCs w:val="18"/>
              </w:rPr>
              <w:t>Asia Pacific Economic Cooperation</w:t>
            </w:r>
          </w:p>
        </w:tc>
      </w:tr>
      <w:tr w:rsidR="009A14A3" w14:paraId="2C8552F9" w14:textId="77777777" w:rsidTr="002A5A9E">
        <w:tc>
          <w:tcPr>
            <w:tcW w:w="1526" w:type="dxa"/>
          </w:tcPr>
          <w:p w14:paraId="34E13AD4" w14:textId="77777777" w:rsidR="009A14A3" w:rsidRPr="00375816" w:rsidRDefault="009A14A3" w:rsidP="00375816">
            <w:pPr>
              <w:spacing w:before="0" w:after="0"/>
              <w:rPr>
                <w:rFonts w:cs="Arial"/>
                <w:sz w:val="18"/>
                <w:szCs w:val="18"/>
              </w:rPr>
            </w:pPr>
            <w:r w:rsidRPr="00375816">
              <w:rPr>
                <w:rFonts w:cs="Arial"/>
                <w:sz w:val="18"/>
                <w:szCs w:val="18"/>
              </w:rPr>
              <w:t>ASEAN</w:t>
            </w:r>
          </w:p>
        </w:tc>
        <w:tc>
          <w:tcPr>
            <w:tcW w:w="7087" w:type="dxa"/>
          </w:tcPr>
          <w:p w14:paraId="3F9AB101" w14:textId="77777777" w:rsidR="009A14A3" w:rsidRPr="00375816" w:rsidRDefault="009A14A3" w:rsidP="00375816">
            <w:pPr>
              <w:spacing w:before="0" w:after="0"/>
              <w:rPr>
                <w:rFonts w:cs="Arial"/>
                <w:sz w:val="18"/>
                <w:szCs w:val="18"/>
              </w:rPr>
            </w:pPr>
            <w:r w:rsidRPr="00375816">
              <w:rPr>
                <w:rFonts w:cs="Arial"/>
                <w:sz w:val="18"/>
                <w:szCs w:val="18"/>
              </w:rPr>
              <w:t>Association of Southeast Asian Nations</w:t>
            </w:r>
          </w:p>
        </w:tc>
      </w:tr>
      <w:tr w:rsidR="008973A2" w14:paraId="5AAC9FD1" w14:textId="77777777" w:rsidTr="002A5A9E">
        <w:tc>
          <w:tcPr>
            <w:tcW w:w="1526" w:type="dxa"/>
          </w:tcPr>
          <w:p w14:paraId="5BC8638C" w14:textId="2B7C0C23" w:rsidR="008973A2" w:rsidRPr="00375816" w:rsidRDefault="008973A2" w:rsidP="00375816">
            <w:pPr>
              <w:spacing w:before="0" w:after="0"/>
              <w:rPr>
                <w:rFonts w:cs="Arial"/>
                <w:sz w:val="18"/>
                <w:szCs w:val="18"/>
              </w:rPr>
            </w:pPr>
            <w:r>
              <w:rPr>
                <w:rFonts w:cs="Arial"/>
                <w:sz w:val="18"/>
                <w:szCs w:val="18"/>
              </w:rPr>
              <w:t>ASR</w:t>
            </w:r>
          </w:p>
        </w:tc>
        <w:tc>
          <w:tcPr>
            <w:tcW w:w="7087" w:type="dxa"/>
          </w:tcPr>
          <w:p w14:paraId="319FCDF3" w14:textId="0A88D4EB" w:rsidR="008973A2" w:rsidRPr="00375816" w:rsidRDefault="008973A2" w:rsidP="00375816">
            <w:pPr>
              <w:spacing w:before="0" w:after="0"/>
              <w:rPr>
                <w:rFonts w:cs="Arial"/>
                <w:sz w:val="18"/>
                <w:szCs w:val="18"/>
              </w:rPr>
            </w:pPr>
            <w:r w:rsidRPr="008329D2">
              <w:rPr>
                <w:sz w:val="18"/>
                <w:szCs w:val="18"/>
                <w:lang w:eastAsia="en-AU"/>
              </w:rPr>
              <w:t>Australian Services Roundtable</w:t>
            </w:r>
          </w:p>
        </w:tc>
      </w:tr>
      <w:tr w:rsidR="009A14A3" w14:paraId="5D111478" w14:textId="77777777" w:rsidTr="002A5A9E">
        <w:tc>
          <w:tcPr>
            <w:tcW w:w="1526" w:type="dxa"/>
          </w:tcPr>
          <w:p w14:paraId="28B5E208" w14:textId="77777777" w:rsidR="009A14A3" w:rsidRPr="00375816" w:rsidRDefault="009A14A3" w:rsidP="00375816">
            <w:pPr>
              <w:spacing w:before="0" w:after="0"/>
              <w:rPr>
                <w:rFonts w:cs="Arial"/>
                <w:sz w:val="18"/>
                <w:szCs w:val="18"/>
              </w:rPr>
            </w:pPr>
            <w:r w:rsidRPr="00375816">
              <w:rPr>
                <w:rFonts w:cs="Arial"/>
                <w:sz w:val="18"/>
                <w:szCs w:val="18"/>
              </w:rPr>
              <w:t>AusAID</w:t>
            </w:r>
          </w:p>
        </w:tc>
        <w:tc>
          <w:tcPr>
            <w:tcW w:w="7087" w:type="dxa"/>
          </w:tcPr>
          <w:p w14:paraId="64AD07CC" w14:textId="77777777" w:rsidR="009A14A3" w:rsidRPr="00375816" w:rsidRDefault="009A14A3" w:rsidP="00375816">
            <w:pPr>
              <w:spacing w:before="0" w:after="0"/>
              <w:rPr>
                <w:rFonts w:cs="Arial"/>
                <w:sz w:val="18"/>
                <w:szCs w:val="18"/>
              </w:rPr>
            </w:pPr>
            <w:r w:rsidRPr="00375816">
              <w:rPr>
                <w:rFonts w:cs="Arial"/>
                <w:sz w:val="18"/>
                <w:szCs w:val="18"/>
              </w:rPr>
              <w:t>Australian Agency for International Development</w:t>
            </w:r>
          </w:p>
        </w:tc>
      </w:tr>
      <w:tr w:rsidR="008B28A5" w14:paraId="3D2BC357" w14:textId="77777777" w:rsidTr="002A5A9E">
        <w:tc>
          <w:tcPr>
            <w:tcW w:w="1526" w:type="dxa"/>
          </w:tcPr>
          <w:p w14:paraId="02E89643" w14:textId="52F1B712" w:rsidR="008B28A5" w:rsidRPr="00375816" w:rsidRDefault="008B28A5" w:rsidP="00375816">
            <w:pPr>
              <w:spacing w:before="0" w:after="0"/>
              <w:rPr>
                <w:rFonts w:cs="Arial"/>
                <w:sz w:val="18"/>
                <w:szCs w:val="18"/>
              </w:rPr>
            </w:pPr>
            <w:r>
              <w:rPr>
                <w:rFonts w:cs="Arial"/>
                <w:sz w:val="18"/>
                <w:szCs w:val="18"/>
              </w:rPr>
              <w:t>DAFF</w:t>
            </w:r>
          </w:p>
        </w:tc>
        <w:tc>
          <w:tcPr>
            <w:tcW w:w="7087" w:type="dxa"/>
          </w:tcPr>
          <w:p w14:paraId="2FD944A9" w14:textId="5EF37D4D" w:rsidR="008B28A5" w:rsidRPr="00375816" w:rsidRDefault="008B28A5" w:rsidP="00375816">
            <w:pPr>
              <w:spacing w:before="0" w:after="0"/>
              <w:rPr>
                <w:rFonts w:cs="Arial"/>
                <w:sz w:val="18"/>
                <w:szCs w:val="18"/>
              </w:rPr>
            </w:pPr>
            <w:r>
              <w:rPr>
                <w:rFonts w:cs="Arial"/>
                <w:sz w:val="18"/>
                <w:szCs w:val="18"/>
              </w:rPr>
              <w:t>Department of Agriculture, Fisheries and Forestry</w:t>
            </w:r>
          </w:p>
        </w:tc>
      </w:tr>
      <w:tr w:rsidR="009A14A3" w14:paraId="6C9BA308" w14:textId="77777777" w:rsidTr="002A5A9E">
        <w:tc>
          <w:tcPr>
            <w:tcW w:w="1526" w:type="dxa"/>
          </w:tcPr>
          <w:p w14:paraId="41F80757" w14:textId="77777777" w:rsidR="009A14A3" w:rsidRPr="00375816" w:rsidRDefault="009A14A3" w:rsidP="00375816">
            <w:pPr>
              <w:spacing w:before="0" w:after="0"/>
              <w:rPr>
                <w:rFonts w:cs="Arial"/>
                <w:sz w:val="18"/>
                <w:szCs w:val="18"/>
              </w:rPr>
            </w:pPr>
            <w:r w:rsidRPr="00375816">
              <w:rPr>
                <w:rFonts w:cs="Arial"/>
                <w:sz w:val="18"/>
                <w:szCs w:val="18"/>
              </w:rPr>
              <w:t>DFAT</w:t>
            </w:r>
          </w:p>
        </w:tc>
        <w:tc>
          <w:tcPr>
            <w:tcW w:w="7087" w:type="dxa"/>
          </w:tcPr>
          <w:p w14:paraId="633E6AFF" w14:textId="07ECA120" w:rsidR="009A14A3" w:rsidRPr="00375816" w:rsidRDefault="009A14A3" w:rsidP="00375816">
            <w:pPr>
              <w:spacing w:before="0" w:after="0"/>
              <w:rPr>
                <w:rFonts w:cs="Arial"/>
                <w:sz w:val="18"/>
                <w:szCs w:val="18"/>
              </w:rPr>
            </w:pPr>
            <w:r w:rsidRPr="00375816">
              <w:rPr>
                <w:rFonts w:cs="Arial"/>
                <w:sz w:val="18"/>
                <w:szCs w:val="18"/>
              </w:rPr>
              <w:t>Department of Foreign Affairs and Trade</w:t>
            </w:r>
          </w:p>
        </w:tc>
      </w:tr>
      <w:tr w:rsidR="008973A2" w14:paraId="51A6D7BF" w14:textId="77777777" w:rsidTr="002A5A9E">
        <w:tc>
          <w:tcPr>
            <w:tcW w:w="1526" w:type="dxa"/>
          </w:tcPr>
          <w:p w14:paraId="0373E0A1" w14:textId="53887EB9" w:rsidR="008973A2" w:rsidRPr="00375816" w:rsidRDefault="008973A2" w:rsidP="00375816">
            <w:pPr>
              <w:spacing w:before="0" w:after="0"/>
              <w:rPr>
                <w:rFonts w:cs="Arial"/>
                <w:sz w:val="18"/>
                <w:szCs w:val="18"/>
              </w:rPr>
            </w:pPr>
            <w:r>
              <w:rPr>
                <w:rFonts w:cs="Arial"/>
                <w:sz w:val="18"/>
                <w:szCs w:val="18"/>
              </w:rPr>
              <w:t>ERIA</w:t>
            </w:r>
          </w:p>
        </w:tc>
        <w:tc>
          <w:tcPr>
            <w:tcW w:w="7087" w:type="dxa"/>
          </w:tcPr>
          <w:p w14:paraId="0F7D36AA" w14:textId="0B83D0EE" w:rsidR="008973A2" w:rsidRPr="00375816" w:rsidRDefault="008973A2" w:rsidP="00375816">
            <w:pPr>
              <w:spacing w:before="0" w:after="0"/>
              <w:rPr>
                <w:rFonts w:cs="Arial"/>
                <w:sz w:val="18"/>
                <w:szCs w:val="18"/>
              </w:rPr>
            </w:pPr>
            <w:r>
              <w:rPr>
                <w:rFonts w:cs="Arial"/>
                <w:sz w:val="18"/>
                <w:szCs w:val="18"/>
              </w:rPr>
              <w:t>Economic Research Institute for ASEAN and East Asia</w:t>
            </w:r>
          </w:p>
        </w:tc>
      </w:tr>
      <w:tr w:rsidR="009A14A3" w:rsidRPr="00636418" w14:paraId="0FD04B81" w14:textId="77777777" w:rsidTr="002A5A9E">
        <w:tc>
          <w:tcPr>
            <w:tcW w:w="1526" w:type="dxa"/>
          </w:tcPr>
          <w:p w14:paraId="0FE96694" w14:textId="77777777" w:rsidR="009A14A3" w:rsidRPr="00375816" w:rsidRDefault="009A14A3" w:rsidP="00375816">
            <w:pPr>
              <w:spacing w:before="0" w:after="0"/>
              <w:rPr>
                <w:rFonts w:cs="Arial"/>
                <w:sz w:val="18"/>
                <w:szCs w:val="18"/>
              </w:rPr>
            </w:pPr>
            <w:r w:rsidRPr="00375816">
              <w:rPr>
                <w:rFonts w:cs="Arial"/>
                <w:sz w:val="18"/>
                <w:szCs w:val="18"/>
              </w:rPr>
              <w:t>GDP</w:t>
            </w:r>
          </w:p>
        </w:tc>
        <w:tc>
          <w:tcPr>
            <w:tcW w:w="7087" w:type="dxa"/>
          </w:tcPr>
          <w:p w14:paraId="081103ED" w14:textId="4DBC568F" w:rsidR="009A14A3" w:rsidRPr="00375816" w:rsidRDefault="009A14A3" w:rsidP="00375816">
            <w:pPr>
              <w:spacing w:before="0" w:after="0"/>
              <w:rPr>
                <w:rFonts w:cs="Arial"/>
                <w:sz w:val="18"/>
                <w:szCs w:val="18"/>
              </w:rPr>
            </w:pPr>
            <w:r w:rsidRPr="00375816">
              <w:rPr>
                <w:rFonts w:cs="Arial"/>
                <w:sz w:val="18"/>
                <w:szCs w:val="18"/>
              </w:rPr>
              <w:t xml:space="preserve">Gross </w:t>
            </w:r>
            <w:r w:rsidR="00C77E99" w:rsidRPr="00375816">
              <w:rPr>
                <w:rFonts w:cs="Arial"/>
                <w:sz w:val="18"/>
                <w:szCs w:val="18"/>
              </w:rPr>
              <w:t>domestic product</w:t>
            </w:r>
          </w:p>
        </w:tc>
      </w:tr>
      <w:tr w:rsidR="009A14A3" w14:paraId="3A955CB3" w14:textId="77777777" w:rsidTr="002A5A9E">
        <w:tc>
          <w:tcPr>
            <w:tcW w:w="1526" w:type="dxa"/>
          </w:tcPr>
          <w:p w14:paraId="7B9A1328" w14:textId="77777777" w:rsidR="009A14A3" w:rsidRPr="00375816" w:rsidRDefault="009A14A3" w:rsidP="00375816">
            <w:pPr>
              <w:spacing w:before="0" w:after="0"/>
              <w:rPr>
                <w:rFonts w:cs="Arial"/>
                <w:sz w:val="18"/>
                <w:szCs w:val="18"/>
              </w:rPr>
            </w:pPr>
            <w:r w:rsidRPr="00375816">
              <w:rPr>
                <w:rFonts w:cs="Arial"/>
                <w:sz w:val="18"/>
                <w:szCs w:val="18"/>
              </w:rPr>
              <w:t>MFAT</w:t>
            </w:r>
          </w:p>
        </w:tc>
        <w:tc>
          <w:tcPr>
            <w:tcW w:w="7087" w:type="dxa"/>
          </w:tcPr>
          <w:p w14:paraId="60DDDDDD" w14:textId="1BEE0578" w:rsidR="009A14A3" w:rsidRPr="00375816" w:rsidRDefault="00C77E99">
            <w:pPr>
              <w:spacing w:before="0" w:after="0"/>
              <w:rPr>
                <w:rFonts w:cs="Arial"/>
                <w:sz w:val="18"/>
                <w:szCs w:val="18"/>
              </w:rPr>
            </w:pPr>
            <w:r w:rsidRPr="00375816">
              <w:rPr>
                <w:rFonts w:cs="Arial"/>
                <w:sz w:val="18"/>
                <w:szCs w:val="18"/>
              </w:rPr>
              <w:t xml:space="preserve">New Zealand </w:t>
            </w:r>
            <w:r w:rsidR="009A14A3" w:rsidRPr="00375816">
              <w:rPr>
                <w:rFonts w:cs="Arial"/>
                <w:sz w:val="18"/>
                <w:szCs w:val="18"/>
              </w:rPr>
              <w:t xml:space="preserve">Ministry of Foreign Affairs and Trade </w:t>
            </w:r>
          </w:p>
        </w:tc>
      </w:tr>
      <w:tr w:rsidR="009A14A3" w:rsidRPr="00636418" w14:paraId="28326B7A" w14:textId="77777777" w:rsidTr="002A5A9E">
        <w:tc>
          <w:tcPr>
            <w:tcW w:w="1526" w:type="dxa"/>
          </w:tcPr>
          <w:p w14:paraId="59E37491" w14:textId="77777777" w:rsidR="009A14A3" w:rsidRPr="00375816" w:rsidRDefault="009A14A3" w:rsidP="00375816">
            <w:pPr>
              <w:spacing w:before="0" w:after="0"/>
              <w:rPr>
                <w:rFonts w:cs="Arial"/>
                <w:sz w:val="18"/>
                <w:szCs w:val="18"/>
              </w:rPr>
            </w:pPr>
            <w:r w:rsidRPr="00375816">
              <w:rPr>
                <w:rFonts w:cs="Arial"/>
                <w:sz w:val="18"/>
                <w:szCs w:val="18"/>
              </w:rPr>
              <w:t>OECD</w:t>
            </w:r>
          </w:p>
        </w:tc>
        <w:tc>
          <w:tcPr>
            <w:tcW w:w="7087" w:type="dxa"/>
          </w:tcPr>
          <w:p w14:paraId="05FBCE9F" w14:textId="77777777" w:rsidR="009A14A3" w:rsidRPr="00375816" w:rsidRDefault="009A14A3" w:rsidP="00375816">
            <w:pPr>
              <w:spacing w:before="0" w:after="0"/>
              <w:rPr>
                <w:rFonts w:cs="Arial"/>
                <w:sz w:val="18"/>
                <w:szCs w:val="18"/>
              </w:rPr>
            </w:pPr>
            <w:r w:rsidRPr="00375816">
              <w:rPr>
                <w:rFonts w:cs="Arial"/>
                <w:sz w:val="18"/>
                <w:szCs w:val="18"/>
              </w:rPr>
              <w:t>Organization for Economic Cooperation and Development</w:t>
            </w:r>
          </w:p>
        </w:tc>
      </w:tr>
      <w:tr w:rsidR="009A14A3" w:rsidRPr="006A5B7D" w14:paraId="268D38B0" w14:textId="77777777" w:rsidTr="002A5A9E">
        <w:tc>
          <w:tcPr>
            <w:tcW w:w="1526" w:type="dxa"/>
          </w:tcPr>
          <w:p w14:paraId="25BF4F2D" w14:textId="77777777" w:rsidR="009A14A3" w:rsidRPr="00375816" w:rsidRDefault="009A14A3" w:rsidP="00375816">
            <w:pPr>
              <w:spacing w:before="0" w:after="0"/>
              <w:rPr>
                <w:rFonts w:cs="Arial"/>
                <w:sz w:val="18"/>
                <w:szCs w:val="18"/>
              </w:rPr>
            </w:pPr>
            <w:r w:rsidRPr="00375816">
              <w:rPr>
                <w:rFonts w:cs="Arial"/>
                <w:sz w:val="18"/>
                <w:szCs w:val="18"/>
              </w:rPr>
              <w:t>UNCTAD</w:t>
            </w:r>
          </w:p>
        </w:tc>
        <w:tc>
          <w:tcPr>
            <w:tcW w:w="7087" w:type="dxa"/>
          </w:tcPr>
          <w:p w14:paraId="374D2B91" w14:textId="77777777" w:rsidR="009A14A3" w:rsidRPr="00375816" w:rsidRDefault="009A14A3" w:rsidP="00375816">
            <w:pPr>
              <w:spacing w:before="0" w:after="0"/>
              <w:rPr>
                <w:rFonts w:cs="Arial"/>
                <w:sz w:val="18"/>
                <w:szCs w:val="18"/>
              </w:rPr>
            </w:pPr>
            <w:r w:rsidRPr="00375816">
              <w:rPr>
                <w:rFonts w:cs="Arial"/>
                <w:sz w:val="18"/>
                <w:szCs w:val="18"/>
              </w:rPr>
              <w:t>United Nations Conference on Trade and Development</w:t>
            </w:r>
          </w:p>
        </w:tc>
      </w:tr>
      <w:tr w:rsidR="009A14A3" w:rsidRPr="006A5B7D" w14:paraId="708BFB2B" w14:textId="77777777" w:rsidTr="002A5A9E">
        <w:tc>
          <w:tcPr>
            <w:tcW w:w="1526" w:type="dxa"/>
          </w:tcPr>
          <w:p w14:paraId="12C477B4" w14:textId="77777777" w:rsidR="009A14A3" w:rsidRPr="00375816" w:rsidRDefault="009A14A3" w:rsidP="00375816">
            <w:pPr>
              <w:spacing w:before="0" w:after="0"/>
              <w:rPr>
                <w:rFonts w:cs="Arial"/>
                <w:sz w:val="18"/>
                <w:szCs w:val="18"/>
              </w:rPr>
            </w:pPr>
            <w:r w:rsidRPr="00375816">
              <w:rPr>
                <w:rFonts w:cs="Arial"/>
                <w:sz w:val="18"/>
                <w:szCs w:val="18"/>
              </w:rPr>
              <w:t>UNESCO</w:t>
            </w:r>
          </w:p>
        </w:tc>
        <w:tc>
          <w:tcPr>
            <w:tcW w:w="7087" w:type="dxa"/>
          </w:tcPr>
          <w:p w14:paraId="1630FDF9" w14:textId="77777777" w:rsidR="009A14A3" w:rsidRPr="00375816" w:rsidRDefault="009A14A3" w:rsidP="00375816">
            <w:pPr>
              <w:spacing w:before="0" w:after="0"/>
              <w:rPr>
                <w:rFonts w:cs="Arial"/>
                <w:sz w:val="18"/>
                <w:szCs w:val="18"/>
              </w:rPr>
            </w:pPr>
            <w:r w:rsidRPr="00375816">
              <w:rPr>
                <w:rFonts w:cs="Arial"/>
                <w:sz w:val="18"/>
                <w:szCs w:val="18"/>
              </w:rPr>
              <w:t>United Nations Educational, Scientific and Cultural Organization</w:t>
            </w:r>
          </w:p>
        </w:tc>
      </w:tr>
      <w:tr w:rsidR="009A14A3" w14:paraId="49A41ACB" w14:textId="77777777" w:rsidTr="002A5A9E">
        <w:tc>
          <w:tcPr>
            <w:tcW w:w="1526" w:type="dxa"/>
          </w:tcPr>
          <w:p w14:paraId="452F85ED" w14:textId="77777777" w:rsidR="009A14A3" w:rsidRPr="00375816" w:rsidRDefault="009A14A3" w:rsidP="00375816">
            <w:pPr>
              <w:spacing w:before="0" w:after="0"/>
              <w:rPr>
                <w:rFonts w:cs="Arial"/>
                <w:sz w:val="18"/>
                <w:szCs w:val="18"/>
              </w:rPr>
            </w:pPr>
            <w:r w:rsidRPr="00375816">
              <w:rPr>
                <w:rFonts w:cs="Arial"/>
                <w:sz w:val="18"/>
                <w:szCs w:val="18"/>
              </w:rPr>
              <w:t>WIPO</w:t>
            </w:r>
          </w:p>
        </w:tc>
        <w:tc>
          <w:tcPr>
            <w:tcW w:w="7087" w:type="dxa"/>
          </w:tcPr>
          <w:p w14:paraId="4B319EC0" w14:textId="77777777" w:rsidR="009A14A3" w:rsidRPr="00375816" w:rsidRDefault="009A14A3" w:rsidP="00375816">
            <w:pPr>
              <w:spacing w:before="0" w:after="0"/>
              <w:rPr>
                <w:rFonts w:cs="Arial"/>
                <w:sz w:val="18"/>
                <w:szCs w:val="18"/>
              </w:rPr>
            </w:pPr>
            <w:r w:rsidRPr="00375816">
              <w:rPr>
                <w:rFonts w:cs="Arial"/>
                <w:sz w:val="18"/>
                <w:szCs w:val="18"/>
              </w:rPr>
              <w:t>World Intellectual Property Organization</w:t>
            </w:r>
          </w:p>
        </w:tc>
      </w:tr>
    </w:tbl>
    <w:p w14:paraId="4A153792" w14:textId="77777777" w:rsidR="00375816" w:rsidRDefault="00375816" w:rsidP="00B75A93">
      <w:pPr>
        <w:pStyle w:val="Caption"/>
      </w:pPr>
    </w:p>
    <w:p w14:paraId="2B01ADB6" w14:textId="77777777" w:rsidR="00375816" w:rsidRDefault="00375816" w:rsidP="00B75A93">
      <w:pPr>
        <w:pStyle w:val="Caption"/>
      </w:pPr>
    </w:p>
    <w:p w14:paraId="30CD6644" w14:textId="77777777" w:rsidR="008B28A5" w:rsidRDefault="008B28A5">
      <w:pPr>
        <w:spacing w:before="0" w:after="0"/>
        <w:rPr>
          <w:b/>
          <w:bCs/>
          <w:color w:val="000000" w:themeColor="text1"/>
          <w:sz w:val="28"/>
          <w:szCs w:val="28"/>
        </w:rPr>
      </w:pPr>
      <w:r>
        <w:rPr>
          <w:color w:val="000000" w:themeColor="text1"/>
          <w:sz w:val="28"/>
          <w:szCs w:val="28"/>
        </w:rPr>
        <w:br w:type="page"/>
      </w:r>
    </w:p>
    <w:p w14:paraId="7B838E56" w14:textId="2E4BE643" w:rsidR="00E4333A" w:rsidRPr="00761C13" w:rsidRDefault="00E4333A" w:rsidP="00761C13">
      <w:pPr>
        <w:pStyle w:val="Caption"/>
        <w:rPr>
          <w:color w:val="000000" w:themeColor="text1"/>
          <w:sz w:val="28"/>
          <w:szCs w:val="28"/>
        </w:rPr>
      </w:pPr>
      <w:r w:rsidRPr="00761C13">
        <w:rPr>
          <w:color w:val="000000" w:themeColor="text1"/>
          <w:sz w:val="28"/>
          <w:szCs w:val="28"/>
        </w:rPr>
        <w:lastRenderedPageBreak/>
        <w:t>Contents</w:t>
      </w:r>
      <w:bookmarkEnd w:id="1"/>
    </w:p>
    <w:p w14:paraId="0B41D566" w14:textId="77777777" w:rsidR="00375816" w:rsidRPr="00375816" w:rsidRDefault="00375816" w:rsidP="00375816"/>
    <w:p w14:paraId="4BF1C476" w14:textId="6AD6BF0C" w:rsidR="00470471" w:rsidRPr="002169F0" w:rsidRDefault="00A94B08">
      <w:pPr>
        <w:pStyle w:val="TOC1"/>
        <w:rPr>
          <w:rFonts w:asciiTheme="minorHAnsi" w:eastAsiaTheme="minorEastAsia" w:hAnsiTheme="minorHAnsi" w:cstheme="minorBidi"/>
          <w:b w:val="0"/>
          <w:bCs w:val="0"/>
          <w:sz w:val="24"/>
          <w:szCs w:val="24"/>
          <w:lang w:val="en-US" w:eastAsia="ja-JP"/>
        </w:rPr>
      </w:pPr>
      <w:r>
        <w:rPr>
          <w:rFonts w:ascii="Times New Roman" w:hAnsi="Times New Roman"/>
          <w:sz w:val="28"/>
          <w:szCs w:val="28"/>
        </w:rPr>
        <w:fldChar w:fldCharType="begin"/>
      </w:r>
      <w:r>
        <w:rPr>
          <w:rFonts w:ascii="Times New Roman" w:hAnsi="Times New Roman"/>
          <w:sz w:val="28"/>
          <w:szCs w:val="28"/>
        </w:rPr>
        <w:instrText xml:space="preserve"> TOC \o "1-1" \u </w:instrText>
      </w:r>
      <w:r>
        <w:rPr>
          <w:rFonts w:ascii="Times New Roman" w:hAnsi="Times New Roman"/>
          <w:sz w:val="28"/>
          <w:szCs w:val="28"/>
        </w:rPr>
        <w:fldChar w:fldCharType="separate"/>
      </w:r>
      <w:r w:rsidR="00470471" w:rsidRPr="002169F0">
        <w:t xml:space="preserve">Aid </w:t>
      </w:r>
      <w:r w:rsidR="00C77E99" w:rsidRPr="002169F0">
        <w:t>activity summary</w:t>
      </w:r>
      <w:r w:rsidR="00470471" w:rsidRPr="002169F0">
        <w:tab/>
      </w:r>
      <w:r w:rsidR="00470471" w:rsidRPr="003A069A">
        <w:fldChar w:fldCharType="begin"/>
      </w:r>
      <w:r w:rsidR="00470471" w:rsidRPr="002169F0">
        <w:instrText xml:space="preserve"> PAGEREF _Toc229924878 \h </w:instrText>
      </w:r>
      <w:r w:rsidR="00470471" w:rsidRPr="003A069A">
        <w:fldChar w:fldCharType="separate"/>
      </w:r>
      <w:r w:rsidR="005B0DF4">
        <w:t>ii</w:t>
      </w:r>
      <w:r w:rsidR="00470471" w:rsidRPr="003A069A">
        <w:fldChar w:fldCharType="end"/>
      </w:r>
    </w:p>
    <w:p w14:paraId="150AB5AA" w14:textId="0D899A2C" w:rsidR="00470471" w:rsidRPr="002169F0" w:rsidRDefault="00470471">
      <w:pPr>
        <w:pStyle w:val="TOC1"/>
        <w:rPr>
          <w:rFonts w:asciiTheme="minorHAnsi" w:eastAsiaTheme="minorEastAsia" w:hAnsiTheme="minorHAnsi" w:cstheme="minorBidi"/>
          <w:b w:val="0"/>
          <w:bCs w:val="0"/>
          <w:sz w:val="24"/>
          <w:szCs w:val="24"/>
          <w:lang w:val="en-US" w:eastAsia="ja-JP"/>
        </w:rPr>
      </w:pPr>
      <w:r w:rsidRPr="002169F0">
        <w:t>Acronyms</w:t>
      </w:r>
      <w:r w:rsidRPr="002169F0">
        <w:tab/>
      </w:r>
      <w:r w:rsidRPr="003A069A">
        <w:fldChar w:fldCharType="begin"/>
      </w:r>
      <w:r w:rsidRPr="002169F0">
        <w:instrText xml:space="preserve"> PAGEREF _Toc229924879 \h </w:instrText>
      </w:r>
      <w:r w:rsidRPr="003A069A">
        <w:fldChar w:fldCharType="separate"/>
      </w:r>
      <w:r w:rsidR="005B0DF4">
        <w:t>iii</w:t>
      </w:r>
      <w:r w:rsidRPr="003A069A">
        <w:fldChar w:fldCharType="end"/>
      </w:r>
    </w:p>
    <w:p w14:paraId="56E80995" w14:textId="573F0513" w:rsidR="00470471" w:rsidRPr="002169F0" w:rsidRDefault="00470471">
      <w:pPr>
        <w:pStyle w:val="TOC1"/>
        <w:rPr>
          <w:rFonts w:asciiTheme="minorHAnsi" w:eastAsiaTheme="minorEastAsia" w:hAnsiTheme="minorHAnsi" w:cstheme="minorBidi"/>
          <w:b w:val="0"/>
          <w:bCs w:val="0"/>
          <w:sz w:val="24"/>
          <w:szCs w:val="24"/>
          <w:lang w:val="en-US" w:eastAsia="ja-JP"/>
        </w:rPr>
      </w:pPr>
      <w:r w:rsidRPr="002169F0">
        <w:t xml:space="preserve">Executive </w:t>
      </w:r>
      <w:r w:rsidR="00C77E99" w:rsidRPr="002169F0">
        <w:t>summary</w:t>
      </w:r>
      <w:r w:rsidRPr="002169F0">
        <w:tab/>
      </w:r>
      <w:r w:rsidRPr="003A069A">
        <w:fldChar w:fldCharType="begin"/>
      </w:r>
      <w:r w:rsidRPr="002169F0">
        <w:instrText xml:space="preserve"> PAGEREF _Toc229924880 \h </w:instrText>
      </w:r>
      <w:r w:rsidRPr="003A069A">
        <w:fldChar w:fldCharType="separate"/>
      </w:r>
      <w:r w:rsidR="005B0DF4">
        <w:t>1</w:t>
      </w:r>
      <w:r w:rsidRPr="003A069A">
        <w:fldChar w:fldCharType="end"/>
      </w:r>
    </w:p>
    <w:p w14:paraId="1EC47644" w14:textId="07C53291" w:rsidR="00470471" w:rsidRPr="002169F0" w:rsidRDefault="00470471">
      <w:pPr>
        <w:pStyle w:val="TOC1"/>
        <w:rPr>
          <w:rFonts w:asciiTheme="minorHAnsi" w:eastAsiaTheme="minorEastAsia" w:hAnsiTheme="minorHAnsi" w:cstheme="minorBidi"/>
          <w:b w:val="0"/>
          <w:bCs w:val="0"/>
          <w:sz w:val="24"/>
          <w:szCs w:val="24"/>
          <w:lang w:val="en-US" w:eastAsia="ja-JP"/>
        </w:rPr>
      </w:pPr>
      <w:r w:rsidRPr="002169F0">
        <w:t>Introduction</w:t>
      </w:r>
      <w:r w:rsidRPr="002169F0">
        <w:tab/>
      </w:r>
      <w:r w:rsidRPr="003A069A">
        <w:fldChar w:fldCharType="begin"/>
      </w:r>
      <w:r w:rsidRPr="002169F0">
        <w:instrText xml:space="preserve"> PAGEREF _Toc229924881 \h </w:instrText>
      </w:r>
      <w:r w:rsidRPr="003A069A">
        <w:fldChar w:fldCharType="separate"/>
      </w:r>
      <w:r w:rsidR="005B0DF4">
        <w:t>5</w:t>
      </w:r>
      <w:r w:rsidRPr="003A069A">
        <w:fldChar w:fldCharType="end"/>
      </w:r>
    </w:p>
    <w:p w14:paraId="71F9E013" w14:textId="0A55BCFE" w:rsidR="00470471" w:rsidRPr="002169F0" w:rsidRDefault="00470471">
      <w:pPr>
        <w:pStyle w:val="TOC1"/>
        <w:rPr>
          <w:rFonts w:asciiTheme="minorHAnsi" w:eastAsiaTheme="minorEastAsia" w:hAnsiTheme="minorHAnsi" w:cstheme="minorBidi"/>
          <w:b w:val="0"/>
          <w:bCs w:val="0"/>
          <w:sz w:val="24"/>
          <w:szCs w:val="24"/>
          <w:lang w:val="en-US" w:eastAsia="ja-JP"/>
        </w:rPr>
      </w:pPr>
      <w:r w:rsidRPr="002169F0">
        <w:t xml:space="preserve">Evaluation </w:t>
      </w:r>
      <w:r w:rsidR="00C77E99" w:rsidRPr="002169F0">
        <w:t>f</w:t>
      </w:r>
      <w:r w:rsidRPr="002169F0">
        <w:t>indings</w:t>
      </w:r>
      <w:r w:rsidRPr="002169F0">
        <w:tab/>
      </w:r>
      <w:r w:rsidRPr="003A069A">
        <w:fldChar w:fldCharType="begin"/>
      </w:r>
      <w:r w:rsidRPr="002169F0">
        <w:instrText xml:space="preserve"> PAGEREF _Toc229924882 \h </w:instrText>
      </w:r>
      <w:r w:rsidRPr="003A069A">
        <w:fldChar w:fldCharType="separate"/>
      </w:r>
      <w:r w:rsidR="005B0DF4">
        <w:t>9</w:t>
      </w:r>
      <w:r w:rsidRPr="003A069A">
        <w:fldChar w:fldCharType="end"/>
      </w:r>
    </w:p>
    <w:p w14:paraId="1A161CC9" w14:textId="4D66A5FF" w:rsidR="00470471" w:rsidRPr="008F4F59" w:rsidRDefault="00470471">
      <w:pPr>
        <w:pStyle w:val="TOC1"/>
        <w:rPr>
          <w:rFonts w:asciiTheme="minorHAnsi" w:eastAsiaTheme="minorEastAsia" w:hAnsiTheme="minorHAnsi" w:cstheme="minorBidi"/>
          <w:b w:val="0"/>
          <w:bCs w:val="0"/>
          <w:sz w:val="24"/>
          <w:szCs w:val="24"/>
          <w:lang w:val="en-US" w:eastAsia="ja-JP"/>
        </w:rPr>
      </w:pPr>
      <w:r w:rsidRPr="008F4F59">
        <w:t xml:space="preserve">Conclusion and </w:t>
      </w:r>
      <w:r w:rsidR="00C77E99" w:rsidRPr="008F4F59">
        <w:t>recommendations</w:t>
      </w:r>
      <w:r w:rsidRPr="008F4F59">
        <w:tab/>
      </w:r>
      <w:r w:rsidRPr="003A069A">
        <w:fldChar w:fldCharType="begin"/>
      </w:r>
      <w:r w:rsidRPr="008F4F59">
        <w:instrText xml:space="preserve"> PAGEREF _Toc229924883 \h </w:instrText>
      </w:r>
      <w:r w:rsidRPr="003A069A">
        <w:fldChar w:fldCharType="separate"/>
      </w:r>
      <w:r w:rsidR="005B0DF4">
        <w:t>25</w:t>
      </w:r>
      <w:r w:rsidRPr="003A069A">
        <w:fldChar w:fldCharType="end"/>
      </w:r>
    </w:p>
    <w:p w14:paraId="5D5B0370" w14:textId="0D305B90" w:rsidR="00470471" w:rsidRPr="008F4F59" w:rsidRDefault="00470471">
      <w:pPr>
        <w:pStyle w:val="TOC1"/>
        <w:rPr>
          <w:rFonts w:asciiTheme="minorHAnsi" w:eastAsiaTheme="minorEastAsia" w:hAnsiTheme="minorHAnsi" w:cstheme="minorBidi"/>
          <w:b w:val="0"/>
          <w:bCs w:val="0"/>
          <w:sz w:val="24"/>
          <w:szCs w:val="24"/>
          <w:lang w:val="en-US" w:eastAsia="ja-JP"/>
        </w:rPr>
      </w:pPr>
      <w:r w:rsidRPr="008F4F59">
        <w:t xml:space="preserve">Appendix 1: </w:t>
      </w:r>
      <w:r w:rsidR="00C77E99" w:rsidRPr="008F4F59">
        <w:t>Independent progress report</w:t>
      </w:r>
      <w:r w:rsidR="00C77E99" w:rsidRPr="008F4F59" w:rsidDel="00C77E99">
        <w:t xml:space="preserve"> </w:t>
      </w:r>
      <w:r w:rsidR="00C77E99" w:rsidRPr="008F4F59">
        <w:t>terms of reference</w:t>
      </w:r>
      <w:r w:rsidRPr="008F4F59">
        <w:tab/>
      </w:r>
      <w:r w:rsidRPr="003A069A">
        <w:fldChar w:fldCharType="begin"/>
      </w:r>
      <w:r w:rsidRPr="008F4F59">
        <w:instrText xml:space="preserve"> PAGEREF _Toc229924884 \h </w:instrText>
      </w:r>
      <w:r w:rsidRPr="003A069A">
        <w:fldChar w:fldCharType="separate"/>
      </w:r>
      <w:r w:rsidR="005B0DF4">
        <w:t>28</w:t>
      </w:r>
      <w:r w:rsidRPr="003A069A">
        <w:fldChar w:fldCharType="end"/>
      </w:r>
    </w:p>
    <w:p w14:paraId="079FD747" w14:textId="4755CB5B" w:rsidR="00470471" w:rsidRPr="008F4F59" w:rsidRDefault="00470471">
      <w:pPr>
        <w:pStyle w:val="TOC1"/>
        <w:rPr>
          <w:rFonts w:asciiTheme="minorHAnsi" w:eastAsiaTheme="minorEastAsia" w:hAnsiTheme="minorHAnsi" w:cstheme="minorBidi"/>
          <w:b w:val="0"/>
          <w:bCs w:val="0"/>
          <w:sz w:val="24"/>
          <w:szCs w:val="24"/>
          <w:lang w:val="en-US" w:eastAsia="ja-JP"/>
        </w:rPr>
      </w:pPr>
      <w:r w:rsidRPr="008F4F59">
        <w:t xml:space="preserve">Appendix 2: Agencies and </w:t>
      </w:r>
      <w:r w:rsidR="00C77E99" w:rsidRPr="008F4F59">
        <w:t>people consulted</w:t>
      </w:r>
      <w:r w:rsidRPr="008F4F59">
        <w:tab/>
      </w:r>
      <w:r w:rsidRPr="003A069A">
        <w:fldChar w:fldCharType="begin"/>
      </w:r>
      <w:r w:rsidRPr="008F4F59">
        <w:instrText xml:space="preserve"> PAGEREF _Toc229924885 \h </w:instrText>
      </w:r>
      <w:r w:rsidRPr="003A069A">
        <w:fldChar w:fldCharType="separate"/>
      </w:r>
      <w:r w:rsidR="005B0DF4">
        <w:t>36</w:t>
      </w:r>
      <w:r w:rsidRPr="003A069A">
        <w:fldChar w:fldCharType="end"/>
      </w:r>
    </w:p>
    <w:p w14:paraId="1A126E60" w14:textId="2EF0898F" w:rsidR="00470471" w:rsidRPr="008F4F59" w:rsidRDefault="00470471">
      <w:pPr>
        <w:pStyle w:val="TOC1"/>
        <w:rPr>
          <w:rFonts w:asciiTheme="minorHAnsi" w:eastAsiaTheme="minorEastAsia" w:hAnsiTheme="minorHAnsi" w:cstheme="minorBidi"/>
          <w:b w:val="0"/>
          <w:bCs w:val="0"/>
          <w:sz w:val="24"/>
          <w:szCs w:val="24"/>
          <w:lang w:val="en-US" w:eastAsia="ja-JP"/>
        </w:rPr>
      </w:pPr>
      <w:r w:rsidRPr="008F4F59">
        <w:t>Appendix 3: AANZFTA Chapter on Economic Cooperation</w:t>
      </w:r>
      <w:r w:rsidRPr="008F4F59">
        <w:tab/>
      </w:r>
      <w:r w:rsidRPr="003A069A">
        <w:fldChar w:fldCharType="begin"/>
      </w:r>
      <w:r w:rsidRPr="008F4F59">
        <w:instrText xml:space="preserve"> PAGEREF _Toc229924886 \h </w:instrText>
      </w:r>
      <w:r w:rsidRPr="003A069A">
        <w:fldChar w:fldCharType="separate"/>
      </w:r>
      <w:r w:rsidR="005B0DF4">
        <w:t>39</w:t>
      </w:r>
      <w:r w:rsidRPr="003A069A">
        <w:fldChar w:fldCharType="end"/>
      </w:r>
    </w:p>
    <w:p w14:paraId="50211976" w14:textId="309D1BEC" w:rsidR="00470471" w:rsidRPr="008F4F59" w:rsidRDefault="00470471">
      <w:pPr>
        <w:pStyle w:val="TOC1"/>
        <w:rPr>
          <w:rFonts w:asciiTheme="minorHAnsi" w:eastAsiaTheme="minorEastAsia" w:hAnsiTheme="minorHAnsi" w:cstheme="minorBidi"/>
          <w:b w:val="0"/>
          <w:bCs w:val="0"/>
          <w:sz w:val="24"/>
          <w:szCs w:val="24"/>
          <w:lang w:val="en-US" w:eastAsia="ja-JP"/>
        </w:rPr>
      </w:pPr>
      <w:r w:rsidRPr="008F4F59">
        <w:t xml:space="preserve">Appendix 4: AECSP </w:t>
      </w:r>
      <w:r w:rsidR="00C77E99" w:rsidRPr="008F4F59">
        <w:t>monitoring and evaluation ob</w:t>
      </w:r>
      <w:r w:rsidRPr="008F4F59">
        <w:t>servations</w:t>
      </w:r>
      <w:r w:rsidRPr="008F4F59">
        <w:tab/>
      </w:r>
      <w:r w:rsidRPr="003A069A">
        <w:fldChar w:fldCharType="begin"/>
      </w:r>
      <w:r w:rsidRPr="008F4F59">
        <w:instrText xml:space="preserve"> PAGEREF _Toc229924887 \h </w:instrText>
      </w:r>
      <w:r w:rsidRPr="003A069A">
        <w:fldChar w:fldCharType="separate"/>
      </w:r>
      <w:r w:rsidR="005B0DF4">
        <w:t>41</w:t>
      </w:r>
      <w:r w:rsidRPr="003A069A">
        <w:fldChar w:fldCharType="end"/>
      </w:r>
    </w:p>
    <w:p w14:paraId="20DAB3BD" w14:textId="11AF8DA8" w:rsidR="00470471" w:rsidRPr="008F4F59" w:rsidRDefault="00470471">
      <w:pPr>
        <w:pStyle w:val="TOC1"/>
        <w:rPr>
          <w:rFonts w:asciiTheme="minorHAnsi" w:eastAsiaTheme="minorEastAsia" w:hAnsiTheme="minorHAnsi" w:cstheme="minorBidi"/>
          <w:b w:val="0"/>
          <w:bCs w:val="0"/>
          <w:sz w:val="24"/>
          <w:szCs w:val="24"/>
          <w:lang w:val="en-US" w:eastAsia="ja-JP"/>
        </w:rPr>
      </w:pPr>
      <w:r w:rsidRPr="008F4F59">
        <w:t xml:space="preserve">Appendix 5: AANZFTA </w:t>
      </w:r>
      <w:r w:rsidR="00C77E99" w:rsidRPr="008F4F59">
        <w:t>capacity development</w:t>
      </w:r>
      <w:r w:rsidRPr="008F4F59">
        <w:tab/>
      </w:r>
      <w:r w:rsidRPr="003A069A">
        <w:fldChar w:fldCharType="begin"/>
      </w:r>
      <w:r w:rsidRPr="008F4F59">
        <w:instrText xml:space="preserve"> PAGEREF _Toc229924888 \h </w:instrText>
      </w:r>
      <w:r w:rsidRPr="003A069A">
        <w:fldChar w:fldCharType="separate"/>
      </w:r>
      <w:r w:rsidR="005B0DF4">
        <w:t>47</w:t>
      </w:r>
      <w:r w:rsidRPr="003A069A">
        <w:fldChar w:fldCharType="end"/>
      </w:r>
    </w:p>
    <w:p w14:paraId="012E1468" w14:textId="4F2AACA7" w:rsidR="00470471" w:rsidRPr="008F4F59" w:rsidRDefault="00470471">
      <w:pPr>
        <w:pStyle w:val="TOC1"/>
        <w:rPr>
          <w:rFonts w:asciiTheme="minorHAnsi" w:eastAsiaTheme="minorEastAsia" w:hAnsiTheme="minorHAnsi" w:cstheme="minorBidi"/>
          <w:b w:val="0"/>
          <w:bCs w:val="0"/>
          <w:sz w:val="24"/>
          <w:szCs w:val="24"/>
          <w:lang w:val="en-US" w:eastAsia="ja-JP"/>
        </w:rPr>
      </w:pPr>
      <w:r w:rsidRPr="008F4F59">
        <w:t xml:space="preserve">Appendix 6: AANZFTA: </w:t>
      </w:r>
      <w:r w:rsidR="00C77E99" w:rsidRPr="008F4F59">
        <w:t xml:space="preserve">gender </w:t>
      </w:r>
      <w:r w:rsidRPr="008F4F59">
        <w:t xml:space="preserve">and </w:t>
      </w:r>
      <w:r w:rsidR="00C77E99" w:rsidRPr="008F4F59">
        <w:t>equality development</w:t>
      </w:r>
      <w:r w:rsidRPr="008F4F59">
        <w:tab/>
      </w:r>
      <w:r w:rsidRPr="003A069A">
        <w:fldChar w:fldCharType="begin"/>
      </w:r>
      <w:r w:rsidRPr="008F4F59">
        <w:instrText xml:space="preserve"> PAGEREF _Toc229924889 \h </w:instrText>
      </w:r>
      <w:r w:rsidRPr="003A069A">
        <w:fldChar w:fldCharType="separate"/>
      </w:r>
      <w:r w:rsidR="005B0DF4">
        <w:t>51</w:t>
      </w:r>
      <w:r w:rsidRPr="003A069A">
        <w:fldChar w:fldCharType="end"/>
      </w:r>
    </w:p>
    <w:p w14:paraId="5FD19CD7" w14:textId="4AF2DFDA" w:rsidR="00470471" w:rsidRPr="008F4F59" w:rsidRDefault="00470471">
      <w:pPr>
        <w:pStyle w:val="TOC1"/>
        <w:rPr>
          <w:rFonts w:asciiTheme="minorHAnsi" w:eastAsiaTheme="minorEastAsia" w:hAnsiTheme="minorHAnsi" w:cstheme="minorBidi"/>
          <w:b w:val="0"/>
          <w:bCs w:val="0"/>
          <w:sz w:val="24"/>
          <w:szCs w:val="24"/>
          <w:lang w:val="en-US" w:eastAsia="ja-JP"/>
        </w:rPr>
      </w:pPr>
      <w:r w:rsidRPr="008F4F59">
        <w:t xml:space="preserve">Appendix 7: Feedback to </w:t>
      </w:r>
      <w:r w:rsidR="00465C26" w:rsidRPr="008F4F59">
        <w:t>the Department of F</w:t>
      </w:r>
      <w:r w:rsidR="00C77E99" w:rsidRPr="008F4F59">
        <w:t xml:space="preserve">oreign Affairs and Trade </w:t>
      </w:r>
      <w:r w:rsidRPr="008F4F59">
        <w:t xml:space="preserve">on the AANZFTA Economic Cooperation Support Program </w:t>
      </w:r>
      <w:r w:rsidRPr="008F4F59">
        <w:tab/>
      </w:r>
      <w:r w:rsidRPr="003A069A">
        <w:fldChar w:fldCharType="begin"/>
      </w:r>
      <w:r w:rsidRPr="008F4F59">
        <w:instrText xml:space="preserve"> PAGEREF _Toc229924890 \h </w:instrText>
      </w:r>
      <w:r w:rsidRPr="003A069A">
        <w:fldChar w:fldCharType="separate"/>
      </w:r>
      <w:r w:rsidR="005B0DF4">
        <w:t>54</w:t>
      </w:r>
      <w:r w:rsidRPr="003A069A">
        <w:fldChar w:fldCharType="end"/>
      </w:r>
    </w:p>
    <w:p w14:paraId="077AD3C1" w14:textId="64334750" w:rsidR="00470471" w:rsidRDefault="00470471">
      <w:pPr>
        <w:pStyle w:val="TOC1"/>
        <w:rPr>
          <w:rFonts w:asciiTheme="minorHAnsi" w:eastAsiaTheme="minorEastAsia" w:hAnsiTheme="minorHAnsi" w:cstheme="minorBidi"/>
          <w:b w:val="0"/>
          <w:bCs w:val="0"/>
          <w:sz w:val="24"/>
          <w:szCs w:val="24"/>
          <w:lang w:val="en-US" w:eastAsia="ja-JP"/>
        </w:rPr>
      </w:pPr>
      <w:r w:rsidRPr="008F4F59">
        <w:t xml:space="preserve">Appendix 8. AANZFTA Economic Cooperation Support Program: </w:t>
      </w:r>
      <w:r w:rsidR="00C77E99" w:rsidRPr="008F4F59">
        <w:t>evaluation plan and methodolo</w:t>
      </w:r>
      <w:r w:rsidRPr="008F4F59">
        <w:t>gy</w:t>
      </w:r>
      <w:r>
        <w:tab/>
      </w:r>
      <w:r>
        <w:fldChar w:fldCharType="begin"/>
      </w:r>
      <w:r>
        <w:instrText xml:space="preserve"> PAGEREF _Toc229924891 \h </w:instrText>
      </w:r>
      <w:r>
        <w:fldChar w:fldCharType="separate"/>
      </w:r>
      <w:r w:rsidR="005B0DF4">
        <w:t>58</w:t>
      </w:r>
      <w:r>
        <w:fldChar w:fldCharType="end"/>
      </w:r>
    </w:p>
    <w:p w14:paraId="61BD91DA" w14:textId="1E43C678" w:rsidR="00BC6232" w:rsidRDefault="00A94B08" w:rsidP="00470471">
      <w:r>
        <w:rPr>
          <w:rFonts w:ascii="Times New Roman" w:hAnsi="Times New Roman"/>
          <w:b/>
          <w:sz w:val="28"/>
          <w:szCs w:val="28"/>
        </w:rPr>
        <w:fldChar w:fldCharType="end"/>
      </w:r>
      <w:r w:rsidR="005856D4">
        <w:t xml:space="preserve"> </w:t>
      </w:r>
    </w:p>
    <w:p w14:paraId="34A99926" w14:textId="77777777" w:rsidR="00530BA8" w:rsidRDefault="00530BA8" w:rsidP="00470471"/>
    <w:p w14:paraId="6965115B" w14:textId="77777777" w:rsidR="00530BA8" w:rsidRDefault="00530BA8" w:rsidP="00470471"/>
    <w:p w14:paraId="6557C5FE" w14:textId="77777777" w:rsidR="00530BA8" w:rsidRDefault="00530BA8" w:rsidP="00470471"/>
    <w:p w14:paraId="73539DBA" w14:textId="77777777" w:rsidR="00530BA8" w:rsidRDefault="00530BA8" w:rsidP="00470471"/>
    <w:p w14:paraId="69D6DD75" w14:textId="77777777" w:rsidR="00530BA8" w:rsidRDefault="00530BA8" w:rsidP="00470471"/>
    <w:p w14:paraId="72FAB920" w14:textId="77777777" w:rsidR="00530BA8" w:rsidRDefault="00530BA8" w:rsidP="00470471"/>
    <w:p w14:paraId="179D08D9" w14:textId="77777777" w:rsidR="00530BA8" w:rsidRDefault="00530BA8" w:rsidP="00470471"/>
    <w:p w14:paraId="7E6928FF" w14:textId="77777777" w:rsidR="00530BA8" w:rsidRDefault="00530BA8" w:rsidP="00470471"/>
    <w:p w14:paraId="2356B95F" w14:textId="77777777" w:rsidR="00530BA8" w:rsidRDefault="00530BA8" w:rsidP="00470471"/>
    <w:p w14:paraId="16F5E2C8" w14:textId="77777777" w:rsidR="00530BA8" w:rsidRDefault="00530BA8" w:rsidP="00530BA8">
      <w:pPr>
        <w:sectPr w:rsidR="00530BA8" w:rsidSect="009E068C">
          <w:pgSz w:w="11900" w:h="16840" w:code="9"/>
          <w:pgMar w:top="1440" w:right="1797" w:bottom="1440" w:left="1797" w:header="567" w:footer="431" w:gutter="0"/>
          <w:pgNumType w:fmt="lowerRoman"/>
          <w:cols w:space="708"/>
          <w:titlePg/>
        </w:sectPr>
      </w:pPr>
    </w:p>
    <w:p w14:paraId="535A9891" w14:textId="2921AD7B" w:rsidR="00530BA8" w:rsidRPr="00DB43E4" w:rsidRDefault="00530BA8" w:rsidP="00530BA8">
      <w:pPr>
        <w:pStyle w:val="Heading1"/>
        <w:spacing w:before="0"/>
      </w:pPr>
      <w:bookmarkStart w:id="3" w:name="_Toc229924880"/>
      <w:r w:rsidRPr="005E5B68">
        <w:lastRenderedPageBreak/>
        <w:t xml:space="preserve">Executive </w:t>
      </w:r>
      <w:bookmarkEnd w:id="3"/>
      <w:r w:rsidR="00C77E99">
        <w:t>s</w:t>
      </w:r>
      <w:r w:rsidR="00C77E99" w:rsidRPr="005E5B68">
        <w:t>ummary</w:t>
      </w:r>
    </w:p>
    <w:p w14:paraId="2E027F18" w14:textId="52D9C010" w:rsidR="00C77E99" w:rsidRDefault="00530BA8" w:rsidP="00714B4B">
      <w:pPr>
        <w:pStyle w:val="BodyText"/>
        <w:ind w:left="426" w:hanging="426"/>
      </w:pPr>
      <w:r w:rsidRPr="00AC05DB">
        <w:fldChar w:fldCharType="begin"/>
      </w:r>
      <w:r w:rsidRPr="00AC05DB">
        <w:instrText xml:space="preserve"> AUTONUM </w:instrText>
      </w:r>
      <w:r w:rsidRPr="00AC05DB">
        <w:fldChar w:fldCharType="end"/>
      </w:r>
      <w:r>
        <w:tab/>
      </w:r>
      <w:r w:rsidRPr="00AC05DB">
        <w:t>An independent progress review team visited</w:t>
      </w:r>
      <w:r>
        <w:t xml:space="preserve"> Australia and Jakarta from 4</w:t>
      </w:r>
      <w:r w:rsidR="00C77E99">
        <w:t xml:space="preserve"> to </w:t>
      </w:r>
      <w:r>
        <w:t>20</w:t>
      </w:r>
      <w:r w:rsidRPr="00AC05DB">
        <w:t xml:space="preserve"> February 2013 to</w:t>
      </w:r>
      <w:r>
        <w:t>:</w:t>
      </w:r>
      <w:r w:rsidRPr="00AC05DB">
        <w:t xml:space="preserve"> </w:t>
      </w:r>
    </w:p>
    <w:p w14:paraId="57E28F5E" w14:textId="06A9F95D" w:rsidR="00C77E99" w:rsidRDefault="00530BA8" w:rsidP="00714B4B">
      <w:pPr>
        <w:pStyle w:val="BodyText"/>
        <w:ind w:firstLine="720"/>
      </w:pPr>
      <w:r>
        <w:t xml:space="preserve">(a) </w:t>
      </w:r>
      <w:r w:rsidRPr="00AC05DB">
        <w:t>consult program stakeholders</w:t>
      </w:r>
    </w:p>
    <w:p w14:paraId="52594AC5" w14:textId="3CD460D4" w:rsidR="00C77E99" w:rsidRDefault="00530BA8" w:rsidP="00714B4B">
      <w:pPr>
        <w:pStyle w:val="BodyText"/>
        <w:ind w:left="720"/>
        <w:rPr>
          <w:lang w:val="en-US"/>
        </w:rPr>
      </w:pPr>
      <w:r>
        <w:t xml:space="preserve">(b) </w:t>
      </w:r>
      <w:r w:rsidRPr="00AC05DB">
        <w:t xml:space="preserve">review and </w:t>
      </w:r>
      <w:r w:rsidRPr="00AC05DB">
        <w:rPr>
          <w:lang w:val="en-US"/>
        </w:rPr>
        <w:t>formulate recommendations for the remainder of the</w:t>
      </w:r>
      <w:r>
        <w:rPr>
          <w:lang w:val="en-US"/>
        </w:rPr>
        <w:t xml:space="preserve"> </w:t>
      </w:r>
      <w:r>
        <w:rPr>
          <w:rFonts w:cs="Arial"/>
          <w:szCs w:val="20"/>
          <w:lang w:eastAsia="en-AU"/>
        </w:rPr>
        <w:t xml:space="preserve">Agreement Establishing the </w:t>
      </w:r>
      <w:r w:rsidR="00C77E99" w:rsidRPr="00C77E99">
        <w:rPr>
          <w:rFonts w:cs="Arial"/>
          <w:szCs w:val="20"/>
          <w:lang w:eastAsia="en-AU"/>
        </w:rPr>
        <w:t xml:space="preserve">Association of Southeast Asian Nations </w:t>
      </w:r>
      <w:r w:rsidR="00C77E99">
        <w:rPr>
          <w:rFonts w:cs="Arial"/>
          <w:szCs w:val="20"/>
          <w:lang w:eastAsia="en-AU"/>
        </w:rPr>
        <w:t>(</w:t>
      </w:r>
      <w:r w:rsidRPr="00916316">
        <w:rPr>
          <w:rFonts w:cs="Arial"/>
          <w:szCs w:val="20"/>
          <w:lang w:eastAsia="en-AU"/>
        </w:rPr>
        <w:t>ASEAN</w:t>
      </w:r>
      <w:r w:rsidR="00C77E99">
        <w:rPr>
          <w:rFonts w:cs="Arial"/>
          <w:szCs w:val="20"/>
          <w:lang w:eastAsia="en-AU"/>
        </w:rPr>
        <w:t>)</w:t>
      </w:r>
      <w:r w:rsidRPr="00916316">
        <w:rPr>
          <w:rFonts w:cs="Arial"/>
          <w:szCs w:val="20"/>
          <w:lang w:eastAsia="en-AU"/>
        </w:rPr>
        <w:t xml:space="preserve"> Australia and New Zealand Free</w:t>
      </w:r>
      <w:r>
        <w:rPr>
          <w:rFonts w:cs="Arial"/>
          <w:szCs w:val="20"/>
          <w:lang w:eastAsia="en-AU"/>
        </w:rPr>
        <w:t xml:space="preserve"> </w:t>
      </w:r>
      <w:r w:rsidRPr="00916316">
        <w:rPr>
          <w:rFonts w:cs="Arial"/>
          <w:szCs w:val="20"/>
          <w:lang w:eastAsia="en-AU"/>
        </w:rPr>
        <w:t>Trade A</w:t>
      </w:r>
      <w:r>
        <w:rPr>
          <w:rFonts w:cs="Arial"/>
          <w:szCs w:val="20"/>
          <w:lang w:eastAsia="en-AU"/>
        </w:rPr>
        <w:t>rea</w:t>
      </w:r>
      <w:r>
        <w:rPr>
          <w:lang w:val="en-US"/>
        </w:rPr>
        <w:t xml:space="preserve"> (</w:t>
      </w:r>
      <w:r w:rsidRPr="00580301">
        <w:rPr>
          <w:lang w:val="en-US"/>
        </w:rPr>
        <w:t>AANZFTA</w:t>
      </w:r>
      <w:r>
        <w:rPr>
          <w:lang w:val="en-US"/>
        </w:rPr>
        <w:t>)</w:t>
      </w:r>
      <w:r w:rsidRPr="00580301">
        <w:rPr>
          <w:lang w:val="en-US"/>
        </w:rPr>
        <w:t xml:space="preserve"> Economic Cooperation Support Program (AECSP</w:t>
      </w:r>
      <w:r w:rsidR="00C77E99" w:rsidRPr="00580301">
        <w:rPr>
          <w:lang w:val="en-US"/>
        </w:rPr>
        <w:t>)</w:t>
      </w:r>
    </w:p>
    <w:p w14:paraId="3985336F" w14:textId="4D21F190" w:rsidR="00C77E99" w:rsidRDefault="00530BA8" w:rsidP="00714B4B">
      <w:pPr>
        <w:pStyle w:val="BodyText"/>
        <w:ind w:firstLine="720"/>
        <w:rPr>
          <w:lang w:val="en-US"/>
        </w:rPr>
      </w:pPr>
      <w:r>
        <w:rPr>
          <w:lang w:val="en-US"/>
        </w:rPr>
        <w:t>(c)</w:t>
      </w:r>
      <w:r w:rsidRPr="00AC05DB">
        <w:rPr>
          <w:lang w:val="en-US"/>
        </w:rPr>
        <w:t xml:space="preserve"> propose appropriate changes to bu</w:t>
      </w:r>
      <w:r>
        <w:rPr>
          <w:lang w:val="en-US"/>
        </w:rPr>
        <w:t>dgets, resources and timeframes</w:t>
      </w:r>
    </w:p>
    <w:p w14:paraId="559BD49B" w14:textId="4612FD52" w:rsidR="00530BA8" w:rsidRPr="00AC05DB" w:rsidRDefault="00530BA8" w:rsidP="00714B4B">
      <w:pPr>
        <w:pStyle w:val="BodyText"/>
        <w:ind w:left="720"/>
        <w:rPr>
          <w:lang w:val="en-US"/>
        </w:rPr>
      </w:pPr>
      <w:r>
        <w:rPr>
          <w:lang w:val="en-US"/>
        </w:rPr>
        <w:t>(d) propose</w:t>
      </w:r>
      <w:r w:rsidRPr="00AC05DB">
        <w:rPr>
          <w:lang w:val="en-US"/>
        </w:rPr>
        <w:t xml:space="preserve"> options to ensure optimal sustainable </w:t>
      </w:r>
      <w:r>
        <w:rPr>
          <w:lang w:val="en-US"/>
        </w:rPr>
        <w:t>AECSP</w:t>
      </w:r>
      <w:r w:rsidRPr="00AC05DB">
        <w:rPr>
          <w:lang w:val="en-US"/>
        </w:rPr>
        <w:t xml:space="preserve"> outcomes, taking into account </w:t>
      </w:r>
      <w:r>
        <w:rPr>
          <w:lang w:val="en-US"/>
        </w:rPr>
        <w:t xml:space="preserve">governance structures and </w:t>
      </w:r>
      <w:r w:rsidRPr="00AC05DB">
        <w:rPr>
          <w:lang w:val="en-US"/>
        </w:rPr>
        <w:t xml:space="preserve">the time and resources available. </w:t>
      </w:r>
    </w:p>
    <w:p w14:paraId="4002EC5E" w14:textId="455776D1" w:rsidR="00C77E99" w:rsidRDefault="00530BA8" w:rsidP="00714B4B">
      <w:pPr>
        <w:ind w:left="426" w:hanging="426"/>
      </w:pPr>
      <w:r w:rsidRPr="00AC05DB">
        <w:fldChar w:fldCharType="begin"/>
      </w:r>
      <w:r w:rsidRPr="00AC05DB">
        <w:instrText xml:space="preserve"> AUTONUM </w:instrText>
      </w:r>
      <w:r w:rsidRPr="00AC05DB">
        <w:fldChar w:fldCharType="end"/>
      </w:r>
      <w:r>
        <w:tab/>
      </w:r>
      <w:r w:rsidR="00C77E99">
        <w:t>A k</w:t>
      </w:r>
      <w:r w:rsidR="00C77E99" w:rsidRPr="00714B4B">
        <w:t>ey finding</w:t>
      </w:r>
      <w:r w:rsidR="00C77E99">
        <w:t xml:space="preserve"> of the independent progress review was that</w:t>
      </w:r>
      <w:r>
        <w:t xml:space="preserve"> AECSP is supporting practical steps towards AANZFTA implementation by:</w:t>
      </w:r>
      <w:r w:rsidR="001A20BF">
        <w:t xml:space="preserve"> </w:t>
      </w:r>
    </w:p>
    <w:p w14:paraId="0CD6D3F3" w14:textId="47760CD7" w:rsidR="00C77E99" w:rsidRDefault="001A20BF" w:rsidP="00714B4B">
      <w:pPr>
        <w:ind w:left="720"/>
      </w:pPr>
      <w:r>
        <w:t>(a)</w:t>
      </w:r>
      <w:r w:rsidR="00530BA8">
        <w:t xml:space="preserve"> addressing regional barriers to the movement of goods, services, people, capital, ideas and technology</w:t>
      </w:r>
    </w:p>
    <w:p w14:paraId="563827A8" w14:textId="16D76794" w:rsidR="00530BA8" w:rsidRDefault="001A20BF" w:rsidP="00714B4B">
      <w:pPr>
        <w:ind w:left="720"/>
      </w:pPr>
      <w:r>
        <w:t xml:space="preserve">(b) </w:t>
      </w:r>
      <w:r w:rsidR="00530BA8">
        <w:t xml:space="preserve">developing the partnerships needed for stakeholders to move towards agreement on </w:t>
      </w:r>
      <w:r w:rsidR="00530BA8" w:rsidRPr="005C1AE7">
        <w:t xml:space="preserve">challenging </w:t>
      </w:r>
      <w:r w:rsidR="00530BA8">
        <w:t xml:space="preserve">policy </w:t>
      </w:r>
      <w:r w:rsidR="00530BA8" w:rsidRPr="005C1AE7">
        <w:t xml:space="preserve">and </w:t>
      </w:r>
      <w:r w:rsidR="00530BA8">
        <w:t>institutional</w:t>
      </w:r>
      <w:r w:rsidR="00530BA8" w:rsidRPr="005C1AE7">
        <w:t xml:space="preserve"> </w:t>
      </w:r>
      <w:r w:rsidR="00530BA8">
        <w:t>issues. The program is innovative in that:</w:t>
      </w:r>
    </w:p>
    <w:p w14:paraId="435640B5" w14:textId="7750E182" w:rsidR="00530BA8" w:rsidRPr="00647590" w:rsidRDefault="00C77E99" w:rsidP="00574775">
      <w:pPr>
        <w:numPr>
          <w:ilvl w:val="0"/>
          <w:numId w:val="11"/>
        </w:numPr>
        <w:ind w:left="1701"/>
      </w:pPr>
      <w:r>
        <w:t>i</w:t>
      </w:r>
      <w:r w:rsidR="00530BA8">
        <w:t>t</w:t>
      </w:r>
      <w:r w:rsidR="00530BA8" w:rsidRPr="00647590">
        <w:t xml:space="preserve"> is the first </w:t>
      </w:r>
      <w:r>
        <w:t>f</w:t>
      </w:r>
      <w:r w:rsidRPr="00C77E99">
        <w:t>ree trade agreement</w:t>
      </w:r>
      <w:r w:rsidRPr="00C77E99" w:rsidDel="00C77E99">
        <w:t xml:space="preserve"> </w:t>
      </w:r>
      <w:r w:rsidR="00530BA8" w:rsidRPr="00647590">
        <w:t>Australia has signed which includes an economic cooperation program. Embedding a broader trade and investment development agenda in a free trade agreement delivers a practical development modality that bridges the trade–aid agenda</w:t>
      </w:r>
    </w:p>
    <w:p w14:paraId="5EFD3013" w14:textId="3D4973A8" w:rsidR="00530BA8" w:rsidRPr="00647590" w:rsidRDefault="00C77E99" w:rsidP="00574775">
      <w:pPr>
        <w:numPr>
          <w:ilvl w:val="0"/>
          <w:numId w:val="11"/>
        </w:numPr>
        <w:ind w:left="1701"/>
      </w:pPr>
      <w:r>
        <w:t>t</w:t>
      </w:r>
      <w:r w:rsidRPr="00647590">
        <w:t>he</w:t>
      </w:r>
      <w:r>
        <w:t>re is</w:t>
      </w:r>
      <w:r w:rsidRPr="00647590">
        <w:t xml:space="preserve"> </w:t>
      </w:r>
      <w:r w:rsidR="00530BA8" w:rsidRPr="00647590">
        <w:t xml:space="preserve">strong shared ownership of the program by those implementing the agreement. This has been reflected in the substantial in-kind contributions (especially staff time) for program planning and implementation activities by </w:t>
      </w:r>
      <w:r>
        <w:t xml:space="preserve">the </w:t>
      </w:r>
      <w:r w:rsidRPr="00C77E99">
        <w:t>ASEAN Secretariat</w:t>
      </w:r>
      <w:r w:rsidR="00530BA8" w:rsidRPr="00647590">
        <w:t xml:space="preserve">, ASEAN </w:t>
      </w:r>
      <w:r>
        <w:t>m</w:t>
      </w:r>
      <w:r w:rsidRPr="00647590">
        <w:t xml:space="preserve">ember </w:t>
      </w:r>
      <w:r>
        <w:t>states</w:t>
      </w:r>
      <w:r w:rsidR="00530BA8" w:rsidRPr="00647590">
        <w:t>, and Australian and New Zealand government agencies</w:t>
      </w:r>
    </w:p>
    <w:p w14:paraId="322A3E51" w14:textId="49DFCDF5" w:rsidR="00530BA8" w:rsidRDefault="00C77E99" w:rsidP="00574775">
      <w:pPr>
        <w:numPr>
          <w:ilvl w:val="0"/>
          <w:numId w:val="11"/>
        </w:numPr>
        <w:ind w:left="1701"/>
      </w:pPr>
      <w:r>
        <w:rPr>
          <w:lang w:val="en-US"/>
        </w:rPr>
        <w:t>there is strong c</w:t>
      </w:r>
      <w:r w:rsidRPr="00647590">
        <w:rPr>
          <w:lang w:val="en-US"/>
        </w:rPr>
        <w:t>ross</w:t>
      </w:r>
      <w:r w:rsidR="00530BA8" w:rsidRPr="00647590">
        <w:rPr>
          <w:lang w:val="en-US"/>
        </w:rPr>
        <w:t xml:space="preserve">-pillar collaboration within </w:t>
      </w:r>
      <w:r>
        <w:rPr>
          <w:lang w:val="en-US"/>
        </w:rPr>
        <w:t xml:space="preserve">the </w:t>
      </w:r>
      <w:r w:rsidRPr="00C77E99">
        <w:t>ASEAN Secretariat</w:t>
      </w:r>
      <w:r w:rsidRPr="00647590" w:rsidDel="00C77E99">
        <w:rPr>
          <w:lang w:val="en-US"/>
        </w:rPr>
        <w:t xml:space="preserve"> </w:t>
      </w:r>
      <w:r w:rsidR="00530BA8" w:rsidRPr="00647590">
        <w:rPr>
          <w:lang w:val="en-US"/>
        </w:rPr>
        <w:t>(</w:t>
      </w:r>
      <w:r>
        <w:rPr>
          <w:lang w:val="en-US"/>
        </w:rPr>
        <w:t>for example,</w:t>
      </w:r>
      <w:r w:rsidR="00530BA8" w:rsidRPr="00647590">
        <w:rPr>
          <w:lang w:val="en-US"/>
        </w:rPr>
        <w:t xml:space="preserve"> the national qualification</w:t>
      </w:r>
      <w:r w:rsidR="007E2724">
        <w:rPr>
          <w:lang w:val="en-US"/>
        </w:rPr>
        <w:t>s</w:t>
      </w:r>
      <w:r w:rsidR="00530BA8" w:rsidRPr="00647590">
        <w:rPr>
          <w:lang w:val="en-US"/>
        </w:rPr>
        <w:t xml:space="preserve"> framework project which led to mechanisms for ongoing collaboration</w:t>
      </w:r>
      <w:r w:rsidR="000A2DF7">
        <w:rPr>
          <w:lang w:val="en-US"/>
        </w:rPr>
        <w:t xml:space="preserve"> being established</w:t>
      </w:r>
      <w:r w:rsidR="00530BA8" w:rsidRPr="00647590">
        <w:rPr>
          <w:lang w:val="en-US"/>
        </w:rPr>
        <w:t xml:space="preserve"> between the different </w:t>
      </w:r>
      <w:r w:rsidR="000A2DF7" w:rsidRPr="000A2DF7">
        <w:t>ASEAN Secretariat</w:t>
      </w:r>
      <w:r w:rsidR="000A2DF7" w:rsidRPr="000A2DF7" w:rsidDel="000A2DF7">
        <w:rPr>
          <w:lang w:val="en-US"/>
        </w:rPr>
        <w:t xml:space="preserve"> </w:t>
      </w:r>
      <w:r w:rsidR="00530BA8" w:rsidRPr="00647590">
        <w:rPr>
          <w:lang w:val="en-US"/>
        </w:rPr>
        <w:t>divisions responsible for trade in services, education and migration</w:t>
      </w:r>
      <w:r w:rsidR="000A2DF7" w:rsidRPr="000A2DF7">
        <w:rPr>
          <w:lang w:val="en-US"/>
        </w:rPr>
        <w:t xml:space="preserve"> </w:t>
      </w:r>
      <w:r w:rsidR="000A2DF7" w:rsidRPr="00647590">
        <w:rPr>
          <w:lang w:val="en-US"/>
        </w:rPr>
        <w:t>in October 2012</w:t>
      </w:r>
      <w:r w:rsidR="00530BA8" w:rsidRPr="00647590">
        <w:rPr>
          <w:lang w:val="en-US"/>
        </w:rPr>
        <w:t xml:space="preserve">). </w:t>
      </w:r>
    </w:p>
    <w:p w14:paraId="19A5751B" w14:textId="6A1DBA49" w:rsidR="00530BA8" w:rsidRDefault="00530BA8" w:rsidP="00714B4B">
      <w:pPr>
        <w:ind w:left="426" w:hanging="426"/>
      </w:pPr>
      <w:r w:rsidRPr="00AC05DB">
        <w:fldChar w:fldCharType="begin"/>
      </w:r>
      <w:r w:rsidRPr="00AC05DB">
        <w:instrText xml:space="preserve"> AUTONUM </w:instrText>
      </w:r>
      <w:r w:rsidRPr="00AC05DB">
        <w:fldChar w:fldCharType="end"/>
      </w:r>
      <w:r w:rsidR="001A20BF">
        <w:tab/>
        <w:t>AECSP has a</w:t>
      </w:r>
      <w:r>
        <w:t xml:space="preserve"> complex institutional structure. A support unit within the ASEAN </w:t>
      </w:r>
      <w:r w:rsidR="00DF41E1">
        <w:t xml:space="preserve">Secretariat </w:t>
      </w:r>
      <w:r>
        <w:t>manages implementation</w:t>
      </w:r>
      <w:r w:rsidR="000A2DF7">
        <w:t xml:space="preserve"> and</w:t>
      </w:r>
      <w:r>
        <w:t xml:space="preserve"> report</w:t>
      </w:r>
      <w:r w:rsidR="000A2DF7">
        <w:t xml:space="preserve">s </w:t>
      </w:r>
      <w:r>
        <w:t xml:space="preserve">both </w:t>
      </w:r>
      <w:r w:rsidR="000A2DF7">
        <w:t xml:space="preserve">to the </w:t>
      </w:r>
      <w:r w:rsidR="00DF41E1">
        <w:t>s</w:t>
      </w:r>
      <w:r w:rsidR="000A2DF7" w:rsidRPr="000A2DF7">
        <w:t>ecretariat</w:t>
      </w:r>
      <w:r w:rsidR="000A2DF7">
        <w:t xml:space="preserve"> </w:t>
      </w:r>
      <w:r>
        <w:t xml:space="preserve">and the </w:t>
      </w:r>
      <w:r w:rsidR="00195609">
        <w:t xml:space="preserve">Free Trade Agreement </w:t>
      </w:r>
      <w:r>
        <w:t>Joint Committee. Given this complexity</w:t>
      </w:r>
      <w:r w:rsidR="001A20BF">
        <w:t>,</w:t>
      </w:r>
      <w:r>
        <w:t xml:space="preserve"> AusAID took a risk in funding </w:t>
      </w:r>
      <w:r w:rsidR="00565D0E">
        <w:t xml:space="preserve">this program. </w:t>
      </w:r>
      <w:r w:rsidR="00912DD7">
        <w:t>Despite</w:t>
      </w:r>
      <w:r w:rsidR="00912DD7" w:rsidRPr="00AC05DB">
        <w:t xml:space="preserve"> delays in start-up, </w:t>
      </w:r>
      <w:r w:rsidR="00912DD7">
        <w:t>t</w:t>
      </w:r>
      <w:r w:rsidR="00565D0E">
        <w:t>hat</w:t>
      </w:r>
      <w:r>
        <w:t xml:space="preserve"> risk </w:t>
      </w:r>
      <w:r w:rsidR="00912DD7">
        <w:t xml:space="preserve">now </w:t>
      </w:r>
      <w:r>
        <w:t xml:space="preserve">appears to be paying dividends. </w:t>
      </w:r>
      <w:r w:rsidRPr="00AC05DB">
        <w:t xml:space="preserve">AECSP is beginning to build momentum and </w:t>
      </w:r>
      <w:r>
        <w:t>generate</w:t>
      </w:r>
      <w:r w:rsidRPr="00AC05DB">
        <w:t xml:space="preserve"> tangible </w:t>
      </w:r>
      <w:r>
        <w:t xml:space="preserve">organisational </w:t>
      </w:r>
      <w:r w:rsidRPr="00AC05DB">
        <w:t xml:space="preserve">outcomes that </w:t>
      </w:r>
      <w:r>
        <w:t>should help facilitate growth in regional trade and investment</w:t>
      </w:r>
      <w:r>
        <w:rPr>
          <w:lang w:val="en-US"/>
        </w:rPr>
        <w:t xml:space="preserve">. </w:t>
      </w:r>
      <w:r>
        <w:t>If recent progress continues, the partnerships developed and collaboration achieved ha</w:t>
      </w:r>
      <w:r w:rsidR="00242488">
        <w:t>ve</w:t>
      </w:r>
      <w:r>
        <w:t xml:space="preserve"> the potential to be a model for other programs.</w:t>
      </w:r>
      <w:r w:rsidDel="005C1AE7">
        <w:t xml:space="preserve"> </w:t>
      </w:r>
    </w:p>
    <w:p w14:paraId="7B8A51D0" w14:textId="77777777" w:rsidR="00530BA8" w:rsidRDefault="00530BA8" w:rsidP="00574775">
      <w:pPr>
        <w:ind w:left="426" w:hanging="426"/>
      </w:pPr>
      <w:r w:rsidRPr="00AC05DB">
        <w:fldChar w:fldCharType="begin"/>
      </w:r>
      <w:r w:rsidRPr="00AC05DB">
        <w:instrText xml:space="preserve"> AUTONUM </w:instrText>
      </w:r>
      <w:r w:rsidRPr="00AC05DB">
        <w:fldChar w:fldCharType="end"/>
      </w:r>
      <w:r>
        <w:tab/>
        <w:t>Progress is being made towards the five core targeted AECSP outcomes:</w:t>
      </w:r>
    </w:p>
    <w:p w14:paraId="0471A3EF" w14:textId="42534EC8" w:rsidR="00530BA8" w:rsidRPr="000A2DF7" w:rsidRDefault="000A2DF7" w:rsidP="00714B4B">
      <w:pPr>
        <w:tabs>
          <w:tab w:val="left" w:pos="993"/>
        </w:tabs>
        <w:ind w:left="709"/>
        <w:rPr>
          <w:lang w:val="en-US"/>
        </w:rPr>
      </w:pPr>
      <w:r>
        <w:rPr>
          <w:b/>
          <w:iCs/>
          <w:lang w:val="en-US"/>
        </w:rPr>
        <w:t>(</w:t>
      </w:r>
      <w:r w:rsidRPr="00714B4B">
        <w:rPr>
          <w:iCs/>
          <w:lang w:val="en-US"/>
        </w:rPr>
        <w:t xml:space="preserve">a) </w:t>
      </w:r>
      <w:r>
        <w:rPr>
          <w:iCs/>
          <w:lang w:val="en-US"/>
        </w:rPr>
        <w:t>E</w:t>
      </w:r>
      <w:r w:rsidRPr="00714B4B">
        <w:rPr>
          <w:iCs/>
          <w:lang w:val="en-US"/>
        </w:rPr>
        <w:t xml:space="preserve">nhanced </w:t>
      </w:r>
      <w:r w:rsidR="00530BA8" w:rsidRPr="00714B4B">
        <w:rPr>
          <w:iCs/>
          <w:lang w:val="en-US"/>
        </w:rPr>
        <w:t>government desire to engage in economic integration, particularly AANZFTA implementation.</w:t>
      </w:r>
      <w:r w:rsidR="005856D4">
        <w:rPr>
          <w:iCs/>
          <w:lang w:val="en-US"/>
        </w:rPr>
        <w:t xml:space="preserve"> </w:t>
      </w:r>
      <w:r w:rsidR="00530BA8" w:rsidRPr="00714B4B">
        <w:rPr>
          <w:iCs/>
          <w:lang w:val="en-US"/>
        </w:rPr>
        <w:t>Regional leaders have noted (</w:t>
      </w:r>
      <w:r w:rsidR="00530BA8" w:rsidRPr="00A8315E">
        <w:rPr>
          <w:iCs/>
          <w:lang w:val="en-US"/>
        </w:rPr>
        <w:t xml:space="preserve">see </w:t>
      </w:r>
      <w:r w:rsidRPr="00A8315E">
        <w:rPr>
          <w:iCs/>
          <w:lang w:val="en-US"/>
        </w:rPr>
        <w:t xml:space="preserve">appendix </w:t>
      </w:r>
      <w:r w:rsidR="00530BA8" w:rsidRPr="00A8315E">
        <w:rPr>
          <w:iCs/>
          <w:lang w:val="en-US"/>
        </w:rPr>
        <w:t>7</w:t>
      </w:r>
      <w:r w:rsidRPr="000A2DF7">
        <w:rPr>
          <w:iCs/>
          <w:lang w:val="en-US"/>
        </w:rPr>
        <w:t xml:space="preserve"> </w:t>
      </w:r>
      <w:r>
        <w:rPr>
          <w:iCs/>
          <w:lang w:val="en-US"/>
        </w:rPr>
        <w:t>for exampl</w:t>
      </w:r>
      <w:r w:rsidRPr="00A65716">
        <w:rPr>
          <w:iCs/>
          <w:lang w:val="en-US"/>
        </w:rPr>
        <w:t>e</w:t>
      </w:r>
      <w:r>
        <w:rPr>
          <w:iCs/>
          <w:lang w:val="en-US"/>
        </w:rPr>
        <w:t>s</w:t>
      </w:r>
      <w:r w:rsidR="00530BA8" w:rsidRPr="00F90E62">
        <w:rPr>
          <w:iCs/>
          <w:lang w:val="en-US"/>
        </w:rPr>
        <w:t xml:space="preserve">) that </w:t>
      </w:r>
      <w:r w:rsidR="00530BA8" w:rsidRPr="00095CBB">
        <w:rPr>
          <w:iCs/>
          <w:lang w:val="en-US"/>
        </w:rPr>
        <w:t>by supporting efforts to resolve practical issues</w:t>
      </w:r>
      <w:r>
        <w:rPr>
          <w:iCs/>
          <w:lang w:val="en-US"/>
        </w:rPr>
        <w:t>,</w:t>
      </w:r>
      <w:r w:rsidR="00530BA8" w:rsidRPr="00F90E62">
        <w:rPr>
          <w:iCs/>
          <w:lang w:val="en-US"/>
        </w:rPr>
        <w:t xml:space="preserve"> </w:t>
      </w:r>
      <w:r w:rsidR="00530BA8" w:rsidRPr="00095CBB">
        <w:rPr>
          <w:iCs/>
          <w:lang w:val="en-US"/>
        </w:rPr>
        <w:t xml:space="preserve">AECSP is contributing to implementation of AANZFTA and progressing the broader regional integration agenda. Progress with establishing </w:t>
      </w:r>
      <w:r w:rsidR="00530BA8" w:rsidRPr="00BC79CB">
        <w:t xml:space="preserve">a forum on </w:t>
      </w:r>
      <w:r>
        <w:t>a</w:t>
      </w:r>
      <w:r w:rsidR="00242488">
        <w:t>n</w:t>
      </w:r>
      <w:r>
        <w:t xml:space="preserve"> </w:t>
      </w:r>
      <w:r w:rsidR="00530BA8" w:rsidRPr="00BC79CB">
        <w:t>ASEAN Regional Qualifications Framework to support trade in education services and temporary movement of natural persons</w:t>
      </w:r>
      <w:r w:rsidR="00530BA8">
        <w:t xml:space="preserve"> is one concrete example in terms of impact on ASEAN integration. The support for OECD </w:t>
      </w:r>
      <w:r>
        <w:t xml:space="preserve">investment reviews </w:t>
      </w:r>
      <w:r w:rsidR="00530BA8">
        <w:t>is another example of efforts to identify and share information on practical barriers to integration.</w:t>
      </w:r>
      <w:r w:rsidR="00530BA8" w:rsidRPr="00647590">
        <w:t xml:space="preserve"> </w:t>
      </w:r>
    </w:p>
    <w:p w14:paraId="105F8739" w14:textId="30CE0D10" w:rsidR="002F0814" w:rsidRPr="000A2DF7" w:rsidRDefault="000A2DF7" w:rsidP="00714B4B">
      <w:pPr>
        <w:pStyle w:val="ListParagraph"/>
        <w:ind w:left="709"/>
        <w:rPr>
          <w:lang w:val="en-US"/>
        </w:rPr>
      </w:pPr>
      <w:r>
        <w:rPr>
          <w:lang w:val="en-US"/>
        </w:rPr>
        <w:t>(b) I</w:t>
      </w:r>
      <w:r w:rsidR="00530BA8" w:rsidRPr="00714B4B">
        <w:rPr>
          <w:lang w:val="en-US"/>
        </w:rPr>
        <w:t xml:space="preserve">ncreased business </w:t>
      </w:r>
      <w:r w:rsidRPr="00714B4B">
        <w:rPr>
          <w:lang w:val="en-US"/>
        </w:rPr>
        <w:t xml:space="preserve">use </w:t>
      </w:r>
      <w:r w:rsidR="00530BA8" w:rsidRPr="00714B4B">
        <w:rPr>
          <w:lang w:val="en-US"/>
        </w:rPr>
        <w:t>of AANZFTA and increased trade and investment flows.</w:t>
      </w:r>
      <w:r w:rsidR="00530BA8" w:rsidRPr="000A2DF7">
        <w:rPr>
          <w:i/>
          <w:lang w:val="en-US"/>
        </w:rPr>
        <w:t xml:space="preserve"> </w:t>
      </w:r>
      <w:r w:rsidR="00530BA8" w:rsidRPr="000A2DF7">
        <w:rPr>
          <w:lang w:val="en-US"/>
        </w:rPr>
        <w:t xml:space="preserve">Systems for monitoring business </w:t>
      </w:r>
      <w:r>
        <w:rPr>
          <w:lang w:val="en-US"/>
        </w:rPr>
        <w:t>use</w:t>
      </w:r>
      <w:r w:rsidRPr="000A2DF7">
        <w:rPr>
          <w:lang w:val="en-US"/>
        </w:rPr>
        <w:t xml:space="preserve"> </w:t>
      </w:r>
      <w:r w:rsidR="00530BA8" w:rsidRPr="000A2DF7">
        <w:rPr>
          <w:lang w:val="en-US"/>
        </w:rPr>
        <w:t xml:space="preserve">still need to be developed and implemented. AECSP </w:t>
      </w:r>
      <w:r>
        <w:rPr>
          <w:lang w:val="en-US"/>
        </w:rPr>
        <w:t>has</w:t>
      </w:r>
      <w:r w:rsidRPr="000A2DF7">
        <w:rPr>
          <w:lang w:val="en-US"/>
        </w:rPr>
        <w:t xml:space="preserve"> </w:t>
      </w:r>
      <w:r w:rsidR="00530BA8" w:rsidRPr="000A2DF7">
        <w:rPr>
          <w:lang w:val="en-US"/>
        </w:rPr>
        <w:t xml:space="preserve">supported activities to help raise business awareness. While the team </w:t>
      </w:r>
      <w:r w:rsidR="00530BA8" w:rsidRPr="000A2DF7">
        <w:rPr>
          <w:lang w:val="en-US"/>
        </w:rPr>
        <w:lastRenderedPageBreak/>
        <w:t>received mixed messages about the level of business awareness, there are indicators of accelerating business interest</w:t>
      </w:r>
      <w:r>
        <w:rPr>
          <w:lang w:val="en-US"/>
        </w:rPr>
        <w:t xml:space="preserve">. For example, the </w:t>
      </w:r>
      <w:r w:rsidR="00530BA8" w:rsidRPr="000A2DF7">
        <w:rPr>
          <w:lang w:val="en-US"/>
        </w:rPr>
        <w:t>D</w:t>
      </w:r>
      <w:r>
        <w:rPr>
          <w:lang w:val="en-US"/>
        </w:rPr>
        <w:t xml:space="preserve">epartment of Foreign </w:t>
      </w:r>
      <w:r w:rsidR="00530BA8" w:rsidRPr="000A2DF7">
        <w:rPr>
          <w:lang w:val="en-US"/>
        </w:rPr>
        <w:t>A</w:t>
      </w:r>
      <w:r>
        <w:rPr>
          <w:lang w:val="en-US"/>
        </w:rPr>
        <w:t xml:space="preserve">ffairs and </w:t>
      </w:r>
      <w:r w:rsidR="00530BA8" w:rsidRPr="000A2DF7">
        <w:rPr>
          <w:lang w:val="en-US"/>
        </w:rPr>
        <w:t>T</w:t>
      </w:r>
      <w:r>
        <w:rPr>
          <w:lang w:val="en-US"/>
        </w:rPr>
        <w:t>rade</w:t>
      </w:r>
      <w:r w:rsidR="00530BA8" w:rsidRPr="000A2DF7">
        <w:rPr>
          <w:lang w:val="en-US"/>
        </w:rPr>
        <w:t xml:space="preserve"> indicated that </w:t>
      </w:r>
      <w:r>
        <w:rPr>
          <w:lang w:val="en-US"/>
        </w:rPr>
        <w:t>use</w:t>
      </w:r>
      <w:r w:rsidRPr="000A2DF7">
        <w:rPr>
          <w:lang w:val="en-US"/>
        </w:rPr>
        <w:t xml:space="preserve"> </w:t>
      </w:r>
      <w:r w:rsidR="00530BA8" w:rsidRPr="000A2DF7">
        <w:rPr>
          <w:lang w:val="en-US"/>
        </w:rPr>
        <w:t xml:space="preserve">of AANZFTA preferences for </w:t>
      </w:r>
      <w:r w:rsidR="00530BA8" w:rsidRPr="000A2DF7">
        <w:t xml:space="preserve">imports into Australia from the seven ASEAN countries </w:t>
      </w:r>
      <w:r w:rsidR="00530BA8" w:rsidRPr="000A2DF7">
        <w:rPr>
          <w:lang w:val="en-US"/>
        </w:rPr>
        <w:t>had reached 66</w:t>
      </w:r>
      <w:r>
        <w:rPr>
          <w:lang w:val="en-US"/>
        </w:rPr>
        <w:t xml:space="preserve"> per cent</w:t>
      </w:r>
      <w:r w:rsidR="00530BA8" w:rsidRPr="000A2DF7">
        <w:rPr>
          <w:lang w:val="en-US"/>
        </w:rPr>
        <w:t xml:space="preserve"> in 2011. AECSP supported </w:t>
      </w:r>
      <w:r w:rsidR="00530BA8" w:rsidRPr="000A2DF7">
        <w:t xml:space="preserve">in-country training on </w:t>
      </w:r>
      <w:r>
        <w:t>r</w:t>
      </w:r>
      <w:r w:rsidRPr="000A2DF7">
        <w:t xml:space="preserve">ules </w:t>
      </w:r>
      <w:r w:rsidR="00530BA8" w:rsidRPr="000A2DF7">
        <w:t xml:space="preserve">of </w:t>
      </w:r>
      <w:r>
        <w:t>o</w:t>
      </w:r>
      <w:r w:rsidRPr="000A2DF7">
        <w:t xml:space="preserve">rigin </w:t>
      </w:r>
      <w:r w:rsidR="00530BA8" w:rsidRPr="000A2DF7">
        <w:t>for Cambodia and Lao PDR</w:t>
      </w:r>
      <w:r>
        <w:t xml:space="preserve">––as well as the </w:t>
      </w:r>
      <w:r w:rsidR="00530BA8" w:rsidRPr="000A2DF7">
        <w:t>publication and dissemination of supporting material</w:t>
      </w:r>
      <w:r>
        <w:t>––and helped</w:t>
      </w:r>
      <w:r w:rsidR="00530BA8" w:rsidRPr="000A2DF7">
        <w:t xml:space="preserve"> officials and businesses in the lower income </w:t>
      </w:r>
      <w:r w:rsidRPr="000A2DF7">
        <w:t>ASEAN member states</w:t>
      </w:r>
      <w:r w:rsidRPr="000A2DF7" w:rsidDel="000A2DF7">
        <w:t xml:space="preserve"> </w:t>
      </w:r>
      <w:r w:rsidR="00530BA8" w:rsidRPr="000A2DF7">
        <w:t xml:space="preserve">to </w:t>
      </w:r>
      <w:r>
        <w:t>use</w:t>
      </w:r>
      <w:r w:rsidRPr="000A2DF7">
        <w:t xml:space="preserve"> </w:t>
      </w:r>
      <w:r w:rsidR="00530BA8" w:rsidRPr="000A2DF7">
        <w:t>AANZFTA.</w:t>
      </w:r>
    </w:p>
    <w:p w14:paraId="2E05D47A" w14:textId="7CD92F6C" w:rsidR="00530BA8" w:rsidRPr="004055B8" w:rsidRDefault="000A2DF7" w:rsidP="00714B4B">
      <w:pPr>
        <w:ind w:left="709"/>
        <w:rPr>
          <w:lang w:val="en-US"/>
        </w:rPr>
      </w:pPr>
      <w:r>
        <w:rPr>
          <w:lang w:val="en-US"/>
        </w:rPr>
        <w:t>(c)</w:t>
      </w:r>
      <w:r w:rsidR="004055B8">
        <w:rPr>
          <w:iCs/>
          <w:lang w:val="en-US"/>
        </w:rPr>
        <w:t xml:space="preserve"> </w:t>
      </w:r>
      <w:r w:rsidR="00530BA8" w:rsidRPr="00714B4B">
        <w:rPr>
          <w:iCs/>
          <w:lang w:val="en-US"/>
        </w:rPr>
        <w:t xml:space="preserve">Enhanced capacity of </w:t>
      </w:r>
      <w:r w:rsidR="004055B8">
        <w:t>ASEAN member state</w:t>
      </w:r>
      <w:r w:rsidR="004055B8" w:rsidRPr="00486CAF" w:rsidDel="000A2DF7">
        <w:t xml:space="preserve"> </w:t>
      </w:r>
      <w:r w:rsidR="00530BA8" w:rsidRPr="00714B4B">
        <w:rPr>
          <w:iCs/>
          <w:lang w:val="en-US"/>
        </w:rPr>
        <w:t xml:space="preserve">institutions to engage in trade </w:t>
      </w:r>
      <w:r w:rsidR="004055B8" w:rsidRPr="00714B4B">
        <w:rPr>
          <w:iCs/>
          <w:lang w:val="en-US"/>
        </w:rPr>
        <w:t xml:space="preserve">liberalisation </w:t>
      </w:r>
      <w:r w:rsidR="00530BA8" w:rsidRPr="00714B4B">
        <w:rPr>
          <w:iCs/>
          <w:lang w:val="en-US"/>
        </w:rPr>
        <w:t xml:space="preserve">and to implement the AANZFTA </w:t>
      </w:r>
      <w:r w:rsidR="004055B8" w:rsidRPr="00F90E62">
        <w:rPr>
          <w:iCs/>
          <w:lang w:val="en-US"/>
        </w:rPr>
        <w:t>agreement</w:t>
      </w:r>
      <w:r w:rsidR="00530BA8" w:rsidRPr="00714B4B">
        <w:rPr>
          <w:iCs/>
          <w:lang w:val="en-US"/>
        </w:rPr>
        <w:t>.</w:t>
      </w:r>
      <w:r w:rsidR="00530BA8" w:rsidRPr="00714B4B">
        <w:rPr>
          <w:lang w:val="en-US"/>
        </w:rPr>
        <w:t> There has been steady progress in building capacity</w:t>
      </w:r>
      <w:r w:rsidR="004055B8" w:rsidRPr="004055B8">
        <w:rPr>
          <w:lang w:val="en-US"/>
        </w:rPr>
        <w:t>––</w:t>
      </w:r>
      <w:r w:rsidR="00530BA8">
        <w:t>mo</w:t>
      </w:r>
      <w:r w:rsidR="00530BA8" w:rsidRPr="00232015">
        <w:t xml:space="preserve">mentum has been </w:t>
      </w:r>
      <w:r w:rsidR="00530BA8">
        <w:t xml:space="preserve">strongest </w:t>
      </w:r>
      <w:r w:rsidR="00530BA8" w:rsidRPr="00232015">
        <w:t xml:space="preserve">in </w:t>
      </w:r>
      <w:r w:rsidR="004055B8" w:rsidRPr="00232015">
        <w:t>goods and intellectual property</w:t>
      </w:r>
      <w:r w:rsidR="00530BA8">
        <w:t xml:space="preserve"> </w:t>
      </w:r>
      <w:r w:rsidR="00530BA8" w:rsidRPr="004055B8">
        <w:rPr>
          <w:lang w:val="en-US"/>
        </w:rPr>
        <w:t>and is increasing in other areas, including</w:t>
      </w:r>
      <w:r w:rsidR="004055B8" w:rsidRPr="004055B8">
        <w:rPr>
          <w:lang w:val="en-US"/>
        </w:rPr>
        <w:t xml:space="preserve"> in</w:t>
      </w:r>
      <w:r w:rsidR="00530BA8" w:rsidRPr="004055B8">
        <w:rPr>
          <w:lang w:val="en-US"/>
        </w:rPr>
        <w:t xml:space="preserve"> </w:t>
      </w:r>
      <w:r w:rsidR="004055B8" w:rsidRPr="004055B8">
        <w:rPr>
          <w:lang w:val="en-US"/>
        </w:rPr>
        <w:t>i</w:t>
      </w:r>
      <w:r w:rsidR="00530BA8" w:rsidRPr="004055B8">
        <w:rPr>
          <w:lang w:val="en-US"/>
        </w:rPr>
        <w:t xml:space="preserve">nvestment and </w:t>
      </w:r>
      <w:r w:rsidR="004055B8" w:rsidRPr="004055B8">
        <w:rPr>
          <w:lang w:val="en-US"/>
        </w:rPr>
        <w:t>services</w:t>
      </w:r>
      <w:r w:rsidR="00530BA8">
        <w:t>.</w:t>
      </w:r>
      <w:r w:rsidR="00DF41E1">
        <w:t xml:space="preserve"> </w:t>
      </w:r>
      <w:r w:rsidR="00530BA8" w:rsidRPr="004055B8">
        <w:rPr>
          <w:lang w:val="en-US"/>
        </w:rPr>
        <w:t xml:space="preserve">The reported </w:t>
      </w:r>
      <w:r w:rsidR="004055B8" w:rsidRPr="004055B8">
        <w:rPr>
          <w:lang w:val="en-US"/>
        </w:rPr>
        <w:t xml:space="preserve">use </w:t>
      </w:r>
      <w:r w:rsidR="00530BA8" w:rsidRPr="004055B8">
        <w:rPr>
          <w:lang w:val="en-US"/>
        </w:rPr>
        <w:t>of AANZFTA preferences is encouraging</w:t>
      </w:r>
      <w:r w:rsidR="004055B8" w:rsidRPr="004055B8">
        <w:rPr>
          <w:lang w:val="en-US"/>
        </w:rPr>
        <w:t xml:space="preserve"> and </w:t>
      </w:r>
      <w:r w:rsidR="00530BA8" w:rsidRPr="004055B8">
        <w:rPr>
          <w:lang w:val="en-US"/>
        </w:rPr>
        <w:t xml:space="preserve">there is </w:t>
      </w:r>
      <w:r w:rsidR="00DF41E1">
        <w:rPr>
          <w:lang w:val="en-US"/>
        </w:rPr>
        <w:t xml:space="preserve">a </w:t>
      </w:r>
      <w:r w:rsidR="00530BA8" w:rsidRPr="004055B8">
        <w:rPr>
          <w:lang w:val="en-US"/>
        </w:rPr>
        <w:t xml:space="preserve">need for regularly updated information on </w:t>
      </w:r>
      <w:r w:rsidR="004055B8" w:rsidRPr="004055B8">
        <w:rPr>
          <w:lang w:val="en-US"/>
        </w:rPr>
        <w:t xml:space="preserve">user </w:t>
      </w:r>
      <w:r w:rsidR="00530BA8" w:rsidRPr="004055B8">
        <w:rPr>
          <w:lang w:val="en-US"/>
        </w:rPr>
        <w:t>rates for all countries. Capacity development initiatives are now specifically targeting partner institutions.</w:t>
      </w:r>
    </w:p>
    <w:p w14:paraId="30B505A4" w14:textId="31714E8B" w:rsidR="00530BA8" w:rsidRPr="004055B8" w:rsidRDefault="004055B8" w:rsidP="00714B4B">
      <w:pPr>
        <w:pStyle w:val="ListParagraph"/>
        <w:ind w:left="709"/>
        <w:contextualSpacing w:val="0"/>
        <w:rPr>
          <w:lang w:val="en-US"/>
        </w:rPr>
      </w:pPr>
      <w:r>
        <w:rPr>
          <w:lang w:val="en-US"/>
        </w:rPr>
        <w:t xml:space="preserve">(d) </w:t>
      </w:r>
      <w:r w:rsidR="00530BA8" w:rsidRPr="00714B4B">
        <w:rPr>
          <w:lang w:val="en-US"/>
        </w:rPr>
        <w:t>Strengthened working relationships through the establishment of, and deepe</w:t>
      </w:r>
      <w:r>
        <w:rPr>
          <w:lang w:val="en-US"/>
        </w:rPr>
        <w:t xml:space="preserve">r </w:t>
      </w:r>
      <w:r w:rsidR="00530BA8" w:rsidRPr="00714B4B">
        <w:rPr>
          <w:lang w:val="en-US"/>
        </w:rPr>
        <w:t>engagement in, functional sector networks.</w:t>
      </w:r>
      <w:r w:rsidR="00530BA8" w:rsidRPr="004055B8">
        <w:rPr>
          <w:i/>
          <w:lang w:val="en-US"/>
        </w:rPr>
        <w:t xml:space="preserve"> </w:t>
      </w:r>
      <w:r w:rsidR="00530BA8" w:rsidRPr="004055B8">
        <w:rPr>
          <w:lang w:val="en-US"/>
        </w:rPr>
        <w:t xml:space="preserve">Tangible progress is being made in several key areas including the ASEAN Regional Diagnostics Network on </w:t>
      </w:r>
      <w:r>
        <w:t>s</w:t>
      </w:r>
      <w:r w:rsidRPr="004055B8">
        <w:t>anitary and phytosanitary</w:t>
      </w:r>
      <w:r w:rsidRPr="004055B8" w:rsidDel="004055B8">
        <w:rPr>
          <w:lang w:val="en-US"/>
        </w:rPr>
        <w:t xml:space="preserve"> </w:t>
      </w:r>
      <w:r w:rsidR="00530BA8" w:rsidRPr="004055B8">
        <w:rPr>
          <w:lang w:val="en-US"/>
        </w:rPr>
        <w:t>measures (part of a wider long-term effort to create an ASEAN-wide system for delivering credible plant pest and disease diagnostic services</w:t>
      </w:r>
      <w:r>
        <w:rPr>
          <w:lang w:val="en-US"/>
        </w:rPr>
        <w:t>)</w:t>
      </w:r>
      <w:r w:rsidR="00530BA8" w:rsidRPr="004055B8">
        <w:rPr>
          <w:lang w:val="en-US"/>
        </w:rPr>
        <w:t>, work on intellectual property (standards and cooperative approaches to training) and with establishing a</w:t>
      </w:r>
      <w:r w:rsidR="00DF41E1">
        <w:rPr>
          <w:lang w:val="en-US"/>
        </w:rPr>
        <w:t>n</w:t>
      </w:r>
      <w:r w:rsidR="00530BA8" w:rsidRPr="004055B8">
        <w:rPr>
          <w:lang w:val="en-US"/>
        </w:rPr>
        <w:t xml:space="preserve"> </w:t>
      </w:r>
      <w:r w:rsidR="00530BA8" w:rsidRPr="00BC79CB">
        <w:t xml:space="preserve">ASEAN </w:t>
      </w:r>
      <w:r w:rsidRPr="00BC79CB">
        <w:t>regional qualifications framework</w:t>
      </w:r>
      <w:r w:rsidR="00530BA8" w:rsidRPr="004055B8">
        <w:rPr>
          <w:lang w:val="en-US"/>
        </w:rPr>
        <w:t>.</w:t>
      </w:r>
    </w:p>
    <w:p w14:paraId="2BA63CB2" w14:textId="684CB9F2" w:rsidR="00530BA8" w:rsidRDefault="004055B8" w:rsidP="00714B4B">
      <w:pPr>
        <w:pStyle w:val="ListParagraph"/>
        <w:ind w:left="709"/>
        <w:contextualSpacing w:val="0"/>
      </w:pPr>
      <w:r>
        <w:rPr>
          <w:lang w:val="en-US"/>
        </w:rPr>
        <w:t xml:space="preserve">(e) </w:t>
      </w:r>
      <w:r w:rsidR="00530BA8" w:rsidRPr="00714B4B">
        <w:rPr>
          <w:lang w:val="en-US"/>
        </w:rPr>
        <w:t xml:space="preserve">Increased confidence in the AECSP and </w:t>
      </w:r>
      <w:r w:rsidRPr="004055B8">
        <w:t xml:space="preserve">AANZFTA Support Unit </w:t>
      </w:r>
      <w:r w:rsidR="00530BA8" w:rsidRPr="00714B4B">
        <w:rPr>
          <w:lang w:val="en-US"/>
        </w:rPr>
        <w:t xml:space="preserve">as the preferred model for ASEAN-based </w:t>
      </w:r>
      <w:r>
        <w:rPr>
          <w:lang w:val="en-US"/>
        </w:rPr>
        <w:t>free trade agreement</w:t>
      </w:r>
      <w:r w:rsidRPr="00714B4B">
        <w:rPr>
          <w:lang w:val="en-US"/>
        </w:rPr>
        <w:t xml:space="preserve"> </w:t>
      </w:r>
      <w:r w:rsidR="00530BA8" w:rsidRPr="00714B4B">
        <w:rPr>
          <w:lang w:val="en-US"/>
        </w:rPr>
        <w:t>implementation.</w:t>
      </w:r>
      <w:r w:rsidR="00530BA8" w:rsidRPr="00647590">
        <w:t xml:space="preserve"> </w:t>
      </w:r>
      <w:r w:rsidR="00530BA8">
        <w:t xml:space="preserve">Regional leaders </w:t>
      </w:r>
      <w:r>
        <w:t xml:space="preserve">recognise </w:t>
      </w:r>
      <w:r w:rsidR="00530BA8">
        <w:t>the role played by AECSP</w:t>
      </w:r>
      <w:r>
        <w:t xml:space="preserve"> and the </w:t>
      </w:r>
      <w:r w:rsidRPr="004055B8">
        <w:t xml:space="preserve">AANZFTA Support Unit </w:t>
      </w:r>
      <w:r w:rsidR="00530BA8">
        <w:t xml:space="preserve">in facilitating the cooperation and partnerships needed to make AECSP work. The </w:t>
      </w:r>
      <w:r>
        <w:t xml:space="preserve">Free Trade Agreement </w:t>
      </w:r>
      <w:r w:rsidRPr="004055B8">
        <w:t>Joint Committee</w:t>
      </w:r>
      <w:r>
        <w:t xml:space="preserve"> </w:t>
      </w:r>
      <w:r w:rsidR="00530BA8">
        <w:t>Chair noted that AECSP “</w:t>
      </w:r>
      <w:r w:rsidR="00530BA8" w:rsidRPr="004055B8">
        <w:rPr>
          <w:i/>
          <w:lang w:val="en-US"/>
        </w:rPr>
        <w:t xml:space="preserve">is a program that we in ASEAN are trying to emulate under our other </w:t>
      </w:r>
      <w:r>
        <w:rPr>
          <w:i/>
          <w:lang w:val="en-US"/>
        </w:rPr>
        <w:t>free trade agreements</w:t>
      </w:r>
      <w:r w:rsidR="00530BA8">
        <w:t>.” Additional effort is needed</w:t>
      </w:r>
      <w:r w:rsidR="00530BA8" w:rsidRPr="00AC05DB">
        <w:t xml:space="preserve"> to ensure that </w:t>
      </w:r>
      <w:r w:rsidRPr="004055B8">
        <w:t>ASEAN Secretariat</w:t>
      </w:r>
      <w:r w:rsidRPr="004055B8" w:rsidDel="004055B8">
        <w:t xml:space="preserve"> </w:t>
      </w:r>
      <w:r w:rsidR="00530BA8" w:rsidRPr="00AC05DB">
        <w:t xml:space="preserve">leadership </w:t>
      </w:r>
      <w:r>
        <w:t>is</w:t>
      </w:r>
      <w:r w:rsidRPr="00AC05DB">
        <w:t xml:space="preserve"> </w:t>
      </w:r>
      <w:r w:rsidR="00530BA8">
        <w:t>fully</w:t>
      </w:r>
      <w:r w:rsidR="00530BA8" w:rsidRPr="00AC05DB">
        <w:t xml:space="preserve"> aware of </w:t>
      </w:r>
      <w:r w:rsidR="00530BA8">
        <w:t xml:space="preserve">AECSP </w:t>
      </w:r>
      <w:r w:rsidR="00530BA8" w:rsidRPr="00AC05DB">
        <w:t>linkages w</w:t>
      </w:r>
      <w:r w:rsidR="00530BA8">
        <w:t xml:space="preserve">ith </w:t>
      </w:r>
      <w:r>
        <w:t xml:space="preserve">the secretariat’s </w:t>
      </w:r>
      <w:r w:rsidR="00530BA8">
        <w:t>core responsibilities.</w:t>
      </w:r>
    </w:p>
    <w:p w14:paraId="23734385" w14:textId="559BF8F1" w:rsidR="00530BA8" w:rsidRPr="00AC05DB" w:rsidRDefault="00530BA8" w:rsidP="00714B4B">
      <w:pPr>
        <w:ind w:left="426" w:hanging="426"/>
      </w:pPr>
      <w:r w:rsidRPr="00AC05DB">
        <w:fldChar w:fldCharType="begin"/>
      </w:r>
      <w:r w:rsidRPr="00AC05DB">
        <w:instrText xml:space="preserve"> AUTONUM </w:instrText>
      </w:r>
      <w:r w:rsidRPr="00AC05DB">
        <w:fldChar w:fldCharType="end"/>
      </w:r>
      <w:r>
        <w:tab/>
        <w:t xml:space="preserve">Greater effort is still needed to strengthen </w:t>
      </w:r>
      <w:r w:rsidRPr="00AC05DB">
        <w:t xml:space="preserve">AANZFTA </w:t>
      </w:r>
      <w:r>
        <w:t xml:space="preserve">monitoring and evaluation, </w:t>
      </w:r>
      <w:r w:rsidRPr="00AC05DB">
        <w:t>communi</w:t>
      </w:r>
      <w:r w:rsidR="00912DD7">
        <w:t xml:space="preserve">cation and </w:t>
      </w:r>
      <w:r>
        <w:t>outreach</w:t>
      </w:r>
      <w:r w:rsidR="00912DD7">
        <w:t xml:space="preserve"> </w:t>
      </w:r>
      <w:r>
        <w:t>activities</w:t>
      </w:r>
      <w:r w:rsidRPr="00AC05DB">
        <w:t>.</w:t>
      </w:r>
      <w:r>
        <w:t xml:space="preserve"> In particular, more needs to be done to document and disseminate evidence-based arguments </w:t>
      </w:r>
      <w:r w:rsidR="004055B8">
        <w:t xml:space="preserve">on </w:t>
      </w:r>
      <w:r>
        <w:t xml:space="preserve">the link between program-supported activities and results linked to potential trade and development outcomes. It is important that regional and </w:t>
      </w:r>
      <w:r w:rsidR="004055B8" w:rsidRPr="004055B8">
        <w:t>ASEAN Secretariat</w:t>
      </w:r>
      <w:r w:rsidR="004055B8" w:rsidRPr="004055B8" w:rsidDel="004055B8">
        <w:t xml:space="preserve"> </w:t>
      </w:r>
      <w:r>
        <w:t xml:space="preserve">leaders are aware and regularly updated with evidence of the linkages between program activities and intended outcomes. </w:t>
      </w:r>
    </w:p>
    <w:p w14:paraId="17F20A67" w14:textId="6883D9B0" w:rsidR="00530BA8" w:rsidRPr="0088793E" w:rsidRDefault="00530BA8" w:rsidP="00714B4B">
      <w:pPr>
        <w:ind w:left="426" w:hanging="426"/>
      </w:pPr>
      <w:r w:rsidRPr="00AC05DB">
        <w:fldChar w:fldCharType="begin"/>
      </w:r>
      <w:r w:rsidRPr="00AC05DB">
        <w:instrText xml:space="preserve"> AUTONUM </w:instrText>
      </w:r>
      <w:r w:rsidRPr="00AC05DB">
        <w:fldChar w:fldCharType="end"/>
      </w:r>
      <w:r>
        <w:tab/>
      </w:r>
      <w:r w:rsidR="004055B8">
        <w:t>C</w:t>
      </w:r>
      <w:r>
        <w:t xml:space="preserve">ore recommendations </w:t>
      </w:r>
      <w:r w:rsidR="004055B8">
        <w:t xml:space="preserve">from the independent progress review </w:t>
      </w:r>
      <w:r>
        <w:t xml:space="preserve">are </w:t>
      </w:r>
      <w:r w:rsidR="004055B8">
        <w:t xml:space="preserve">summarised </w:t>
      </w:r>
      <w:r>
        <w:t>below. More details are included at the end of this report.</w:t>
      </w:r>
    </w:p>
    <w:p w14:paraId="63A85323" w14:textId="58417F9A" w:rsidR="00565D0E" w:rsidRDefault="00530BA8" w:rsidP="00714B4B">
      <w:pPr>
        <w:pStyle w:val="ListParagraph"/>
        <w:numPr>
          <w:ilvl w:val="0"/>
          <w:numId w:val="62"/>
        </w:numPr>
        <w:ind w:left="1066" w:hanging="357"/>
      </w:pPr>
      <w:r w:rsidRPr="005C416E">
        <w:rPr>
          <w:b/>
        </w:rPr>
        <w:t xml:space="preserve">Strengthen engagement with </w:t>
      </w:r>
      <w:r w:rsidR="0096119C" w:rsidRPr="0096119C">
        <w:rPr>
          <w:b/>
        </w:rPr>
        <w:t>ASEAN Secretariat</w:t>
      </w:r>
      <w:r w:rsidR="0096119C" w:rsidRPr="0096119C" w:rsidDel="0096119C">
        <w:rPr>
          <w:b/>
        </w:rPr>
        <w:t xml:space="preserve"> </w:t>
      </w:r>
      <w:r w:rsidRPr="005C416E">
        <w:rPr>
          <w:b/>
        </w:rPr>
        <w:t>leadership</w:t>
      </w:r>
      <w:r>
        <w:t xml:space="preserve">. </w:t>
      </w:r>
      <w:r w:rsidRPr="0088793E">
        <w:t xml:space="preserve">Strengthen communication between </w:t>
      </w:r>
      <w:r w:rsidR="0096119C" w:rsidRPr="0096119C">
        <w:t>ASEAN Secretariat</w:t>
      </w:r>
      <w:r w:rsidR="0096119C" w:rsidRPr="0096119C" w:rsidDel="0096119C">
        <w:t xml:space="preserve"> </w:t>
      </w:r>
      <w:r w:rsidRPr="0088793E">
        <w:t xml:space="preserve">leadership, AusAID and AANZFTA </w:t>
      </w:r>
      <w:r w:rsidR="00C0034D">
        <w:t xml:space="preserve">parties </w:t>
      </w:r>
      <w:r>
        <w:t xml:space="preserve">around program issues, </w:t>
      </w:r>
      <w:r w:rsidRPr="0088793E">
        <w:t>outcomes and constraints</w:t>
      </w:r>
      <w:r>
        <w:t xml:space="preserve">, </w:t>
      </w:r>
      <w:r w:rsidRPr="0088793E">
        <w:t xml:space="preserve">and the alignment between key AECSP results targets and </w:t>
      </w:r>
      <w:r w:rsidR="0096119C" w:rsidRPr="0088793E">
        <w:t xml:space="preserve">core </w:t>
      </w:r>
      <w:r w:rsidR="0096119C" w:rsidRPr="0096119C">
        <w:t>ASEAN Secretariat</w:t>
      </w:r>
      <w:r w:rsidR="0096119C" w:rsidRPr="0096119C" w:rsidDel="0096119C">
        <w:t xml:space="preserve"> </w:t>
      </w:r>
      <w:r w:rsidRPr="0088793E">
        <w:t>responsibilities.</w:t>
      </w:r>
    </w:p>
    <w:p w14:paraId="473BC2C9" w14:textId="77777777" w:rsidR="00565D0E" w:rsidRPr="00AC05DB" w:rsidRDefault="00565D0E" w:rsidP="00714B4B">
      <w:pPr>
        <w:pStyle w:val="ListParagraph"/>
        <w:ind w:left="1066"/>
      </w:pPr>
    </w:p>
    <w:p w14:paraId="168B4B2C" w14:textId="7BAE09D7" w:rsidR="00565D0E" w:rsidRDefault="00530BA8" w:rsidP="00714B4B">
      <w:pPr>
        <w:pStyle w:val="ListParagraph"/>
        <w:numPr>
          <w:ilvl w:val="0"/>
          <w:numId w:val="62"/>
        </w:numPr>
        <w:ind w:left="1066" w:hanging="357"/>
      </w:pPr>
      <w:r w:rsidRPr="005C416E">
        <w:rPr>
          <w:b/>
        </w:rPr>
        <w:t>AusAID management</w:t>
      </w:r>
      <w:r>
        <w:t>.</w:t>
      </w:r>
      <w:r w:rsidRPr="00AC05DB">
        <w:t xml:space="preserve"> </w:t>
      </w:r>
      <w:r w:rsidR="0096119C">
        <w:t xml:space="preserve">Decentralise </w:t>
      </w:r>
      <w:r w:rsidRPr="0088793E">
        <w:t xml:space="preserve">AECSP </w:t>
      </w:r>
      <w:r>
        <w:t xml:space="preserve">management </w:t>
      </w:r>
      <w:r w:rsidRPr="0088793E">
        <w:t xml:space="preserve">to </w:t>
      </w:r>
      <w:r>
        <w:t>AusAID</w:t>
      </w:r>
      <w:r w:rsidRPr="0088793E">
        <w:t xml:space="preserve"> Jakarta at a pace appropriate to resources and management </w:t>
      </w:r>
      <w:r w:rsidRPr="00140DC6">
        <w:t xml:space="preserve">timeframes, and enhance linkages with other related programs in </w:t>
      </w:r>
      <w:r w:rsidR="0096119C" w:rsidRPr="0096119C">
        <w:t>ASEAN Secretariat</w:t>
      </w:r>
      <w:r w:rsidR="0096119C" w:rsidRPr="0096119C" w:rsidDel="0096119C">
        <w:t xml:space="preserve"> </w:t>
      </w:r>
      <w:r>
        <w:t xml:space="preserve">and </w:t>
      </w:r>
      <w:r w:rsidRPr="00140DC6">
        <w:t>ASEAN countries.</w:t>
      </w:r>
    </w:p>
    <w:p w14:paraId="4810CAAA" w14:textId="77777777" w:rsidR="00565D0E" w:rsidRPr="00140DC6" w:rsidRDefault="00565D0E" w:rsidP="00714B4B">
      <w:pPr>
        <w:pStyle w:val="ListParagraph"/>
        <w:ind w:left="1066"/>
      </w:pPr>
    </w:p>
    <w:p w14:paraId="72A44F36" w14:textId="007C243D" w:rsidR="00530BA8" w:rsidRDefault="00530BA8" w:rsidP="00714B4B">
      <w:pPr>
        <w:pStyle w:val="ListParagraph"/>
        <w:numPr>
          <w:ilvl w:val="0"/>
          <w:numId w:val="62"/>
        </w:numPr>
        <w:ind w:left="1066" w:hanging="357"/>
      </w:pPr>
      <w:r w:rsidRPr="005C416E">
        <w:rPr>
          <w:b/>
        </w:rPr>
        <w:t>Program management and governance</w:t>
      </w:r>
      <w:r>
        <w:t>.</w:t>
      </w:r>
      <w:r w:rsidRPr="00140DC6">
        <w:t xml:space="preserve"> Clarify budget sub-committee responsibilities and authority. Continue to be </w:t>
      </w:r>
      <w:r w:rsidR="0096119C">
        <w:t>steered</w:t>
      </w:r>
      <w:r w:rsidR="0096119C" w:rsidRPr="00140DC6">
        <w:t xml:space="preserve"> </w:t>
      </w:r>
      <w:r w:rsidRPr="00140DC6">
        <w:t xml:space="preserve">by </w:t>
      </w:r>
      <w:r w:rsidR="0096119C" w:rsidRPr="0096119C">
        <w:t>ASEAN Secretariat</w:t>
      </w:r>
      <w:r w:rsidR="0096119C" w:rsidRPr="0096119C" w:rsidDel="0096119C">
        <w:t xml:space="preserve"> </w:t>
      </w:r>
      <w:r w:rsidRPr="00140DC6">
        <w:t>management guidelines</w:t>
      </w:r>
      <w:r>
        <w:t>. C</w:t>
      </w:r>
      <w:r w:rsidRPr="00140DC6">
        <w:t xml:space="preserve">ontinue to </w:t>
      </w:r>
      <w:r w:rsidR="00565D0E">
        <w:t>focus</w:t>
      </w:r>
      <w:r w:rsidRPr="00140DC6">
        <w:t xml:space="preserve"> more </w:t>
      </w:r>
      <w:r w:rsidR="00565D0E">
        <w:t>on</w:t>
      </w:r>
      <w:r w:rsidRPr="00140DC6">
        <w:t xml:space="preserve"> medium-term capacity building </w:t>
      </w:r>
      <w:r w:rsidRPr="00221611">
        <w:t xml:space="preserve">initiatives. </w:t>
      </w:r>
    </w:p>
    <w:p w14:paraId="6D7BF91D" w14:textId="77777777" w:rsidR="00565D0E" w:rsidRPr="00140DC6" w:rsidRDefault="00565D0E" w:rsidP="00714B4B">
      <w:pPr>
        <w:pStyle w:val="ListParagraph"/>
        <w:ind w:left="1066"/>
      </w:pPr>
    </w:p>
    <w:p w14:paraId="247FCD25" w14:textId="0D05D1DF" w:rsidR="00530BA8" w:rsidRDefault="00530BA8" w:rsidP="00714B4B">
      <w:pPr>
        <w:pStyle w:val="ListParagraph"/>
        <w:numPr>
          <w:ilvl w:val="0"/>
          <w:numId w:val="62"/>
        </w:numPr>
        <w:ind w:left="1066" w:hanging="357"/>
      </w:pPr>
      <w:r w:rsidRPr="005C416E">
        <w:rPr>
          <w:b/>
        </w:rPr>
        <w:t xml:space="preserve">Program </w:t>
      </w:r>
      <w:r w:rsidR="0096119C">
        <w:rPr>
          <w:b/>
        </w:rPr>
        <w:t>monitoring and evaluation,</w:t>
      </w:r>
      <w:r w:rsidRPr="005C416E">
        <w:rPr>
          <w:b/>
        </w:rPr>
        <w:t xml:space="preserve"> and communication</w:t>
      </w:r>
      <w:r>
        <w:t>.</w:t>
      </w:r>
      <w:r w:rsidR="005856D4">
        <w:t xml:space="preserve"> </w:t>
      </w:r>
      <w:r w:rsidR="00565D0E">
        <w:t>Better</w:t>
      </w:r>
      <w:r w:rsidRPr="00A06956">
        <w:t xml:space="preserve"> document and disseminate evidence-based arguments </w:t>
      </w:r>
      <w:r w:rsidR="0096119C" w:rsidRPr="00A06956">
        <w:t>o</w:t>
      </w:r>
      <w:r w:rsidR="0096119C">
        <w:t>n</w:t>
      </w:r>
      <w:r w:rsidR="0096119C" w:rsidRPr="00A06956">
        <w:t xml:space="preserve"> </w:t>
      </w:r>
      <w:r w:rsidRPr="00A06956">
        <w:t xml:space="preserve">the link between program-supported activities and results linked to potential development </w:t>
      </w:r>
      <w:r w:rsidRPr="00221611">
        <w:t>outcomes. Develop and implement an AECSP communication s</w:t>
      </w:r>
      <w:r>
        <w:t xml:space="preserve">trategy. </w:t>
      </w:r>
    </w:p>
    <w:p w14:paraId="2BE4396E" w14:textId="77777777" w:rsidR="00565D0E" w:rsidRPr="00221611" w:rsidRDefault="00565D0E" w:rsidP="00714B4B">
      <w:pPr>
        <w:pStyle w:val="ListParagraph"/>
        <w:ind w:left="1066"/>
      </w:pPr>
    </w:p>
    <w:p w14:paraId="55EDC81A" w14:textId="6FC963CD" w:rsidR="00530BA8" w:rsidRDefault="00530BA8" w:rsidP="00714B4B">
      <w:pPr>
        <w:pStyle w:val="ListParagraph"/>
        <w:numPr>
          <w:ilvl w:val="0"/>
          <w:numId w:val="62"/>
        </w:numPr>
        <w:ind w:left="1066" w:hanging="357"/>
      </w:pPr>
      <w:r w:rsidRPr="005C416E">
        <w:rPr>
          <w:b/>
        </w:rPr>
        <w:lastRenderedPageBreak/>
        <w:t>Program duration and scope</w:t>
      </w:r>
      <w:r w:rsidRPr="00AC05DB">
        <w:t>.</w:t>
      </w:r>
      <w:r>
        <w:t xml:space="preserve"> </w:t>
      </w:r>
      <w:r w:rsidRPr="00814BCA">
        <w:rPr>
          <w:lang w:val="en-US"/>
        </w:rPr>
        <w:t xml:space="preserve">Subject to continued </w:t>
      </w:r>
      <w:r>
        <w:rPr>
          <w:lang w:val="en-US"/>
        </w:rPr>
        <w:t>progress</w:t>
      </w:r>
      <w:r w:rsidR="00565D0E">
        <w:rPr>
          <w:lang w:val="en-US"/>
        </w:rPr>
        <w:t xml:space="preserve"> in</w:t>
      </w:r>
      <w:r>
        <w:rPr>
          <w:lang w:val="en-US"/>
        </w:rPr>
        <w:t xml:space="preserve"> </w:t>
      </w:r>
      <w:r w:rsidRPr="00814BCA">
        <w:rPr>
          <w:lang w:val="en-US"/>
        </w:rPr>
        <w:t>measuring, reporting</w:t>
      </w:r>
      <w:r>
        <w:rPr>
          <w:lang w:val="en-US"/>
        </w:rPr>
        <w:t xml:space="preserve"> and communicating</w:t>
      </w:r>
      <w:r w:rsidR="00565D0E">
        <w:rPr>
          <w:lang w:val="en-US"/>
        </w:rPr>
        <w:t xml:space="preserve"> information on outcomes</w:t>
      </w:r>
      <w:r w:rsidR="0096119C">
        <w:rPr>
          <w:lang w:val="en-US"/>
        </w:rPr>
        <w:t>––</w:t>
      </w:r>
      <w:r w:rsidR="00565D0E">
        <w:rPr>
          <w:lang w:val="en-US"/>
        </w:rPr>
        <w:t>and</w:t>
      </w:r>
      <w:r w:rsidRPr="00814BCA">
        <w:rPr>
          <w:lang w:val="en-US"/>
        </w:rPr>
        <w:t xml:space="preserve"> </w:t>
      </w:r>
      <w:r w:rsidR="00565D0E">
        <w:rPr>
          <w:lang w:val="en-US"/>
        </w:rPr>
        <w:t xml:space="preserve">the use of </w:t>
      </w:r>
      <w:r w:rsidRPr="00814BCA">
        <w:rPr>
          <w:lang w:val="en-US"/>
        </w:rPr>
        <w:t xml:space="preserve">more </w:t>
      </w:r>
      <w:r w:rsidR="00565D0E">
        <w:rPr>
          <w:lang w:val="en-US"/>
        </w:rPr>
        <w:t>comprehensive</w:t>
      </w:r>
      <w:r w:rsidRPr="00814BCA">
        <w:rPr>
          <w:lang w:val="en-US"/>
        </w:rPr>
        <w:t xml:space="preserve"> approaches to capacity building</w:t>
      </w:r>
      <w:r w:rsidR="0096119C">
        <w:rPr>
          <w:lang w:val="en-US"/>
        </w:rPr>
        <w:t>––</w:t>
      </w:r>
      <w:r w:rsidRPr="00814BCA">
        <w:rPr>
          <w:lang w:val="en-US"/>
        </w:rPr>
        <w:t>extend the program duration to at least the end of</w:t>
      </w:r>
      <w:r>
        <w:rPr>
          <w:lang w:val="en-US"/>
        </w:rPr>
        <w:t xml:space="preserve"> 2015 with no change in budget.</w:t>
      </w:r>
      <w:r w:rsidRPr="00221611">
        <w:t xml:space="preserve"> Additional resources may be needed in the future depending on </w:t>
      </w:r>
      <w:r>
        <w:t xml:space="preserve">sustained </w:t>
      </w:r>
      <w:r w:rsidRPr="00221611">
        <w:t>demand</w:t>
      </w:r>
      <w:r w:rsidR="0096119C">
        <w:t xml:space="preserve"> and </w:t>
      </w:r>
      <w:r>
        <w:t>progress in providing stronger evidence of development outcomes. Retain flexibility to provide support for economic cooperation agreements that extend beyond AANZFTA. The planned review of AANZFTA will be useful in assessing the need for additional resources.</w:t>
      </w:r>
    </w:p>
    <w:p w14:paraId="5B537FF8" w14:textId="77777777" w:rsidR="0082792B" w:rsidRDefault="0082792B" w:rsidP="00470471"/>
    <w:p w14:paraId="1E22681C" w14:textId="43E81BB3" w:rsidR="00530BA8" w:rsidRPr="007079A2" w:rsidRDefault="00530BA8" w:rsidP="00530BA8">
      <w:pPr>
        <w:pStyle w:val="Heading3"/>
      </w:pPr>
      <w:r>
        <w:t xml:space="preserve">Evaluation </w:t>
      </w:r>
      <w:r w:rsidR="0096119C">
        <w:t>criteria ratings</w:t>
      </w:r>
    </w:p>
    <w:tbl>
      <w:tblPr>
        <w:tblW w:w="8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406"/>
        <w:gridCol w:w="839"/>
        <w:gridCol w:w="6299"/>
      </w:tblGrid>
      <w:tr w:rsidR="00530BA8" w:rsidRPr="00760AA0" w14:paraId="4082415B" w14:textId="77777777" w:rsidTr="00530BA8">
        <w:trPr>
          <w:cantSplit/>
          <w:tblHeader/>
        </w:trPr>
        <w:tc>
          <w:tcPr>
            <w:tcW w:w="1406" w:type="dxa"/>
            <w:shd w:val="clear" w:color="auto" w:fill="E0E0E0"/>
            <w:vAlign w:val="center"/>
          </w:tcPr>
          <w:p w14:paraId="2900CBC5" w14:textId="3A7B85FB" w:rsidR="00530BA8" w:rsidRPr="00760AA0" w:rsidRDefault="00530BA8">
            <w:pPr>
              <w:spacing w:before="0" w:after="0"/>
              <w:jc w:val="center"/>
              <w:rPr>
                <w:b/>
              </w:rPr>
            </w:pPr>
            <w:r w:rsidRPr="00760AA0">
              <w:rPr>
                <w:b/>
              </w:rPr>
              <w:t xml:space="preserve">Evaluation </w:t>
            </w:r>
            <w:r w:rsidR="0096119C">
              <w:rPr>
                <w:b/>
              </w:rPr>
              <w:t>c</w:t>
            </w:r>
            <w:r w:rsidR="0096119C" w:rsidRPr="00760AA0">
              <w:rPr>
                <w:b/>
              </w:rPr>
              <w:t>riteria</w:t>
            </w:r>
          </w:p>
        </w:tc>
        <w:tc>
          <w:tcPr>
            <w:tcW w:w="839" w:type="dxa"/>
            <w:shd w:val="clear" w:color="auto" w:fill="E0E0E0"/>
            <w:vAlign w:val="center"/>
          </w:tcPr>
          <w:p w14:paraId="1E9616FD" w14:textId="77777777" w:rsidR="00530BA8" w:rsidRPr="00760AA0" w:rsidRDefault="00530BA8" w:rsidP="00530BA8">
            <w:pPr>
              <w:spacing w:before="0" w:after="0"/>
              <w:jc w:val="center"/>
              <w:rPr>
                <w:b/>
              </w:rPr>
            </w:pPr>
            <w:r w:rsidRPr="00760AA0">
              <w:rPr>
                <w:b/>
              </w:rPr>
              <w:t>Rating (1-6)</w:t>
            </w:r>
          </w:p>
        </w:tc>
        <w:tc>
          <w:tcPr>
            <w:tcW w:w="6299" w:type="dxa"/>
            <w:shd w:val="clear" w:color="auto" w:fill="E0E0E0"/>
            <w:vAlign w:val="center"/>
          </w:tcPr>
          <w:p w14:paraId="7EFCBA41" w14:textId="77777777" w:rsidR="00530BA8" w:rsidRPr="00760AA0" w:rsidRDefault="00530BA8" w:rsidP="00530BA8">
            <w:pPr>
              <w:spacing w:before="0" w:after="0"/>
              <w:jc w:val="center"/>
              <w:rPr>
                <w:b/>
              </w:rPr>
            </w:pPr>
            <w:r w:rsidRPr="00760AA0">
              <w:rPr>
                <w:b/>
              </w:rPr>
              <w:t>Explanation</w:t>
            </w:r>
          </w:p>
        </w:tc>
      </w:tr>
      <w:tr w:rsidR="00530BA8" w:rsidRPr="00760AA0" w14:paraId="3ACAD184" w14:textId="77777777" w:rsidTr="00530BA8">
        <w:trPr>
          <w:cantSplit/>
        </w:trPr>
        <w:tc>
          <w:tcPr>
            <w:tcW w:w="1406" w:type="dxa"/>
            <w:shd w:val="clear" w:color="auto" w:fill="auto"/>
          </w:tcPr>
          <w:p w14:paraId="60120FB5" w14:textId="77777777" w:rsidR="00530BA8" w:rsidRPr="007F2CDC" w:rsidRDefault="00530BA8" w:rsidP="00530BA8">
            <w:pPr>
              <w:spacing w:before="40" w:after="0"/>
            </w:pPr>
            <w:r>
              <w:t>Relevance</w:t>
            </w:r>
          </w:p>
        </w:tc>
        <w:tc>
          <w:tcPr>
            <w:tcW w:w="839" w:type="dxa"/>
            <w:shd w:val="clear" w:color="auto" w:fill="auto"/>
          </w:tcPr>
          <w:p w14:paraId="2FF16FD1" w14:textId="77777777" w:rsidR="00530BA8" w:rsidRPr="007F2CDC" w:rsidRDefault="00530BA8" w:rsidP="00530BA8">
            <w:pPr>
              <w:spacing w:before="40" w:after="0"/>
              <w:jc w:val="center"/>
            </w:pPr>
            <w:r>
              <w:t>5</w:t>
            </w:r>
          </w:p>
        </w:tc>
        <w:tc>
          <w:tcPr>
            <w:tcW w:w="6299" w:type="dxa"/>
            <w:shd w:val="clear" w:color="auto" w:fill="auto"/>
          </w:tcPr>
          <w:p w14:paraId="5C5B6F54" w14:textId="20C67E6C" w:rsidR="00530BA8" w:rsidRPr="007F2CDC" w:rsidRDefault="00530BA8" w:rsidP="00E2495A">
            <w:pPr>
              <w:spacing w:before="40" w:after="0"/>
              <w:rPr>
                <w:b/>
                <w:bCs/>
                <w:color w:val="4F81BD" w:themeColor="accent1"/>
                <w:sz w:val="18"/>
              </w:rPr>
            </w:pPr>
            <w:r w:rsidRPr="00593580">
              <w:t>The program supports activities that are closely aligned with AANZFTA’s</w:t>
            </w:r>
            <w:r>
              <w:t xml:space="preserve"> F</w:t>
            </w:r>
            <w:r w:rsidR="0096119C">
              <w:t xml:space="preserve">ree </w:t>
            </w:r>
            <w:r>
              <w:t>T</w:t>
            </w:r>
            <w:r w:rsidR="0096119C">
              <w:t xml:space="preserve">rade </w:t>
            </w:r>
            <w:r>
              <w:t>A</w:t>
            </w:r>
            <w:r w:rsidR="0096119C">
              <w:t>greement</w:t>
            </w:r>
            <w:r>
              <w:t xml:space="preserve"> Joint Committee and</w:t>
            </w:r>
            <w:r w:rsidR="0096119C">
              <w:t xml:space="preserve"> </w:t>
            </w:r>
            <w:r w:rsidR="0096119C" w:rsidRPr="0096119C">
              <w:t>ASEAN member state</w:t>
            </w:r>
            <w:r w:rsidR="0096119C" w:rsidRPr="0096119C" w:rsidDel="0096119C">
              <w:t xml:space="preserve"> </w:t>
            </w:r>
            <w:r w:rsidRPr="00593580">
              <w:t xml:space="preserve">priorities. </w:t>
            </w:r>
            <w:r>
              <w:t xml:space="preserve">However, </w:t>
            </w:r>
            <w:r w:rsidR="0096119C" w:rsidRPr="0096119C">
              <w:t>ASEAN Secretariat</w:t>
            </w:r>
            <w:r w:rsidR="0096119C" w:rsidRPr="0096119C" w:rsidDel="0096119C">
              <w:t xml:space="preserve"> </w:t>
            </w:r>
            <w:r w:rsidR="00A8315E">
              <w:t xml:space="preserve">leadership </w:t>
            </w:r>
            <w:r>
              <w:t>does not always see AECSP activities as relevant.</w:t>
            </w:r>
            <w:r w:rsidR="005856D4">
              <w:t xml:space="preserve"> </w:t>
            </w:r>
            <w:r>
              <w:t xml:space="preserve">This issue may well be resolved with better two-way communication. </w:t>
            </w:r>
          </w:p>
        </w:tc>
      </w:tr>
      <w:tr w:rsidR="00530BA8" w:rsidRPr="00760AA0" w14:paraId="3A1669BB" w14:textId="77777777" w:rsidTr="00530BA8">
        <w:trPr>
          <w:cantSplit/>
        </w:trPr>
        <w:tc>
          <w:tcPr>
            <w:tcW w:w="1406" w:type="dxa"/>
            <w:shd w:val="clear" w:color="auto" w:fill="auto"/>
          </w:tcPr>
          <w:p w14:paraId="11D4934A" w14:textId="77777777" w:rsidR="00530BA8" w:rsidRPr="007F2CDC" w:rsidRDefault="00530BA8" w:rsidP="00530BA8">
            <w:pPr>
              <w:spacing w:before="40" w:after="0"/>
            </w:pPr>
            <w:r>
              <w:t>Effectiveness</w:t>
            </w:r>
          </w:p>
        </w:tc>
        <w:tc>
          <w:tcPr>
            <w:tcW w:w="839" w:type="dxa"/>
            <w:shd w:val="clear" w:color="auto" w:fill="auto"/>
          </w:tcPr>
          <w:p w14:paraId="23234BA9" w14:textId="77777777" w:rsidR="00530BA8" w:rsidRPr="007F2CDC" w:rsidRDefault="00530BA8" w:rsidP="00530BA8">
            <w:pPr>
              <w:spacing w:before="40" w:after="0"/>
              <w:jc w:val="center"/>
            </w:pPr>
            <w:r>
              <w:t>4</w:t>
            </w:r>
          </w:p>
        </w:tc>
        <w:tc>
          <w:tcPr>
            <w:tcW w:w="6299" w:type="dxa"/>
            <w:shd w:val="clear" w:color="auto" w:fill="auto"/>
          </w:tcPr>
          <w:p w14:paraId="1C1A5AB4" w14:textId="77777777" w:rsidR="00530BA8" w:rsidRPr="007F2CDC" w:rsidRDefault="00530BA8" w:rsidP="00530BA8">
            <w:pPr>
              <w:spacing w:before="40" w:after="0"/>
            </w:pPr>
            <w:r>
              <w:t>Despite a slower than planned start, AECSP is likely to achieve most core goals related to effective implementation of AANZFTA (even if business awareness was reported to be relatively modest). AECSP has been particularly effective in building regional partnerships to address practical barriers to enhanced economic cooperation.</w:t>
            </w:r>
            <w:r w:rsidRPr="002915C2">
              <w:rPr>
                <w:lang w:eastAsia="en-AU"/>
              </w:rPr>
              <w:t xml:space="preserve"> Progress in implementing </w:t>
            </w:r>
            <w:r>
              <w:rPr>
                <w:lang w:eastAsia="en-AU"/>
              </w:rPr>
              <w:t xml:space="preserve">planned </w:t>
            </w:r>
            <w:r w:rsidRPr="002915C2">
              <w:rPr>
                <w:lang w:eastAsia="en-AU"/>
              </w:rPr>
              <w:t xml:space="preserve">activities related to communication, outreach efforts and in evaluating the impact of AANZFTA and AECSP activities has been </w:t>
            </w:r>
            <w:r>
              <w:rPr>
                <w:lang w:eastAsia="en-AU"/>
              </w:rPr>
              <w:t>more mixed</w:t>
            </w:r>
            <w:r w:rsidRPr="002915C2">
              <w:rPr>
                <w:lang w:eastAsia="en-AU"/>
              </w:rPr>
              <w:t>.</w:t>
            </w:r>
          </w:p>
        </w:tc>
      </w:tr>
      <w:tr w:rsidR="00530BA8" w:rsidRPr="00760AA0" w14:paraId="689D1071" w14:textId="77777777" w:rsidTr="00530BA8">
        <w:trPr>
          <w:cantSplit/>
        </w:trPr>
        <w:tc>
          <w:tcPr>
            <w:tcW w:w="1406" w:type="dxa"/>
            <w:shd w:val="clear" w:color="auto" w:fill="auto"/>
          </w:tcPr>
          <w:p w14:paraId="08E30992" w14:textId="77777777" w:rsidR="00530BA8" w:rsidRPr="00714B4B" w:rsidRDefault="00530BA8" w:rsidP="00530BA8">
            <w:pPr>
              <w:spacing w:before="40" w:after="0"/>
            </w:pPr>
            <w:r w:rsidRPr="00A8315E">
              <w:t>Efficiency</w:t>
            </w:r>
          </w:p>
        </w:tc>
        <w:tc>
          <w:tcPr>
            <w:tcW w:w="839" w:type="dxa"/>
            <w:shd w:val="clear" w:color="auto" w:fill="auto"/>
          </w:tcPr>
          <w:p w14:paraId="08F2E954" w14:textId="77777777" w:rsidR="00530BA8" w:rsidRPr="00714B4B" w:rsidRDefault="00530BA8" w:rsidP="00530BA8">
            <w:pPr>
              <w:spacing w:before="40" w:after="0"/>
              <w:jc w:val="center"/>
            </w:pPr>
            <w:r w:rsidRPr="00A8315E">
              <w:t>5</w:t>
            </w:r>
          </w:p>
        </w:tc>
        <w:tc>
          <w:tcPr>
            <w:tcW w:w="6299" w:type="dxa"/>
            <w:shd w:val="clear" w:color="auto" w:fill="auto"/>
          </w:tcPr>
          <w:p w14:paraId="69EDF356" w14:textId="67E35C5A" w:rsidR="00530BA8" w:rsidRPr="007F2CDC" w:rsidRDefault="00530BA8" w:rsidP="00714B4B">
            <w:pPr>
              <w:spacing w:before="40" w:after="0"/>
              <w:rPr>
                <w:b/>
                <w:bCs/>
                <w:color w:val="4F81BD" w:themeColor="accent1"/>
                <w:sz w:val="18"/>
              </w:rPr>
            </w:pPr>
            <w:r w:rsidRPr="00A8315E">
              <w:rPr>
                <w:lang w:eastAsia="en-AU"/>
              </w:rPr>
              <w:t xml:space="preserve">Delays in AECSP start-up undermined efficiency in the early stages, but the </w:t>
            </w:r>
            <w:r w:rsidR="0096119C" w:rsidRPr="00A8315E">
              <w:rPr>
                <w:lang w:eastAsia="en-AU"/>
              </w:rPr>
              <w:t xml:space="preserve">AANZFTA Support Unit </w:t>
            </w:r>
            <w:r w:rsidRPr="00A8315E">
              <w:rPr>
                <w:lang w:eastAsia="en-AU"/>
              </w:rPr>
              <w:t>addressed problems encountered</w:t>
            </w:r>
            <w:r w:rsidR="00714B4B">
              <w:rPr>
                <w:lang w:eastAsia="en-AU"/>
              </w:rPr>
              <w:t xml:space="preserve"> in a pragmatic manner</w:t>
            </w:r>
            <w:r w:rsidRPr="00A8315E">
              <w:rPr>
                <w:lang w:eastAsia="en-AU"/>
              </w:rPr>
              <w:t xml:space="preserve">. AECSP seeks to </w:t>
            </w:r>
            <w:r w:rsidR="0096119C" w:rsidRPr="00A8315E">
              <w:rPr>
                <w:lang w:eastAsia="en-AU"/>
              </w:rPr>
              <w:t xml:space="preserve">minimise </w:t>
            </w:r>
            <w:r w:rsidRPr="00A8315E">
              <w:rPr>
                <w:lang w:eastAsia="en-AU"/>
              </w:rPr>
              <w:t xml:space="preserve">transaction costs </w:t>
            </w:r>
            <w:r w:rsidR="0096119C" w:rsidRPr="00A8315E">
              <w:rPr>
                <w:lang w:eastAsia="en-AU"/>
              </w:rPr>
              <w:t xml:space="preserve">by </w:t>
            </w:r>
            <w:r w:rsidRPr="00A8315E">
              <w:rPr>
                <w:lang w:eastAsia="en-AU"/>
              </w:rPr>
              <w:t>integrati</w:t>
            </w:r>
            <w:r w:rsidR="0096119C" w:rsidRPr="00A8315E">
              <w:rPr>
                <w:lang w:eastAsia="en-AU"/>
              </w:rPr>
              <w:t>ng with ASEAN Secretariat</w:t>
            </w:r>
            <w:r w:rsidR="0096119C" w:rsidRPr="00A8315E" w:rsidDel="0096119C">
              <w:rPr>
                <w:lang w:eastAsia="en-AU"/>
              </w:rPr>
              <w:t xml:space="preserve"> </w:t>
            </w:r>
            <w:r w:rsidRPr="00A8315E">
              <w:rPr>
                <w:lang w:eastAsia="en-AU"/>
              </w:rPr>
              <w:t>systems and coordinating program activities with ongoing ASEAN working agendas</w:t>
            </w:r>
            <w:r w:rsidR="00714B4B">
              <w:rPr>
                <w:lang w:eastAsia="en-AU"/>
              </w:rPr>
              <w:t xml:space="preserve"> to the extent feasible</w:t>
            </w:r>
            <w:r w:rsidRPr="00A8315E">
              <w:rPr>
                <w:lang w:eastAsia="en-AU"/>
              </w:rPr>
              <w:t xml:space="preserve">. Special </w:t>
            </w:r>
            <w:r w:rsidR="00714B4B">
              <w:rPr>
                <w:lang w:eastAsia="en-AU"/>
              </w:rPr>
              <w:t xml:space="preserve">services </w:t>
            </w:r>
            <w:r w:rsidRPr="00A8315E">
              <w:rPr>
                <w:lang w:eastAsia="en-AU"/>
              </w:rPr>
              <w:t xml:space="preserve">agreements with designated service providers are </w:t>
            </w:r>
            <w:r w:rsidR="00714B4B">
              <w:rPr>
                <w:lang w:eastAsia="en-AU"/>
              </w:rPr>
              <w:t xml:space="preserve">seen as </w:t>
            </w:r>
            <w:r w:rsidRPr="00A8315E">
              <w:rPr>
                <w:lang w:eastAsia="en-AU"/>
              </w:rPr>
              <w:t xml:space="preserve">useful </w:t>
            </w:r>
            <w:r w:rsidR="00714B4B">
              <w:rPr>
                <w:lang w:eastAsia="en-AU"/>
              </w:rPr>
              <w:t>in</w:t>
            </w:r>
            <w:r w:rsidR="0096119C" w:rsidRPr="00A8315E">
              <w:rPr>
                <w:lang w:eastAsia="en-AU"/>
              </w:rPr>
              <w:t xml:space="preserve"> </w:t>
            </w:r>
            <w:r w:rsidRPr="00A8315E">
              <w:rPr>
                <w:lang w:eastAsia="en-AU"/>
              </w:rPr>
              <w:t>facilitat</w:t>
            </w:r>
            <w:r w:rsidR="00714B4B">
              <w:rPr>
                <w:lang w:eastAsia="en-AU"/>
              </w:rPr>
              <w:t xml:space="preserve">ing </w:t>
            </w:r>
            <w:r w:rsidRPr="00A8315E">
              <w:rPr>
                <w:lang w:eastAsia="en-AU"/>
              </w:rPr>
              <w:t>more timely and efficient delivery of activities.</w:t>
            </w:r>
          </w:p>
        </w:tc>
      </w:tr>
      <w:tr w:rsidR="00530BA8" w:rsidRPr="00760AA0" w14:paraId="7FF9A68A" w14:textId="77777777" w:rsidTr="00530BA8">
        <w:trPr>
          <w:cantSplit/>
        </w:trPr>
        <w:tc>
          <w:tcPr>
            <w:tcW w:w="1406" w:type="dxa"/>
            <w:shd w:val="clear" w:color="auto" w:fill="auto"/>
          </w:tcPr>
          <w:p w14:paraId="6C8CB5F6" w14:textId="77777777" w:rsidR="00530BA8" w:rsidRPr="00714B4B" w:rsidRDefault="00530BA8" w:rsidP="00530BA8">
            <w:pPr>
              <w:spacing w:before="40" w:after="0"/>
            </w:pPr>
            <w:r w:rsidRPr="00A8315E">
              <w:t>Sustainability</w:t>
            </w:r>
          </w:p>
        </w:tc>
        <w:tc>
          <w:tcPr>
            <w:tcW w:w="839" w:type="dxa"/>
            <w:shd w:val="clear" w:color="auto" w:fill="auto"/>
          </w:tcPr>
          <w:p w14:paraId="6D2D8252" w14:textId="77777777" w:rsidR="00530BA8" w:rsidRPr="00714B4B" w:rsidRDefault="00530BA8" w:rsidP="00530BA8">
            <w:pPr>
              <w:spacing w:before="40" w:after="0"/>
              <w:jc w:val="center"/>
            </w:pPr>
            <w:r w:rsidRPr="00A8315E">
              <w:t>4</w:t>
            </w:r>
          </w:p>
        </w:tc>
        <w:tc>
          <w:tcPr>
            <w:tcW w:w="6299" w:type="dxa"/>
            <w:shd w:val="clear" w:color="auto" w:fill="auto"/>
          </w:tcPr>
          <w:p w14:paraId="05ED699F" w14:textId="0506AA66" w:rsidR="00530BA8" w:rsidRPr="007F2CDC" w:rsidRDefault="00530BA8" w:rsidP="00195609">
            <w:pPr>
              <w:spacing w:before="40" w:after="0"/>
            </w:pPr>
            <w:r w:rsidRPr="00A8315E">
              <w:t xml:space="preserve">There is generally strong ownership of AECSP activities by project proponents and </w:t>
            </w:r>
            <w:r w:rsidR="0096119C" w:rsidRPr="00A8315E">
              <w:t xml:space="preserve">Free Trade Agreement Joint Committee </w:t>
            </w:r>
            <w:r w:rsidRPr="00A8315E">
              <w:t>members</w:t>
            </w:r>
            <w:r w:rsidR="0096119C" w:rsidRPr="00A8315E">
              <w:t xml:space="preserve">, so </w:t>
            </w:r>
            <w:r w:rsidRPr="00A8315E">
              <w:t xml:space="preserve">most outcomes are likely to be sustained. However, sustained </w:t>
            </w:r>
            <w:r w:rsidR="0096119C" w:rsidRPr="00A8315E">
              <w:rPr>
                <w:lang w:eastAsia="en-AU"/>
              </w:rPr>
              <w:t>ASEAN Secretariat</w:t>
            </w:r>
            <w:r w:rsidR="0096119C" w:rsidRPr="00A8315E" w:rsidDel="0096119C">
              <w:rPr>
                <w:lang w:eastAsia="en-AU"/>
              </w:rPr>
              <w:t xml:space="preserve"> </w:t>
            </w:r>
            <w:r w:rsidRPr="00A8315E">
              <w:t xml:space="preserve">ownership depends on </w:t>
            </w:r>
            <w:r w:rsidR="0096119C" w:rsidRPr="00A8315E">
              <w:t xml:space="preserve">its </w:t>
            </w:r>
            <w:r w:rsidRPr="00A8315E">
              <w:t xml:space="preserve">leadership being kept informed </w:t>
            </w:r>
            <w:r w:rsidR="0096119C" w:rsidRPr="00A8315E">
              <w:t>about</w:t>
            </w:r>
            <w:r w:rsidRPr="00A8315E">
              <w:t xml:space="preserve"> how AECSP activities complement </w:t>
            </w:r>
            <w:r w:rsidR="0096119C" w:rsidRPr="00A8315E">
              <w:rPr>
                <w:lang w:eastAsia="en-AU"/>
              </w:rPr>
              <w:t>the secretariat’s</w:t>
            </w:r>
            <w:r w:rsidR="0096119C" w:rsidRPr="00A8315E" w:rsidDel="0096119C">
              <w:rPr>
                <w:lang w:eastAsia="en-AU"/>
              </w:rPr>
              <w:t xml:space="preserve"> </w:t>
            </w:r>
            <w:r w:rsidRPr="00A8315E">
              <w:t>core business.</w:t>
            </w:r>
            <w:r>
              <w:t xml:space="preserve"> </w:t>
            </w:r>
          </w:p>
        </w:tc>
      </w:tr>
      <w:tr w:rsidR="00530BA8" w:rsidRPr="00760AA0" w14:paraId="52635B3C" w14:textId="77777777" w:rsidTr="00530BA8">
        <w:trPr>
          <w:cantSplit/>
        </w:trPr>
        <w:tc>
          <w:tcPr>
            <w:tcW w:w="1406" w:type="dxa"/>
            <w:shd w:val="clear" w:color="auto" w:fill="auto"/>
          </w:tcPr>
          <w:p w14:paraId="2776FBAA" w14:textId="6BC3C20D" w:rsidR="00530BA8" w:rsidRPr="007F2CDC" w:rsidRDefault="00530BA8">
            <w:pPr>
              <w:spacing w:before="40" w:after="0"/>
            </w:pPr>
            <w:r>
              <w:t xml:space="preserve">Gender </w:t>
            </w:r>
            <w:r w:rsidR="004237BD">
              <w:t>equality</w:t>
            </w:r>
          </w:p>
        </w:tc>
        <w:tc>
          <w:tcPr>
            <w:tcW w:w="839" w:type="dxa"/>
            <w:shd w:val="clear" w:color="auto" w:fill="auto"/>
          </w:tcPr>
          <w:p w14:paraId="1AA1623B" w14:textId="77777777" w:rsidR="00530BA8" w:rsidRPr="007F2CDC" w:rsidRDefault="00530BA8" w:rsidP="00530BA8">
            <w:pPr>
              <w:spacing w:before="40" w:after="0"/>
              <w:jc w:val="center"/>
            </w:pPr>
            <w:r>
              <w:t>3</w:t>
            </w:r>
          </w:p>
        </w:tc>
        <w:tc>
          <w:tcPr>
            <w:tcW w:w="6299" w:type="dxa"/>
            <w:shd w:val="clear" w:color="auto" w:fill="auto"/>
          </w:tcPr>
          <w:p w14:paraId="3C423120" w14:textId="3801D1B8" w:rsidR="00530BA8" w:rsidRPr="007F2CDC" w:rsidRDefault="0096119C">
            <w:pPr>
              <w:spacing w:before="40" w:after="0"/>
            </w:pPr>
            <w:r>
              <w:t xml:space="preserve">There has been </w:t>
            </w:r>
            <w:r w:rsidR="00530BA8">
              <w:t>l</w:t>
            </w:r>
            <w:r w:rsidR="00530BA8" w:rsidRPr="00885A53">
              <w:t xml:space="preserve">imited </w:t>
            </w:r>
            <w:r w:rsidR="00530BA8">
              <w:t>focus</w:t>
            </w:r>
            <w:r w:rsidR="00530BA8" w:rsidRPr="00885A53">
              <w:t xml:space="preserve"> </w:t>
            </w:r>
            <w:r>
              <w:t>on</w:t>
            </w:r>
            <w:r w:rsidR="00530BA8" w:rsidRPr="00885A53">
              <w:t xml:space="preserve"> gender </w:t>
            </w:r>
            <w:r w:rsidR="00530BA8">
              <w:t>equity</w:t>
            </w:r>
            <w:r w:rsidR="00530BA8" w:rsidRPr="00885A53">
              <w:t xml:space="preserve"> issues. This </w:t>
            </w:r>
            <w:r w:rsidR="00530BA8">
              <w:t>partly</w:t>
            </w:r>
            <w:r w:rsidR="00530BA8" w:rsidRPr="00885A53">
              <w:t xml:space="preserve"> reflects </w:t>
            </w:r>
            <w:r w:rsidR="00530BA8">
              <w:t>difficulties</w:t>
            </w:r>
            <w:r w:rsidR="00530BA8" w:rsidRPr="00885A53">
              <w:t xml:space="preserve"> in efficiently factoring gender issues into technical regional integration </w:t>
            </w:r>
            <w:r w:rsidR="00530BA8">
              <w:t>activities. G</w:t>
            </w:r>
            <w:r w:rsidR="00530BA8" w:rsidRPr="00885A53">
              <w:t xml:space="preserve">ender related integration issues are </w:t>
            </w:r>
            <w:r w:rsidR="00530BA8">
              <w:t xml:space="preserve">sometimes </w:t>
            </w:r>
            <w:r w:rsidR="00530BA8" w:rsidRPr="00885A53">
              <w:t>more effectively addressed in country a</w:t>
            </w:r>
            <w:r w:rsidR="00530BA8">
              <w:t>nd sector specific activities. However t</w:t>
            </w:r>
            <w:r w:rsidR="00530BA8" w:rsidRPr="00885A53">
              <w:t xml:space="preserve">here is scope to build </w:t>
            </w:r>
            <w:r w:rsidR="00530BA8">
              <w:t>AECSP and partner</w:t>
            </w:r>
            <w:r w:rsidR="00530BA8" w:rsidRPr="00885A53">
              <w:t xml:space="preserve"> awareness to seek opportunities to address gender issues during regional consultations and capacity building activities</w:t>
            </w:r>
            <w:r w:rsidR="00530BA8">
              <w:t>.</w:t>
            </w:r>
          </w:p>
        </w:tc>
      </w:tr>
      <w:tr w:rsidR="00530BA8" w:rsidRPr="00760AA0" w14:paraId="122DD677" w14:textId="77777777" w:rsidTr="00530BA8">
        <w:trPr>
          <w:cantSplit/>
        </w:trPr>
        <w:tc>
          <w:tcPr>
            <w:tcW w:w="1406" w:type="dxa"/>
            <w:shd w:val="clear" w:color="auto" w:fill="auto"/>
          </w:tcPr>
          <w:p w14:paraId="48AFF8FE" w14:textId="3511C8DB" w:rsidR="00530BA8" w:rsidRPr="007F2CDC" w:rsidRDefault="00530BA8">
            <w:pPr>
              <w:spacing w:before="40" w:after="0"/>
            </w:pPr>
            <w:r>
              <w:lastRenderedPageBreak/>
              <w:t xml:space="preserve">Monitoring </w:t>
            </w:r>
            <w:r w:rsidR="004237BD">
              <w:t xml:space="preserve">and evaluation </w:t>
            </w:r>
          </w:p>
        </w:tc>
        <w:tc>
          <w:tcPr>
            <w:tcW w:w="839" w:type="dxa"/>
            <w:shd w:val="clear" w:color="auto" w:fill="auto"/>
          </w:tcPr>
          <w:p w14:paraId="21F00D34" w14:textId="77777777" w:rsidR="00530BA8" w:rsidRPr="007F2CDC" w:rsidRDefault="00530BA8" w:rsidP="00530BA8">
            <w:pPr>
              <w:spacing w:before="40" w:after="0"/>
              <w:jc w:val="center"/>
            </w:pPr>
            <w:r>
              <w:t>3</w:t>
            </w:r>
          </w:p>
        </w:tc>
        <w:tc>
          <w:tcPr>
            <w:tcW w:w="6299" w:type="dxa"/>
            <w:shd w:val="clear" w:color="auto" w:fill="auto"/>
          </w:tcPr>
          <w:p w14:paraId="11375112" w14:textId="44155459" w:rsidR="00530BA8" w:rsidRPr="00FC013C" w:rsidRDefault="00530BA8">
            <w:pPr>
              <w:spacing w:before="40" w:after="0"/>
            </w:pPr>
            <w:r w:rsidRPr="00FC013C">
              <w:t xml:space="preserve">Progress with </w:t>
            </w:r>
            <w:r w:rsidR="004237BD">
              <w:t>monitoring and evaluation</w:t>
            </w:r>
            <w:r w:rsidRPr="00FC013C">
              <w:t xml:space="preserve"> </w:t>
            </w:r>
            <w:r>
              <w:t>was initially</w:t>
            </w:r>
            <w:r w:rsidRPr="00FC013C">
              <w:t xml:space="preserve"> slow.</w:t>
            </w:r>
            <w:r>
              <w:t xml:space="preserve"> </w:t>
            </w:r>
            <w:r w:rsidRPr="00FC013C">
              <w:t>More needs to be done to assess likely contributions of project outputs to broader national and regional efforts to boost trade, investment and employment. Steps have been taken to more systematically understand what impact capacity building is having on participants</w:t>
            </w:r>
            <w:r>
              <w:t xml:space="preserve">, and to better document and communicate results. There are good prospects for the </w:t>
            </w:r>
            <w:r w:rsidR="004237BD">
              <w:t>monitoring and evaluation</w:t>
            </w:r>
            <w:r w:rsidR="004237BD" w:rsidRPr="00FC013C">
              <w:t xml:space="preserve"> </w:t>
            </w:r>
            <w:r>
              <w:t>rating to be increased by next year</w:t>
            </w:r>
            <w:r w:rsidRPr="00FC013C">
              <w:t>.</w:t>
            </w:r>
          </w:p>
        </w:tc>
      </w:tr>
      <w:tr w:rsidR="00530BA8" w:rsidRPr="00760AA0" w14:paraId="5B0AE3F0" w14:textId="77777777" w:rsidTr="00530BA8">
        <w:trPr>
          <w:cantSplit/>
        </w:trPr>
        <w:tc>
          <w:tcPr>
            <w:tcW w:w="1406" w:type="dxa"/>
            <w:shd w:val="clear" w:color="auto" w:fill="auto"/>
          </w:tcPr>
          <w:p w14:paraId="03894C2E" w14:textId="391A6F65" w:rsidR="00530BA8" w:rsidRPr="007F2CDC" w:rsidRDefault="00530BA8">
            <w:pPr>
              <w:spacing w:before="40" w:after="0"/>
            </w:pPr>
            <w:r w:rsidRPr="006B231B">
              <w:t xml:space="preserve">Analysis </w:t>
            </w:r>
            <w:r w:rsidR="004237BD">
              <w:t>and</w:t>
            </w:r>
            <w:r w:rsidR="004237BD" w:rsidRPr="006B231B">
              <w:t xml:space="preserve"> </w:t>
            </w:r>
            <w:r w:rsidR="004237BD">
              <w:t>l</w:t>
            </w:r>
            <w:r w:rsidR="004237BD" w:rsidRPr="006B231B">
              <w:t>earning</w:t>
            </w:r>
          </w:p>
        </w:tc>
        <w:tc>
          <w:tcPr>
            <w:tcW w:w="839" w:type="dxa"/>
            <w:shd w:val="clear" w:color="auto" w:fill="auto"/>
          </w:tcPr>
          <w:p w14:paraId="453C35FC" w14:textId="77777777" w:rsidR="00530BA8" w:rsidRPr="007F2CDC" w:rsidRDefault="00530BA8" w:rsidP="00530BA8">
            <w:pPr>
              <w:spacing w:before="40" w:after="0"/>
              <w:jc w:val="center"/>
            </w:pPr>
            <w:r>
              <w:t>4</w:t>
            </w:r>
          </w:p>
        </w:tc>
        <w:tc>
          <w:tcPr>
            <w:tcW w:w="6299" w:type="dxa"/>
            <w:shd w:val="clear" w:color="auto" w:fill="auto"/>
          </w:tcPr>
          <w:p w14:paraId="31EFE402" w14:textId="660A8D04" w:rsidR="00530BA8" w:rsidRPr="007F2CDC" w:rsidRDefault="00530BA8">
            <w:pPr>
              <w:spacing w:before="40" w:after="0"/>
            </w:pPr>
            <w:r w:rsidRPr="00FC013C">
              <w:rPr>
                <w:lang w:val="en-US"/>
              </w:rPr>
              <w:t xml:space="preserve">The </w:t>
            </w:r>
            <w:r w:rsidR="004237BD" w:rsidRPr="004237BD">
              <w:t xml:space="preserve">AANZFTA Support Unit </w:t>
            </w:r>
            <w:r w:rsidRPr="00FC013C">
              <w:rPr>
                <w:lang w:val="en-US"/>
              </w:rPr>
              <w:t>has effective</w:t>
            </w:r>
            <w:r w:rsidR="004237BD">
              <w:rPr>
                <w:lang w:val="en-US"/>
              </w:rPr>
              <w:t>ly</w:t>
            </w:r>
            <w:r w:rsidRPr="00FC013C">
              <w:rPr>
                <w:lang w:val="en-US"/>
              </w:rPr>
              <w:t xml:space="preserve"> identif</w:t>
            </w:r>
            <w:r w:rsidR="004237BD">
              <w:rPr>
                <w:lang w:val="en-US"/>
              </w:rPr>
              <w:t xml:space="preserve">ied </w:t>
            </w:r>
            <w:r w:rsidRPr="00FC013C">
              <w:rPr>
                <w:lang w:val="en-US"/>
              </w:rPr>
              <w:t>and address</w:t>
            </w:r>
            <w:r w:rsidR="004237BD">
              <w:rPr>
                <w:lang w:val="en-US"/>
              </w:rPr>
              <w:t xml:space="preserve">ed </w:t>
            </w:r>
            <w:r w:rsidRPr="00FC013C">
              <w:rPr>
                <w:lang w:val="en-US"/>
              </w:rPr>
              <w:t xml:space="preserve">immediate barriers to </w:t>
            </w:r>
            <w:r w:rsidR="004237BD" w:rsidRPr="004237BD">
              <w:t xml:space="preserve">Economic </w:t>
            </w:r>
            <w:r w:rsidR="00E77996" w:rsidRPr="004237BD">
              <w:t xml:space="preserve">Cooperation Work </w:t>
            </w:r>
            <w:r w:rsidR="00E77996">
              <w:t>Progr</w:t>
            </w:r>
            <w:r w:rsidR="006A57D9">
              <w:t>am</w:t>
            </w:r>
            <w:r w:rsidR="004237BD" w:rsidRPr="004237BD" w:rsidDel="004237BD">
              <w:rPr>
                <w:lang w:val="en-US"/>
              </w:rPr>
              <w:t xml:space="preserve"> </w:t>
            </w:r>
            <w:r w:rsidRPr="00FC013C">
              <w:rPr>
                <w:lang w:val="en-US"/>
              </w:rPr>
              <w:t>implementation (e.g. the shift to special services agreements</w:t>
            </w:r>
            <w:r>
              <w:rPr>
                <w:lang w:val="en-US"/>
              </w:rPr>
              <w:t xml:space="preserve"> to reduce </w:t>
            </w:r>
            <w:r w:rsidR="004237BD" w:rsidRPr="0096119C">
              <w:rPr>
                <w:lang w:eastAsia="en-AU"/>
              </w:rPr>
              <w:t>ASEAN Secretariat</w:t>
            </w:r>
            <w:r w:rsidR="004237BD" w:rsidRPr="0096119C" w:rsidDel="0096119C">
              <w:rPr>
                <w:lang w:eastAsia="en-AU"/>
              </w:rPr>
              <w:t xml:space="preserve"> </w:t>
            </w:r>
            <w:r>
              <w:rPr>
                <w:lang w:val="en-US"/>
              </w:rPr>
              <w:t>overheads</w:t>
            </w:r>
            <w:r w:rsidRPr="00FC013C">
              <w:rPr>
                <w:lang w:val="en-US"/>
              </w:rPr>
              <w:t>).</w:t>
            </w:r>
            <w:r>
              <w:rPr>
                <w:lang w:val="en-US"/>
              </w:rPr>
              <w:t xml:space="preserve"> However, there is scope to strengthen</w:t>
            </w:r>
            <w:r w:rsidRPr="00FC013C">
              <w:rPr>
                <w:lang w:val="en-US"/>
              </w:rPr>
              <w:t xml:space="preserve"> ongoing analysis of AECSP operations, drawing </w:t>
            </w:r>
            <w:r w:rsidR="004237BD">
              <w:rPr>
                <w:lang w:val="en-US"/>
              </w:rPr>
              <w:t xml:space="preserve">on </w:t>
            </w:r>
            <w:r w:rsidRPr="00FC013C">
              <w:rPr>
                <w:lang w:val="en-US"/>
              </w:rPr>
              <w:t>lessons learned and taking remedial action to ensure continuous improvement.</w:t>
            </w:r>
            <w:r>
              <w:rPr>
                <w:lang w:val="en-US"/>
              </w:rPr>
              <w:t xml:space="preserve"> More can be done to learn from other related projects.</w:t>
            </w:r>
          </w:p>
        </w:tc>
      </w:tr>
    </w:tbl>
    <w:p w14:paraId="2069D719" w14:textId="176D9F52" w:rsidR="00080D6C" w:rsidRDefault="00530BA8" w:rsidP="00080D6C">
      <w:pPr>
        <w:pStyle w:val="Heading1"/>
        <w:pageBreakBefore/>
      </w:pPr>
      <w:bookmarkStart w:id="4" w:name="_Toc229924881"/>
      <w:r>
        <w:lastRenderedPageBreak/>
        <w:t>Introduction</w:t>
      </w:r>
      <w:bookmarkEnd w:id="4"/>
    </w:p>
    <w:p w14:paraId="1C8E6ABE" w14:textId="3DD0C9E4" w:rsidR="00530BA8" w:rsidRDefault="00530BA8" w:rsidP="00530BA8">
      <w:pPr>
        <w:pStyle w:val="Heading2"/>
      </w:pPr>
      <w:r w:rsidRPr="00750A09">
        <w:t xml:space="preserve">Activity </w:t>
      </w:r>
      <w:r w:rsidR="00407772">
        <w:t>b</w:t>
      </w:r>
      <w:r w:rsidR="00407772" w:rsidRPr="00750A09">
        <w:t>ackground</w:t>
      </w:r>
    </w:p>
    <w:p w14:paraId="1EA1CB33" w14:textId="754C8FE1" w:rsidR="00530BA8" w:rsidRPr="00C8460A" w:rsidRDefault="00530BA8" w:rsidP="00714B4B">
      <w:pPr>
        <w:ind w:left="426" w:hanging="426"/>
        <w:rPr>
          <w:lang w:val="en-US"/>
        </w:rPr>
      </w:pPr>
      <w:r w:rsidRPr="00744300">
        <w:fldChar w:fldCharType="begin"/>
      </w:r>
      <w:r w:rsidRPr="00744300">
        <w:instrText xml:space="preserve"> AUTONUM </w:instrText>
      </w:r>
      <w:r w:rsidRPr="00744300">
        <w:fldChar w:fldCharType="end"/>
      </w:r>
      <w:r w:rsidRPr="00744300">
        <w:tab/>
      </w:r>
      <w:r>
        <w:rPr>
          <w:lang w:val="en-US"/>
        </w:rPr>
        <w:t xml:space="preserve">The </w:t>
      </w:r>
      <w:r w:rsidR="00574775">
        <w:rPr>
          <w:lang w:val="en-US"/>
        </w:rPr>
        <w:t>a</w:t>
      </w:r>
      <w:r w:rsidR="00574775" w:rsidRPr="00C8460A">
        <w:rPr>
          <w:lang w:val="en-US"/>
        </w:rPr>
        <w:t>g</w:t>
      </w:r>
      <w:r w:rsidR="00574775">
        <w:rPr>
          <w:lang w:val="en-US"/>
        </w:rPr>
        <w:t xml:space="preserve">reement </w:t>
      </w:r>
      <w:r>
        <w:rPr>
          <w:lang w:val="en-US"/>
        </w:rPr>
        <w:t>establishing the ASEAN</w:t>
      </w:r>
      <w:r w:rsidR="00574775">
        <w:rPr>
          <w:lang w:val="en-US"/>
        </w:rPr>
        <w:t>–</w:t>
      </w:r>
      <w:r>
        <w:rPr>
          <w:lang w:val="en-US"/>
        </w:rPr>
        <w:t>Australia-</w:t>
      </w:r>
      <w:r w:rsidRPr="00C8460A">
        <w:rPr>
          <w:lang w:val="en-US"/>
        </w:rPr>
        <w:t xml:space="preserve">New Zealand Free Trade </w:t>
      </w:r>
      <w:r>
        <w:rPr>
          <w:lang w:val="en-US"/>
        </w:rPr>
        <w:t>Area</w:t>
      </w:r>
      <w:r w:rsidRPr="00C8460A">
        <w:rPr>
          <w:lang w:val="en-US"/>
        </w:rPr>
        <w:t xml:space="preserve"> (AANZFTA) was signed in February 2009</w:t>
      </w:r>
      <w:r w:rsidR="00407772">
        <w:rPr>
          <w:lang w:val="en-US"/>
        </w:rPr>
        <w:t xml:space="preserve"> </w:t>
      </w:r>
      <w:r w:rsidRPr="00C8460A">
        <w:rPr>
          <w:lang w:val="en-US"/>
        </w:rPr>
        <w:t>has been in force since 1 January 2010</w:t>
      </w:r>
      <w:r w:rsidR="00407772">
        <w:rPr>
          <w:lang w:val="en-US"/>
        </w:rPr>
        <w:t>.</w:t>
      </w:r>
      <w:r>
        <w:rPr>
          <w:rStyle w:val="FootnoteReference"/>
          <w:lang w:val="en-US"/>
        </w:rPr>
        <w:footnoteReference w:id="1"/>
      </w:r>
      <w:r w:rsidRPr="00C8460A">
        <w:rPr>
          <w:lang w:val="en-US"/>
        </w:rPr>
        <w:t xml:space="preserve"> The </w:t>
      </w:r>
      <w:r w:rsidR="00407772" w:rsidRPr="00C8460A">
        <w:rPr>
          <w:lang w:val="en-US"/>
        </w:rPr>
        <w:t xml:space="preserve">agreement </w:t>
      </w:r>
      <w:r w:rsidR="00407772">
        <w:rPr>
          <w:lang w:val="en-US"/>
        </w:rPr>
        <w:t>is designed</w:t>
      </w:r>
      <w:r w:rsidR="00407772" w:rsidRPr="00C8460A">
        <w:rPr>
          <w:lang w:val="en-US"/>
        </w:rPr>
        <w:t xml:space="preserve"> </w:t>
      </w:r>
      <w:r w:rsidRPr="00C8460A">
        <w:rPr>
          <w:lang w:val="en-US"/>
        </w:rPr>
        <w:t>to “</w:t>
      </w:r>
      <w:r w:rsidR="00407772" w:rsidRPr="00C8460A">
        <w:rPr>
          <w:i/>
          <w:lang w:val="en-US"/>
        </w:rPr>
        <w:t>liberali</w:t>
      </w:r>
      <w:r w:rsidR="00407772">
        <w:rPr>
          <w:i/>
          <w:lang w:val="en-US"/>
        </w:rPr>
        <w:t>s</w:t>
      </w:r>
      <w:r w:rsidR="00407772" w:rsidRPr="00C8460A">
        <w:rPr>
          <w:i/>
          <w:lang w:val="en-US"/>
        </w:rPr>
        <w:t xml:space="preserve">e </w:t>
      </w:r>
      <w:r w:rsidRPr="00C8460A">
        <w:rPr>
          <w:i/>
          <w:lang w:val="en-US"/>
        </w:rPr>
        <w:t>and facilitate trade and investment between ASEAN, Australia and New Zealand through commitments on goods, services, investment, temporary movement of natural persons, electronic commerce, intellectual property and economic cooperation</w:t>
      </w:r>
      <w:r w:rsidR="00407772">
        <w:rPr>
          <w:i/>
          <w:lang w:val="en-US"/>
        </w:rPr>
        <w:t>”.</w:t>
      </w:r>
      <w:r w:rsidRPr="00C8460A">
        <w:rPr>
          <w:vertAlign w:val="superscript"/>
          <w:lang w:val="en-US"/>
        </w:rPr>
        <w:footnoteReference w:id="2"/>
      </w:r>
      <w:r w:rsidRPr="00C8460A">
        <w:rPr>
          <w:i/>
          <w:lang w:val="en-US"/>
        </w:rPr>
        <w:t xml:space="preserve"> </w:t>
      </w:r>
      <w:r w:rsidRPr="00C8460A">
        <w:rPr>
          <w:lang w:val="en-US"/>
        </w:rPr>
        <w:t xml:space="preserve">The agreement includes provision for an economic cooperation program to support </w:t>
      </w:r>
      <w:r w:rsidR="00407772">
        <w:rPr>
          <w:lang w:val="en-US"/>
        </w:rPr>
        <w:t xml:space="preserve">its </w:t>
      </w:r>
      <w:r w:rsidRPr="00C8460A">
        <w:rPr>
          <w:lang w:val="en-US"/>
        </w:rPr>
        <w:t>implementation</w:t>
      </w:r>
      <w:r w:rsidR="00407772">
        <w:rPr>
          <w:lang w:val="en-US"/>
        </w:rPr>
        <w:t>.</w:t>
      </w:r>
      <w:r w:rsidRPr="00C8460A">
        <w:rPr>
          <w:vertAlign w:val="superscript"/>
          <w:lang w:val="en-US"/>
        </w:rPr>
        <w:footnoteReference w:id="3"/>
      </w:r>
      <w:r w:rsidRPr="00C8460A">
        <w:rPr>
          <w:lang w:val="en-US"/>
        </w:rPr>
        <w:t xml:space="preserve"> Expected beneficiaries are region</w:t>
      </w:r>
      <w:r>
        <w:rPr>
          <w:lang w:val="en-US"/>
        </w:rPr>
        <w:t>al</w:t>
      </w:r>
      <w:r w:rsidRPr="00C8460A">
        <w:rPr>
          <w:lang w:val="en-US"/>
        </w:rPr>
        <w:t xml:space="preserve"> producers</w:t>
      </w:r>
      <w:r>
        <w:rPr>
          <w:lang w:val="en-US"/>
        </w:rPr>
        <w:t>, consumers and investors</w:t>
      </w:r>
      <w:r w:rsidRPr="00C8460A">
        <w:rPr>
          <w:lang w:val="en-US"/>
        </w:rPr>
        <w:t>.</w:t>
      </w:r>
      <w:r>
        <w:rPr>
          <w:lang w:val="en-US"/>
        </w:rPr>
        <w:t xml:space="preserve"> </w:t>
      </w:r>
      <w:r w:rsidRPr="00A72DF9">
        <w:t xml:space="preserve">AANZFTA is the largest </w:t>
      </w:r>
      <w:r w:rsidR="00407772">
        <w:t>f</w:t>
      </w:r>
      <w:r w:rsidR="00407772" w:rsidRPr="00A72DF9">
        <w:t xml:space="preserve">ree </w:t>
      </w:r>
      <w:r w:rsidR="00407772">
        <w:t>t</w:t>
      </w:r>
      <w:r w:rsidRPr="00A72DF9">
        <w:t xml:space="preserve">rade </w:t>
      </w:r>
      <w:r w:rsidR="00407772">
        <w:t>a</w:t>
      </w:r>
      <w:r w:rsidR="00407772" w:rsidRPr="00A72DF9">
        <w:t xml:space="preserve">greement </w:t>
      </w:r>
      <w:r w:rsidRPr="00A72DF9">
        <w:t>Australia has concluded and the most comprehensive trade deal that ASEAN has negotiated.</w:t>
      </w:r>
    </w:p>
    <w:p w14:paraId="3FFD24A4" w14:textId="26C8868D" w:rsidR="00530BA8" w:rsidRPr="00C8460A" w:rsidRDefault="00530BA8" w:rsidP="00714B4B">
      <w:pPr>
        <w:ind w:left="426" w:hanging="426"/>
        <w:rPr>
          <w:lang w:val="en-US"/>
        </w:rPr>
      </w:pPr>
      <w:r w:rsidRPr="00744300">
        <w:fldChar w:fldCharType="begin"/>
      </w:r>
      <w:r w:rsidRPr="00744300">
        <w:instrText xml:space="preserve"> AUTONUM </w:instrText>
      </w:r>
      <w:r w:rsidRPr="00744300">
        <w:fldChar w:fldCharType="end"/>
      </w:r>
      <w:r w:rsidRPr="00744300">
        <w:tab/>
      </w:r>
      <w:r w:rsidRPr="00C8460A">
        <w:rPr>
          <w:lang w:val="en-US"/>
        </w:rPr>
        <w:t xml:space="preserve">The AANZFTA Economic Cooperation Support Program (AECSP) was established to ensure </w:t>
      </w:r>
      <w:r>
        <w:rPr>
          <w:lang w:val="en-US"/>
        </w:rPr>
        <w:t xml:space="preserve">that </w:t>
      </w:r>
      <w:r w:rsidRPr="00C8460A">
        <w:rPr>
          <w:lang w:val="en-US"/>
        </w:rPr>
        <w:t xml:space="preserve">the full benefits of AANZFTA are </w:t>
      </w:r>
      <w:r w:rsidR="00407772" w:rsidRPr="00C8460A">
        <w:rPr>
          <w:lang w:val="en-US"/>
        </w:rPr>
        <w:t>reali</w:t>
      </w:r>
      <w:r w:rsidR="00407772">
        <w:rPr>
          <w:lang w:val="en-US"/>
        </w:rPr>
        <w:t>s</w:t>
      </w:r>
      <w:r w:rsidR="00407772" w:rsidRPr="00C8460A">
        <w:rPr>
          <w:lang w:val="en-US"/>
        </w:rPr>
        <w:t>ed</w:t>
      </w:r>
      <w:r w:rsidRPr="00C8460A">
        <w:rPr>
          <w:lang w:val="en-US"/>
        </w:rPr>
        <w:t xml:space="preserve">. AECSP funds an AANZFTA </w:t>
      </w:r>
      <w:r w:rsidR="00574775">
        <w:rPr>
          <w:lang w:val="en-US"/>
        </w:rPr>
        <w:t>S</w:t>
      </w:r>
      <w:r w:rsidR="00407772" w:rsidRPr="00C8460A">
        <w:rPr>
          <w:lang w:val="en-US"/>
        </w:rPr>
        <w:t xml:space="preserve">upport </w:t>
      </w:r>
      <w:r w:rsidR="00574775">
        <w:rPr>
          <w:lang w:val="en-US"/>
        </w:rPr>
        <w:t>U</w:t>
      </w:r>
      <w:r w:rsidR="00407772">
        <w:rPr>
          <w:lang w:val="en-US"/>
        </w:rPr>
        <w:t>nit</w:t>
      </w:r>
      <w:r w:rsidRPr="00C8460A">
        <w:rPr>
          <w:lang w:val="en-US"/>
        </w:rPr>
        <w:t xml:space="preserve"> within the ASEAN Secretariat and annual </w:t>
      </w:r>
      <w:r w:rsidR="006A57D9">
        <w:rPr>
          <w:lang w:val="en-US"/>
        </w:rPr>
        <w:t>Economic Cooperation Work Program</w:t>
      </w:r>
      <w:r w:rsidR="0045046A">
        <w:rPr>
          <w:lang w:val="en-US"/>
        </w:rPr>
        <w:t xml:space="preserve"> </w:t>
      </w:r>
      <w:r>
        <w:rPr>
          <w:lang w:val="en-US"/>
        </w:rPr>
        <w:t>activities. </w:t>
      </w:r>
      <w:r w:rsidRPr="00C8460A">
        <w:rPr>
          <w:lang w:val="en-US"/>
        </w:rPr>
        <w:t xml:space="preserve">The </w:t>
      </w:r>
      <w:r w:rsidR="00407772">
        <w:rPr>
          <w:lang w:val="en-US"/>
        </w:rPr>
        <w:t>p</w:t>
      </w:r>
      <w:r w:rsidR="00407772" w:rsidRPr="00C8460A">
        <w:rPr>
          <w:lang w:val="en-US"/>
        </w:rPr>
        <w:t xml:space="preserve">rogram </w:t>
      </w:r>
      <w:r w:rsidRPr="00C8460A">
        <w:rPr>
          <w:lang w:val="en-US"/>
        </w:rPr>
        <w:t>is delivered through a partnership between AusAID</w:t>
      </w:r>
      <w:r w:rsidRPr="00C8460A">
        <w:rPr>
          <w:vertAlign w:val="superscript"/>
          <w:lang w:val="en-US"/>
        </w:rPr>
        <w:footnoteReference w:id="4"/>
      </w:r>
      <w:r w:rsidR="00407772">
        <w:rPr>
          <w:lang w:val="en-US"/>
        </w:rPr>
        <w:t xml:space="preserve"> and the </w:t>
      </w:r>
      <w:r w:rsidRPr="00C8460A">
        <w:rPr>
          <w:lang w:val="en-US"/>
        </w:rPr>
        <w:t>Department of Foreign Affairs and Trade, N</w:t>
      </w:r>
      <w:r w:rsidR="00407772">
        <w:rPr>
          <w:lang w:val="en-US"/>
        </w:rPr>
        <w:t xml:space="preserve">ew </w:t>
      </w:r>
      <w:r w:rsidRPr="00C8460A">
        <w:rPr>
          <w:lang w:val="en-US"/>
        </w:rPr>
        <w:t>Z</w:t>
      </w:r>
      <w:r w:rsidR="00407772">
        <w:rPr>
          <w:lang w:val="en-US"/>
        </w:rPr>
        <w:t>ealand</w:t>
      </w:r>
      <w:r w:rsidRPr="00C8460A">
        <w:rPr>
          <w:lang w:val="en-US"/>
        </w:rPr>
        <w:t xml:space="preserve">’s Ministry of Foreign Affairs and Trade, ASEAN and the </w:t>
      </w:r>
      <w:r w:rsidR="00407772" w:rsidRPr="0096119C">
        <w:rPr>
          <w:lang w:eastAsia="en-AU"/>
        </w:rPr>
        <w:t>ASEAN Secretariat</w:t>
      </w:r>
      <w:r>
        <w:rPr>
          <w:lang w:val="en-US"/>
        </w:rPr>
        <w:t xml:space="preserve">. This </w:t>
      </w:r>
      <w:r w:rsidR="00407772">
        <w:rPr>
          <w:lang w:val="en-US"/>
        </w:rPr>
        <w:t>independent progress rep</w:t>
      </w:r>
      <w:r>
        <w:rPr>
          <w:lang w:val="en-US"/>
        </w:rPr>
        <w:t>ort</w:t>
      </w:r>
      <w:r w:rsidRPr="00C8460A">
        <w:rPr>
          <w:lang w:val="en-US"/>
        </w:rPr>
        <w:t xml:space="preserve"> was scheduled in the program design.</w:t>
      </w:r>
    </w:p>
    <w:p w14:paraId="5694EA2B" w14:textId="12E9A92C" w:rsidR="00DE3A1B" w:rsidRDefault="00530BA8" w:rsidP="00714B4B">
      <w:pPr>
        <w:ind w:left="426" w:hanging="426"/>
        <w:rPr>
          <w:lang w:val="en-US"/>
        </w:rPr>
      </w:pPr>
      <w:r w:rsidRPr="00744300">
        <w:fldChar w:fldCharType="begin"/>
      </w:r>
      <w:r w:rsidRPr="00744300">
        <w:instrText xml:space="preserve"> AUTONUM </w:instrText>
      </w:r>
      <w:r w:rsidRPr="00744300">
        <w:fldChar w:fldCharType="end"/>
      </w:r>
      <w:r w:rsidR="00407772">
        <w:tab/>
      </w:r>
      <w:r w:rsidRPr="00C8460A">
        <w:rPr>
          <w:lang w:val="en-US"/>
        </w:rPr>
        <w:t>AECSP</w:t>
      </w:r>
      <w:r>
        <w:rPr>
          <w:lang w:val="en-US"/>
        </w:rPr>
        <w:t>’s</w:t>
      </w:r>
      <w:r w:rsidRPr="00C8460A">
        <w:rPr>
          <w:lang w:val="en-US"/>
        </w:rPr>
        <w:t xml:space="preserve"> goal is to</w:t>
      </w:r>
      <w:r w:rsidR="00714B4B">
        <w:rPr>
          <w:lang w:val="en-US"/>
        </w:rPr>
        <w:t>:</w:t>
      </w:r>
      <w:r w:rsidRPr="00C8460A">
        <w:rPr>
          <w:vertAlign w:val="superscript"/>
          <w:lang w:val="en-US"/>
        </w:rPr>
        <w:footnoteReference w:id="5"/>
      </w:r>
    </w:p>
    <w:p w14:paraId="4EBEE158" w14:textId="66CCD2E6" w:rsidR="003C0906" w:rsidRDefault="00407772" w:rsidP="00714B4B">
      <w:pPr>
        <w:pStyle w:val="ListParagraph"/>
        <w:numPr>
          <w:ilvl w:val="0"/>
          <w:numId w:val="79"/>
        </w:numPr>
      </w:pPr>
      <w:r w:rsidRPr="00C8460A">
        <w:t>operationali</w:t>
      </w:r>
      <w:r>
        <w:t>s</w:t>
      </w:r>
      <w:r w:rsidRPr="00C8460A">
        <w:t xml:space="preserve">e </w:t>
      </w:r>
      <w:r w:rsidR="00530BA8" w:rsidRPr="00C8460A">
        <w:t>and implement AANZFTA (including enhancing ASEAN Secretariat capacity to support ASEAN Free Trade Agreement implementation</w:t>
      </w:r>
      <w:r w:rsidR="00011991">
        <w:t>)</w:t>
      </w:r>
    </w:p>
    <w:p w14:paraId="7200CD34" w14:textId="6C5AE051" w:rsidR="003C0906" w:rsidRDefault="00530BA8" w:rsidP="00714B4B">
      <w:pPr>
        <w:pStyle w:val="ListParagraph"/>
        <w:numPr>
          <w:ilvl w:val="0"/>
          <w:numId w:val="79"/>
        </w:numPr>
      </w:pPr>
      <w:r w:rsidRPr="00C8460A">
        <w:t>progress AANZFTA’s built-in agenda</w:t>
      </w:r>
    </w:p>
    <w:p w14:paraId="4DB88724" w14:textId="39EC61CB" w:rsidR="003C0906" w:rsidRDefault="00530BA8" w:rsidP="00714B4B">
      <w:pPr>
        <w:pStyle w:val="ListParagraph"/>
        <w:numPr>
          <w:ilvl w:val="0"/>
          <w:numId w:val="79"/>
        </w:numPr>
      </w:pPr>
      <w:r w:rsidRPr="00C8460A">
        <w:t xml:space="preserve">promote business </w:t>
      </w:r>
      <w:r w:rsidR="00407772">
        <w:t>use</w:t>
      </w:r>
      <w:r w:rsidR="00407772" w:rsidRPr="00C8460A">
        <w:t xml:space="preserve"> </w:t>
      </w:r>
      <w:r w:rsidRPr="00C8460A">
        <w:t>of AANZFTA</w:t>
      </w:r>
    </w:p>
    <w:p w14:paraId="2063901D" w14:textId="3C70868F" w:rsidR="003C0906" w:rsidRDefault="00530BA8" w:rsidP="00714B4B">
      <w:pPr>
        <w:pStyle w:val="ListParagraph"/>
        <w:numPr>
          <w:ilvl w:val="0"/>
          <w:numId w:val="79"/>
        </w:numPr>
      </w:pPr>
      <w:r w:rsidRPr="00C8460A">
        <w:t xml:space="preserve">advance economic integration amongst the </w:t>
      </w:r>
      <w:r w:rsidR="00407772">
        <w:t>p</w:t>
      </w:r>
      <w:r w:rsidR="00407772" w:rsidRPr="00C8460A">
        <w:t>arties</w:t>
      </w:r>
      <w:r w:rsidRPr="00C8460A">
        <w:t>.</w:t>
      </w:r>
      <w:r w:rsidDel="00EA35C8">
        <w:t xml:space="preserve"> </w:t>
      </w:r>
    </w:p>
    <w:p w14:paraId="6D737B7F" w14:textId="52E101F0" w:rsidR="00530BA8" w:rsidRPr="00EA35C8" w:rsidRDefault="00530BA8" w:rsidP="00714B4B">
      <w:pPr>
        <w:ind w:left="426"/>
        <w:rPr>
          <w:lang w:val="en-US"/>
        </w:rPr>
      </w:pPr>
      <w:r>
        <w:t xml:space="preserve">The </w:t>
      </w:r>
      <w:r w:rsidR="00407772">
        <w:t>p</w:t>
      </w:r>
      <w:r>
        <w:t xml:space="preserve">rogram </w:t>
      </w:r>
      <w:r w:rsidR="00407772">
        <w:t xml:space="preserve">document </w:t>
      </w:r>
      <w:r>
        <w:t>(</w:t>
      </w:r>
      <w:r w:rsidR="00407772">
        <w:t xml:space="preserve">see </w:t>
      </w:r>
      <w:r w:rsidR="00407772" w:rsidRPr="00B10D1C">
        <w:t>pages</w:t>
      </w:r>
      <w:r w:rsidRPr="00B10D1C">
        <w:t xml:space="preserve"> 11</w:t>
      </w:r>
      <w:r w:rsidR="00407772" w:rsidRPr="00B10D1C">
        <w:t xml:space="preserve"> to </w:t>
      </w:r>
      <w:r w:rsidRPr="00B10D1C">
        <w:t>12</w:t>
      </w:r>
      <w:r>
        <w:t xml:space="preserve">) notes that the </w:t>
      </w:r>
      <w:r w:rsidRPr="00EA35C8">
        <w:rPr>
          <w:lang w:val="en-US"/>
        </w:rPr>
        <w:t>success of AECSP in achieving this goal over five years is seen as measurable in terms of</w:t>
      </w:r>
      <w:r w:rsidR="00080D6C">
        <w:rPr>
          <w:lang w:val="en-US"/>
        </w:rPr>
        <w:t xml:space="preserve"> the following five outcomes</w:t>
      </w:r>
      <w:r w:rsidRPr="00EA35C8">
        <w:rPr>
          <w:lang w:val="en-US"/>
        </w:rPr>
        <w:t xml:space="preserve">: </w:t>
      </w:r>
    </w:p>
    <w:p w14:paraId="0255A1C4" w14:textId="2C3BFCF0" w:rsidR="00530BA8" w:rsidRPr="00574775" w:rsidRDefault="00407772" w:rsidP="00080D6C">
      <w:pPr>
        <w:pStyle w:val="ListParagraph"/>
        <w:numPr>
          <w:ilvl w:val="0"/>
          <w:numId w:val="77"/>
        </w:numPr>
        <w:rPr>
          <w:lang w:val="en-US"/>
        </w:rPr>
      </w:pPr>
      <w:r w:rsidRPr="00574775">
        <w:rPr>
          <w:iCs/>
          <w:lang w:val="en-US"/>
        </w:rPr>
        <w:t xml:space="preserve">enhanced </w:t>
      </w:r>
      <w:r w:rsidR="00530BA8" w:rsidRPr="00574775">
        <w:rPr>
          <w:iCs/>
          <w:lang w:val="en-US"/>
        </w:rPr>
        <w:t>government desire to engage in economic integration generally and AANZFTA implementation in particular</w:t>
      </w:r>
    </w:p>
    <w:p w14:paraId="2A2B7B9A" w14:textId="11CA21D6" w:rsidR="00530BA8" w:rsidRPr="00574775" w:rsidRDefault="00407772" w:rsidP="00080D6C">
      <w:pPr>
        <w:pStyle w:val="ListParagraph"/>
        <w:numPr>
          <w:ilvl w:val="0"/>
          <w:numId w:val="77"/>
        </w:numPr>
        <w:rPr>
          <w:lang w:val="en-US"/>
        </w:rPr>
      </w:pPr>
      <w:r w:rsidRPr="00574775">
        <w:rPr>
          <w:iCs/>
          <w:lang w:val="en-US"/>
        </w:rPr>
        <w:t xml:space="preserve">increased </w:t>
      </w:r>
      <w:r w:rsidR="00530BA8" w:rsidRPr="00574775">
        <w:rPr>
          <w:iCs/>
          <w:lang w:val="en-US"/>
        </w:rPr>
        <w:t xml:space="preserve">business awareness leading to increased </w:t>
      </w:r>
      <w:r w:rsidRPr="00574775">
        <w:rPr>
          <w:iCs/>
          <w:lang w:val="en-US"/>
        </w:rPr>
        <w:t xml:space="preserve">use </w:t>
      </w:r>
      <w:r w:rsidR="00530BA8" w:rsidRPr="00574775">
        <w:rPr>
          <w:iCs/>
          <w:lang w:val="en-US"/>
        </w:rPr>
        <w:t>of AANZFTA opportunities and increased trade and investment flows</w:t>
      </w:r>
    </w:p>
    <w:p w14:paraId="61317A8B" w14:textId="56DD65D0" w:rsidR="00530BA8" w:rsidRPr="00574775" w:rsidRDefault="00407772" w:rsidP="00080D6C">
      <w:pPr>
        <w:pStyle w:val="ListParagraph"/>
        <w:numPr>
          <w:ilvl w:val="0"/>
          <w:numId w:val="77"/>
        </w:numPr>
        <w:rPr>
          <w:lang w:val="en-US"/>
        </w:rPr>
      </w:pPr>
      <w:r w:rsidRPr="00574775">
        <w:rPr>
          <w:iCs/>
          <w:lang w:val="en-US"/>
        </w:rPr>
        <w:t xml:space="preserve">enhanced </w:t>
      </w:r>
      <w:r w:rsidR="00530BA8" w:rsidRPr="00574775">
        <w:rPr>
          <w:iCs/>
          <w:lang w:val="en-US"/>
        </w:rPr>
        <w:t xml:space="preserve">capacity of ASEAN </w:t>
      </w:r>
      <w:r w:rsidRPr="00574775">
        <w:rPr>
          <w:iCs/>
          <w:lang w:val="en-US"/>
        </w:rPr>
        <w:t xml:space="preserve">member state </w:t>
      </w:r>
      <w:r w:rsidR="00530BA8" w:rsidRPr="00574775">
        <w:rPr>
          <w:iCs/>
          <w:lang w:val="en-US"/>
        </w:rPr>
        <w:t xml:space="preserve">institutions to engage in trade </w:t>
      </w:r>
      <w:r w:rsidRPr="00574775">
        <w:rPr>
          <w:iCs/>
          <w:lang w:val="en-US"/>
        </w:rPr>
        <w:t xml:space="preserve">liberalisation </w:t>
      </w:r>
      <w:r w:rsidR="00530BA8" w:rsidRPr="00574775">
        <w:rPr>
          <w:iCs/>
          <w:lang w:val="en-US"/>
        </w:rPr>
        <w:t xml:space="preserve">and to implement the AANZFTA </w:t>
      </w:r>
      <w:r w:rsidRPr="00574775">
        <w:rPr>
          <w:iCs/>
          <w:lang w:val="en-US"/>
        </w:rPr>
        <w:t xml:space="preserve">agreement </w:t>
      </w:r>
      <w:r w:rsidR="00530BA8" w:rsidRPr="00574775">
        <w:rPr>
          <w:iCs/>
          <w:lang w:val="en-US"/>
        </w:rPr>
        <w:t>specifically</w:t>
      </w:r>
    </w:p>
    <w:p w14:paraId="42370ECC" w14:textId="02BD4FE5" w:rsidR="00530BA8" w:rsidRPr="00080D6C" w:rsidRDefault="00407772" w:rsidP="00080D6C">
      <w:pPr>
        <w:pStyle w:val="ListParagraph"/>
        <w:numPr>
          <w:ilvl w:val="0"/>
          <w:numId w:val="77"/>
        </w:numPr>
        <w:rPr>
          <w:lang w:val="en-US"/>
        </w:rPr>
      </w:pPr>
      <w:r w:rsidRPr="00574775">
        <w:rPr>
          <w:iCs/>
          <w:lang w:val="en-US"/>
        </w:rPr>
        <w:t>strengthened</w:t>
      </w:r>
      <w:r w:rsidRPr="00080D6C">
        <w:rPr>
          <w:iCs/>
          <w:lang w:val="en-US"/>
        </w:rPr>
        <w:t xml:space="preserve"> </w:t>
      </w:r>
      <w:r w:rsidR="00530BA8" w:rsidRPr="00080D6C">
        <w:rPr>
          <w:iCs/>
          <w:lang w:val="en-US"/>
        </w:rPr>
        <w:t xml:space="preserve">working relationships between the </w:t>
      </w:r>
      <w:r>
        <w:rPr>
          <w:iCs/>
          <w:lang w:val="en-US"/>
        </w:rPr>
        <w:t>p</w:t>
      </w:r>
      <w:r w:rsidRPr="00080D6C">
        <w:rPr>
          <w:iCs/>
          <w:lang w:val="en-US"/>
        </w:rPr>
        <w:t xml:space="preserve">arties </w:t>
      </w:r>
      <w:r w:rsidR="00530BA8" w:rsidRPr="00080D6C">
        <w:rPr>
          <w:iCs/>
          <w:lang w:val="en-US"/>
        </w:rPr>
        <w:t>through the establishment of, and deepened engagement in, functional sector networks</w:t>
      </w:r>
    </w:p>
    <w:p w14:paraId="553F7BF4" w14:textId="6B20B8C8" w:rsidR="00530BA8" w:rsidRPr="00080D6C" w:rsidRDefault="00407772" w:rsidP="00080D6C">
      <w:pPr>
        <w:pStyle w:val="ListParagraph"/>
        <w:numPr>
          <w:ilvl w:val="0"/>
          <w:numId w:val="77"/>
        </w:numPr>
        <w:rPr>
          <w:lang w:val="en-US"/>
        </w:rPr>
      </w:pPr>
      <w:r>
        <w:rPr>
          <w:iCs/>
          <w:lang w:val="en-US"/>
        </w:rPr>
        <w:lastRenderedPageBreak/>
        <w:t>i</w:t>
      </w:r>
      <w:r w:rsidRPr="00080D6C">
        <w:rPr>
          <w:iCs/>
          <w:lang w:val="en-US"/>
        </w:rPr>
        <w:t xml:space="preserve">ncreased </w:t>
      </w:r>
      <w:r w:rsidR="00530BA8" w:rsidRPr="00080D6C">
        <w:rPr>
          <w:iCs/>
          <w:lang w:val="en-US"/>
        </w:rPr>
        <w:t>confidence in AANZFTA Economic Cooperation (</w:t>
      </w:r>
      <w:r w:rsidR="00207FD8" w:rsidRPr="00080D6C">
        <w:rPr>
          <w:iCs/>
          <w:lang w:val="en-US"/>
        </w:rPr>
        <w:t>support unit and work progr</w:t>
      </w:r>
      <w:r w:rsidR="00530BA8" w:rsidRPr="00080D6C">
        <w:rPr>
          <w:iCs/>
          <w:lang w:val="en-US"/>
        </w:rPr>
        <w:t xml:space="preserve">am activities) as the preferred model for ASEAN-based </w:t>
      </w:r>
      <w:r w:rsidR="00207FD8">
        <w:rPr>
          <w:iCs/>
          <w:lang w:val="en-US"/>
        </w:rPr>
        <w:t>free trade agreement</w:t>
      </w:r>
      <w:r w:rsidR="00207FD8" w:rsidRPr="00080D6C">
        <w:rPr>
          <w:iCs/>
          <w:lang w:val="en-US"/>
        </w:rPr>
        <w:t xml:space="preserve"> </w:t>
      </w:r>
      <w:r w:rsidR="00530BA8" w:rsidRPr="00080D6C">
        <w:rPr>
          <w:iCs/>
          <w:lang w:val="en-US"/>
        </w:rPr>
        <w:t>implementation.</w:t>
      </w:r>
    </w:p>
    <w:p w14:paraId="7F83234B" w14:textId="77777777" w:rsidR="00530BA8" w:rsidRDefault="00530BA8" w:rsidP="00574775">
      <w:pPr>
        <w:ind w:left="426" w:hanging="426"/>
        <w:rPr>
          <w:lang w:val="en-US"/>
        </w:rPr>
      </w:pPr>
      <w:r w:rsidRPr="00744300">
        <w:fldChar w:fldCharType="begin"/>
      </w:r>
      <w:r w:rsidRPr="00744300">
        <w:instrText xml:space="preserve"> AUTONUM </w:instrText>
      </w:r>
      <w:r w:rsidRPr="00744300">
        <w:fldChar w:fldCharType="end"/>
      </w:r>
      <w:r w:rsidRPr="00744300">
        <w:tab/>
      </w:r>
      <w:r w:rsidRPr="00C8460A">
        <w:rPr>
          <w:lang w:val="en-US"/>
        </w:rPr>
        <w:t>AECSP components are:</w:t>
      </w:r>
    </w:p>
    <w:p w14:paraId="64EDE469" w14:textId="75CAE7D4" w:rsidR="00530BA8" w:rsidRPr="00C8460A" w:rsidRDefault="00530BA8" w:rsidP="00530BA8">
      <w:pPr>
        <w:pStyle w:val="List2"/>
        <w:numPr>
          <w:ilvl w:val="1"/>
          <w:numId w:val="7"/>
        </w:numPr>
        <w:rPr>
          <w:lang w:val="en-US"/>
        </w:rPr>
      </w:pPr>
      <w:r w:rsidRPr="00C8460A">
        <w:rPr>
          <w:lang w:val="en-US"/>
        </w:rPr>
        <w:t xml:space="preserve">Funding for an AANZFTA </w:t>
      </w:r>
      <w:r w:rsidR="003C0906">
        <w:rPr>
          <w:lang w:val="en-US"/>
        </w:rPr>
        <w:t>S</w:t>
      </w:r>
      <w:r w:rsidR="00207FD8" w:rsidRPr="00C8460A">
        <w:rPr>
          <w:lang w:val="en-US"/>
        </w:rPr>
        <w:t xml:space="preserve">upport </w:t>
      </w:r>
      <w:r w:rsidR="003C0906">
        <w:rPr>
          <w:lang w:val="en-US"/>
        </w:rPr>
        <w:t>U</w:t>
      </w:r>
      <w:r w:rsidRPr="00C8460A">
        <w:rPr>
          <w:lang w:val="en-US"/>
        </w:rPr>
        <w:t>nit within the ASEAN Secretariat</w:t>
      </w:r>
      <w:r w:rsidR="00207FD8">
        <w:rPr>
          <w:lang w:val="en-US"/>
        </w:rPr>
        <w:t xml:space="preserve"> </w:t>
      </w:r>
      <w:r w:rsidRPr="00C8460A">
        <w:rPr>
          <w:lang w:val="en-US"/>
        </w:rPr>
        <w:t xml:space="preserve">to oversee and implement activities that promote the </w:t>
      </w:r>
      <w:r w:rsidR="00207FD8" w:rsidRPr="00C8460A">
        <w:rPr>
          <w:lang w:val="en-US"/>
        </w:rPr>
        <w:t>take</w:t>
      </w:r>
      <w:r w:rsidR="00207FD8">
        <w:rPr>
          <w:lang w:val="en-US"/>
        </w:rPr>
        <w:t>-</w:t>
      </w:r>
      <w:r w:rsidRPr="00C8460A">
        <w:rPr>
          <w:lang w:val="en-US"/>
        </w:rPr>
        <w:t>up of AANZFTA</w:t>
      </w:r>
      <w:r>
        <w:rPr>
          <w:lang w:val="en-US"/>
        </w:rPr>
        <w:t>,</w:t>
      </w:r>
      <w:r w:rsidRPr="00C8460A">
        <w:rPr>
          <w:lang w:val="en-US"/>
        </w:rPr>
        <w:t xml:space="preserve"> including:</w:t>
      </w:r>
    </w:p>
    <w:p w14:paraId="15608D34" w14:textId="1BAB89E5" w:rsidR="00530BA8" w:rsidRPr="00C8460A" w:rsidRDefault="00207FD8" w:rsidP="00530BA8">
      <w:pPr>
        <w:pStyle w:val="List3"/>
        <w:numPr>
          <w:ilvl w:val="2"/>
          <w:numId w:val="7"/>
        </w:numPr>
        <w:rPr>
          <w:lang w:val="en-US"/>
        </w:rPr>
      </w:pPr>
      <w:r>
        <w:rPr>
          <w:lang w:val="en-US"/>
        </w:rPr>
        <w:t>p</w:t>
      </w:r>
      <w:r w:rsidRPr="00C8460A">
        <w:rPr>
          <w:lang w:val="en-US"/>
        </w:rPr>
        <w:t xml:space="preserve">romotion </w:t>
      </w:r>
      <w:r w:rsidR="00530BA8" w:rsidRPr="00C8460A">
        <w:rPr>
          <w:lang w:val="en-US"/>
        </w:rPr>
        <w:t xml:space="preserve">and </w:t>
      </w:r>
      <w:r>
        <w:rPr>
          <w:lang w:val="en-US"/>
        </w:rPr>
        <w:t>o</w:t>
      </w:r>
      <w:r w:rsidRPr="00C8460A">
        <w:rPr>
          <w:lang w:val="en-US"/>
        </w:rPr>
        <w:t>utreach</w:t>
      </w:r>
    </w:p>
    <w:p w14:paraId="3415BD70" w14:textId="13ADDE7F" w:rsidR="00530BA8" w:rsidRPr="00C8460A" w:rsidRDefault="00207FD8" w:rsidP="00530BA8">
      <w:pPr>
        <w:pStyle w:val="List3"/>
        <w:numPr>
          <w:ilvl w:val="2"/>
          <w:numId w:val="7"/>
        </w:numPr>
        <w:rPr>
          <w:lang w:val="en-US"/>
        </w:rPr>
      </w:pPr>
      <w:r>
        <w:rPr>
          <w:lang w:val="en-US"/>
        </w:rPr>
        <w:t>p</w:t>
      </w:r>
      <w:r w:rsidRPr="00C8460A">
        <w:rPr>
          <w:lang w:val="en-US"/>
        </w:rPr>
        <w:t xml:space="preserve">rovision </w:t>
      </w:r>
      <w:r w:rsidR="00530BA8" w:rsidRPr="00C8460A">
        <w:rPr>
          <w:lang w:val="en-US"/>
        </w:rPr>
        <w:t xml:space="preserve">of </w:t>
      </w:r>
      <w:r>
        <w:rPr>
          <w:lang w:val="en-US"/>
        </w:rPr>
        <w:t>i</w:t>
      </w:r>
      <w:r w:rsidRPr="00C8460A">
        <w:rPr>
          <w:lang w:val="en-US"/>
        </w:rPr>
        <w:t>nformation</w:t>
      </w:r>
    </w:p>
    <w:p w14:paraId="41113858" w14:textId="1F18873A" w:rsidR="00530BA8" w:rsidRPr="00C8460A" w:rsidRDefault="00207FD8" w:rsidP="00530BA8">
      <w:pPr>
        <w:pStyle w:val="List3"/>
        <w:numPr>
          <w:ilvl w:val="2"/>
          <w:numId w:val="7"/>
        </w:numPr>
        <w:rPr>
          <w:lang w:val="en-US"/>
        </w:rPr>
      </w:pPr>
      <w:r>
        <w:rPr>
          <w:lang w:val="en-US"/>
        </w:rPr>
        <w:t>t</w:t>
      </w:r>
      <w:r w:rsidRPr="00C8460A">
        <w:rPr>
          <w:lang w:val="en-US"/>
        </w:rPr>
        <w:t>echnical assistance/capacity building</w:t>
      </w:r>
    </w:p>
    <w:p w14:paraId="4CAB6CD2" w14:textId="5D6CE260" w:rsidR="00530BA8" w:rsidRPr="00C8460A" w:rsidRDefault="00207FD8" w:rsidP="00530BA8">
      <w:pPr>
        <w:pStyle w:val="List3"/>
        <w:numPr>
          <w:ilvl w:val="2"/>
          <w:numId w:val="7"/>
        </w:numPr>
        <w:rPr>
          <w:lang w:val="en-US"/>
        </w:rPr>
      </w:pPr>
      <w:r>
        <w:rPr>
          <w:lang w:val="en-US"/>
        </w:rPr>
        <w:t>r</w:t>
      </w:r>
      <w:r w:rsidRPr="00C8460A">
        <w:rPr>
          <w:lang w:val="en-US"/>
        </w:rPr>
        <w:t>apid response mechanism</w:t>
      </w:r>
    </w:p>
    <w:p w14:paraId="677AA0DC" w14:textId="4CC631E0" w:rsidR="00530BA8" w:rsidRPr="001A2CD3" w:rsidRDefault="00207FD8" w:rsidP="00530BA8">
      <w:pPr>
        <w:pStyle w:val="List3"/>
        <w:numPr>
          <w:ilvl w:val="2"/>
          <w:numId w:val="7"/>
        </w:numPr>
        <w:rPr>
          <w:lang w:val="en-US"/>
        </w:rPr>
      </w:pPr>
      <w:r>
        <w:rPr>
          <w:lang w:val="en-US"/>
        </w:rPr>
        <w:t>m</w:t>
      </w:r>
      <w:r w:rsidRPr="00C8460A">
        <w:rPr>
          <w:lang w:val="en-US"/>
        </w:rPr>
        <w:t xml:space="preserve">onitoring </w:t>
      </w:r>
      <w:r w:rsidR="00530BA8" w:rsidRPr="00C8460A">
        <w:rPr>
          <w:lang w:val="en-US"/>
        </w:rPr>
        <w:t xml:space="preserve">and </w:t>
      </w:r>
      <w:r>
        <w:rPr>
          <w:lang w:val="en-US"/>
        </w:rPr>
        <w:t>e</w:t>
      </w:r>
      <w:r w:rsidRPr="00C8460A">
        <w:rPr>
          <w:lang w:val="en-US"/>
        </w:rPr>
        <w:t>valuation</w:t>
      </w:r>
      <w:r w:rsidR="00574775">
        <w:rPr>
          <w:lang w:val="en-US"/>
        </w:rPr>
        <w:t>.</w:t>
      </w:r>
    </w:p>
    <w:p w14:paraId="6679F954" w14:textId="6A7449AC" w:rsidR="00530BA8" w:rsidRPr="00A460B1" w:rsidRDefault="00530BA8" w:rsidP="00530BA8">
      <w:pPr>
        <w:pStyle w:val="Heading5"/>
        <w:rPr>
          <w:b/>
          <w:sz w:val="22"/>
          <w:szCs w:val="22"/>
        </w:rPr>
      </w:pPr>
      <w:r w:rsidRPr="00A460B1">
        <w:rPr>
          <w:b/>
          <w:sz w:val="22"/>
          <w:szCs w:val="22"/>
        </w:rPr>
        <w:t xml:space="preserve">Figure 1: Program </w:t>
      </w:r>
      <w:r w:rsidR="00207FD8">
        <w:rPr>
          <w:b/>
          <w:sz w:val="22"/>
          <w:szCs w:val="22"/>
        </w:rPr>
        <w:t>s</w:t>
      </w:r>
      <w:r w:rsidR="00207FD8" w:rsidRPr="00A460B1">
        <w:rPr>
          <w:b/>
          <w:sz w:val="22"/>
          <w:szCs w:val="22"/>
        </w:rPr>
        <w:t>tructure</w:t>
      </w:r>
    </w:p>
    <w:p w14:paraId="705EEA72" w14:textId="77777777" w:rsidR="00530BA8" w:rsidRPr="00A44AA9" w:rsidRDefault="00530BA8" w:rsidP="00530BA8">
      <w:pPr>
        <w:pStyle w:val="Heading2"/>
        <w:jc w:val="center"/>
      </w:pPr>
      <w:r>
        <w:rPr>
          <w:noProof/>
        </w:rPr>
        <mc:AlternateContent>
          <mc:Choice Requires="wpg">
            <w:drawing>
              <wp:inline distT="0" distB="0" distL="0" distR="0" wp14:anchorId="663C3E79" wp14:editId="2C3DB9ED">
                <wp:extent cx="2929395" cy="3826672"/>
                <wp:effectExtent l="76200" t="50800" r="93345" b="135890"/>
                <wp:docPr id="58" name="Group 2" descr="Program stru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395" cy="3826672"/>
                          <a:chOff x="4403" y="2447"/>
                          <a:chExt cx="3968" cy="5535"/>
                        </a:xfrm>
                      </wpg:grpSpPr>
                      <wpg:grpSp>
                        <wpg:cNvPr id="59" name="Group 3"/>
                        <wpg:cNvGrpSpPr>
                          <a:grpSpLocks/>
                        </wpg:cNvGrpSpPr>
                        <wpg:grpSpPr bwMode="auto">
                          <a:xfrm>
                            <a:off x="4403" y="2447"/>
                            <a:ext cx="3968" cy="5535"/>
                            <a:chOff x="4183" y="8832"/>
                            <a:chExt cx="3968" cy="5535"/>
                          </a:xfrm>
                        </wpg:grpSpPr>
                        <wps:wsp>
                          <wps:cNvPr id="60" name="Rounded Rectangle 6"/>
                          <wps:cNvSpPr>
                            <a:spLocks noChangeArrowheads="1"/>
                          </wps:cNvSpPr>
                          <wps:spPr bwMode="auto">
                            <a:xfrm>
                              <a:off x="6308" y="11927"/>
                              <a:ext cx="1843" cy="1007"/>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blurRad="63500" dist="20000" dir="5400000" rotWithShape="0">
                                <a:srgbClr val="000000">
                                  <a:alpha val="37999"/>
                                </a:srgbClr>
                              </a:outerShdw>
                            </a:effectLst>
                          </wps:spPr>
                          <wps:txbx>
                            <w:txbxContent>
                              <w:p w14:paraId="7AB8B17B" w14:textId="6933214A" w:rsidR="005B0DF4" w:rsidRDefault="005B0DF4" w:rsidP="00530BA8">
                                <w:pPr>
                                  <w:spacing w:after="0"/>
                                  <w:jc w:val="center"/>
                                </w:pPr>
                                <w:r w:rsidRPr="00375816">
                                  <w:rPr>
                                    <w:rFonts w:cs="Arial"/>
                                    <w:sz w:val="18"/>
                                    <w:szCs w:val="18"/>
                                  </w:rPr>
                                  <w:t xml:space="preserve">AANZFTA Support Unit </w:t>
                                </w:r>
                              </w:p>
                            </w:txbxContent>
                          </wps:txbx>
                          <wps:bodyPr rot="0" vert="horz" wrap="square" lIns="91440" tIns="45720" rIns="91440" bIns="45720" anchor="ctr" anchorCtr="0" upright="1">
                            <a:noAutofit/>
                          </wps:bodyPr>
                        </wps:wsp>
                        <wps:wsp>
                          <wps:cNvPr id="61" name="Up-Down Arrow 3"/>
                          <wps:cNvSpPr>
                            <a:spLocks noChangeArrowheads="1"/>
                          </wps:cNvSpPr>
                          <wps:spPr bwMode="auto">
                            <a:xfrm>
                              <a:off x="6829" y="11260"/>
                              <a:ext cx="110" cy="618"/>
                            </a:xfrm>
                            <a:prstGeom prst="upDownArrow">
                              <a:avLst>
                                <a:gd name="adj1" fmla="val 50000"/>
                                <a:gd name="adj2" fmla="val 49991"/>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2" name="Rounded Rectangle 6"/>
                          <wps:cNvSpPr>
                            <a:spLocks noChangeArrowheads="1"/>
                          </wps:cNvSpPr>
                          <wps:spPr bwMode="auto">
                            <a:xfrm>
                              <a:off x="4183" y="11918"/>
                              <a:ext cx="1843" cy="1016"/>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blurRad="63500" dist="20000" dir="5400000" rotWithShape="0">
                                <a:srgbClr val="000000">
                                  <a:alpha val="37999"/>
                                </a:srgbClr>
                              </a:outerShdw>
                            </a:effectLst>
                          </wps:spPr>
                          <wps:txbx>
                            <w:txbxContent>
                              <w:p w14:paraId="1A7DADA7" w14:textId="7B5AFD14" w:rsidR="005B0DF4" w:rsidRDefault="005B0DF4" w:rsidP="00530BA8">
                                <w:pPr>
                                  <w:spacing w:after="0"/>
                                  <w:jc w:val="center"/>
                                </w:pPr>
                                <w:r>
                                  <w:t>Economic Cooperation Work Program</w:t>
                                </w:r>
                              </w:p>
                            </w:txbxContent>
                          </wps:txbx>
                          <wps:bodyPr rot="0" vert="horz" wrap="square" lIns="91440" tIns="45720" rIns="91440" bIns="45720" anchor="ctr" anchorCtr="0" upright="1">
                            <a:noAutofit/>
                          </wps:bodyPr>
                        </wps:wsp>
                        <wps:wsp>
                          <wps:cNvPr id="63" name="Rounded Rectangle 8"/>
                          <wps:cNvSpPr>
                            <a:spLocks noChangeArrowheads="1"/>
                          </wps:cNvSpPr>
                          <wps:spPr bwMode="auto">
                            <a:xfrm>
                              <a:off x="4926" y="8832"/>
                              <a:ext cx="2449" cy="800"/>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blurRad="63500" dist="20000" dir="5400000" rotWithShape="0">
                                <a:srgbClr val="000000">
                                  <a:alpha val="37999"/>
                                </a:srgbClr>
                              </a:outerShdw>
                            </a:effectLst>
                          </wps:spPr>
                          <wps:txbx>
                            <w:txbxContent>
                              <w:p w14:paraId="627B9DC8" w14:textId="6CABDF53" w:rsidR="005B0DF4" w:rsidRPr="005C48BE" w:rsidRDefault="005B0DF4" w:rsidP="00530BA8">
                                <w:pPr>
                                  <w:spacing w:after="0"/>
                                  <w:jc w:val="center"/>
                                </w:pPr>
                                <w:r w:rsidRPr="005C48BE">
                                  <w:t>AANZFTA</w:t>
                                </w:r>
                                <w:r>
                                  <w:t xml:space="preserve"> a</w:t>
                                </w:r>
                                <w:r w:rsidRPr="005C48BE">
                                  <w:t>greement</w:t>
                                </w:r>
                              </w:p>
                            </w:txbxContent>
                          </wps:txbx>
                          <wps:bodyPr rot="0" vert="horz" wrap="square" lIns="91440" tIns="45720" rIns="91440" bIns="45720" anchor="ctr" anchorCtr="0" upright="1">
                            <a:noAutofit/>
                          </wps:bodyPr>
                        </wps:wsp>
                        <wps:wsp>
                          <wps:cNvPr id="64" name="Up-Down Arrow 4"/>
                          <wps:cNvSpPr>
                            <a:spLocks noChangeArrowheads="1"/>
                          </wps:cNvSpPr>
                          <wps:spPr bwMode="auto">
                            <a:xfrm>
                              <a:off x="5400" y="11262"/>
                              <a:ext cx="110" cy="618"/>
                            </a:xfrm>
                            <a:prstGeom prst="upDownArrow">
                              <a:avLst>
                                <a:gd name="adj1" fmla="val 50000"/>
                                <a:gd name="adj2" fmla="val 49991"/>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5" name="Rounded Rectangle 7"/>
                          <wps:cNvSpPr>
                            <a:spLocks noChangeArrowheads="1"/>
                          </wps:cNvSpPr>
                          <wps:spPr bwMode="auto">
                            <a:xfrm>
                              <a:off x="4937" y="10362"/>
                              <a:ext cx="2467" cy="877"/>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blurRad="63500" dist="20000" dir="5400000" rotWithShape="0">
                                <a:srgbClr val="000000">
                                  <a:alpha val="37999"/>
                                </a:srgbClr>
                              </a:outerShdw>
                            </a:effectLst>
                          </wps:spPr>
                          <wps:txbx>
                            <w:txbxContent>
                              <w:p w14:paraId="3B60F1C0" w14:textId="77777777" w:rsidR="005B0DF4" w:rsidRPr="005C48BE" w:rsidRDefault="005B0DF4" w:rsidP="00530BA8">
                                <w:pPr>
                                  <w:spacing w:after="0"/>
                                  <w:jc w:val="center"/>
                                </w:pPr>
                                <w:r w:rsidRPr="005C48BE">
                                  <w:t>AECSP</w:t>
                                </w:r>
                              </w:p>
                              <w:p w14:paraId="11272267" w14:textId="77777777" w:rsidR="005B0DF4" w:rsidRPr="005C48BE" w:rsidRDefault="005B0DF4" w:rsidP="00530BA8">
                                <w:pPr>
                                  <w:spacing w:after="0"/>
                                  <w:jc w:val="center"/>
                                </w:pPr>
                                <w:r>
                                  <w:t>“The Program”</w:t>
                                </w:r>
                              </w:p>
                            </w:txbxContent>
                          </wps:txbx>
                          <wps:bodyPr rot="0" vert="horz" wrap="square" lIns="91440" tIns="45720" rIns="91440" bIns="45720" anchor="ctr" anchorCtr="0" upright="1">
                            <a:noAutofit/>
                          </wps:bodyPr>
                        </wps:wsp>
                        <wps:wsp>
                          <wps:cNvPr id="66" name="Up-Down Arrow 2"/>
                          <wps:cNvSpPr>
                            <a:spLocks noChangeArrowheads="1"/>
                          </wps:cNvSpPr>
                          <wps:spPr bwMode="auto">
                            <a:xfrm>
                              <a:off x="6133" y="9676"/>
                              <a:ext cx="111" cy="691"/>
                            </a:xfrm>
                            <a:prstGeom prst="upDownArrow">
                              <a:avLst>
                                <a:gd name="adj1" fmla="val 50000"/>
                                <a:gd name="adj2" fmla="val 5539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7" name="Rounded Rectangle 4"/>
                          <wps:cNvSpPr>
                            <a:spLocks noChangeArrowheads="1"/>
                          </wps:cNvSpPr>
                          <wps:spPr bwMode="auto">
                            <a:xfrm>
                              <a:off x="4266" y="13663"/>
                              <a:ext cx="3734" cy="704"/>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blurRad="63500" dist="20000" dir="5400000" rotWithShape="0">
                                <a:srgbClr val="000000">
                                  <a:alpha val="37999"/>
                                </a:srgbClr>
                              </a:outerShdw>
                            </a:effectLst>
                          </wps:spPr>
                          <wps:txbx>
                            <w:txbxContent>
                              <w:p w14:paraId="255F801E" w14:textId="4F6B1460" w:rsidR="005B0DF4" w:rsidRPr="005C48BE" w:rsidRDefault="005B0DF4" w:rsidP="00530BA8">
                                <w:pPr>
                                  <w:spacing w:after="0"/>
                                  <w:jc w:val="center"/>
                                </w:pPr>
                                <w:r w:rsidRPr="005C48BE">
                                  <w:t>Activities</w:t>
                                </w:r>
                                <w:r>
                                  <w:t>/projects</w:t>
                                </w:r>
                              </w:p>
                            </w:txbxContent>
                          </wps:txbx>
                          <wps:bodyPr rot="0" vert="horz" wrap="square" lIns="91440" tIns="45720" rIns="91440" bIns="45720" anchor="ctr" anchorCtr="0" upright="1">
                            <a:noAutofit/>
                          </wps:bodyPr>
                        </wps:wsp>
                        <wps:wsp>
                          <wps:cNvPr id="68" name="Up-Down Arrow 4"/>
                          <wps:cNvSpPr>
                            <a:spLocks noChangeArrowheads="1"/>
                          </wps:cNvSpPr>
                          <wps:spPr bwMode="auto">
                            <a:xfrm>
                              <a:off x="5118" y="12959"/>
                              <a:ext cx="62" cy="674"/>
                            </a:xfrm>
                            <a:prstGeom prst="upDownArrow">
                              <a:avLst>
                                <a:gd name="adj1" fmla="val 50000"/>
                                <a:gd name="adj2" fmla="val 5824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9" name="Up-Down Arrow 4"/>
                          <wps:cNvSpPr>
                            <a:spLocks noChangeArrowheads="1"/>
                          </wps:cNvSpPr>
                          <wps:spPr bwMode="auto">
                            <a:xfrm>
                              <a:off x="7126" y="12959"/>
                              <a:ext cx="62" cy="672"/>
                            </a:xfrm>
                            <a:prstGeom prst="upDownArrow">
                              <a:avLst>
                                <a:gd name="adj1" fmla="val 50000"/>
                                <a:gd name="adj2" fmla="val 5824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g:grpSp>
                      <wpg:grpSp>
                        <wpg:cNvPr id="70" name="Group 14"/>
                        <wpg:cNvGrpSpPr>
                          <a:grpSpLocks/>
                        </wpg:cNvGrpSpPr>
                        <wpg:grpSpPr bwMode="auto">
                          <a:xfrm>
                            <a:off x="7642" y="2857"/>
                            <a:ext cx="502" cy="2636"/>
                            <a:chOff x="7642" y="2857"/>
                            <a:chExt cx="502" cy="2636"/>
                          </a:xfrm>
                        </wpg:grpSpPr>
                        <wps:wsp>
                          <wps:cNvPr id="71" name="AutoShape 15"/>
                          <wps:cNvSpPr>
                            <a:spLocks noChangeArrowheads="1"/>
                          </wps:cNvSpPr>
                          <wps:spPr bwMode="auto">
                            <a:xfrm>
                              <a:off x="8007" y="2880"/>
                              <a:ext cx="137" cy="2613"/>
                            </a:xfrm>
                            <a:prstGeom prst="downArrow">
                              <a:avLst>
                                <a:gd name="adj1" fmla="val 37380"/>
                                <a:gd name="adj2" fmla="val 105608"/>
                              </a:avLst>
                            </a:prstGeom>
                            <a:noFill/>
                            <a:ln w="25400">
                              <a:solidFill>
                                <a:srgbClr val="385D8A"/>
                              </a:solidFill>
                              <a:prstDash val="dash"/>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wps:wsp>
                          <wps:cNvPr id="72" name="AutoShape 16"/>
                          <wps:cNvSpPr>
                            <a:spLocks noChangeArrowheads="1"/>
                          </wps:cNvSpPr>
                          <wps:spPr bwMode="auto">
                            <a:xfrm rot="5400000">
                              <a:off x="7784" y="2715"/>
                              <a:ext cx="113" cy="397"/>
                            </a:xfrm>
                            <a:prstGeom prst="downArrow">
                              <a:avLst>
                                <a:gd name="adj1" fmla="val 45981"/>
                                <a:gd name="adj2" fmla="val 97477"/>
                              </a:avLst>
                            </a:prstGeom>
                            <a:noFill/>
                            <a:ln w="25400">
                              <a:solidFill>
                                <a:srgbClr val="385D8A"/>
                              </a:solidFill>
                              <a:prstDash val="dash"/>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wpg:grpSp>
                    </wpg:wgp>
                  </a:graphicData>
                </a:graphic>
              </wp:inline>
            </w:drawing>
          </mc:Choice>
          <mc:Fallback>
            <w:pict>
              <v:group id="Group 2" o:spid="_x0000_s1026" alt="Description: Program structure" style="width:230.65pt;height:301.3pt;mso-position-horizontal-relative:char;mso-position-vertical-relative:line" coordorigin="4403,2447" coordsize="3968,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">
                <v:group id="Group 3" o:spid="_x0000_s1027" style="position:absolute;left:4403;top:2447;width:3968;height:5535" coordorigin="4183,8832" coordsize="3968,5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oundrect id="Rounded Rectangle 6" o:spid="_x0000_s1028" style="position:absolute;left:6308;top:11927;width:1843;height:10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3+/MEA&#10;AADbAAAADwAAAGRycy9kb3ducmV2LnhtbERPTYvCMBC9C/sfwix403RdKNI1ii7IelKsXnobmrEt&#10;20xqE23rrzcHwePjfS9WvanFnVpXWVbwNY1AEOdWV1woOJ+2kzkI55E11pZJwUAOVsuP0QITbTs+&#10;0j31hQgh7BJUUHrfJFK6vCSDbmob4sBdbGvQB9gWUrfYhXBTy1kUxdJgxaGhxIZ+S8r/05tRsNPd&#10;5pruL9nDXv/i2aEassf3oNT4s1//gPDU+7f45d5pBXF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t/vzBAAAA2wAAAA8AAAAAAAAAAAAAAAAAmAIAAGRycy9kb3du&#10;cmV2LnhtbFBLBQYAAAAABAAEAPUAAACGAwAAAAA=&#10;" fillcolor="#9eeaff" strokecolor="#46aac5">
                    <v:fill color2="#e4f9ff" rotate="t" angle="180" colors="0 #9eeaff;22938f #bbefff;1 #e4f9ff" focus="100%" type="gradient"/>
                    <v:shadow on="t" color="black" opacity="24903f" origin=",.5" offset="0,.55556mm"/>
                    <v:textbox>
                      <w:txbxContent>
                        <w:p w14:paraId="7AB8B17B" w14:textId="6933214A" w:rsidR="005B0DF4" w:rsidRDefault="005B0DF4" w:rsidP="00530BA8">
                          <w:pPr>
                            <w:spacing w:after="0"/>
                            <w:jc w:val="center"/>
                          </w:pPr>
                          <w:r w:rsidRPr="00375816">
                            <w:rPr>
                              <w:rFonts w:cs="Arial"/>
                              <w:sz w:val="18"/>
                              <w:szCs w:val="18"/>
                            </w:rPr>
                            <w:t xml:space="preserve">AANZFTA Support Unit </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 o:spid="_x0000_s1029" type="#_x0000_t70" style="position:absolute;left:6829;top:11260;width:110;height: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OO88QA&#10;AADbAAAADwAAAGRycy9kb3ducmV2LnhtbESPUWsCMRCE3wv9D2ELvkjNqSDlNEqrFK20D7X+gOWy&#10;3h1eNkey1dNf3whCH4eZ+YaZLTrXqBOFWHs2MBxkoIgLb2suDex/3p9fQEVBtth4JgMXirCYPz7M&#10;MLf+zN902kmpEoRjjgYqkTbXOhYVOYwD3xIn7+CDQ0kylNoGPCe4a/QoyybaYc1pocKWlhUVx92v&#10;M5D1cbV/k+PXWLrtx7oOXj6vG2N6T93rFJRQJ//he3tjDUyGcPuSf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jvPEAAAA2wAAAA8AAAAAAAAAAAAAAAAAmAIAAGRycy9k&#10;b3ducmV2LnhtbFBLBQYAAAAABAAEAPUAAACJAwAAAAA=&#10;" adj=",1922" fillcolor="#4f81bd" strokecolor="#385d8a" strokeweight="2pt"/>
                  <v:roundrect id="Rounded Rectangle 6" o:spid="_x0000_s1030" style="position:absolute;left:4183;top:11918;width:1843;height:1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FEMQA&#10;AADbAAAADwAAAGRycy9kb3ducmV2LnhtbESPQWvCQBSE7wX/w/KE3urGFEKJrqKC6KnF6MXbI/tM&#10;gtm3MbuaxF/fLQg9DjPzDTNf9qYWD2pdZVnBdBKBIM6trrhQcDpuP75AOI+ssbZMCgZysFyM3uaY&#10;atvxgR6ZL0SAsEtRQel9k0rp8pIMuoltiIN3sa1BH2RbSN1iF+CmlnEUJdJgxWGhxIY2JeXX7G4U&#10;7HW3vmXfl/PT3nZJ/FMN5+fnoNT7uF/NQHjq/X/41d5rBUkMf1/C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zxRDEAAAA2wAAAA8AAAAAAAAAAAAAAAAAmAIAAGRycy9k&#10;b3ducmV2LnhtbFBLBQYAAAAABAAEAPUAAACJAwAAAAA=&#10;" fillcolor="#9eeaff" strokecolor="#46aac5">
                    <v:fill color2="#e4f9ff" rotate="t" angle="180" colors="0 #9eeaff;22938f #bbefff;1 #e4f9ff" focus="100%" type="gradient"/>
                    <v:shadow on="t" color="black" opacity="24903f" origin=",.5" offset="0,.55556mm"/>
                    <v:textbox>
                      <w:txbxContent>
                        <w:p w14:paraId="1A7DADA7" w14:textId="7B5AFD14" w:rsidR="005B0DF4" w:rsidRDefault="005B0DF4" w:rsidP="00530BA8">
                          <w:pPr>
                            <w:spacing w:after="0"/>
                            <w:jc w:val="center"/>
                          </w:pPr>
                          <w:r>
                            <w:t>Economic Cooperation Work Program</w:t>
                          </w:r>
                        </w:p>
                      </w:txbxContent>
                    </v:textbox>
                  </v:roundrect>
                  <v:roundrect id="Rounded Rectangle 8" o:spid="_x0000_s1031" style="position:absolute;left:4926;top:8832;width:2449;height: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gi8UA&#10;AADbAAAADwAAAGRycy9kb3ducmV2LnhtbESPzWrDMBCE74W8g9hAbo0cB0xxrYQ2UJJTS51cclus&#10;9Q+1VralxnaevioUehxm5hsm20+mFTcaXGNZwWYdgSAurG64UnA5vz0+gXAeWWNrmRTM5GC/Wzxk&#10;mGo78ifdcl+JAGGXooLa+y6V0hU1GXRr2xEHr7SDQR/kUEk94BjgppVxFCXSYMNhocaODjUVX/m3&#10;UXDS42ufv5fXu+2PSfzRzNf7dlZqtZxenkF4mvx/+K990gqSL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2CLxQAAANsAAAAPAAAAAAAAAAAAAAAAAJgCAABkcnMv&#10;ZG93bnJldi54bWxQSwUGAAAAAAQABAD1AAAAigMAAAAA&#10;" fillcolor="#9eeaff" strokecolor="#46aac5">
                    <v:fill color2="#e4f9ff" rotate="t" angle="180" colors="0 #9eeaff;22938f #bbefff;1 #e4f9ff" focus="100%" type="gradient"/>
                    <v:shadow on="t" color="black" opacity="24903f" origin=",.5" offset="0,.55556mm"/>
                    <v:textbox>
                      <w:txbxContent>
                        <w:p w14:paraId="627B9DC8" w14:textId="6CABDF53" w:rsidR="005B0DF4" w:rsidRPr="005C48BE" w:rsidRDefault="005B0DF4" w:rsidP="00530BA8">
                          <w:pPr>
                            <w:spacing w:after="0"/>
                            <w:jc w:val="center"/>
                          </w:pPr>
                          <w:r w:rsidRPr="005C48BE">
                            <w:t>AANZFTA</w:t>
                          </w:r>
                          <w:r>
                            <w:t xml:space="preserve"> a</w:t>
                          </w:r>
                          <w:r w:rsidRPr="005C48BE">
                            <w:t>greement</w:t>
                          </w:r>
                        </w:p>
                      </w:txbxContent>
                    </v:textbox>
                  </v:roundrect>
                  <v:shape id="Up-Down Arrow 4" o:spid="_x0000_s1032" type="#_x0000_t70" style="position:absolute;left:5400;top:11262;width:110;height: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ta8UA&#10;AADbAAAADwAAAGRycy9kb3ducmV2LnhtbESPUWsCMRCE34X+h7AFX0RztUXK1ShaEW1pH6r+gOWy&#10;vTu8bI5k1au/3hQKfRxm5htmOu9co84UYu3ZwMMoA0VceFtzaeCwXw+fQUVBtth4JgM/FGE+u+tN&#10;Mbf+wl903kmpEoRjjgYqkTbXOhYVOYwj3xIn79sHh5JkKLUNeElw1+hxlk20w5rTQoUtvVZUHHcn&#10;ZyAb4OqwlOPno3Tvb5s6ePm4bo3p33eLF1BCnfyH/9pba2DyBL9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C1rxQAAANsAAAAPAAAAAAAAAAAAAAAAAJgCAABkcnMv&#10;ZG93bnJldi54bWxQSwUGAAAAAAQABAD1AAAAigMAAAAA&#10;" adj=",1922" fillcolor="#4f81bd" strokecolor="#385d8a" strokeweight="2pt"/>
                  <v:roundrect id="Rounded Rectangle 7" o:spid="_x0000_s1033" style="position:absolute;left:4937;top:10362;width:2467;height:8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dZMUA&#10;AADbAAAADwAAAGRycy9kb3ducmV2LnhtbESPT2vCQBTE74V+h+UVvNWNFkOJbsQWSj1ZGnvJ7ZF9&#10;+YPZtzG7NYmf3i0UPA4z8xtmsx1NKy7Uu8aygsU8AkFcWN1wpeDn+PH8CsJ5ZI2tZVIwkYNt+viw&#10;wUTbgb/pkvlKBAi7BBXU3neJlK6oyaCb2444eKXtDfog+0rqHocAN61cRlEsDTYcFmrs6L2m4pT9&#10;GgV7Pbyds0OZX+35M15+NVN+fZmUmj2NuzUIT6O/h//be60gXsHfl/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l1kxQAAANsAAAAPAAAAAAAAAAAAAAAAAJgCAABkcnMv&#10;ZG93bnJldi54bWxQSwUGAAAAAAQABAD1AAAAigMAAAAA&#10;" fillcolor="#9eeaff" strokecolor="#46aac5">
                    <v:fill color2="#e4f9ff" rotate="t" angle="180" colors="0 #9eeaff;22938f #bbefff;1 #e4f9ff" focus="100%" type="gradient"/>
                    <v:shadow on="t" color="black" opacity="24903f" origin=",.5" offset="0,.55556mm"/>
                    <v:textbox>
                      <w:txbxContent>
                        <w:p w14:paraId="3B60F1C0" w14:textId="77777777" w:rsidR="005B0DF4" w:rsidRPr="005C48BE" w:rsidRDefault="005B0DF4" w:rsidP="00530BA8">
                          <w:pPr>
                            <w:spacing w:after="0"/>
                            <w:jc w:val="center"/>
                          </w:pPr>
                          <w:r w:rsidRPr="005C48BE">
                            <w:t>AECSP</w:t>
                          </w:r>
                        </w:p>
                        <w:p w14:paraId="11272267" w14:textId="77777777" w:rsidR="005B0DF4" w:rsidRPr="005C48BE" w:rsidRDefault="005B0DF4" w:rsidP="00530BA8">
                          <w:pPr>
                            <w:spacing w:after="0"/>
                            <w:jc w:val="center"/>
                          </w:pPr>
                          <w:r>
                            <w:t>“The Program”</w:t>
                          </w:r>
                        </w:p>
                      </w:txbxContent>
                    </v:textbox>
                  </v:roundrect>
                  <v:shape id="Up-Down Arrow 2" o:spid="_x0000_s1034" type="#_x0000_t70" style="position:absolute;left:6133;top:9676;width:111;height: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Wh8UA&#10;AADbAAAADwAAAGRycy9kb3ducmV2LnhtbESPUUvDQBCE34X+h2MLvoi9qBAk7bW0FbGW+mDaH7Dk&#10;tklobi/crW3013sFwcdhZr5hZovBdepMIbaeDTxMMlDElbct1wYO+9f7Z1BRkC12nsnAN0VYzEc3&#10;Myysv/AnnUupVYJwLNBAI9IXWseqIYdx4nvi5B19cChJhlrbgJcEd51+zLJcO2w5LTTY07qh6lR+&#10;OQPZHb4cVnL6eJJh+/7WBi+7n40xt+NhOQUlNMh/+K+9sQbyHK5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haHxQAAANsAAAAPAAAAAAAAAAAAAAAAAJgCAABkcnMv&#10;ZG93bnJldi54bWxQSwUGAAAAAAQABAD1AAAAigMAAAAA&#10;" adj=",1922" fillcolor="#4f81bd" strokecolor="#385d8a" strokeweight="2pt"/>
                  <v:roundrect id="Rounded Rectangle 4" o:spid="_x0000_s1035" style="position:absolute;left:4266;top:13663;width:3734;height: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miMQA&#10;AADbAAAADwAAAGRycy9kb3ducmV2LnhtbESPQWvCQBSE74L/YXlCb7qpQpTUVaogemox9eLtkX0m&#10;odm3MbuaxF/fFYQeh5n5hlmuO1OJOzWutKzgfRKBIM6sLjlXcPrZjRcgnEfWWFkmBT05WK+GgyUm&#10;2rZ8pHvqcxEg7BJUUHhfJ1K6rCCDbmJr4uBdbGPQB9nkUjfYBrip5DSKYmmw5LBQYE3bgrLf9GYU&#10;HHS7uaZfl/PDXvfx9Lvsz49Zr9TbqPv8AOGp8//hV/ugFcRzeH4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EZojEAAAA2wAAAA8AAAAAAAAAAAAAAAAAmAIAAGRycy9k&#10;b3ducmV2LnhtbFBLBQYAAAAABAAEAPUAAACJAwAAAAA=&#10;" fillcolor="#9eeaff" strokecolor="#46aac5">
                    <v:fill color2="#e4f9ff" rotate="t" angle="180" colors="0 #9eeaff;22938f #bbefff;1 #e4f9ff" focus="100%" type="gradient"/>
                    <v:shadow on="t" color="black" opacity="24903f" origin=",.5" offset="0,.55556mm"/>
                    <v:textbox>
                      <w:txbxContent>
                        <w:p w14:paraId="255F801E" w14:textId="4F6B1460" w:rsidR="005B0DF4" w:rsidRPr="005C48BE" w:rsidRDefault="005B0DF4" w:rsidP="00530BA8">
                          <w:pPr>
                            <w:spacing w:after="0"/>
                            <w:jc w:val="center"/>
                          </w:pPr>
                          <w:r w:rsidRPr="005C48BE">
                            <w:t>Activities</w:t>
                          </w:r>
                          <w:r>
                            <w:t>/projects</w:t>
                          </w:r>
                        </w:p>
                      </w:txbxContent>
                    </v:textbox>
                  </v:roundrect>
                  <v:shape id="Up-Down Arrow 4" o:spid="_x0000_s1036" type="#_x0000_t70" style="position:absolute;left:5118;top:12959;width:62;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rfrsIA&#10;AADbAAAADwAAAGRycy9kb3ducmV2LnhtbERPTUvDQBC9C/0Pywje7MZSaxu7LSIVvXhotRRvY3ZM&#10;QrOzITsm8d87B8Hj432vt2NoTE9dqiM7uJlmYIiL6GsuHby/PV0vwSRB9thEJgc/lGC7mVysMfdx&#10;4D31BymNhnDK0UEl0ubWpqKigGkaW2LlvmIXUBR2pfUdDhoeGjvLsoUNWLM2VNjSY0XF+fAdtGS1&#10;u3seBzkuZx+87+cnuf08vjp3dTk+3IMRGuVf/Od+8Q4WOla/6A+w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t+uwgAAANsAAAAPAAAAAAAAAAAAAAAAAJgCAABkcnMvZG93&#10;bnJldi54bWxQSwUGAAAAAAQABAD1AAAAhwMAAAAA&#10;" adj=",1157" fillcolor="#4f81bd" strokecolor="#385d8a" strokeweight="2pt"/>
                  <v:shape id="Up-Down Arrow 4" o:spid="_x0000_s1037" type="#_x0000_t70" style="position:absolute;left:7126;top:12959;width:62;height: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qMMA&#10;AADbAAAADwAAAGRycy9kb3ducmV2LnhtbESPQWsCMRSE7wX/Q3iCt5qsB7GrUcRS8OKhWxWPj81z&#10;s7h5WTdx3f77plDocZiZb5jVZnCN6KkLtWcN2VSBIC69qbnScPz6eF2ACBHZYOOZNHxTgM169LLC&#10;3Pgnf1JfxEokCIccNdgY21zKUFpyGKa+JU7e1XcOY5JdJU2HzwR3jZwpNZcOa04LFlvaWSpvxcNp&#10;ePeHVmXFeX+pjoptf19kJ1VqPRkP2yWISEP8D/+190bD/A1+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E+qMMAAADbAAAADwAAAAAAAAAAAAAAAACYAgAAZHJzL2Rv&#10;d25yZXYueG1sUEsFBgAAAAAEAAQA9QAAAIgDAAAAAA==&#10;" adj=",1161" fillcolor="#4f81bd" strokecolor="#385d8a" strokeweight="2pt"/>
                </v:group>
                <v:group id="Group 14" o:spid="_x0000_s1038" style="position:absolute;left:7642;top:2857;width:502;height:2636" coordorigin="7642,2857" coordsize="502,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39" type="#_x0000_t67" style="position:absolute;left:8007;top:2880;width:137;height:2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7R1cUA&#10;AADbAAAADwAAAGRycy9kb3ducmV2LnhtbESPzWrDMBCE74G8g9hCL6GRU0hdnCghJKT00EPj/JwX&#10;a2OJWitjqbH79lWhkOMwM98wy/XgGnGjLljPCmbTDARx5bXlWsHpuH96BREissbGMyn4oQDr1Xi0&#10;xEL7ng90K2MtEoRDgQpMjG0hZagMOQxT3xIn7+o7hzHJrpa6wz7BXSOfs+xFOrScFgy2tDVUfZXf&#10;TsHeWmfeLpOPY7/Zfc7reb6151ypx4dhswARaYj38H/7XSvIZ/D3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tHVxQAAANsAAAAPAAAAAAAAAAAAAAAAAJgCAABkcnMv&#10;ZG93bnJldi54bWxQSwUGAAAAAAQABAD1AAAAigMAAAAA&#10;" adj="20404,6763" filled="f" fillcolor="#4f81bd" strokecolor="#385d8a" strokeweight="2pt">
                    <v:stroke dashstyle="dash"/>
                    <v:shadow color="black" opacity="49150f" offset=".74833mm,.74833mm"/>
                  </v:shape>
                  <v:shape id="AutoShape 16" o:spid="_x0000_s1040" type="#_x0000_t67" style="position:absolute;left:7784;top:2715;width:113;height:3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BtgsQA&#10;AADbAAAADwAAAGRycy9kb3ducmV2LnhtbESPzWrDMBCE74G+g9hCL6GR60Ja3MghBALtLU7d+9ba&#10;2sbWyrEU/7x9VAjkOMzMN8xmO5lWDNS72rKCl1UEgriwuuZSQf59eH4H4TyyxtYyKZjJwTZ9WGww&#10;0XbkjIaTL0WAsEtQQeV9l0jpiooMupXtiIP3Z3uDPsi+lLrHMcBNK+MoWkuDNYeFCjvaV1Q0p4tR&#10;MB2O0WtWxusmn9vzL/5cvnbxUqmnx2n3AcLT5O/hW/tTK3iL4f9L+AEy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QbYLEAAAA2wAAAA8AAAAAAAAAAAAAAAAAmAIAAGRycy9k&#10;b3ducmV2LnhtbFBLBQYAAAAABAAEAPUAAACJAwAAAAA=&#10;" adj="15607,5834" filled="f" fillcolor="#4f81bd" strokecolor="#385d8a" strokeweight="2pt">
                    <v:stroke dashstyle="dash"/>
                    <v:shadow color="black" opacity="49150f" offset=".74833mm,.74833mm"/>
                  </v:shape>
                </v:group>
                <w10:anchorlock/>
              </v:group>
            </w:pict>
          </mc:Fallback>
        </mc:AlternateContent>
      </w:r>
    </w:p>
    <w:p w14:paraId="04551CF1" w14:textId="1E985994" w:rsidR="00530BA8" w:rsidRPr="00A460B1" w:rsidRDefault="00530BA8" w:rsidP="00530BA8">
      <w:pPr>
        <w:pStyle w:val="BodyText"/>
        <w:rPr>
          <w:sz w:val="18"/>
          <w:szCs w:val="18"/>
        </w:rPr>
      </w:pPr>
      <w:r w:rsidRPr="00011991">
        <w:rPr>
          <w:sz w:val="18"/>
          <w:szCs w:val="18"/>
        </w:rPr>
        <w:t>Source</w:t>
      </w:r>
      <w:r w:rsidRPr="00A460B1">
        <w:rPr>
          <w:sz w:val="18"/>
          <w:szCs w:val="18"/>
        </w:rPr>
        <w:t xml:space="preserve">: AECSP 2011, </w:t>
      </w:r>
      <w:r w:rsidR="00207FD8">
        <w:rPr>
          <w:sz w:val="18"/>
          <w:szCs w:val="18"/>
        </w:rPr>
        <w:t>monitoring and evaluation</w:t>
      </w:r>
      <w:r w:rsidRPr="00A460B1">
        <w:rPr>
          <w:sz w:val="18"/>
          <w:szCs w:val="18"/>
        </w:rPr>
        <w:t xml:space="preserve"> </w:t>
      </w:r>
      <w:r w:rsidR="00207FD8">
        <w:rPr>
          <w:sz w:val="18"/>
          <w:szCs w:val="18"/>
        </w:rPr>
        <w:t>f</w:t>
      </w:r>
      <w:r w:rsidRPr="00A460B1">
        <w:rPr>
          <w:sz w:val="18"/>
          <w:szCs w:val="18"/>
        </w:rPr>
        <w:t>ramework</w:t>
      </w:r>
      <w:r w:rsidR="0038792B">
        <w:rPr>
          <w:sz w:val="18"/>
          <w:szCs w:val="18"/>
        </w:rPr>
        <w:t>.</w:t>
      </w:r>
    </w:p>
    <w:p w14:paraId="5982DBE8" w14:textId="3D02D118" w:rsidR="00530BA8" w:rsidRPr="00C8460A" w:rsidRDefault="00530BA8" w:rsidP="00530BA8">
      <w:pPr>
        <w:pStyle w:val="List2"/>
        <w:numPr>
          <w:ilvl w:val="1"/>
          <w:numId w:val="7"/>
        </w:numPr>
      </w:pPr>
      <w:r w:rsidRPr="00C8460A">
        <w:rPr>
          <w:lang w:val="en-US"/>
        </w:rPr>
        <w:t xml:space="preserve">Funding for the </w:t>
      </w:r>
      <w:r w:rsidR="00F666BD" w:rsidRPr="00C8460A">
        <w:rPr>
          <w:lang w:val="en-US"/>
        </w:rPr>
        <w:t>Economic Cooperation Work Program</w:t>
      </w:r>
      <w:r w:rsidRPr="00C8460A">
        <w:rPr>
          <w:lang w:val="en-US"/>
        </w:rPr>
        <w:t xml:space="preserve">, which is a set of annual activities </w:t>
      </w:r>
      <w:r>
        <w:rPr>
          <w:lang w:val="en-US"/>
        </w:rPr>
        <w:t xml:space="preserve">agreed by </w:t>
      </w:r>
      <w:r w:rsidR="00195609">
        <w:rPr>
          <w:lang w:val="en-US"/>
        </w:rPr>
        <w:t xml:space="preserve">Free Trade Agreement </w:t>
      </w:r>
      <w:r>
        <w:rPr>
          <w:lang w:val="en-US"/>
        </w:rPr>
        <w:t>Joint Committee</w:t>
      </w:r>
      <w:r w:rsidR="00011991">
        <w:rPr>
          <w:lang w:val="en-US"/>
        </w:rPr>
        <w:t>,</w:t>
      </w:r>
      <w:r w:rsidRPr="00C8460A">
        <w:rPr>
          <w:lang w:val="en-US"/>
        </w:rPr>
        <w:t xml:space="preserve"> help</w:t>
      </w:r>
      <w:r w:rsidR="0038792B">
        <w:rPr>
          <w:lang w:val="en-US"/>
        </w:rPr>
        <w:t>s</w:t>
      </w:r>
      <w:r w:rsidRPr="00C8460A">
        <w:rPr>
          <w:lang w:val="en-US"/>
        </w:rPr>
        <w:t xml:space="preserve"> build the capacity of developing ASEAN countries to implement the AANZFTA</w:t>
      </w:r>
      <w:r w:rsidR="00574775">
        <w:rPr>
          <w:lang w:val="en-US"/>
        </w:rPr>
        <w:t>. It</w:t>
      </w:r>
      <w:r w:rsidR="00574775" w:rsidRPr="00C8460A">
        <w:rPr>
          <w:lang w:val="en-US"/>
        </w:rPr>
        <w:t xml:space="preserve"> </w:t>
      </w:r>
      <w:r w:rsidR="0038792B" w:rsidRPr="00C8460A">
        <w:rPr>
          <w:lang w:val="en-US"/>
        </w:rPr>
        <w:t>focus</w:t>
      </w:r>
      <w:r w:rsidR="0038792B">
        <w:rPr>
          <w:lang w:val="en-US"/>
        </w:rPr>
        <w:t>es</w:t>
      </w:r>
      <w:r w:rsidR="0038792B" w:rsidRPr="00C8460A">
        <w:rPr>
          <w:lang w:val="en-US"/>
        </w:rPr>
        <w:t xml:space="preserve"> </w:t>
      </w:r>
      <w:r w:rsidRPr="00C8460A">
        <w:rPr>
          <w:lang w:val="en-US"/>
        </w:rPr>
        <w:t>on:</w:t>
      </w:r>
    </w:p>
    <w:p w14:paraId="0C3B33DE" w14:textId="31426678" w:rsidR="00530BA8" w:rsidRPr="00C8460A" w:rsidRDefault="0038792B" w:rsidP="00530BA8">
      <w:pPr>
        <w:pStyle w:val="List3"/>
        <w:numPr>
          <w:ilvl w:val="2"/>
          <w:numId w:val="7"/>
        </w:numPr>
      </w:pPr>
      <w:r>
        <w:t>r</w:t>
      </w:r>
      <w:r w:rsidRPr="00C8460A">
        <w:t xml:space="preserve">ules </w:t>
      </w:r>
      <w:r w:rsidR="00530BA8" w:rsidRPr="00C8460A">
        <w:t xml:space="preserve">of </w:t>
      </w:r>
      <w:r>
        <w:t>o</w:t>
      </w:r>
      <w:r w:rsidRPr="00C8460A">
        <w:t>rigin</w:t>
      </w:r>
      <w:r w:rsidR="00530BA8">
        <w:t>/</w:t>
      </w:r>
      <w:r w:rsidR="00530BA8" w:rsidRPr="00C8460A">
        <w:t>implementation of tariff commitments</w:t>
      </w:r>
    </w:p>
    <w:p w14:paraId="5641844B" w14:textId="562B0D50" w:rsidR="00530BA8" w:rsidRPr="00C8460A" w:rsidRDefault="0038792B" w:rsidP="00530BA8">
      <w:pPr>
        <w:pStyle w:val="List3"/>
        <w:numPr>
          <w:ilvl w:val="2"/>
          <w:numId w:val="7"/>
        </w:numPr>
      </w:pPr>
      <w:r>
        <w:t>s</w:t>
      </w:r>
      <w:r w:rsidRPr="00C8460A">
        <w:t xml:space="preserve">anitary </w:t>
      </w:r>
      <w:r w:rsidR="00530BA8" w:rsidRPr="00C8460A">
        <w:t>an</w:t>
      </w:r>
      <w:r w:rsidR="00530BA8">
        <w:t xml:space="preserve">d </w:t>
      </w:r>
      <w:r>
        <w:t>phytosanitary measures</w:t>
      </w:r>
    </w:p>
    <w:p w14:paraId="2A7D1760" w14:textId="7321AC96" w:rsidR="00530BA8" w:rsidRPr="00C8460A" w:rsidRDefault="0038792B" w:rsidP="00530BA8">
      <w:pPr>
        <w:pStyle w:val="List3"/>
        <w:numPr>
          <w:ilvl w:val="2"/>
          <w:numId w:val="7"/>
        </w:numPr>
      </w:pPr>
      <w:r>
        <w:t>s</w:t>
      </w:r>
      <w:r w:rsidRPr="00C8460A">
        <w:t>tandards, technical regulations and conformity assessment procedure</w:t>
      </w:r>
      <w:r w:rsidR="00530BA8" w:rsidRPr="00C8460A">
        <w:t>s</w:t>
      </w:r>
    </w:p>
    <w:p w14:paraId="1BF68775" w14:textId="6DE6E05D" w:rsidR="00530BA8" w:rsidRPr="00C8460A" w:rsidRDefault="0038792B" w:rsidP="00530BA8">
      <w:pPr>
        <w:pStyle w:val="List3"/>
        <w:numPr>
          <w:ilvl w:val="2"/>
          <w:numId w:val="7"/>
        </w:numPr>
      </w:pPr>
      <w:r w:rsidRPr="00C8460A">
        <w:t>services</w:t>
      </w:r>
    </w:p>
    <w:p w14:paraId="5BB75537" w14:textId="4D3A42F3" w:rsidR="00530BA8" w:rsidRPr="00C8460A" w:rsidRDefault="0038792B" w:rsidP="00530BA8">
      <w:pPr>
        <w:pStyle w:val="List3"/>
        <w:numPr>
          <w:ilvl w:val="2"/>
          <w:numId w:val="7"/>
        </w:numPr>
      </w:pPr>
      <w:r w:rsidRPr="00C8460A">
        <w:t>investment</w:t>
      </w:r>
    </w:p>
    <w:p w14:paraId="234D0449" w14:textId="4F274529" w:rsidR="00530BA8" w:rsidRPr="00C8460A" w:rsidRDefault="0038792B" w:rsidP="00530BA8">
      <w:pPr>
        <w:pStyle w:val="List3"/>
        <w:numPr>
          <w:ilvl w:val="2"/>
          <w:numId w:val="7"/>
        </w:numPr>
      </w:pPr>
      <w:r w:rsidRPr="00C8460A">
        <w:t>intellectual property</w:t>
      </w:r>
    </w:p>
    <w:p w14:paraId="5CAA2E2C" w14:textId="30950A6A" w:rsidR="00530BA8" w:rsidRPr="00C8460A" w:rsidRDefault="0038792B" w:rsidP="00530BA8">
      <w:pPr>
        <w:pStyle w:val="List3"/>
        <w:numPr>
          <w:ilvl w:val="2"/>
          <w:numId w:val="7"/>
        </w:numPr>
      </w:pPr>
      <w:r w:rsidRPr="00C8460A">
        <w:t xml:space="preserve">sectoral </w:t>
      </w:r>
      <w:r w:rsidR="00530BA8" w:rsidRPr="00C8460A">
        <w:t>integration</w:t>
      </w:r>
    </w:p>
    <w:p w14:paraId="07BA3D08" w14:textId="5B38553F" w:rsidR="00530BA8" w:rsidRPr="00C8460A" w:rsidRDefault="0038792B" w:rsidP="00530BA8">
      <w:pPr>
        <w:pStyle w:val="List3"/>
        <w:numPr>
          <w:ilvl w:val="2"/>
          <w:numId w:val="7"/>
        </w:numPr>
      </w:pPr>
      <w:r>
        <w:t>c</w:t>
      </w:r>
      <w:r w:rsidRPr="00C8460A">
        <w:t>ustoms</w:t>
      </w:r>
    </w:p>
    <w:p w14:paraId="0EC416BA" w14:textId="1B2B2BE1" w:rsidR="00530BA8" w:rsidRDefault="0038792B" w:rsidP="00530BA8">
      <w:pPr>
        <w:pStyle w:val="List3"/>
        <w:numPr>
          <w:ilvl w:val="2"/>
          <w:numId w:val="7"/>
        </w:numPr>
      </w:pPr>
      <w:r>
        <w:t>c</w:t>
      </w:r>
      <w:r w:rsidRPr="00C8460A">
        <w:t xml:space="preserve">ompetition </w:t>
      </w:r>
      <w:r w:rsidR="00530BA8" w:rsidRPr="00C8460A">
        <w:t>policy.</w:t>
      </w:r>
    </w:p>
    <w:p w14:paraId="13A8A79A" w14:textId="285507B2" w:rsidR="00530BA8" w:rsidRDefault="00530BA8" w:rsidP="00530BA8">
      <w:pPr>
        <w:pStyle w:val="Heading2"/>
      </w:pPr>
      <w:r>
        <w:lastRenderedPageBreak/>
        <w:t xml:space="preserve">Evaluation </w:t>
      </w:r>
      <w:r w:rsidR="0038792B">
        <w:t xml:space="preserve">objectives </w:t>
      </w:r>
      <w:r>
        <w:t xml:space="preserve">and </w:t>
      </w:r>
      <w:r w:rsidR="0038792B">
        <w:t>questions</w:t>
      </w:r>
    </w:p>
    <w:p w14:paraId="4832841B" w14:textId="319C4B49" w:rsidR="00530BA8" w:rsidRPr="00C8460A" w:rsidRDefault="00530BA8" w:rsidP="00714B4B">
      <w:pPr>
        <w:pStyle w:val="BodyText"/>
        <w:ind w:left="360" w:hanging="360"/>
        <w:rPr>
          <w:lang w:val="en-US"/>
        </w:rPr>
      </w:pPr>
      <w:r w:rsidRPr="00C8460A">
        <w:fldChar w:fldCharType="begin"/>
      </w:r>
      <w:r w:rsidRPr="00C8460A">
        <w:instrText xml:space="preserve"> AUTONUM </w:instrText>
      </w:r>
      <w:r w:rsidRPr="00C8460A">
        <w:fldChar w:fldCharType="end"/>
      </w:r>
      <w:r w:rsidRPr="00C8460A">
        <w:tab/>
      </w:r>
      <w:r w:rsidRPr="00C26C9E">
        <w:t xml:space="preserve">The </w:t>
      </w:r>
      <w:r w:rsidR="00F90E62">
        <w:t>i</w:t>
      </w:r>
      <w:r w:rsidR="00F90E62" w:rsidRPr="00F90E62">
        <w:t>ndependent progress report</w:t>
      </w:r>
      <w:r w:rsidR="00F90E62" w:rsidRPr="00F90E62" w:rsidDel="00F90E62">
        <w:t xml:space="preserve"> </w:t>
      </w:r>
      <w:r w:rsidR="00574775">
        <w:t>terms of reference</w:t>
      </w:r>
      <w:r w:rsidRPr="00C26C9E">
        <w:t xml:space="preserve"> highlighted a range of issues that go beyond a standard evaluation of AECSP performance using </w:t>
      </w:r>
      <w:r w:rsidR="00F90E62" w:rsidRPr="00F90E62">
        <w:t>Organi</w:t>
      </w:r>
      <w:r w:rsidR="00F90E62">
        <w:t>s</w:t>
      </w:r>
      <w:r w:rsidR="00F90E62" w:rsidRPr="00F90E62">
        <w:t xml:space="preserve">ation for Economic Cooperation and Development </w:t>
      </w:r>
      <w:r w:rsidR="00F90E62">
        <w:t>(</w:t>
      </w:r>
      <w:r w:rsidRPr="00C26C9E">
        <w:t>OECD</w:t>
      </w:r>
      <w:r w:rsidR="00F90E62">
        <w:t>)</w:t>
      </w:r>
      <w:r w:rsidRPr="00C26C9E">
        <w:t xml:space="preserve"> D</w:t>
      </w:r>
      <w:r w:rsidR="00F90E62">
        <w:t xml:space="preserve">evelopment </w:t>
      </w:r>
      <w:r w:rsidRPr="00C26C9E">
        <w:t>A</w:t>
      </w:r>
      <w:r w:rsidR="00F90E62">
        <w:t xml:space="preserve">ssistance </w:t>
      </w:r>
      <w:r w:rsidRPr="00C26C9E">
        <w:t>C</w:t>
      </w:r>
      <w:r w:rsidR="00F90E62">
        <w:t>ommittee</w:t>
      </w:r>
      <w:r w:rsidRPr="00C26C9E">
        <w:rPr>
          <w:vertAlign w:val="superscript"/>
        </w:rPr>
        <w:footnoteReference w:id="6"/>
      </w:r>
      <w:r w:rsidRPr="00C26C9E">
        <w:t xml:space="preserve"> and AusAID</w:t>
      </w:r>
      <w:r w:rsidRPr="00C26C9E">
        <w:rPr>
          <w:vertAlign w:val="superscript"/>
        </w:rPr>
        <w:footnoteReference w:id="7"/>
      </w:r>
      <w:r w:rsidR="001B48DB">
        <w:t xml:space="preserve"> </w:t>
      </w:r>
      <w:r w:rsidRPr="00C26C9E">
        <w:t xml:space="preserve">evaluation criteria. </w:t>
      </w:r>
      <w:r>
        <w:rPr>
          <w:lang w:val="en-US"/>
        </w:rPr>
        <w:t xml:space="preserve">The </w:t>
      </w:r>
      <w:r w:rsidR="00F90E62">
        <w:t>i</w:t>
      </w:r>
      <w:r w:rsidR="00F90E62" w:rsidRPr="00F90E62">
        <w:t>ndependent progress report</w:t>
      </w:r>
      <w:r w:rsidR="00F90E62" w:rsidRPr="00F90E62" w:rsidDel="00F90E62">
        <w:t xml:space="preserve"> </w:t>
      </w:r>
      <w:r>
        <w:rPr>
          <w:lang w:val="en-US"/>
        </w:rPr>
        <w:t xml:space="preserve">was </w:t>
      </w:r>
      <w:r w:rsidRPr="00C8460A">
        <w:rPr>
          <w:lang w:val="en-US"/>
        </w:rPr>
        <w:t xml:space="preserve">asked to formulate recommendations for the remainder of </w:t>
      </w:r>
      <w:r>
        <w:rPr>
          <w:lang w:val="en-US"/>
        </w:rPr>
        <w:t>AECSP</w:t>
      </w:r>
      <w:r w:rsidR="00574775">
        <w:rPr>
          <w:lang w:val="en-US"/>
        </w:rPr>
        <w:t>,</w:t>
      </w:r>
      <w:r w:rsidRPr="00C8460A">
        <w:rPr>
          <w:lang w:val="en-US"/>
        </w:rPr>
        <w:t xml:space="preserve"> propose appropriate changes to budgets, resources and timeframes, and to put forward options to ensure the optimal sustainable </w:t>
      </w:r>
      <w:r>
        <w:rPr>
          <w:lang w:val="en-US"/>
        </w:rPr>
        <w:t xml:space="preserve">AECSP </w:t>
      </w:r>
      <w:r w:rsidRPr="00C8460A">
        <w:rPr>
          <w:lang w:val="en-US"/>
        </w:rPr>
        <w:t xml:space="preserve">outcomes, taking into account the time and resources available. The </w:t>
      </w:r>
      <w:r w:rsidR="00F90E62">
        <w:t>i</w:t>
      </w:r>
      <w:r w:rsidR="00F90E62" w:rsidRPr="00F90E62">
        <w:t>ndependent progress report</w:t>
      </w:r>
      <w:r w:rsidR="00F90E62" w:rsidRPr="00F90E62" w:rsidDel="00F90E62">
        <w:t xml:space="preserve"> </w:t>
      </w:r>
      <w:r w:rsidRPr="00C8460A">
        <w:rPr>
          <w:lang w:val="en-US"/>
        </w:rPr>
        <w:t xml:space="preserve">was also asked to examine AECSP governance arrangements to ascertain if they remain appropriate and relevant. </w:t>
      </w:r>
      <w:r w:rsidR="00F90E62">
        <w:rPr>
          <w:lang w:val="en-US"/>
        </w:rPr>
        <w:t>O</w:t>
      </w:r>
      <w:r w:rsidRPr="00C8460A">
        <w:rPr>
          <w:lang w:val="en-US"/>
        </w:rPr>
        <w:t xml:space="preserve">bjectives </w:t>
      </w:r>
      <w:r w:rsidR="004C2C30">
        <w:rPr>
          <w:lang w:val="en-US"/>
        </w:rPr>
        <w:t>were</w:t>
      </w:r>
      <w:r w:rsidRPr="00C8460A">
        <w:rPr>
          <w:lang w:val="en-US"/>
        </w:rPr>
        <w:t xml:space="preserve"> to: </w:t>
      </w:r>
    </w:p>
    <w:p w14:paraId="5502CC62" w14:textId="03ADEBC0" w:rsidR="00530BA8" w:rsidRPr="00C8460A" w:rsidRDefault="00F90E62" w:rsidP="00530BA8">
      <w:pPr>
        <w:pStyle w:val="ListBullet2"/>
        <w:numPr>
          <w:ilvl w:val="0"/>
          <w:numId w:val="8"/>
        </w:numPr>
        <w:rPr>
          <w:lang w:val="en-US"/>
        </w:rPr>
      </w:pPr>
      <w:r>
        <w:rPr>
          <w:lang w:val="en-US"/>
        </w:rPr>
        <w:t>a</w:t>
      </w:r>
      <w:r w:rsidRPr="00C8460A">
        <w:rPr>
          <w:lang w:val="en-US"/>
        </w:rPr>
        <w:t xml:space="preserve">ssess </w:t>
      </w:r>
      <w:r w:rsidR="00530BA8" w:rsidRPr="00C8460A">
        <w:rPr>
          <w:lang w:val="en-US"/>
        </w:rPr>
        <w:t xml:space="preserve">the performance of AECSP against </w:t>
      </w:r>
      <w:r>
        <w:rPr>
          <w:lang w:val="en-US"/>
        </w:rPr>
        <w:t xml:space="preserve">the </w:t>
      </w:r>
      <w:r w:rsidR="00530BA8">
        <w:rPr>
          <w:lang w:val="en-US"/>
        </w:rPr>
        <w:t xml:space="preserve">OECD </w:t>
      </w:r>
      <w:r w:rsidRPr="00C26C9E">
        <w:t>D</w:t>
      </w:r>
      <w:r>
        <w:t xml:space="preserve">evelopment </w:t>
      </w:r>
      <w:r w:rsidRPr="00C26C9E">
        <w:t>A</w:t>
      </w:r>
      <w:r>
        <w:t xml:space="preserve">ssistance </w:t>
      </w:r>
      <w:r w:rsidRPr="00C26C9E">
        <w:t>C</w:t>
      </w:r>
      <w:r>
        <w:t>ommittee</w:t>
      </w:r>
      <w:r w:rsidDel="00F90E62">
        <w:rPr>
          <w:lang w:val="en-US"/>
        </w:rPr>
        <w:t xml:space="preserve"> </w:t>
      </w:r>
      <w:r w:rsidR="00530BA8" w:rsidRPr="00C8460A">
        <w:rPr>
          <w:lang w:val="en-US"/>
        </w:rPr>
        <w:t>evaluation criteria of relevance, efficiency, effectiveness, impact and sustainability</w:t>
      </w:r>
      <w:r>
        <w:rPr>
          <w:lang w:val="en-US"/>
        </w:rPr>
        <w:t>,</w:t>
      </w:r>
      <w:r w:rsidRPr="00C8460A">
        <w:rPr>
          <w:lang w:val="en-US"/>
        </w:rPr>
        <w:t xml:space="preserve"> </w:t>
      </w:r>
      <w:r w:rsidR="00530BA8" w:rsidRPr="00C8460A">
        <w:rPr>
          <w:lang w:val="en-US"/>
        </w:rPr>
        <w:t xml:space="preserve">and the AusAID criteria of monitoring and evaluation and gender equality </w:t>
      </w:r>
    </w:p>
    <w:p w14:paraId="6767BDDD" w14:textId="743B695D" w:rsidR="00530BA8" w:rsidRPr="00C8460A" w:rsidRDefault="00F90E62" w:rsidP="00530BA8">
      <w:pPr>
        <w:pStyle w:val="ListBullet2"/>
        <w:numPr>
          <w:ilvl w:val="0"/>
          <w:numId w:val="8"/>
        </w:numPr>
        <w:rPr>
          <w:lang w:val="en-US"/>
        </w:rPr>
      </w:pPr>
      <w:r>
        <w:rPr>
          <w:lang w:val="en-US"/>
        </w:rPr>
        <w:t>a</w:t>
      </w:r>
      <w:r w:rsidRPr="00C8460A">
        <w:rPr>
          <w:lang w:val="en-US"/>
        </w:rPr>
        <w:t xml:space="preserve">ssess </w:t>
      </w:r>
      <w:r w:rsidR="00530BA8" w:rsidRPr="00C8460A">
        <w:rPr>
          <w:lang w:val="en-US"/>
        </w:rPr>
        <w:t xml:space="preserve">AECSP’s success in addressing overall performance, including adequately promoting gender equality, establishing and </w:t>
      </w:r>
      <w:r w:rsidRPr="00C8460A">
        <w:rPr>
          <w:lang w:val="en-US"/>
        </w:rPr>
        <w:t>operationali</w:t>
      </w:r>
      <w:r>
        <w:rPr>
          <w:lang w:val="en-US"/>
        </w:rPr>
        <w:t>s</w:t>
      </w:r>
      <w:r w:rsidRPr="00C8460A">
        <w:rPr>
          <w:lang w:val="en-US"/>
        </w:rPr>
        <w:t xml:space="preserve">ing </w:t>
      </w:r>
      <w:r w:rsidR="00530BA8" w:rsidRPr="00C8460A">
        <w:rPr>
          <w:lang w:val="en-US"/>
        </w:rPr>
        <w:t xml:space="preserve">a robust monitoring and evaluation system, and undertaking ongoing analysis of the operation of the </w:t>
      </w:r>
      <w:r>
        <w:rPr>
          <w:lang w:val="en-US"/>
        </w:rPr>
        <w:t>p</w:t>
      </w:r>
      <w:r w:rsidRPr="00C8460A">
        <w:rPr>
          <w:lang w:val="en-US"/>
        </w:rPr>
        <w:t>rogram</w:t>
      </w:r>
      <w:r w:rsidR="00530BA8" w:rsidRPr="00C8460A">
        <w:rPr>
          <w:lang w:val="en-US"/>
        </w:rPr>
        <w:t xml:space="preserve">, drawing out major lessons learned and taking remedial action to ensure continuous improvement </w:t>
      </w:r>
    </w:p>
    <w:p w14:paraId="11EBC791" w14:textId="21C87CCF" w:rsidR="00530BA8" w:rsidRPr="00C8460A" w:rsidRDefault="00F90E62" w:rsidP="00530BA8">
      <w:pPr>
        <w:pStyle w:val="ListBullet2"/>
        <w:numPr>
          <w:ilvl w:val="0"/>
          <w:numId w:val="8"/>
        </w:numPr>
        <w:rPr>
          <w:lang w:val="en-US"/>
        </w:rPr>
      </w:pPr>
      <w:r>
        <w:rPr>
          <w:lang w:val="en-US"/>
        </w:rPr>
        <w:t>d</w:t>
      </w:r>
      <w:r w:rsidRPr="00C8460A">
        <w:rPr>
          <w:lang w:val="en-US"/>
        </w:rPr>
        <w:t xml:space="preserve">etermine </w:t>
      </w:r>
      <w:r w:rsidR="00530BA8" w:rsidRPr="00C8460A">
        <w:rPr>
          <w:lang w:val="en-US"/>
        </w:rPr>
        <w:t xml:space="preserve">if there </w:t>
      </w:r>
      <w:r>
        <w:rPr>
          <w:lang w:val="en-US"/>
        </w:rPr>
        <w:t>were</w:t>
      </w:r>
      <w:r w:rsidRPr="00C8460A">
        <w:rPr>
          <w:lang w:val="en-US"/>
        </w:rPr>
        <w:t xml:space="preserve"> </w:t>
      </w:r>
      <w:r w:rsidR="00530BA8" w:rsidRPr="00C8460A">
        <w:rPr>
          <w:lang w:val="en-US"/>
        </w:rPr>
        <w:t>issues affecting AECSP’s performance and if so, propose solutions</w:t>
      </w:r>
      <w:r w:rsidR="00094C35">
        <w:rPr>
          <w:lang w:val="en-US"/>
        </w:rPr>
        <w:t>––f</w:t>
      </w:r>
      <w:r w:rsidR="00530BA8" w:rsidRPr="00C8460A">
        <w:rPr>
          <w:lang w:val="en-US"/>
        </w:rPr>
        <w:t>or example</w:t>
      </w:r>
      <w:r w:rsidR="00094C35">
        <w:rPr>
          <w:lang w:val="en-US"/>
        </w:rPr>
        <w:t>,</w:t>
      </w:r>
      <w:r w:rsidR="00530BA8" w:rsidRPr="00C8460A">
        <w:rPr>
          <w:lang w:val="en-US"/>
        </w:rPr>
        <w:t xml:space="preserve"> assessing the effectiveness of the partnership delivery mechanism</w:t>
      </w:r>
      <w:r w:rsidRPr="00C8460A">
        <w:rPr>
          <w:lang w:val="en-US"/>
        </w:rPr>
        <w:t xml:space="preserve"> </w:t>
      </w:r>
      <w:r w:rsidR="00530BA8" w:rsidRPr="00C8460A">
        <w:rPr>
          <w:lang w:val="en-US"/>
        </w:rPr>
        <w:t xml:space="preserve">and </w:t>
      </w:r>
      <w:r w:rsidRPr="00F90E62">
        <w:t>ASEAN Secretariat</w:t>
      </w:r>
      <w:r w:rsidRPr="00F90E62" w:rsidDel="00F90E62">
        <w:rPr>
          <w:lang w:val="en-US"/>
        </w:rPr>
        <w:t xml:space="preserve"> </w:t>
      </w:r>
      <w:r w:rsidR="00530BA8" w:rsidRPr="00C8460A">
        <w:rPr>
          <w:lang w:val="en-US"/>
        </w:rPr>
        <w:t xml:space="preserve">processes and capacity limitations. Particular attention </w:t>
      </w:r>
      <w:r>
        <w:rPr>
          <w:lang w:val="en-US"/>
        </w:rPr>
        <w:t>was to</w:t>
      </w:r>
      <w:r w:rsidRPr="00C8460A">
        <w:rPr>
          <w:lang w:val="en-US"/>
        </w:rPr>
        <w:t xml:space="preserve"> </w:t>
      </w:r>
      <w:r w:rsidR="00530BA8" w:rsidRPr="00C8460A">
        <w:rPr>
          <w:lang w:val="en-US"/>
        </w:rPr>
        <w:t>be paid to identifying lessons learned and practices to draw on for designing future programs of ASEAN</w:t>
      </w:r>
      <w:r>
        <w:rPr>
          <w:lang w:val="en-US"/>
        </w:rPr>
        <w:t>–</w:t>
      </w:r>
      <w:r w:rsidR="00530BA8" w:rsidRPr="00C8460A">
        <w:rPr>
          <w:lang w:val="en-US"/>
        </w:rPr>
        <w:t>Australian development cooperation</w:t>
      </w:r>
    </w:p>
    <w:p w14:paraId="1D53B7F5" w14:textId="5C7D5929" w:rsidR="00530BA8" w:rsidRPr="00C8460A" w:rsidRDefault="00F90E62" w:rsidP="00530BA8">
      <w:pPr>
        <w:pStyle w:val="ListBullet2"/>
        <w:numPr>
          <w:ilvl w:val="0"/>
          <w:numId w:val="8"/>
        </w:numPr>
        <w:rPr>
          <w:lang w:val="en-US"/>
        </w:rPr>
      </w:pPr>
      <w:r>
        <w:rPr>
          <w:lang w:val="en-US"/>
        </w:rPr>
        <w:t>e</w:t>
      </w:r>
      <w:r w:rsidRPr="00C8460A">
        <w:rPr>
          <w:lang w:val="en-US"/>
        </w:rPr>
        <w:t xml:space="preserve">xamine </w:t>
      </w:r>
      <w:r w:rsidR="00530BA8">
        <w:rPr>
          <w:lang w:val="en-US"/>
        </w:rPr>
        <w:t xml:space="preserve">AECSP </w:t>
      </w:r>
      <w:r w:rsidR="00530BA8" w:rsidRPr="00C8460A">
        <w:rPr>
          <w:lang w:val="en-US"/>
        </w:rPr>
        <w:t xml:space="preserve">management with a view to devolving AusAID management of the program </w:t>
      </w:r>
      <w:r w:rsidR="00530BA8">
        <w:rPr>
          <w:lang w:val="en-US"/>
        </w:rPr>
        <w:t xml:space="preserve">from Canberra </w:t>
      </w:r>
      <w:r w:rsidR="00530BA8" w:rsidRPr="00C8460A">
        <w:rPr>
          <w:lang w:val="en-US"/>
        </w:rPr>
        <w:t>to AusAID’s East Asia regional team in Jakarta</w:t>
      </w:r>
    </w:p>
    <w:p w14:paraId="2FC4E0E9" w14:textId="531402C5" w:rsidR="00530BA8" w:rsidRPr="00C8460A" w:rsidRDefault="00F90E62" w:rsidP="00530BA8">
      <w:pPr>
        <w:pStyle w:val="ListBullet2"/>
        <w:numPr>
          <w:ilvl w:val="0"/>
          <w:numId w:val="8"/>
        </w:numPr>
        <w:rPr>
          <w:lang w:val="en-US"/>
        </w:rPr>
      </w:pPr>
      <w:r>
        <w:rPr>
          <w:lang w:val="en-US"/>
        </w:rPr>
        <w:t>r</w:t>
      </w:r>
      <w:r w:rsidRPr="00C8460A">
        <w:rPr>
          <w:lang w:val="en-US"/>
        </w:rPr>
        <w:t xml:space="preserve">eview </w:t>
      </w:r>
      <w:r w:rsidR="00530BA8" w:rsidRPr="00C8460A">
        <w:rPr>
          <w:lang w:val="en-US"/>
        </w:rPr>
        <w:t xml:space="preserve">the accountability and governance arrangements for the </w:t>
      </w:r>
      <w:r>
        <w:rPr>
          <w:lang w:val="en-US"/>
        </w:rPr>
        <w:t>p</w:t>
      </w:r>
      <w:r w:rsidRPr="00C8460A">
        <w:rPr>
          <w:lang w:val="en-US"/>
        </w:rPr>
        <w:t>rogram</w:t>
      </w:r>
    </w:p>
    <w:p w14:paraId="2EF5193F" w14:textId="42B911B8" w:rsidR="00530BA8" w:rsidRPr="00C8460A" w:rsidRDefault="00F90E62" w:rsidP="00530BA8">
      <w:pPr>
        <w:pStyle w:val="ListBullet2"/>
        <w:numPr>
          <w:ilvl w:val="0"/>
          <w:numId w:val="8"/>
        </w:numPr>
        <w:rPr>
          <w:lang w:val="en-US"/>
        </w:rPr>
      </w:pPr>
      <w:r>
        <w:rPr>
          <w:lang w:val="en-US"/>
        </w:rPr>
        <w:t>d</w:t>
      </w:r>
      <w:r w:rsidRPr="00C8460A">
        <w:rPr>
          <w:lang w:val="en-US"/>
        </w:rPr>
        <w:t xml:space="preserve">etermine </w:t>
      </w:r>
      <w:r w:rsidR="00530BA8" w:rsidRPr="00C8460A">
        <w:rPr>
          <w:lang w:val="en-US"/>
        </w:rPr>
        <w:t xml:space="preserve">whether there is a demonstrated development need to extend the </w:t>
      </w:r>
      <w:r>
        <w:rPr>
          <w:lang w:val="en-US"/>
        </w:rPr>
        <w:t>p</w:t>
      </w:r>
      <w:r w:rsidRPr="00C8460A">
        <w:rPr>
          <w:lang w:val="en-US"/>
        </w:rPr>
        <w:t xml:space="preserve">rogram </w:t>
      </w:r>
      <w:r w:rsidR="00530BA8" w:rsidRPr="00C8460A">
        <w:rPr>
          <w:lang w:val="en-US"/>
        </w:rPr>
        <w:t xml:space="preserve">beyond the current end date </w:t>
      </w:r>
    </w:p>
    <w:p w14:paraId="0BD64E1F" w14:textId="44128B85" w:rsidR="00530BA8" w:rsidRPr="00C8460A" w:rsidRDefault="00F90E62" w:rsidP="00530BA8">
      <w:pPr>
        <w:pStyle w:val="ListBullet2"/>
        <w:numPr>
          <w:ilvl w:val="0"/>
          <w:numId w:val="8"/>
        </w:numPr>
        <w:rPr>
          <w:lang w:val="en-US"/>
        </w:rPr>
      </w:pPr>
      <w:r>
        <w:rPr>
          <w:lang w:val="en-US"/>
        </w:rPr>
        <w:t>a</w:t>
      </w:r>
      <w:r w:rsidRPr="00C8460A">
        <w:rPr>
          <w:lang w:val="en-US"/>
        </w:rPr>
        <w:t xml:space="preserve">ddress </w:t>
      </w:r>
      <w:r w:rsidR="00530BA8" w:rsidRPr="00C8460A">
        <w:rPr>
          <w:lang w:val="en-US"/>
        </w:rPr>
        <w:t xml:space="preserve">any other issues that the </w:t>
      </w:r>
      <w:r>
        <w:t>i</w:t>
      </w:r>
      <w:r w:rsidRPr="00F90E62">
        <w:t>ndependent progress report</w:t>
      </w:r>
      <w:r w:rsidRPr="00F90E62" w:rsidDel="00F90E62">
        <w:t xml:space="preserve"> </w:t>
      </w:r>
      <w:r w:rsidR="00530BA8" w:rsidRPr="00C8460A">
        <w:rPr>
          <w:lang w:val="en-US"/>
        </w:rPr>
        <w:t xml:space="preserve">team considers necessary for the successful completion of the </w:t>
      </w:r>
      <w:r>
        <w:rPr>
          <w:lang w:val="en-US"/>
        </w:rPr>
        <w:t>report</w:t>
      </w:r>
    </w:p>
    <w:p w14:paraId="377FB2A2" w14:textId="6886F9C0" w:rsidR="00530BA8" w:rsidRPr="00C8460A" w:rsidRDefault="00530BA8" w:rsidP="00530BA8">
      <w:pPr>
        <w:pStyle w:val="ListBullet2"/>
        <w:numPr>
          <w:ilvl w:val="0"/>
          <w:numId w:val="8"/>
        </w:numPr>
        <w:rPr>
          <w:lang w:val="en-US"/>
        </w:rPr>
      </w:pPr>
      <w:r w:rsidRPr="00C8460A">
        <w:rPr>
          <w:lang w:val="en-US"/>
        </w:rPr>
        <w:t>recommend</w:t>
      </w:r>
      <w:r w:rsidR="00F90E62">
        <w:rPr>
          <w:lang w:val="en-US"/>
        </w:rPr>
        <w:t xml:space="preserve"> </w:t>
      </w:r>
      <w:r w:rsidRPr="00C8460A">
        <w:rPr>
          <w:lang w:val="en-US"/>
        </w:rPr>
        <w:t>future directions of AECSP in relation to available budget and resources to promote improvements in effectiveness and efficiency.</w:t>
      </w:r>
    </w:p>
    <w:p w14:paraId="38F4D39C" w14:textId="417F2403" w:rsidR="00530BA8" w:rsidRDefault="00530BA8" w:rsidP="00714B4B">
      <w:pPr>
        <w:pStyle w:val="BodyText"/>
        <w:ind w:left="360" w:hanging="360"/>
      </w:pPr>
      <w:r w:rsidRPr="00C8460A">
        <w:fldChar w:fldCharType="begin"/>
      </w:r>
      <w:r w:rsidRPr="00C8460A">
        <w:instrText xml:space="preserve"> AUTONUM </w:instrText>
      </w:r>
      <w:r w:rsidRPr="00C8460A">
        <w:fldChar w:fldCharType="end"/>
      </w:r>
      <w:r w:rsidRPr="00C8460A">
        <w:tab/>
        <w:t xml:space="preserve">The team explored the complex institutional environment in which AECSP operates, including challenges relating to the institutional roles, capacity and authority of the </w:t>
      </w:r>
      <w:r w:rsidR="00F90E62" w:rsidRPr="00F90E62">
        <w:t>ASEAN Secretariat</w:t>
      </w:r>
      <w:r w:rsidR="00F90E62" w:rsidRPr="00F90E62" w:rsidDel="00F90E62">
        <w:t xml:space="preserve"> </w:t>
      </w:r>
      <w:r w:rsidRPr="00C8460A">
        <w:t xml:space="preserve">(including its linkages with the </w:t>
      </w:r>
      <w:r w:rsidR="00195609">
        <w:t xml:space="preserve">Free Trade </w:t>
      </w:r>
      <w:r w:rsidR="00F90E62">
        <w:t>Agreement</w:t>
      </w:r>
      <w:r w:rsidR="00F90E62" w:rsidRPr="00C8460A">
        <w:t xml:space="preserve"> </w:t>
      </w:r>
      <w:r w:rsidRPr="00C8460A">
        <w:t xml:space="preserve">Joint Committee) and the </w:t>
      </w:r>
      <w:r w:rsidR="00F90E62" w:rsidRPr="00F90E62">
        <w:t xml:space="preserve">AANZFTA Support Unit </w:t>
      </w:r>
      <w:r w:rsidRPr="00C8460A">
        <w:t xml:space="preserve">within </w:t>
      </w:r>
      <w:r w:rsidR="00F90E62">
        <w:t xml:space="preserve">the </w:t>
      </w:r>
      <w:r w:rsidR="00F90E62" w:rsidRPr="00F90E62">
        <w:t>ASEAN Secretariat</w:t>
      </w:r>
      <w:r w:rsidRPr="00C8460A">
        <w:t xml:space="preserve">. The team </w:t>
      </w:r>
      <w:r w:rsidR="00F90E62">
        <w:t xml:space="preserve">was </w:t>
      </w:r>
      <w:r>
        <w:t>also asked to assess</w:t>
      </w:r>
      <w:r w:rsidRPr="00C8460A">
        <w:t xml:space="preserve"> whether the initial assumptions regarding the mandates of </w:t>
      </w:r>
      <w:r w:rsidR="00F90E62">
        <w:t xml:space="preserve">the </w:t>
      </w:r>
      <w:r w:rsidR="00F90E62" w:rsidRPr="00F90E62">
        <w:t>ASEAN Secretariat</w:t>
      </w:r>
      <w:r w:rsidR="00F90E62" w:rsidRPr="00C8460A">
        <w:t xml:space="preserve"> </w:t>
      </w:r>
      <w:r w:rsidRPr="00C8460A">
        <w:t xml:space="preserve">and </w:t>
      </w:r>
      <w:r w:rsidR="00F90E62" w:rsidRPr="00F90E62">
        <w:t xml:space="preserve">AANZFTA Support Unit </w:t>
      </w:r>
      <w:r w:rsidRPr="00C8460A">
        <w:t xml:space="preserve">remained valid, and review the need for any modifications in the program design. </w:t>
      </w:r>
    </w:p>
    <w:p w14:paraId="2366CA96" w14:textId="6BDFAEA3" w:rsidR="00530BA8" w:rsidRDefault="00530BA8" w:rsidP="00530BA8">
      <w:pPr>
        <w:pStyle w:val="Heading2"/>
      </w:pPr>
      <w:r>
        <w:t xml:space="preserve">Evaluation </w:t>
      </w:r>
      <w:r w:rsidR="005408FB">
        <w:t>scope and methods</w:t>
      </w:r>
    </w:p>
    <w:p w14:paraId="397697D6" w14:textId="0DB76784" w:rsidR="00530BA8" w:rsidRPr="00C8460A" w:rsidRDefault="00530BA8" w:rsidP="00F90E62">
      <w:pPr>
        <w:pStyle w:val="BodyText"/>
        <w:ind w:left="426" w:hanging="426"/>
      </w:pPr>
      <w:r w:rsidRPr="00C8460A">
        <w:fldChar w:fldCharType="begin"/>
      </w:r>
      <w:r w:rsidRPr="00C8460A">
        <w:instrText xml:space="preserve"> AUTONUM </w:instrText>
      </w:r>
      <w:r w:rsidRPr="00C8460A">
        <w:fldChar w:fldCharType="end"/>
      </w:r>
      <w:r w:rsidR="00F90E62">
        <w:tab/>
      </w:r>
      <w:r w:rsidRPr="00C8460A">
        <w:t xml:space="preserve">The </w:t>
      </w:r>
      <w:r w:rsidR="00F90E62" w:rsidRPr="00C8460A">
        <w:t xml:space="preserve">evaluation </w:t>
      </w:r>
      <w:r w:rsidRPr="00C8460A">
        <w:t>methodology included:</w:t>
      </w:r>
    </w:p>
    <w:p w14:paraId="15ABC130" w14:textId="26BE2A88" w:rsidR="00530BA8" w:rsidRPr="00C8460A" w:rsidRDefault="00F90E62" w:rsidP="00530BA8">
      <w:pPr>
        <w:pStyle w:val="ListParagraph"/>
        <w:numPr>
          <w:ilvl w:val="0"/>
          <w:numId w:val="9"/>
        </w:numPr>
      </w:pPr>
      <w:r>
        <w:t>r</w:t>
      </w:r>
      <w:r w:rsidRPr="00C8460A">
        <w:t>eview</w:t>
      </w:r>
      <w:r>
        <w:t>ing</w:t>
      </w:r>
      <w:r w:rsidRPr="00C8460A">
        <w:t xml:space="preserve"> </w:t>
      </w:r>
      <w:r w:rsidR="00530BA8" w:rsidRPr="00C8460A">
        <w:t>core documents</w:t>
      </w:r>
      <w:r w:rsidR="00530BA8" w:rsidRPr="00C8460A">
        <w:rPr>
          <w:vertAlign w:val="superscript"/>
        </w:rPr>
        <w:footnoteReference w:id="8"/>
      </w:r>
      <w:r w:rsidR="00530BA8" w:rsidRPr="00C8460A">
        <w:t xml:space="preserve"> and </w:t>
      </w:r>
      <w:r w:rsidRPr="00C8460A">
        <w:t>prepar</w:t>
      </w:r>
      <w:r>
        <w:t>ing</w:t>
      </w:r>
      <w:r w:rsidRPr="00C8460A">
        <w:t xml:space="preserve"> </w:t>
      </w:r>
      <w:r>
        <w:t xml:space="preserve">a </w:t>
      </w:r>
      <w:r w:rsidR="00530BA8" w:rsidRPr="00C8460A">
        <w:t>detailed work plan</w:t>
      </w:r>
    </w:p>
    <w:p w14:paraId="791F1D1C" w14:textId="60C7AF20" w:rsidR="00530BA8" w:rsidRPr="00C8460A" w:rsidRDefault="00F90E62" w:rsidP="00530BA8">
      <w:pPr>
        <w:pStyle w:val="ListParagraph"/>
        <w:numPr>
          <w:ilvl w:val="0"/>
          <w:numId w:val="9"/>
        </w:numPr>
      </w:pPr>
      <w:r>
        <w:lastRenderedPageBreak/>
        <w:t>v</w:t>
      </w:r>
      <w:r w:rsidRPr="00C8460A">
        <w:t>isit</w:t>
      </w:r>
      <w:r>
        <w:t>ing</w:t>
      </w:r>
      <w:r w:rsidRPr="00C8460A">
        <w:t xml:space="preserve"> </w:t>
      </w:r>
      <w:r w:rsidR="00530BA8" w:rsidRPr="00C8460A">
        <w:t>Canberra from 4</w:t>
      </w:r>
      <w:r>
        <w:t xml:space="preserve"> to </w:t>
      </w:r>
      <w:r w:rsidR="00530BA8" w:rsidRPr="00C8460A">
        <w:t>8 February 2013 to meet and consult (semi-structured interviews) with AusAID and D</w:t>
      </w:r>
      <w:r w:rsidR="00E76D56">
        <w:t xml:space="preserve">epartment of </w:t>
      </w:r>
      <w:r w:rsidR="00530BA8" w:rsidRPr="00C8460A">
        <w:t>F</w:t>
      </w:r>
      <w:r w:rsidR="00E76D56">
        <w:t xml:space="preserve">oreign </w:t>
      </w:r>
      <w:r w:rsidR="00530BA8" w:rsidRPr="00C8460A">
        <w:t>A</w:t>
      </w:r>
      <w:r w:rsidR="00E76D56">
        <w:t xml:space="preserve">ffairs and </w:t>
      </w:r>
      <w:r w:rsidR="00530BA8" w:rsidRPr="00C8460A">
        <w:t>T</w:t>
      </w:r>
      <w:r w:rsidR="00E76D56">
        <w:t>rade</w:t>
      </w:r>
      <w:r w:rsidR="00530BA8" w:rsidRPr="00C8460A">
        <w:t xml:space="preserve"> officials, </w:t>
      </w:r>
      <w:r w:rsidR="00E76D56">
        <w:t xml:space="preserve">and </w:t>
      </w:r>
      <w:r w:rsidR="00530BA8" w:rsidRPr="00C8460A">
        <w:t>representatives of business, trade unions and other stakeholders</w:t>
      </w:r>
    </w:p>
    <w:p w14:paraId="7301D192" w14:textId="7171F1FB" w:rsidR="00530BA8" w:rsidRDefault="00F90E62" w:rsidP="00714B4B">
      <w:pPr>
        <w:pStyle w:val="ListParagraph"/>
        <w:numPr>
          <w:ilvl w:val="0"/>
          <w:numId w:val="9"/>
        </w:numPr>
      </w:pPr>
      <w:r>
        <w:t>v</w:t>
      </w:r>
      <w:r w:rsidRPr="00C8460A">
        <w:t>isit</w:t>
      </w:r>
      <w:r>
        <w:t>ing</w:t>
      </w:r>
      <w:r w:rsidRPr="00C8460A">
        <w:t xml:space="preserve"> </w:t>
      </w:r>
      <w:r w:rsidR="00530BA8" w:rsidRPr="00C8460A">
        <w:t>J</w:t>
      </w:r>
      <w:r w:rsidR="00530BA8">
        <w:t>akarta from 10</w:t>
      </w:r>
      <w:r w:rsidR="00E76D56">
        <w:t xml:space="preserve"> to </w:t>
      </w:r>
      <w:r w:rsidR="00530BA8">
        <w:t>22 February 2013</w:t>
      </w:r>
      <w:r w:rsidR="00530BA8" w:rsidRPr="00C8460A">
        <w:t xml:space="preserve"> </w:t>
      </w:r>
      <w:r w:rsidR="00530BA8">
        <w:t>to</w:t>
      </w:r>
      <w:r w:rsidR="00530BA8" w:rsidRPr="00C8460A">
        <w:t xml:space="preserve"> </w:t>
      </w:r>
      <w:r w:rsidR="00530BA8">
        <w:t>interview</w:t>
      </w:r>
      <w:r w:rsidR="00E76D56">
        <w:t xml:space="preserve"> o</w:t>
      </w:r>
      <w:r w:rsidR="00530BA8" w:rsidRPr="00C8460A">
        <w:t>fficials from ASEAN, Australia and New Zeal</w:t>
      </w:r>
      <w:r w:rsidR="00530BA8">
        <w:t>and working on AANZFTA issues</w:t>
      </w:r>
      <w:r w:rsidR="00E76D56">
        <w:t xml:space="preserve">, </w:t>
      </w:r>
      <w:r w:rsidR="00530BA8" w:rsidRPr="00C8460A">
        <w:t>ASEAN Secretariat management, se</w:t>
      </w:r>
      <w:r w:rsidR="00530BA8">
        <w:t>nior officials and other staff</w:t>
      </w:r>
      <w:r w:rsidR="00E76D56">
        <w:t>, and e</w:t>
      </w:r>
      <w:r w:rsidR="00530BA8" w:rsidRPr="00C8460A">
        <w:t>xperts, staff, contractors, and other partners responsible for imple</w:t>
      </w:r>
      <w:r w:rsidR="00530BA8">
        <w:t>ment</w:t>
      </w:r>
      <w:r w:rsidR="00E76D56">
        <w:t xml:space="preserve">ing </w:t>
      </w:r>
      <w:r w:rsidR="00530BA8">
        <w:t>AECSP activities.</w:t>
      </w:r>
    </w:p>
    <w:p w14:paraId="27D1C1E1" w14:textId="4D65135A" w:rsidR="00530BA8" w:rsidRDefault="00530BA8" w:rsidP="00714B4B">
      <w:pPr>
        <w:pStyle w:val="BodyText"/>
        <w:ind w:left="360" w:hanging="360"/>
      </w:pPr>
      <w:r w:rsidRPr="003C047D">
        <w:fldChar w:fldCharType="begin"/>
      </w:r>
      <w:r w:rsidRPr="003C047D">
        <w:instrText xml:space="preserve"> AUTONUM </w:instrText>
      </w:r>
      <w:r w:rsidRPr="003C047D">
        <w:fldChar w:fldCharType="end"/>
      </w:r>
      <w:r w:rsidRPr="003C047D">
        <w:tab/>
      </w:r>
      <w:r w:rsidRPr="00C8460A">
        <w:t xml:space="preserve">Given the limited time and resources available for </w:t>
      </w:r>
      <w:r>
        <w:t xml:space="preserve">an </w:t>
      </w:r>
      <w:r w:rsidR="00094C35">
        <w:t>i</w:t>
      </w:r>
      <w:r w:rsidR="00E76D56" w:rsidRPr="00E76D56">
        <w:t>ndependent progress report</w:t>
      </w:r>
      <w:r w:rsidR="00E76D56" w:rsidRPr="00E76D56" w:rsidDel="00E76D56">
        <w:t xml:space="preserve"> </w:t>
      </w:r>
      <w:r w:rsidRPr="00C8460A">
        <w:t xml:space="preserve">of a complex program, it was not feasible to meet with representatives </w:t>
      </w:r>
      <w:r>
        <w:t xml:space="preserve">from all ASEAN </w:t>
      </w:r>
      <w:r w:rsidRPr="00C8460A">
        <w:t>government</w:t>
      </w:r>
      <w:r>
        <w:t>s</w:t>
      </w:r>
      <w:r w:rsidRPr="00C8460A">
        <w:t xml:space="preserve">, nor to meet with representatives </w:t>
      </w:r>
      <w:r>
        <w:t>of all</w:t>
      </w:r>
      <w:r w:rsidRPr="00C8460A">
        <w:t xml:space="preserve"> </w:t>
      </w:r>
      <w:r>
        <w:t>AECSP</w:t>
      </w:r>
      <w:r w:rsidRPr="00C8460A">
        <w:t xml:space="preserve"> funded activities</w:t>
      </w:r>
      <w:r>
        <w:t xml:space="preserve">. The team prepared a semi-structured set of questions for the different categories of </w:t>
      </w:r>
      <w:r w:rsidR="005856D4">
        <w:t xml:space="preserve">participants </w:t>
      </w:r>
      <w:r>
        <w:t xml:space="preserve">(see </w:t>
      </w:r>
      <w:r w:rsidRPr="00094C35">
        <w:t>detailed methodology in Appendix 8</w:t>
      </w:r>
      <w:r>
        <w:t xml:space="preserve">). </w:t>
      </w:r>
      <w:r w:rsidR="00E76D56">
        <w:t>It</w:t>
      </w:r>
      <w:r w:rsidRPr="00C8460A">
        <w:t xml:space="preserve"> r</w:t>
      </w:r>
      <w:r>
        <w:t>elied</w:t>
      </w:r>
      <w:r w:rsidRPr="00C8460A">
        <w:t xml:space="preserve"> on activity reports, participant evaluation reports and other documentation</w:t>
      </w:r>
      <w:r>
        <w:t xml:space="preserve">, </w:t>
      </w:r>
      <w:r w:rsidR="00E76D56">
        <w:t xml:space="preserve">as well as </w:t>
      </w:r>
      <w:r>
        <w:t>follow-up email and telephone communications,</w:t>
      </w:r>
      <w:r w:rsidRPr="00C8460A">
        <w:t xml:space="preserve"> to supplement central level consultations.</w:t>
      </w:r>
      <w:r>
        <w:t xml:space="preserve"> </w:t>
      </w:r>
      <w:r w:rsidRPr="003C047D">
        <w:t>Given the program</w:t>
      </w:r>
      <w:r>
        <w:t>’s long-term</w:t>
      </w:r>
      <w:r w:rsidRPr="003C047D">
        <w:t xml:space="preserve"> nature, and the limited scope to consult ultimate beneficiaries, it </w:t>
      </w:r>
      <w:r>
        <w:t xml:space="preserve">was </w:t>
      </w:r>
      <w:r w:rsidR="00E76D56">
        <w:t xml:space="preserve">recognised </w:t>
      </w:r>
      <w:r>
        <w:t>that it would</w:t>
      </w:r>
      <w:r w:rsidRPr="003C047D">
        <w:t xml:space="preserve"> not be possible to attribute impacts to program supported activities</w:t>
      </w:r>
      <w:r>
        <w:t xml:space="preserve"> at this stage, and that it would</w:t>
      </w:r>
      <w:r w:rsidRPr="003C047D">
        <w:t xml:space="preserve"> be difficult to assess the likely sustainability of program</w:t>
      </w:r>
      <w:r w:rsidR="00094C35">
        <w:t xml:space="preserve"> </w:t>
      </w:r>
      <w:r w:rsidRPr="003C047D">
        <w:t xml:space="preserve">supported activities. </w:t>
      </w:r>
      <w:r w:rsidR="00E76D56">
        <w:t>I</w:t>
      </w:r>
      <w:r>
        <w:t>t was agreed at the inception stage</w:t>
      </w:r>
      <w:r w:rsidR="00E76D56" w:rsidRPr="00E76D56">
        <w:t xml:space="preserve"> </w:t>
      </w:r>
      <w:r w:rsidR="00E76D56">
        <w:t>therefore</w:t>
      </w:r>
      <w:r>
        <w:t>, that t</w:t>
      </w:r>
      <w:r w:rsidRPr="003C047D">
        <w:t xml:space="preserve">he evaluation </w:t>
      </w:r>
      <w:r>
        <w:t>should</w:t>
      </w:r>
      <w:r w:rsidRPr="003C047D">
        <w:t xml:space="preserve"> </w:t>
      </w:r>
      <w:r w:rsidR="00E76D56">
        <w:t xml:space="preserve">focus </w:t>
      </w:r>
      <w:r w:rsidRPr="003C047D">
        <w:t>on the continuing validity of the core logi</w:t>
      </w:r>
      <w:r>
        <w:t>cal assumptions linking program</w:t>
      </w:r>
      <w:r w:rsidR="00094C35">
        <w:t xml:space="preserve"> </w:t>
      </w:r>
      <w:r w:rsidRPr="003C047D">
        <w:t>funded activities, outputs and intended outcomes</w:t>
      </w:r>
      <w:r w:rsidR="00E76D56">
        <w:t>.</w:t>
      </w:r>
      <w:r>
        <w:rPr>
          <w:rStyle w:val="FootnoteReference"/>
        </w:rPr>
        <w:footnoteReference w:id="9"/>
      </w:r>
    </w:p>
    <w:p w14:paraId="3507A7AF" w14:textId="39A44F5E" w:rsidR="00530BA8" w:rsidRDefault="00530BA8" w:rsidP="00530BA8">
      <w:pPr>
        <w:pStyle w:val="Heading3"/>
        <w:numPr>
          <w:ilvl w:val="2"/>
          <w:numId w:val="0"/>
        </w:numPr>
        <w:spacing w:before="400" w:line="260" w:lineRule="exact"/>
      </w:pPr>
      <w:r>
        <w:t xml:space="preserve">ASEAN </w:t>
      </w:r>
      <w:r w:rsidR="005408FB">
        <w:t xml:space="preserve">context </w:t>
      </w:r>
    </w:p>
    <w:p w14:paraId="01B8C157" w14:textId="7AEB2C36" w:rsidR="00530BA8" w:rsidRPr="00681B35" w:rsidRDefault="00530BA8" w:rsidP="00714B4B">
      <w:pPr>
        <w:ind w:left="426" w:hanging="426"/>
        <w:rPr>
          <w:lang w:val="en-US"/>
        </w:rPr>
      </w:pPr>
      <w:r w:rsidRPr="003C047D">
        <w:fldChar w:fldCharType="begin"/>
      </w:r>
      <w:r w:rsidRPr="003C047D">
        <w:instrText xml:space="preserve"> AUTONUM </w:instrText>
      </w:r>
      <w:r w:rsidRPr="003C047D">
        <w:fldChar w:fldCharType="end"/>
      </w:r>
      <w:r w:rsidRPr="003C047D">
        <w:tab/>
      </w:r>
      <w:r>
        <w:t xml:space="preserve">The </w:t>
      </w:r>
      <w:r w:rsidR="00E76D56">
        <w:t>10-</w:t>
      </w:r>
      <w:r>
        <w:t>member</w:t>
      </w:r>
      <w:r w:rsidR="00E76D56">
        <w:t xml:space="preserve"> </w:t>
      </w:r>
      <w:r w:rsidRPr="00681B35">
        <w:rPr>
          <w:lang w:val="en-US"/>
        </w:rPr>
        <w:t xml:space="preserve">ASEAN was initiated in 1967 </w:t>
      </w:r>
      <w:r>
        <w:rPr>
          <w:lang w:val="en-US"/>
        </w:rPr>
        <w:t>with</w:t>
      </w:r>
      <w:r w:rsidRPr="00681B35">
        <w:rPr>
          <w:lang w:val="en-US"/>
        </w:rPr>
        <w:t xml:space="preserve"> Indonesia, Malaysia, the Philippines</w:t>
      </w:r>
      <w:r>
        <w:rPr>
          <w:lang w:val="en-US"/>
        </w:rPr>
        <w:t xml:space="preserve">, </w:t>
      </w:r>
      <w:r w:rsidRPr="00681B35">
        <w:rPr>
          <w:lang w:val="en-US"/>
        </w:rPr>
        <w:t xml:space="preserve">Singapore </w:t>
      </w:r>
      <w:r>
        <w:rPr>
          <w:lang w:val="en-US"/>
        </w:rPr>
        <w:t xml:space="preserve">and </w:t>
      </w:r>
      <w:r w:rsidRPr="00681B35">
        <w:rPr>
          <w:lang w:val="en-US"/>
        </w:rPr>
        <w:t xml:space="preserve">Thailand </w:t>
      </w:r>
      <w:r>
        <w:rPr>
          <w:lang w:val="en-US"/>
        </w:rPr>
        <w:t>as founding members</w:t>
      </w:r>
      <w:r w:rsidRPr="00681B35">
        <w:rPr>
          <w:lang w:val="en-US"/>
        </w:rPr>
        <w:t xml:space="preserve">. </w:t>
      </w:r>
      <w:r>
        <w:rPr>
          <w:lang w:val="en-US"/>
        </w:rPr>
        <w:t xml:space="preserve">With </w:t>
      </w:r>
      <w:r w:rsidRPr="00681B35">
        <w:rPr>
          <w:lang w:val="en-US"/>
        </w:rPr>
        <w:t>Brunei join</w:t>
      </w:r>
      <w:r>
        <w:rPr>
          <w:lang w:val="en-US"/>
        </w:rPr>
        <w:t>ing</w:t>
      </w:r>
      <w:r w:rsidRPr="00681B35">
        <w:rPr>
          <w:lang w:val="en-US"/>
        </w:rPr>
        <w:t xml:space="preserve"> in 1984, Vietnam </w:t>
      </w:r>
      <w:r w:rsidR="00E76D56">
        <w:rPr>
          <w:lang w:val="en-US"/>
        </w:rPr>
        <w:t xml:space="preserve">in </w:t>
      </w:r>
      <w:r w:rsidRPr="00681B35">
        <w:rPr>
          <w:lang w:val="en-US"/>
        </w:rPr>
        <w:t xml:space="preserve">1995, Myanmar and Laos </w:t>
      </w:r>
      <w:r w:rsidR="00E76D56">
        <w:rPr>
          <w:lang w:val="en-US"/>
        </w:rPr>
        <w:t xml:space="preserve">in </w:t>
      </w:r>
      <w:r w:rsidRPr="00681B35">
        <w:rPr>
          <w:lang w:val="en-US"/>
        </w:rPr>
        <w:t xml:space="preserve">1997, and Cambodia </w:t>
      </w:r>
      <w:r w:rsidR="00E76D56">
        <w:rPr>
          <w:lang w:val="en-US"/>
        </w:rPr>
        <w:t xml:space="preserve">in </w:t>
      </w:r>
      <w:r w:rsidRPr="00681B35">
        <w:rPr>
          <w:lang w:val="en-US"/>
        </w:rPr>
        <w:t>1999</w:t>
      </w:r>
      <w:r>
        <w:rPr>
          <w:lang w:val="en-US"/>
        </w:rPr>
        <w:t>, ASEAN’s</w:t>
      </w:r>
      <w:r w:rsidRPr="00681B35">
        <w:rPr>
          <w:lang w:val="en-US"/>
        </w:rPr>
        <w:t xml:space="preserve"> combined population </w:t>
      </w:r>
      <w:r>
        <w:rPr>
          <w:lang w:val="en-US"/>
        </w:rPr>
        <w:t>is now over 600 million, with a total gross domestic product estimated at over USD2300 billion in 2012</w:t>
      </w:r>
      <w:r w:rsidR="00E76D56">
        <w:rPr>
          <w:lang w:val="en-US"/>
        </w:rPr>
        <w:t>.</w:t>
      </w:r>
      <w:r>
        <w:rPr>
          <w:rStyle w:val="FootnoteReference"/>
          <w:lang w:val="en-US"/>
        </w:rPr>
        <w:footnoteReference w:id="10"/>
      </w:r>
      <w:r>
        <w:rPr>
          <w:lang w:val="en-US"/>
        </w:rPr>
        <w:t xml:space="preserve"> ASEAN became a formal legal entity when the ASEAN Charter came into force in 2008. The ASEAN Secretariat is located in Jakarta.</w:t>
      </w:r>
    </w:p>
    <w:p w14:paraId="27DDD523" w14:textId="6B7FFBAD" w:rsidR="00530BA8" w:rsidRDefault="00530BA8" w:rsidP="00714B4B">
      <w:pPr>
        <w:ind w:left="426" w:hanging="426"/>
        <w:rPr>
          <w:lang w:val="en-US"/>
        </w:rPr>
      </w:pPr>
      <w:r w:rsidRPr="00F03A6E">
        <w:fldChar w:fldCharType="begin"/>
      </w:r>
      <w:r w:rsidRPr="00F03A6E">
        <w:instrText xml:space="preserve"> AUTONUM </w:instrText>
      </w:r>
      <w:r w:rsidRPr="00F03A6E">
        <w:fldChar w:fldCharType="end"/>
      </w:r>
      <w:r>
        <w:tab/>
      </w:r>
      <w:r>
        <w:rPr>
          <w:lang w:val="en-US"/>
        </w:rPr>
        <w:t xml:space="preserve">There is wide diversity among the ASEAN members in terms of population, resources, culture, languages, </w:t>
      </w:r>
      <w:r w:rsidR="00E76D56">
        <w:rPr>
          <w:lang w:val="en-US"/>
        </w:rPr>
        <w:t>gross domestic product</w:t>
      </w:r>
      <w:r>
        <w:rPr>
          <w:lang w:val="en-US"/>
        </w:rPr>
        <w:t xml:space="preserve"> and business enabling environments. </w:t>
      </w:r>
      <w:r w:rsidRPr="00681B35">
        <w:rPr>
          <w:lang w:val="en-US"/>
        </w:rPr>
        <w:t>Singapore</w:t>
      </w:r>
      <w:r>
        <w:rPr>
          <w:lang w:val="en-US"/>
        </w:rPr>
        <w:t xml:space="preserve"> and Brunei had purchasing power parity per capita incomes of USD60</w:t>
      </w:r>
      <w:r w:rsidR="00E76D56">
        <w:rPr>
          <w:lang w:val="en-US"/>
        </w:rPr>
        <w:t xml:space="preserve"> </w:t>
      </w:r>
      <w:r>
        <w:rPr>
          <w:lang w:val="en-US"/>
        </w:rPr>
        <w:t>700 and USD51</w:t>
      </w:r>
      <w:r w:rsidR="00E76D56">
        <w:rPr>
          <w:lang w:val="en-US"/>
        </w:rPr>
        <w:t xml:space="preserve"> </w:t>
      </w:r>
      <w:r>
        <w:rPr>
          <w:lang w:val="en-US"/>
        </w:rPr>
        <w:t>760 in 2011</w:t>
      </w:r>
      <w:r w:rsidRPr="00681B35">
        <w:rPr>
          <w:lang w:val="en-US"/>
        </w:rPr>
        <w:t>,</w:t>
      </w:r>
      <w:r>
        <w:rPr>
          <w:lang w:val="en-US"/>
        </w:rPr>
        <w:t xml:space="preserve"> higher than that of Australia (USD39</w:t>
      </w:r>
      <w:r w:rsidR="00E76D56">
        <w:rPr>
          <w:lang w:val="en-US"/>
        </w:rPr>
        <w:t xml:space="preserve"> </w:t>
      </w:r>
      <w:r>
        <w:rPr>
          <w:lang w:val="en-US"/>
        </w:rPr>
        <w:t>721) and New Zealand (USD30</w:t>
      </w:r>
      <w:r w:rsidR="00E76D56">
        <w:rPr>
          <w:lang w:val="en-US"/>
        </w:rPr>
        <w:t xml:space="preserve"> </w:t>
      </w:r>
      <w:r>
        <w:rPr>
          <w:lang w:val="en-US"/>
        </w:rPr>
        <w:t>067)</w:t>
      </w:r>
      <w:r w:rsidR="00E76D56">
        <w:rPr>
          <w:lang w:val="en-US"/>
        </w:rPr>
        <w:t>.</w:t>
      </w:r>
      <w:r>
        <w:rPr>
          <w:rStyle w:val="FootnoteReference"/>
          <w:lang w:val="en-US"/>
        </w:rPr>
        <w:footnoteReference w:id="11"/>
      </w:r>
      <w:r>
        <w:rPr>
          <w:lang w:val="en-US"/>
        </w:rPr>
        <w:t xml:space="preserve"> Laos and Cambodia have per capita incomes of less than USD3000. In terms of the </w:t>
      </w:r>
      <w:r w:rsidRPr="00681B35">
        <w:rPr>
          <w:lang w:val="en-US"/>
        </w:rPr>
        <w:t xml:space="preserve">World Bank’s annual ‘Doing Business’ rankings, </w:t>
      </w:r>
      <w:r>
        <w:rPr>
          <w:lang w:val="en-US"/>
        </w:rPr>
        <w:t>the region includes both some of the world’s highest (Singapore) and lowest ranked countries. Singapore has the highest trade/</w:t>
      </w:r>
      <w:r w:rsidR="00E76D56">
        <w:rPr>
          <w:lang w:val="en-US"/>
        </w:rPr>
        <w:t xml:space="preserve">gross domestic product </w:t>
      </w:r>
      <w:r>
        <w:rPr>
          <w:lang w:val="en-US"/>
        </w:rPr>
        <w:t>ratio, followed by Viet</w:t>
      </w:r>
      <w:r w:rsidR="00E76D56">
        <w:rPr>
          <w:lang w:val="en-US"/>
        </w:rPr>
        <w:t>n</w:t>
      </w:r>
      <w:r>
        <w:rPr>
          <w:lang w:val="en-US"/>
        </w:rPr>
        <w:t xml:space="preserve">am and Malaysia. Cambodia has the highest ratio of foreign direct investment inflows to </w:t>
      </w:r>
      <w:r w:rsidR="00E76D56">
        <w:rPr>
          <w:lang w:val="en-US"/>
        </w:rPr>
        <w:t>gross domestic product</w:t>
      </w:r>
      <w:r>
        <w:rPr>
          <w:lang w:val="en-US"/>
        </w:rPr>
        <w:t xml:space="preserve">. </w:t>
      </w:r>
    </w:p>
    <w:p w14:paraId="044671D8" w14:textId="1D38A2E2" w:rsidR="00530BA8" w:rsidRDefault="00530BA8" w:rsidP="00714B4B">
      <w:pPr>
        <w:ind w:left="426" w:hanging="426"/>
        <w:rPr>
          <w:lang w:val="en-US"/>
        </w:rPr>
      </w:pPr>
      <w:r w:rsidRPr="00F03A6E">
        <w:fldChar w:fldCharType="begin"/>
      </w:r>
      <w:r w:rsidRPr="00F03A6E">
        <w:instrText xml:space="preserve"> AUTONUM </w:instrText>
      </w:r>
      <w:r w:rsidRPr="00F03A6E">
        <w:fldChar w:fldCharType="end"/>
      </w:r>
      <w:r>
        <w:tab/>
      </w:r>
      <w:r w:rsidR="00F26AD5">
        <w:rPr>
          <w:lang w:val="en-US"/>
        </w:rPr>
        <w:t xml:space="preserve">In 2003 </w:t>
      </w:r>
      <w:r w:rsidRPr="00681B35">
        <w:rPr>
          <w:lang w:val="en-US"/>
        </w:rPr>
        <w:t>ASEAN</w:t>
      </w:r>
      <w:r>
        <w:rPr>
          <w:lang w:val="en-US"/>
        </w:rPr>
        <w:t xml:space="preserve"> members committed to create</w:t>
      </w:r>
      <w:r w:rsidRPr="00681B35">
        <w:rPr>
          <w:lang w:val="en-US"/>
        </w:rPr>
        <w:t xml:space="preserve"> an ASEAN Economic Community, an ASEAN Political</w:t>
      </w:r>
      <w:r w:rsidR="00094C35">
        <w:rPr>
          <w:lang w:val="en-US"/>
        </w:rPr>
        <w:t>–</w:t>
      </w:r>
      <w:r w:rsidRPr="00681B35">
        <w:rPr>
          <w:lang w:val="en-US"/>
        </w:rPr>
        <w:t>Security Community and an ASEAN Socio</w:t>
      </w:r>
      <w:r w:rsidR="00094C35">
        <w:rPr>
          <w:lang w:val="en-US"/>
        </w:rPr>
        <w:t>–</w:t>
      </w:r>
      <w:r w:rsidRPr="00681B35">
        <w:rPr>
          <w:lang w:val="en-US"/>
        </w:rPr>
        <w:t xml:space="preserve">Cultural Community by 2020. </w:t>
      </w:r>
      <w:r>
        <w:rPr>
          <w:lang w:val="en-US"/>
        </w:rPr>
        <w:t>I</w:t>
      </w:r>
      <w:r w:rsidRPr="00681B35">
        <w:rPr>
          <w:lang w:val="en-US"/>
        </w:rPr>
        <w:t>n 2007</w:t>
      </w:r>
      <w:r>
        <w:rPr>
          <w:lang w:val="en-US"/>
        </w:rPr>
        <w:t>,</w:t>
      </w:r>
      <w:r w:rsidRPr="00681B35">
        <w:rPr>
          <w:lang w:val="en-US"/>
        </w:rPr>
        <w:t xml:space="preserve"> ASEAN leaders </w:t>
      </w:r>
      <w:r>
        <w:rPr>
          <w:lang w:val="en-US"/>
        </w:rPr>
        <w:t xml:space="preserve">brought forward the target for the </w:t>
      </w:r>
      <w:r w:rsidR="00F26AD5" w:rsidRPr="00681B35">
        <w:rPr>
          <w:lang w:val="en-US"/>
        </w:rPr>
        <w:t>ASEAN Economic Community</w:t>
      </w:r>
      <w:r w:rsidR="00F26AD5" w:rsidDel="00F26AD5">
        <w:rPr>
          <w:lang w:val="en-US"/>
        </w:rPr>
        <w:t xml:space="preserve"> </w:t>
      </w:r>
      <w:r>
        <w:rPr>
          <w:lang w:val="en-US"/>
        </w:rPr>
        <w:t xml:space="preserve">implementation to 2015. </w:t>
      </w:r>
      <w:r>
        <w:rPr>
          <w:rFonts w:cs="Arial"/>
          <w:szCs w:val="20"/>
          <w:lang w:eastAsia="en-AU"/>
        </w:rPr>
        <w:t xml:space="preserve">Leaders from </w:t>
      </w:r>
      <w:r w:rsidRPr="00916316">
        <w:rPr>
          <w:rFonts w:cs="Arial"/>
          <w:szCs w:val="20"/>
          <w:lang w:eastAsia="en-AU"/>
        </w:rPr>
        <w:t xml:space="preserve">ASEAN </w:t>
      </w:r>
      <w:r w:rsidR="00F26AD5">
        <w:rPr>
          <w:rFonts w:cs="Arial"/>
          <w:szCs w:val="20"/>
          <w:lang w:eastAsia="en-AU"/>
        </w:rPr>
        <w:t>m</w:t>
      </w:r>
      <w:r w:rsidR="00F26AD5" w:rsidRPr="00916316">
        <w:rPr>
          <w:rFonts w:cs="Arial"/>
          <w:szCs w:val="20"/>
          <w:lang w:eastAsia="en-AU"/>
        </w:rPr>
        <w:t>ember</w:t>
      </w:r>
      <w:r w:rsidR="00F26AD5">
        <w:rPr>
          <w:rFonts w:cs="Arial"/>
          <w:szCs w:val="20"/>
          <w:lang w:eastAsia="en-AU"/>
        </w:rPr>
        <w:t xml:space="preserve"> states </w:t>
      </w:r>
      <w:r>
        <w:rPr>
          <w:rFonts w:cs="Arial"/>
          <w:szCs w:val="20"/>
          <w:lang w:eastAsia="en-AU"/>
        </w:rPr>
        <w:t xml:space="preserve">and ASEAN’s </w:t>
      </w:r>
      <w:r w:rsidR="00F26AD5">
        <w:rPr>
          <w:rFonts w:cs="Arial"/>
          <w:szCs w:val="20"/>
          <w:lang w:eastAsia="en-AU"/>
        </w:rPr>
        <w:t>free trade agreement partners</w:t>
      </w:r>
      <w:r w:rsidR="005856D4">
        <w:rPr>
          <w:rFonts w:cs="Arial"/>
          <w:szCs w:val="20"/>
          <w:lang w:eastAsia="en-AU"/>
        </w:rPr>
        <w:t xml:space="preserve"> </w:t>
      </w:r>
      <w:r>
        <w:rPr>
          <w:rFonts w:cs="Arial"/>
          <w:szCs w:val="20"/>
          <w:lang w:eastAsia="en-AU"/>
        </w:rPr>
        <w:t>(</w:t>
      </w:r>
      <w:r w:rsidRPr="00916316">
        <w:rPr>
          <w:rFonts w:cs="Arial"/>
          <w:szCs w:val="20"/>
          <w:lang w:eastAsia="en-AU"/>
        </w:rPr>
        <w:t>Australia,</w:t>
      </w:r>
      <w:r>
        <w:rPr>
          <w:rFonts w:cs="Arial"/>
          <w:szCs w:val="20"/>
          <w:lang w:eastAsia="en-AU"/>
        </w:rPr>
        <w:t xml:space="preserve"> </w:t>
      </w:r>
      <w:r w:rsidRPr="00916316">
        <w:rPr>
          <w:rFonts w:cs="Arial"/>
          <w:szCs w:val="20"/>
          <w:lang w:eastAsia="en-AU"/>
        </w:rPr>
        <w:t>China, India, Japan, New Zealand and</w:t>
      </w:r>
      <w:r>
        <w:rPr>
          <w:rFonts w:cs="Arial"/>
          <w:szCs w:val="20"/>
          <w:lang w:eastAsia="en-AU"/>
        </w:rPr>
        <w:t xml:space="preserve"> </w:t>
      </w:r>
      <w:r w:rsidR="00F26AD5">
        <w:rPr>
          <w:rFonts w:cs="Arial"/>
          <w:szCs w:val="20"/>
          <w:lang w:eastAsia="en-AU"/>
        </w:rPr>
        <w:t xml:space="preserve">the </w:t>
      </w:r>
      <w:r>
        <w:rPr>
          <w:rFonts w:cs="Arial"/>
          <w:szCs w:val="20"/>
          <w:lang w:eastAsia="en-AU"/>
        </w:rPr>
        <w:t>Republic of</w:t>
      </w:r>
      <w:r w:rsidRPr="00916316">
        <w:rPr>
          <w:rFonts w:cs="Arial"/>
          <w:szCs w:val="20"/>
          <w:lang w:eastAsia="en-AU"/>
        </w:rPr>
        <w:t xml:space="preserve"> Korea</w:t>
      </w:r>
      <w:r>
        <w:rPr>
          <w:rFonts w:cs="Arial"/>
          <w:szCs w:val="20"/>
          <w:lang w:eastAsia="en-AU"/>
        </w:rPr>
        <w:t xml:space="preserve">) agreed in November 2012 to launch negotiations </w:t>
      </w:r>
      <w:r w:rsidR="00094C35">
        <w:rPr>
          <w:rFonts w:cs="Arial"/>
          <w:szCs w:val="20"/>
          <w:lang w:eastAsia="en-AU"/>
        </w:rPr>
        <w:t xml:space="preserve">on </w:t>
      </w:r>
      <w:r>
        <w:rPr>
          <w:rFonts w:cs="Arial"/>
          <w:szCs w:val="20"/>
          <w:lang w:eastAsia="en-AU"/>
        </w:rPr>
        <w:t xml:space="preserve">a </w:t>
      </w:r>
      <w:r w:rsidRPr="00916316">
        <w:rPr>
          <w:rFonts w:cs="Arial"/>
          <w:szCs w:val="20"/>
          <w:lang w:eastAsia="en-AU"/>
        </w:rPr>
        <w:t>Regional Com</w:t>
      </w:r>
      <w:r>
        <w:rPr>
          <w:rFonts w:cs="Arial"/>
          <w:szCs w:val="20"/>
          <w:lang w:eastAsia="en-AU"/>
        </w:rPr>
        <w:t>prehensive Economic Partnership</w:t>
      </w:r>
      <w:r w:rsidR="00F26AD5">
        <w:rPr>
          <w:rFonts w:cs="Arial"/>
          <w:szCs w:val="20"/>
          <w:lang w:eastAsia="en-AU"/>
        </w:rPr>
        <w:t>.</w:t>
      </w:r>
      <w:r>
        <w:rPr>
          <w:rStyle w:val="FootnoteReference"/>
          <w:lang w:val="en-US"/>
        </w:rPr>
        <w:footnoteReference w:id="12"/>
      </w:r>
    </w:p>
    <w:p w14:paraId="1D8A1295" w14:textId="20CD7758" w:rsidR="00530BA8" w:rsidRDefault="00530BA8" w:rsidP="00530BA8">
      <w:pPr>
        <w:pStyle w:val="Heading1"/>
      </w:pPr>
      <w:bookmarkStart w:id="5" w:name="_Toc229924882"/>
      <w:r>
        <w:lastRenderedPageBreak/>
        <w:t xml:space="preserve">Evaluation </w:t>
      </w:r>
      <w:bookmarkEnd w:id="5"/>
      <w:r w:rsidR="005408FB">
        <w:t>findings</w:t>
      </w:r>
    </w:p>
    <w:p w14:paraId="54F7B0EC" w14:textId="2E2B1D53" w:rsidR="00530BA8" w:rsidRDefault="00530BA8" w:rsidP="00714B4B">
      <w:pPr>
        <w:ind w:left="426" w:hanging="426"/>
      </w:pPr>
      <w:r w:rsidRPr="00AC05DB">
        <w:fldChar w:fldCharType="begin"/>
      </w:r>
      <w:r w:rsidRPr="00AC05DB">
        <w:instrText xml:space="preserve"> AUTONUM </w:instrText>
      </w:r>
      <w:r w:rsidRPr="00AC05DB">
        <w:fldChar w:fldCharType="end"/>
      </w:r>
      <w:r>
        <w:tab/>
        <w:t>A</w:t>
      </w:r>
      <w:r w:rsidRPr="00AC05DB">
        <w:t xml:space="preserve">fter delays in start-up, AECSP is beginning to build momentum and </w:t>
      </w:r>
      <w:r>
        <w:t>generate</w:t>
      </w:r>
      <w:r w:rsidRPr="00AC05DB">
        <w:t xml:space="preserve"> tangible outcomes that are likely to help expand regional trade and investment. </w:t>
      </w:r>
      <w:r>
        <w:rPr>
          <w:lang w:val="en-US"/>
        </w:rPr>
        <w:t xml:space="preserve">One reason </w:t>
      </w:r>
      <w:r w:rsidRPr="007B4B29">
        <w:rPr>
          <w:lang w:val="en-US"/>
        </w:rPr>
        <w:t>for the slow</w:t>
      </w:r>
      <w:r>
        <w:rPr>
          <w:lang w:val="en-US"/>
        </w:rPr>
        <w:t>er than planned</w:t>
      </w:r>
      <w:r w:rsidRPr="007B4B29">
        <w:rPr>
          <w:lang w:val="en-US"/>
        </w:rPr>
        <w:t xml:space="preserve"> </w:t>
      </w:r>
      <w:r>
        <w:rPr>
          <w:lang w:val="en-US"/>
        </w:rPr>
        <w:t>start-up</w:t>
      </w:r>
      <w:r w:rsidRPr="007B4B29">
        <w:rPr>
          <w:lang w:val="en-US"/>
        </w:rPr>
        <w:t xml:space="preserve"> was that </w:t>
      </w:r>
      <w:r>
        <w:rPr>
          <w:lang w:val="en-US"/>
        </w:rPr>
        <w:t>AANZFTA committees and sub-c</w:t>
      </w:r>
      <w:r w:rsidRPr="007B4B29">
        <w:rPr>
          <w:lang w:val="en-US"/>
        </w:rPr>
        <w:t xml:space="preserve">ommittees had to </w:t>
      </w:r>
      <w:r>
        <w:rPr>
          <w:lang w:val="en-US"/>
        </w:rPr>
        <w:t>get established</w:t>
      </w:r>
      <w:r w:rsidR="00094C35">
        <w:rPr>
          <w:lang w:val="en-US"/>
        </w:rPr>
        <w:t>,</w:t>
      </w:r>
      <w:r w:rsidRPr="007B4B29">
        <w:rPr>
          <w:lang w:val="en-US"/>
        </w:rPr>
        <w:t xml:space="preserve"> plan activities, </w:t>
      </w:r>
      <w:r w:rsidR="00F26AD5">
        <w:rPr>
          <w:lang w:val="en-US"/>
        </w:rPr>
        <w:t xml:space="preserve">and </w:t>
      </w:r>
      <w:r w:rsidRPr="007B4B29">
        <w:rPr>
          <w:lang w:val="en-US"/>
        </w:rPr>
        <w:t>identify particular</w:t>
      </w:r>
      <w:r>
        <w:rPr>
          <w:lang w:val="en-US"/>
        </w:rPr>
        <w:t xml:space="preserve"> </w:t>
      </w:r>
      <w:r w:rsidR="006A57D9">
        <w:t>Economic Cooperation Work Program</w:t>
      </w:r>
      <w:r w:rsidR="00094C35">
        <w:t xml:space="preserve"> </w:t>
      </w:r>
      <w:r w:rsidRPr="007B4B29">
        <w:rPr>
          <w:lang w:val="en-US"/>
        </w:rPr>
        <w:t xml:space="preserve">projects that the AECSP could fund to support implementation of the </w:t>
      </w:r>
      <w:r w:rsidR="00F26AD5">
        <w:rPr>
          <w:lang w:val="en-US"/>
        </w:rPr>
        <w:t>a</w:t>
      </w:r>
      <w:r w:rsidR="00F26AD5" w:rsidRPr="007B4B29">
        <w:rPr>
          <w:lang w:val="en-US"/>
        </w:rPr>
        <w:t>greement</w:t>
      </w:r>
      <w:r w:rsidRPr="007B4B29">
        <w:rPr>
          <w:lang w:val="en-US"/>
        </w:rPr>
        <w:t xml:space="preserve">. </w:t>
      </w:r>
      <w:r>
        <w:t>Initial</w:t>
      </w:r>
      <w:r w:rsidRPr="00232015">
        <w:t xml:space="preserve"> activities concentrated on</w:t>
      </w:r>
      <w:r>
        <w:t xml:space="preserve"> </w:t>
      </w:r>
      <w:r w:rsidR="00F26AD5">
        <w:t>ad-</w:t>
      </w:r>
      <w:r>
        <w:t>hoc</w:t>
      </w:r>
      <w:r w:rsidRPr="00232015">
        <w:t xml:space="preserve"> capacity building </w:t>
      </w:r>
      <w:r>
        <w:t xml:space="preserve">initiatives to </w:t>
      </w:r>
      <w:r w:rsidRPr="00232015">
        <w:t>address</w:t>
      </w:r>
      <w:r>
        <w:t xml:space="preserve"> specific</w:t>
      </w:r>
      <w:r w:rsidRPr="00232015">
        <w:t xml:space="preserve"> impediments to </w:t>
      </w:r>
      <w:r>
        <w:t>AANZFTA implementation.</w:t>
      </w:r>
      <w:r w:rsidRPr="00232015">
        <w:t xml:space="preserve"> While implementation remains a key </w:t>
      </w:r>
      <w:r>
        <w:t>focus</w:t>
      </w:r>
      <w:r w:rsidRPr="00232015">
        <w:t xml:space="preserve">, </w:t>
      </w:r>
      <w:r w:rsidR="006A57D9">
        <w:t xml:space="preserve">Economic Cooperation Work Program </w:t>
      </w:r>
      <w:r w:rsidRPr="00232015">
        <w:t xml:space="preserve">activities </w:t>
      </w:r>
      <w:r>
        <w:t>support a</w:t>
      </w:r>
      <w:r w:rsidRPr="00232015">
        <w:t xml:space="preserve"> </w:t>
      </w:r>
      <w:r>
        <w:t xml:space="preserve">broader </w:t>
      </w:r>
      <w:r w:rsidRPr="00232015">
        <w:t>economic integration and business utilisation</w:t>
      </w:r>
      <w:r>
        <w:t xml:space="preserve"> agenda that will have development impacts beyond AANZFTA</w:t>
      </w:r>
      <w:r w:rsidRPr="00232015">
        <w:t>.</w:t>
      </w:r>
      <w:r w:rsidR="005856D4">
        <w:t xml:space="preserve"> </w:t>
      </w:r>
    </w:p>
    <w:p w14:paraId="3D4B42EC" w14:textId="1D31D8DC" w:rsidR="00530BA8" w:rsidRDefault="00530BA8" w:rsidP="00714B4B">
      <w:pPr>
        <w:ind w:left="426" w:hanging="426"/>
      </w:pPr>
      <w:r w:rsidRPr="00AC05DB">
        <w:fldChar w:fldCharType="begin"/>
      </w:r>
      <w:r w:rsidRPr="00AC05DB">
        <w:instrText xml:space="preserve"> AUTONUM </w:instrText>
      </w:r>
      <w:r w:rsidRPr="00AC05DB">
        <w:fldChar w:fldCharType="end"/>
      </w:r>
      <w:r>
        <w:tab/>
        <w:t xml:space="preserve">The level and extent of interaction between </w:t>
      </w:r>
      <w:r w:rsidRPr="007B4B29">
        <w:rPr>
          <w:lang w:val="en-US"/>
        </w:rPr>
        <w:t xml:space="preserve">AECSP </w:t>
      </w:r>
      <w:r>
        <w:rPr>
          <w:lang w:val="en-US"/>
        </w:rPr>
        <w:t xml:space="preserve">and AANZFTA </w:t>
      </w:r>
      <w:r w:rsidR="00F26AD5">
        <w:rPr>
          <w:lang w:val="en-US"/>
        </w:rPr>
        <w:t xml:space="preserve">parties </w:t>
      </w:r>
      <w:r>
        <w:rPr>
          <w:lang w:val="en-US"/>
        </w:rPr>
        <w:t>is indicative of</w:t>
      </w:r>
      <w:r w:rsidRPr="00AC05DB">
        <w:t xml:space="preserve"> strong country and regional level ownershi</w:t>
      </w:r>
      <w:r>
        <w:t xml:space="preserve">p of AECSP supported activities. Leads of the AANZFTA Joint Committee frequently complimented the contribution of AECSP in progressing the regional integration agenda. However </w:t>
      </w:r>
      <w:r w:rsidRPr="00AC05DB">
        <w:t xml:space="preserve">more needs to be done to ensure that </w:t>
      </w:r>
      <w:r w:rsidR="00FA23AA">
        <w:t xml:space="preserve">ASEAN </w:t>
      </w:r>
      <w:r w:rsidR="00094C35">
        <w:t xml:space="preserve">Secretariat </w:t>
      </w:r>
      <w:r w:rsidRPr="00AC05DB">
        <w:t xml:space="preserve">leadership </w:t>
      </w:r>
      <w:r w:rsidR="00F26AD5">
        <w:t>is</w:t>
      </w:r>
      <w:r w:rsidR="00F26AD5" w:rsidRPr="00AC05DB">
        <w:t xml:space="preserve"> </w:t>
      </w:r>
      <w:r>
        <w:t>better</w:t>
      </w:r>
      <w:r w:rsidRPr="00AC05DB">
        <w:t xml:space="preserve"> aware of outcomes and linkages w</w:t>
      </w:r>
      <w:r>
        <w:t xml:space="preserve">ith </w:t>
      </w:r>
      <w:r w:rsidR="00094C35">
        <w:t>the s</w:t>
      </w:r>
      <w:r w:rsidR="00F26AD5">
        <w:t>ecretariat</w:t>
      </w:r>
      <w:r w:rsidR="00094C35">
        <w:t>’s</w:t>
      </w:r>
      <w:r w:rsidR="00F26AD5">
        <w:t xml:space="preserve"> </w:t>
      </w:r>
      <w:r>
        <w:t>core responsibilities.</w:t>
      </w:r>
    </w:p>
    <w:p w14:paraId="0B5334E0" w14:textId="2E733ABD" w:rsidR="00530BA8" w:rsidRPr="00447AE8" w:rsidRDefault="00530BA8" w:rsidP="00714B4B">
      <w:pPr>
        <w:ind w:left="426" w:hanging="426"/>
        <w:rPr>
          <w:lang w:val="en-US"/>
        </w:rPr>
      </w:pPr>
      <w:r w:rsidRPr="00AC05DB">
        <w:fldChar w:fldCharType="begin"/>
      </w:r>
      <w:r w:rsidRPr="00AC05DB">
        <w:instrText xml:space="preserve"> AUTONUM </w:instrText>
      </w:r>
      <w:r w:rsidRPr="00AC05DB">
        <w:fldChar w:fldCharType="end"/>
      </w:r>
      <w:r>
        <w:tab/>
      </w:r>
      <w:r w:rsidRPr="007B4B29">
        <w:rPr>
          <w:lang w:val="en-US"/>
        </w:rPr>
        <w:t>This interactive process</w:t>
      </w:r>
      <w:r>
        <w:rPr>
          <w:lang w:val="en-US"/>
        </w:rPr>
        <w:t>—</w:t>
      </w:r>
      <w:r w:rsidRPr="007B4B29">
        <w:rPr>
          <w:lang w:val="en-US"/>
        </w:rPr>
        <w:t xml:space="preserve">where </w:t>
      </w:r>
      <w:r>
        <w:rPr>
          <w:lang w:val="en-US"/>
        </w:rPr>
        <w:t>key stakeholders actively identify and guide</w:t>
      </w:r>
      <w:r w:rsidRPr="007B4B29">
        <w:rPr>
          <w:lang w:val="en-US"/>
        </w:rPr>
        <w:t xml:space="preserve"> AECSP projects and these in turn shape and inform</w:t>
      </w:r>
      <w:r>
        <w:rPr>
          <w:lang w:val="en-US"/>
        </w:rPr>
        <w:t xml:space="preserve"> the </w:t>
      </w:r>
      <w:r w:rsidR="00F26AD5">
        <w:rPr>
          <w:lang w:val="en-US"/>
        </w:rPr>
        <w:t xml:space="preserve">parties’ </w:t>
      </w:r>
      <w:r>
        <w:rPr>
          <w:lang w:val="en-US"/>
        </w:rPr>
        <w:t>collective action</w:t>
      </w:r>
      <w:r w:rsidRPr="007B4B29">
        <w:rPr>
          <w:lang w:val="en-US"/>
        </w:rPr>
        <w:t xml:space="preserve"> in implementing </w:t>
      </w:r>
      <w:r>
        <w:rPr>
          <w:lang w:val="en-US"/>
        </w:rPr>
        <w:t>AANZFTA—</w:t>
      </w:r>
      <w:r w:rsidRPr="007B4B29">
        <w:rPr>
          <w:lang w:val="en-US"/>
        </w:rPr>
        <w:t xml:space="preserve">can be expected to </w:t>
      </w:r>
      <w:r>
        <w:rPr>
          <w:lang w:val="en-US"/>
        </w:rPr>
        <w:t>continue to drive</w:t>
      </w:r>
      <w:r w:rsidRPr="007B4B29">
        <w:rPr>
          <w:lang w:val="en-US"/>
        </w:rPr>
        <w:t xml:space="preserve"> the evolution of both AECSP and AANZFTA, as well as contribut</w:t>
      </w:r>
      <w:r w:rsidR="00094C35">
        <w:rPr>
          <w:lang w:val="en-US"/>
        </w:rPr>
        <w:t>e</w:t>
      </w:r>
      <w:r w:rsidRPr="007B4B29">
        <w:rPr>
          <w:lang w:val="en-US"/>
        </w:rPr>
        <w:t xml:space="preserve"> to further regional economic integration, for example in the Regional Comprehensive Economic Partnership negotiations.</w:t>
      </w:r>
    </w:p>
    <w:p w14:paraId="12202063" w14:textId="1F77F5B4" w:rsidR="00530BA8" w:rsidRPr="00232015" w:rsidRDefault="00530BA8" w:rsidP="00714B4B">
      <w:pPr>
        <w:ind w:left="426" w:hanging="426"/>
      </w:pPr>
      <w:r w:rsidRPr="00AC05DB">
        <w:fldChar w:fldCharType="begin"/>
      </w:r>
      <w:r w:rsidRPr="00AC05DB">
        <w:instrText xml:space="preserve"> AUTONUM </w:instrText>
      </w:r>
      <w:r w:rsidRPr="00AC05DB">
        <w:fldChar w:fldCharType="end"/>
      </w:r>
      <w:r>
        <w:tab/>
      </w:r>
      <w:r w:rsidRPr="00232015">
        <w:t xml:space="preserve">The greatest momentum has been in the </w:t>
      </w:r>
      <w:r w:rsidR="00F26AD5" w:rsidRPr="00232015">
        <w:t xml:space="preserve">goods and intellectual property </w:t>
      </w:r>
      <w:r w:rsidRPr="00232015">
        <w:t>areas</w:t>
      </w:r>
      <w:r>
        <w:t xml:space="preserve">, where </w:t>
      </w:r>
      <w:r w:rsidRPr="00232015">
        <w:t xml:space="preserve">cooperation </w:t>
      </w:r>
      <w:r>
        <w:t>activities are</w:t>
      </w:r>
      <w:r w:rsidRPr="00232015">
        <w:t xml:space="preserve"> well </w:t>
      </w:r>
      <w:r>
        <w:t xml:space="preserve">integrated in the respective </w:t>
      </w:r>
      <w:r w:rsidR="00F26AD5" w:rsidRPr="00F26AD5">
        <w:t>F</w:t>
      </w:r>
      <w:r w:rsidR="00F26AD5">
        <w:t xml:space="preserve">ree </w:t>
      </w:r>
      <w:r w:rsidR="00F26AD5" w:rsidRPr="00F26AD5">
        <w:t>T</w:t>
      </w:r>
      <w:r w:rsidR="00F26AD5">
        <w:t xml:space="preserve">rade </w:t>
      </w:r>
      <w:r w:rsidR="00F26AD5" w:rsidRPr="00F26AD5">
        <w:t>A</w:t>
      </w:r>
      <w:r w:rsidR="00F26AD5">
        <w:t>greement</w:t>
      </w:r>
      <w:r w:rsidR="00F26AD5" w:rsidRPr="00F26AD5">
        <w:t xml:space="preserve"> Joint Committee</w:t>
      </w:r>
      <w:r w:rsidR="00094C35">
        <w:t>s</w:t>
      </w:r>
      <w:r>
        <w:t xml:space="preserve">, and </w:t>
      </w:r>
      <w:r w:rsidRPr="00232015">
        <w:t xml:space="preserve">the </w:t>
      </w:r>
      <w:r w:rsidR="006A57D9">
        <w:t xml:space="preserve">Economic Cooperation Work Program </w:t>
      </w:r>
      <w:r w:rsidRPr="00232015">
        <w:t xml:space="preserve">is </w:t>
      </w:r>
      <w:r>
        <w:t xml:space="preserve">effectively </w:t>
      </w:r>
      <w:r w:rsidRPr="00232015">
        <w:t xml:space="preserve">delivering </w:t>
      </w:r>
      <w:r>
        <w:t>tailored activities. Progress is also being made in the area of c</w:t>
      </w:r>
      <w:r w:rsidRPr="00232015">
        <w:t>ompetition</w:t>
      </w:r>
      <w:r>
        <w:t xml:space="preserve"> policy</w:t>
      </w:r>
      <w:r w:rsidRPr="00232015">
        <w:t xml:space="preserve">. </w:t>
      </w:r>
      <w:r>
        <w:t xml:space="preserve">Momentum is </w:t>
      </w:r>
      <w:r w:rsidR="00094C35">
        <w:t xml:space="preserve">being </w:t>
      </w:r>
      <w:r>
        <w:t>developed in investment and s</w:t>
      </w:r>
      <w:r w:rsidRPr="00232015">
        <w:t xml:space="preserve">ervices </w:t>
      </w:r>
      <w:r>
        <w:t>with growing</w:t>
      </w:r>
      <w:r w:rsidRPr="00232015">
        <w:t xml:space="preserve"> interest in </w:t>
      </w:r>
      <w:r>
        <w:t xml:space="preserve">specific </w:t>
      </w:r>
      <w:r w:rsidRPr="00232015">
        <w:t>economic cooperat</w:t>
      </w:r>
      <w:r>
        <w:t xml:space="preserve">ion activities in these areas. </w:t>
      </w:r>
      <w:r w:rsidRPr="00232015">
        <w:t xml:space="preserve">Partnerships </w:t>
      </w:r>
      <w:r>
        <w:t>with</w:t>
      </w:r>
      <w:r w:rsidRPr="00232015">
        <w:t xml:space="preserve"> other international organisations</w:t>
      </w:r>
      <w:r w:rsidR="00E663F2">
        <w:t>––</w:t>
      </w:r>
      <w:r w:rsidRPr="00232015">
        <w:t xml:space="preserve">including </w:t>
      </w:r>
      <w:r w:rsidR="00F26AD5" w:rsidRPr="00F26AD5">
        <w:t>Asia Pacific Economic Cooperation</w:t>
      </w:r>
      <w:r w:rsidR="00F26AD5">
        <w:t xml:space="preserve"> (APEC)</w:t>
      </w:r>
      <w:r>
        <w:t>,</w:t>
      </w:r>
      <w:r w:rsidRPr="00232015">
        <w:t xml:space="preserve"> </w:t>
      </w:r>
      <w:r w:rsidR="00F26AD5">
        <w:t xml:space="preserve">the </w:t>
      </w:r>
      <w:r w:rsidR="00F26AD5" w:rsidRPr="00F26AD5">
        <w:rPr>
          <w:lang w:val="en-US"/>
        </w:rPr>
        <w:t>Economic and Social Commission for Asia and the Pacific</w:t>
      </w:r>
      <w:r w:rsidRPr="00232015">
        <w:t xml:space="preserve">, </w:t>
      </w:r>
      <w:r w:rsidR="00F26AD5">
        <w:t>the</w:t>
      </w:r>
      <w:r w:rsidR="00A565EE">
        <w:t xml:space="preserve"> </w:t>
      </w:r>
      <w:r w:rsidR="00A565EE" w:rsidRPr="00A565EE">
        <w:t>Organization for Economic Cooperation and Development</w:t>
      </w:r>
      <w:r w:rsidR="00F26AD5">
        <w:t xml:space="preserve"> </w:t>
      </w:r>
      <w:r w:rsidR="00F26AD5" w:rsidRPr="00F26AD5">
        <w:t>United Nations Conference on Trade and Development</w:t>
      </w:r>
      <w:r>
        <w:t>,</w:t>
      </w:r>
      <w:r w:rsidRPr="00232015">
        <w:t xml:space="preserve"> </w:t>
      </w:r>
      <w:r w:rsidR="00F26AD5" w:rsidRPr="00F26AD5">
        <w:t>United Nations Educational, Scientific and Cultural Organization</w:t>
      </w:r>
      <w:r w:rsidRPr="00232015">
        <w:t xml:space="preserve">, </w:t>
      </w:r>
      <w:r w:rsidR="00F26AD5" w:rsidRPr="00F26AD5">
        <w:t>World Intellectual Property Organization</w:t>
      </w:r>
      <w:r w:rsidRPr="00232015">
        <w:t xml:space="preserve">, </w:t>
      </w:r>
      <w:r>
        <w:t>and the W</w:t>
      </w:r>
      <w:r w:rsidR="00F26AD5">
        <w:t xml:space="preserve">orld </w:t>
      </w:r>
      <w:r>
        <w:t>T</w:t>
      </w:r>
      <w:r w:rsidR="00F26AD5">
        <w:t xml:space="preserve">rade </w:t>
      </w:r>
      <w:r>
        <w:t>O</w:t>
      </w:r>
      <w:r w:rsidR="00F26AD5">
        <w:t>rgani</w:t>
      </w:r>
      <w:r w:rsidR="001D7CCA">
        <w:t>s</w:t>
      </w:r>
      <w:r w:rsidR="00F26AD5">
        <w:t>ation</w:t>
      </w:r>
      <w:r w:rsidR="00E663F2">
        <w:t>––</w:t>
      </w:r>
      <w:r>
        <w:t>are contributing</w:t>
      </w:r>
      <w:r w:rsidRPr="00232015">
        <w:t xml:space="preserve"> to</w:t>
      </w:r>
      <w:r>
        <w:t xml:space="preserve"> more effective delivery of several</w:t>
      </w:r>
      <w:r w:rsidRPr="00232015">
        <w:t xml:space="preserve"> </w:t>
      </w:r>
      <w:r w:rsidR="006A57D9">
        <w:t xml:space="preserve">Economic Cooperation Work Program </w:t>
      </w:r>
      <w:r>
        <w:t>activities</w:t>
      </w:r>
      <w:r w:rsidRPr="00232015">
        <w:t>.</w:t>
      </w:r>
    </w:p>
    <w:p w14:paraId="7587337A" w14:textId="470FAD8E" w:rsidR="00530BA8" w:rsidRDefault="00530BA8" w:rsidP="00714B4B">
      <w:pPr>
        <w:ind w:left="426" w:hanging="426"/>
      </w:pPr>
      <w:r w:rsidRPr="00AC05DB">
        <w:fldChar w:fldCharType="begin"/>
      </w:r>
      <w:r w:rsidRPr="00AC05DB">
        <w:instrText xml:space="preserve"> AUTONUM </w:instrText>
      </w:r>
      <w:r w:rsidRPr="00AC05DB">
        <w:fldChar w:fldCharType="end"/>
      </w:r>
      <w:r>
        <w:tab/>
      </w:r>
      <w:r>
        <w:rPr>
          <w:lang w:val="en-US"/>
        </w:rPr>
        <w:t>Regular interaction between</w:t>
      </w:r>
      <w:r w:rsidRPr="007B4B29">
        <w:rPr>
          <w:lang w:val="en-US"/>
        </w:rPr>
        <w:t xml:space="preserve"> AECSP </w:t>
      </w:r>
      <w:r>
        <w:rPr>
          <w:lang w:val="en-US"/>
        </w:rPr>
        <w:t xml:space="preserve">and AANZFTA </w:t>
      </w:r>
      <w:r w:rsidR="00F26AD5">
        <w:rPr>
          <w:lang w:val="en-US"/>
        </w:rPr>
        <w:t>parties</w:t>
      </w:r>
      <w:r>
        <w:rPr>
          <w:lang w:val="en-US"/>
        </w:rPr>
        <w:t>,</w:t>
      </w:r>
      <w:r w:rsidRPr="007B4B29">
        <w:rPr>
          <w:lang w:val="en-US"/>
        </w:rPr>
        <w:t xml:space="preserve"> overseen by t</w:t>
      </w:r>
      <w:r>
        <w:rPr>
          <w:lang w:val="en-US"/>
        </w:rPr>
        <w:t>he various committees and sub-c</w:t>
      </w:r>
      <w:r w:rsidRPr="007B4B29">
        <w:rPr>
          <w:lang w:val="en-US"/>
        </w:rPr>
        <w:t xml:space="preserve">ommittees established </w:t>
      </w:r>
      <w:r>
        <w:rPr>
          <w:lang w:val="en-US"/>
        </w:rPr>
        <w:t>under</w:t>
      </w:r>
      <w:r w:rsidRPr="007B4B29">
        <w:rPr>
          <w:lang w:val="en-US"/>
        </w:rPr>
        <w:t xml:space="preserve"> the </w:t>
      </w:r>
      <w:r w:rsidR="00F26AD5">
        <w:rPr>
          <w:lang w:val="en-US"/>
        </w:rPr>
        <w:t>a</w:t>
      </w:r>
      <w:r w:rsidR="00F26AD5" w:rsidRPr="007B4B29">
        <w:rPr>
          <w:lang w:val="en-US"/>
        </w:rPr>
        <w:t>greement</w:t>
      </w:r>
      <w:r>
        <w:rPr>
          <w:lang w:val="en-US"/>
        </w:rPr>
        <w:t>, is contributing to the</w:t>
      </w:r>
      <w:r w:rsidRPr="007B4B29">
        <w:rPr>
          <w:lang w:val="en-US"/>
        </w:rPr>
        <w:t xml:space="preserve"> broader AANZFTA work program.</w:t>
      </w:r>
      <w:r w:rsidR="005856D4">
        <w:rPr>
          <w:lang w:val="en-US"/>
        </w:rPr>
        <w:t xml:space="preserve"> </w:t>
      </w:r>
      <w:r>
        <w:t>Cooperation</w:t>
      </w:r>
      <w:r w:rsidRPr="00232015">
        <w:t xml:space="preserve"> activities have been most successful </w:t>
      </w:r>
      <w:r>
        <w:t>when</w:t>
      </w:r>
      <w:r w:rsidRPr="00232015">
        <w:t xml:space="preserve"> the right people</w:t>
      </w:r>
      <w:r>
        <w:t xml:space="preserve"> are engaged</w:t>
      </w:r>
      <w:r w:rsidRPr="00232015">
        <w:t>, that is AANZFTA officials with policy-making, operational or coordinating responsibility covering the specifi</w:t>
      </w:r>
      <w:r>
        <w:t>c area of economic cooperation.</w:t>
      </w:r>
      <w:r w:rsidRPr="00232015">
        <w:t xml:space="preserve"> Engaging the right people has been a feature of </w:t>
      </w:r>
      <w:r w:rsidR="00F26AD5">
        <w:t>g</w:t>
      </w:r>
      <w:r w:rsidR="00F26AD5" w:rsidRPr="00232015">
        <w:t>oods</w:t>
      </w:r>
      <w:r w:rsidRPr="00232015">
        <w:t xml:space="preserve">-related, </w:t>
      </w:r>
      <w:r w:rsidR="00F26AD5" w:rsidRPr="00232015">
        <w:t xml:space="preserve">intellectual property and competition </w:t>
      </w:r>
      <w:r w:rsidRPr="00232015">
        <w:t xml:space="preserve">activities. </w:t>
      </w:r>
      <w:r>
        <w:rPr>
          <w:lang w:val="en-US"/>
        </w:rPr>
        <w:t xml:space="preserve">AECSP projects supporting implementation of </w:t>
      </w:r>
      <w:r w:rsidR="00F26AD5">
        <w:rPr>
          <w:lang w:val="en-US"/>
        </w:rPr>
        <w:t>rules of origin</w:t>
      </w:r>
      <w:r>
        <w:rPr>
          <w:lang w:val="en-US"/>
        </w:rPr>
        <w:t xml:space="preserve">, </w:t>
      </w:r>
      <w:r w:rsidR="00F26AD5">
        <w:rPr>
          <w:lang w:val="en-US"/>
        </w:rPr>
        <w:t>t</w:t>
      </w:r>
      <w:r w:rsidR="00F26AD5" w:rsidRPr="007B4B29">
        <w:rPr>
          <w:lang w:val="en-US"/>
        </w:rPr>
        <w:t xml:space="preserve">ransposition </w:t>
      </w:r>
      <w:r w:rsidRPr="007B4B29">
        <w:rPr>
          <w:lang w:val="en-US"/>
        </w:rPr>
        <w:t xml:space="preserve">of tariff schedules, the non-tariff measures review and the monitoring of tariff </w:t>
      </w:r>
      <w:r w:rsidR="00F26AD5" w:rsidRPr="007B4B29">
        <w:rPr>
          <w:lang w:val="en-US"/>
        </w:rPr>
        <w:t>utili</w:t>
      </w:r>
      <w:r w:rsidR="00F26AD5">
        <w:rPr>
          <w:lang w:val="en-US"/>
        </w:rPr>
        <w:t>s</w:t>
      </w:r>
      <w:r w:rsidR="00F26AD5" w:rsidRPr="007B4B29">
        <w:rPr>
          <w:lang w:val="en-US"/>
        </w:rPr>
        <w:t xml:space="preserve">ation </w:t>
      </w:r>
      <w:r w:rsidRPr="007B4B29">
        <w:rPr>
          <w:lang w:val="en-US"/>
        </w:rPr>
        <w:t>project</w:t>
      </w:r>
      <w:r w:rsidR="00F26AD5">
        <w:rPr>
          <w:lang w:val="en-US"/>
        </w:rPr>
        <w:t>,</w:t>
      </w:r>
      <w:r w:rsidRPr="007B4B29">
        <w:rPr>
          <w:lang w:val="en-US"/>
        </w:rPr>
        <w:t xml:space="preserve"> have helped the AANZFTA </w:t>
      </w:r>
      <w:r w:rsidR="00F26AD5">
        <w:rPr>
          <w:lang w:val="en-US"/>
        </w:rPr>
        <w:t>p</w:t>
      </w:r>
      <w:r w:rsidR="00F26AD5" w:rsidRPr="007B4B29">
        <w:rPr>
          <w:lang w:val="en-US"/>
        </w:rPr>
        <w:t xml:space="preserve">arties </w:t>
      </w:r>
      <w:r w:rsidRPr="007B4B29">
        <w:rPr>
          <w:lang w:val="en-US"/>
        </w:rPr>
        <w:t xml:space="preserve">resolve problems or better inform their activities to move implementation of the </w:t>
      </w:r>
      <w:r w:rsidR="00F26AD5">
        <w:rPr>
          <w:lang w:val="en-US"/>
        </w:rPr>
        <w:t>a</w:t>
      </w:r>
      <w:r w:rsidR="00F26AD5" w:rsidRPr="007B4B29">
        <w:rPr>
          <w:lang w:val="en-US"/>
        </w:rPr>
        <w:t xml:space="preserve">greement </w:t>
      </w:r>
      <w:r w:rsidRPr="007B4B29">
        <w:rPr>
          <w:lang w:val="en-US"/>
        </w:rPr>
        <w:t>forward. </w:t>
      </w:r>
      <w:r>
        <w:t xml:space="preserve">The potential development impacts for increased regional trade and investment are substantial, especially if AANZFTA served as a catalyst for a wider trade agreement such as the Regional Comprehensive Economic Partnership. </w:t>
      </w:r>
    </w:p>
    <w:p w14:paraId="5ECED464" w14:textId="624951B3" w:rsidR="00530BA8" w:rsidRPr="00AC05DB" w:rsidRDefault="00530BA8" w:rsidP="00714B4B">
      <w:pPr>
        <w:ind w:left="426" w:hanging="426"/>
      </w:pPr>
      <w:r w:rsidRPr="00AC05DB">
        <w:fldChar w:fldCharType="begin"/>
      </w:r>
      <w:r w:rsidRPr="00AC05DB">
        <w:instrText xml:space="preserve"> AUTONUM </w:instrText>
      </w:r>
      <w:r w:rsidRPr="00AC05DB">
        <w:fldChar w:fldCharType="end"/>
      </w:r>
      <w:r>
        <w:tab/>
      </w:r>
      <w:r w:rsidRPr="00AC05DB">
        <w:t xml:space="preserve">Progress with </w:t>
      </w:r>
      <w:r w:rsidR="00F26AD5" w:rsidRPr="00AC05DB">
        <w:t>AANZFTA</w:t>
      </w:r>
      <w:r w:rsidR="00F26AD5">
        <w:t>-</w:t>
      </w:r>
      <w:r w:rsidRPr="00AC05DB">
        <w:t xml:space="preserve">wide communication and outreach activities, </w:t>
      </w:r>
      <w:r>
        <w:t xml:space="preserve">gender equity </w:t>
      </w:r>
      <w:r w:rsidRPr="00AC05DB">
        <w:t xml:space="preserve">and </w:t>
      </w:r>
      <w:r w:rsidR="00F26AD5">
        <w:t>monitoring and evaluation</w:t>
      </w:r>
      <w:r w:rsidRPr="00AC05DB">
        <w:t xml:space="preserve"> activities has not </w:t>
      </w:r>
      <w:r>
        <w:t xml:space="preserve">always </w:t>
      </w:r>
      <w:r w:rsidRPr="00AC05DB">
        <w:t>matched AECSP design expectations.</w:t>
      </w:r>
      <w:r>
        <w:t xml:space="preserve"> More needs to be done to provide evidence of the link between program supported activities and results that can be expected to contribute to development outcomes.</w:t>
      </w:r>
    </w:p>
    <w:p w14:paraId="3FB6F0F2" w14:textId="31D03118" w:rsidR="00530BA8" w:rsidRPr="00AC05DB" w:rsidRDefault="00530BA8" w:rsidP="00714B4B">
      <w:pPr>
        <w:ind w:left="360" w:hanging="360"/>
      </w:pPr>
      <w:r w:rsidRPr="00AC05DB">
        <w:fldChar w:fldCharType="begin"/>
      </w:r>
      <w:r w:rsidRPr="00AC05DB">
        <w:instrText xml:space="preserve"> AUTONUM </w:instrText>
      </w:r>
      <w:r w:rsidRPr="00AC05DB">
        <w:fldChar w:fldCharType="end"/>
      </w:r>
      <w:r>
        <w:tab/>
      </w:r>
      <w:r w:rsidRPr="00AC05DB">
        <w:t xml:space="preserve">The program is innovative in several important ways that may be of broader interest to the development community: </w:t>
      </w:r>
    </w:p>
    <w:p w14:paraId="68464DFA" w14:textId="07268B55" w:rsidR="00530BA8" w:rsidRPr="00AC05DB" w:rsidRDefault="007C46E7" w:rsidP="007C46E7">
      <w:pPr>
        <w:pStyle w:val="List2"/>
        <w:numPr>
          <w:ilvl w:val="0"/>
          <w:numId w:val="55"/>
        </w:numPr>
        <w:ind w:left="851" w:hanging="491"/>
      </w:pPr>
      <w:r>
        <w:t>t</w:t>
      </w:r>
      <w:r w:rsidRPr="00AC05DB">
        <w:t xml:space="preserve">his </w:t>
      </w:r>
      <w:r w:rsidR="00530BA8" w:rsidRPr="00AC05DB">
        <w:t xml:space="preserve">is the first free trade agreement Australia has signed which includes an economic cooperation program. Embedding a broader trade and investment </w:t>
      </w:r>
      <w:r w:rsidR="00530BA8" w:rsidRPr="00AC05DB">
        <w:lastRenderedPageBreak/>
        <w:t>development agenda in a free trade agreement delivers a practical development modality that bridges the trad</w:t>
      </w:r>
      <w:r>
        <w:t>e/</w:t>
      </w:r>
      <w:r w:rsidR="00530BA8" w:rsidRPr="00AC05DB">
        <w:t>aid agenda</w:t>
      </w:r>
    </w:p>
    <w:p w14:paraId="6C2A5665" w14:textId="5B90D6D8" w:rsidR="00530BA8" w:rsidRPr="00AC05DB" w:rsidRDefault="007C46E7" w:rsidP="007C46E7">
      <w:pPr>
        <w:pStyle w:val="List2"/>
        <w:numPr>
          <w:ilvl w:val="0"/>
          <w:numId w:val="55"/>
        </w:numPr>
        <w:ind w:left="851" w:hanging="491"/>
      </w:pPr>
      <w:r>
        <w:t>t</w:t>
      </w:r>
      <w:r w:rsidRPr="00AC05DB">
        <w:t xml:space="preserve">he </w:t>
      </w:r>
      <w:r w:rsidR="00530BA8">
        <w:t xml:space="preserve">strong </w:t>
      </w:r>
      <w:r w:rsidR="00530BA8" w:rsidRPr="00AC05DB">
        <w:t xml:space="preserve">shared ownership of </w:t>
      </w:r>
      <w:r w:rsidR="00530BA8">
        <w:t xml:space="preserve">the </w:t>
      </w:r>
      <w:r w:rsidR="00530BA8" w:rsidRPr="00AC05DB">
        <w:t>program by t</w:t>
      </w:r>
      <w:r w:rsidR="00530BA8">
        <w:t xml:space="preserve">hose implementing the agreement has been reflected in the substantial in-kind contributions provided (especially staff time) for program planning and implementation activities by </w:t>
      </w:r>
      <w:r>
        <w:t>the ASEAN Secretariat</w:t>
      </w:r>
      <w:r w:rsidR="00530BA8">
        <w:t xml:space="preserve">, ASEAN </w:t>
      </w:r>
      <w:r>
        <w:t>member states</w:t>
      </w:r>
      <w:r w:rsidR="00530BA8">
        <w:t xml:space="preserve">, and Australian and New Zealand government agencies </w:t>
      </w:r>
    </w:p>
    <w:p w14:paraId="784378FA" w14:textId="258DF13F" w:rsidR="00530BA8" w:rsidRDefault="007C46E7" w:rsidP="007C46E7">
      <w:pPr>
        <w:pStyle w:val="List2"/>
        <w:numPr>
          <w:ilvl w:val="0"/>
          <w:numId w:val="55"/>
        </w:numPr>
        <w:ind w:left="851" w:hanging="491"/>
      </w:pPr>
      <w:r>
        <w:rPr>
          <w:lang w:val="en-US"/>
        </w:rPr>
        <w:t>c</w:t>
      </w:r>
      <w:r w:rsidRPr="00AC05DB">
        <w:rPr>
          <w:lang w:val="en-US"/>
        </w:rPr>
        <w:t>ross</w:t>
      </w:r>
      <w:r w:rsidR="00530BA8" w:rsidRPr="00AC05DB">
        <w:rPr>
          <w:lang w:val="en-US"/>
        </w:rPr>
        <w:t xml:space="preserve">-pillar collaboration within </w:t>
      </w:r>
      <w:r>
        <w:t>the ASEAN Secretariat.</w:t>
      </w:r>
      <w:r w:rsidRPr="00AC05DB" w:rsidDel="007C46E7">
        <w:rPr>
          <w:lang w:val="en-US"/>
        </w:rPr>
        <w:t xml:space="preserve"> </w:t>
      </w:r>
      <w:r>
        <w:rPr>
          <w:lang w:val="en-US"/>
        </w:rPr>
        <w:t>For example,</w:t>
      </w:r>
      <w:r w:rsidR="00530BA8">
        <w:rPr>
          <w:lang w:val="en-US"/>
        </w:rPr>
        <w:t xml:space="preserve"> </w:t>
      </w:r>
      <w:r w:rsidR="00530BA8" w:rsidRPr="00AC05DB">
        <w:rPr>
          <w:lang w:val="en-US"/>
        </w:rPr>
        <w:t>the national qualification</w:t>
      </w:r>
      <w:r w:rsidR="001D7CCA">
        <w:rPr>
          <w:lang w:val="en-US"/>
        </w:rPr>
        <w:t>s</w:t>
      </w:r>
      <w:r w:rsidR="00530BA8" w:rsidRPr="00AC05DB">
        <w:rPr>
          <w:lang w:val="en-US"/>
        </w:rPr>
        <w:t xml:space="preserve"> framework project which</w:t>
      </w:r>
      <w:r w:rsidRPr="007C46E7">
        <w:rPr>
          <w:lang w:val="en-US"/>
        </w:rPr>
        <w:t xml:space="preserve"> </w:t>
      </w:r>
      <w:r>
        <w:rPr>
          <w:lang w:val="en-US"/>
        </w:rPr>
        <w:t>in October 2012</w:t>
      </w:r>
      <w:r w:rsidR="00530BA8" w:rsidRPr="00AC05DB">
        <w:rPr>
          <w:lang w:val="en-US"/>
        </w:rPr>
        <w:t xml:space="preserve"> led to </w:t>
      </w:r>
      <w:r>
        <w:rPr>
          <w:lang w:val="en-US"/>
        </w:rPr>
        <w:t xml:space="preserve">the </w:t>
      </w:r>
      <w:r w:rsidR="00530BA8" w:rsidRPr="00AC05DB">
        <w:rPr>
          <w:lang w:val="en-US"/>
        </w:rPr>
        <w:t>establishment of mechanisms for ongoing collaboration between the different</w:t>
      </w:r>
      <w:r w:rsidR="00530BA8">
        <w:rPr>
          <w:lang w:val="en-US"/>
        </w:rPr>
        <w:t xml:space="preserve"> </w:t>
      </w:r>
      <w:r>
        <w:t>ASEAN Secretariat</w:t>
      </w:r>
      <w:r w:rsidRPr="00AC05DB" w:rsidDel="007C46E7">
        <w:rPr>
          <w:lang w:val="en-US"/>
        </w:rPr>
        <w:t xml:space="preserve"> </w:t>
      </w:r>
      <w:r w:rsidR="00530BA8">
        <w:rPr>
          <w:lang w:val="en-US"/>
        </w:rPr>
        <w:t>divisions responsible for</w:t>
      </w:r>
      <w:r w:rsidR="00530BA8" w:rsidRPr="00AC05DB">
        <w:rPr>
          <w:lang w:val="en-US"/>
        </w:rPr>
        <w:t xml:space="preserve"> </w:t>
      </w:r>
      <w:r w:rsidR="00530BA8">
        <w:rPr>
          <w:lang w:val="en-US"/>
        </w:rPr>
        <w:t>trade in services, education and migration</w:t>
      </w:r>
      <w:r w:rsidR="00530BA8" w:rsidRPr="00AC05DB">
        <w:rPr>
          <w:lang w:val="en-US"/>
        </w:rPr>
        <w:t xml:space="preserve">. </w:t>
      </w:r>
    </w:p>
    <w:p w14:paraId="4F84F65F" w14:textId="567F8803" w:rsidR="00530BA8" w:rsidRDefault="00470471" w:rsidP="00530BA8">
      <w:pPr>
        <w:spacing w:before="0" w:after="0"/>
      </w:pPr>
      <w:r>
        <w:rPr>
          <w:noProof/>
          <w:lang w:eastAsia="en-AU"/>
        </w:rPr>
        <mc:AlternateContent>
          <mc:Choice Requires="wps">
            <w:drawing>
              <wp:anchor distT="0" distB="0" distL="114300" distR="114300" simplePos="0" relativeHeight="251672576" behindDoc="0" locked="0" layoutInCell="1" allowOverlap="1" wp14:anchorId="106AD927" wp14:editId="51796447">
                <wp:simplePos x="0" y="0"/>
                <wp:positionH relativeFrom="column">
                  <wp:posOffset>-36195</wp:posOffset>
                </wp:positionH>
                <wp:positionV relativeFrom="paragraph">
                  <wp:posOffset>212090</wp:posOffset>
                </wp:positionV>
                <wp:extent cx="5212080" cy="1494155"/>
                <wp:effectExtent l="0" t="0" r="20320" b="29845"/>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415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C2C94D" w14:textId="572177BE" w:rsidR="005B0DF4" w:rsidRPr="00646905" w:rsidRDefault="005B0DF4" w:rsidP="00530BA8">
                            <w:pPr>
                              <w:jc w:val="center"/>
                              <w:rPr>
                                <w:b/>
                              </w:rPr>
                            </w:pPr>
                            <w:r w:rsidRPr="00646905">
                              <w:rPr>
                                <w:b/>
                              </w:rPr>
                              <w:t>Box</w:t>
                            </w:r>
                            <w:r>
                              <w:rPr>
                                <w:b/>
                              </w:rPr>
                              <w:t xml:space="preserve"> 1</w:t>
                            </w:r>
                            <w:r w:rsidRPr="00646905">
                              <w:rPr>
                                <w:b/>
                              </w:rPr>
                              <w:t xml:space="preserve">: Enhancing </w:t>
                            </w:r>
                            <w:r>
                              <w:rPr>
                                <w:b/>
                              </w:rPr>
                              <w:t>o</w:t>
                            </w:r>
                            <w:r w:rsidRPr="00646905">
                              <w:rPr>
                                <w:b/>
                              </w:rPr>
                              <w:t xml:space="preserve">utreach </w:t>
                            </w:r>
                            <w:r>
                              <w:rPr>
                                <w:b/>
                              </w:rPr>
                              <w:t>a</w:t>
                            </w:r>
                            <w:r w:rsidRPr="00646905">
                              <w:rPr>
                                <w:b/>
                              </w:rPr>
                              <w:t>ctivities</w:t>
                            </w:r>
                          </w:p>
                          <w:p w14:paraId="652E0CCA" w14:textId="2BEB4EFF" w:rsidR="005B0DF4" w:rsidRPr="00646905" w:rsidRDefault="005B0DF4" w:rsidP="00530BA8">
                            <w:r w:rsidRPr="00646905">
                              <w:t>A region-wide mechanism is being developed to monitor the use of AANZFTA tariff pr</w:t>
                            </w:r>
                            <w:r>
                              <w:t>eferences.</w:t>
                            </w:r>
                            <w:r w:rsidRPr="00646905">
                              <w:t xml:space="preserve"> This will help AANZFTA </w:t>
                            </w:r>
                            <w:r>
                              <w:t>p</w:t>
                            </w:r>
                            <w:r w:rsidRPr="00646905">
                              <w:t xml:space="preserve">arties better understand the extent to which the </w:t>
                            </w:r>
                            <w:r>
                              <w:t>a</w:t>
                            </w:r>
                            <w:r w:rsidRPr="00646905">
                              <w:t>greement is being used, assist in outreach activities and identify area</w:t>
                            </w:r>
                            <w:r>
                              <w:t>s</w:t>
                            </w:r>
                            <w:r w:rsidRPr="00646905">
                              <w:t xml:space="preserve"> where further work is required to ensure business utilisation.</w:t>
                            </w:r>
                            <w:r>
                              <w:t xml:space="preserve"> </w:t>
                            </w:r>
                            <w:r w:rsidRPr="00646905">
                              <w:rPr>
                                <w:lang w:val="en-US"/>
                              </w:rPr>
                              <w:t xml:space="preserve">AECSP supported </w:t>
                            </w:r>
                            <w:r w:rsidRPr="00646905">
                              <w:t xml:space="preserve">roadshows are planned for 2013 in </w:t>
                            </w:r>
                            <w:r w:rsidRPr="00FA23AA">
                              <w:t>ASEAN member states</w:t>
                            </w:r>
                            <w:r w:rsidRPr="00646905">
                              <w:t>, Australia and New Zealand to promote both AANZFTA, and to highlight specific investment opportunities</w:t>
                            </w:r>
                            <w:r>
                              <w:t>.</w:t>
                            </w:r>
                          </w:p>
                          <w:p w14:paraId="32AD9586" w14:textId="7365B5E6" w:rsidR="005B0DF4" w:rsidRPr="00E06BA0" w:rsidRDefault="005B0DF4" w:rsidP="00530BA8">
                            <w:pPr>
                              <w:rPr>
                                <w:sz w:val="18"/>
                                <w:szCs w:val="18"/>
                              </w:rPr>
                            </w:pPr>
                            <w:r w:rsidRPr="00714B4B">
                              <w:rPr>
                                <w:sz w:val="18"/>
                                <w:szCs w:val="18"/>
                              </w:rPr>
                              <w:t>Source</w:t>
                            </w:r>
                            <w:r w:rsidRPr="00E06BA0">
                              <w:rPr>
                                <w:sz w:val="18"/>
                                <w:szCs w:val="18"/>
                              </w:rPr>
                              <w:t xml:space="preserve">: </w:t>
                            </w:r>
                            <w:r w:rsidRPr="00375816">
                              <w:rPr>
                                <w:rFonts w:cs="Arial"/>
                                <w:sz w:val="18"/>
                                <w:szCs w:val="18"/>
                              </w:rPr>
                              <w:t xml:space="preserve">AANZFTA Support Unit </w:t>
                            </w:r>
                            <w:r w:rsidRPr="00E06BA0">
                              <w:rPr>
                                <w:sz w:val="18"/>
                                <w:szCs w:val="18"/>
                              </w:rPr>
                              <w:t>work</w:t>
                            </w:r>
                            <w:r>
                              <w:rPr>
                                <w:sz w:val="18"/>
                                <w:szCs w:val="18"/>
                              </w:rPr>
                              <w:t xml:space="preserve"> </w:t>
                            </w:r>
                            <w:r w:rsidRPr="00E06BA0">
                              <w:rPr>
                                <w:sz w:val="18"/>
                                <w:szCs w:val="18"/>
                              </w:rPr>
                              <w:t>plan 2011</w:t>
                            </w:r>
                            <w:r>
                              <w:rPr>
                                <w:sz w:val="18"/>
                                <w:szCs w:val="18"/>
                              </w:rPr>
                              <w:t>–</w:t>
                            </w:r>
                            <w:r w:rsidRPr="00E06BA0">
                              <w:rPr>
                                <w:sz w:val="18"/>
                                <w:szCs w:val="18"/>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73" o:spid="_x0000_s1041" type="#_x0000_t202" style="position:absolute;margin-left:-2.8pt;margin-top:16.7pt;width:410.4pt;height:1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" filled="f" strokecolor="black [3213]">
                <v:path arrowok="t"/>
                <v:textbox>
                  <w:txbxContent>
                    <w:p w14:paraId="5BC2C94D" w14:textId="572177BE" w:rsidR="00714B4B" w:rsidRPr="00646905" w:rsidRDefault="00714B4B" w:rsidP="00530BA8">
                      <w:pPr>
                        <w:jc w:val="center"/>
                        <w:rPr>
                          <w:b/>
                        </w:rPr>
                      </w:pPr>
                      <w:r w:rsidRPr="00646905">
                        <w:rPr>
                          <w:b/>
                        </w:rPr>
                        <w:t>Box</w:t>
                      </w:r>
                      <w:r>
                        <w:rPr>
                          <w:b/>
                        </w:rPr>
                        <w:t xml:space="preserve"> 1</w:t>
                      </w:r>
                      <w:r w:rsidRPr="00646905">
                        <w:rPr>
                          <w:b/>
                        </w:rPr>
                        <w:t xml:space="preserve">: Enhancing </w:t>
                      </w:r>
                      <w:proofErr w:type="gramStart"/>
                      <w:r>
                        <w:rPr>
                          <w:b/>
                        </w:rPr>
                        <w:t>o</w:t>
                      </w:r>
                      <w:r w:rsidRPr="00646905">
                        <w:rPr>
                          <w:b/>
                        </w:rPr>
                        <w:t>utreach</w:t>
                      </w:r>
                      <w:proofErr w:type="gramEnd"/>
                      <w:r w:rsidRPr="00646905">
                        <w:rPr>
                          <w:b/>
                        </w:rPr>
                        <w:t xml:space="preserve"> </w:t>
                      </w:r>
                      <w:r>
                        <w:rPr>
                          <w:b/>
                        </w:rPr>
                        <w:t>a</w:t>
                      </w:r>
                      <w:r w:rsidRPr="00646905">
                        <w:rPr>
                          <w:b/>
                        </w:rPr>
                        <w:t>ctivities</w:t>
                      </w:r>
                    </w:p>
                    <w:p w14:paraId="652E0CCA" w14:textId="2BEB4EFF" w:rsidR="00714B4B" w:rsidRPr="00646905" w:rsidRDefault="00714B4B" w:rsidP="00530BA8">
                      <w:r w:rsidRPr="00646905">
                        <w:t>A region-wide mechanism is being developed to monitor the use of AANZFTA tariff pr</w:t>
                      </w:r>
                      <w:r>
                        <w:t>eferences.</w:t>
                      </w:r>
                      <w:r w:rsidRPr="00646905">
                        <w:t xml:space="preserve"> This will help AANZFTA </w:t>
                      </w:r>
                      <w:r>
                        <w:t>p</w:t>
                      </w:r>
                      <w:r w:rsidRPr="00646905">
                        <w:t xml:space="preserve">arties better understand the extent to which the </w:t>
                      </w:r>
                      <w:r>
                        <w:t>a</w:t>
                      </w:r>
                      <w:r w:rsidRPr="00646905">
                        <w:t>greement is being used, assist in outreach activities and identify area</w:t>
                      </w:r>
                      <w:r>
                        <w:t>s</w:t>
                      </w:r>
                      <w:r w:rsidRPr="00646905">
                        <w:t xml:space="preserve"> where further work is required to ensure business utilisation.</w:t>
                      </w:r>
                      <w:r>
                        <w:t xml:space="preserve"> </w:t>
                      </w:r>
                      <w:r w:rsidRPr="00646905">
                        <w:rPr>
                          <w:lang w:val="en-US"/>
                        </w:rPr>
                        <w:t xml:space="preserve">AECSP supported </w:t>
                      </w:r>
                      <w:proofErr w:type="spellStart"/>
                      <w:r w:rsidRPr="00646905">
                        <w:t>roadshows</w:t>
                      </w:r>
                      <w:proofErr w:type="spellEnd"/>
                      <w:r w:rsidRPr="00646905">
                        <w:t xml:space="preserve"> are planned for 2013 in </w:t>
                      </w:r>
                      <w:r w:rsidRPr="00FA23AA">
                        <w:t>ASEAN member states</w:t>
                      </w:r>
                      <w:r w:rsidRPr="00646905">
                        <w:t>, Australia and New Zealand to promote both AANZFTA, and to highlight specific investment opportunities</w:t>
                      </w:r>
                      <w:r>
                        <w:t>.</w:t>
                      </w:r>
                    </w:p>
                    <w:p w14:paraId="32AD9586" w14:textId="7365B5E6" w:rsidR="00714B4B" w:rsidRPr="00E06BA0" w:rsidRDefault="00714B4B" w:rsidP="00530BA8">
                      <w:pPr>
                        <w:rPr>
                          <w:sz w:val="18"/>
                          <w:szCs w:val="18"/>
                        </w:rPr>
                      </w:pPr>
                      <w:r w:rsidRPr="00714B4B">
                        <w:rPr>
                          <w:sz w:val="18"/>
                          <w:szCs w:val="18"/>
                        </w:rPr>
                        <w:t>Source</w:t>
                      </w:r>
                      <w:r w:rsidRPr="00E06BA0">
                        <w:rPr>
                          <w:sz w:val="18"/>
                          <w:szCs w:val="18"/>
                        </w:rPr>
                        <w:t xml:space="preserve">: </w:t>
                      </w:r>
                      <w:r w:rsidRPr="00375816">
                        <w:rPr>
                          <w:rFonts w:cs="Arial"/>
                          <w:sz w:val="18"/>
                          <w:szCs w:val="18"/>
                        </w:rPr>
                        <w:t xml:space="preserve">AANZFTA Support Unit </w:t>
                      </w:r>
                      <w:r w:rsidRPr="00E06BA0">
                        <w:rPr>
                          <w:sz w:val="18"/>
                          <w:szCs w:val="18"/>
                        </w:rPr>
                        <w:t>work</w:t>
                      </w:r>
                      <w:r>
                        <w:rPr>
                          <w:sz w:val="18"/>
                          <w:szCs w:val="18"/>
                        </w:rPr>
                        <w:t xml:space="preserve"> </w:t>
                      </w:r>
                      <w:r w:rsidRPr="00E06BA0">
                        <w:rPr>
                          <w:sz w:val="18"/>
                          <w:szCs w:val="18"/>
                        </w:rPr>
                        <w:t>plan 2011</w:t>
                      </w:r>
                      <w:r>
                        <w:rPr>
                          <w:sz w:val="18"/>
                          <w:szCs w:val="18"/>
                        </w:rPr>
                        <w:t>–</w:t>
                      </w:r>
                      <w:r w:rsidRPr="00E06BA0">
                        <w:rPr>
                          <w:sz w:val="18"/>
                          <w:szCs w:val="18"/>
                        </w:rPr>
                        <w:t>2013.</w:t>
                      </w:r>
                    </w:p>
                  </w:txbxContent>
                </v:textbox>
                <w10:wrap type="square"/>
              </v:shape>
            </w:pict>
          </mc:Fallback>
        </mc:AlternateContent>
      </w:r>
    </w:p>
    <w:p w14:paraId="3AEC758D" w14:textId="400DD74D" w:rsidR="00530BA8" w:rsidRDefault="00530BA8" w:rsidP="00530BA8">
      <w:pPr>
        <w:pStyle w:val="Heading2"/>
      </w:pPr>
      <w:r>
        <w:t xml:space="preserve">Assessment </w:t>
      </w:r>
      <w:r w:rsidR="005408FB">
        <w:t xml:space="preserve">against </w:t>
      </w:r>
      <w:r>
        <w:t xml:space="preserve">OECD/AusAID </w:t>
      </w:r>
      <w:r w:rsidR="005408FB">
        <w:t>evaluation criteria</w:t>
      </w:r>
    </w:p>
    <w:p w14:paraId="1C66704D" w14:textId="77777777" w:rsidR="00530BA8" w:rsidRPr="00331DBD" w:rsidRDefault="00530BA8" w:rsidP="00530BA8">
      <w:pPr>
        <w:pStyle w:val="Heading3"/>
      </w:pPr>
      <w:r w:rsidRPr="00331DBD">
        <w:t>Relevance</w:t>
      </w:r>
    </w:p>
    <w:p w14:paraId="20EEF7CA" w14:textId="3FC98223" w:rsidR="00530BA8" w:rsidRDefault="00530BA8" w:rsidP="00714B4B">
      <w:pPr>
        <w:ind w:left="426" w:hanging="426"/>
        <w:rPr>
          <w:lang w:val="en-US"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rsidRPr="008A5363">
        <w:rPr>
          <w:lang w:eastAsia="en-AU"/>
        </w:rPr>
        <w:t xml:space="preserve">AANZFTA is a platform </w:t>
      </w:r>
      <w:r w:rsidR="004C2C30">
        <w:rPr>
          <w:lang w:eastAsia="en-AU"/>
        </w:rPr>
        <w:t>to encourage</w:t>
      </w:r>
      <w:r w:rsidRPr="008A5363">
        <w:rPr>
          <w:lang w:eastAsia="en-AU"/>
        </w:rPr>
        <w:t xml:space="preserve"> enhanced regional economic integration and greater engagement between Au</w:t>
      </w:r>
      <w:r>
        <w:rPr>
          <w:lang w:eastAsia="en-AU"/>
        </w:rPr>
        <w:t xml:space="preserve">stralia, New Zealand and ASEAN. AECSP </w:t>
      </w:r>
      <w:r w:rsidRPr="008A5363">
        <w:rPr>
          <w:lang w:eastAsia="en-AU"/>
        </w:rPr>
        <w:t xml:space="preserve">contributes to a more effective partnership between </w:t>
      </w:r>
      <w:r w:rsidR="004C2C30">
        <w:rPr>
          <w:lang w:eastAsia="en-AU"/>
        </w:rPr>
        <w:t xml:space="preserve">the AANZFTA </w:t>
      </w:r>
      <w:r w:rsidR="00FA23AA">
        <w:rPr>
          <w:lang w:eastAsia="en-AU"/>
        </w:rPr>
        <w:t xml:space="preserve">parties </w:t>
      </w:r>
      <w:r w:rsidRPr="008A5363">
        <w:rPr>
          <w:lang w:eastAsia="en-AU"/>
        </w:rPr>
        <w:t xml:space="preserve">to support </w:t>
      </w:r>
      <w:r>
        <w:rPr>
          <w:lang w:eastAsia="en-AU"/>
        </w:rPr>
        <w:t xml:space="preserve">trade growth and economic development </w:t>
      </w:r>
      <w:r w:rsidR="00FA23AA">
        <w:rPr>
          <w:lang w:eastAsia="en-AU"/>
        </w:rPr>
        <w:t>through</w:t>
      </w:r>
      <w:r w:rsidRPr="008A5363">
        <w:rPr>
          <w:lang w:eastAsia="en-AU"/>
        </w:rPr>
        <w:t xml:space="preserve"> effective implementation of AANZFTA</w:t>
      </w:r>
      <w:r w:rsidR="004C2C30">
        <w:rPr>
          <w:lang w:eastAsia="en-AU"/>
        </w:rPr>
        <w:t xml:space="preserve">, and </w:t>
      </w:r>
      <w:r>
        <w:rPr>
          <w:lang w:eastAsia="en-AU"/>
        </w:rPr>
        <w:t>helps develop</w:t>
      </w:r>
      <w:r w:rsidRPr="008A5363">
        <w:rPr>
          <w:lang w:eastAsia="en-AU"/>
        </w:rPr>
        <w:t xml:space="preserve"> </w:t>
      </w:r>
      <w:r w:rsidR="00FA23AA">
        <w:rPr>
          <w:lang w:eastAsia="en-AU"/>
        </w:rPr>
        <w:t xml:space="preserve">ASEAN Secretariat </w:t>
      </w:r>
      <w:r w:rsidRPr="008A5363">
        <w:rPr>
          <w:lang w:eastAsia="en-AU"/>
        </w:rPr>
        <w:t xml:space="preserve">capacity to support ASEAN </w:t>
      </w:r>
      <w:r w:rsidR="00FA23AA">
        <w:rPr>
          <w:lang w:eastAsia="en-AU"/>
        </w:rPr>
        <w:t>free trade agreement</w:t>
      </w:r>
      <w:r w:rsidR="00FA23AA" w:rsidRPr="008A5363">
        <w:rPr>
          <w:lang w:eastAsia="en-AU"/>
        </w:rPr>
        <w:t xml:space="preserve"> </w:t>
      </w:r>
      <w:r w:rsidRPr="008A5363">
        <w:rPr>
          <w:lang w:eastAsia="en-AU"/>
        </w:rPr>
        <w:t xml:space="preserve">implementation. </w:t>
      </w:r>
      <w:r>
        <w:rPr>
          <w:lang w:eastAsia="en-AU"/>
        </w:rPr>
        <w:t>AECSP also addresses equity issues, aiming to help close</w:t>
      </w:r>
      <w:r w:rsidRPr="008A5363">
        <w:rPr>
          <w:lang w:eastAsia="en-AU"/>
        </w:rPr>
        <w:t xml:space="preserve"> the development gap between the region’s poorest and richest countries with </w:t>
      </w:r>
      <w:r>
        <w:rPr>
          <w:lang w:eastAsia="en-AU"/>
        </w:rPr>
        <w:t xml:space="preserve">targeted </w:t>
      </w:r>
      <w:r w:rsidR="00A565EE">
        <w:rPr>
          <w:lang w:eastAsia="en-AU"/>
        </w:rPr>
        <w:t xml:space="preserve">support for </w:t>
      </w:r>
      <w:r>
        <w:rPr>
          <w:lang w:eastAsia="en-AU"/>
        </w:rPr>
        <w:t>capacity building.</w:t>
      </w:r>
      <w:r w:rsidRPr="00B3554F">
        <w:rPr>
          <w:lang w:eastAsia="en-AU"/>
        </w:rPr>
        <w:t xml:space="preserve"> </w:t>
      </w:r>
      <w:r>
        <w:rPr>
          <w:lang w:eastAsia="en-AU"/>
        </w:rPr>
        <w:t xml:space="preserve">The </w:t>
      </w:r>
      <w:r w:rsidR="00FA23AA">
        <w:rPr>
          <w:lang w:eastAsia="en-AU"/>
        </w:rPr>
        <w:t xml:space="preserve">chair </w:t>
      </w:r>
      <w:r>
        <w:rPr>
          <w:lang w:eastAsia="en-AU"/>
        </w:rPr>
        <w:t>of the F</w:t>
      </w:r>
      <w:r w:rsidR="00FA23AA">
        <w:rPr>
          <w:lang w:eastAsia="en-AU"/>
        </w:rPr>
        <w:t xml:space="preserve">ree Trade Agreement </w:t>
      </w:r>
      <w:r>
        <w:rPr>
          <w:lang w:eastAsia="en-AU"/>
        </w:rPr>
        <w:t>J</w:t>
      </w:r>
      <w:r w:rsidR="00FA23AA">
        <w:rPr>
          <w:lang w:eastAsia="en-AU"/>
        </w:rPr>
        <w:t xml:space="preserve">oint </w:t>
      </w:r>
      <w:r>
        <w:rPr>
          <w:lang w:eastAsia="en-AU"/>
        </w:rPr>
        <w:t>C</w:t>
      </w:r>
      <w:r w:rsidR="00FA23AA">
        <w:rPr>
          <w:lang w:eastAsia="en-AU"/>
        </w:rPr>
        <w:t>ommittee</w:t>
      </w:r>
      <w:r>
        <w:rPr>
          <w:lang w:eastAsia="en-AU"/>
        </w:rPr>
        <w:t xml:space="preserve"> noted that: “</w:t>
      </w:r>
      <w:r w:rsidRPr="00B70F0E">
        <w:rPr>
          <w:i/>
          <w:lang w:val="en-US" w:eastAsia="en-AU"/>
        </w:rPr>
        <w:t xml:space="preserve">we feel that the in-country training activities undertaken have been vital to addressing implementation and policy gaps within the </w:t>
      </w:r>
      <w:r w:rsidR="00FA23AA">
        <w:rPr>
          <w:i/>
          <w:lang w:val="en-US" w:eastAsia="en-AU"/>
        </w:rPr>
        <w:t>p</w:t>
      </w:r>
      <w:r w:rsidR="00FA23AA" w:rsidRPr="00B70F0E">
        <w:rPr>
          <w:i/>
          <w:lang w:val="en-US" w:eastAsia="en-AU"/>
        </w:rPr>
        <w:t>arties</w:t>
      </w:r>
      <w:r w:rsidR="00FA23AA">
        <w:rPr>
          <w:i/>
          <w:lang w:val="en-US" w:eastAsia="en-AU"/>
        </w:rPr>
        <w:t>.</w:t>
      </w:r>
      <w:r>
        <w:rPr>
          <w:lang w:val="en-US" w:eastAsia="en-AU"/>
        </w:rPr>
        <w:t>”</w:t>
      </w:r>
      <w:r>
        <w:rPr>
          <w:rStyle w:val="FootnoteReference"/>
          <w:lang w:val="en-US" w:eastAsia="en-AU"/>
        </w:rPr>
        <w:footnoteReference w:id="13"/>
      </w:r>
      <w:r>
        <w:rPr>
          <w:lang w:val="en-US" w:eastAsia="en-AU"/>
        </w:rPr>
        <w:t xml:space="preserve"> </w:t>
      </w:r>
    </w:p>
    <w:p w14:paraId="0AA4D49B" w14:textId="4F3C2125" w:rsidR="00530BA8" w:rsidRPr="008A5363" w:rsidRDefault="00530BA8" w:rsidP="00714B4B">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t xml:space="preserve">The program supports activities that are closely aligned with </w:t>
      </w:r>
      <w:r w:rsidR="001D7CCA">
        <w:rPr>
          <w:lang w:eastAsia="en-AU"/>
        </w:rPr>
        <w:t xml:space="preserve">Free Trade Agreement </w:t>
      </w:r>
      <w:r w:rsidRPr="002915C2">
        <w:rPr>
          <w:lang w:eastAsia="en-AU"/>
        </w:rPr>
        <w:t>Joint Committee</w:t>
      </w:r>
      <w:r>
        <w:rPr>
          <w:lang w:eastAsia="en-AU"/>
        </w:rPr>
        <w:t xml:space="preserve"> and </w:t>
      </w:r>
      <w:r w:rsidR="00FA23AA">
        <w:rPr>
          <w:lang w:eastAsia="en-AU"/>
        </w:rPr>
        <w:t>ASEAN member state</w:t>
      </w:r>
      <w:r w:rsidR="00FA23AA" w:rsidRPr="00FA23AA" w:rsidDel="00FA23AA">
        <w:rPr>
          <w:lang w:eastAsia="en-AU"/>
        </w:rPr>
        <w:t xml:space="preserve"> </w:t>
      </w:r>
      <w:r w:rsidRPr="002915C2">
        <w:rPr>
          <w:lang w:eastAsia="en-AU"/>
        </w:rPr>
        <w:t xml:space="preserve">priorities. The </w:t>
      </w:r>
      <w:r w:rsidR="004C2C30">
        <w:rPr>
          <w:lang w:eastAsia="en-AU"/>
        </w:rPr>
        <w:t>leadership</w:t>
      </w:r>
      <w:r w:rsidRPr="002915C2">
        <w:rPr>
          <w:lang w:eastAsia="en-AU"/>
        </w:rPr>
        <w:t xml:space="preserve"> of the </w:t>
      </w:r>
      <w:r w:rsidR="00FA23AA">
        <w:rPr>
          <w:lang w:eastAsia="en-AU"/>
        </w:rPr>
        <w:t>Free Trade Agreement Joint Committee</w:t>
      </w:r>
      <w:r w:rsidR="00FA23AA" w:rsidRPr="002915C2" w:rsidDel="00FA23AA">
        <w:rPr>
          <w:lang w:eastAsia="en-AU"/>
        </w:rPr>
        <w:t xml:space="preserve"> </w:t>
      </w:r>
      <w:r w:rsidRPr="002915C2">
        <w:rPr>
          <w:lang w:eastAsia="en-AU"/>
        </w:rPr>
        <w:t>in</w:t>
      </w:r>
      <w:r>
        <w:rPr>
          <w:lang w:eastAsia="en-AU"/>
        </w:rPr>
        <w:t xml:space="preserve"> priority setting and approval</w:t>
      </w:r>
      <w:r w:rsidRPr="002915C2">
        <w:rPr>
          <w:lang w:eastAsia="en-AU"/>
        </w:rPr>
        <w:t xml:space="preserve"> </w:t>
      </w:r>
      <w:r>
        <w:rPr>
          <w:lang w:eastAsia="en-AU"/>
        </w:rPr>
        <w:t>processes</w:t>
      </w:r>
      <w:r w:rsidRPr="002915C2">
        <w:rPr>
          <w:lang w:eastAsia="en-AU"/>
        </w:rPr>
        <w:t xml:space="preserve"> helps ensure the practical relevance of </w:t>
      </w:r>
      <w:r>
        <w:rPr>
          <w:lang w:eastAsia="en-AU"/>
        </w:rPr>
        <w:t>core activities. Annual planning processes provide</w:t>
      </w:r>
      <w:r w:rsidRPr="002915C2">
        <w:rPr>
          <w:lang w:eastAsia="en-AU"/>
        </w:rPr>
        <w:t xml:space="preserve"> an adaptive and flexible </w:t>
      </w:r>
      <w:r w:rsidR="00FA23AA">
        <w:rPr>
          <w:lang w:eastAsia="en-AU"/>
        </w:rPr>
        <w:t>way</w:t>
      </w:r>
      <w:r w:rsidR="00FA23AA" w:rsidRPr="002915C2">
        <w:rPr>
          <w:lang w:eastAsia="en-AU"/>
        </w:rPr>
        <w:t xml:space="preserve"> </w:t>
      </w:r>
      <w:r w:rsidRPr="002915C2">
        <w:rPr>
          <w:lang w:eastAsia="en-AU"/>
        </w:rPr>
        <w:t xml:space="preserve">to </w:t>
      </w:r>
      <w:r>
        <w:rPr>
          <w:lang w:eastAsia="en-AU"/>
        </w:rPr>
        <w:t>respond to</w:t>
      </w:r>
      <w:r w:rsidRPr="002915C2">
        <w:rPr>
          <w:lang w:eastAsia="en-AU"/>
        </w:rPr>
        <w:t xml:space="preserve"> </w:t>
      </w:r>
      <w:r>
        <w:rPr>
          <w:lang w:eastAsia="en-AU"/>
        </w:rPr>
        <w:t>evolving</w:t>
      </w:r>
      <w:r w:rsidRPr="002915C2">
        <w:rPr>
          <w:lang w:eastAsia="en-AU"/>
        </w:rPr>
        <w:t xml:space="preserve"> priorities</w:t>
      </w:r>
      <w:r>
        <w:rPr>
          <w:lang w:eastAsia="en-AU"/>
        </w:rPr>
        <w:t xml:space="preserve"> and challenges</w:t>
      </w:r>
      <w:r w:rsidRPr="002915C2">
        <w:rPr>
          <w:lang w:eastAsia="en-AU"/>
        </w:rPr>
        <w:t xml:space="preserve">. </w:t>
      </w:r>
      <w:r w:rsidRPr="008400CB">
        <w:rPr>
          <w:lang w:eastAsia="en-AU"/>
        </w:rPr>
        <w:t>The demand driven nature of AECSP</w:t>
      </w:r>
      <w:r>
        <w:rPr>
          <w:lang w:eastAsia="en-AU"/>
        </w:rPr>
        <w:t xml:space="preserve"> supported activities—</w:t>
      </w:r>
      <w:r w:rsidRPr="008400CB">
        <w:rPr>
          <w:lang w:eastAsia="en-AU"/>
        </w:rPr>
        <w:t xml:space="preserve">and the emphasis on embedding the program within </w:t>
      </w:r>
      <w:r w:rsidR="00FA23AA">
        <w:rPr>
          <w:lang w:eastAsia="en-AU"/>
        </w:rPr>
        <w:t>the ASEAN Secretariat––</w:t>
      </w:r>
      <w:r>
        <w:rPr>
          <w:lang w:eastAsia="en-AU"/>
        </w:rPr>
        <w:t xml:space="preserve">provides a model that has the potential to contribute to the acceptance of more </w:t>
      </w:r>
      <w:r w:rsidR="00FA23AA">
        <w:rPr>
          <w:lang w:eastAsia="en-AU"/>
        </w:rPr>
        <w:t xml:space="preserve">harmonised </w:t>
      </w:r>
      <w:r>
        <w:rPr>
          <w:lang w:eastAsia="en-AU"/>
        </w:rPr>
        <w:t xml:space="preserve">approaches to supporting </w:t>
      </w:r>
      <w:r w:rsidR="00FA23AA">
        <w:rPr>
          <w:lang w:eastAsia="en-AU"/>
        </w:rPr>
        <w:t>the ASEAN Secretariat</w:t>
      </w:r>
      <w:r>
        <w:rPr>
          <w:lang w:eastAsia="en-AU"/>
        </w:rPr>
        <w:t xml:space="preserve">, and </w:t>
      </w:r>
      <w:r w:rsidR="00FA23AA">
        <w:rPr>
          <w:lang w:eastAsia="en-AU"/>
        </w:rPr>
        <w:t xml:space="preserve">therefore </w:t>
      </w:r>
      <w:r>
        <w:rPr>
          <w:lang w:eastAsia="en-AU"/>
        </w:rPr>
        <w:t xml:space="preserve">to help reduce </w:t>
      </w:r>
      <w:r w:rsidR="002A4045">
        <w:rPr>
          <w:lang w:eastAsia="en-AU"/>
        </w:rPr>
        <w:t xml:space="preserve">secretariat </w:t>
      </w:r>
      <w:r>
        <w:rPr>
          <w:lang w:eastAsia="en-AU"/>
        </w:rPr>
        <w:t>transaction costs in working with development partners.</w:t>
      </w:r>
      <w:r w:rsidR="005856D4">
        <w:rPr>
          <w:lang w:eastAsia="en-AU"/>
        </w:rPr>
        <w:t xml:space="preserve"> </w:t>
      </w:r>
      <w:r>
        <w:rPr>
          <w:lang w:eastAsia="en-AU"/>
        </w:rPr>
        <w:t xml:space="preserve">Growth in the level of funding requests indicates continuing strong </w:t>
      </w:r>
      <w:r w:rsidR="002A4045">
        <w:rPr>
          <w:lang w:eastAsia="en-AU"/>
        </w:rPr>
        <w:t>ASEAN member state</w:t>
      </w:r>
      <w:r w:rsidR="002A4045" w:rsidRPr="002A4045" w:rsidDel="002A4045">
        <w:rPr>
          <w:lang w:eastAsia="en-AU"/>
        </w:rPr>
        <w:t xml:space="preserve"> </w:t>
      </w:r>
      <w:r>
        <w:rPr>
          <w:lang w:eastAsia="en-AU"/>
        </w:rPr>
        <w:t>demand for AECSP support.</w:t>
      </w:r>
    </w:p>
    <w:p w14:paraId="707CF813" w14:textId="428A72AB" w:rsidR="00530BA8" w:rsidRDefault="002A4045" w:rsidP="00530BA8">
      <w:pPr>
        <w:rPr>
          <w:lang w:eastAsia="en-AU"/>
        </w:rPr>
      </w:pPr>
      <w:r>
        <w:rPr>
          <w:noProof/>
          <w:lang w:eastAsia="en-AU"/>
        </w:rPr>
        <w:lastRenderedPageBreak/>
        <mc:AlternateContent>
          <mc:Choice Requires="wps">
            <w:drawing>
              <wp:anchor distT="0" distB="0" distL="114300" distR="114300" simplePos="0" relativeHeight="251671552" behindDoc="0" locked="0" layoutInCell="1" allowOverlap="1" wp14:anchorId="625AA08C" wp14:editId="545DF0D9">
                <wp:simplePos x="0" y="0"/>
                <wp:positionH relativeFrom="column">
                  <wp:posOffset>-110490</wp:posOffset>
                </wp:positionH>
                <wp:positionV relativeFrom="paragraph">
                  <wp:posOffset>-243205</wp:posOffset>
                </wp:positionV>
                <wp:extent cx="5248275" cy="1985010"/>
                <wp:effectExtent l="0" t="0" r="34925" b="21590"/>
                <wp:wrapSquare wrapText="bothSides"/>
                <wp:docPr id="74" name="Text Box 74"/>
                <wp:cNvGraphicFramePr/>
                <a:graphic xmlns:a="http://schemas.openxmlformats.org/drawingml/2006/main">
                  <a:graphicData uri="http://schemas.microsoft.com/office/word/2010/wordprocessingShape">
                    <wps:wsp>
                      <wps:cNvSpPr txBox="1"/>
                      <wps:spPr>
                        <a:xfrm>
                          <a:off x="0" y="0"/>
                          <a:ext cx="5248275" cy="198501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4DFDFC" w14:textId="43C65E42" w:rsidR="005B0DF4" w:rsidRPr="00A23CEE" w:rsidRDefault="005B0DF4" w:rsidP="00530BA8">
                            <w:pPr>
                              <w:jc w:val="center"/>
                              <w:rPr>
                                <w:b/>
                              </w:rPr>
                            </w:pPr>
                            <w:r w:rsidRPr="00A23CEE">
                              <w:rPr>
                                <w:b/>
                              </w:rPr>
                              <w:t>Box</w:t>
                            </w:r>
                            <w:r>
                              <w:rPr>
                                <w:b/>
                              </w:rPr>
                              <w:t xml:space="preserve"> 2</w:t>
                            </w:r>
                            <w:r w:rsidRPr="00A23CEE">
                              <w:rPr>
                                <w:b/>
                              </w:rPr>
                              <w:t xml:space="preserve">: </w:t>
                            </w:r>
                            <w:r>
                              <w:rPr>
                                <w:b/>
                              </w:rPr>
                              <w:t>Reducing development gaps via capacity building</w:t>
                            </w:r>
                          </w:p>
                          <w:p w14:paraId="7315913F" w14:textId="2D959887" w:rsidR="005B0DF4" w:rsidRDefault="005B0DF4" w:rsidP="00530BA8">
                            <w:r>
                              <w:t>The r</w:t>
                            </w:r>
                            <w:r w:rsidRPr="00A23CEE">
                              <w:t xml:space="preserve">apid </w:t>
                            </w:r>
                            <w:r>
                              <w:t>r</w:t>
                            </w:r>
                            <w:r w:rsidRPr="00A23CEE">
                              <w:t xml:space="preserve">esponse </w:t>
                            </w:r>
                            <w:r>
                              <w:t>mechanism has been used to provide</w:t>
                            </w:r>
                            <w:r w:rsidRPr="00A23CEE">
                              <w:t xml:space="preserve"> in-country training </w:t>
                            </w:r>
                            <w:r>
                              <w:t>for</w:t>
                            </w:r>
                            <w:r w:rsidRPr="00A23CEE">
                              <w:t xml:space="preserve"> Cambodia, Lao PDR, Myanmar, the Philippines and Viet</w:t>
                            </w:r>
                            <w:r>
                              <w:t>n</w:t>
                            </w:r>
                            <w:r w:rsidRPr="00A23CEE">
                              <w:t xml:space="preserve">am on </w:t>
                            </w:r>
                            <w:r>
                              <w:t>r</w:t>
                            </w:r>
                            <w:r w:rsidRPr="00A23CEE">
                              <w:t xml:space="preserve">ules of </w:t>
                            </w:r>
                            <w:r>
                              <w:t>o</w:t>
                            </w:r>
                            <w:r w:rsidRPr="00A23CEE">
                              <w:t>rigin issues</w:t>
                            </w:r>
                            <w:r>
                              <w:t xml:space="preserve">. This training has </w:t>
                            </w:r>
                            <w:r w:rsidRPr="00A23CEE">
                              <w:t>improve</w:t>
                            </w:r>
                            <w:r>
                              <w:t>d</w:t>
                            </w:r>
                            <w:r w:rsidRPr="00A23CEE">
                              <w:t xml:space="preserve"> processes for customs clearance, tariff transposition to new versions of the </w:t>
                            </w:r>
                            <w:r>
                              <w:t>h</w:t>
                            </w:r>
                            <w:r w:rsidRPr="00A23CEE">
                              <w:t>armoni</w:t>
                            </w:r>
                            <w:r>
                              <w:t>s</w:t>
                            </w:r>
                            <w:r w:rsidRPr="00A23CEE">
                              <w:t xml:space="preserve">ed </w:t>
                            </w:r>
                            <w:r>
                              <w:t>s</w:t>
                            </w:r>
                            <w:r w:rsidRPr="00A23CEE">
                              <w:t xml:space="preserve">ystem </w:t>
                            </w:r>
                            <w:r>
                              <w:t>(which is</w:t>
                            </w:r>
                            <w:r w:rsidRPr="00A23CEE">
                              <w:t xml:space="preserve"> facilitat</w:t>
                            </w:r>
                            <w:r>
                              <w:t>ing</w:t>
                            </w:r>
                            <w:r w:rsidRPr="00A23CEE">
                              <w:t xml:space="preserve"> business </w:t>
                            </w:r>
                            <w:r>
                              <w:t>use</w:t>
                            </w:r>
                            <w:r w:rsidRPr="00A23CEE">
                              <w:t xml:space="preserve"> of AANZFTA’s substantial liberalisation of tariffs</w:t>
                            </w:r>
                            <w:r>
                              <w:t>)</w:t>
                            </w:r>
                            <w:r w:rsidRPr="00A23CEE">
                              <w:t xml:space="preserve">, and tariff and trade data analysis to assess the benefits of AANZFTA for the national economy. </w:t>
                            </w:r>
                          </w:p>
                          <w:p w14:paraId="1D7222E3" w14:textId="1D3B45CB" w:rsidR="005B0DF4" w:rsidRPr="00646905" w:rsidRDefault="005B0DF4" w:rsidP="00530BA8">
                            <w:r w:rsidRPr="00646905">
                              <w:t xml:space="preserve">A </w:t>
                            </w:r>
                            <w:r>
                              <w:t>more substantive</w:t>
                            </w:r>
                            <w:r w:rsidRPr="00646905">
                              <w:t xml:space="preserve"> </w:t>
                            </w:r>
                            <w:r>
                              <w:t>r</w:t>
                            </w:r>
                            <w:r w:rsidRPr="00A23CEE">
                              <w:t xml:space="preserve">ules of </w:t>
                            </w:r>
                            <w:r>
                              <w:t>o</w:t>
                            </w:r>
                            <w:r w:rsidRPr="00A23CEE">
                              <w:t xml:space="preserve">rigin </w:t>
                            </w:r>
                            <w:r w:rsidRPr="00646905">
                              <w:t xml:space="preserve">project </w:t>
                            </w:r>
                            <w:r>
                              <w:t>is</w:t>
                            </w:r>
                            <w:r w:rsidRPr="00646905">
                              <w:t xml:space="preserve"> develop</w:t>
                            </w:r>
                            <w:r>
                              <w:t>ing</w:t>
                            </w:r>
                            <w:r w:rsidRPr="00646905">
                              <w:t xml:space="preserve"> training modules translated into the languages of Cambodia, Indonesia, Lao PDR, Myanmar, Thailand and Viet</w:t>
                            </w:r>
                            <w:r>
                              <w:t>n</w:t>
                            </w:r>
                            <w:r w:rsidRPr="00646905">
                              <w:t xml:space="preserve">am </w:t>
                            </w:r>
                            <w:r>
                              <w:t>as part of</w:t>
                            </w:r>
                            <w:r w:rsidRPr="00646905">
                              <w:t xml:space="preserve"> a</w:t>
                            </w:r>
                            <w:r>
                              <w:t xml:space="preserve"> ‘train the trainers’ program.</w:t>
                            </w:r>
                            <w:r w:rsidRPr="00646905">
                              <w:t xml:space="preserve"> ASEAN officials who complete this program will be qualified to conduct </w:t>
                            </w:r>
                            <w:r>
                              <w:t>r</w:t>
                            </w:r>
                            <w:r w:rsidRPr="00A23CEE">
                              <w:t xml:space="preserve">ules of </w:t>
                            </w:r>
                            <w:r>
                              <w:t>o</w:t>
                            </w:r>
                            <w:r w:rsidRPr="00A23CEE">
                              <w:t xml:space="preserve">rigin </w:t>
                            </w:r>
                            <w:r w:rsidRPr="00646905">
                              <w:t xml:space="preserve">training in their own countries and languages. </w:t>
                            </w:r>
                          </w:p>
                          <w:p w14:paraId="3EB121D3" w14:textId="77777777" w:rsidR="005B0DF4" w:rsidRPr="00A23CEE" w:rsidRDefault="005B0DF4" w:rsidP="00530BA8"/>
                          <w:p w14:paraId="2C6B80CF" w14:textId="77777777" w:rsidR="005B0DF4" w:rsidRDefault="005B0DF4" w:rsidP="00530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74" o:spid="_x0000_s1042" type="#_x0000_t202" style="position:absolute;margin-left:-8.65pt;margin-top:-19.1pt;width:413.25pt;height:15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" filled="f" strokecolor="black [3213]">
                <v:textbox>
                  <w:txbxContent>
                    <w:p w14:paraId="484DFDFC" w14:textId="43C65E42" w:rsidR="006F2FAC" w:rsidRPr="00A23CEE" w:rsidRDefault="006F2FAC" w:rsidP="00530BA8">
                      <w:pPr>
                        <w:jc w:val="center"/>
                        <w:rPr>
                          <w:b/>
                        </w:rPr>
                      </w:pPr>
                      <w:r w:rsidRPr="00A23CEE">
                        <w:rPr>
                          <w:b/>
                        </w:rPr>
                        <w:t>Box</w:t>
                      </w:r>
                      <w:r>
                        <w:rPr>
                          <w:b/>
                        </w:rPr>
                        <w:t xml:space="preserve"> 2</w:t>
                      </w:r>
                      <w:r w:rsidRPr="00A23CEE">
                        <w:rPr>
                          <w:b/>
                        </w:rPr>
                        <w:t xml:space="preserve">: </w:t>
                      </w:r>
                      <w:r>
                        <w:rPr>
                          <w:b/>
                        </w:rPr>
                        <w:t>Reducing development gaps via capacity building</w:t>
                      </w:r>
                    </w:p>
                    <w:p w14:paraId="7315913F" w14:textId="2D959887" w:rsidR="006F2FAC" w:rsidRDefault="006F2FAC" w:rsidP="00530BA8">
                      <w:r>
                        <w:t>The r</w:t>
                      </w:r>
                      <w:r w:rsidRPr="00A23CEE">
                        <w:t xml:space="preserve">apid </w:t>
                      </w:r>
                      <w:r>
                        <w:t>r</w:t>
                      </w:r>
                      <w:r w:rsidRPr="00A23CEE">
                        <w:t xml:space="preserve">esponse </w:t>
                      </w:r>
                      <w:r>
                        <w:t>mechanism has been used to provide</w:t>
                      </w:r>
                      <w:r w:rsidRPr="00A23CEE">
                        <w:t xml:space="preserve"> in-country training </w:t>
                      </w:r>
                      <w:r>
                        <w:t>for</w:t>
                      </w:r>
                      <w:r w:rsidRPr="00A23CEE">
                        <w:t xml:space="preserve"> Cambodia, Lao PDR, Myanmar, the Philippines and Viet</w:t>
                      </w:r>
                      <w:r>
                        <w:t>n</w:t>
                      </w:r>
                      <w:r w:rsidRPr="00A23CEE">
                        <w:t xml:space="preserve">am on </w:t>
                      </w:r>
                      <w:r>
                        <w:t>r</w:t>
                      </w:r>
                      <w:r w:rsidRPr="00A23CEE">
                        <w:t xml:space="preserve">ules of </w:t>
                      </w:r>
                      <w:r>
                        <w:t>o</w:t>
                      </w:r>
                      <w:r w:rsidRPr="00A23CEE">
                        <w:t>rigin issues</w:t>
                      </w:r>
                      <w:r>
                        <w:t xml:space="preserve">. This training has </w:t>
                      </w:r>
                      <w:r w:rsidRPr="00A23CEE">
                        <w:t>improve</w:t>
                      </w:r>
                      <w:r>
                        <w:t>d</w:t>
                      </w:r>
                      <w:r w:rsidRPr="00A23CEE">
                        <w:t xml:space="preserve"> processes for customs clearance, tariff transposition to new versions of the </w:t>
                      </w:r>
                      <w:r>
                        <w:t>h</w:t>
                      </w:r>
                      <w:r w:rsidRPr="00A23CEE">
                        <w:t>armoni</w:t>
                      </w:r>
                      <w:r>
                        <w:t>s</w:t>
                      </w:r>
                      <w:r w:rsidRPr="00A23CEE">
                        <w:t xml:space="preserve">ed </w:t>
                      </w:r>
                      <w:r>
                        <w:t>s</w:t>
                      </w:r>
                      <w:r w:rsidRPr="00A23CEE">
                        <w:t xml:space="preserve">ystem </w:t>
                      </w:r>
                      <w:r>
                        <w:t>(which is</w:t>
                      </w:r>
                      <w:r w:rsidRPr="00A23CEE">
                        <w:t xml:space="preserve"> facilitat</w:t>
                      </w:r>
                      <w:r>
                        <w:t>ing</w:t>
                      </w:r>
                      <w:r w:rsidRPr="00A23CEE">
                        <w:t xml:space="preserve"> business </w:t>
                      </w:r>
                      <w:r>
                        <w:t>use</w:t>
                      </w:r>
                      <w:r w:rsidRPr="00A23CEE">
                        <w:t xml:space="preserve"> of AANZFTA’s substantial liberalisation of tariffs</w:t>
                      </w:r>
                      <w:r>
                        <w:t>)</w:t>
                      </w:r>
                      <w:r w:rsidRPr="00A23CEE">
                        <w:t xml:space="preserve">, and tariff and trade data analysis to assess the benefits of AANZFTA for the national economy. </w:t>
                      </w:r>
                    </w:p>
                    <w:p w14:paraId="1D7222E3" w14:textId="1D3B45CB" w:rsidR="006F2FAC" w:rsidRPr="00646905" w:rsidRDefault="006F2FAC" w:rsidP="00530BA8">
                      <w:r w:rsidRPr="00646905">
                        <w:t xml:space="preserve">A </w:t>
                      </w:r>
                      <w:r>
                        <w:t>more substantive</w:t>
                      </w:r>
                      <w:r w:rsidRPr="00646905">
                        <w:t xml:space="preserve"> </w:t>
                      </w:r>
                      <w:proofErr w:type="gramStart"/>
                      <w:r>
                        <w:t>r</w:t>
                      </w:r>
                      <w:r w:rsidRPr="00A23CEE">
                        <w:t>ules</w:t>
                      </w:r>
                      <w:proofErr w:type="gramEnd"/>
                      <w:r w:rsidRPr="00A23CEE">
                        <w:t xml:space="preserve"> of </w:t>
                      </w:r>
                      <w:r>
                        <w:t>o</w:t>
                      </w:r>
                      <w:r w:rsidRPr="00A23CEE">
                        <w:t xml:space="preserve">rigin </w:t>
                      </w:r>
                      <w:r w:rsidRPr="00646905">
                        <w:t xml:space="preserve">project </w:t>
                      </w:r>
                      <w:r>
                        <w:t>is</w:t>
                      </w:r>
                      <w:r w:rsidRPr="00646905">
                        <w:t xml:space="preserve"> develop</w:t>
                      </w:r>
                      <w:r>
                        <w:t>ing</w:t>
                      </w:r>
                      <w:r w:rsidRPr="00646905">
                        <w:t xml:space="preserve"> training modules translated into the languages of Cambodia, Indonesia, Lao PDR, Myanmar, Thailand and Viet</w:t>
                      </w:r>
                      <w:r>
                        <w:t>n</w:t>
                      </w:r>
                      <w:r w:rsidRPr="00646905">
                        <w:t xml:space="preserve">am </w:t>
                      </w:r>
                      <w:r>
                        <w:t>as part of</w:t>
                      </w:r>
                      <w:r w:rsidRPr="00646905">
                        <w:t xml:space="preserve"> a</w:t>
                      </w:r>
                      <w:r>
                        <w:t xml:space="preserve"> ‘train the trainers’ program.</w:t>
                      </w:r>
                      <w:r w:rsidRPr="00646905">
                        <w:t xml:space="preserve"> ASEAN officials who complete this program will be qualified to conduct </w:t>
                      </w:r>
                      <w:r>
                        <w:t>r</w:t>
                      </w:r>
                      <w:r w:rsidRPr="00A23CEE">
                        <w:t xml:space="preserve">ules of </w:t>
                      </w:r>
                      <w:r>
                        <w:t>o</w:t>
                      </w:r>
                      <w:r w:rsidRPr="00A23CEE">
                        <w:t xml:space="preserve">rigin </w:t>
                      </w:r>
                      <w:r w:rsidRPr="00646905">
                        <w:t xml:space="preserve">training in their own countries and languages. </w:t>
                      </w:r>
                    </w:p>
                    <w:p w14:paraId="3EB121D3" w14:textId="77777777" w:rsidR="006F2FAC" w:rsidRPr="00A23CEE" w:rsidRDefault="006F2FAC" w:rsidP="00530BA8"/>
                    <w:p w14:paraId="2C6B80CF" w14:textId="77777777" w:rsidR="006F2FAC" w:rsidRDefault="006F2FAC" w:rsidP="00530BA8"/>
                  </w:txbxContent>
                </v:textbox>
                <w10:wrap type="square"/>
              </v:shape>
            </w:pict>
          </mc:Fallback>
        </mc:AlternateContent>
      </w:r>
    </w:p>
    <w:p w14:paraId="0545F2D5" w14:textId="3912158E" w:rsidR="00530BA8" w:rsidRDefault="00530BA8" w:rsidP="00714B4B">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rPr>
          <w:lang w:eastAsia="en-AU"/>
        </w:rPr>
        <w:t xml:space="preserve">AECSP is consistent with AusAID’s </w:t>
      </w:r>
      <w:r w:rsidRPr="008A5363">
        <w:rPr>
          <w:lang w:eastAsia="en-AU"/>
        </w:rPr>
        <w:t xml:space="preserve">core </w:t>
      </w:r>
      <w:r>
        <w:rPr>
          <w:lang w:eastAsia="en-AU"/>
        </w:rPr>
        <w:t xml:space="preserve">aid policy </w:t>
      </w:r>
      <w:r w:rsidRPr="008A5363">
        <w:rPr>
          <w:lang w:eastAsia="en-AU"/>
        </w:rPr>
        <w:t xml:space="preserve">goal </w:t>
      </w:r>
      <w:r>
        <w:rPr>
          <w:lang w:eastAsia="en-AU"/>
        </w:rPr>
        <w:t>of reducing poverty by facilitating trade and investment to boost</w:t>
      </w:r>
      <w:r w:rsidRPr="008A5363">
        <w:rPr>
          <w:lang w:eastAsia="en-AU"/>
        </w:rPr>
        <w:t xml:space="preserve"> </w:t>
      </w:r>
      <w:r>
        <w:rPr>
          <w:lang w:eastAsia="en-AU"/>
        </w:rPr>
        <w:t xml:space="preserve">growth in incomes and employment; and the economic development and governance goals of AusAID’s </w:t>
      </w:r>
      <w:r w:rsidRPr="00BA2254">
        <w:rPr>
          <w:lang w:val="en-US" w:eastAsia="en-AU"/>
        </w:rPr>
        <w:t>Comprehensive Aid Policy Framework</w:t>
      </w:r>
      <w:r w:rsidR="002A4045">
        <w:rPr>
          <w:lang w:val="en-US" w:eastAsia="en-AU"/>
        </w:rPr>
        <w:t>.</w:t>
      </w:r>
      <w:r>
        <w:rPr>
          <w:rStyle w:val="FootnoteReference"/>
          <w:lang w:val="en-US" w:eastAsia="en-AU"/>
        </w:rPr>
        <w:footnoteReference w:id="14"/>
      </w:r>
      <w:r>
        <w:rPr>
          <w:lang w:eastAsia="en-AU"/>
        </w:rPr>
        <w:t xml:space="preserve"> AECSP support contributes to Australia’s national interests</w:t>
      </w:r>
      <w:r>
        <w:rPr>
          <w:rStyle w:val="FootnoteReference"/>
          <w:lang w:eastAsia="en-AU"/>
        </w:rPr>
        <w:footnoteReference w:id="15"/>
      </w:r>
      <w:r>
        <w:rPr>
          <w:lang w:eastAsia="en-AU"/>
        </w:rPr>
        <w:t xml:space="preserve"> by supporting</w:t>
      </w:r>
      <w:r w:rsidRPr="008A5363">
        <w:rPr>
          <w:lang w:eastAsia="en-AU"/>
        </w:rPr>
        <w:t xml:space="preserve"> whole-of-government</w:t>
      </w:r>
      <w:r>
        <w:rPr>
          <w:rStyle w:val="FootnoteReference"/>
          <w:lang w:eastAsia="en-AU"/>
        </w:rPr>
        <w:footnoteReference w:id="16"/>
      </w:r>
      <w:r w:rsidRPr="008A5363">
        <w:rPr>
          <w:lang w:eastAsia="en-AU"/>
        </w:rPr>
        <w:t xml:space="preserve"> engagement in the </w:t>
      </w:r>
      <w:r>
        <w:rPr>
          <w:lang w:eastAsia="en-AU"/>
        </w:rPr>
        <w:t>rapidly developing</w:t>
      </w:r>
      <w:r w:rsidRPr="008A5363">
        <w:rPr>
          <w:lang w:eastAsia="en-AU"/>
        </w:rPr>
        <w:t xml:space="preserve"> ASEAN region. </w:t>
      </w:r>
    </w:p>
    <w:p w14:paraId="678187A7" w14:textId="5374DA9F" w:rsidR="00530BA8" w:rsidRPr="008A5363" w:rsidRDefault="00530BA8" w:rsidP="002A4045">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rPr>
          <w:lang w:eastAsia="en-AU"/>
        </w:rPr>
        <w:t>AECSP support is consistent with the focus areas</w:t>
      </w:r>
      <w:r w:rsidRPr="008A5363">
        <w:rPr>
          <w:lang w:eastAsia="en-AU"/>
        </w:rPr>
        <w:t xml:space="preserve"> </w:t>
      </w:r>
      <w:r>
        <w:rPr>
          <w:lang w:eastAsia="en-AU"/>
        </w:rPr>
        <w:t>of</w:t>
      </w:r>
      <w:r w:rsidRPr="008A5363">
        <w:rPr>
          <w:lang w:eastAsia="en-AU"/>
        </w:rPr>
        <w:t xml:space="preserve"> the </w:t>
      </w:r>
      <w:r w:rsidR="00095CBB" w:rsidRPr="002915C2">
        <w:rPr>
          <w:lang w:eastAsia="en-AU"/>
        </w:rPr>
        <w:t>ASEAN Economic Community</w:t>
      </w:r>
      <w:r w:rsidR="00095CBB" w:rsidRPr="002A4045" w:rsidDel="00095CBB">
        <w:rPr>
          <w:highlight w:val="yellow"/>
          <w:lang w:eastAsia="en-AU"/>
        </w:rPr>
        <w:t xml:space="preserve"> </w:t>
      </w:r>
      <w:r w:rsidR="002A4045">
        <w:rPr>
          <w:lang w:eastAsia="en-AU"/>
        </w:rPr>
        <w:t>b</w:t>
      </w:r>
      <w:r w:rsidR="002A4045" w:rsidRPr="008A5363">
        <w:rPr>
          <w:lang w:eastAsia="en-AU"/>
        </w:rPr>
        <w:t>lueprint</w:t>
      </w:r>
      <w:r w:rsidR="002A4045">
        <w:rPr>
          <w:lang w:eastAsia="en-AU"/>
        </w:rPr>
        <w:t>:</w:t>
      </w:r>
      <w:r>
        <w:rPr>
          <w:rStyle w:val="FootnoteReference"/>
          <w:lang w:eastAsia="en-AU"/>
        </w:rPr>
        <w:footnoteReference w:id="17"/>
      </w:r>
    </w:p>
    <w:p w14:paraId="6F3E0D4C" w14:textId="0E1338A1" w:rsidR="00530BA8" w:rsidRDefault="002A4045" w:rsidP="00530BA8">
      <w:pPr>
        <w:pStyle w:val="ListBullet2"/>
        <w:numPr>
          <w:ilvl w:val="0"/>
          <w:numId w:val="51"/>
        </w:numPr>
        <w:rPr>
          <w:lang w:val="en-US" w:eastAsia="en-AU"/>
        </w:rPr>
      </w:pPr>
      <w:r>
        <w:rPr>
          <w:lang w:val="en-US" w:eastAsia="en-AU"/>
        </w:rPr>
        <w:t>a</w:t>
      </w:r>
      <w:r w:rsidRPr="00BE0302">
        <w:rPr>
          <w:lang w:val="en-US" w:eastAsia="en-AU"/>
        </w:rPr>
        <w:t xml:space="preserve"> </w:t>
      </w:r>
      <w:r w:rsidR="00530BA8" w:rsidRPr="00BE0302">
        <w:rPr>
          <w:lang w:val="en-US" w:eastAsia="en-AU"/>
        </w:rPr>
        <w:t>single market and production base</w:t>
      </w:r>
    </w:p>
    <w:p w14:paraId="3A911193" w14:textId="604AD0E6" w:rsidR="00530BA8" w:rsidRDefault="002A4045" w:rsidP="00530BA8">
      <w:pPr>
        <w:pStyle w:val="ListBullet2"/>
        <w:numPr>
          <w:ilvl w:val="0"/>
          <w:numId w:val="51"/>
        </w:numPr>
        <w:rPr>
          <w:lang w:val="en-US" w:eastAsia="en-AU"/>
        </w:rPr>
      </w:pPr>
      <w:r>
        <w:rPr>
          <w:lang w:val="en-US" w:eastAsia="en-AU"/>
        </w:rPr>
        <w:t>h</w:t>
      </w:r>
      <w:r w:rsidRPr="00BE0302">
        <w:rPr>
          <w:lang w:val="en-US" w:eastAsia="en-AU"/>
        </w:rPr>
        <w:t>ighly</w:t>
      </w:r>
      <w:r>
        <w:rPr>
          <w:lang w:val="en-US" w:eastAsia="en-AU"/>
        </w:rPr>
        <w:t xml:space="preserve"> </w:t>
      </w:r>
      <w:r w:rsidR="00530BA8" w:rsidRPr="00BE0302">
        <w:rPr>
          <w:lang w:val="en-US" w:eastAsia="en-AU"/>
        </w:rPr>
        <w:t>c</w:t>
      </w:r>
      <w:r w:rsidR="00530BA8">
        <w:rPr>
          <w:lang w:val="en-US" w:eastAsia="en-AU"/>
        </w:rPr>
        <w:t>ompetitive economic region</w:t>
      </w:r>
    </w:p>
    <w:p w14:paraId="6A5BFCB5" w14:textId="69171F7C" w:rsidR="00530BA8" w:rsidRDefault="002A4045" w:rsidP="00530BA8">
      <w:pPr>
        <w:pStyle w:val="ListBullet2"/>
        <w:numPr>
          <w:ilvl w:val="0"/>
          <w:numId w:val="51"/>
        </w:numPr>
        <w:rPr>
          <w:lang w:val="en-US" w:eastAsia="en-AU"/>
        </w:rPr>
      </w:pPr>
      <w:r>
        <w:rPr>
          <w:lang w:val="en-US" w:eastAsia="en-AU"/>
        </w:rPr>
        <w:t>a</w:t>
      </w:r>
      <w:r w:rsidRPr="00BE0302">
        <w:rPr>
          <w:lang w:val="en-US" w:eastAsia="en-AU"/>
        </w:rPr>
        <w:t xml:space="preserve"> </w:t>
      </w:r>
      <w:r w:rsidR="00530BA8" w:rsidRPr="00BE0302">
        <w:rPr>
          <w:lang w:val="en-US" w:eastAsia="en-AU"/>
        </w:rPr>
        <w:t>region of equitable economic dev</w:t>
      </w:r>
      <w:r w:rsidR="00530BA8">
        <w:rPr>
          <w:lang w:val="en-US" w:eastAsia="en-AU"/>
        </w:rPr>
        <w:t>elopment</w:t>
      </w:r>
    </w:p>
    <w:p w14:paraId="65FA9075" w14:textId="1B19A8A2" w:rsidR="00530BA8" w:rsidRDefault="002A4045" w:rsidP="00530BA8">
      <w:pPr>
        <w:pStyle w:val="ListBullet2"/>
        <w:numPr>
          <w:ilvl w:val="0"/>
          <w:numId w:val="51"/>
        </w:numPr>
        <w:rPr>
          <w:lang w:eastAsia="en-AU"/>
        </w:rPr>
      </w:pPr>
      <w:r>
        <w:rPr>
          <w:lang w:val="en-US" w:eastAsia="en-AU"/>
        </w:rPr>
        <w:t>a</w:t>
      </w:r>
      <w:r w:rsidRPr="00BE0302">
        <w:rPr>
          <w:lang w:val="en-US" w:eastAsia="en-AU"/>
        </w:rPr>
        <w:t xml:space="preserve"> </w:t>
      </w:r>
      <w:r w:rsidR="00530BA8" w:rsidRPr="00BE0302">
        <w:rPr>
          <w:lang w:val="en-US" w:eastAsia="en-AU"/>
        </w:rPr>
        <w:t>region</w:t>
      </w:r>
      <w:r w:rsidR="00530BA8">
        <w:rPr>
          <w:lang w:val="en-US" w:eastAsia="en-AU"/>
        </w:rPr>
        <w:t xml:space="preserve"> </w:t>
      </w:r>
      <w:r w:rsidR="00530BA8" w:rsidRPr="00BE0302">
        <w:rPr>
          <w:lang w:val="en-US" w:eastAsia="en-AU"/>
        </w:rPr>
        <w:t>fully integrated into the global economy.</w:t>
      </w:r>
    </w:p>
    <w:p w14:paraId="5884B723" w14:textId="58A5B957" w:rsidR="00530BA8" w:rsidRPr="003D66A2" w:rsidRDefault="00530BA8" w:rsidP="002A4045">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3D66A2">
        <w:rPr>
          <w:lang w:eastAsia="en-AU"/>
        </w:rPr>
        <w:t xml:space="preserve">Technical expertise from ASEAN and the ASEAN Secretariat is crucial in the implementation and sustainability of </w:t>
      </w:r>
      <w:r w:rsidR="006A57D9">
        <w:rPr>
          <w:lang w:eastAsia="en-AU"/>
        </w:rPr>
        <w:t xml:space="preserve">Economic Cooperation Work Program </w:t>
      </w:r>
      <w:r w:rsidRPr="003D66A2">
        <w:rPr>
          <w:lang w:eastAsia="en-AU"/>
        </w:rPr>
        <w:t>initiatives and activities.</w:t>
      </w:r>
      <w:r>
        <w:rPr>
          <w:lang w:eastAsia="en-AU"/>
        </w:rPr>
        <w:t xml:space="preserve"> </w:t>
      </w:r>
      <w:r w:rsidR="002A4045">
        <w:rPr>
          <w:lang w:eastAsia="en-AU"/>
        </w:rPr>
        <w:t xml:space="preserve">The </w:t>
      </w:r>
      <w:r w:rsidR="00FA23AA">
        <w:rPr>
          <w:lang w:eastAsia="en-AU"/>
        </w:rPr>
        <w:t xml:space="preserve">ASEAN </w:t>
      </w:r>
      <w:r w:rsidR="002A4045">
        <w:rPr>
          <w:lang w:eastAsia="en-AU"/>
        </w:rPr>
        <w:t>Secretariat</w:t>
      </w:r>
      <w:r w:rsidRPr="003D66A2">
        <w:rPr>
          <w:lang w:eastAsia="en-AU"/>
        </w:rPr>
        <w:t xml:space="preserve">’s workload </w:t>
      </w:r>
      <w:r>
        <w:rPr>
          <w:lang w:eastAsia="en-AU"/>
        </w:rPr>
        <w:t>is increasing</w:t>
      </w:r>
      <w:r w:rsidRPr="003D66A2">
        <w:rPr>
          <w:lang w:eastAsia="en-AU"/>
        </w:rPr>
        <w:t xml:space="preserve"> </w:t>
      </w:r>
      <w:r>
        <w:rPr>
          <w:lang w:eastAsia="en-AU"/>
        </w:rPr>
        <w:t>due to ASEAN’s expanding agenda and</w:t>
      </w:r>
      <w:r w:rsidRPr="003D66A2">
        <w:rPr>
          <w:lang w:eastAsia="en-AU"/>
        </w:rPr>
        <w:t xml:space="preserve"> competing priorities </w:t>
      </w:r>
      <w:r>
        <w:rPr>
          <w:lang w:eastAsia="en-AU"/>
        </w:rPr>
        <w:t>with</w:t>
      </w:r>
      <w:r w:rsidRPr="003D66A2">
        <w:rPr>
          <w:lang w:eastAsia="en-AU"/>
        </w:rPr>
        <w:t xml:space="preserve"> the implementation of t</w:t>
      </w:r>
      <w:r>
        <w:rPr>
          <w:lang w:eastAsia="en-AU"/>
        </w:rPr>
        <w:t xml:space="preserve">he new ASEAN Charter </w:t>
      </w:r>
      <w:r w:rsidR="00A565EE">
        <w:rPr>
          <w:lang w:eastAsia="en-AU"/>
        </w:rPr>
        <w:t xml:space="preserve">as well as </w:t>
      </w:r>
      <w:r>
        <w:rPr>
          <w:lang w:eastAsia="en-AU"/>
        </w:rPr>
        <w:t xml:space="preserve">the </w:t>
      </w:r>
      <w:r w:rsidR="00095CBB" w:rsidRPr="002915C2">
        <w:rPr>
          <w:lang w:eastAsia="en-AU"/>
        </w:rPr>
        <w:t>ASEAN Economic Community</w:t>
      </w:r>
      <w:r w:rsidRPr="003D66A2">
        <w:rPr>
          <w:lang w:eastAsia="en-AU"/>
        </w:rPr>
        <w:t xml:space="preserve">. </w:t>
      </w:r>
      <w:r>
        <w:rPr>
          <w:lang w:eastAsia="en-AU"/>
        </w:rPr>
        <w:t>H</w:t>
      </w:r>
      <w:r w:rsidRPr="003D66A2">
        <w:rPr>
          <w:lang w:eastAsia="en-AU"/>
        </w:rPr>
        <w:t xml:space="preserve">uman resource </w:t>
      </w:r>
      <w:r>
        <w:rPr>
          <w:lang w:eastAsia="en-AU"/>
        </w:rPr>
        <w:t>bottlenecks</w:t>
      </w:r>
      <w:r w:rsidRPr="003D66A2">
        <w:rPr>
          <w:lang w:eastAsia="en-AU"/>
        </w:rPr>
        <w:t xml:space="preserve"> </w:t>
      </w:r>
      <w:r>
        <w:rPr>
          <w:lang w:eastAsia="en-AU"/>
        </w:rPr>
        <w:t>are beginning to have a negative impact on</w:t>
      </w:r>
      <w:r w:rsidRPr="003D66A2">
        <w:rPr>
          <w:lang w:eastAsia="en-AU"/>
        </w:rPr>
        <w:t xml:space="preserve"> the delivery of </w:t>
      </w:r>
      <w:r w:rsidR="002A4045" w:rsidRPr="002A4045">
        <w:rPr>
          <w:lang w:eastAsia="en-AU"/>
        </w:rPr>
        <w:t xml:space="preserve">Economic </w:t>
      </w:r>
      <w:r w:rsidR="00F666BD" w:rsidRPr="002A4045">
        <w:rPr>
          <w:lang w:eastAsia="en-AU"/>
        </w:rPr>
        <w:t xml:space="preserve">Cooperation Work </w:t>
      </w:r>
      <w:r w:rsidR="00F666BD">
        <w:rPr>
          <w:lang w:eastAsia="en-AU"/>
        </w:rPr>
        <w:t>Progra</w:t>
      </w:r>
      <w:r w:rsidR="006A57D9">
        <w:rPr>
          <w:lang w:eastAsia="en-AU"/>
        </w:rPr>
        <w:t>m</w:t>
      </w:r>
      <w:r w:rsidR="002A4045" w:rsidRPr="002A4045" w:rsidDel="002A4045">
        <w:rPr>
          <w:lang w:eastAsia="en-AU"/>
        </w:rPr>
        <w:t xml:space="preserve"> </w:t>
      </w:r>
      <w:r w:rsidRPr="003D66A2">
        <w:rPr>
          <w:lang w:eastAsia="en-AU"/>
        </w:rPr>
        <w:t xml:space="preserve">activities. </w:t>
      </w:r>
      <w:r>
        <w:rPr>
          <w:lang w:eastAsia="en-AU"/>
        </w:rPr>
        <w:t xml:space="preserve">While several </w:t>
      </w:r>
      <w:r w:rsidR="002A4045">
        <w:rPr>
          <w:lang w:eastAsia="en-AU"/>
        </w:rPr>
        <w:t xml:space="preserve">people </w:t>
      </w:r>
      <w:r>
        <w:rPr>
          <w:lang w:eastAsia="en-AU"/>
        </w:rPr>
        <w:t xml:space="preserve">(including </w:t>
      </w:r>
      <w:r w:rsidR="00FA23AA">
        <w:rPr>
          <w:lang w:eastAsia="en-AU"/>
        </w:rPr>
        <w:t xml:space="preserve">ASEAN </w:t>
      </w:r>
      <w:r w:rsidR="002A4045">
        <w:rPr>
          <w:lang w:eastAsia="en-AU"/>
        </w:rPr>
        <w:t xml:space="preserve">Secretariat </w:t>
      </w:r>
      <w:r>
        <w:rPr>
          <w:lang w:eastAsia="en-AU"/>
        </w:rPr>
        <w:t xml:space="preserve">desk officers) argued that key program activities complement core </w:t>
      </w:r>
      <w:r w:rsidR="00FA23AA">
        <w:rPr>
          <w:lang w:eastAsia="en-AU"/>
        </w:rPr>
        <w:t xml:space="preserve">ASEAN </w:t>
      </w:r>
      <w:r w:rsidR="002A4045">
        <w:rPr>
          <w:lang w:eastAsia="en-AU"/>
        </w:rPr>
        <w:t xml:space="preserve">Secretariat </w:t>
      </w:r>
      <w:r>
        <w:rPr>
          <w:lang w:eastAsia="en-AU"/>
        </w:rPr>
        <w:t xml:space="preserve">responsibilities (including preparations for </w:t>
      </w:r>
      <w:r w:rsidR="00095CBB">
        <w:rPr>
          <w:lang w:eastAsia="en-AU"/>
        </w:rPr>
        <w:t xml:space="preserve">the </w:t>
      </w:r>
      <w:r w:rsidR="00095CBB" w:rsidRPr="002915C2">
        <w:rPr>
          <w:lang w:eastAsia="en-AU"/>
        </w:rPr>
        <w:t>ASEAN Economic Community</w:t>
      </w:r>
      <w:r>
        <w:rPr>
          <w:lang w:eastAsia="en-AU"/>
        </w:rPr>
        <w:t xml:space="preserve">), </w:t>
      </w:r>
      <w:r w:rsidR="002A4045">
        <w:rPr>
          <w:lang w:eastAsia="en-AU"/>
        </w:rPr>
        <w:t xml:space="preserve">ASEAN Secretariat </w:t>
      </w:r>
      <w:r w:rsidRPr="002915C2">
        <w:rPr>
          <w:lang w:eastAsia="en-AU"/>
        </w:rPr>
        <w:t xml:space="preserve">leadership </w:t>
      </w:r>
      <w:r w:rsidR="002A4045">
        <w:rPr>
          <w:lang w:eastAsia="en-AU"/>
        </w:rPr>
        <w:t xml:space="preserve">has </w:t>
      </w:r>
      <w:r>
        <w:rPr>
          <w:lang w:eastAsia="en-AU"/>
        </w:rPr>
        <w:t xml:space="preserve">expressed </w:t>
      </w:r>
      <w:r w:rsidRPr="002915C2">
        <w:rPr>
          <w:lang w:eastAsia="en-AU"/>
        </w:rPr>
        <w:t>concern</w:t>
      </w:r>
      <w:r>
        <w:rPr>
          <w:lang w:eastAsia="en-AU"/>
        </w:rPr>
        <w:t>s</w:t>
      </w:r>
      <w:r w:rsidRPr="002915C2">
        <w:rPr>
          <w:lang w:eastAsia="en-AU"/>
        </w:rPr>
        <w:t xml:space="preserve"> </w:t>
      </w:r>
      <w:r>
        <w:rPr>
          <w:lang w:eastAsia="en-AU"/>
        </w:rPr>
        <w:t xml:space="preserve">to AusAID </w:t>
      </w:r>
      <w:r w:rsidRPr="002915C2">
        <w:rPr>
          <w:lang w:eastAsia="en-AU"/>
        </w:rPr>
        <w:t xml:space="preserve">that AECSP is diverting </w:t>
      </w:r>
      <w:r w:rsidR="002A4045">
        <w:rPr>
          <w:lang w:eastAsia="en-AU"/>
        </w:rPr>
        <w:t xml:space="preserve">secretariat </w:t>
      </w:r>
      <w:r w:rsidRPr="002915C2">
        <w:rPr>
          <w:lang w:eastAsia="en-AU"/>
        </w:rPr>
        <w:t>desk officers from core responsibilities</w:t>
      </w:r>
      <w:r>
        <w:rPr>
          <w:lang w:eastAsia="en-AU"/>
        </w:rPr>
        <w:t>. In</w:t>
      </w:r>
      <w:r w:rsidRPr="003D66A2">
        <w:rPr>
          <w:lang w:eastAsia="en-AU"/>
        </w:rPr>
        <w:t xml:space="preserve"> some recent </w:t>
      </w:r>
      <w:r>
        <w:rPr>
          <w:lang w:eastAsia="en-AU"/>
        </w:rPr>
        <w:t>AECSP supported activities,</w:t>
      </w:r>
      <w:r w:rsidRPr="003D66A2">
        <w:rPr>
          <w:lang w:eastAsia="en-AU"/>
        </w:rPr>
        <w:t xml:space="preserve"> </w:t>
      </w:r>
      <w:r>
        <w:rPr>
          <w:lang w:eastAsia="en-AU"/>
        </w:rPr>
        <w:t xml:space="preserve">no </w:t>
      </w:r>
      <w:r w:rsidRPr="003D66A2">
        <w:rPr>
          <w:lang w:eastAsia="en-AU"/>
        </w:rPr>
        <w:t xml:space="preserve">ASEAN Secretariat officials with the relevant expertise </w:t>
      </w:r>
      <w:r>
        <w:rPr>
          <w:lang w:eastAsia="en-AU"/>
        </w:rPr>
        <w:t xml:space="preserve">were made available </w:t>
      </w:r>
      <w:r w:rsidRPr="003D66A2">
        <w:rPr>
          <w:lang w:eastAsia="en-AU"/>
        </w:rPr>
        <w:t xml:space="preserve">to support </w:t>
      </w:r>
      <w:r w:rsidR="006A57D9">
        <w:rPr>
          <w:lang w:eastAsia="en-AU"/>
        </w:rPr>
        <w:t xml:space="preserve">Economic Cooperation Work Program </w:t>
      </w:r>
      <w:r>
        <w:rPr>
          <w:lang w:eastAsia="en-AU"/>
        </w:rPr>
        <w:t>activities, resulting in suboptimal outcomes from AECSP investments</w:t>
      </w:r>
      <w:r w:rsidRPr="003D66A2">
        <w:rPr>
          <w:lang w:eastAsia="en-AU"/>
        </w:rPr>
        <w:t>.</w:t>
      </w:r>
      <w:r>
        <w:rPr>
          <w:lang w:eastAsia="en-AU"/>
        </w:rPr>
        <w:t xml:space="preserve"> </w:t>
      </w:r>
    </w:p>
    <w:p w14:paraId="7672A35C" w14:textId="1402425D" w:rsidR="00530BA8" w:rsidRPr="002915C2" w:rsidRDefault="00530BA8" w:rsidP="00546E38">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rsidR="00FA23AA">
        <w:rPr>
          <w:lang w:val="en-US" w:eastAsia="en-AU"/>
        </w:rPr>
        <w:t xml:space="preserve">ASEAN </w:t>
      </w:r>
      <w:r w:rsidR="00546E38">
        <w:rPr>
          <w:lang w:val="en-US" w:eastAsia="en-AU"/>
        </w:rPr>
        <w:t xml:space="preserve">Secretariat </w:t>
      </w:r>
      <w:r w:rsidRPr="001750DE">
        <w:rPr>
          <w:lang w:val="en-US" w:eastAsia="en-AU"/>
        </w:rPr>
        <w:t xml:space="preserve">leadership </w:t>
      </w:r>
      <w:r w:rsidR="00546E38">
        <w:rPr>
          <w:lang w:val="en-US" w:eastAsia="en-AU"/>
        </w:rPr>
        <w:t xml:space="preserve">has </w:t>
      </w:r>
      <w:r w:rsidRPr="001750DE">
        <w:rPr>
          <w:lang w:val="en-US" w:eastAsia="en-AU"/>
        </w:rPr>
        <w:t>noted that while the F</w:t>
      </w:r>
      <w:r w:rsidR="00546E38">
        <w:rPr>
          <w:lang w:val="en-US" w:eastAsia="en-AU"/>
        </w:rPr>
        <w:t xml:space="preserve">ree Trade Agreement Joint Committee </w:t>
      </w:r>
      <w:r w:rsidRPr="001750DE">
        <w:rPr>
          <w:lang w:val="en-US" w:eastAsia="en-AU"/>
        </w:rPr>
        <w:t xml:space="preserve">is responsible for deciding </w:t>
      </w:r>
      <w:r w:rsidR="00546E38" w:rsidRPr="00546E38">
        <w:rPr>
          <w:lang w:eastAsia="en-AU"/>
        </w:rPr>
        <w:t xml:space="preserve">AANZFTA Support Unit </w:t>
      </w:r>
      <w:r w:rsidRPr="001750DE">
        <w:rPr>
          <w:lang w:val="en-US" w:eastAsia="en-AU"/>
        </w:rPr>
        <w:t xml:space="preserve">work priorities, </w:t>
      </w:r>
      <w:r w:rsidR="00546E38">
        <w:rPr>
          <w:lang w:val="en-US" w:eastAsia="en-AU"/>
        </w:rPr>
        <w:t xml:space="preserve">the secretariat </w:t>
      </w:r>
      <w:r w:rsidRPr="001750DE">
        <w:rPr>
          <w:lang w:val="en-US" w:eastAsia="en-AU"/>
        </w:rPr>
        <w:t xml:space="preserve">remains accountable for effective use of all </w:t>
      </w:r>
      <w:r w:rsidR="00A565EE">
        <w:rPr>
          <w:lang w:val="en-US" w:eastAsia="en-AU"/>
        </w:rPr>
        <w:t xml:space="preserve">the </w:t>
      </w:r>
      <w:r w:rsidRPr="001750DE">
        <w:rPr>
          <w:lang w:val="en-US" w:eastAsia="en-AU"/>
        </w:rPr>
        <w:t xml:space="preserve">resources </w:t>
      </w:r>
      <w:r w:rsidR="00546E38">
        <w:rPr>
          <w:lang w:val="en-US" w:eastAsia="en-AU"/>
        </w:rPr>
        <w:t xml:space="preserve">it </w:t>
      </w:r>
      <w:r w:rsidRPr="001750DE">
        <w:rPr>
          <w:lang w:val="en-US" w:eastAsia="en-AU"/>
        </w:rPr>
        <w:t>implement</w:t>
      </w:r>
      <w:r w:rsidR="00546E38">
        <w:rPr>
          <w:lang w:val="en-US" w:eastAsia="en-AU"/>
        </w:rPr>
        <w:t>s</w:t>
      </w:r>
      <w:r w:rsidRPr="001750DE">
        <w:rPr>
          <w:lang w:val="en-US" w:eastAsia="en-AU"/>
        </w:rPr>
        <w:t xml:space="preserve"> and is committed to ensuring </w:t>
      </w:r>
      <w:r w:rsidR="00A565EE">
        <w:rPr>
          <w:lang w:val="en-US" w:eastAsia="en-AU"/>
        </w:rPr>
        <w:t xml:space="preserve">that </w:t>
      </w:r>
      <w:r w:rsidR="00546E38">
        <w:rPr>
          <w:lang w:val="en-US" w:eastAsia="en-AU"/>
        </w:rPr>
        <w:t>these</w:t>
      </w:r>
      <w:r w:rsidR="00546E38" w:rsidRPr="001750DE">
        <w:rPr>
          <w:lang w:val="en-US" w:eastAsia="en-AU"/>
        </w:rPr>
        <w:t xml:space="preserve"> </w:t>
      </w:r>
      <w:r w:rsidRPr="001750DE">
        <w:rPr>
          <w:lang w:val="en-US" w:eastAsia="en-AU"/>
        </w:rPr>
        <w:t xml:space="preserve">are used efficiently, effectively and transparently. </w:t>
      </w:r>
      <w:r w:rsidRPr="001750DE">
        <w:rPr>
          <w:lang w:val="en-US" w:eastAsia="en-AU"/>
        </w:rPr>
        <w:lastRenderedPageBreak/>
        <w:t xml:space="preserve">Recent </w:t>
      </w:r>
      <w:r w:rsidR="00FA23AA">
        <w:rPr>
          <w:lang w:val="en-US" w:eastAsia="en-AU"/>
        </w:rPr>
        <w:t xml:space="preserve">ASEAN </w:t>
      </w:r>
      <w:r w:rsidR="00546E38">
        <w:rPr>
          <w:lang w:val="en-US" w:eastAsia="en-AU"/>
        </w:rPr>
        <w:t xml:space="preserve">Secretariat </w:t>
      </w:r>
      <w:r w:rsidRPr="001750DE">
        <w:rPr>
          <w:lang w:val="en-US" w:eastAsia="en-AU"/>
        </w:rPr>
        <w:t>leadership concerns about the relevance of AECSP activities may simply reflect a need for regular dialogue on strategic AECSP related issues, and</w:t>
      </w:r>
      <w:r w:rsidR="00A565EE">
        <w:rPr>
          <w:lang w:val="en-US" w:eastAsia="en-AU"/>
        </w:rPr>
        <w:t xml:space="preserve"> for </w:t>
      </w:r>
      <w:r w:rsidR="00A565EE" w:rsidRPr="001750DE">
        <w:rPr>
          <w:lang w:val="en-US" w:eastAsia="en-AU"/>
        </w:rPr>
        <w:t xml:space="preserve">the relevance and benefits of AECSP activities </w:t>
      </w:r>
      <w:r w:rsidRPr="001750DE">
        <w:rPr>
          <w:lang w:val="en-US" w:eastAsia="en-AU"/>
        </w:rPr>
        <w:t xml:space="preserve">to </w:t>
      </w:r>
      <w:r w:rsidR="00A565EE">
        <w:rPr>
          <w:lang w:val="en-US" w:eastAsia="en-AU"/>
        </w:rPr>
        <w:t xml:space="preserve">be </w:t>
      </w:r>
      <w:r w:rsidRPr="001750DE">
        <w:rPr>
          <w:lang w:val="en-US" w:eastAsia="en-AU"/>
        </w:rPr>
        <w:t>better communicate</w:t>
      </w:r>
      <w:r w:rsidR="00A565EE">
        <w:rPr>
          <w:lang w:val="en-US" w:eastAsia="en-AU"/>
        </w:rPr>
        <w:t>d</w:t>
      </w:r>
      <w:r w:rsidRPr="001750DE">
        <w:rPr>
          <w:lang w:val="en-US" w:eastAsia="en-AU"/>
        </w:rPr>
        <w:t xml:space="preserve">. The delegation of AECSP management to AusAID’s Jakarta office could help facilitate more regular direct contact between </w:t>
      </w:r>
      <w:r w:rsidR="00FA23AA">
        <w:rPr>
          <w:lang w:val="en-US" w:eastAsia="en-AU"/>
        </w:rPr>
        <w:t xml:space="preserve">ASEAN </w:t>
      </w:r>
      <w:r w:rsidR="00546E38">
        <w:rPr>
          <w:lang w:val="en-US" w:eastAsia="en-AU"/>
        </w:rPr>
        <w:t>Secretariat</w:t>
      </w:r>
      <w:r w:rsidR="00546E38" w:rsidRPr="001750DE">
        <w:rPr>
          <w:lang w:val="en-US" w:eastAsia="en-AU"/>
        </w:rPr>
        <w:t xml:space="preserve"> </w:t>
      </w:r>
      <w:r w:rsidRPr="001750DE">
        <w:rPr>
          <w:lang w:val="en-US" w:eastAsia="en-AU"/>
        </w:rPr>
        <w:t>leadership and other AECSP stakeholders.</w:t>
      </w:r>
    </w:p>
    <w:p w14:paraId="26F204F9" w14:textId="77777777" w:rsidR="00530BA8" w:rsidRPr="002915C2" w:rsidRDefault="00530BA8" w:rsidP="00530BA8">
      <w:pPr>
        <w:pStyle w:val="Heading3"/>
        <w:rPr>
          <w:lang w:eastAsia="en-AU"/>
        </w:rPr>
      </w:pPr>
      <w:r w:rsidRPr="00DD2398">
        <w:t>Effectiveness</w:t>
      </w:r>
    </w:p>
    <w:p w14:paraId="2DB5845F" w14:textId="7C0774C9" w:rsidR="00530BA8" w:rsidRDefault="00530BA8" w:rsidP="006A57D9">
      <w:pPr>
        <w:ind w:left="426" w:hanging="426"/>
        <w:rPr>
          <w:i/>
          <w:lang w:val="en-US"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t>The AECSP design and implementation arrangements</w:t>
      </w:r>
      <w:r w:rsidRPr="008400CB">
        <w:rPr>
          <w:lang w:eastAsia="en-AU"/>
        </w:rPr>
        <w:t xml:space="preserve"> </w:t>
      </w:r>
      <w:r>
        <w:rPr>
          <w:lang w:eastAsia="en-AU"/>
        </w:rPr>
        <w:t>are generally consistent with good practices for aid effectiveness</w:t>
      </w:r>
      <w:r w:rsidR="006A57D9">
        <w:rPr>
          <w:lang w:eastAsia="en-AU"/>
        </w:rPr>
        <w:t>.</w:t>
      </w:r>
      <w:r>
        <w:rPr>
          <w:rStyle w:val="FootnoteReference"/>
          <w:lang w:eastAsia="en-AU"/>
        </w:rPr>
        <w:footnoteReference w:id="18"/>
      </w:r>
      <w:r>
        <w:rPr>
          <w:lang w:eastAsia="en-AU"/>
        </w:rPr>
        <w:t xml:space="preserve"> </w:t>
      </w:r>
      <w:r w:rsidRPr="002915C2">
        <w:rPr>
          <w:lang w:eastAsia="en-AU"/>
        </w:rPr>
        <w:t xml:space="preserve">After a slow start, AECSP is beginning to </w:t>
      </w:r>
      <w:r>
        <w:rPr>
          <w:lang w:eastAsia="en-AU"/>
        </w:rPr>
        <w:t>deliver tangible and useful outputs</w:t>
      </w:r>
      <w:r w:rsidRPr="006234CA">
        <w:rPr>
          <w:lang w:eastAsia="en-AU"/>
        </w:rPr>
        <w:t xml:space="preserve"> </w:t>
      </w:r>
      <w:r>
        <w:rPr>
          <w:lang w:eastAsia="en-AU"/>
        </w:rPr>
        <w:t xml:space="preserve">including </w:t>
      </w:r>
      <w:r w:rsidR="006A57D9">
        <w:rPr>
          <w:lang w:eastAsia="en-AU"/>
        </w:rPr>
        <w:t xml:space="preserve">those </w:t>
      </w:r>
      <w:r>
        <w:rPr>
          <w:lang w:eastAsia="en-AU"/>
        </w:rPr>
        <w:t xml:space="preserve">related to </w:t>
      </w:r>
      <w:r w:rsidRPr="00491D6E">
        <w:rPr>
          <w:lang w:eastAsia="en-AU"/>
        </w:rPr>
        <w:t xml:space="preserve">goods (including </w:t>
      </w:r>
      <w:r w:rsidR="006A57D9">
        <w:rPr>
          <w:lang w:eastAsia="en-AU"/>
        </w:rPr>
        <w:t xml:space="preserve">rules of origins </w:t>
      </w:r>
      <w:r w:rsidRPr="00491D6E">
        <w:rPr>
          <w:lang w:eastAsia="en-AU"/>
        </w:rPr>
        <w:t xml:space="preserve">and standards), </w:t>
      </w:r>
      <w:r w:rsidRPr="002915C2">
        <w:rPr>
          <w:lang w:eastAsia="en-AU"/>
        </w:rPr>
        <w:t>intellectual property and competition policy</w:t>
      </w:r>
      <w:r w:rsidR="006A57D9">
        <w:rPr>
          <w:lang w:eastAsia="en-AU"/>
        </w:rPr>
        <w:t>.</w:t>
      </w:r>
      <w:r>
        <w:rPr>
          <w:rStyle w:val="FootnoteReference"/>
          <w:lang w:eastAsia="en-AU"/>
        </w:rPr>
        <w:t xml:space="preserve"> </w:t>
      </w:r>
      <w:r>
        <w:rPr>
          <w:rStyle w:val="FootnoteReference"/>
          <w:lang w:eastAsia="en-AU"/>
        </w:rPr>
        <w:footnoteReference w:id="19"/>
      </w:r>
      <w:r>
        <w:rPr>
          <w:lang w:eastAsia="en-AU"/>
        </w:rPr>
        <w:t xml:space="preserve"> There is also growing demand </w:t>
      </w:r>
      <w:r w:rsidR="006A57D9">
        <w:rPr>
          <w:lang w:eastAsia="en-AU"/>
        </w:rPr>
        <w:t xml:space="preserve">for </w:t>
      </w:r>
      <w:r>
        <w:rPr>
          <w:lang w:eastAsia="en-AU"/>
        </w:rPr>
        <w:t xml:space="preserve">support in investment and services related areas. </w:t>
      </w:r>
      <w:r w:rsidRPr="002915C2">
        <w:rPr>
          <w:lang w:eastAsia="en-AU"/>
        </w:rPr>
        <w:t xml:space="preserve">Strong </w:t>
      </w:r>
      <w:r>
        <w:rPr>
          <w:lang w:eastAsia="en-AU"/>
        </w:rPr>
        <w:t>commitment and support</w:t>
      </w:r>
      <w:r w:rsidRPr="002915C2">
        <w:rPr>
          <w:lang w:eastAsia="en-AU"/>
        </w:rPr>
        <w:t xml:space="preserve"> from the </w:t>
      </w:r>
      <w:r w:rsidR="006A57D9">
        <w:rPr>
          <w:lang w:eastAsia="en-AU"/>
        </w:rPr>
        <w:t>Free Trade Agreement Joint Committee</w:t>
      </w:r>
      <w:r w:rsidRPr="002915C2">
        <w:rPr>
          <w:lang w:eastAsia="en-AU"/>
        </w:rPr>
        <w:t xml:space="preserve">, </w:t>
      </w:r>
      <w:r w:rsidR="006A57D9">
        <w:rPr>
          <w:lang w:eastAsia="en-AU"/>
        </w:rPr>
        <w:t xml:space="preserve">the </w:t>
      </w:r>
      <w:r w:rsidR="006A57D9" w:rsidRPr="006A57D9">
        <w:rPr>
          <w:lang w:eastAsia="en-AU"/>
        </w:rPr>
        <w:t xml:space="preserve">AANZFTA Support Unit </w:t>
      </w:r>
      <w:r w:rsidRPr="002915C2">
        <w:rPr>
          <w:lang w:eastAsia="en-AU"/>
        </w:rPr>
        <w:t xml:space="preserve">and sectoral departments of </w:t>
      </w:r>
      <w:r w:rsidR="006A57D9">
        <w:rPr>
          <w:lang w:eastAsia="en-AU"/>
        </w:rPr>
        <w:t xml:space="preserve">the </w:t>
      </w:r>
      <w:r w:rsidR="00FA23AA">
        <w:rPr>
          <w:lang w:eastAsia="en-AU"/>
        </w:rPr>
        <w:t xml:space="preserve">ASEAN </w:t>
      </w:r>
      <w:r w:rsidR="006A57D9">
        <w:rPr>
          <w:lang w:eastAsia="en-AU"/>
        </w:rPr>
        <w:t>Secretariat</w:t>
      </w:r>
      <w:r w:rsidR="006A57D9" w:rsidRPr="002915C2">
        <w:rPr>
          <w:lang w:eastAsia="en-AU"/>
        </w:rPr>
        <w:t xml:space="preserve"> </w:t>
      </w:r>
      <w:r w:rsidRPr="002915C2">
        <w:rPr>
          <w:lang w:eastAsia="en-AU"/>
        </w:rPr>
        <w:t>have</w:t>
      </w:r>
      <w:r>
        <w:rPr>
          <w:lang w:eastAsia="en-AU"/>
        </w:rPr>
        <w:t xml:space="preserve"> been</w:t>
      </w:r>
      <w:r w:rsidRPr="002915C2">
        <w:rPr>
          <w:lang w:eastAsia="en-AU"/>
        </w:rPr>
        <w:t xml:space="preserve"> critical to succe</w:t>
      </w:r>
      <w:r>
        <w:rPr>
          <w:lang w:eastAsia="en-AU"/>
        </w:rPr>
        <w:t>ss in pushing forward</w:t>
      </w:r>
      <w:r w:rsidRPr="002915C2">
        <w:rPr>
          <w:lang w:eastAsia="en-AU"/>
        </w:rPr>
        <w:t xml:space="preserve"> implementation. </w:t>
      </w:r>
      <w:r>
        <w:t xml:space="preserve">The Chair of the </w:t>
      </w:r>
      <w:r w:rsidR="006A57D9">
        <w:rPr>
          <w:lang w:eastAsia="en-AU"/>
        </w:rPr>
        <w:t xml:space="preserve">Free Trade Agreement Joint Committee </w:t>
      </w:r>
      <w:r>
        <w:t xml:space="preserve">noted that </w:t>
      </w:r>
      <w:r w:rsidRPr="00BD1D6E">
        <w:rPr>
          <w:i/>
        </w:rPr>
        <w:t>“</w:t>
      </w:r>
      <w:r w:rsidRPr="00BD1D6E">
        <w:rPr>
          <w:i/>
          <w:lang w:val="en-US" w:eastAsia="en-AU"/>
        </w:rPr>
        <w:t xml:space="preserve">AECSP has been of tremendous value to ASEAN, and it is a program that we in ASEAN are trying </w:t>
      </w:r>
      <w:r>
        <w:rPr>
          <w:i/>
          <w:lang w:val="en-US" w:eastAsia="en-AU"/>
        </w:rPr>
        <w:t xml:space="preserve">to emulate under our other </w:t>
      </w:r>
      <w:r w:rsidR="006A57D9">
        <w:rPr>
          <w:i/>
          <w:lang w:val="en-US" w:eastAsia="en-AU"/>
        </w:rPr>
        <w:t>free trade agreements</w:t>
      </w:r>
      <w:r w:rsidRPr="00BD1D6E">
        <w:rPr>
          <w:i/>
          <w:lang w:val="en-US" w:eastAsia="en-AU"/>
        </w:rPr>
        <w:t>”</w:t>
      </w:r>
      <w:r w:rsidR="00004F96">
        <w:rPr>
          <w:i/>
          <w:lang w:val="en-US" w:eastAsia="en-AU"/>
        </w:rPr>
        <w:t>.</w:t>
      </w:r>
      <w:r>
        <w:rPr>
          <w:rStyle w:val="FootnoteReference"/>
          <w:i/>
          <w:lang w:val="en-US" w:eastAsia="en-AU"/>
        </w:rPr>
        <w:footnoteReference w:id="20"/>
      </w:r>
    </w:p>
    <w:p w14:paraId="27A40808" w14:textId="77777777" w:rsidR="00530BA8" w:rsidRDefault="00530BA8" w:rsidP="006A57D9">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t>AECSP resources have been used to fund:</w:t>
      </w:r>
    </w:p>
    <w:p w14:paraId="5AD4D460" w14:textId="28980284" w:rsidR="00530BA8" w:rsidRPr="00BA6AAB" w:rsidRDefault="006A57D9" w:rsidP="00530BA8">
      <w:pPr>
        <w:pStyle w:val="List2"/>
        <w:numPr>
          <w:ilvl w:val="0"/>
          <w:numId w:val="50"/>
        </w:numPr>
        <w:rPr>
          <w:lang w:eastAsia="en-AU"/>
        </w:rPr>
      </w:pPr>
      <w:r>
        <w:rPr>
          <w:lang w:eastAsia="en-AU"/>
        </w:rPr>
        <w:t>28</w:t>
      </w:r>
      <w:r w:rsidR="00530BA8" w:rsidRPr="00BA6AAB">
        <w:rPr>
          <w:lang w:eastAsia="en-AU"/>
        </w:rPr>
        <w:t xml:space="preserve"> </w:t>
      </w:r>
      <w:r>
        <w:rPr>
          <w:lang w:eastAsia="en-AU"/>
        </w:rPr>
        <w:t xml:space="preserve">Economic Cooperation Work Program </w:t>
      </w:r>
      <w:r w:rsidR="00530BA8" w:rsidRPr="00BA6AAB">
        <w:rPr>
          <w:lang w:eastAsia="en-AU"/>
        </w:rPr>
        <w:t xml:space="preserve">activities in </w:t>
      </w:r>
      <w:r>
        <w:rPr>
          <w:lang w:eastAsia="en-AU"/>
        </w:rPr>
        <w:t>g</w:t>
      </w:r>
      <w:r w:rsidR="00530BA8" w:rsidRPr="00BA6AAB">
        <w:rPr>
          <w:lang w:eastAsia="en-AU"/>
        </w:rPr>
        <w:t>oods (12</w:t>
      </w:r>
      <w:r w:rsidRPr="00BA6AAB">
        <w:rPr>
          <w:lang w:eastAsia="en-AU"/>
        </w:rPr>
        <w:t>)</w:t>
      </w:r>
      <w:r>
        <w:rPr>
          <w:lang w:eastAsia="en-AU"/>
        </w:rPr>
        <w:t>,</w:t>
      </w:r>
      <w:r w:rsidRPr="00BA6AAB">
        <w:rPr>
          <w:lang w:eastAsia="en-AU"/>
        </w:rPr>
        <w:t xml:space="preserve"> </w:t>
      </w:r>
      <w:r>
        <w:rPr>
          <w:lang w:eastAsia="en-AU"/>
        </w:rPr>
        <w:t>s</w:t>
      </w:r>
      <w:r w:rsidRPr="00BA6AAB">
        <w:rPr>
          <w:lang w:eastAsia="en-AU"/>
        </w:rPr>
        <w:t xml:space="preserve">ervices </w:t>
      </w:r>
      <w:r w:rsidR="00530BA8" w:rsidRPr="00BA6AAB">
        <w:rPr>
          <w:lang w:eastAsia="en-AU"/>
        </w:rPr>
        <w:t>(</w:t>
      </w:r>
      <w:r w:rsidR="00DD2398">
        <w:rPr>
          <w:lang w:eastAsia="en-AU"/>
        </w:rPr>
        <w:t>four</w:t>
      </w:r>
      <w:r w:rsidR="00530BA8" w:rsidRPr="00BA6AAB">
        <w:rPr>
          <w:lang w:eastAsia="en-AU"/>
        </w:rPr>
        <w:t>)</w:t>
      </w:r>
      <w:r>
        <w:rPr>
          <w:lang w:eastAsia="en-AU"/>
        </w:rPr>
        <w:t>, i</w:t>
      </w:r>
      <w:r w:rsidR="00530BA8" w:rsidRPr="00BA6AAB">
        <w:rPr>
          <w:lang w:eastAsia="en-AU"/>
        </w:rPr>
        <w:t>nvestment (</w:t>
      </w:r>
      <w:r w:rsidR="00DD2398">
        <w:rPr>
          <w:lang w:eastAsia="en-AU"/>
        </w:rPr>
        <w:t>five</w:t>
      </w:r>
      <w:r w:rsidR="00530BA8" w:rsidRPr="00BA6AAB">
        <w:rPr>
          <w:lang w:eastAsia="en-AU"/>
        </w:rPr>
        <w:t>)</w:t>
      </w:r>
      <w:r>
        <w:rPr>
          <w:lang w:eastAsia="en-AU"/>
        </w:rPr>
        <w:t>,</w:t>
      </w:r>
      <w:r w:rsidR="00530BA8">
        <w:rPr>
          <w:rStyle w:val="FootnoteReference"/>
          <w:lang w:eastAsia="en-AU"/>
        </w:rPr>
        <w:footnoteReference w:id="21"/>
      </w:r>
      <w:r w:rsidR="00530BA8" w:rsidRPr="00BA6AAB">
        <w:rPr>
          <w:lang w:eastAsia="en-AU"/>
        </w:rPr>
        <w:t xml:space="preserve"> </w:t>
      </w:r>
      <w:r>
        <w:rPr>
          <w:lang w:eastAsia="en-AU"/>
        </w:rPr>
        <w:t>i</w:t>
      </w:r>
      <w:r w:rsidRPr="00BA6AAB">
        <w:rPr>
          <w:lang w:eastAsia="en-AU"/>
        </w:rPr>
        <w:t xml:space="preserve">ntellectual </w:t>
      </w:r>
      <w:r>
        <w:rPr>
          <w:lang w:eastAsia="en-AU"/>
        </w:rPr>
        <w:t>p</w:t>
      </w:r>
      <w:r w:rsidRPr="00BA6AAB">
        <w:rPr>
          <w:lang w:eastAsia="en-AU"/>
        </w:rPr>
        <w:t xml:space="preserve">roperty </w:t>
      </w:r>
      <w:r w:rsidR="00530BA8" w:rsidRPr="00BA6AAB">
        <w:rPr>
          <w:lang w:eastAsia="en-AU"/>
        </w:rPr>
        <w:t>(</w:t>
      </w:r>
      <w:r w:rsidR="00DD2398">
        <w:rPr>
          <w:lang w:eastAsia="en-AU"/>
        </w:rPr>
        <w:t>five</w:t>
      </w:r>
      <w:r w:rsidRPr="00BA6AAB">
        <w:rPr>
          <w:lang w:eastAsia="en-AU"/>
        </w:rPr>
        <w:t>)</w:t>
      </w:r>
      <w:r>
        <w:rPr>
          <w:lang w:eastAsia="en-AU"/>
        </w:rPr>
        <w:t>,</w:t>
      </w:r>
      <w:r w:rsidRPr="00BA6AAB">
        <w:rPr>
          <w:lang w:eastAsia="en-AU"/>
        </w:rPr>
        <w:t xml:space="preserve"> </w:t>
      </w:r>
      <w:r>
        <w:rPr>
          <w:lang w:eastAsia="en-AU"/>
        </w:rPr>
        <w:t>and competition</w:t>
      </w:r>
    </w:p>
    <w:p w14:paraId="31E44CEE" w14:textId="4EE15522" w:rsidR="00530BA8" w:rsidRPr="00BA6AAB" w:rsidRDefault="006A57D9" w:rsidP="00530BA8">
      <w:pPr>
        <w:pStyle w:val="List2"/>
        <w:numPr>
          <w:ilvl w:val="0"/>
          <w:numId w:val="50"/>
        </w:numPr>
        <w:rPr>
          <w:lang w:eastAsia="en-AU"/>
        </w:rPr>
      </w:pPr>
      <w:r>
        <w:rPr>
          <w:lang w:eastAsia="en-AU"/>
        </w:rPr>
        <w:t>nine</w:t>
      </w:r>
      <w:r w:rsidRPr="00BA6AAB">
        <w:rPr>
          <w:lang w:eastAsia="en-AU"/>
        </w:rPr>
        <w:t xml:space="preserve"> </w:t>
      </w:r>
      <w:r>
        <w:rPr>
          <w:lang w:eastAsia="en-AU"/>
        </w:rPr>
        <w:t>r</w:t>
      </w:r>
      <w:r w:rsidRPr="00BA6AAB">
        <w:rPr>
          <w:lang w:eastAsia="en-AU"/>
        </w:rPr>
        <w:t xml:space="preserve">apid </w:t>
      </w:r>
      <w:r>
        <w:rPr>
          <w:lang w:eastAsia="en-AU"/>
        </w:rPr>
        <w:t>r</w:t>
      </w:r>
      <w:r w:rsidRPr="00BA6AAB">
        <w:rPr>
          <w:lang w:eastAsia="en-AU"/>
        </w:rPr>
        <w:t xml:space="preserve">esponse </w:t>
      </w:r>
      <w:r>
        <w:rPr>
          <w:lang w:eastAsia="en-AU"/>
        </w:rPr>
        <w:t xml:space="preserve">activities </w:t>
      </w:r>
      <w:r w:rsidR="00530BA8" w:rsidRPr="00BA6AAB">
        <w:rPr>
          <w:lang w:eastAsia="en-AU"/>
        </w:rPr>
        <w:t xml:space="preserve">to meet urgent </w:t>
      </w:r>
      <w:r w:rsidR="00530BA8">
        <w:rPr>
          <w:lang w:eastAsia="en-AU"/>
        </w:rPr>
        <w:t xml:space="preserve">and relevant </w:t>
      </w:r>
      <w:r w:rsidR="00530BA8" w:rsidRPr="00BA6AAB">
        <w:rPr>
          <w:lang w:eastAsia="en-AU"/>
        </w:rPr>
        <w:t>requests for assistance from Cambodia, Lao PDR, the Philippines, Viet</w:t>
      </w:r>
      <w:r>
        <w:rPr>
          <w:lang w:eastAsia="en-AU"/>
        </w:rPr>
        <w:t>n</w:t>
      </w:r>
      <w:r w:rsidR="00530BA8">
        <w:rPr>
          <w:lang w:eastAsia="en-AU"/>
        </w:rPr>
        <w:t>am and Myanmar for trade in goods related support</w:t>
      </w:r>
      <w:r w:rsidR="00530BA8">
        <w:rPr>
          <w:rStyle w:val="FootnoteReference"/>
          <w:lang w:eastAsia="en-AU"/>
        </w:rPr>
        <w:footnoteReference w:id="22"/>
      </w:r>
    </w:p>
    <w:p w14:paraId="1E680913" w14:textId="0BFBC401" w:rsidR="00530BA8" w:rsidRDefault="006A57D9" w:rsidP="00530BA8">
      <w:pPr>
        <w:pStyle w:val="List2"/>
        <w:numPr>
          <w:ilvl w:val="0"/>
          <w:numId w:val="50"/>
        </w:numPr>
        <w:rPr>
          <w:lang w:eastAsia="en-AU"/>
        </w:rPr>
      </w:pPr>
      <w:r>
        <w:rPr>
          <w:lang w:eastAsia="en-AU"/>
        </w:rPr>
        <w:t>ru</w:t>
      </w:r>
      <w:r w:rsidRPr="00BA6AAB">
        <w:rPr>
          <w:lang w:eastAsia="en-AU"/>
        </w:rPr>
        <w:t xml:space="preserve">nning </w:t>
      </w:r>
      <w:r w:rsidR="00530BA8" w:rsidRPr="00BA6AAB">
        <w:rPr>
          <w:lang w:eastAsia="en-AU"/>
        </w:rPr>
        <w:t xml:space="preserve">expenses of the </w:t>
      </w:r>
      <w:r w:rsidRPr="006A57D9">
        <w:rPr>
          <w:lang w:eastAsia="en-AU"/>
        </w:rPr>
        <w:t>AANZFTA Support Unit</w:t>
      </w:r>
      <w:r w:rsidR="00530BA8" w:rsidRPr="00BA6AAB">
        <w:rPr>
          <w:lang w:eastAsia="en-AU"/>
        </w:rPr>
        <w:t xml:space="preserve">, which manages the </w:t>
      </w:r>
      <w:r w:rsidR="00546E38">
        <w:rPr>
          <w:lang w:eastAsia="en-AU"/>
        </w:rPr>
        <w:t>Economic Cooperation Work Program</w:t>
      </w:r>
      <w:r w:rsidR="00530BA8" w:rsidRPr="00BA6AAB">
        <w:rPr>
          <w:lang w:eastAsia="en-AU"/>
        </w:rPr>
        <w:t xml:space="preserve">, and comprises six staff (a program coordinator, two trade officers, two technical officers and a technical assistant). </w:t>
      </w:r>
    </w:p>
    <w:p w14:paraId="1830E3BD" w14:textId="337F90BF" w:rsidR="00530BA8" w:rsidRPr="00B70F0E" w:rsidRDefault="00530BA8" w:rsidP="00721EEA">
      <w:pPr>
        <w:ind w:left="426" w:hanging="426"/>
        <w:rPr>
          <w:lang w:val="en-US"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t xml:space="preserve">A </w:t>
      </w:r>
      <w:r>
        <w:rPr>
          <w:lang w:val="en-US" w:eastAsia="en-AU"/>
        </w:rPr>
        <w:t>F</w:t>
      </w:r>
      <w:r w:rsidR="00721EEA">
        <w:rPr>
          <w:lang w:val="en-US" w:eastAsia="en-AU"/>
        </w:rPr>
        <w:t xml:space="preserve">ree Trade Agreement </w:t>
      </w:r>
      <w:r>
        <w:rPr>
          <w:lang w:val="en-US" w:eastAsia="en-AU"/>
        </w:rPr>
        <w:t>J</w:t>
      </w:r>
      <w:r w:rsidR="00721EEA">
        <w:rPr>
          <w:lang w:val="en-US" w:eastAsia="en-AU"/>
        </w:rPr>
        <w:t xml:space="preserve">oint </w:t>
      </w:r>
      <w:r>
        <w:rPr>
          <w:lang w:val="en-US" w:eastAsia="en-AU"/>
        </w:rPr>
        <w:t>C</w:t>
      </w:r>
      <w:r w:rsidR="00721EEA">
        <w:rPr>
          <w:lang w:val="en-US" w:eastAsia="en-AU"/>
        </w:rPr>
        <w:t>ommittee</w:t>
      </w:r>
      <w:r>
        <w:rPr>
          <w:lang w:val="en-US" w:eastAsia="en-AU"/>
        </w:rPr>
        <w:t xml:space="preserve"> representative noted that training activities had</w:t>
      </w:r>
      <w:r w:rsidRPr="00B70F0E">
        <w:rPr>
          <w:lang w:val="en-US" w:eastAsia="en-AU"/>
        </w:rPr>
        <w:t xml:space="preserve"> </w:t>
      </w:r>
      <w:r>
        <w:rPr>
          <w:lang w:val="en-US" w:eastAsia="en-AU"/>
        </w:rPr>
        <w:t>“</w:t>
      </w:r>
      <w:r w:rsidRPr="000B639A">
        <w:rPr>
          <w:i/>
          <w:lang w:val="en-US" w:eastAsia="en-AU"/>
        </w:rPr>
        <w:t>increased ASEAN’s confidence to start addressing much of the agreement’s built-in agenda</w:t>
      </w:r>
      <w:r>
        <w:rPr>
          <w:lang w:val="en-US" w:eastAsia="en-AU"/>
        </w:rPr>
        <w:t>”, but also noted “</w:t>
      </w:r>
      <w:r w:rsidRPr="000B639A">
        <w:rPr>
          <w:i/>
          <w:lang w:val="en-US" w:eastAsia="en-AU"/>
        </w:rPr>
        <w:t>that there is still scope for better follow-up to specific activities, especially where the agreement’s built-in agenda is concerned</w:t>
      </w:r>
      <w:r>
        <w:rPr>
          <w:lang w:val="en-US" w:eastAsia="en-AU"/>
        </w:rPr>
        <w:t>”</w:t>
      </w:r>
      <w:r w:rsidR="00004F96">
        <w:rPr>
          <w:lang w:val="en-US" w:eastAsia="en-AU"/>
        </w:rPr>
        <w:t>.</w:t>
      </w:r>
      <w:r>
        <w:rPr>
          <w:rStyle w:val="FootnoteReference"/>
          <w:lang w:val="en-US" w:eastAsia="en-AU"/>
        </w:rPr>
        <w:footnoteReference w:id="23"/>
      </w:r>
      <w:r w:rsidRPr="00B70F0E">
        <w:rPr>
          <w:lang w:val="en-US" w:eastAsia="en-AU"/>
        </w:rPr>
        <w:t xml:space="preserve"> </w:t>
      </w:r>
      <w:r>
        <w:rPr>
          <w:lang w:val="en-US" w:eastAsia="en-AU"/>
        </w:rPr>
        <w:t>Another representative suggested AECSP should explore opportunities to work with other donor programs to strengthen</w:t>
      </w:r>
      <w:r w:rsidRPr="00D84D07">
        <w:rPr>
          <w:lang w:val="en-US" w:eastAsia="en-AU"/>
        </w:rPr>
        <w:t xml:space="preserve"> </w:t>
      </w:r>
      <w:r>
        <w:rPr>
          <w:lang w:val="en-US" w:eastAsia="en-AU"/>
        </w:rPr>
        <w:t>country level institutions</w:t>
      </w:r>
      <w:r w:rsidRPr="00D84D07">
        <w:rPr>
          <w:lang w:val="en-US" w:eastAsia="en-AU"/>
        </w:rPr>
        <w:t xml:space="preserve"> </w:t>
      </w:r>
      <w:r>
        <w:rPr>
          <w:lang w:val="en-US" w:eastAsia="en-AU"/>
        </w:rPr>
        <w:t xml:space="preserve">and </w:t>
      </w:r>
      <w:r w:rsidRPr="00D84D07">
        <w:rPr>
          <w:lang w:val="en-US" w:eastAsia="en-AU"/>
        </w:rPr>
        <w:t>information dissemination</w:t>
      </w:r>
      <w:r w:rsidR="00721EEA">
        <w:rPr>
          <w:lang w:val="en-US" w:eastAsia="en-AU"/>
        </w:rPr>
        <w:t>.</w:t>
      </w:r>
      <w:r>
        <w:rPr>
          <w:rStyle w:val="FootnoteReference"/>
          <w:lang w:val="en-US" w:eastAsia="en-AU"/>
        </w:rPr>
        <w:footnoteReference w:id="24"/>
      </w:r>
    </w:p>
    <w:p w14:paraId="269D883A" w14:textId="35B763F5" w:rsidR="00530BA8" w:rsidRDefault="00530BA8" w:rsidP="00721EEA">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t xml:space="preserve">The </w:t>
      </w:r>
      <w:r w:rsidR="00721EEA" w:rsidRPr="006A57D9">
        <w:rPr>
          <w:lang w:eastAsia="en-AU"/>
        </w:rPr>
        <w:t>AANZFTA Support Unit</w:t>
      </w:r>
      <w:r w:rsidR="00721EEA">
        <w:rPr>
          <w:lang w:eastAsia="en-AU"/>
        </w:rPr>
        <w:t xml:space="preserve"> </w:t>
      </w:r>
      <w:r w:rsidRPr="002915C2">
        <w:rPr>
          <w:lang w:eastAsia="en-AU"/>
        </w:rPr>
        <w:t xml:space="preserve">played an important role in </w:t>
      </w:r>
      <w:r>
        <w:rPr>
          <w:lang w:eastAsia="en-AU"/>
        </w:rPr>
        <w:t xml:space="preserve">developing, </w:t>
      </w:r>
      <w:r w:rsidRPr="002915C2">
        <w:rPr>
          <w:lang w:eastAsia="en-AU"/>
        </w:rPr>
        <w:t xml:space="preserve">processing </w:t>
      </w:r>
      <w:r>
        <w:rPr>
          <w:lang w:eastAsia="en-AU"/>
        </w:rPr>
        <w:t xml:space="preserve">and implementing </w:t>
      </w:r>
      <w:r w:rsidRPr="002915C2">
        <w:rPr>
          <w:lang w:eastAsia="en-AU"/>
        </w:rPr>
        <w:t xml:space="preserve">proposals. </w:t>
      </w:r>
      <w:r>
        <w:rPr>
          <w:lang w:eastAsia="en-AU"/>
        </w:rPr>
        <w:t xml:space="preserve">Transaction costs have been </w:t>
      </w:r>
      <w:r w:rsidR="00721EEA">
        <w:rPr>
          <w:lang w:eastAsia="en-AU"/>
        </w:rPr>
        <w:t xml:space="preserve">minimised </w:t>
      </w:r>
      <w:r>
        <w:rPr>
          <w:lang w:eastAsia="en-AU"/>
        </w:rPr>
        <w:t xml:space="preserve">with effective support from the </w:t>
      </w:r>
      <w:r w:rsidR="00721EEA">
        <w:rPr>
          <w:lang w:eastAsia="en-AU"/>
        </w:rPr>
        <w:t xml:space="preserve">unit </w:t>
      </w:r>
      <w:r>
        <w:rPr>
          <w:lang w:eastAsia="en-AU"/>
        </w:rPr>
        <w:t xml:space="preserve">and </w:t>
      </w:r>
      <w:r w:rsidR="00FA23AA">
        <w:rPr>
          <w:lang w:eastAsia="en-AU"/>
        </w:rPr>
        <w:t xml:space="preserve">ASEAN </w:t>
      </w:r>
      <w:r w:rsidR="00721EEA">
        <w:rPr>
          <w:lang w:eastAsia="en-AU"/>
        </w:rPr>
        <w:t xml:space="preserve">Secretariat </w:t>
      </w:r>
      <w:r>
        <w:rPr>
          <w:lang w:eastAsia="en-AU"/>
        </w:rPr>
        <w:t xml:space="preserve">in coordinating events to coincide with other </w:t>
      </w:r>
      <w:r>
        <w:rPr>
          <w:lang w:eastAsia="en-AU"/>
        </w:rPr>
        <w:lastRenderedPageBreak/>
        <w:t xml:space="preserve">regional meetings and activities, and strong </w:t>
      </w:r>
      <w:r w:rsidR="00721EEA">
        <w:rPr>
          <w:lang w:eastAsia="en-AU"/>
        </w:rPr>
        <w:t>whole-of-</w:t>
      </w:r>
      <w:r>
        <w:rPr>
          <w:lang w:eastAsia="en-AU"/>
        </w:rPr>
        <w:t xml:space="preserve">government support for core activities. Collaboration with other donor funded </w:t>
      </w:r>
      <w:r w:rsidR="00FA23AA">
        <w:rPr>
          <w:lang w:eastAsia="en-AU"/>
        </w:rPr>
        <w:t xml:space="preserve">ASEAN </w:t>
      </w:r>
      <w:r w:rsidR="00721EEA">
        <w:rPr>
          <w:lang w:eastAsia="en-AU"/>
        </w:rPr>
        <w:t xml:space="preserve">Secretariat </w:t>
      </w:r>
      <w:r>
        <w:rPr>
          <w:lang w:eastAsia="en-AU"/>
        </w:rPr>
        <w:t>projects</w:t>
      </w:r>
      <w:r>
        <w:rPr>
          <w:rStyle w:val="FootnoteReference"/>
          <w:lang w:eastAsia="en-AU"/>
        </w:rPr>
        <w:footnoteReference w:id="25"/>
      </w:r>
      <w:r>
        <w:rPr>
          <w:lang w:eastAsia="en-AU"/>
        </w:rPr>
        <w:t xml:space="preserve"> could further help improve efficiency and effectiveness. The Brunei representatives noted that the </w:t>
      </w:r>
      <w:r w:rsidR="00721EEA" w:rsidRPr="006A57D9">
        <w:rPr>
          <w:lang w:eastAsia="en-AU"/>
        </w:rPr>
        <w:t>AANZFTA Support Unit</w:t>
      </w:r>
      <w:r w:rsidR="00721EEA">
        <w:rPr>
          <w:lang w:eastAsia="en-AU"/>
        </w:rPr>
        <w:t xml:space="preserve"> </w:t>
      </w:r>
      <w:r>
        <w:rPr>
          <w:lang w:val="en-US" w:eastAsia="en-AU"/>
        </w:rPr>
        <w:t>“</w:t>
      </w:r>
      <w:r w:rsidRPr="00BD1D6E">
        <w:rPr>
          <w:i/>
          <w:lang w:val="en-US" w:eastAsia="en-AU"/>
        </w:rPr>
        <w:t xml:space="preserve">has ensured that attention has been given to follow-up work under the agreement itself, </w:t>
      </w:r>
      <w:r w:rsidR="00721EEA">
        <w:rPr>
          <w:i/>
          <w:lang w:val="en-US" w:eastAsia="en-AU"/>
        </w:rPr>
        <w:t>and</w:t>
      </w:r>
      <w:r w:rsidRPr="00BD1D6E">
        <w:rPr>
          <w:i/>
          <w:lang w:val="en-US" w:eastAsia="en-AU"/>
        </w:rPr>
        <w:t xml:space="preserve"> has been vital to identifying, monitoring and evaluating the success of cooperation activities. Without them, it is likely that implementation of activities and follow-up work would have taken a lot longer to complete</w:t>
      </w:r>
      <w:r>
        <w:rPr>
          <w:lang w:val="en-US" w:eastAsia="en-AU"/>
        </w:rPr>
        <w:t>”</w:t>
      </w:r>
      <w:r w:rsidR="00004F96">
        <w:rPr>
          <w:lang w:val="en-US" w:eastAsia="en-AU"/>
        </w:rPr>
        <w:t>.</w:t>
      </w:r>
      <w:r>
        <w:rPr>
          <w:rStyle w:val="FootnoteReference"/>
          <w:lang w:val="en-US" w:eastAsia="en-AU"/>
        </w:rPr>
        <w:footnoteReference w:id="26"/>
      </w:r>
    </w:p>
    <w:p w14:paraId="047FE640" w14:textId="03F6237F" w:rsidR="00530BA8" w:rsidRPr="00152D69" w:rsidRDefault="00530BA8" w:rsidP="00991641">
      <w:pPr>
        <w:ind w:left="426" w:hanging="426"/>
        <w:rPr>
          <w:lang w:val="en-US"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Progress in implementing activities related to communication, outreach efforts</w:t>
      </w:r>
      <w:r>
        <w:rPr>
          <w:lang w:eastAsia="en-AU"/>
        </w:rPr>
        <w:t xml:space="preserve"> and engaging with the business community</w:t>
      </w:r>
      <w:r w:rsidR="00991641">
        <w:rPr>
          <w:lang w:eastAsia="en-AU"/>
        </w:rPr>
        <w:t>,</w:t>
      </w:r>
      <w:r>
        <w:rPr>
          <w:rStyle w:val="FootnoteReference"/>
          <w:lang w:eastAsia="en-AU"/>
        </w:rPr>
        <w:footnoteReference w:id="27"/>
      </w:r>
      <w:r w:rsidRPr="002915C2">
        <w:rPr>
          <w:lang w:eastAsia="en-AU"/>
        </w:rPr>
        <w:t xml:space="preserve"> and in evaluating the impact of AANZFTA and AECSP activities</w:t>
      </w:r>
      <w:r w:rsidR="00991641">
        <w:rPr>
          <w:lang w:eastAsia="en-AU"/>
        </w:rPr>
        <w:t>,</w:t>
      </w:r>
      <w:r w:rsidRPr="002915C2">
        <w:rPr>
          <w:lang w:eastAsia="en-AU"/>
        </w:rPr>
        <w:t xml:space="preserve"> has been </w:t>
      </w:r>
      <w:r>
        <w:rPr>
          <w:lang w:eastAsia="en-AU"/>
        </w:rPr>
        <w:t>mixed</w:t>
      </w:r>
      <w:r w:rsidRPr="002915C2">
        <w:rPr>
          <w:lang w:eastAsia="en-AU"/>
        </w:rPr>
        <w:t xml:space="preserve">. </w:t>
      </w:r>
      <w:r>
        <w:rPr>
          <w:lang w:eastAsia="en-AU"/>
        </w:rPr>
        <w:t>Concerns were expressed that the AECSP website</w:t>
      </w:r>
      <w:r>
        <w:rPr>
          <w:rStyle w:val="FootnoteReference"/>
          <w:lang w:eastAsia="en-AU"/>
        </w:rPr>
        <w:footnoteReference w:id="28"/>
      </w:r>
      <w:r>
        <w:rPr>
          <w:lang w:eastAsia="en-AU"/>
        </w:rPr>
        <w:t xml:space="preserve"> has not always included essential and </w:t>
      </w:r>
      <w:r w:rsidR="00991641">
        <w:rPr>
          <w:lang w:eastAsia="en-AU"/>
        </w:rPr>
        <w:t>up-to-</w:t>
      </w:r>
      <w:r>
        <w:rPr>
          <w:lang w:eastAsia="en-AU"/>
        </w:rPr>
        <w:t xml:space="preserve">date AANZFTA related information, and </w:t>
      </w:r>
      <w:r w:rsidR="00DD2398">
        <w:rPr>
          <w:lang w:eastAsia="en-AU"/>
        </w:rPr>
        <w:t xml:space="preserve">that </w:t>
      </w:r>
      <w:r w:rsidR="00991641">
        <w:rPr>
          <w:lang w:eastAsia="en-AU"/>
        </w:rPr>
        <w:t xml:space="preserve">there has been </w:t>
      </w:r>
      <w:r>
        <w:rPr>
          <w:lang w:eastAsia="en-AU"/>
        </w:rPr>
        <w:t>limited progress in building business awareness of AANZFTA. On the other hand, the F</w:t>
      </w:r>
      <w:r w:rsidR="00991641">
        <w:rPr>
          <w:lang w:eastAsia="en-AU"/>
        </w:rPr>
        <w:t xml:space="preserve">ree Trade Agreement </w:t>
      </w:r>
      <w:r>
        <w:rPr>
          <w:lang w:eastAsia="en-AU"/>
        </w:rPr>
        <w:t>J</w:t>
      </w:r>
      <w:r w:rsidR="00991641">
        <w:rPr>
          <w:lang w:eastAsia="en-AU"/>
        </w:rPr>
        <w:t xml:space="preserve">oint </w:t>
      </w:r>
      <w:r>
        <w:rPr>
          <w:lang w:eastAsia="en-AU"/>
        </w:rPr>
        <w:t>C</w:t>
      </w:r>
      <w:r w:rsidR="00991641">
        <w:rPr>
          <w:lang w:eastAsia="en-AU"/>
        </w:rPr>
        <w:t>ommittee</w:t>
      </w:r>
      <w:r>
        <w:rPr>
          <w:lang w:eastAsia="en-AU"/>
        </w:rPr>
        <w:t xml:space="preserve"> Chair argued that </w:t>
      </w:r>
      <w:r w:rsidRPr="00B70F0E">
        <w:rPr>
          <w:i/>
          <w:lang w:val="en-US" w:eastAsia="en-AU"/>
        </w:rPr>
        <w:t>“</w:t>
      </w:r>
      <w:r w:rsidR="00991641">
        <w:rPr>
          <w:i/>
          <w:lang w:val="en-US" w:eastAsia="en-AU"/>
        </w:rPr>
        <w:t>t</w:t>
      </w:r>
      <w:r w:rsidR="00991641" w:rsidRPr="00B70F0E">
        <w:rPr>
          <w:i/>
          <w:lang w:val="en-US" w:eastAsia="en-AU"/>
        </w:rPr>
        <w:t xml:space="preserve">he </w:t>
      </w:r>
      <w:r w:rsidRPr="00B70F0E">
        <w:rPr>
          <w:i/>
          <w:lang w:val="en-US" w:eastAsia="en-AU"/>
        </w:rPr>
        <w:t xml:space="preserve">outreach activities undertaken through the AECSP, such as </w:t>
      </w:r>
      <w:r w:rsidR="00991641" w:rsidRPr="00B70F0E">
        <w:rPr>
          <w:i/>
          <w:lang w:val="en-US" w:eastAsia="en-AU"/>
        </w:rPr>
        <w:t xml:space="preserve">website and promotional materials </w:t>
      </w:r>
      <w:r w:rsidRPr="00B70F0E">
        <w:rPr>
          <w:i/>
          <w:lang w:val="en-US" w:eastAsia="en-AU"/>
        </w:rPr>
        <w:t xml:space="preserve">(e.g. </w:t>
      </w:r>
      <w:r w:rsidR="00991641">
        <w:rPr>
          <w:i/>
          <w:lang w:val="en-US" w:eastAsia="en-AU"/>
        </w:rPr>
        <w:t>rules of origin</w:t>
      </w:r>
      <w:r w:rsidR="00991641" w:rsidRPr="00B70F0E">
        <w:rPr>
          <w:i/>
          <w:lang w:val="en-US" w:eastAsia="en-AU"/>
        </w:rPr>
        <w:t xml:space="preserve"> </w:t>
      </w:r>
      <w:r w:rsidR="00991641">
        <w:rPr>
          <w:i/>
          <w:lang w:val="en-US" w:eastAsia="en-AU"/>
        </w:rPr>
        <w:t>b</w:t>
      </w:r>
      <w:r w:rsidRPr="00B70F0E">
        <w:rPr>
          <w:i/>
          <w:lang w:val="en-US" w:eastAsia="en-AU"/>
        </w:rPr>
        <w:t xml:space="preserve">ooklets) are the highest quality outreach materials that we have under any of our </w:t>
      </w:r>
      <w:r w:rsidR="00991641">
        <w:rPr>
          <w:i/>
          <w:lang w:val="en-US" w:eastAsia="en-AU"/>
        </w:rPr>
        <w:t>free trade agreements</w:t>
      </w:r>
      <w:r w:rsidRPr="00B70F0E">
        <w:rPr>
          <w:i/>
          <w:lang w:val="en-US" w:eastAsia="en-AU"/>
        </w:rPr>
        <w:t>. This has definitely led to greater business knowledge on this agreement, as well as</w:t>
      </w:r>
      <w:r w:rsidR="00DD2398">
        <w:rPr>
          <w:i/>
          <w:lang w:val="en-US" w:eastAsia="en-AU"/>
        </w:rPr>
        <w:t xml:space="preserve"> been</w:t>
      </w:r>
      <w:r w:rsidRPr="00B70F0E">
        <w:rPr>
          <w:i/>
          <w:lang w:val="en-US" w:eastAsia="en-AU"/>
        </w:rPr>
        <w:t xml:space="preserve"> vital to increase </w:t>
      </w:r>
      <w:r w:rsidR="00E83908">
        <w:rPr>
          <w:i/>
          <w:lang w:val="en-US" w:eastAsia="en-AU"/>
        </w:rPr>
        <w:t xml:space="preserve">free </w:t>
      </w:r>
      <w:r w:rsidR="00991641">
        <w:rPr>
          <w:i/>
          <w:lang w:val="en-US" w:eastAsia="en-AU"/>
        </w:rPr>
        <w:t>trade agreement</w:t>
      </w:r>
      <w:r w:rsidR="00991641" w:rsidRPr="00B70F0E" w:rsidDel="00991641">
        <w:rPr>
          <w:i/>
          <w:lang w:val="en-US" w:eastAsia="en-AU"/>
        </w:rPr>
        <w:t xml:space="preserve"> </w:t>
      </w:r>
      <w:r w:rsidRPr="00B70F0E">
        <w:rPr>
          <w:i/>
          <w:lang w:val="en-US" w:eastAsia="en-AU"/>
        </w:rPr>
        <w:t xml:space="preserve">usage. We further hope that </w:t>
      </w:r>
      <w:r w:rsidR="00991641">
        <w:rPr>
          <w:i/>
          <w:lang w:val="en-US" w:eastAsia="en-AU"/>
        </w:rPr>
        <w:t xml:space="preserve">a </w:t>
      </w:r>
      <w:r w:rsidRPr="00B70F0E">
        <w:rPr>
          <w:i/>
          <w:lang w:val="en-US" w:eastAsia="en-AU"/>
        </w:rPr>
        <w:t>range of topics could have similar outreach materials by the conclusion of the program”</w:t>
      </w:r>
      <w:r w:rsidR="00DD2398">
        <w:rPr>
          <w:i/>
          <w:lang w:val="en-US" w:eastAsia="en-AU"/>
        </w:rPr>
        <w:t>.</w:t>
      </w:r>
      <w:r>
        <w:rPr>
          <w:rStyle w:val="FootnoteReference"/>
          <w:i/>
          <w:lang w:val="en-US" w:eastAsia="en-AU"/>
        </w:rPr>
        <w:footnoteReference w:id="29"/>
      </w:r>
      <w:r>
        <w:rPr>
          <w:lang w:val="en-US" w:eastAsia="en-AU"/>
        </w:rPr>
        <w:t xml:space="preserve"> Examples of </w:t>
      </w:r>
      <w:r w:rsidR="00991641" w:rsidRPr="00991641">
        <w:rPr>
          <w:lang w:eastAsia="en-AU"/>
        </w:rPr>
        <w:t xml:space="preserve">AANZFTA Support Unit </w:t>
      </w:r>
      <w:r>
        <w:rPr>
          <w:lang w:val="en-US" w:eastAsia="en-AU"/>
        </w:rPr>
        <w:t xml:space="preserve">efforts to engage the private sector includes </w:t>
      </w:r>
      <w:r w:rsidRPr="00461AD8">
        <w:rPr>
          <w:lang w:val="en-US" w:eastAsia="en-AU"/>
        </w:rPr>
        <w:t>initial discussions with private sector-led think-tanks</w:t>
      </w:r>
      <w:r w:rsidR="00765985">
        <w:rPr>
          <w:lang w:val="en-US" w:eastAsia="en-AU"/>
        </w:rPr>
        <w:t xml:space="preserve"> and </w:t>
      </w:r>
      <w:r w:rsidRPr="00461AD8">
        <w:rPr>
          <w:lang w:val="en-US" w:eastAsia="en-AU"/>
        </w:rPr>
        <w:t>chamb</w:t>
      </w:r>
      <w:r>
        <w:rPr>
          <w:lang w:val="en-US" w:eastAsia="en-AU"/>
        </w:rPr>
        <w:t>ers in Viet</w:t>
      </w:r>
      <w:r w:rsidR="00765985">
        <w:rPr>
          <w:lang w:val="en-US" w:eastAsia="en-AU"/>
        </w:rPr>
        <w:t>n</w:t>
      </w:r>
      <w:r>
        <w:rPr>
          <w:lang w:val="en-US" w:eastAsia="en-AU"/>
        </w:rPr>
        <w:t xml:space="preserve">am and </w:t>
      </w:r>
      <w:r w:rsidR="00765985">
        <w:rPr>
          <w:lang w:val="en-US" w:eastAsia="en-AU"/>
        </w:rPr>
        <w:t xml:space="preserve">the </w:t>
      </w:r>
      <w:r>
        <w:rPr>
          <w:lang w:val="en-US" w:eastAsia="en-AU"/>
        </w:rPr>
        <w:t>Philippines</w:t>
      </w:r>
      <w:r w:rsidR="00765985">
        <w:rPr>
          <w:lang w:val="en-US" w:eastAsia="en-AU"/>
        </w:rPr>
        <w:t xml:space="preserve">, </w:t>
      </w:r>
      <w:r>
        <w:rPr>
          <w:lang w:val="en-US" w:eastAsia="en-AU"/>
        </w:rPr>
        <w:t>co-</w:t>
      </w:r>
      <w:r w:rsidR="00765985">
        <w:rPr>
          <w:lang w:val="en-US" w:eastAsia="en-AU"/>
        </w:rPr>
        <w:t>organising</w:t>
      </w:r>
      <w:r w:rsidR="00765985" w:rsidRPr="00461AD8">
        <w:rPr>
          <w:lang w:val="en-US" w:eastAsia="en-AU"/>
        </w:rPr>
        <w:t xml:space="preserve"> </w:t>
      </w:r>
      <w:r w:rsidR="00765985">
        <w:rPr>
          <w:lang w:val="en-US" w:eastAsia="en-AU"/>
        </w:rPr>
        <w:t xml:space="preserve">the </w:t>
      </w:r>
      <w:r w:rsidRPr="00461AD8">
        <w:rPr>
          <w:lang w:val="en-US" w:eastAsia="en-AU"/>
        </w:rPr>
        <w:t xml:space="preserve">AANZFTA Outreach to Business </w:t>
      </w:r>
      <w:r w:rsidR="00765985">
        <w:rPr>
          <w:lang w:val="en-US" w:eastAsia="en-AU"/>
        </w:rPr>
        <w:t xml:space="preserve">initiative </w:t>
      </w:r>
      <w:r w:rsidRPr="00461AD8">
        <w:rPr>
          <w:lang w:val="en-US" w:eastAsia="en-AU"/>
        </w:rPr>
        <w:t xml:space="preserve">and </w:t>
      </w:r>
      <w:r w:rsidR="00765985">
        <w:rPr>
          <w:lang w:val="en-US" w:eastAsia="en-AU"/>
        </w:rPr>
        <w:t>l</w:t>
      </w:r>
      <w:r w:rsidR="00765985" w:rsidRPr="00461AD8">
        <w:rPr>
          <w:lang w:val="en-US" w:eastAsia="en-AU"/>
        </w:rPr>
        <w:t xml:space="preserve">aunch </w:t>
      </w:r>
      <w:r w:rsidRPr="00461AD8">
        <w:rPr>
          <w:lang w:val="en-US" w:eastAsia="en-AU"/>
        </w:rPr>
        <w:t xml:space="preserve">of </w:t>
      </w:r>
      <w:r w:rsidR="00765985">
        <w:rPr>
          <w:lang w:val="en-US" w:eastAsia="en-AU"/>
        </w:rPr>
        <w:t xml:space="preserve">an </w:t>
      </w:r>
      <w:r w:rsidRPr="00461AD8">
        <w:rPr>
          <w:lang w:val="en-US" w:eastAsia="en-AU"/>
        </w:rPr>
        <w:t xml:space="preserve">AANZFTA </w:t>
      </w:r>
      <w:r w:rsidR="00765985">
        <w:rPr>
          <w:lang w:val="en-US" w:eastAsia="en-AU"/>
        </w:rPr>
        <w:t>p</w:t>
      </w:r>
      <w:r w:rsidR="00765985" w:rsidRPr="00461AD8">
        <w:rPr>
          <w:lang w:val="en-US" w:eastAsia="en-AU"/>
        </w:rPr>
        <w:t xml:space="preserve">ublication </w:t>
      </w:r>
      <w:r w:rsidRPr="00461AD8">
        <w:rPr>
          <w:lang w:val="en-US" w:eastAsia="en-AU"/>
        </w:rPr>
        <w:t>in Viet</w:t>
      </w:r>
      <w:r w:rsidR="00765985">
        <w:rPr>
          <w:lang w:val="en-US" w:eastAsia="en-AU"/>
        </w:rPr>
        <w:t xml:space="preserve">namese </w:t>
      </w:r>
      <w:r w:rsidRPr="00461AD8">
        <w:rPr>
          <w:lang w:val="en-US" w:eastAsia="en-AU"/>
        </w:rPr>
        <w:t>in Ho Chi Minh</w:t>
      </w:r>
      <w:r>
        <w:rPr>
          <w:lang w:val="en-US" w:eastAsia="en-AU"/>
        </w:rPr>
        <w:t xml:space="preserve"> City</w:t>
      </w:r>
      <w:r w:rsidR="00765985">
        <w:rPr>
          <w:lang w:val="en-US" w:eastAsia="en-AU"/>
        </w:rPr>
        <w:t xml:space="preserve"> on</w:t>
      </w:r>
      <w:r w:rsidR="00765985" w:rsidRPr="00461AD8">
        <w:rPr>
          <w:lang w:val="en-US" w:eastAsia="en-AU"/>
        </w:rPr>
        <w:t xml:space="preserve"> </w:t>
      </w:r>
      <w:r w:rsidRPr="00461AD8">
        <w:rPr>
          <w:lang w:val="en-US" w:eastAsia="en-AU"/>
        </w:rPr>
        <w:t>12 Sep</w:t>
      </w:r>
      <w:r w:rsidR="00765985">
        <w:rPr>
          <w:lang w:val="en-US" w:eastAsia="en-AU"/>
        </w:rPr>
        <w:t>tember</w:t>
      </w:r>
      <w:r w:rsidRPr="00461AD8">
        <w:rPr>
          <w:lang w:val="en-US" w:eastAsia="en-AU"/>
        </w:rPr>
        <w:t xml:space="preserve"> 2012</w:t>
      </w:r>
      <w:r w:rsidR="00765985">
        <w:rPr>
          <w:lang w:val="en-US" w:eastAsia="en-AU"/>
        </w:rPr>
        <w:t xml:space="preserve">, </w:t>
      </w:r>
      <w:r>
        <w:rPr>
          <w:lang w:val="en-US" w:eastAsia="en-AU"/>
        </w:rPr>
        <w:t>promoting</w:t>
      </w:r>
      <w:r w:rsidRPr="00461AD8">
        <w:rPr>
          <w:lang w:val="en-US" w:eastAsia="en-AU"/>
        </w:rPr>
        <w:t xml:space="preserve"> </w:t>
      </w:r>
      <w:r w:rsidR="00765985">
        <w:rPr>
          <w:lang w:val="en-US" w:eastAsia="en-AU"/>
        </w:rPr>
        <w:t xml:space="preserve">a New Zealand Ministry of Foreign Affairs and Trade </w:t>
      </w:r>
      <w:r w:rsidRPr="00461AD8">
        <w:rPr>
          <w:lang w:val="en-US" w:eastAsia="en-AU"/>
        </w:rPr>
        <w:t xml:space="preserve">business forum in Wellington </w:t>
      </w:r>
      <w:r w:rsidR="00765985">
        <w:rPr>
          <w:lang w:val="en-US" w:eastAsia="en-AU"/>
        </w:rPr>
        <w:t xml:space="preserve">in </w:t>
      </w:r>
      <w:r w:rsidRPr="00461AD8">
        <w:rPr>
          <w:lang w:val="en-US" w:eastAsia="en-AU"/>
        </w:rPr>
        <w:t>May 2011 through the AANZFTA website</w:t>
      </w:r>
      <w:r w:rsidR="00765985">
        <w:rPr>
          <w:lang w:val="en-US" w:eastAsia="en-AU"/>
        </w:rPr>
        <w:t xml:space="preserve">, and </w:t>
      </w:r>
      <w:r>
        <w:rPr>
          <w:lang w:val="en-US" w:eastAsia="en-AU"/>
        </w:rPr>
        <w:t>t</w:t>
      </w:r>
      <w:r w:rsidRPr="00461AD8">
        <w:rPr>
          <w:lang w:val="en-US" w:eastAsia="en-AU"/>
        </w:rPr>
        <w:t>ranslat</w:t>
      </w:r>
      <w:r w:rsidR="00765985">
        <w:rPr>
          <w:lang w:val="en-US" w:eastAsia="en-AU"/>
        </w:rPr>
        <w:t xml:space="preserve">ing </w:t>
      </w:r>
      <w:r w:rsidRPr="00461AD8">
        <w:rPr>
          <w:lang w:val="en-US" w:eastAsia="en-AU"/>
        </w:rPr>
        <w:t xml:space="preserve">publications </w:t>
      </w:r>
      <w:r>
        <w:rPr>
          <w:lang w:val="en-US" w:eastAsia="en-AU"/>
        </w:rPr>
        <w:t xml:space="preserve">for dissemination </w:t>
      </w:r>
      <w:r w:rsidR="00DD2398">
        <w:rPr>
          <w:lang w:val="en-US" w:eastAsia="en-AU"/>
        </w:rPr>
        <w:t xml:space="preserve">in </w:t>
      </w:r>
      <w:r>
        <w:rPr>
          <w:lang w:val="en-US" w:eastAsia="en-AU"/>
        </w:rPr>
        <w:t>Cambodia,</w:t>
      </w:r>
      <w:r w:rsidRPr="00461AD8">
        <w:rPr>
          <w:lang w:val="en-US" w:eastAsia="en-AU"/>
        </w:rPr>
        <w:t xml:space="preserve"> </w:t>
      </w:r>
      <w:r>
        <w:rPr>
          <w:lang w:val="en-US" w:eastAsia="en-AU"/>
        </w:rPr>
        <w:t>Lao PDR, Myanmar and Viet</w:t>
      </w:r>
      <w:r w:rsidR="00765985">
        <w:rPr>
          <w:lang w:val="en-US" w:eastAsia="en-AU"/>
        </w:rPr>
        <w:t>n</w:t>
      </w:r>
      <w:r>
        <w:rPr>
          <w:lang w:val="en-US" w:eastAsia="en-AU"/>
        </w:rPr>
        <w:t>am.</w:t>
      </w:r>
    </w:p>
    <w:p w14:paraId="39B0DC2C" w14:textId="77DA0A64" w:rsidR="00530BA8" w:rsidRDefault="00530BA8" w:rsidP="00765985">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00765985">
        <w:t xml:space="preserve">As long as the </w:t>
      </w:r>
      <w:r w:rsidR="00FA23AA">
        <w:t xml:space="preserve">ASEAN </w:t>
      </w:r>
      <w:r w:rsidR="00765985">
        <w:t xml:space="preserve">Secretariat </w:t>
      </w:r>
      <w:r>
        <w:t xml:space="preserve">is able to continue providing appropriately qualified </w:t>
      </w:r>
      <w:r w:rsidR="00765985">
        <w:t>staff</w:t>
      </w:r>
      <w:r>
        <w:t xml:space="preserve"> to AECSP supported activities</w:t>
      </w:r>
      <w:r w:rsidR="00DD2398">
        <w:t>––</w:t>
      </w:r>
      <w:r>
        <w:t>and AECSP continues to move to more strategic approaches to capacity building</w:t>
      </w:r>
      <w:r w:rsidR="00DD2398">
        <w:t>––</w:t>
      </w:r>
      <w:r>
        <w:t xml:space="preserve">most core goals related to effective implementation of AANZFTA are likely to be achieved (even if several </w:t>
      </w:r>
      <w:r w:rsidR="00765985">
        <w:t xml:space="preserve">participants </w:t>
      </w:r>
      <w:r>
        <w:t>raised concerns about the level of the business uptake of the agreement</w:t>
      </w:r>
      <w:r>
        <w:rPr>
          <w:rStyle w:val="FootnoteReference"/>
        </w:rPr>
        <w:footnoteReference w:id="30"/>
      </w:r>
      <w:r>
        <w:t>). The program has been particularly effective in building partnerships that have helped address practical barriers to enhanced economic cooperation (</w:t>
      </w:r>
      <w:r w:rsidR="00765985">
        <w:t xml:space="preserve">for example, </w:t>
      </w:r>
      <w:r>
        <w:t>facilitating regional agriculture trade by establishing creditable and acceptable diagnostic protocols). Reducing such barriers, with sustained capacity building support, has the potential to generate substantial development impacts well beyond those directly linked to implementation of AANZFTA.</w:t>
      </w:r>
    </w:p>
    <w:p w14:paraId="50FB634B" w14:textId="77777777" w:rsidR="00530BA8" w:rsidRPr="002915C2" w:rsidRDefault="00530BA8" w:rsidP="00530BA8">
      <w:pPr>
        <w:pStyle w:val="Heading3"/>
        <w:rPr>
          <w:lang w:eastAsia="en-AU"/>
        </w:rPr>
      </w:pPr>
      <w:r w:rsidRPr="00331DBD">
        <w:t>Efficiency</w:t>
      </w:r>
    </w:p>
    <w:p w14:paraId="571D0FE2" w14:textId="33435EF4" w:rsidR="00530BA8" w:rsidRDefault="00530BA8" w:rsidP="00765985">
      <w:pPr>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t xml:space="preserve">Delays in program start-up undermined efficiency in the early stages, but </w:t>
      </w:r>
      <w:r w:rsidR="00150D4C">
        <w:rPr>
          <w:lang w:eastAsia="en-AU"/>
        </w:rPr>
        <w:t xml:space="preserve">the </w:t>
      </w:r>
      <w:r w:rsidRPr="002915C2">
        <w:rPr>
          <w:lang w:eastAsia="en-AU"/>
        </w:rPr>
        <w:t>problems encountered have been addressed</w:t>
      </w:r>
      <w:r w:rsidR="00150D4C">
        <w:rPr>
          <w:lang w:eastAsia="en-AU"/>
        </w:rPr>
        <w:t xml:space="preserve"> and p</w:t>
      </w:r>
      <w:r w:rsidRPr="002915C2">
        <w:rPr>
          <w:lang w:eastAsia="en-AU"/>
        </w:rPr>
        <w:t xml:space="preserve">rogram implementation is beginning to build momentum. Growing trust and a willingness to look at </w:t>
      </w:r>
      <w:r w:rsidR="00765985">
        <w:rPr>
          <w:lang w:eastAsia="en-AU"/>
        </w:rPr>
        <w:t>practical</w:t>
      </w:r>
      <w:r w:rsidR="00765985" w:rsidRPr="002915C2">
        <w:rPr>
          <w:lang w:eastAsia="en-AU"/>
        </w:rPr>
        <w:t xml:space="preserve"> </w:t>
      </w:r>
      <w:r w:rsidRPr="002915C2">
        <w:rPr>
          <w:lang w:eastAsia="en-AU"/>
        </w:rPr>
        <w:t xml:space="preserve">solutions </w:t>
      </w:r>
      <w:r w:rsidR="00150D4C" w:rsidRPr="002915C2">
        <w:rPr>
          <w:lang w:eastAsia="en-AU"/>
        </w:rPr>
        <w:t xml:space="preserve">to bottlenecks </w:t>
      </w:r>
      <w:r w:rsidRPr="002915C2">
        <w:rPr>
          <w:lang w:eastAsia="en-AU"/>
        </w:rPr>
        <w:lastRenderedPageBreak/>
        <w:t>(</w:t>
      </w:r>
      <w:r w:rsidR="00765985">
        <w:rPr>
          <w:lang w:eastAsia="en-AU"/>
        </w:rPr>
        <w:t xml:space="preserve">for example, </w:t>
      </w:r>
      <w:r w:rsidRPr="002915C2">
        <w:rPr>
          <w:lang w:eastAsia="en-AU"/>
        </w:rPr>
        <w:t xml:space="preserve">the special services agreements with </w:t>
      </w:r>
      <w:r w:rsidR="00765985">
        <w:rPr>
          <w:lang w:eastAsia="en-AU"/>
        </w:rPr>
        <w:t xml:space="preserve">the </w:t>
      </w:r>
      <w:r w:rsidRPr="002915C2">
        <w:rPr>
          <w:lang w:eastAsia="en-AU"/>
        </w:rPr>
        <w:t>D</w:t>
      </w:r>
      <w:r w:rsidR="00765985">
        <w:rPr>
          <w:lang w:eastAsia="en-AU"/>
        </w:rPr>
        <w:t xml:space="preserve">epartment of </w:t>
      </w:r>
      <w:r w:rsidRPr="002915C2">
        <w:rPr>
          <w:lang w:eastAsia="en-AU"/>
        </w:rPr>
        <w:t>A</w:t>
      </w:r>
      <w:r w:rsidR="00765985">
        <w:rPr>
          <w:lang w:eastAsia="en-AU"/>
        </w:rPr>
        <w:t xml:space="preserve">griculture, </w:t>
      </w:r>
      <w:r w:rsidR="00DD2398" w:rsidRPr="002915C2">
        <w:rPr>
          <w:lang w:eastAsia="en-AU"/>
        </w:rPr>
        <w:t>F</w:t>
      </w:r>
      <w:r w:rsidR="00DD2398">
        <w:rPr>
          <w:lang w:eastAsia="en-AU"/>
        </w:rPr>
        <w:t>isheries</w:t>
      </w:r>
      <w:r w:rsidR="00DD2398" w:rsidRPr="002915C2">
        <w:rPr>
          <w:lang w:eastAsia="en-AU"/>
        </w:rPr>
        <w:t xml:space="preserve"> </w:t>
      </w:r>
      <w:r w:rsidR="00765985">
        <w:rPr>
          <w:lang w:eastAsia="en-AU"/>
        </w:rPr>
        <w:t xml:space="preserve">and </w:t>
      </w:r>
      <w:r w:rsidR="00DD2398" w:rsidRPr="002915C2">
        <w:rPr>
          <w:lang w:eastAsia="en-AU"/>
        </w:rPr>
        <w:t>F</w:t>
      </w:r>
      <w:r w:rsidR="00DD2398">
        <w:rPr>
          <w:lang w:eastAsia="en-AU"/>
        </w:rPr>
        <w:t xml:space="preserve">orestry, </w:t>
      </w:r>
      <w:r w:rsidRPr="002915C2">
        <w:rPr>
          <w:lang w:eastAsia="en-AU"/>
        </w:rPr>
        <w:t xml:space="preserve">and IP Australia) has been an encouraging development in this regard. The growing pipeline of more outcomes focused proposals (as opposed to </w:t>
      </w:r>
      <w:r w:rsidR="00765985">
        <w:rPr>
          <w:lang w:eastAsia="en-AU"/>
        </w:rPr>
        <w:t>those</w:t>
      </w:r>
      <w:r w:rsidR="00765985" w:rsidRPr="002915C2">
        <w:rPr>
          <w:lang w:eastAsia="en-AU"/>
        </w:rPr>
        <w:t xml:space="preserve"> </w:t>
      </w:r>
      <w:r w:rsidRPr="002915C2">
        <w:rPr>
          <w:lang w:eastAsia="en-AU"/>
        </w:rPr>
        <w:t xml:space="preserve">related to </w:t>
      </w:r>
      <w:r w:rsidR="00765985" w:rsidRPr="002915C2">
        <w:rPr>
          <w:lang w:eastAsia="en-AU"/>
        </w:rPr>
        <w:t>ad</w:t>
      </w:r>
      <w:r w:rsidR="00765985">
        <w:rPr>
          <w:lang w:eastAsia="en-AU"/>
        </w:rPr>
        <w:t>-</w:t>
      </w:r>
      <w:r w:rsidRPr="002915C2">
        <w:rPr>
          <w:lang w:eastAsia="en-AU"/>
        </w:rPr>
        <w:t xml:space="preserve">hoc activities) submitted to the </w:t>
      </w:r>
      <w:r>
        <w:rPr>
          <w:lang w:eastAsia="en-AU"/>
        </w:rPr>
        <w:t>F</w:t>
      </w:r>
      <w:r w:rsidR="00765985">
        <w:rPr>
          <w:lang w:eastAsia="en-AU"/>
        </w:rPr>
        <w:t xml:space="preserve">ree Trade Agreement </w:t>
      </w:r>
      <w:r>
        <w:rPr>
          <w:lang w:eastAsia="en-AU"/>
        </w:rPr>
        <w:t>J</w:t>
      </w:r>
      <w:r w:rsidR="00765985">
        <w:rPr>
          <w:lang w:eastAsia="en-AU"/>
        </w:rPr>
        <w:t xml:space="preserve">oint </w:t>
      </w:r>
      <w:r>
        <w:rPr>
          <w:lang w:eastAsia="en-AU"/>
        </w:rPr>
        <w:t>C</w:t>
      </w:r>
      <w:r w:rsidR="00765985">
        <w:rPr>
          <w:lang w:eastAsia="en-AU"/>
        </w:rPr>
        <w:t>ommittee</w:t>
      </w:r>
      <w:r w:rsidRPr="002915C2">
        <w:rPr>
          <w:lang w:eastAsia="en-AU"/>
        </w:rPr>
        <w:t xml:space="preserve"> is indicative of growing </w:t>
      </w:r>
      <w:r>
        <w:rPr>
          <w:lang w:eastAsia="en-AU"/>
        </w:rPr>
        <w:t>and more mature</w:t>
      </w:r>
      <w:r w:rsidRPr="002915C2">
        <w:rPr>
          <w:lang w:eastAsia="en-AU"/>
        </w:rPr>
        <w:t xml:space="preserve"> demand for AECSP support. The program actively seeks to </w:t>
      </w:r>
      <w:r w:rsidR="00765985" w:rsidRPr="002915C2">
        <w:rPr>
          <w:lang w:eastAsia="en-AU"/>
        </w:rPr>
        <w:t>minimi</w:t>
      </w:r>
      <w:r w:rsidR="00765985">
        <w:rPr>
          <w:lang w:eastAsia="en-AU"/>
        </w:rPr>
        <w:t>s</w:t>
      </w:r>
      <w:r w:rsidR="00765985" w:rsidRPr="002915C2">
        <w:rPr>
          <w:lang w:eastAsia="en-AU"/>
        </w:rPr>
        <w:t xml:space="preserve">e </w:t>
      </w:r>
      <w:r w:rsidRPr="002915C2">
        <w:rPr>
          <w:lang w:eastAsia="en-AU"/>
        </w:rPr>
        <w:t xml:space="preserve">transaction costs </w:t>
      </w:r>
      <w:r w:rsidR="00765985">
        <w:rPr>
          <w:lang w:eastAsia="en-AU"/>
        </w:rPr>
        <w:t>through</w:t>
      </w:r>
      <w:r w:rsidR="00765985" w:rsidRPr="002915C2">
        <w:rPr>
          <w:lang w:eastAsia="en-AU"/>
        </w:rPr>
        <w:t xml:space="preserve"> </w:t>
      </w:r>
      <w:r w:rsidRPr="002915C2">
        <w:rPr>
          <w:lang w:eastAsia="en-AU"/>
        </w:rPr>
        <w:t xml:space="preserve">integration with </w:t>
      </w:r>
      <w:r w:rsidR="00FA23AA">
        <w:rPr>
          <w:lang w:eastAsia="en-AU"/>
        </w:rPr>
        <w:t xml:space="preserve">ASEAN </w:t>
      </w:r>
      <w:r w:rsidR="00765985">
        <w:rPr>
          <w:lang w:eastAsia="en-AU"/>
        </w:rPr>
        <w:t xml:space="preserve">Secretariat </w:t>
      </w:r>
      <w:r w:rsidRPr="002915C2">
        <w:rPr>
          <w:lang w:eastAsia="en-AU"/>
        </w:rPr>
        <w:t xml:space="preserve">systems and </w:t>
      </w:r>
      <w:r w:rsidR="00765985">
        <w:rPr>
          <w:lang w:eastAsia="en-AU"/>
        </w:rPr>
        <w:t xml:space="preserve">by </w:t>
      </w:r>
      <w:r w:rsidRPr="002915C2">
        <w:rPr>
          <w:lang w:eastAsia="en-AU"/>
        </w:rPr>
        <w:t xml:space="preserve">coordinating program activities with ongoing ASEAN working agendas </w:t>
      </w:r>
      <w:r w:rsidR="00765985">
        <w:rPr>
          <w:lang w:eastAsia="en-AU"/>
        </w:rPr>
        <w:t>wherever</w:t>
      </w:r>
      <w:r w:rsidR="00765985" w:rsidRPr="002915C2">
        <w:rPr>
          <w:lang w:eastAsia="en-AU"/>
        </w:rPr>
        <w:t xml:space="preserve"> </w:t>
      </w:r>
      <w:r w:rsidRPr="002915C2">
        <w:rPr>
          <w:lang w:eastAsia="en-AU"/>
        </w:rPr>
        <w:t>feasible</w:t>
      </w:r>
      <w:r w:rsidR="00765985">
        <w:rPr>
          <w:lang w:eastAsia="en-AU"/>
        </w:rPr>
        <w:t>.</w:t>
      </w:r>
      <w:r w:rsidRPr="002915C2">
        <w:rPr>
          <w:vertAlign w:val="superscript"/>
          <w:lang w:eastAsia="en-AU"/>
        </w:rPr>
        <w:footnoteReference w:id="31"/>
      </w:r>
      <w:r w:rsidRPr="002915C2">
        <w:rPr>
          <w:lang w:eastAsia="en-AU"/>
        </w:rPr>
        <w:t xml:space="preserve"> </w:t>
      </w:r>
      <w:r>
        <w:rPr>
          <w:lang w:eastAsia="en-AU"/>
        </w:rPr>
        <w:t>Government</w:t>
      </w:r>
      <w:r w:rsidRPr="008400CB">
        <w:rPr>
          <w:lang w:eastAsia="en-AU"/>
        </w:rPr>
        <w:t xml:space="preserve"> partners in Australia</w:t>
      </w:r>
      <w:r>
        <w:rPr>
          <w:lang w:eastAsia="en-AU"/>
        </w:rPr>
        <w:t>, New Zealand and ASEAN countries</w:t>
      </w:r>
      <w:r w:rsidR="00765985">
        <w:rPr>
          <w:lang w:eastAsia="en-AU"/>
        </w:rPr>
        <w:t xml:space="preserve"> </w:t>
      </w:r>
      <w:r w:rsidRPr="008400CB">
        <w:rPr>
          <w:lang w:eastAsia="en-AU"/>
        </w:rPr>
        <w:t xml:space="preserve">absorb </w:t>
      </w:r>
      <w:r>
        <w:rPr>
          <w:lang w:eastAsia="en-AU"/>
        </w:rPr>
        <w:t xml:space="preserve">some of the </w:t>
      </w:r>
      <w:r w:rsidRPr="008400CB">
        <w:rPr>
          <w:lang w:eastAsia="en-AU"/>
        </w:rPr>
        <w:t xml:space="preserve">project management </w:t>
      </w:r>
      <w:r>
        <w:rPr>
          <w:lang w:eastAsia="en-AU"/>
        </w:rPr>
        <w:t xml:space="preserve">and implementation costs. </w:t>
      </w:r>
      <w:r w:rsidRPr="002915C2">
        <w:rPr>
          <w:lang w:eastAsia="en-AU"/>
        </w:rPr>
        <w:t>Special services agreements with designated service providers are seen as useful in facilitating more timely and efficient delivery of activities.</w:t>
      </w:r>
    </w:p>
    <w:p w14:paraId="10F73090" w14:textId="59AF4DF8" w:rsidR="00530BA8" w:rsidRDefault="00530BA8" w:rsidP="00C1556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00546E38">
        <w:rPr>
          <w:lang w:eastAsia="en-AU"/>
        </w:rPr>
        <w:t xml:space="preserve">Economic Cooperation Work Program </w:t>
      </w:r>
      <w:r w:rsidRPr="002915C2">
        <w:rPr>
          <w:lang w:eastAsia="en-AU"/>
        </w:rPr>
        <w:t xml:space="preserve">component committees under AANZFTA have been important in helping (with </w:t>
      </w:r>
      <w:r w:rsidR="00C15566" w:rsidRPr="00C15566">
        <w:rPr>
          <w:lang w:eastAsia="en-AU"/>
        </w:rPr>
        <w:t xml:space="preserve">AANZFTA Support Unit </w:t>
      </w:r>
      <w:r w:rsidR="00C15566">
        <w:rPr>
          <w:lang w:eastAsia="en-AU"/>
        </w:rPr>
        <w:t>assistance</w:t>
      </w:r>
      <w:r w:rsidRPr="002915C2">
        <w:rPr>
          <w:lang w:eastAsia="en-AU"/>
        </w:rPr>
        <w:t>) to develop and</w:t>
      </w:r>
      <w:r>
        <w:rPr>
          <w:lang w:eastAsia="en-AU"/>
        </w:rPr>
        <w:t xml:space="preserve"> filter projects proposals. </w:t>
      </w:r>
      <w:r w:rsidRPr="002915C2">
        <w:rPr>
          <w:lang w:eastAsia="en-AU"/>
        </w:rPr>
        <w:t xml:space="preserve">The initial </w:t>
      </w:r>
      <w:r w:rsidR="00546E38">
        <w:rPr>
          <w:lang w:eastAsia="en-AU"/>
        </w:rPr>
        <w:t xml:space="preserve">Economic Cooperation Work Program </w:t>
      </w:r>
      <w:r w:rsidRPr="002915C2">
        <w:rPr>
          <w:lang w:eastAsia="en-AU"/>
        </w:rPr>
        <w:t>projects focused</w:t>
      </w:r>
      <w:r w:rsidR="00C15566">
        <w:rPr>
          <w:lang w:eastAsia="en-AU"/>
        </w:rPr>
        <w:t xml:space="preserve"> on</w:t>
      </w:r>
      <w:r w:rsidRPr="002915C2">
        <w:rPr>
          <w:lang w:eastAsia="en-AU"/>
        </w:rPr>
        <w:t xml:space="preserve"> issues related to trade in goods</w:t>
      </w:r>
      <w:r w:rsidRPr="00491D6E">
        <w:rPr>
          <w:lang w:eastAsia="en-AU"/>
        </w:rPr>
        <w:t xml:space="preserve"> because this was where the most progress was being made on liberalisation in AANZFTA</w:t>
      </w:r>
      <w:r>
        <w:rPr>
          <w:lang w:eastAsia="en-AU"/>
        </w:rPr>
        <w:t>’s subsidiary bodies. This reflecte</w:t>
      </w:r>
      <w:r w:rsidRPr="002915C2">
        <w:rPr>
          <w:lang w:eastAsia="en-AU"/>
        </w:rPr>
        <w:t xml:space="preserve">d in part the greater familiarity among trade officials with these issues and </w:t>
      </w:r>
      <w:r w:rsidR="00C15566" w:rsidRPr="002915C2">
        <w:rPr>
          <w:lang w:eastAsia="en-AU"/>
        </w:rPr>
        <w:t xml:space="preserve">therefore </w:t>
      </w:r>
      <w:r w:rsidRPr="002915C2">
        <w:rPr>
          <w:lang w:eastAsia="en-AU"/>
        </w:rPr>
        <w:t>the relative ease</w:t>
      </w:r>
      <w:r w:rsidR="005856D4">
        <w:rPr>
          <w:lang w:eastAsia="en-AU"/>
        </w:rPr>
        <w:t xml:space="preserve"> </w:t>
      </w:r>
      <w:r w:rsidRPr="002915C2">
        <w:rPr>
          <w:lang w:eastAsia="en-AU"/>
        </w:rPr>
        <w:t xml:space="preserve">in designing and implementing projects to address </w:t>
      </w:r>
      <w:r>
        <w:rPr>
          <w:lang w:eastAsia="en-AU"/>
        </w:rPr>
        <w:t xml:space="preserve">issues such as rules of origin. </w:t>
      </w:r>
      <w:r w:rsidRPr="002915C2">
        <w:rPr>
          <w:lang w:eastAsia="en-AU"/>
        </w:rPr>
        <w:t>Over time the sectoral scope of projects has widened to encompass newer issues such as services, intellectual property, investment and competition policy.</w:t>
      </w:r>
      <w:r w:rsidR="005856D4">
        <w:rPr>
          <w:lang w:eastAsia="en-AU"/>
        </w:rPr>
        <w:t xml:space="preserve"> </w:t>
      </w:r>
      <w:r w:rsidRPr="002915C2">
        <w:rPr>
          <w:lang w:eastAsia="en-AU"/>
        </w:rPr>
        <w:t>Most of these issues are the responsibility of departments and agencies other than trade</w:t>
      </w:r>
      <w:r>
        <w:rPr>
          <w:lang w:eastAsia="en-AU"/>
        </w:rPr>
        <w:t xml:space="preserve"> or finance ministries. These</w:t>
      </w:r>
      <w:r w:rsidRPr="002915C2">
        <w:rPr>
          <w:lang w:eastAsia="en-AU"/>
        </w:rPr>
        <w:t xml:space="preserve"> issues are</w:t>
      </w:r>
      <w:r>
        <w:rPr>
          <w:lang w:eastAsia="en-AU"/>
        </w:rPr>
        <w:t xml:space="preserve"> also</w:t>
      </w:r>
      <w:r w:rsidRPr="002915C2">
        <w:rPr>
          <w:lang w:eastAsia="en-AU"/>
        </w:rPr>
        <w:t xml:space="preserve"> increasingly rele</w:t>
      </w:r>
      <w:r>
        <w:rPr>
          <w:lang w:eastAsia="en-AU"/>
        </w:rPr>
        <w:t>vant to busines</w:t>
      </w:r>
      <w:r w:rsidR="004C2C30">
        <w:rPr>
          <w:lang w:eastAsia="en-AU"/>
        </w:rPr>
        <w:t>s. Over time</w:t>
      </w:r>
      <w:r>
        <w:rPr>
          <w:lang w:eastAsia="en-AU"/>
        </w:rPr>
        <w:t xml:space="preserve"> </w:t>
      </w:r>
      <w:r w:rsidRPr="002915C2">
        <w:rPr>
          <w:lang w:eastAsia="en-AU"/>
        </w:rPr>
        <w:t xml:space="preserve">there has been a shift from projects focused directly on implementation to </w:t>
      </w:r>
      <w:r w:rsidR="00C15566">
        <w:rPr>
          <w:lang w:eastAsia="en-AU"/>
        </w:rPr>
        <w:t>those</w:t>
      </w:r>
      <w:r w:rsidR="00C15566" w:rsidRPr="002915C2">
        <w:rPr>
          <w:lang w:eastAsia="en-AU"/>
        </w:rPr>
        <w:t xml:space="preserve"> </w:t>
      </w:r>
      <w:r w:rsidRPr="002915C2">
        <w:rPr>
          <w:lang w:eastAsia="en-AU"/>
        </w:rPr>
        <w:t>tha</w:t>
      </w:r>
      <w:r>
        <w:rPr>
          <w:lang w:eastAsia="en-AU"/>
        </w:rPr>
        <w:t xml:space="preserve">t will deliver longer-term gains from </w:t>
      </w:r>
      <w:r w:rsidRPr="00491D6E">
        <w:rPr>
          <w:lang w:eastAsia="en-AU"/>
        </w:rPr>
        <w:t>enhanced regional economic integration.</w:t>
      </w:r>
    </w:p>
    <w:p w14:paraId="760EC785" w14:textId="0DFDAF16" w:rsidR="00530BA8" w:rsidRPr="002915C2" w:rsidRDefault="00530BA8" w:rsidP="00C1556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A90F8B">
        <w:rPr>
          <w:lang w:eastAsia="en-AU"/>
        </w:rPr>
        <w:t>Direct bilateral funding to</w:t>
      </w:r>
      <w:r w:rsidR="00C15566">
        <w:rPr>
          <w:lang w:eastAsia="en-AU"/>
        </w:rPr>
        <w:t xml:space="preserve"> the</w:t>
      </w:r>
      <w:r w:rsidRPr="00A90F8B">
        <w:rPr>
          <w:lang w:eastAsia="en-AU"/>
        </w:rPr>
        <w:t xml:space="preserve"> </w:t>
      </w:r>
      <w:r w:rsidR="00FA23AA">
        <w:rPr>
          <w:lang w:eastAsia="en-AU"/>
        </w:rPr>
        <w:t xml:space="preserve">ASEAN </w:t>
      </w:r>
      <w:r w:rsidR="00C15566">
        <w:rPr>
          <w:lang w:eastAsia="en-AU"/>
        </w:rPr>
        <w:t>Secretariat</w:t>
      </w:r>
      <w:r w:rsidR="009C0F17">
        <w:rPr>
          <w:lang w:eastAsia="en-AU"/>
        </w:rPr>
        <w:t>—</w:t>
      </w:r>
      <w:r>
        <w:rPr>
          <w:lang w:eastAsia="en-AU"/>
        </w:rPr>
        <w:t>and use</w:t>
      </w:r>
      <w:r w:rsidRPr="00A90F8B">
        <w:rPr>
          <w:lang w:eastAsia="en-AU"/>
        </w:rPr>
        <w:t xml:space="preserve"> of </w:t>
      </w:r>
      <w:r w:rsidR="00C15566">
        <w:rPr>
          <w:lang w:eastAsia="en-AU"/>
        </w:rPr>
        <w:t>the</w:t>
      </w:r>
      <w:r w:rsidR="00FA23AA">
        <w:rPr>
          <w:lang w:eastAsia="en-AU"/>
        </w:rPr>
        <w:t xml:space="preserve"> </w:t>
      </w:r>
      <w:r w:rsidR="00C15566">
        <w:rPr>
          <w:lang w:eastAsia="en-AU"/>
        </w:rPr>
        <w:t>secretariat</w:t>
      </w:r>
      <w:r w:rsidRPr="00A90F8B">
        <w:rPr>
          <w:lang w:eastAsia="en-AU"/>
        </w:rPr>
        <w:t xml:space="preserve">’s financial </w:t>
      </w:r>
      <w:r>
        <w:rPr>
          <w:lang w:eastAsia="en-AU"/>
        </w:rPr>
        <w:t xml:space="preserve">and human resource </w:t>
      </w:r>
      <w:r w:rsidRPr="00A90F8B">
        <w:rPr>
          <w:lang w:eastAsia="en-AU"/>
        </w:rPr>
        <w:t>systems</w:t>
      </w:r>
      <w:r w:rsidR="00C15566">
        <w:rPr>
          <w:lang w:eastAsia="en-AU"/>
        </w:rPr>
        <w:t>––</w:t>
      </w:r>
      <w:r w:rsidRPr="00A90F8B">
        <w:rPr>
          <w:lang w:eastAsia="en-AU"/>
        </w:rPr>
        <w:t xml:space="preserve">strengthens opportunities </w:t>
      </w:r>
      <w:r>
        <w:rPr>
          <w:lang w:eastAsia="en-AU"/>
        </w:rPr>
        <w:t>to achieve AECSP</w:t>
      </w:r>
      <w:r w:rsidRPr="00A90F8B">
        <w:rPr>
          <w:lang w:eastAsia="en-AU"/>
        </w:rPr>
        <w:t xml:space="preserve"> objectives and is consistent with higher order capacity development principles.</w:t>
      </w:r>
      <w:r>
        <w:rPr>
          <w:lang w:eastAsia="en-AU"/>
        </w:rPr>
        <w:t xml:space="preserve"> </w:t>
      </w:r>
      <w:r w:rsidR="00C15566">
        <w:rPr>
          <w:lang w:eastAsia="en-AU"/>
        </w:rPr>
        <w:t>The</w:t>
      </w:r>
      <w:r w:rsidR="00FA23AA">
        <w:rPr>
          <w:lang w:eastAsia="en-AU"/>
        </w:rPr>
        <w:t xml:space="preserve"> </w:t>
      </w:r>
      <w:r w:rsidR="00C15566">
        <w:rPr>
          <w:lang w:eastAsia="en-AU"/>
        </w:rPr>
        <w:t xml:space="preserve">secretariat </w:t>
      </w:r>
      <w:r w:rsidRPr="00F2549F">
        <w:rPr>
          <w:lang w:eastAsia="en-AU"/>
        </w:rPr>
        <w:t>is working with other donors and partners</w:t>
      </w:r>
      <w:r w:rsidR="00C15566">
        <w:rPr>
          <w:lang w:eastAsia="en-AU"/>
        </w:rPr>
        <w:t xml:space="preserve"> </w:t>
      </w:r>
      <w:r w:rsidRPr="00F2549F">
        <w:rPr>
          <w:lang w:eastAsia="en-AU"/>
        </w:rPr>
        <w:t>including the E</w:t>
      </w:r>
      <w:r w:rsidR="00C15566">
        <w:rPr>
          <w:lang w:eastAsia="en-AU"/>
        </w:rPr>
        <w:t xml:space="preserve">uropean </w:t>
      </w:r>
      <w:r w:rsidRPr="00F2549F">
        <w:rPr>
          <w:lang w:eastAsia="en-AU"/>
        </w:rPr>
        <w:t>U</w:t>
      </w:r>
      <w:r w:rsidR="00C15566">
        <w:rPr>
          <w:lang w:eastAsia="en-AU"/>
        </w:rPr>
        <w:t>nion</w:t>
      </w:r>
      <w:r w:rsidRPr="00F2549F">
        <w:rPr>
          <w:lang w:eastAsia="en-AU"/>
        </w:rPr>
        <w:t xml:space="preserve">, Germany, World Intellectual Property Organization, </w:t>
      </w:r>
      <w:r w:rsidR="00C15566" w:rsidRPr="00C15566">
        <w:rPr>
          <w:lang w:eastAsia="en-AU"/>
        </w:rPr>
        <w:t>United Nations Educational, Scientific and Cultural Organization</w:t>
      </w:r>
      <w:r w:rsidR="00C15566" w:rsidRPr="00C15566" w:rsidDel="00C15566">
        <w:rPr>
          <w:lang w:eastAsia="en-AU"/>
        </w:rPr>
        <w:t xml:space="preserve"> </w:t>
      </w:r>
      <w:r w:rsidRPr="00F2549F">
        <w:rPr>
          <w:lang w:eastAsia="en-AU"/>
        </w:rPr>
        <w:t>and th</w:t>
      </w:r>
      <w:r>
        <w:rPr>
          <w:lang w:eastAsia="en-AU"/>
        </w:rPr>
        <w:t xml:space="preserve">e OECD to develop and deliver </w:t>
      </w:r>
      <w:r w:rsidR="00546E38">
        <w:rPr>
          <w:lang w:eastAsia="en-AU"/>
        </w:rPr>
        <w:t>Economic Cooperation Work Program</w:t>
      </w:r>
      <w:r>
        <w:rPr>
          <w:lang w:eastAsia="en-AU"/>
        </w:rPr>
        <w:t xml:space="preserve"> projects, with additional cooperative projects </w:t>
      </w:r>
      <w:r w:rsidRPr="00F2549F">
        <w:rPr>
          <w:lang w:eastAsia="en-AU"/>
        </w:rPr>
        <w:t>in the pipeline.</w:t>
      </w:r>
      <w:r w:rsidR="005856D4">
        <w:rPr>
          <w:lang w:eastAsia="en-AU"/>
        </w:rPr>
        <w:t xml:space="preserve"> </w:t>
      </w:r>
    </w:p>
    <w:p w14:paraId="300936E6" w14:textId="02958E54" w:rsidR="00530BA8" w:rsidRDefault="00530BA8" w:rsidP="00C1556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rsidRPr="00C03170">
        <w:rPr>
          <w:lang w:val="en-US"/>
        </w:rPr>
        <w:t xml:space="preserve">Multiple donor-funded programs that require separate administration, bank accounts and auditing </w:t>
      </w:r>
      <w:r>
        <w:rPr>
          <w:lang w:val="en-US"/>
        </w:rPr>
        <w:t xml:space="preserve">are becoming an </w:t>
      </w:r>
      <w:r w:rsidRPr="00C03170">
        <w:rPr>
          <w:lang w:val="en-US"/>
        </w:rPr>
        <w:t>overwhelm</w:t>
      </w:r>
      <w:r>
        <w:rPr>
          <w:lang w:val="en-US"/>
        </w:rPr>
        <w:t>ing problem for</w:t>
      </w:r>
      <w:r w:rsidRPr="00C03170">
        <w:rPr>
          <w:lang w:val="en-US"/>
        </w:rPr>
        <w:t xml:space="preserve"> </w:t>
      </w:r>
      <w:r w:rsidR="00C15566">
        <w:rPr>
          <w:lang w:eastAsia="en-AU"/>
        </w:rPr>
        <w:t>the</w:t>
      </w:r>
      <w:r w:rsidR="00C15566" w:rsidRPr="00A90F8B">
        <w:rPr>
          <w:lang w:eastAsia="en-AU"/>
        </w:rPr>
        <w:t xml:space="preserve"> </w:t>
      </w:r>
      <w:r w:rsidR="00C15566">
        <w:rPr>
          <w:lang w:eastAsia="en-AU"/>
        </w:rPr>
        <w:t>ASEAN Secretariat</w:t>
      </w:r>
      <w:r w:rsidRPr="00C03170">
        <w:rPr>
          <w:lang w:val="en-US"/>
        </w:rPr>
        <w:t>.</w:t>
      </w:r>
      <w:r w:rsidR="005856D4">
        <w:rPr>
          <w:lang w:val="en-US"/>
        </w:rPr>
        <w:t xml:space="preserve"> </w:t>
      </w:r>
      <w:r>
        <w:rPr>
          <w:lang w:val="en-US"/>
        </w:rPr>
        <w:t>Donors should look to</w:t>
      </w:r>
      <w:r w:rsidRPr="00C03170">
        <w:rPr>
          <w:lang w:val="en-US"/>
        </w:rPr>
        <w:t xml:space="preserve"> </w:t>
      </w:r>
      <w:r>
        <w:rPr>
          <w:lang w:val="en-US"/>
        </w:rPr>
        <w:t>consolidate their support into a single trust fund.</w:t>
      </w:r>
      <w:r w:rsidR="005856D4">
        <w:rPr>
          <w:lang w:val="en-US"/>
        </w:rPr>
        <w:t xml:space="preserve"> </w:t>
      </w:r>
    </w:p>
    <w:p w14:paraId="6C8BD983" w14:textId="2CAFFF54" w:rsidR="00530BA8" w:rsidRDefault="00530BA8" w:rsidP="00C1556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t>In response to specific questions about</w:t>
      </w:r>
      <w:r w:rsidRPr="002915C2">
        <w:rPr>
          <w:lang w:eastAsia="en-AU"/>
        </w:rPr>
        <w:t xml:space="preserve"> whether</w:t>
      </w:r>
      <w:r w:rsidR="005856D4">
        <w:rPr>
          <w:lang w:eastAsia="en-AU"/>
        </w:rPr>
        <w:t xml:space="preserve"> </w:t>
      </w:r>
      <w:r w:rsidR="00C15566">
        <w:rPr>
          <w:lang w:eastAsia="en-AU"/>
        </w:rPr>
        <w:t>the</w:t>
      </w:r>
      <w:r w:rsidR="00C15566" w:rsidRPr="00A90F8B">
        <w:rPr>
          <w:lang w:eastAsia="en-AU"/>
        </w:rPr>
        <w:t xml:space="preserve"> </w:t>
      </w:r>
      <w:r w:rsidR="00C15566">
        <w:rPr>
          <w:lang w:eastAsia="en-AU"/>
        </w:rPr>
        <w:t xml:space="preserve">ASEAN Secretariat </w:t>
      </w:r>
      <w:r w:rsidRPr="002915C2">
        <w:rPr>
          <w:lang w:eastAsia="en-AU"/>
        </w:rPr>
        <w:t>was the most appropriate insti</w:t>
      </w:r>
      <w:r>
        <w:rPr>
          <w:lang w:eastAsia="en-AU"/>
        </w:rPr>
        <w:t>tution to implement AECSP—</w:t>
      </w:r>
      <w:r w:rsidRPr="002915C2">
        <w:rPr>
          <w:lang w:eastAsia="en-AU"/>
        </w:rPr>
        <w:t>especially given the pre</w:t>
      </w:r>
      <w:r>
        <w:rPr>
          <w:lang w:eastAsia="en-AU"/>
        </w:rPr>
        <w:t>ssing demands on</w:t>
      </w:r>
      <w:r w:rsidR="005856D4">
        <w:rPr>
          <w:lang w:eastAsia="en-AU"/>
        </w:rPr>
        <w:t xml:space="preserve"> </w:t>
      </w:r>
      <w:r w:rsidR="00C15566">
        <w:rPr>
          <w:lang w:eastAsia="en-AU"/>
        </w:rPr>
        <w:t>the</w:t>
      </w:r>
      <w:r w:rsidR="00C15566" w:rsidRPr="00A90F8B">
        <w:rPr>
          <w:lang w:eastAsia="en-AU"/>
        </w:rPr>
        <w:t xml:space="preserve"> </w:t>
      </w:r>
      <w:r w:rsidR="00C15566">
        <w:rPr>
          <w:lang w:eastAsia="en-AU"/>
        </w:rPr>
        <w:t xml:space="preserve">secretariat’s </w:t>
      </w:r>
      <w:r>
        <w:rPr>
          <w:lang w:eastAsia="en-AU"/>
        </w:rPr>
        <w:t>resources—</w:t>
      </w:r>
      <w:r w:rsidR="00C15566">
        <w:rPr>
          <w:lang w:eastAsia="en-AU"/>
        </w:rPr>
        <w:t>participants</w:t>
      </w:r>
      <w:r w:rsidR="00C15566" w:rsidRPr="002915C2">
        <w:rPr>
          <w:lang w:eastAsia="en-AU"/>
        </w:rPr>
        <w:t xml:space="preserve"> </w:t>
      </w:r>
      <w:r>
        <w:rPr>
          <w:lang w:eastAsia="en-AU"/>
        </w:rPr>
        <w:t>argued</w:t>
      </w:r>
      <w:r w:rsidRPr="002915C2">
        <w:rPr>
          <w:lang w:eastAsia="en-AU"/>
        </w:rPr>
        <w:t xml:space="preserve"> that</w:t>
      </w:r>
      <w:r w:rsidR="005856D4">
        <w:rPr>
          <w:lang w:eastAsia="en-AU"/>
        </w:rPr>
        <w:t xml:space="preserve"> </w:t>
      </w:r>
      <w:r w:rsidR="00C15566">
        <w:rPr>
          <w:lang w:eastAsia="en-AU"/>
        </w:rPr>
        <w:t>the</w:t>
      </w:r>
      <w:r w:rsidR="00C15566" w:rsidRPr="00A90F8B">
        <w:rPr>
          <w:lang w:eastAsia="en-AU"/>
        </w:rPr>
        <w:t xml:space="preserve"> </w:t>
      </w:r>
      <w:r w:rsidR="00C15566">
        <w:rPr>
          <w:lang w:eastAsia="en-AU"/>
        </w:rPr>
        <w:t xml:space="preserve">secretariat </w:t>
      </w:r>
      <w:r w:rsidRPr="002915C2">
        <w:rPr>
          <w:lang w:eastAsia="en-AU"/>
        </w:rPr>
        <w:t xml:space="preserve">was the obvious implementing partner, stressing the strong complementarity between AANZFTA institutional building priorities and ASEAN priorities as identified in the </w:t>
      </w:r>
      <w:r w:rsidR="00095CBB" w:rsidRPr="002915C2">
        <w:rPr>
          <w:lang w:eastAsia="en-AU"/>
        </w:rPr>
        <w:t>ASEAN Economic Community</w:t>
      </w:r>
      <w:r w:rsidR="00095CBB" w:rsidRPr="00714B4B" w:rsidDel="00095CBB">
        <w:rPr>
          <w:lang w:eastAsia="en-AU"/>
        </w:rPr>
        <w:t xml:space="preserve"> </w:t>
      </w:r>
      <w:r w:rsidRPr="002915C2">
        <w:rPr>
          <w:lang w:eastAsia="en-AU"/>
        </w:rPr>
        <w:t xml:space="preserve">blueprint. </w:t>
      </w:r>
      <w:r w:rsidR="00C15566">
        <w:rPr>
          <w:lang w:eastAsia="en-AU"/>
        </w:rPr>
        <w:t>Participants</w:t>
      </w:r>
      <w:r w:rsidR="00C15566" w:rsidRPr="002915C2">
        <w:rPr>
          <w:lang w:eastAsia="en-AU"/>
        </w:rPr>
        <w:t xml:space="preserve"> </w:t>
      </w:r>
      <w:r w:rsidRPr="002915C2">
        <w:rPr>
          <w:lang w:eastAsia="en-AU"/>
        </w:rPr>
        <w:t>also noted the potential to build on this capacity to further support ASEAN efforts to develop wider regional trade agreements.</w:t>
      </w:r>
    </w:p>
    <w:p w14:paraId="4C246D20" w14:textId="7ED14255" w:rsidR="00530BA8" w:rsidRDefault="00530BA8" w:rsidP="00C1556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t>One option would be to continue seek</w:t>
      </w:r>
      <w:r w:rsidR="00C15566">
        <w:rPr>
          <w:lang w:eastAsia="en-AU"/>
        </w:rPr>
        <w:t>ing</w:t>
      </w:r>
      <w:r>
        <w:rPr>
          <w:lang w:eastAsia="en-AU"/>
        </w:rPr>
        <w:t xml:space="preserve"> opportunities to contract out</w:t>
      </w:r>
      <w:r>
        <w:rPr>
          <w:rStyle w:val="FootnoteReference"/>
          <w:lang w:eastAsia="en-AU"/>
        </w:rPr>
        <w:footnoteReference w:id="32"/>
      </w:r>
      <w:r>
        <w:rPr>
          <w:lang w:eastAsia="en-AU"/>
        </w:rPr>
        <w:t xml:space="preserve"> implementation of selected </w:t>
      </w:r>
      <w:r w:rsidRPr="00757B0B">
        <w:rPr>
          <w:lang w:val="en-US" w:eastAsia="en-AU"/>
        </w:rPr>
        <w:t xml:space="preserve">projects </w:t>
      </w:r>
      <w:r>
        <w:rPr>
          <w:lang w:val="en-US" w:eastAsia="en-AU"/>
        </w:rPr>
        <w:t>(</w:t>
      </w:r>
      <w:r w:rsidR="00C15566">
        <w:rPr>
          <w:lang w:val="en-US" w:eastAsia="en-AU"/>
        </w:rPr>
        <w:t>for example,</w:t>
      </w:r>
      <w:r w:rsidRPr="00757B0B">
        <w:rPr>
          <w:lang w:val="en-US" w:eastAsia="en-AU"/>
        </w:rPr>
        <w:t xml:space="preserve"> </w:t>
      </w:r>
      <w:r>
        <w:rPr>
          <w:lang w:val="en-US" w:eastAsia="en-AU"/>
        </w:rPr>
        <w:t>broader</w:t>
      </w:r>
      <w:r w:rsidRPr="00757B0B">
        <w:rPr>
          <w:lang w:val="en-US" w:eastAsia="en-AU"/>
        </w:rPr>
        <w:t xml:space="preserve"> economic integration</w:t>
      </w:r>
      <w:r>
        <w:rPr>
          <w:lang w:val="en-US" w:eastAsia="en-AU"/>
        </w:rPr>
        <w:t xml:space="preserve"> projects</w:t>
      </w:r>
      <w:r w:rsidRPr="00757B0B">
        <w:rPr>
          <w:lang w:val="en-US" w:eastAsia="en-AU"/>
        </w:rPr>
        <w:t xml:space="preserve"> and </w:t>
      </w:r>
      <w:r>
        <w:rPr>
          <w:lang w:val="en-US" w:eastAsia="en-AU"/>
        </w:rPr>
        <w:t>projects to increase</w:t>
      </w:r>
      <w:r w:rsidRPr="00757B0B">
        <w:rPr>
          <w:lang w:val="en-US" w:eastAsia="en-AU"/>
        </w:rPr>
        <w:t xml:space="preserve"> business </w:t>
      </w:r>
      <w:r w:rsidR="00C15566">
        <w:rPr>
          <w:lang w:val="en-US" w:eastAsia="en-AU"/>
        </w:rPr>
        <w:t>use</w:t>
      </w:r>
      <w:r>
        <w:rPr>
          <w:lang w:val="en-US" w:eastAsia="en-AU"/>
        </w:rPr>
        <w:t>)</w:t>
      </w:r>
      <w:r w:rsidR="00C15566">
        <w:rPr>
          <w:lang w:val="en-US" w:eastAsia="en-AU"/>
        </w:rPr>
        <w:t>, h</w:t>
      </w:r>
      <w:r>
        <w:rPr>
          <w:lang w:val="en-US" w:eastAsia="en-AU"/>
        </w:rPr>
        <w:t xml:space="preserve">owever the </w:t>
      </w:r>
      <w:r w:rsidR="00C15566" w:rsidRPr="00C15566">
        <w:rPr>
          <w:lang w:eastAsia="en-AU"/>
        </w:rPr>
        <w:t xml:space="preserve">AANZFTA Support Unit </w:t>
      </w:r>
      <w:r>
        <w:rPr>
          <w:lang w:val="en-US" w:eastAsia="en-AU"/>
        </w:rPr>
        <w:t>and others argued that some projects (</w:t>
      </w:r>
      <w:r w:rsidR="00C15566">
        <w:rPr>
          <w:lang w:val="en-US" w:eastAsia="en-AU"/>
        </w:rPr>
        <w:t>such as</w:t>
      </w:r>
      <w:r>
        <w:rPr>
          <w:lang w:val="en-US" w:eastAsia="en-AU"/>
        </w:rPr>
        <w:t xml:space="preserve"> many of those directly supporting</w:t>
      </w:r>
      <w:r w:rsidRPr="00757B0B">
        <w:rPr>
          <w:lang w:val="en-US" w:eastAsia="en-AU"/>
        </w:rPr>
        <w:t xml:space="preserve"> AANZFTA </w:t>
      </w:r>
      <w:r>
        <w:rPr>
          <w:lang w:val="en-US" w:eastAsia="en-AU"/>
        </w:rPr>
        <w:t>implementation</w:t>
      </w:r>
      <w:r w:rsidRPr="00757B0B">
        <w:rPr>
          <w:lang w:val="en-US" w:eastAsia="en-AU"/>
        </w:rPr>
        <w:t xml:space="preserve"> and p</w:t>
      </w:r>
      <w:r>
        <w:rPr>
          <w:lang w:val="en-US" w:eastAsia="en-AU"/>
        </w:rPr>
        <w:t xml:space="preserve">rogressing its built-in agenda) require </w:t>
      </w:r>
      <w:r w:rsidRPr="00757B0B">
        <w:rPr>
          <w:lang w:val="en-US" w:eastAsia="en-AU"/>
        </w:rPr>
        <w:t>expertise</w:t>
      </w:r>
      <w:r>
        <w:rPr>
          <w:lang w:val="en-US" w:eastAsia="en-AU"/>
        </w:rPr>
        <w:t xml:space="preserve"> and commitment</w:t>
      </w:r>
      <w:r w:rsidRPr="00757B0B">
        <w:rPr>
          <w:lang w:val="en-US" w:eastAsia="en-AU"/>
        </w:rPr>
        <w:t xml:space="preserve"> fro</w:t>
      </w:r>
      <w:r>
        <w:rPr>
          <w:lang w:val="en-US" w:eastAsia="en-AU"/>
        </w:rPr>
        <w:t xml:space="preserve">m relevant government officials (current and </w:t>
      </w:r>
      <w:r w:rsidRPr="00757B0B">
        <w:rPr>
          <w:lang w:val="en-US" w:eastAsia="en-AU"/>
        </w:rPr>
        <w:t xml:space="preserve">retired) and the ASEAN Secretariat. </w:t>
      </w:r>
    </w:p>
    <w:p w14:paraId="2C7B4C41" w14:textId="16A05A66" w:rsidR="00530BA8" w:rsidRDefault="00530BA8" w:rsidP="00C1556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8400CB">
        <w:rPr>
          <w:lang w:eastAsia="en-AU"/>
        </w:rPr>
        <w:t xml:space="preserve">The </w:t>
      </w:r>
      <w:r w:rsidR="00C15566" w:rsidRPr="008400CB">
        <w:rPr>
          <w:lang w:eastAsia="en-AU"/>
        </w:rPr>
        <w:t>demand</w:t>
      </w:r>
      <w:r w:rsidR="00C15566">
        <w:rPr>
          <w:lang w:eastAsia="en-AU"/>
        </w:rPr>
        <w:t>-</w:t>
      </w:r>
      <w:r w:rsidRPr="008400CB">
        <w:rPr>
          <w:lang w:eastAsia="en-AU"/>
        </w:rPr>
        <w:t>driven nature of AECSP</w:t>
      </w:r>
      <w:r>
        <w:rPr>
          <w:lang w:eastAsia="en-AU"/>
        </w:rPr>
        <w:t>,</w:t>
      </w:r>
      <w:r w:rsidRPr="008400CB">
        <w:rPr>
          <w:lang w:eastAsia="en-AU"/>
        </w:rPr>
        <w:t xml:space="preserve"> and the emphasis on embedding the program within </w:t>
      </w:r>
      <w:r w:rsidR="00C15566">
        <w:rPr>
          <w:lang w:eastAsia="en-AU"/>
        </w:rPr>
        <w:t xml:space="preserve">the </w:t>
      </w:r>
      <w:r w:rsidR="00FA23AA">
        <w:rPr>
          <w:lang w:eastAsia="en-AU"/>
        </w:rPr>
        <w:t xml:space="preserve">ASEAN </w:t>
      </w:r>
      <w:r w:rsidR="00C15566">
        <w:rPr>
          <w:lang w:eastAsia="en-AU"/>
        </w:rPr>
        <w:t>Secretariat</w:t>
      </w:r>
      <w:r w:rsidR="0031282F">
        <w:rPr>
          <w:lang w:eastAsia="en-AU"/>
        </w:rPr>
        <w:t>, has the potential for other</w:t>
      </w:r>
      <w:r>
        <w:rPr>
          <w:lang w:eastAsia="en-AU"/>
        </w:rPr>
        <w:t xml:space="preserve"> donors to </w:t>
      </w:r>
      <w:r w:rsidR="00C15566">
        <w:rPr>
          <w:lang w:eastAsia="en-AU"/>
        </w:rPr>
        <w:t xml:space="preserve">use </w:t>
      </w:r>
      <w:r>
        <w:rPr>
          <w:lang w:eastAsia="en-AU"/>
        </w:rPr>
        <w:t xml:space="preserve">a </w:t>
      </w:r>
      <w:r w:rsidR="00C15566">
        <w:rPr>
          <w:lang w:eastAsia="en-AU"/>
        </w:rPr>
        <w:t xml:space="preserve">harmonised </w:t>
      </w:r>
      <w:r>
        <w:rPr>
          <w:lang w:eastAsia="en-AU"/>
        </w:rPr>
        <w:t xml:space="preserve">structure that could help reduce </w:t>
      </w:r>
      <w:r w:rsidR="00C15566">
        <w:rPr>
          <w:lang w:eastAsia="en-AU"/>
        </w:rPr>
        <w:t>the</w:t>
      </w:r>
      <w:r w:rsidR="00FA23AA">
        <w:rPr>
          <w:lang w:eastAsia="en-AU"/>
        </w:rPr>
        <w:t xml:space="preserve"> </w:t>
      </w:r>
      <w:r w:rsidR="00C15566">
        <w:rPr>
          <w:lang w:eastAsia="en-AU"/>
        </w:rPr>
        <w:t xml:space="preserve">secretariat’s </w:t>
      </w:r>
      <w:r>
        <w:rPr>
          <w:lang w:eastAsia="en-AU"/>
        </w:rPr>
        <w:t xml:space="preserve">administrative burdens. </w:t>
      </w:r>
      <w:r w:rsidRPr="000F5A2D">
        <w:rPr>
          <w:lang w:eastAsia="en-AU"/>
        </w:rPr>
        <w:t>The design and implementation strategy allows for contingencies and opportunities to be address</w:t>
      </w:r>
      <w:r w:rsidR="00467E55">
        <w:rPr>
          <w:lang w:eastAsia="en-AU"/>
        </w:rPr>
        <w:t>ed</w:t>
      </w:r>
      <w:r w:rsidRPr="000F5A2D">
        <w:rPr>
          <w:lang w:eastAsia="en-AU"/>
        </w:rPr>
        <w:t xml:space="preserve"> as </w:t>
      </w:r>
      <w:r w:rsidRPr="000F5A2D">
        <w:rPr>
          <w:lang w:eastAsia="en-AU"/>
        </w:rPr>
        <w:lastRenderedPageBreak/>
        <w:t>required.</w:t>
      </w:r>
      <w:r w:rsidR="005856D4">
        <w:rPr>
          <w:lang w:eastAsia="en-AU"/>
        </w:rPr>
        <w:t xml:space="preserve"> </w:t>
      </w:r>
      <w:r w:rsidRPr="000F5A2D">
        <w:rPr>
          <w:lang w:eastAsia="en-AU"/>
        </w:rPr>
        <w:t>The annual planning process</w:t>
      </w:r>
      <w:r>
        <w:rPr>
          <w:lang w:eastAsia="en-AU"/>
        </w:rPr>
        <w:t>,</w:t>
      </w:r>
      <w:r w:rsidRPr="000F5A2D">
        <w:rPr>
          <w:lang w:eastAsia="en-AU"/>
        </w:rPr>
        <w:t xml:space="preserve"> </w:t>
      </w:r>
      <w:r>
        <w:rPr>
          <w:lang w:eastAsia="en-AU"/>
        </w:rPr>
        <w:t xml:space="preserve">working through the </w:t>
      </w:r>
      <w:r w:rsidR="00546E38">
        <w:rPr>
          <w:lang w:eastAsia="en-AU"/>
        </w:rPr>
        <w:t>Economic Cooperation Work Program</w:t>
      </w:r>
      <w:r w:rsidR="00C15566">
        <w:rPr>
          <w:lang w:eastAsia="en-AU"/>
        </w:rPr>
        <w:t>,</w:t>
      </w:r>
      <w:r w:rsidR="00546E38">
        <w:rPr>
          <w:lang w:eastAsia="en-AU"/>
        </w:rPr>
        <w:t xml:space="preserve"> </w:t>
      </w:r>
      <w:r w:rsidRPr="000F5A2D">
        <w:rPr>
          <w:lang w:eastAsia="en-AU"/>
        </w:rPr>
        <w:t xml:space="preserve">provides an adaptive </w:t>
      </w:r>
      <w:r w:rsidR="00C15566">
        <w:rPr>
          <w:lang w:eastAsia="en-AU"/>
        </w:rPr>
        <w:t>way</w:t>
      </w:r>
      <w:r w:rsidR="00C15566" w:rsidRPr="000F5A2D">
        <w:rPr>
          <w:lang w:eastAsia="en-AU"/>
        </w:rPr>
        <w:t xml:space="preserve"> </w:t>
      </w:r>
      <w:r w:rsidRPr="000F5A2D">
        <w:rPr>
          <w:lang w:eastAsia="en-AU"/>
        </w:rPr>
        <w:t>to account for ongoing priorities and developments.</w:t>
      </w:r>
      <w:r w:rsidR="005856D4">
        <w:rPr>
          <w:lang w:eastAsia="en-AU"/>
        </w:rPr>
        <w:t xml:space="preserve"> </w:t>
      </w:r>
    </w:p>
    <w:p w14:paraId="1129151C" w14:textId="4089C61E" w:rsidR="00530BA8" w:rsidRPr="008400CB" w:rsidRDefault="00530BA8" w:rsidP="00CB48D3">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8400CB">
        <w:rPr>
          <w:lang w:eastAsia="en-AU"/>
        </w:rPr>
        <w:t xml:space="preserve">The structure of the </w:t>
      </w:r>
      <w:r>
        <w:rPr>
          <w:lang w:eastAsia="en-AU"/>
        </w:rPr>
        <w:t xml:space="preserve">AANZFTA </w:t>
      </w:r>
      <w:r w:rsidRPr="008400CB">
        <w:rPr>
          <w:lang w:eastAsia="en-AU"/>
        </w:rPr>
        <w:t>Support Unit</w:t>
      </w:r>
      <w:r w:rsidR="00CB48D3">
        <w:rPr>
          <w:lang w:eastAsia="en-AU"/>
        </w:rPr>
        <w:t xml:space="preserve"> </w:t>
      </w:r>
      <w:r w:rsidRPr="008400CB">
        <w:rPr>
          <w:lang w:eastAsia="en-AU"/>
        </w:rPr>
        <w:t xml:space="preserve">appears </w:t>
      </w:r>
      <w:r>
        <w:rPr>
          <w:lang w:eastAsia="en-AU"/>
        </w:rPr>
        <w:t>generally appropriate given</w:t>
      </w:r>
      <w:r w:rsidRPr="008400CB">
        <w:rPr>
          <w:lang w:eastAsia="en-AU"/>
        </w:rPr>
        <w:t xml:space="preserve"> the context </w:t>
      </w:r>
      <w:r>
        <w:rPr>
          <w:lang w:eastAsia="en-AU"/>
        </w:rPr>
        <w:t>and</w:t>
      </w:r>
      <w:r w:rsidRPr="008400CB">
        <w:rPr>
          <w:lang w:eastAsia="en-AU"/>
        </w:rPr>
        <w:t xml:space="preserve"> the needs of AECSP. </w:t>
      </w:r>
      <w:r>
        <w:rPr>
          <w:lang w:eastAsia="en-AU"/>
        </w:rPr>
        <w:t>More resources may be needed to improve program communications, proposal preparation and evaluation, outreach and visibility.</w:t>
      </w:r>
      <w:r w:rsidRPr="008400CB">
        <w:rPr>
          <w:lang w:eastAsia="en-AU"/>
        </w:rPr>
        <w:t xml:space="preserve"> Staff classifications appear consistent with existing </w:t>
      </w:r>
      <w:r w:rsidR="00FA23AA">
        <w:rPr>
          <w:lang w:eastAsia="en-AU"/>
        </w:rPr>
        <w:t xml:space="preserve">ASEAN </w:t>
      </w:r>
      <w:r w:rsidR="00CB48D3">
        <w:rPr>
          <w:lang w:eastAsia="en-AU"/>
        </w:rPr>
        <w:t xml:space="preserve">Secretariat </w:t>
      </w:r>
      <w:r w:rsidRPr="008400CB">
        <w:rPr>
          <w:lang w:eastAsia="en-AU"/>
        </w:rPr>
        <w:t>appointments and salaries</w:t>
      </w:r>
      <w:r w:rsidR="00CB48D3">
        <w:rPr>
          <w:lang w:eastAsia="en-AU"/>
        </w:rPr>
        <w:t>,</w:t>
      </w:r>
      <w:r w:rsidR="00CB48D3" w:rsidRPr="008400CB">
        <w:rPr>
          <w:lang w:eastAsia="en-AU"/>
        </w:rPr>
        <w:t xml:space="preserve"> </w:t>
      </w:r>
      <w:r w:rsidR="00CB48D3">
        <w:rPr>
          <w:lang w:eastAsia="en-AU"/>
        </w:rPr>
        <w:t>h</w:t>
      </w:r>
      <w:r w:rsidR="00CB48D3" w:rsidRPr="008400CB">
        <w:rPr>
          <w:lang w:eastAsia="en-AU"/>
        </w:rPr>
        <w:t>owever</w:t>
      </w:r>
      <w:r w:rsidRPr="008400CB">
        <w:rPr>
          <w:lang w:eastAsia="en-AU"/>
        </w:rPr>
        <w:t xml:space="preserve"> there </w:t>
      </w:r>
      <w:r>
        <w:rPr>
          <w:lang w:eastAsia="en-AU"/>
        </w:rPr>
        <w:t>are reportedly</w:t>
      </w:r>
      <w:r w:rsidRPr="008400CB">
        <w:rPr>
          <w:lang w:eastAsia="en-AU"/>
        </w:rPr>
        <w:t xml:space="preserve"> some inconsistencies </w:t>
      </w:r>
      <w:r>
        <w:rPr>
          <w:lang w:eastAsia="en-AU"/>
        </w:rPr>
        <w:t>in conditions of service. M</w:t>
      </w:r>
      <w:r w:rsidRPr="008400CB">
        <w:rPr>
          <w:lang w:eastAsia="en-AU"/>
        </w:rPr>
        <w:t>aintain</w:t>
      </w:r>
      <w:r>
        <w:rPr>
          <w:lang w:eastAsia="en-AU"/>
        </w:rPr>
        <w:t>ing</w:t>
      </w:r>
      <w:r w:rsidRPr="008400CB">
        <w:rPr>
          <w:lang w:eastAsia="en-AU"/>
        </w:rPr>
        <w:t xml:space="preserve"> professional and financial</w:t>
      </w:r>
      <w:r>
        <w:rPr>
          <w:lang w:eastAsia="en-AU"/>
        </w:rPr>
        <w:t xml:space="preserve"> parity within and across </w:t>
      </w:r>
      <w:r w:rsidR="00CB48D3">
        <w:rPr>
          <w:lang w:eastAsia="en-AU"/>
        </w:rPr>
        <w:t>the</w:t>
      </w:r>
      <w:r w:rsidR="00FA23AA">
        <w:rPr>
          <w:lang w:eastAsia="en-AU"/>
        </w:rPr>
        <w:t xml:space="preserve"> </w:t>
      </w:r>
      <w:r w:rsidR="00CB48D3">
        <w:rPr>
          <w:lang w:eastAsia="en-AU"/>
        </w:rPr>
        <w:t xml:space="preserve">secretariat </w:t>
      </w:r>
      <w:r>
        <w:rPr>
          <w:lang w:eastAsia="en-AU"/>
        </w:rPr>
        <w:t xml:space="preserve">is an </w:t>
      </w:r>
      <w:r w:rsidRPr="008400CB">
        <w:rPr>
          <w:lang w:eastAsia="en-AU"/>
        </w:rPr>
        <w:t xml:space="preserve">important principle </w:t>
      </w:r>
      <w:r>
        <w:rPr>
          <w:lang w:eastAsia="en-AU"/>
        </w:rPr>
        <w:t>in attempting to build sustainable capacity and the partners should address this issue.</w:t>
      </w:r>
    </w:p>
    <w:p w14:paraId="701B8F30" w14:textId="77777777" w:rsidR="00530BA8" w:rsidRDefault="00530BA8" w:rsidP="00530BA8">
      <w:pPr>
        <w:pStyle w:val="Heading3"/>
      </w:pPr>
      <w:r>
        <w:t>Impact</w:t>
      </w:r>
      <w:r>
        <w:rPr>
          <w:rStyle w:val="FootnoteReference"/>
        </w:rPr>
        <w:footnoteReference w:id="33"/>
      </w:r>
    </w:p>
    <w:p w14:paraId="41870410" w14:textId="0C68E705" w:rsidR="00CB48D3" w:rsidRDefault="00530BA8" w:rsidP="00CB48D3">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t>As discussed elsewhere in this report, more could be done to systematically collect, collate and disseminate information on results. Tangible</w:t>
      </w:r>
      <w:r w:rsidR="007A4FA7">
        <w:rPr>
          <w:lang w:eastAsia="en-AU"/>
        </w:rPr>
        <w:t>,</w:t>
      </w:r>
      <w:r w:rsidRPr="002915C2">
        <w:rPr>
          <w:lang w:eastAsia="en-AU"/>
        </w:rPr>
        <w:t xml:space="preserve"> practical results </w:t>
      </w:r>
      <w:r>
        <w:rPr>
          <w:lang w:eastAsia="en-AU"/>
        </w:rPr>
        <w:t xml:space="preserve">already </w:t>
      </w:r>
      <w:r w:rsidRPr="002915C2">
        <w:rPr>
          <w:lang w:eastAsia="en-AU"/>
        </w:rPr>
        <w:t xml:space="preserve">realised </w:t>
      </w:r>
      <w:r>
        <w:rPr>
          <w:lang w:eastAsia="en-AU"/>
        </w:rPr>
        <w:t>include:</w:t>
      </w:r>
      <w:r w:rsidRPr="002915C2">
        <w:rPr>
          <w:lang w:eastAsia="en-AU"/>
        </w:rPr>
        <w:t xml:space="preserve"> </w:t>
      </w:r>
    </w:p>
    <w:p w14:paraId="4196AE0B" w14:textId="4537B1C7" w:rsidR="00CB48D3" w:rsidRDefault="00530BA8" w:rsidP="00714B4B">
      <w:pPr>
        <w:ind w:left="426"/>
        <w:rPr>
          <w:lang w:eastAsia="en-AU"/>
        </w:rPr>
      </w:pPr>
      <w:r w:rsidRPr="002915C2">
        <w:rPr>
          <w:lang w:eastAsia="en-AU"/>
        </w:rPr>
        <w:t xml:space="preserve">(i) resolving </w:t>
      </w:r>
      <w:r>
        <w:rPr>
          <w:lang w:eastAsia="en-AU"/>
        </w:rPr>
        <w:t>bottlenecks</w:t>
      </w:r>
      <w:r w:rsidRPr="002915C2">
        <w:rPr>
          <w:lang w:eastAsia="en-AU"/>
        </w:rPr>
        <w:t xml:space="preserve"> related to issu</w:t>
      </w:r>
      <w:r w:rsidR="00CB48D3">
        <w:rPr>
          <w:lang w:eastAsia="en-AU"/>
        </w:rPr>
        <w:t xml:space="preserve">ing </w:t>
      </w:r>
      <w:r w:rsidRPr="002915C2">
        <w:rPr>
          <w:lang w:eastAsia="en-AU"/>
        </w:rPr>
        <w:t>and recogni</w:t>
      </w:r>
      <w:r w:rsidR="00CB48D3">
        <w:rPr>
          <w:lang w:eastAsia="en-AU"/>
        </w:rPr>
        <w:t xml:space="preserve">sing </w:t>
      </w:r>
      <w:r w:rsidRPr="002915C2">
        <w:rPr>
          <w:lang w:eastAsia="en-AU"/>
        </w:rPr>
        <w:t>certificates of origins</w:t>
      </w:r>
    </w:p>
    <w:p w14:paraId="2695B053" w14:textId="012E6B92" w:rsidR="00CB48D3" w:rsidRDefault="00530BA8" w:rsidP="00714B4B">
      <w:pPr>
        <w:ind w:left="426"/>
        <w:rPr>
          <w:lang w:eastAsia="en-AU"/>
        </w:rPr>
      </w:pPr>
      <w:r w:rsidRPr="002915C2">
        <w:rPr>
          <w:lang w:eastAsia="en-AU"/>
        </w:rPr>
        <w:t>(ii) develop</w:t>
      </w:r>
      <w:r w:rsidR="00CB48D3">
        <w:rPr>
          <w:lang w:eastAsia="en-AU"/>
        </w:rPr>
        <w:t xml:space="preserve">ing </w:t>
      </w:r>
      <w:r w:rsidRPr="002915C2">
        <w:rPr>
          <w:lang w:eastAsia="en-AU"/>
        </w:rPr>
        <w:t xml:space="preserve">practical </w:t>
      </w:r>
      <w:r>
        <w:rPr>
          <w:lang w:eastAsia="en-AU"/>
        </w:rPr>
        <w:t xml:space="preserve">and high quality </w:t>
      </w:r>
      <w:r w:rsidRPr="002915C2">
        <w:rPr>
          <w:lang w:eastAsia="en-AU"/>
        </w:rPr>
        <w:t>trade related training capaci</w:t>
      </w:r>
      <w:r>
        <w:rPr>
          <w:lang w:eastAsia="en-AU"/>
        </w:rPr>
        <w:t>ty</w:t>
      </w:r>
      <w:r w:rsidR="00CB48D3">
        <w:rPr>
          <w:lang w:eastAsia="en-AU"/>
        </w:rPr>
        <w:t xml:space="preserve"> </w:t>
      </w:r>
      <w:r>
        <w:rPr>
          <w:lang w:eastAsia="en-AU"/>
        </w:rPr>
        <w:t>(manuals and trainers</w:t>
      </w:r>
      <w:r w:rsidR="00CB48D3">
        <w:rPr>
          <w:lang w:eastAsia="en-AU"/>
        </w:rPr>
        <w:t>)</w:t>
      </w:r>
    </w:p>
    <w:p w14:paraId="46FE2F5F" w14:textId="700F8C0B" w:rsidR="00CB48D3" w:rsidRDefault="00530BA8" w:rsidP="00714B4B">
      <w:pPr>
        <w:ind w:left="426"/>
      </w:pPr>
      <w:r w:rsidRPr="00EA21EA">
        <w:t xml:space="preserve">(iii) </w:t>
      </w:r>
      <w:r>
        <w:t xml:space="preserve">strengthening </w:t>
      </w:r>
      <w:r w:rsidRPr="00EA21EA">
        <w:t xml:space="preserve">the </w:t>
      </w:r>
      <w:r>
        <w:t xml:space="preserve">regional </w:t>
      </w:r>
      <w:r w:rsidRPr="00EA21EA">
        <w:t xml:space="preserve">diagnostic network </w:t>
      </w:r>
      <w:r w:rsidR="00CB48D3">
        <w:t xml:space="preserve">to </w:t>
      </w:r>
      <w:r>
        <w:t xml:space="preserve">enhance regional capacity </w:t>
      </w:r>
      <w:r w:rsidRPr="00EA21EA">
        <w:t xml:space="preserve">to </w:t>
      </w:r>
      <w:r>
        <w:t xml:space="preserve">diagnose </w:t>
      </w:r>
      <w:r w:rsidRPr="00EA21EA">
        <w:t xml:space="preserve">crop diseases. </w:t>
      </w:r>
    </w:p>
    <w:p w14:paraId="655CCE3B" w14:textId="5D48A769" w:rsidR="00530BA8" w:rsidRDefault="00530BA8" w:rsidP="00714B4B">
      <w:pPr>
        <w:ind w:left="426"/>
      </w:pPr>
      <w:r w:rsidRPr="002B6C07">
        <w:t xml:space="preserve">More than 1500 people (funded and self-funded) participated in </w:t>
      </w:r>
      <w:r w:rsidR="00546E38">
        <w:t>Economic Cooperation Work Program</w:t>
      </w:r>
      <w:r w:rsidRPr="002B6C07">
        <w:t xml:space="preserve"> activities.</w:t>
      </w:r>
      <w:r w:rsidR="005856D4">
        <w:t xml:space="preserve"> </w:t>
      </w:r>
      <w:r>
        <w:t>Most</w:t>
      </w:r>
      <w:r w:rsidRPr="002B6C07">
        <w:t xml:space="preserve"> were government sector participants, </w:t>
      </w:r>
      <w:r>
        <w:t xml:space="preserve">but </w:t>
      </w:r>
      <w:r w:rsidRPr="002B6C07">
        <w:t xml:space="preserve">the </w:t>
      </w:r>
      <w:r w:rsidR="00CB48D3">
        <w:t>p</w:t>
      </w:r>
      <w:r w:rsidR="00546E38">
        <w:t>rogram</w:t>
      </w:r>
      <w:r w:rsidRPr="002B6C07">
        <w:t xml:space="preserve"> is beginning to attract </w:t>
      </w:r>
      <w:r>
        <w:t xml:space="preserve">private sector participation </w:t>
      </w:r>
      <w:r w:rsidR="00467E55">
        <w:t>i</w:t>
      </w:r>
      <w:r w:rsidR="00CB48D3">
        <w:t>n</w:t>
      </w:r>
      <w:r w:rsidR="00CB48D3" w:rsidRPr="002B6C07">
        <w:t xml:space="preserve"> </w:t>
      </w:r>
      <w:r w:rsidRPr="002B6C07">
        <w:t>competition and intellectual property</w:t>
      </w:r>
      <w:r>
        <w:t xml:space="preserve"> activities</w:t>
      </w:r>
      <w:r w:rsidR="00CB48D3">
        <w:t>.</w:t>
      </w:r>
      <w:r>
        <w:rPr>
          <w:rStyle w:val="FootnoteReference"/>
        </w:rPr>
        <w:footnoteReference w:id="34"/>
      </w:r>
    </w:p>
    <w:p w14:paraId="346099C8" w14:textId="32801FB1" w:rsidR="00530BA8" w:rsidRDefault="00530BA8" w:rsidP="00557703">
      <w:pPr>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t xml:space="preserve">Other </w:t>
      </w:r>
      <w:r w:rsidRPr="00EA21EA">
        <w:t xml:space="preserve">AECSP supported activities will take </w:t>
      </w:r>
      <w:r>
        <w:t xml:space="preserve">more </w:t>
      </w:r>
      <w:r w:rsidRPr="00EA21EA">
        <w:t>time to generate tangible development impacts</w:t>
      </w:r>
      <w:r>
        <w:t>, but measurable progress is already being made.</w:t>
      </w:r>
      <w:r w:rsidR="005856D4">
        <w:t xml:space="preserve"> </w:t>
      </w:r>
      <w:r>
        <w:t xml:space="preserve">For example, there are a number of </w:t>
      </w:r>
      <w:r w:rsidR="00CB48D3">
        <w:t xml:space="preserve">rules </w:t>
      </w:r>
      <w:r>
        <w:t xml:space="preserve">of </w:t>
      </w:r>
      <w:r w:rsidR="00CB48D3">
        <w:t xml:space="preserve">origin </w:t>
      </w:r>
      <w:r>
        <w:t xml:space="preserve">activities that are being extended to incorporate a </w:t>
      </w:r>
      <w:r w:rsidR="00CB48D3">
        <w:t xml:space="preserve">train </w:t>
      </w:r>
      <w:r>
        <w:t xml:space="preserve">the </w:t>
      </w:r>
      <w:r w:rsidR="00CB48D3">
        <w:t xml:space="preserve">trainer </w:t>
      </w:r>
      <w:r>
        <w:t>activity. Training modules developed as part of th</w:t>
      </w:r>
      <w:r w:rsidR="00557703">
        <w:t>is</w:t>
      </w:r>
      <w:r>
        <w:t xml:space="preserve"> are being translated into national languages for national workshops. The results will last beyond the life of AECSP, not only through the implementation and full use of AANZFTA, but also because it can be applied in other negotiations, such as those towards a </w:t>
      </w:r>
      <w:r w:rsidR="00557703">
        <w:t>regional comprehensive economic partnership</w:t>
      </w:r>
      <w:r w:rsidR="003743D7">
        <w:t>.</w:t>
      </w:r>
      <w:r>
        <w:t xml:space="preserve"> The </w:t>
      </w:r>
      <w:r w:rsidR="00557703">
        <w:t>AECSP-</w:t>
      </w:r>
      <w:r>
        <w:t xml:space="preserve">supported OECD </w:t>
      </w:r>
      <w:r w:rsidR="00557703">
        <w:t>investment policy reviews</w:t>
      </w:r>
      <w:r>
        <w:rPr>
          <w:rStyle w:val="FootnoteReference"/>
        </w:rPr>
        <w:footnoteReference w:id="35"/>
      </w:r>
      <w:r>
        <w:t xml:space="preserve"> of Malaysia, Myanmar and the Philippines will </w:t>
      </w:r>
      <w:r w:rsidR="00557703">
        <w:t xml:space="preserve">provide </w:t>
      </w:r>
      <w:r>
        <w:t>recommendations</w:t>
      </w:r>
      <w:r w:rsidR="00557703">
        <w:t xml:space="preserve"> on</w:t>
      </w:r>
      <w:r>
        <w:t>, and help build</w:t>
      </w:r>
      <w:r w:rsidR="003743D7">
        <w:t xml:space="preserve"> support for</w:t>
      </w:r>
      <w:r w:rsidR="00557703">
        <w:t>,</w:t>
      </w:r>
      <w:r w:rsidR="003743D7">
        <w:t xml:space="preserve"> investment reforms with potential national benefits in terms of increased competitiveness. </w:t>
      </w:r>
    </w:p>
    <w:p w14:paraId="78F85A28" w14:textId="303AE0D2" w:rsidR="00530BA8" w:rsidRDefault="00530BA8" w:rsidP="00557703">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 xml:space="preserve">While the benefits of workshops and training </w:t>
      </w:r>
      <w:r>
        <w:rPr>
          <w:lang w:eastAsia="en-AU"/>
        </w:rPr>
        <w:t xml:space="preserve">programs can be overstated, several </w:t>
      </w:r>
      <w:r w:rsidR="00557703">
        <w:rPr>
          <w:lang w:eastAsia="en-AU"/>
        </w:rPr>
        <w:t xml:space="preserve">participants </w:t>
      </w:r>
      <w:r>
        <w:rPr>
          <w:lang w:eastAsia="en-AU"/>
        </w:rPr>
        <w:t xml:space="preserve">highlighted </w:t>
      </w:r>
      <w:r w:rsidRPr="002915C2">
        <w:rPr>
          <w:lang w:eastAsia="en-AU"/>
        </w:rPr>
        <w:t xml:space="preserve">the quality of the training manuals prepared </w:t>
      </w:r>
      <w:r>
        <w:rPr>
          <w:lang w:eastAsia="en-AU"/>
        </w:rPr>
        <w:t xml:space="preserve">under several </w:t>
      </w:r>
      <w:r w:rsidR="00546E38">
        <w:rPr>
          <w:lang w:eastAsia="en-AU"/>
        </w:rPr>
        <w:t>Economic Cooperation Work Program</w:t>
      </w:r>
      <w:r>
        <w:rPr>
          <w:lang w:eastAsia="en-AU"/>
        </w:rPr>
        <w:t xml:space="preserve"> projects.</w:t>
      </w:r>
      <w:r w:rsidRPr="002915C2">
        <w:rPr>
          <w:lang w:eastAsia="en-AU"/>
        </w:rPr>
        <w:t xml:space="preserve"> These </w:t>
      </w:r>
      <w:r>
        <w:rPr>
          <w:lang w:eastAsia="en-AU"/>
        </w:rPr>
        <w:t xml:space="preserve">should deliver ongoing benefits </w:t>
      </w:r>
      <w:r w:rsidRPr="002915C2">
        <w:rPr>
          <w:lang w:eastAsia="en-AU"/>
        </w:rPr>
        <w:t xml:space="preserve">for other negotiations and for officials who </w:t>
      </w:r>
      <w:r>
        <w:rPr>
          <w:lang w:eastAsia="en-AU"/>
        </w:rPr>
        <w:t>did not undertake the training.</w:t>
      </w:r>
    </w:p>
    <w:p w14:paraId="6AA79BD4" w14:textId="5DCF955B" w:rsidR="00530BA8" w:rsidRDefault="00530BA8" w:rsidP="00557703">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 xml:space="preserve">The frequency and intensity </w:t>
      </w:r>
      <w:r>
        <w:rPr>
          <w:lang w:eastAsia="en-AU"/>
        </w:rPr>
        <w:t xml:space="preserve">of interaction among officials </w:t>
      </w:r>
      <w:r w:rsidRPr="002915C2">
        <w:rPr>
          <w:lang w:eastAsia="en-AU"/>
        </w:rPr>
        <w:t xml:space="preserve">has delivered </w:t>
      </w:r>
      <w:r>
        <w:rPr>
          <w:lang w:eastAsia="en-AU"/>
        </w:rPr>
        <w:t xml:space="preserve">additional benefits. </w:t>
      </w:r>
      <w:r w:rsidRPr="002915C2">
        <w:rPr>
          <w:lang w:eastAsia="en-AU"/>
        </w:rPr>
        <w:t xml:space="preserve">These include a better appreciation of the areas where assistance </w:t>
      </w:r>
      <w:r w:rsidR="00557703">
        <w:rPr>
          <w:lang w:eastAsia="en-AU"/>
        </w:rPr>
        <w:t>c</w:t>
      </w:r>
      <w:r w:rsidR="00557703" w:rsidRPr="002915C2">
        <w:rPr>
          <w:lang w:eastAsia="en-AU"/>
        </w:rPr>
        <w:t xml:space="preserve">ould </w:t>
      </w:r>
      <w:r w:rsidRPr="002915C2">
        <w:rPr>
          <w:lang w:eastAsia="en-AU"/>
        </w:rPr>
        <w:t xml:space="preserve">deliver </w:t>
      </w:r>
      <w:r w:rsidRPr="002915C2">
        <w:rPr>
          <w:lang w:eastAsia="en-AU"/>
        </w:rPr>
        <w:lastRenderedPageBreak/>
        <w:t>benefits and deeper and more robust discussions about issues related to implementation, the built-in agenda and possible future negotiations.</w:t>
      </w:r>
    </w:p>
    <w:p w14:paraId="009439CE" w14:textId="25CE6AB5" w:rsidR="000C2E33" w:rsidRDefault="000C2E33" w:rsidP="00530BA8">
      <w:pPr>
        <w:rPr>
          <w:lang w:eastAsia="en-AU"/>
        </w:rPr>
      </w:pPr>
      <w:r>
        <w:rPr>
          <w:noProof/>
          <w:lang w:eastAsia="en-AU"/>
        </w:rPr>
        <mc:AlternateContent>
          <mc:Choice Requires="wps">
            <w:drawing>
              <wp:anchor distT="0" distB="0" distL="114300" distR="114300" simplePos="0" relativeHeight="251675648" behindDoc="0" locked="0" layoutInCell="1" allowOverlap="1" wp14:anchorId="70C870FA" wp14:editId="7AE07AFD">
                <wp:simplePos x="0" y="0"/>
                <wp:positionH relativeFrom="column">
                  <wp:posOffset>0</wp:posOffset>
                </wp:positionH>
                <wp:positionV relativeFrom="paragraph">
                  <wp:posOffset>173355</wp:posOffset>
                </wp:positionV>
                <wp:extent cx="5175885" cy="3836035"/>
                <wp:effectExtent l="0" t="0" r="31115" b="24765"/>
                <wp:wrapSquare wrapText="bothSides"/>
                <wp:docPr id="75" name="Text Box 75"/>
                <wp:cNvGraphicFramePr/>
                <a:graphic xmlns:a="http://schemas.openxmlformats.org/drawingml/2006/main">
                  <a:graphicData uri="http://schemas.microsoft.com/office/word/2010/wordprocessingShape">
                    <wps:wsp>
                      <wps:cNvSpPr txBox="1"/>
                      <wps:spPr>
                        <a:xfrm>
                          <a:off x="0" y="0"/>
                          <a:ext cx="5175885" cy="383603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43C4FA" w14:textId="3C784621" w:rsidR="005B0DF4" w:rsidRPr="004922EB" w:rsidRDefault="005B0DF4" w:rsidP="000C2E33">
                            <w:pPr>
                              <w:jc w:val="center"/>
                              <w:rPr>
                                <w:b/>
                              </w:rPr>
                            </w:pPr>
                            <w:r w:rsidRPr="004922EB">
                              <w:rPr>
                                <w:b/>
                              </w:rPr>
                              <w:t>Box</w:t>
                            </w:r>
                            <w:r>
                              <w:rPr>
                                <w:b/>
                              </w:rPr>
                              <w:t xml:space="preserve"> 3</w:t>
                            </w:r>
                            <w:r w:rsidRPr="004922EB">
                              <w:rPr>
                                <w:b/>
                              </w:rPr>
                              <w:t>: ASEAN Regional Diagnostic Network</w:t>
                            </w:r>
                          </w:p>
                          <w:p w14:paraId="0BE88676" w14:textId="486ECE90" w:rsidR="005B0DF4" w:rsidRPr="004922EB" w:rsidRDefault="005B0DF4" w:rsidP="000C2E33">
                            <w:r>
                              <w:t>AECSP support</w:t>
                            </w:r>
                            <w:r w:rsidRPr="004922EB">
                              <w:t xml:space="preserve"> is developing capacity of ASEAN </w:t>
                            </w:r>
                            <w:r>
                              <w:t>institutions</w:t>
                            </w:r>
                            <w:r w:rsidRPr="004922EB">
                              <w:t xml:space="preserve"> to ide</w:t>
                            </w:r>
                            <w:r>
                              <w:t>ntify plant pests and diseases.</w:t>
                            </w:r>
                            <w:r w:rsidRPr="004922EB">
                              <w:t xml:space="preserve"> </w:t>
                            </w:r>
                            <w:r w:rsidRPr="00083CC0">
                              <w:t xml:space="preserve">The project </w:t>
                            </w:r>
                            <w:r>
                              <w:t>aims to build</w:t>
                            </w:r>
                            <w:r w:rsidRPr="00083CC0">
                              <w:t xml:space="preserve"> </w:t>
                            </w:r>
                            <w:r>
                              <w:t xml:space="preserve">the </w:t>
                            </w:r>
                            <w:r w:rsidRPr="00083CC0">
                              <w:t xml:space="preserve">capacity </w:t>
                            </w:r>
                            <w:r>
                              <w:t>of</w:t>
                            </w:r>
                            <w:r w:rsidRPr="00083CC0">
                              <w:t xml:space="preserve"> ASEAN agricultural agencies to produce credible lists of plant pests and diseases</w:t>
                            </w:r>
                            <w:r>
                              <w:t>,</w:t>
                            </w:r>
                            <w:r w:rsidRPr="00083CC0">
                              <w:t xml:space="preserve"> identify quarantine interceptions</w:t>
                            </w:r>
                            <w:r>
                              <w:t>,</w:t>
                            </w:r>
                            <w:r w:rsidRPr="00083CC0">
                              <w:t xml:space="preserve"> and develop targeted measures for reducing crop losses. The </w:t>
                            </w:r>
                            <w:r>
                              <w:t>need</w:t>
                            </w:r>
                            <w:r w:rsidRPr="00083CC0">
                              <w:t xml:space="preserve"> </w:t>
                            </w:r>
                            <w:r>
                              <w:t>for such support</w:t>
                            </w:r>
                            <w:r w:rsidRPr="00083CC0">
                              <w:t xml:space="preserve"> is </w:t>
                            </w:r>
                            <w:r>
                              <w:t>particularly</w:t>
                            </w:r>
                            <w:r w:rsidRPr="00083CC0">
                              <w:t xml:space="preserve"> acute </w:t>
                            </w:r>
                            <w:r>
                              <w:t>in</w:t>
                            </w:r>
                            <w:r w:rsidRPr="00083CC0">
                              <w:t xml:space="preserve"> </w:t>
                            </w:r>
                            <w:r>
                              <w:t xml:space="preserve">the </w:t>
                            </w:r>
                            <w:r w:rsidRPr="00083CC0">
                              <w:t xml:space="preserve">least-developed </w:t>
                            </w:r>
                            <w:r>
                              <w:t>ASEAN member states</w:t>
                            </w:r>
                            <w:r w:rsidRPr="00083CC0">
                              <w:t xml:space="preserve">. </w:t>
                            </w:r>
                            <w:r>
                              <w:t>M</w:t>
                            </w:r>
                            <w:r w:rsidRPr="004922EB">
                              <w:t xml:space="preserve">anaged by </w:t>
                            </w:r>
                            <w:r>
                              <w:t xml:space="preserve">Australia’s </w:t>
                            </w:r>
                            <w:r w:rsidRPr="004922EB">
                              <w:t xml:space="preserve">Department of Agriculture, Fisheries and Forestry, </w:t>
                            </w:r>
                            <w:r>
                              <w:t>AECSP support</w:t>
                            </w:r>
                            <w:r w:rsidRPr="004922EB">
                              <w:t xml:space="preserve"> has harnessed </w:t>
                            </w:r>
                            <w:r>
                              <w:t>regional</w:t>
                            </w:r>
                            <w:r w:rsidRPr="004922EB">
                              <w:t xml:space="preserve"> expertise and facilitated the secondment of ASEAN researchers and officials to leading laboratories in Australia and New Zealand. Key successes to date include:</w:t>
                            </w:r>
                          </w:p>
                          <w:p w14:paraId="727B15F6" w14:textId="3348827B" w:rsidR="005B0DF4" w:rsidRPr="004922EB" w:rsidRDefault="005B0DF4" w:rsidP="000C2E33">
                            <w:pPr>
                              <w:numPr>
                                <w:ilvl w:val="0"/>
                                <w:numId w:val="52"/>
                              </w:numPr>
                            </w:pPr>
                            <w:r w:rsidRPr="004922EB">
                              <w:t>establish</w:t>
                            </w:r>
                            <w:r>
                              <w:t xml:space="preserve">ing </w:t>
                            </w:r>
                            <w:r w:rsidRPr="004922EB">
                              <w:t xml:space="preserve">a </w:t>
                            </w:r>
                            <w:r w:rsidRPr="004922EB">
                              <w:rPr>
                                <w:color w:val="000000" w:themeColor="text1"/>
                              </w:rPr>
                              <w:t xml:space="preserve">pilot </w:t>
                            </w:r>
                            <w:r>
                              <w:t>c</w:t>
                            </w:r>
                            <w:r w:rsidRPr="004922EB">
                              <w:t xml:space="preserve">learing </w:t>
                            </w:r>
                            <w:r>
                              <w:t>h</w:t>
                            </w:r>
                            <w:r w:rsidRPr="004922EB">
                              <w:t xml:space="preserve">ouse for the </w:t>
                            </w:r>
                            <w:r w:rsidRPr="004922EB">
                              <w:rPr>
                                <w:color w:val="000000" w:themeColor="text1"/>
                              </w:rPr>
                              <w:t xml:space="preserve">ASEAN Regional Diagnostic Network </w:t>
                            </w:r>
                            <w:r>
                              <w:rPr>
                                <w:color w:val="000000" w:themeColor="text1"/>
                              </w:rPr>
                              <w:t>in a laboratory in Malaysia to manage</w:t>
                            </w:r>
                            <w:r w:rsidRPr="004922EB">
                              <w:rPr>
                                <w:color w:val="000000" w:themeColor="text1"/>
                              </w:rPr>
                              <w:t xml:space="preserve"> the flow of plant pest and disease samples between submitters and diagnostic experts. The </w:t>
                            </w:r>
                            <w:r>
                              <w:rPr>
                                <w:color w:val="000000" w:themeColor="text1"/>
                              </w:rPr>
                              <w:t>c</w:t>
                            </w:r>
                            <w:r w:rsidRPr="004922EB">
                              <w:rPr>
                                <w:color w:val="000000" w:themeColor="text1"/>
                              </w:rPr>
                              <w:t xml:space="preserve">learing </w:t>
                            </w:r>
                            <w:r>
                              <w:rPr>
                                <w:color w:val="000000" w:themeColor="text1"/>
                              </w:rPr>
                              <w:t>h</w:t>
                            </w:r>
                            <w:r w:rsidRPr="004922EB">
                              <w:rPr>
                                <w:color w:val="000000" w:themeColor="text1"/>
                              </w:rPr>
                              <w:t xml:space="preserve">ouse has </w:t>
                            </w:r>
                            <w:r>
                              <w:rPr>
                                <w:color w:val="000000" w:themeColor="text1"/>
                              </w:rPr>
                              <w:t>already</w:t>
                            </w:r>
                            <w:r w:rsidRPr="004922EB">
                              <w:t xml:space="preserve"> successfully identifi</w:t>
                            </w:r>
                            <w:r>
                              <w:t xml:space="preserve">ed </w:t>
                            </w:r>
                            <w:r w:rsidRPr="004922EB">
                              <w:t xml:space="preserve">pest insects </w:t>
                            </w:r>
                            <w:r>
                              <w:t>using</w:t>
                            </w:r>
                            <w:r w:rsidRPr="004922EB">
                              <w:t xml:space="preserve"> international experts outside the ASEAN region</w:t>
                            </w:r>
                          </w:p>
                          <w:p w14:paraId="770667F0" w14:textId="50AA82A8" w:rsidR="005B0DF4" w:rsidRDefault="005B0DF4" w:rsidP="000C2E33">
                            <w:pPr>
                              <w:numPr>
                                <w:ilvl w:val="0"/>
                                <w:numId w:val="52"/>
                              </w:numPr>
                            </w:pPr>
                            <w:r>
                              <w:t>building capacity through</w:t>
                            </w:r>
                            <w:r w:rsidRPr="004922EB">
                              <w:t xml:space="preserve"> workshops that provide training in the diagnostics of pest nema</w:t>
                            </w:r>
                            <w:r>
                              <w:t xml:space="preserve">todes. Assessments found that the share of </w:t>
                            </w:r>
                            <w:r w:rsidRPr="004922EB">
                              <w:t xml:space="preserve">participants </w:t>
                            </w:r>
                            <w:r>
                              <w:t xml:space="preserve">that </w:t>
                            </w:r>
                            <w:r w:rsidRPr="004922EB">
                              <w:t>could identify pest nematodes</w:t>
                            </w:r>
                            <w:r>
                              <w:t xml:space="preserve"> increased from 33 per cent to</w:t>
                            </w:r>
                            <w:r w:rsidRPr="004922EB">
                              <w:t xml:space="preserve"> 100</w:t>
                            </w:r>
                            <w:r>
                              <w:t xml:space="preserve"> per cent</w:t>
                            </w:r>
                            <w:r w:rsidRPr="004922EB">
                              <w:t xml:space="preserve"> after </w:t>
                            </w:r>
                            <w:r>
                              <w:t xml:space="preserve">participating in </w:t>
                            </w:r>
                            <w:r w:rsidRPr="004922EB">
                              <w:t>the training workshop.</w:t>
                            </w:r>
                          </w:p>
                          <w:p w14:paraId="4BCE5FD8" w14:textId="7EB84409" w:rsidR="005B0DF4" w:rsidRDefault="005B0DF4" w:rsidP="000C2E33">
                            <w:r>
                              <w:t>The network</w:t>
                            </w:r>
                            <w:r w:rsidRPr="00A23CEE">
                              <w:t xml:space="preserve"> </w:t>
                            </w:r>
                            <w:r>
                              <w:t>helps</w:t>
                            </w:r>
                            <w:r w:rsidRPr="00A23CEE">
                              <w:t xml:space="preserve"> ASEAN countries take advantage of agricultural trade opportunities</w:t>
                            </w:r>
                            <w:r>
                              <w:t xml:space="preserve"> and has already been used to help resolve trade issues between Thailand and other ASEAN member countries.</w:t>
                            </w:r>
                            <w:r w:rsidRPr="00A23CEE">
                              <w:t xml:space="preserve"> The </w:t>
                            </w:r>
                            <w:r>
                              <w:t>network development strategy includes plans to</w:t>
                            </w:r>
                            <w:r w:rsidRPr="00A23CEE">
                              <w:t xml:space="preserve"> move to a sustainable fee for service model as </w:t>
                            </w:r>
                            <w:r>
                              <w:rPr>
                                <w:lang w:eastAsia="en-AU"/>
                              </w:rPr>
                              <w:t xml:space="preserve">Economic Cooperation Work Program </w:t>
                            </w:r>
                            <w:r w:rsidRPr="00A23CEE">
                              <w:t>support is phased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5" o:spid="_x0000_s1043" type="#_x0000_t202" style="position:absolute;margin-left:0;margin-top:13.65pt;width:407.55pt;height:30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" filled="f" strokecolor="black [3213]">
                <v:textbox>
                  <w:txbxContent>
                    <w:p w14:paraId="5D43C4FA" w14:textId="3C784621" w:rsidR="00714B4B" w:rsidRPr="004922EB" w:rsidRDefault="00714B4B" w:rsidP="000C2E33">
                      <w:pPr>
                        <w:jc w:val="center"/>
                        <w:rPr>
                          <w:b/>
                        </w:rPr>
                      </w:pPr>
                      <w:r w:rsidRPr="004922EB">
                        <w:rPr>
                          <w:b/>
                        </w:rPr>
                        <w:t>Box</w:t>
                      </w:r>
                      <w:r>
                        <w:rPr>
                          <w:b/>
                        </w:rPr>
                        <w:t xml:space="preserve"> 3</w:t>
                      </w:r>
                      <w:r w:rsidRPr="004922EB">
                        <w:rPr>
                          <w:b/>
                        </w:rPr>
                        <w:t>: ASEAN Regional Diagnostic Network</w:t>
                      </w:r>
                    </w:p>
                    <w:p w14:paraId="0BE88676" w14:textId="486ECE90" w:rsidR="00714B4B" w:rsidRPr="004922EB" w:rsidRDefault="00714B4B" w:rsidP="000C2E33">
                      <w:r>
                        <w:t>AECSP support</w:t>
                      </w:r>
                      <w:r w:rsidRPr="004922EB">
                        <w:t xml:space="preserve"> is developing capacity of ASEAN </w:t>
                      </w:r>
                      <w:r>
                        <w:t>institutions</w:t>
                      </w:r>
                      <w:r w:rsidRPr="004922EB">
                        <w:t xml:space="preserve"> to ide</w:t>
                      </w:r>
                      <w:r>
                        <w:t>ntify plant pests and diseases.</w:t>
                      </w:r>
                      <w:r w:rsidRPr="004922EB">
                        <w:t xml:space="preserve"> </w:t>
                      </w:r>
                      <w:r w:rsidRPr="00083CC0">
                        <w:t xml:space="preserve">The project </w:t>
                      </w:r>
                      <w:r>
                        <w:t>aims to build</w:t>
                      </w:r>
                      <w:r w:rsidRPr="00083CC0">
                        <w:t xml:space="preserve"> </w:t>
                      </w:r>
                      <w:r>
                        <w:t xml:space="preserve">the </w:t>
                      </w:r>
                      <w:r w:rsidRPr="00083CC0">
                        <w:t xml:space="preserve">capacity </w:t>
                      </w:r>
                      <w:r>
                        <w:t>of</w:t>
                      </w:r>
                      <w:r w:rsidRPr="00083CC0">
                        <w:t xml:space="preserve"> ASEAN agricultural agencies to produce credible lists of plant pests and diseases</w:t>
                      </w:r>
                      <w:r>
                        <w:t>,</w:t>
                      </w:r>
                      <w:r w:rsidRPr="00083CC0">
                        <w:t xml:space="preserve"> identify quarantine interceptions</w:t>
                      </w:r>
                      <w:r>
                        <w:t>,</w:t>
                      </w:r>
                      <w:r w:rsidRPr="00083CC0">
                        <w:t xml:space="preserve"> and develop targeted measures for reducing crop losses. The </w:t>
                      </w:r>
                      <w:r>
                        <w:t>need</w:t>
                      </w:r>
                      <w:r w:rsidRPr="00083CC0">
                        <w:t xml:space="preserve"> </w:t>
                      </w:r>
                      <w:r>
                        <w:t>for such support</w:t>
                      </w:r>
                      <w:r w:rsidRPr="00083CC0">
                        <w:t xml:space="preserve"> is </w:t>
                      </w:r>
                      <w:r>
                        <w:t>particularly</w:t>
                      </w:r>
                      <w:r w:rsidRPr="00083CC0">
                        <w:t xml:space="preserve"> acute </w:t>
                      </w:r>
                      <w:r>
                        <w:t>in</w:t>
                      </w:r>
                      <w:r w:rsidRPr="00083CC0">
                        <w:t xml:space="preserve"> </w:t>
                      </w:r>
                      <w:r>
                        <w:t xml:space="preserve">the </w:t>
                      </w:r>
                      <w:r w:rsidRPr="00083CC0">
                        <w:t xml:space="preserve">least-developed </w:t>
                      </w:r>
                      <w:r>
                        <w:t>ASEAN member states</w:t>
                      </w:r>
                      <w:r w:rsidRPr="00083CC0">
                        <w:t xml:space="preserve">. </w:t>
                      </w:r>
                      <w:r>
                        <w:t>M</w:t>
                      </w:r>
                      <w:r w:rsidRPr="004922EB">
                        <w:t xml:space="preserve">anaged by </w:t>
                      </w:r>
                      <w:r>
                        <w:t xml:space="preserve">Australia’s </w:t>
                      </w:r>
                      <w:r w:rsidRPr="004922EB">
                        <w:t xml:space="preserve">Department of Agriculture, Fisheries and Forestry, </w:t>
                      </w:r>
                      <w:r>
                        <w:t>AECSP support</w:t>
                      </w:r>
                      <w:r w:rsidRPr="004922EB">
                        <w:t xml:space="preserve"> has harnessed </w:t>
                      </w:r>
                      <w:r>
                        <w:t>regional</w:t>
                      </w:r>
                      <w:r w:rsidRPr="004922EB">
                        <w:t xml:space="preserve"> expertise and facilitated the secondment of ASEAN researchers and officials to leading laboratories in Australia and New Zealand. Key successes to date include:</w:t>
                      </w:r>
                    </w:p>
                    <w:p w14:paraId="727B15F6" w14:textId="3348827B" w:rsidR="00714B4B" w:rsidRPr="004922EB" w:rsidRDefault="00714B4B" w:rsidP="000C2E33">
                      <w:pPr>
                        <w:numPr>
                          <w:ilvl w:val="0"/>
                          <w:numId w:val="52"/>
                        </w:numPr>
                      </w:pPr>
                      <w:proofErr w:type="gramStart"/>
                      <w:r w:rsidRPr="004922EB">
                        <w:t>establish</w:t>
                      </w:r>
                      <w:r>
                        <w:t>ing</w:t>
                      </w:r>
                      <w:proofErr w:type="gramEnd"/>
                      <w:r>
                        <w:t xml:space="preserve"> </w:t>
                      </w:r>
                      <w:r w:rsidRPr="004922EB">
                        <w:t xml:space="preserve">a </w:t>
                      </w:r>
                      <w:r w:rsidRPr="004922EB">
                        <w:rPr>
                          <w:color w:val="000000" w:themeColor="text1"/>
                        </w:rPr>
                        <w:t xml:space="preserve">pilot </w:t>
                      </w:r>
                      <w:r>
                        <w:t>c</w:t>
                      </w:r>
                      <w:r w:rsidRPr="004922EB">
                        <w:t xml:space="preserve">learing </w:t>
                      </w:r>
                      <w:r>
                        <w:t>h</w:t>
                      </w:r>
                      <w:r w:rsidRPr="004922EB">
                        <w:t xml:space="preserve">ouse for the </w:t>
                      </w:r>
                      <w:r w:rsidRPr="004922EB">
                        <w:rPr>
                          <w:color w:val="000000" w:themeColor="text1"/>
                        </w:rPr>
                        <w:t xml:space="preserve">ASEAN Regional Diagnostic Network </w:t>
                      </w:r>
                      <w:r>
                        <w:rPr>
                          <w:color w:val="000000" w:themeColor="text1"/>
                        </w:rPr>
                        <w:t>in a laboratory in Malaysia to manage</w:t>
                      </w:r>
                      <w:r w:rsidRPr="004922EB">
                        <w:rPr>
                          <w:color w:val="000000" w:themeColor="text1"/>
                        </w:rPr>
                        <w:t xml:space="preserve"> the flow of plant pest and disease samples between submitters and diagnostic experts. The </w:t>
                      </w:r>
                      <w:r>
                        <w:rPr>
                          <w:color w:val="000000" w:themeColor="text1"/>
                        </w:rPr>
                        <w:t>c</w:t>
                      </w:r>
                      <w:r w:rsidRPr="004922EB">
                        <w:rPr>
                          <w:color w:val="000000" w:themeColor="text1"/>
                        </w:rPr>
                        <w:t xml:space="preserve">learing </w:t>
                      </w:r>
                      <w:r>
                        <w:rPr>
                          <w:color w:val="000000" w:themeColor="text1"/>
                        </w:rPr>
                        <w:t>h</w:t>
                      </w:r>
                      <w:r w:rsidRPr="004922EB">
                        <w:rPr>
                          <w:color w:val="000000" w:themeColor="text1"/>
                        </w:rPr>
                        <w:t xml:space="preserve">ouse has </w:t>
                      </w:r>
                      <w:r>
                        <w:rPr>
                          <w:color w:val="000000" w:themeColor="text1"/>
                        </w:rPr>
                        <w:t>already</w:t>
                      </w:r>
                      <w:r w:rsidRPr="004922EB">
                        <w:t xml:space="preserve"> successfully identifi</w:t>
                      </w:r>
                      <w:r>
                        <w:t xml:space="preserve">ed </w:t>
                      </w:r>
                      <w:r w:rsidRPr="004922EB">
                        <w:t xml:space="preserve">pest insects </w:t>
                      </w:r>
                      <w:r>
                        <w:t>using</w:t>
                      </w:r>
                      <w:r w:rsidRPr="004922EB">
                        <w:t xml:space="preserve"> international experts outside the ASEAN region</w:t>
                      </w:r>
                    </w:p>
                    <w:p w14:paraId="770667F0" w14:textId="50AA82A8" w:rsidR="00714B4B" w:rsidRDefault="00714B4B" w:rsidP="000C2E33">
                      <w:pPr>
                        <w:numPr>
                          <w:ilvl w:val="0"/>
                          <w:numId w:val="52"/>
                        </w:numPr>
                      </w:pPr>
                      <w:proofErr w:type="gramStart"/>
                      <w:r>
                        <w:t>building</w:t>
                      </w:r>
                      <w:proofErr w:type="gramEnd"/>
                      <w:r>
                        <w:t xml:space="preserve"> capacity through</w:t>
                      </w:r>
                      <w:r w:rsidRPr="004922EB">
                        <w:t xml:space="preserve"> workshops that provide training in the diagnostics of pest nema</w:t>
                      </w:r>
                      <w:r>
                        <w:t xml:space="preserve">todes. Assessments found that the share of </w:t>
                      </w:r>
                      <w:r w:rsidRPr="004922EB">
                        <w:t xml:space="preserve">participants </w:t>
                      </w:r>
                      <w:r>
                        <w:t xml:space="preserve">that </w:t>
                      </w:r>
                      <w:r w:rsidRPr="004922EB">
                        <w:t>could identify pest nematodes</w:t>
                      </w:r>
                      <w:r>
                        <w:t xml:space="preserve"> increased from 33 per cent to</w:t>
                      </w:r>
                      <w:r w:rsidRPr="004922EB">
                        <w:t xml:space="preserve"> 100</w:t>
                      </w:r>
                      <w:r>
                        <w:t xml:space="preserve"> per cent</w:t>
                      </w:r>
                      <w:r w:rsidRPr="004922EB">
                        <w:t xml:space="preserve"> after </w:t>
                      </w:r>
                      <w:r>
                        <w:t xml:space="preserve">participating in </w:t>
                      </w:r>
                      <w:r w:rsidRPr="004922EB">
                        <w:t>the training workshop.</w:t>
                      </w:r>
                    </w:p>
                    <w:p w14:paraId="4BCE5FD8" w14:textId="7EB84409" w:rsidR="00714B4B" w:rsidRDefault="00714B4B" w:rsidP="000C2E33">
                      <w:r>
                        <w:t>The network</w:t>
                      </w:r>
                      <w:r w:rsidRPr="00A23CEE">
                        <w:t xml:space="preserve"> </w:t>
                      </w:r>
                      <w:r>
                        <w:t>helps</w:t>
                      </w:r>
                      <w:r w:rsidRPr="00A23CEE">
                        <w:t xml:space="preserve"> ASEAN countries take advantage of agricultural trade opportunities</w:t>
                      </w:r>
                      <w:r>
                        <w:t xml:space="preserve"> and has already been used to help resolve trade issues between Thailand and other ASEAN member countries.</w:t>
                      </w:r>
                      <w:r w:rsidRPr="00A23CEE">
                        <w:t xml:space="preserve"> The </w:t>
                      </w:r>
                      <w:r>
                        <w:t>network development strategy includes plans to</w:t>
                      </w:r>
                      <w:r w:rsidRPr="00A23CEE">
                        <w:t xml:space="preserve"> move to a sustainable fee for service model as </w:t>
                      </w:r>
                      <w:r>
                        <w:rPr>
                          <w:lang w:eastAsia="en-AU"/>
                        </w:rPr>
                        <w:t xml:space="preserve">Economic Cooperation Work Program </w:t>
                      </w:r>
                      <w:r w:rsidRPr="00A23CEE">
                        <w:t>support is phased out.</w:t>
                      </w:r>
                    </w:p>
                  </w:txbxContent>
                </v:textbox>
                <w10:wrap type="square"/>
              </v:shape>
            </w:pict>
          </mc:Fallback>
        </mc:AlternateContent>
      </w:r>
    </w:p>
    <w:p w14:paraId="3B11F20D" w14:textId="77777777" w:rsidR="00530BA8" w:rsidRPr="00331DBD" w:rsidRDefault="00530BA8" w:rsidP="00530BA8">
      <w:pPr>
        <w:pStyle w:val="Heading3"/>
      </w:pPr>
      <w:r>
        <w:t>S</w:t>
      </w:r>
      <w:r w:rsidRPr="00331DBD">
        <w:t>ustainability</w:t>
      </w:r>
    </w:p>
    <w:p w14:paraId="3A7FB4FD" w14:textId="05C7073F" w:rsidR="00530BA8" w:rsidRDefault="00530BA8" w:rsidP="00DA4B07">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There is generally strong ownership of program activities by the various project proponents, and by F</w:t>
      </w:r>
      <w:r w:rsidR="00DA4B07">
        <w:rPr>
          <w:lang w:eastAsia="en-AU"/>
        </w:rPr>
        <w:t xml:space="preserve">ree Trade Agreement Joint Committee </w:t>
      </w:r>
      <w:r w:rsidRPr="002915C2">
        <w:rPr>
          <w:lang w:eastAsia="en-AU"/>
        </w:rPr>
        <w:t>members. The approval process ensures that AECSP activities are directly linked to both national and regional priorities</w:t>
      </w:r>
      <w:r w:rsidR="00166336">
        <w:rPr>
          <w:lang w:eastAsia="en-AU"/>
        </w:rPr>
        <w:t xml:space="preserve">, so </w:t>
      </w:r>
      <w:r w:rsidRPr="002915C2">
        <w:rPr>
          <w:lang w:eastAsia="en-AU"/>
        </w:rPr>
        <w:t xml:space="preserve">most sub-project outcomes are likely to be sustained within ASEAN member country institutions. </w:t>
      </w:r>
      <w:r>
        <w:rPr>
          <w:lang w:eastAsia="en-AU"/>
        </w:rPr>
        <w:t xml:space="preserve">The key reservation relates to the sustainability of initial </w:t>
      </w:r>
      <w:r w:rsidR="00166336">
        <w:rPr>
          <w:lang w:eastAsia="en-AU"/>
        </w:rPr>
        <w:t>ad-</w:t>
      </w:r>
      <w:r>
        <w:rPr>
          <w:lang w:eastAsia="en-AU"/>
        </w:rPr>
        <w:t>hoc training activities. As noted in the following box, more substantive capacity building initiatives are now being funded.</w:t>
      </w:r>
    </w:p>
    <w:p w14:paraId="4E1A2804" w14:textId="49797D2B" w:rsidR="000C2E33" w:rsidRDefault="000C2E33" w:rsidP="0016633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 xml:space="preserve">With the </w:t>
      </w:r>
      <w:r w:rsidR="00166336" w:rsidRPr="00166336">
        <w:rPr>
          <w:lang w:eastAsia="en-AU"/>
        </w:rPr>
        <w:t xml:space="preserve">AANZFTA Support Unit </w:t>
      </w:r>
      <w:r w:rsidRPr="002915C2">
        <w:rPr>
          <w:lang w:eastAsia="en-AU"/>
        </w:rPr>
        <w:t xml:space="preserve">integrated in </w:t>
      </w:r>
      <w:r w:rsidR="00467E55">
        <w:rPr>
          <w:lang w:eastAsia="en-AU"/>
        </w:rPr>
        <w:t xml:space="preserve">the </w:t>
      </w:r>
      <w:r w:rsidR="00FA23AA">
        <w:rPr>
          <w:lang w:eastAsia="en-AU"/>
        </w:rPr>
        <w:t xml:space="preserve">ASEAN </w:t>
      </w:r>
      <w:r w:rsidR="00166336">
        <w:rPr>
          <w:lang w:eastAsia="en-AU"/>
        </w:rPr>
        <w:t>Secretariat</w:t>
      </w:r>
      <w:r w:rsidRPr="002915C2">
        <w:rPr>
          <w:lang w:eastAsia="en-AU"/>
        </w:rPr>
        <w:t xml:space="preserve">, support is also helping build </w:t>
      </w:r>
      <w:r w:rsidR="00166336">
        <w:rPr>
          <w:lang w:eastAsia="en-AU"/>
        </w:rPr>
        <w:t>the</w:t>
      </w:r>
      <w:r w:rsidR="00FA23AA">
        <w:rPr>
          <w:lang w:eastAsia="en-AU"/>
        </w:rPr>
        <w:t xml:space="preserve"> </w:t>
      </w:r>
      <w:r w:rsidR="00166336">
        <w:rPr>
          <w:lang w:eastAsia="en-AU"/>
        </w:rPr>
        <w:t xml:space="preserve">secretariat’s </w:t>
      </w:r>
      <w:r w:rsidRPr="002915C2">
        <w:rPr>
          <w:lang w:eastAsia="en-AU"/>
        </w:rPr>
        <w:t xml:space="preserve">capacity and providing benefits for other ASEAN priorities such as the ASEAN Economic Community. Embedding AECSP management within </w:t>
      </w:r>
      <w:r w:rsidR="00166336">
        <w:rPr>
          <w:lang w:eastAsia="en-AU"/>
        </w:rPr>
        <w:t>the</w:t>
      </w:r>
      <w:r w:rsidR="00FA23AA">
        <w:rPr>
          <w:lang w:eastAsia="en-AU"/>
        </w:rPr>
        <w:t xml:space="preserve"> </w:t>
      </w:r>
      <w:r w:rsidR="00166336">
        <w:rPr>
          <w:lang w:eastAsia="en-AU"/>
        </w:rPr>
        <w:t xml:space="preserve">secretariat </w:t>
      </w:r>
      <w:r w:rsidRPr="002915C2">
        <w:rPr>
          <w:lang w:eastAsia="en-AU"/>
        </w:rPr>
        <w:t xml:space="preserve">should reinforce the broader donor support directed at improving </w:t>
      </w:r>
      <w:r w:rsidR="00166336">
        <w:rPr>
          <w:lang w:eastAsia="en-AU"/>
        </w:rPr>
        <w:t>its</w:t>
      </w:r>
      <w:r w:rsidR="00FA23AA">
        <w:rPr>
          <w:lang w:eastAsia="en-AU"/>
        </w:rPr>
        <w:t xml:space="preserve"> </w:t>
      </w:r>
      <w:r w:rsidRPr="002915C2">
        <w:rPr>
          <w:lang w:eastAsia="en-AU"/>
        </w:rPr>
        <w:t>management practices</w:t>
      </w:r>
      <w:r w:rsidR="00166336">
        <w:rPr>
          <w:lang w:eastAsia="en-AU"/>
        </w:rPr>
        <w:t>.</w:t>
      </w:r>
      <w:r w:rsidRPr="002915C2">
        <w:rPr>
          <w:vertAlign w:val="superscript"/>
          <w:lang w:eastAsia="en-AU"/>
        </w:rPr>
        <w:footnoteReference w:id="36"/>
      </w:r>
      <w:r w:rsidRPr="002915C2">
        <w:rPr>
          <w:lang w:eastAsia="en-AU"/>
        </w:rPr>
        <w:t xml:space="preserve"> </w:t>
      </w:r>
      <w:r>
        <w:rPr>
          <w:lang w:eastAsia="en-AU"/>
        </w:rPr>
        <w:t xml:space="preserve">However the </w:t>
      </w:r>
      <w:r w:rsidR="00FA23AA">
        <w:rPr>
          <w:lang w:eastAsia="en-AU"/>
        </w:rPr>
        <w:t xml:space="preserve">ASEAN </w:t>
      </w:r>
      <w:r w:rsidR="00166336">
        <w:rPr>
          <w:lang w:eastAsia="en-AU"/>
        </w:rPr>
        <w:t xml:space="preserve">Secretariat </w:t>
      </w:r>
      <w:r>
        <w:rPr>
          <w:lang w:eastAsia="en-AU"/>
        </w:rPr>
        <w:t xml:space="preserve">leadership concern </w:t>
      </w:r>
      <w:r w:rsidR="00166336">
        <w:rPr>
          <w:lang w:eastAsia="en-AU"/>
        </w:rPr>
        <w:t xml:space="preserve">mentioned above </w:t>
      </w:r>
      <w:r>
        <w:rPr>
          <w:lang w:eastAsia="en-AU"/>
        </w:rPr>
        <w:t xml:space="preserve">about program relevance is a </w:t>
      </w:r>
      <w:r w:rsidR="00004F96">
        <w:rPr>
          <w:lang w:eastAsia="en-AU"/>
        </w:rPr>
        <w:t>worry</w:t>
      </w:r>
      <w:r>
        <w:rPr>
          <w:lang w:eastAsia="en-AU"/>
        </w:rPr>
        <w:t xml:space="preserve">. </w:t>
      </w:r>
      <w:r w:rsidRPr="002915C2">
        <w:rPr>
          <w:lang w:eastAsia="en-AU"/>
        </w:rPr>
        <w:t xml:space="preserve">Sustained </w:t>
      </w:r>
      <w:r w:rsidR="00166336">
        <w:rPr>
          <w:lang w:eastAsia="en-AU"/>
        </w:rPr>
        <w:t xml:space="preserve">secretariat </w:t>
      </w:r>
      <w:r w:rsidRPr="002915C2">
        <w:rPr>
          <w:lang w:eastAsia="en-AU"/>
        </w:rPr>
        <w:t>ownership depend</w:t>
      </w:r>
      <w:r>
        <w:rPr>
          <w:lang w:eastAsia="en-AU"/>
        </w:rPr>
        <w:t>s</w:t>
      </w:r>
      <w:r w:rsidRPr="002915C2">
        <w:rPr>
          <w:lang w:eastAsia="en-AU"/>
        </w:rPr>
        <w:t xml:space="preserve"> on </w:t>
      </w:r>
      <w:r w:rsidR="00166336">
        <w:rPr>
          <w:lang w:eastAsia="en-AU"/>
        </w:rPr>
        <w:t>its</w:t>
      </w:r>
      <w:r w:rsidRPr="002915C2">
        <w:rPr>
          <w:lang w:eastAsia="en-AU"/>
        </w:rPr>
        <w:t xml:space="preserve"> leadership being </w:t>
      </w:r>
      <w:r>
        <w:t xml:space="preserve">kept informed </w:t>
      </w:r>
      <w:r w:rsidR="00166336">
        <w:t>on</w:t>
      </w:r>
      <w:r w:rsidRPr="00885A53">
        <w:t xml:space="preserve"> </w:t>
      </w:r>
      <w:r>
        <w:t xml:space="preserve">how </w:t>
      </w:r>
      <w:r w:rsidRPr="002915C2">
        <w:rPr>
          <w:lang w:eastAsia="en-AU"/>
        </w:rPr>
        <w:t xml:space="preserve">program activities complement core </w:t>
      </w:r>
      <w:r w:rsidR="00166336">
        <w:rPr>
          <w:lang w:eastAsia="en-AU"/>
        </w:rPr>
        <w:t xml:space="preserve">secretariat </w:t>
      </w:r>
      <w:r>
        <w:rPr>
          <w:lang w:eastAsia="en-AU"/>
        </w:rPr>
        <w:t>responsibilities.</w:t>
      </w:r>
    </w:p>
    <w:p w14:paraId="504F26B3" w14:textId="1001B560" w:rsidR="00530BA8" w:rsidRDefault="000C2E33" w:rsidP="0016633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Pr>
          <w:lang w:val="en-US"/>
        </w:rPr>
        <w:t xml:space="preserve">The stated goal for sustainability in the program design was </w:t>
      </w:r>
      <w:r w:rsidR="00166336">
        <w:rPr>
          <w:lang w:val="en-US"/>
        </w:rPr>
        <w:t xml:space="preserve">for the </w:t>
      </w:r>
      <w:r w:rsidR="00166336">
        <w:rPr>
          <w:lang w:eastAsia="en-AU"/>
        </w:rPr>
        <w:t>ASEAN Secretariat</w:t>
      </w:r>
      <w:r w:rsidR="00166336">
        <w:rPr>
          <w:lang w:val="en-US"/>
        </w:rPr>
        <w:t xml:space="preserve"> </w:t>
      </w:r>
      <w:r w:rsidRPr="00DC490D">
        <w:rPr>
          <w:lang w:val="en-US"/>
        </w:rPr>
        <w:t xml:space="preserve">to </w:t>
      </w:r>
      <w:r w:rsidRPr="007A4FA7">
        <w:rPr>
          <w:bCs/>
          <w:i/>
          <w:iCs/>
          <w:lang w:val="en-US"/>
        </w:rPr>
        <w:t>effectively monitor and support AANZFTA implementation</w:t>
      </w:r>
      <w:r w:rsidRPr="00DC490D">
        <w:rPr>
          <w:b/>
          <w:bCs/>
          <w:i/>
          <w:iCs/>
          <w:lang w:val="en-US"/>
        </w:rPr>
        <w:t xml:space="preserve"> </w:t>
      </w:r>
      <w:r w:rsidRPr="00DC490D">
        <w:rPr>
          <w:lang w:val="en-US"/>
        </w:rPr>
        <w:t>after AECSP finishes in December 2014</w:t>
      </w:r>
      <w:r w:rsidR="00166336">
        <w:rPr>
          <w:lang w:val="en-US"/>
        </w:rPr>
        <w:t>.</w:t>
      </w:r>
      <w:r>
        <w:rPr>
          <w:rStyle w:val="FootnoteReference"/>
          <w:lang w:val="en-US"/>
        </w:rPr>
        <w:footnoteReference w:id="37"/>
      </w:r>
      <w:r>
        <w:rPr>
          <w:lang w:val="en-US"/>
        </w:rPr>
        <w:t xml:space="preserve"> The reality is that </w:t>
      </w:r>
      <w:r w:rsidR="00166336">
        <w:rPr>
          <w:lang w:eastAsia="en-AU"/>
        </w:rPr>
        <w:t>the secretariat</w:t>
      </w:r>
      <w:r>
        <w:rPr>
          <w:lang w:eastAsia="en-AU"/>
        </w:rPr>
        <w:t xml:space="preserve">’s role in monitoring and supporting implementation of AANZFTA would very likely decline significantly without ongoing </w:t>
      </w:r>
      <w:r>
        <w:rPr>
          <w:lang w:eastAsia="en-AU"/>
        </w:rPr>
        <w:lastRenderedPageBreak/>
        <w:t xml:space="preserve">support, because </w:t>
      </w:r>
      <w:r w:rsidR="00166336">
        <w:rPr>
          <w:lang w:eastAsia="en-AU"/>
        </w:rPr>
        <w:t>it</w:t>
      </w:r>
      <w:r>
        <w:rPr>
          <w:lang w:eastAsia="en-AU"/>
        </w:rPr>
        <w:t xml:space="preserve"> has limited resources and currently places much higher priority on implementation of the </w:t>
      </w:r>
      <w:r w:rsidR="00166336" w:rsidRPr="002915C2">
        <w:rPr>
          <w:lang w:eastAsia="en-AU"/>
        </w:rPr>
        <w:t>ASEAN Economic Community</w:t>
      </w:r>
      <w:r>
        <w:rPr>
          <w:lang w:eastAsia="en-AU"/>
        </w:rPr>
        <w:t>.</w:t>
      </w:r>
    </w:p>
    <w:p w14:paraId="078C843C" w14:textId="77777777" w:rsidR="00530BA8" w:rsidRDefault="00530BA8" w:rsidP="00530BA8">
      <w:pPr>
        <w:rPr>
          <w:lang w:eastAsia="en-AU"/>
        </w:rPr>
      </w:pPr>
      <w:r>
        <w:rPr>
          <w:noProof/>
          <w:lang w:eastAsia="en-AU"/>
        </w:rPr>
        <mc:AlternateContent>
          <mc:Choice Requires="wps">
            <w:drawing>
              <wp:anchor distT="0" distB="0" distL="114300" distR="114300" simplePos="0" relativeHeight="251673600" behindDoc="0" locked="0" layoutInCell="1" allowOverlap="1" wp14:anchorId="334AF1E2" wp14:editId="5D2E3308">
                <wp:simplePos x="0" y="0"/>
                <wp:positionH relativeFrom="column">
                  <wp:posOffset>-36195</wp:posOffset>
                </wp:positionH>
                <wp:positionV relativeFrom="paragraph">
                  <wp:posOffset>187960</wp:posOffset>
                </wp:positionV>
                <wp:extent cx="4994910" cy="2505075"/>
                <wp:effectExtent l="0" t="0" r="34290" b="34925"/>
                <wp:wrapSquare wrapText="bothSides"/>
                <wp:docPr id="76" name="Text Box 76"/>
                <wp:cNvGraphicFramePr/>
                <a:graphic xmlns:a="http://schemas.openxmlformats.org/drawingml/2006/main">
                  <a:graphicData uri="http://schemas.microsoft.com/office/word/2010/wordprocessingShape">
                    <wps:wsp>
                      <wps:cNvSpPr txBox="1"/>
                      <wps:spPr>
                        <a:xfrm>
                          <a:off x="0" y="0"/>
                          <a:ext cx="4994910" cy="2505075"/>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B38DF" w14:textId="576A965D" w:rsidR="005B0DF4" w:rsidRPr="00CE099E" w:rsidRDefault="005B0DF4" w:rsidP="00530BA8">
                            <w:pPr>
                              <w:jc w:val="center"/>
                              <w:rPr>
                                <w:b/>
                              </w:rPr>
                            </w:pPr>
                            <w:r w:rsidRPr="00CE099E">
                              <w:rPr>
                                <w:b/>
                              </w:rPr>
                              <w:t>Box</w:t>
                            </w:r>
                            <w:r>
                              <w:rPr>
                                <w:b/>
                              </w:rPr>
                              <w:t xml:space="preserve"> 4:</w:t>
                            </w:r>
                            <w:r w:rsidRPr="00CE099E">
                              <w:rPr>
                                <w:b/>
                              </w:rPr>
                              <w:t xml:space="preserve"> Examples of </w:t>
                            </w:r>
                            <w:r>
                              <w:rPr>
                                <w:b/>
                              </w:rPr>
                              <w:t>e</w:t>
                            </w:r>
                            <w:r w:rsidRPr="00CE099E">
                              <w:rPr>
                                <w:b/>
                              </w:rPr>
                              <w:t xml:space="preserve">fforts to </w:t>
                            </w:r>
                            <w:r>
                              <w:rPr>
                                <w:b/>
                              </w:rPr>
                              <w:t>b</w:t>
                            </w:r>
                            <w:r w:rsidRPr="00CE099E">
                              <w:rPr>
                                <w:b/>
                              </w:rPr>
                              <w:t xml:space="preserve">uild </w:t>
                            </w:r>
                            <w:r>
                              <w:rPr>
                                <w:b/>
                              </w:rPr>
                              <w:t>s</w:t>
                            </w:r>
                            <w:r w:rsidRPr="00CE099E">
                              <w:rPr>
                                <w:b/>
                              </w:rPr>
                              <w:t xml:space="preserve">ustainable </w:t>
                            </w:r>
                            <w:r>
                              <w:rPr>
                                <w:b/>
                              </w:rPr>
                              <w:t>c</w:t>
                            </w:r>
                            <w:r w:rsidRPr="00CE099E">
                              <w:rPr>
                                <w:b/>
                              </w:rPr>
                              <w:t>apacity</w:t>
                            </w:r>
                          </w:p>
                          <w:p w14:paraId="5B41B221" w14:textId="1201D264" w:rsidR="005B0DF4" w:rsidRDefault="005B0DF4" w:rsidP="00530BA8">
                            <w:pPr>
                              <w:pStyle w:val="ListParagraph"/>
                              <w:numPr>
                                <w:ilvl w:val="0"/>
                                <w:numId w:val="54"/>
                              </w:numPr>
                              <w:ind w:left="284" w:hanging="284"/>
                            </w:pPr>
                            <w:r w:rsidRPr="00CE099E">
                              <w:t xml:space="preserve">Drawing on over 30 years of IP Australia’s experience in patent examination, a multi-year project will assist IP examining offices to meet Patent Cooperation Treaty standards. It combines recognition of prior learning, face-to-face training in Australia and distance education. Its graduates will be qualified to train others in any ASEAN IP office. Support is also being provided to countries wishing to accede to the Madrid Protocol by 2015. </w:t>
                            </w:r>
                          </w:p>
                          <w:p w14:paraId="025B8425" w14:textId="4173CF6F" w:rsidR="005B0DF4" w:rsidRDefault="005B0DF4" w:rsidP="00530BA8">
                            <w:pPr>
                              <w:pStyle w:val="ListParagraph"/>
                              <w:numPr>
                                <w:ilvl w:val="0"/>
                                <w:numId w:val="54"/>
                              </w:numPr>
                              <w:ind w:left="284" w:hanging="284"/>
                            </w:pPr>
                            <w:r w:rsidRPr="00CE099E">
                              <w:t xml:space="preserve">Capacity building in the collection and analysis of services statistics will contribute to an understanding of the key contribution of the services sector to economic growth, as well as enabling more detailed analyses and evidence-based policy development. Work in collaboration with </w:t>
                            </w:r>
                            <w:r>
                              <w:t xml:space="preserve">the </w:t>
                            </w:r>
                            <w:r w:rsidRPr="00004F96">
                              <w:t>United Nations Educational, Scientific and Cultural Organization</w:t>
                            </w:r>
                            <w:r w:rsidRPr="00004F96" w:rsidDel="00004F96">
                              <w:t xml:space="preserve"> </w:t>
                            </w:r>
                            <w:r w:rsidRPr="00CE099E">
                              <w:t xml:space="preserve">on a </w:t>
                            </w:r>
                            <w:r>
                              <w:t>n</w:t>
                            </w:r>
                            <w:r w:rsidRPr="00CE099E">
                              <w:t xml:space="preserve">ational </w:t>
                            </w:r>
                            <w:r>
                              <w:t>q</w:t>
                            </w:r>
                            <w:r w:rsidRPr="00CE099E">
                              <w:t xml:space="preserve">ualifications </w:t>
                            </w:r>
                            <w:r>
                              <w:t>f</w:t>
                            </w:r>
                            <w:r w:rsidRPr="00CE099E">
                              <w:t xml:space="preserve">ramework will facilitate student and skilled labour mobility and encourage trade and investment in services, including education. </w:t>
                            </w:r>
                            <w:r>
                              <w:t>This support is also helping to establish cross-pillar collaborative mechanisms within the ASEAN Secretariat.</w:t>
                            </w:r>
                          </w:p>
                          <w:p w14:paraId="0BE91EFD" w14:textId="77777777" w:rsidR="005B0DF4" w:rsidRPr="00CE099E" w:rsidRDefault="005B0DF4" w:rsidP="00530BA8">
                            <w:pPr>
                              <w:pStyle w:val="ListParagraph"/>
                              <w:ind w:left="284"/>
                            </w:pPr>
                          </w:p>
                          <w:p w14:paraId="09569573" w14:textId="77777777" w:rsidR="005B0DF4" w:rsidRPr="00CE099E" w:rsidRDefault="005B0DF4" w:rsidP="00530BA8"/>
                          <w:p w14:paraId="59B01676" w14:textId="77777777" w:rsidR="005B0DF4" w:rsidRDefault="005B0DF4" w:rsidP="00530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76" o:spid="_x0000_s1044" type="#_x0000_t202" style="position:absolute;margin-left:-2.8pt;margin-top:14.8pt;width:393.3pt;height:19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" filled="f" strokecolor="black [3213]">
                <v:textbox>
                  <w:txbxContent>
                    <w:p w14:paraId="5D7B38DF" w14:textId="576A965D" w:rsidR="00714B4B" w:rsidRPr="00CE099E" w:rsidRDefault="00714B4B" w:rsidP="00530BA8">
                      <w:pPr>
                        <w:jc w:val="center"/>
                        <w:rPr>
                          <w:b/>
                        </w:rPr>
                      </w:pPr>
                      <w:r w:rsidRPr="00CE099E">
                        <w:rPr>
                          <w:b/>
                        </w:rPr>
                        <w:t>Box</w:t>
                      </w:r>
                      <w:r>
                        <w:rPr>
                          <w:b/>
                        </w:rPr>
                        <w:t xml:space="preserve"> 4:</w:t>
                      </w:r>
                      <w:r w:rsidRPr="00CE099E">
                        <w:rPr>
                          <w:b/>
                        </w:rPr>
                        <w:t xml:space="preserve"> Examples of </w:t>
                      </w:r>
                      <w:r>
                        <w:rPr>
                          <w:b/>
                        </w:rPr>
                        <w:t>e</w:t>
                      </w:r>
                      <w:r w:rsidRPr="00CE099E">
                        <w:rPr>
                          <w:b/>
                        </w:rPr>
                        <w:t xml:space="preserve">fforts to </w:t>
                      </w:r>
                      <w:r>
                        <w:rPr>
                          <w:b/>
                        </w:rPr>
                        <w:t>b</w:t>
                      </w:r>
                      <w:r w:rsidRPr="00CE099E">
                        <w:rPr>
                          <w:b/>
                        </w:rPr>
                        <w:t xml:space="preserve">uild </w:t>
                      </w:r>
                      <w:r>
                        <w:rPr>
                          <w:b/>
                        </w:rPr>
                        <w:t>s</w:t>
                      </w:r>
                      <w:r w:rsidRPr="00CE099E">
                        <w:rPr>
                          <w:b/>
                        </w:rPr>
                        <w:t xml:space="preserve">ustainable </w:t>
                      </w:r>
                      <w:r>
                        <w:rPr>
                          <w:b/>
                        </w:rPr>
                        <w:t>c</w:t>
                      </w:r>
                      <w:r w:rsidRPr="00CE099E">
                        <w:rPr>
                          <w:b/>
                        </w:rPr>
                        <w:t>apacity</w:t>
                      </w:r>
                    </w:p>
                    <w:p w14:paraId="5B41B221" w14:textId="1201D264" w:rsidR="00714B4B" w:rsidRDefault="00714B4B" w:rsidP="00530BA8">
                      <w:pPr>
                        <w:pStyle w:val="ListParagraph"/>
                        <w:numPr>
                          <w:ilvl w:val="0"/>
                          <w:numId w:val="54"/>
                        </w:numPr>
                        <w:ind w:left="284" w:hanging="284"/>
                      </w:pPr>
                      <w:r w:rsidRPr="00CE099E">
                        <w:t xml:space="preserve">Drawing on over 30 years of IP Australia’s experience in patent examination, a multi-year project will assist IP examining offices to meet Patent Cooperation Treaty standards. It combines recognition of prior learning, face-to-face training in Australia and distance education. Its graduates will be qualified to train others in any ASEAN IP office. Support is also being provided to countries wishing to accede to the Madrid Protocol by 2015. </w:t>
                      </w:r>
                    </w:p>
                    <w:p w14:paraId="025B8425" w14:textId="4173CF6F" w:rsidR="00714B4B" w:rsidRDefault="00714B4B" w:rsidP="00530BA8">
                      <w:pPr>
                        <w:pStyle w:val="ListParagraph"/>
                        <w:numPr>
                          <w:ilvl w:val="0"/>
                          <w:numId w:val="54"/>
                        </w:numPr>
                        <w:ind w:left="284" w:hanging="284"/>
                      </w:pPr>
                      <w:r w:rsidRPr="00CE099E">
                        <w:t xml:space="preserve">Capacity building in the collection and analysis of services statistics will contribute to an understanding of the key contribution of the services sector to economic growth, as well as enabling more detailed analyses and evidence-based policy development. Work in collaboration with </w:t>
                      </w:r>
                      <w:r>
                        <w:t xml:space="preserve">the </w:t>
                      </w:r>
                      <w:r w:rsidRPr="00004F96">
                        <w:t>United Nations Educational, Scientific and Cultural Organization</w:t>
                      </w:r>
                      <w:r w:rsidRPr="00004F96" w:rsidDel="00004F96">
                        <w:t xml:space="preserve"> </w:t>
                      </w:r>
                      <w:r w:rsidRPr="00CE099E">
                        <w:t xml:space="preserve">on a </w:t>
                      </w:r>
                      <w:r>
                        <w:t>n</w:t>
                      </w:r>
                      <w:r w:rsidRPr="00CE099E">
                        <w:t xml:space="preserve">ational </w:t>
                      </w:r>
                      <w:r>
                        <w:t>q</w:t>
                      </w:r>
                      <w:r w:rsidRPr="00CE099E">
                        <w:t xml:space="preserve">ualifications </w:t>
                      </w:r>
                      <w:r>
                        <w:t>f</w:t>
                      </w:r>
                      <w:r w:rsidRPr="00CE099E">
                        <w:t xml:space="preserve">ramework will facilitate student and skilled labour mobility and encourage trade and investment in services, including education. </w:t>
                      </w:r>
                      <w:r>
                        <w:t>This support is also helping to establish cross-pillar collaborative mechanisms within the ASEAN Secretariat.</w:t>
                      </w:r>
                    </w:p>
                    <w:p w14:paraId="0BE91EFD" w14:textId="77777777" w:rsidR="00714B4B" w:rsidRPr="00CE099E" w:rsidRDefault="00714B4B" w:rsidP="00530BA8">
                      <w:pPr>
                        <w:pStyle w:val="ListParagraph"/>
                        <w:ind w:left="284"/>
                      </w:pPr>
                    </w:p>
                    <w:p w14:paraId="09569573" w14:textId="77777777" w:rsidR="00714B4B" w:rsidRPr="00CE099E" w:rsidRDefault="00714B4B" w:rsidP="00530BA8"/>
                    <w:p w14:paraId="59B01676" w14:textId="77777777" w:rsidR="00714B4B" w:rsidRDefault="00714B4B" w:rsidP="00530BA8"/>
                  </w:txbxContent>
                </v:textbox>
                <w10:wrap type="square"/>
              </v:shape>
            </w:pict>
          </mc:Fallback>
        </mc:AlternateContent>
      </w:r>
    </w:p>
    <w:p w14:paraId="05263B49" w14:textId="2C97EDAE" w:rsidR="00530BA8" w:rsidRDefault="00530BA8" w:rsidP="00530BA8">
      <w:pPr>
        <w:pStyle w:val="Heading3"/>
      </w:pPr>
      <w:r w:rsidRPr="00004F96">
        <w:t xml:space="preserve">Gender </w:t>
      </w:r>
      <w:r w:rsidR="005408FB" w:rsidRPr="00004F96">
        <w:t>equality</w:t>
      </w:r>
    </w:p>
    <w:p w14:paraId="26BD1911" w14:textId="0A681DA7" w:rsidR="00530BA8" w:rsidRDefault="00530BA8" w:rsidP="001F0ECA">
      <w:pPr>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t xml:space="preserve">Compared to typical development projects supported by AusAID and New Zealand, the AECSP design includes relatively </w:t>
      </w:r>
      <w:r>
        <w:rPr>
          <w:lang w:eastAsia="en-AU"/>
        </w:rPr>
        <w:t>l</w:t>
      </w:r>
      <w:r w:rsidRPr="002915C2">
        <w:rPr>
          <w:lang w:eastAsia="en-AU"/>
        </w:rPr>
        <w:t xml:space="preserve">imited attention to gender issues. </w:t>
      </w:r>
      <w:r>
        <w:t xml:space="preserve">The </w:t>
      </w:r>
      <w:r w:rsidR="00EC7CCD">
        <w:t xml:space="preserve">scope </w:t>
      </w:r>
      <w:r>
        <w:t xml:space="preserve">of </w:t>
      </w:r>
      <w:r w:rsidR="00EC7CCD">
        <w:t xml:space="preserve">service </w:t>
      </w:r>
      <w:r>
        <w:t xml:space="preserve">for AECSP notes that gender issues should be addressed stating that </w:t>
      </w:r>
      <w:r w:rsidR="00004F96">
        <w:t>“</w:t>
      </w:r>
      <w:r w:rsidRPr="00365B6C">
        <w:rPr>
          <w:i/>
        </w:rPr>
        <w:t xml:space="preserve">the </w:t>
      </w:r>
      <w:r w:rsidR="00EC7CCD" w:rsidRPr="00EC7CCD">
        <w:rPr>
          <w:i/>
        </w:rPr>
        <w:t>Economic Cooperation Work Program</w:t>
      </w:r>
      <w:r w:rsidR="00EC7CCD" w:rsidRPr="00EC7CCD" w:rsidDel="00EC7CCD">
        <w:rPr>
          <w:i/>
        </w:rPr>
        <w:t xml:space="preserve"> </w:t>
      </w:r>
      <w:r w:rsidRPr="00365B6C">
        <w:rPr>
          <w:i/>
        </w:rPr>
        <w:t>may fund evaluation studies that include analysis of the situation for women, and that barriers to gender equality are identified and integrated into continuous improvement of AECSP and its monitoring and evaluation</w:t>
      </w:r>
      <w:r w:rsidR="00004F96">
        <w:t>”.</w:t>
      </w:r>
      <w:r>
        <w:rPr>
          <w:rStyle w:val="FootnoteReference"/>
        </w:rPr>
        <w:footnoteReference w:id="38"/>
      </w:r>
      <w:r>
        <w:t xml:space="preserve"> Personnel terms of reference in the design outline the need for recruited staff to have an appreciation of gender and equity issues, and the program design requires that gender issues be addressed in the </w:t>
      </w:r>
      <w:r w:rsidR="00EC7CCD">
        <w:t>monitoring and evaluation</w:t>
      </w:r>
      <w:r>
        <w:t xml:space="preserve"> framework. However, accountability for managing gender opportunities is transferred to the </w:t>
      </w:r>
      <w:r w:rsidR="00EC7CCD">
        <w:t xml:space="preserve">monitoring and evaluation </w:t>
      </w:r>
      <w:r>
        <w:t>framework (</w:t>
      </w:r>
      <w:r w:rsidR="00004F96">
        <w:t>that is,</w:t>
      </w:r>
      <w:r>
        <w:t xml:space="preserve"> the design document states that the </w:t>
      </w:r>
      <w:r w:rsidR="00EC7CCD">
        <w:t xml:space="preserve">monitoring and evaluation </w:t>
      </w:r>
      <w:r>
        <w:t xml:space="preserve">framework </w:t>
      </w:r>
      <w:r w:rsidR="00004F96">
        <w:t>“</w:t>
      </w:r>
      <w:r w:rsidRPr="000429B4">
        <w:t>will assist in the consideration of gender and other cross</w:t>
      </w:r>
      <w:r>
        <w:t xml:space="preserve"> cutting issues as </w:t>
      </w:r>
      <w:r w:rsidR="00004F96">
        <w:t xml:space="preserve">appropriate” </w:t>
      </w:r>
      <w:r>
        <w:t xml:space="preserve">and highlights the need to </w:t>
      </w:r>
      <w:r w:rsidR="00004F96">
        <w:t>“</w:t>
      </w:r>
      <w:r>
        <w:t>gather</w:t>
      </w:r>
      <w:r w:rsidRPr="00620F2F">
        <w:t xml:space="preserve"> gender-disaggregated data</w:t>
      </w:r>
      <w:r w:rsidR="00004F96">
        <w:t>”</w:t>
      </w:r>
      <w:r>
        <w:t>)</w:t>
      </w:r>
      <w:r w:rsidR="00EC7CCD">
        <w:t>.</w:t>
      </w:r>
      <w:r w:rsidRPr="00620F2F">
        <w:t xml:space="preserve"> </w:t>
      </w:r>
      <w:r>
        <w:rPr>
          <w:rStyle w:val="FootnoteReference"/>
        </w:rPr>
        <w:footnoteReference w:id="39"/>
      </w:r>
      <w:r>
        <w:t xml:space="preserve"> </w:t>
      </w:r>
    </w:p>
    <w:p w14:paraId="3F7767D5" w14:textId="366A0327" w:rsidR="00530BA8" w:rsidRDefault="00530BA8" w:rsidP="00EC7CCD">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t xml:space="preserve">Past AusAID </w:t>
      </w:r>
      <w:r w:rsidR="00004F96">
        <w:t>q</w:t>
      </w:r>
      <w:r w:rsidR="00EC7CCD">
        <w:t xml:space="preserve">uality </w:t>
      </w:r>
      <w:r>
        <w:t xml:space="preserve">at </w:t>
      </w:r>
      <w:r w:rsidR="00004F96">
        <w:t>i</w:t>
      </w:r>
      <w:r>
        <w:t>mplementation reports have also concluded that AESCP support for gender issues has been limited and ad-hoc</w:t>
      </w:r>
      <w:r w:rsidR="00EC7CCD">
        <w:t>.</w:t>
      </w:r>
      <w:r>
        <w:rPr>
          <w:rStyle w:val="FootnoteReference"/>
        </w:rPr>
        <w:footnoteReference w:id="40"/>
      </w:r>
      <w:r>
        <w:t xml:space="preserve"> This indicates that a ‘less than adequate quality’ has been achieved and there is a need for additional ‘work to improve in core areas’. </w:t>
      </w:r>
      <w:r w:rsidRPr="002915C2">
        <w:rPr>
          <w:lang w:eastAsia="en-AU"/>
        </w:rPr>
        <w:t>There is scope to build AECSP awareness to seek opportunities to address gender issues during regional consultations and capacity building activities</w:t>
      </w:r>
      <w:r w:rsidR="00EC7CCD">
        <w:rPr>
          <w:lang w:eastAsia="en-AU"/>
        </w:rPr>
        <w:t>.</w:t>
      </w:r>
      <w:r w:rsidRPr="002915C2">
        <w:rPr>
          <w:vertAlign w:val="superscript"/>
          <w:lang w:eastAsia="en-AU"/>
        </w:rPr>
        <w:footnoteReference w:id="41"/>
      </w:r>
    </w:p>
    <w:p w14:paraId="62D73B3B" w14:textId="7091F096" w:rsidR="00530BA8" w:rsidRDefault="00530BA8" w:rsidP="00EC7CCD">
      <w:pPr>
        <w:spacing w:after="0"/>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t xml:space="preserve">Partners and stakeholders argue </w:t>
      </w:r>
      <w:r w:rsidR="00EC7CCD">
        <w:t xml:space="preserve">that </w:t>
      </w:r>
      <w:r>
        <w:t>a number of extenuating circumstances have impacted upon AECSP‘s inability to provide proactive support for gender and equality priorities. These include:</w:t>
      </w:r>
    </w:p>
    <w:p w14:paraId="76083300" w14:textId="3F124571" w:rsidR="00530BA8" w:rsidRDefault="00EC7CCD" w:rsidP="00530BA8">
      <w:pPr>
        <w:pStyle w:val="ListParagraph"/>
        <w:numPr>
          <w:ilvl w:val="0"/>
          <w:numId w:val="45"/>
        </w:numPr>
        <w:spacing w:after="0"/>
      </w:pPr>
      <w:r>
        <w:rPr>
          <w:lang w:eastAsia="en-AU"/>
        </w:rPr>
        <w:t>t</w:t>
      </w:r>
      <w:r w:rsidRPr="002915C2">
        <w:rPr>
          <w:lang w:eastAsia="en-AU"/>
        </w:rPr>
        <w:t xml:space="preserve">he </w:t>
      </w:r>
      <w:r w:rsidR="00530BA8">
        <w:rPr>
          <w:lang w:eastAsia="en-AU"/>
        </w:rPr>
        <w:t xml:space="preserve">challenge </w:t>
      </w:r>
      <w:r w:rsidR="00004F96">
        <w:rPr>
          <w:lang w:eastAsia="en-AU"/>
        </w:rPr>
        <w:t>of</w:t>
      </w:r>
      <w:r w:rsidR="00004F96" w:rsidRPr="002915C2">
        <w:rPr>
          <w:lang w:eastAsia="en-AU"/>
        </w:rPr>
        <w:t xml:space="preserve"> </w:t>
      </w:r>
      <w:r w:rsidR="00530BA8">
        <w:rPr>
          <w:lang w:eastAsia="en-AU"/>
        </w:rPr>
        <w:t>identifying ways to efficiently factor</w:t>
      </w:r>
      <w:r w:rsidR="00530BA8" w:rsidRPr="002915C2">
        <w:rPr>
          <w:lang w:eastAsia="en-AU"/>
        </w:rPr>
        <w:t xml:space="preserve"> gender issues into quite technical </w:t>
      </w:r>
      <w:r w:rsidR="00530BA8">
        <w:rPr>
          <w:lang w:eastAsia="en-AU"/>
        </w:rPr>
        <w:t>regional integration projects</w:t>
      </w:r>
    </w:p>
    <w:p w14:paraId="33998EC5" w14:textId="4F4A09D2" w:rsidR="00530BA8" w:rsidRDefault="00EC7CCD" w:rsidP="00530BA8">
      <w:pPr>
        <w:pStyle w:val="ListParagraph"/>
        <w:numPr>
          <w:ilvl w:val="0"/>
          <w:numId w:val="45"/>
        </w:numPr>
        <w:spacing w:after="0"/>
      </w:pPr>
      <w:r>
        <w:rPr>
          <w:lang w:eastAsia="en-AU"/>
        </w:rPr>
        <w:t>g</w:t>
      </w:r>
      <w:r w:rsidRPr="002915C2">
        <w:rPr>
          <w:lang w:eastAsia="en-AU"/>
        </w:rPr>
        <w:t xml:space="preserve">ender </w:t>
      </w:r>
      <w:r w:rsidR="00530BA8" w:rsidRPr="002915C2">
        <w:rPr>
          <w:lang w:eastAsia="en-AU"/>
        </w:rPr>
        <w:t>related integration issues</w:t>
      </w:r>
      <w:r w:rsidR="006F2229">
        <w:rPr>
          <w:lang w:eastAsia="en-AU"/>
        </w:rPr>
        <w:t>, which</w:t>
      </w:r>
      <w:r w:rsidR="00530BA8" w:rsidRPr="002915C2">
        <w:rPr>
          <w:lang w:eastAsia="en-AU"/>
        </w:rPr>
        <w:t xml:space="preserve"> are more effectively addressed in country</w:t>
      </w:r>
      <w:r w:rsidR="006F2229">
        <w:rPr>
          <w:lang w:eastAsia="en-AU"/>
        </w:rPr>
        <w:t>,</w:t>
      </w:r>
      <w:r w:rsidR="00530BA8" w:rsidRPr="002915C2">
        <w:rPr>
          <w:lang w:eastAsia="en-AU"/>
        </w:rPr>
        <w:t xml:space="preserve"> and sector specific activities</w:t>
      </w:r>
    </w:p>
    <w:p w14:paraId="2506FA81" w14:textId="41986663" w:rsidR="00530BA8" w:rsidRDefault="00EC7CCD" w:rsidP="00530BA8">
      <w:pPr>
        <w:pStyle w:val="ListParagraph"/>
        <w:numPr>
          <w:ilvl w:val="0"/>
          <w:numId w:val="45"/>
        </w:numPr>
        <w:spacing w:after="0"/>
      </w:pPr>
      <w:r>
        <w:lastRenderedPageBreak/>
        <w:t xml:space="preserve">the fact that </w:t>
      </w:r>
      <w:r w:rsidR="00530BA8">
        <w:t>AECSP is partner led, which limits avenues of influence to those largely within ASEAN structures, policies and systems.</w:t>
      </w:r>
      <w:r w:rsidR="005856D4">
        <w:t xml:space="preserve"> </w:t>
      </w:r>
      <w:r w:rsidR="00530BA8">
        <w:t xml:space="preserve">Planning and implementation of </w:t>
      </w:r>
      <w:r>
        <w:t xml:space="preserve">program </w:t>
      </w:r>
      <w:r w:rsidR="00530BA8">
        <w:t>activities are shaped by ASEAN priorities</w:t>
      </w:r>
    </w:p>
    <w:p w14:paraId="17C4DFA9" w14:textId="45AF62B0" w:rsidR="00530BA8" w:rsidRDefault="00EC7CCD" w:rsidP="00530BA8">
      <w:pPr>
        <w:pStyle w:val="ListParagraph"/>
        <w:numPr>
          <w:ilvl w:val="0"/>
          <w:numId w:val="45"/>
        </w:numPr>
        <w:spacing w:after="0"/>
      </w:pPr>
      <w:r>
        <w:t xml:space="preserve">sensitivities </w:t>
      </w:r>
      <w:r w:rsidR="00530BA8">
        <w:t xml:space="preserve">of </w:t>
      </w:r>
      <w:r>
        <w:t xml:space="preserve">ASEAN member states </w:t>
      </w:r>
      <w:r w:rsidR="00530BA8">
        <w:t>to any perception of encroachment on internal policies and approaches by external parties</w:t>
      </w:r>
    </w:p>
    <w:p w14:paraId="76C52418" w14:textId="18D7A306" w:rsidR="00530BA8" w:rsidRDefault="00EC7CCD" w:rsidP="00530BA8">
      <w:pPr>
        <w:pStyle w:val="ListParagraph"/>
        <w:numPr>
          <w:ilvl w:val="0"/>
          <w:numId w:val="45"/>
        </w:numPr>
        <w:spacing w:after="0"/>
      </w:pPr>
      <w:r>
        <w:t xml:space="preserve">the </w:t>
      </w:r>
      <w:r w:rsidR="00530BA8">
        <w:t xml:space="preserve">varying attitudes and approaches to managing gender and equality across </w:t>
      </w:r>
      <w:r>
        <w:t>ASEAN member states</w:t>
      </w:r>
      <w:r w:rsidR="00530BA8">
        <w:t>, Australia and New Zealand.</w:t>
      </w:r>
    </w:p>
    <w:p w14:paraId="0406946C" w14:textId="1C8ADE8F" w:rsidR="00530BA8" w:rsidRDefault="00530BA8" w:rsidP="00EC7CCD">
      <w:pPr>
        <w:pStyle w:val="BodyText"/>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t>AECSP provides a potentially fertile opportunity to support appropriate gender programming in a unique context. Evidence indicates that increased trade and investment can be good for gender equity</w:t>
      </w:r>
      <w:r w:rsidR="00EC7CCD">
        <w:t>.</w:t>
      </w:r>
      <w:r>
        <w:rPr>
          <w:rStyle w:val="FootnoteReference"/>
        </w:rPr>
        <w:footnoteReference w:id="42"/>
      </w:r>
      <w:r>
        <w:t xml:space="preserve"> Greater efforts could be made by AECSP </w:t>
      </w:r>
      <w:r w:rsidR="0045046A">
        <w:t>and partners</w:t>
      </w:r>
      <w:r>
        <w:t xml:space="preserve"> to pursue appropriate development opportunities in collaboration with </w:t>
      </w:r>
      <w:r w:rsidR="00EC7CCD">
        <w:t xml:space="preserve">the </w:t>
      </w:r>
      <w:r w:rsidR="00FA23AA">
        <w:t xml:space="preserve">ASEAN </w:t>
      </w:r>
      <w:r w:rsidR="00EC7CCD">
        <w:t xml:space="preserve">Secretariat </w:t>
      </w:r>
      <w:r>
        <w:t xml:space="preserve">and other partners working with </w:t>
      </w:r>
      <w:r w:rsidR="00EC7CCD">
        <w:t>the</w:t>
      </w:r>
      <w:r w:rsidR="00FA23AA">
        <w:t xml:space="preserve"> </w:t>
      </w:r>
      <w:r w:rsidR="00EC7CCD">
        <w:t xml:space="preserve">secretariat </w:t>
      </w:r>
      <w:r>
        <w:t>on gender mainstreaming.</w:t>
      </w:r>
    </w:p>
    <w:p w14:paraId="0B78B5B3" w14:textId="19BBE23C" w:rsidR="00530BA8" w:rsidRDefault="00530BA8" w:rsidP="00530BA8">
      <w:pPr>
        <w:pStyle w:val="Heading3"/>
      </w:pPr>
      <w:r>
        <w:t xml:space="preserve">Monitoring and </w:t>
      </w:r>
      <w:r w:rsidR="005408FB">
        <w:t>evaluation</w:t>
      </w:r>
      <w:r>
        <w:rPr>
          <w:rStyle w:val="FootnoteReference"/>
        </w:rPr>
        <w:footnoteReference w:id="43"/>
      </w:r>
    </w:p>
    <w:p w14:paraId="30DF4BED" w14:textId="755327D0" w:rsidR="00530BA8" w:rsidRDefault="00530BA8" w:rsidP="00E671DF">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t>The AECSP design document</w:t>
      </w:r>
      <w:r>
        <w:rPr>
          <w:rStyle w:val="FootnoteReference"/>
        </w:rPr>
        <w:footnoteReference w:id="44"/>
      </w:r>
      <w:r>
        <w:t xml:space="preserve"> describes the </w:t>
      </w:r>
      <w:r w:rsidR="00647787">
        <w:t>monitoring and evaluation</w:t>
      </w:r>
      <w:r>
        <w:t xml:space="preserve"> requirements for the </w:t>
      </w:r>
      <w:r w:rsidR="00647787">
        <w:t>program</w:t>
      </w:r>
      <w:r>
        <w:t xml:space="preserve"> </w:t>
      </w:r>
      <w:r w:rsidR="00647787">
        <w:t xml:space="preserve">and includes </w:t>
      </w:r>
      <w:r>
        <w:t>a draft version of the monitoring and evaluation framework</w:t>
      </w:r>
      <w:r w:rsidR="00647787">
        <w:t>.</w:t>
      </w:r>
      <w:r>
        <w:rPr>
          <w:rStyle w:val="FootnoteReference"/>
        </w:rPr>
        <w:footnoteReference w:id="45"/>
      </w:r>
      <w:r>
        <w:t xml:space="preserve"> The documen</w:t>
      </w:r>
      <w:r>
        <w:rPr>
          <w:lang w:eastAsia="en-AU"/>
        </w:rPr>
        <w:t xml:space="preserve">t highlights the need for a </w:t>
      </w:r>
      <w:r>
        <w:t xml:space="preserve">comprehensive framework to legitimately and accurately monitor and evaluate progress towards achieving the goals of AECSP. The aim was to establish a system that would help </w:t>
      </w:r>
      <w:r>
        <w:rPr>
          <w:lang w:eastAsia="en-AU"/>
        </w:rPr>
        <w:t>identify what is</w:t>
      </w:r>
      <w:r w:rsidRPr="008400CB">
        <w:rPr>
          <w:lang w:eastAsia="en-AU"/>
        </w:rPr>
        <w:t xml:space="preserve"> different after five years of AECSP</w:t>
      </w:r>
      <w:r>
        <w:rPr>
          <w:lang w:eastAsia="en-AU"/>
        </w:rPr>
        <w:t xml:space="preserve">, compared with what would have happened without this support. However, it is also </w:t>
      </w:r>
      <w:r w:rsidR="00647787">
        <w:rPr>
          <w:lang w:eastAsia="en-AU"/>
        </w:rPr>
        <w:t xml:space="preserve">recognised </w:t>
      </w:r>
      <w:r>
        <w:rPr>
          <w:lang w:eastAsia="en-AU"/>
        </w:rPr>
        <w:t>that, g</w:t>
      </w:r>
      <w:r w:rsidRPr="002915C2">
        <w:rPr>
          <w:lang w:eastAsia="en-AU"/>
        </w:rPr>
        <w:t xml:space="preserve">iven AECSP is a relatively minor contributor to the overall regional and national trade and investment reform agenda, it will be difficult to directly attribute </w:t>
      </w:r>
      <w:r>
        <w:rPr>
          <w:lang w:eastAsia="en-AU"/>
        </w:rPr>
        <w:t xml:space="preserve">regional </w:t>
      </w:r>
      <w:r w:rsidRPr="002915C2">
        <w:rPr>
          <w:lang w:eastAsia="en-AU"/>
        </w:rPr>
        <w:t>developments in trade and investment to AECSP.</w:t>
      </w:r>
      <w:r>
        <w:rPr>
          <w:lang w:eastAsia="en-AU"/>
        </w:rPr>
        <w:t xml:space="preserve"> Part-time international advisors were appointed to assist with the development of the </w:t>
      </w:r>
      <w:r w:rsidR="00647787">
        <w:t xml:space="preserve">monitoring and evaluation </w:t>
      </w:r>
      <w:r>
        <w:rPr>
          <w:lang w:eastAsia="en-AU"/>
        </w:rPr>
        <w:t xml:space="preserve">system. </w:t>
      </w:r>
    </w:p>
    <w:p w14:paraId="017089E9" w14:textId="302C9BBC" w:rsidR="00530BA8" w:rsidRPr="008400CB" w:rsidRDefault="00530BA8" w:rsidP="00E671DF">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t xml:space="preserve">Progress with </w:t>
      </w:r>
      <w:r w:rsidR="00647787">
        <w:t xml:space="preserve">monitoring and evaluation </w:t>
      </w:r>
      <w:r w:rsidRPr="002915C2">
        <w:rPr>
          <w:lang w:eastAsia="en-AU"/>
        </w:rPr>
        <w:t>has been slow</w:t>
      </w:r>
      <w:r>
        <w:rPr>
          <w:lang w:eastAsia="en-AU"/>
        </w:rPr>
        <w:t>er than planned in the agreed program design</w:t>
      </w:r>
      <w:r w:rsidRPr="002915C2">
        <w:rPr>
          <w:b/>
          <w:lang w:eastAsia="en-AU"/>
        </w:rPr>
        <w:t>.</w:t>
      </w:r>
      <w:r>
        <w:rPr>
          <w:b/>
          <w:lang w:eastAsia="en-AU"/>
        </w:rPr>
        <w:t xml:space="preserve"> </w:t>
      </w:r>
      <w:r>
        <w:t>The challenges</w:t>
      </w:r>
      <w:r w:rsidRPr="004F0732">
        <w:t xml:space="preserve"> </w:t>
      </w:r>
      <w:r>
        <w:t>of developing and implementing</w:t>
      </w:r>
      <w:r w:rsidRPr="004F0732">
        <w:t xml:space="preserve"> the framework</w:t>
      </w:r>
      <w:r>
        <w:t xml:space="preserve"> were probably understated in the</w:t>
      </w:r>
      <w:r w:rsidRPr="004F0732">
        <w:t xml:space="preserve"> </w:t>
      </w:r>
      <w:r>
        <w:t>p</w:t>
      </w:r>
      <w:r w:rsidRPr="004F0732">
        <w:t>rogram</w:t>
      </w:r>
      <w:r>
        <w:t xml:space="preserve"> design</w:t>
      </w:r>
      <w:r w:rsidR="00647787">
        <w:t>.</w:t>
      </w:r>
      <w:r w:rsidRPr="004F0732">
        <w:rPr>
          <w:vertAlign w:val="superscript"/>
        </w:rPr>
        <w:footnoteReference w:id="46"/>
      </w:r>
      <w:r>
        <w:t xml:space="preserve"> An initial framework developed by the first international </w:t>
      </w:r>
      <w:r w:rsidR="00647787">
        <w:t xml:space="preserve">monitoring and evaluation </w:t>
      </w:r>
      <w:r>
        <w:t xml:space="preserve">consultant was seen by AECSP stakeholders as too complex, too difficult to comprehend and too </w:t>
      </w:r>
      <w:r w:rsidR="0047158F">
        <w:t xml:space="preserve">hard </w:t>
      </w:r>
      <w:r>
        <w:t xml:space="preserve">to implement. </w:t>
      </w:r>
      <w:r w:rsidR="00647787">
        <w:t xml:space="preserve">Monitoring and evaluation </w:t>
      </w:r>
      <w:r>
        <w:t xml:space="preserve">challenges were compounded by a lack of familiarity by some stakeholders of the AusAID results reporting requirements. The final AECSP </w:t>
      </w:r>
      <w:r w:rsidR="00647787">
        <w:t>monitoring and evaluation f</w:t>
      </w:r>
      <w:r>
        <w:t xml:space="preserve">ramework was completed by the second international specialist and the </w:t>
      </w:r>
      <w:r w:rsidR="00647787">
        <w:t>AANZFTA Support Unit,</w:t>
      </w:r>
      <w:r>
        <w:t xml:space="preserve"> and endorsed by the program in November 2011. A third international </w:t>
      </w:r>
      <w:r w:rsidR="00647787">
        <w:t xml:space="preserve">monitoring and evaluation </w:t>
      </w:r>
      <w:r>
        <w:t xml:space="preserve">expert is now supporting </w:t>
      </w:r>
      <w:r w:rsidR="00647787">
        <w:t xml:space="preserve">the unit’s </w:t>
      </w:r>
      <w:r>
        <w:t xml:space="preserve">efforts to </w:t>
      </w:r>
      <w:r w:rsidR="00647787">
        <w:t xml:space="preserve">operationalise </w:t>
      </w:r>
      <w:r>
        <w:t xml:space="preserve">the </w:t>
      </w:r>
      <w:r w:rsidR="00647787">
        <w:t xml:space="preserve">monitoring and evaluation </w:t>
      </w:r>
      <w:r>
        <w:t>system</w:t>
      </w:r>
      <w:r w:rsidR="00647787">
        <w:t>.</w:t>
      </w:r>
      <w:r>
        <w:rPr>
          <w:rStyle w:val="FootnoteReference"/>
        </w:rPr>
        <w:footnoteReference w:id="47"/>
      </w:r>
      <w:r>
        <w:t xml:space="preserve"> </w:t>
      </w:r>
      <w:r>
        <w:rPr>
          <w:lang w:eastAsia="en-AU"/>
        </w:rPr>
        <w:t>The challenge now is to develop approaches</w:t>
      </w:r>
      <w:r w:rsidRPr="002915C2">
        <w:rPr>
          <w:lang w:eastAsia="en-AU"/>
        </w:rPr>
        <w:t xml:space="preserve"> to </w:t>
      </w:r>
      <w:r>
        <w:rPr>
          <w:lang w:eastAsia="en-AU"/>
        </w:rPr>
        <w:lastRenderedPageBreak/>
        <w:t>document, analyse and disseminate information on</w:t>
      </w:r>
      <w:r w:rsidRPr="002915C2">
        <w:rPr>
          <w:lang w:eastAsia="en-AU"/>
        </w:rPr>
        <w:t xml:space="preserve"> likely contributions of project outputs to broader national and regional efforts to boost trade, invest</w:t>
      </w:r>
      <w:r>
        <w:rPr>
          <w:lang w:eastAsia="en-AU"/>
        </w:rPr>
        <w:t>ment and employment.</w:t>
      </w:r>
      <w:r w:rsidR="005856D4">
        <w:rPr>
          <w:lang w:eastAsia="en-AU"/>
        </w:rPr>
        <w:t xml:space="preserve"> </w:t>
      </w:r>
    </w:p>
    <w:p w14:paraId="556755B5" w14:textId="726F5E21" w:rsidR="00530BA8" w:rsidRPr="008400CB" w:rsidRDefault="00530BA8" w:rsidP="00E671DF">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rsidRPr="008400CB">
        <w:rPr>
          <w:lang w:eastAsia="en-AU"/>
        </w:rPr>
        <w:t>Beneficiary impacts as a result of supported capacity development initiatives within AECSP</w:t>
      </w:r>
      <w:r w:rsidR="00E671DF">
        <w:rPr>
          <w:lang w:eastAsia="en-AU"/>
        </w:rPr>
        <w:t xml:space="preserve"> and </w:t>
      </w:r>
      <w:r w:rsidRPr="008400CB">
        <w:rPr>
          <w:lang w:eastAsia="en-AU"/>
        </w:rPr>
        <w:t xml:space="preserve">AANZFTA do not appear to be well articulated or understood within the context of the </w:t>
      </w:r>
      <w:r>
        <w:rPr>
          <w:lang w:eastAsia="en-AU"/>
        </w:rPr>
        <w:t>p</w:t>
      </w:r>
      <w:r w:rsidRPr="008400CB">
        <w:rPr>
          <w:lang w:eastAsia="en-AU"/>
        </w:rPr>
        <w:t>rogram.</w:t>
      </w:r>
      <w:r>
        <w:rPr>
          <w:lang w:eastAsia="en-AU"/>
        </w:rPr>
        <w:t xml:space="preserve"> Further steps were taken to more systematically understand what impact capacity building is having on participants.</w:t>
      </w:r>
      <w:r w:rsidRPr="008400CB">
        <w:rPr>
          <w:lang w:eastAsia="en-AU"/>
        </w:rPr>
        <w:t xml:space="preserve"> The revised</w:t>
      </w:r>
      <w:r>
        <w:rPr>
          <w:lang w:eastAsia="en-AU"/>
        </w:rPr>
        <w:t xml:space="preserve"> program</w:t>
      </w:r>
      <w:r w:rsidRPr="008400CB">
        <w:rPr>
          <w:lang w:eastAsia="en-AU"/>
        </w:rPr>
        <w:t xml:space="preserve"> performance</w:t>
      </w:r>
      <w:r w:rsidR="00E671DF">
        <w:rPr>
          <w:lang w:eastAsia="en-AU"/>
        </w:rPr>
        <w:t xml:space="preserve"> and </w:t>
      </w:r>
      <w:r w:rsidR="00E671DF">
        <w:t>monitoring and evaluation</w:t>
      </w:r>
      <w:r w:rsidRPr="008400CB">
        <w:rPr>
          <w:lang w:eastAsia="en-AU"/>
        </w:rPr>
        <w:t xml:space="preserve"> framework is working towards these objectives.</w:t>
      </w:r>
    </w:p>
    <w:p w14:paraId="784FE515" w14:textId="357B1E30" w:rsidR="00530BA8" w:rsidRDefault="00530BA8" w:rsidP="00E671DF">
      <w:pPr>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t xml:space="preserve">Strengths of the AECSP </w:t>
      </w:r>
      <w:r w:rsidR="00E671DF">
        <w:t xml:space="preserve">monitoring and evaluation </w:t>
      </w:r>
      <w:r>
        <w:t>methodology include:</w:t>
      </w:r>
    </w:p>
    <w:p w14:paraId="2C144440" w14:textId="3EFD76AB" w:rsidR="00530BA8" w:rsidRDefault="00E671DF" w:rsidP="00530BA8">
      <w:pPr>
        <w:pStyle w:val="ListParagraph"/>
        <w:numPr>
          <w:ilvl w:val="0"/>
          <w:numId w:val="48"/>
        </w:numPr>
        <w:spacing w:after="0"/>
      </w:pPr>
      <w:r>
        <w:t xml:space="preserve">all </w:t>
      </w:r>
      <w:r w:rsidR="00530BA8">
        <w:t xml:space="preserve">stakeholders have access to, and most are </w:t>
      </w:r>
      <w:r>
        <w:t>using</w:t>
      </w:r>
      <w:r w:rsidR="00530BA8">
        <w:t>, reports that provide an overview of program activities and outputs</w:t>
      </w:r>
    </w:p>
    <w:p w14:paraId="208B1B33" w14:textId="4EF91640" w:rsidR="00530BA8" w:rsidRDefault="00E671DF" w:rsidP="00530BA8">
      <w:pPr>
        <w:pStyle w:val="ListParagraph"/>
        <w:numPr>
          <w:ilvl w:val="0"/>
          <w:numId w:val="48"/>
        </w:numPr>
        <w:spacing w:after="0"/>
      </w:pPr>
      <w:r>
        <w:t xml:space="preserve">an </w:t>
      </w:r>
      <w:r w:rsidR="00530BA8">
        <w:t>evolving methodology adapted to stakeholder needs</w:t>
      </w:r>
    </w:p>
    <w:p w14:paraId="29412029" w14:textId="6C1656E6" w:rsidR="00E671DF" w:rsidRDefault="00E671DF" w:rsidP="00530BA8">
      <w:pPr>
        <w:pStyle w:val="ListParagraph"/>
        <w:numPr>
          <w:ilvl w:val="0"/>
          <w:numId w:val="48"/>
        </w:numPr>
        <w:spacing w:after="0"/>
      </w:pPr>
      <w:r w:rsidRPr="00E671DF">
        <w:t xml:space="preserve">AANZFTA Support Unit </w:t>
      </w:r>
      <w:r w:rsidR="00530BA8">
        <w:t xml:space="preserve">activities </w:t>
      </w:r>
      <w:r w:rsidR="006E72E9">
        <w:t>can</w:t>
      </w:r>
      <w:r>
        <w:t xml:space="preserve"> be mapped </w:t>
      </w:r>
      <w:r w:rsidR="00530BA8">
        <w:t xml:space="preserve">and the </w:t>
      </w:r>
      <w:r w:rsidR="00546E38">
        <w:t xml:space="preserve">Economic Cooperation Work Program </w:t>
      </w:r>
      <w:r>
        <w:t>tracked</w:t>
      </w:r>
    </w:p>
    <w:p w14:paraId="60510D5D" w14:textId="443A7C91" w:rsidR="00530BA8" w:rsidRDefault="00E671DF" w:rsidP="00530BA8">
      <w:pPr>
        <w:pStyle w:val="ListParagraph"/>
        <w:numPr>
          <w:ilvl w:val="0"/>
          <w:numId w:val="48"/>
        </w:numPr>
        <w:spacing w:after="0"/>
      </w:pPr>
      <w:r>
        <w:t>t</w:t>
      </w:r>
      <w:r w:rsidR="00530BA8">
        <w:t xml:space="preserve">he </w:t>
      </w:r>
      <w:r w:rsidRPr="00E671DF">
        <w:t xml:space="preserve">AANZFTA Support Unit </w:t>
      </w:r>
      <w:r w:rsidR="00530BA8">
        <w:t>team was strengthened in 2012. Since mid-2012, progress has been made in applying practical tools to monitor and record verifiable outcomes</w:t>
      </w:r>
    </w:p>
    <w:p w14:paraId="207A9249" w14:textId="07EB79F6" w:rsidR="00530BA8" w:rsidRDefault="00E671DF" w:rsidP="00530BA8">
      <w:pPr>
        <w:pStyle w:val="ListParagraph"/>
        <w:numPr>
          <w:ilvl w:val="0"/>
          <w:numId w:val="48"/>
        </w:numPr>
        <w:spacing w:after="0"/>
      </w:pPr>
      <w:r>
        <w:t xml:space="preserve">the </w:t>
      </w:r>
      <w:r w:rsidR="00530BA8">
        <w:t>move away from one-off activity specific initiatives towards a more program approach</w:t>
      </w:r>
      <w:r w:rsidR="00530BA8">
        <w:rPr>
          <w:rStyle w:val="FootnoteReference"/>
        </w:rPr>
        <w:footnoteReference w:id="48"/>
      </w:r>
      <w:r w:rsidR="00530BA8">
        <w:t xml:space="preserve"> should result in better integration of program activities and facilitate </w:t>
      </w:r>
      <w:r>
        <w:t xml:space="preserve">monitoring and evaluation </w:t>
      </w:r>
      <w:r w:rsidR="00530BA8">
        <w:t>processes</w:t>
      </w:r>
    </w:p>
    <w:p w14:paraId="194ACAC5" w14:textId="00DE57E3" w:rsidR="00530BA8" w:rsidRDefault="00E671DF" w:rsidP="00530BA8">
      <w:pPr>
        <w:pStyle w:val="ListParagraph"/>
        <w:numPr>
          <w:ilvl w:val="0"/>
          <w:numId w:val="48"/>
        </w:numPr>
        <w:spacing w:after="0"/>
      </w:pPr>
      <w:proofErr w:type="gramStart"/>
      <w:r>
        <w:t>feedback</w:t>
      </w:r>
      <w:proofErr w:type="gramEnd"/>
      <w:r>
        <w:t xml:space="preserve"> indicates that the </w:t>
      </w:r>
      <w:r w:rsidR="00530BA8">
        <w:t xml:space="preserve">basic high-level information provided to </w:t>
      </w:r>
      <w:r>
        <w:t>economic ministers</w:t>
      </w:r>
      <w:r w:rsidR="00530BA8">
        <w:t>, the F</w:t>
      </w:r>
      <w:r>
        <w:t xml:space="preserve">ree Trade Agreement </w:t>
      </w:r>
      <w:r w:rsidR="00530BA8">
        <w:t>J</w:t>
      </w:r>
      <w:r>
        <w:t xml:space="preserve">oint </w:t>
      </w:r>
      <w:r w:rsidR="00530BA8">
        <w:t>C</w:t>
      </w:r>
      <w:r>
        <w:t>ommittee</w:t>
      </w:r>
      <w:r w:rsidR="00530BA8">
        <w:t xml:space="preserve"> and </w:t>
      </w:r>
      <w:r w:rsidRPr="00E671DF">
        <w:t>Senior Economic Officials Meeting</w:t>
      </w:r>
      <w:r w:rsidR="00F95A90">
        <w:t>s</w:t>
      </w:r>
      <w:r w:rsidRPr="00E671DF">
        <w:t xml:space="preserve"> </w:t>
      </w:r>
      <w:r w:rsidR="00530BA8">
        <w:t>is appropriate</w:t>
      </w:r>
      <w:r>
        <w:t>.</w:t>
      </w:r>
      <w:r w:rsidR="00530BA8">
        <w:rPr>
          <w:rStyle w:val="FootnoteReference"/>
        </w:rPr>
        <w:footnoteReference w:id="49"/>
      </w:r>
    </w:p>
    <w:p w14:paraId="6551AFA5" w14:textId="23CADDE5" w:rsidR="00530BA8" w:rsidRDefault="00530BA8" w:rsidP="00E671DF">
      <w:pPr>
        <w:pStyle w:val="BodyText"/>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t xml:space="preserve">Limitations of the AECSP </w:t>
      </w:r>
      <w:r w:rsidR="00E671DF">
        <w:t xml:space="preserve">monitoring and evaluation </w:t>
      </w:r>
      <w:r>
        <w:t>methodology include:</w:t>
      </w:r>
    </w:p>
    <w:p w14:paraId="09CC431B" w14:textId="07CF68FF" w:rsidR="00530BA8" w:rsidRDefault="00E671DF" w:rsidP="00530BA8">
      <w:pPr>
        <w:pStyle w:val="ListParagraph"/>
        <w:numPr>
          <w:ilvl w:val="0"/>
          <w:numId w:val="47"/>
        </w:numPr>
        <w:spacing w:after="0"/>
      </w:pPr>
      <w:r>
        <w:t xml:space="preserve">the uptake </w:t>
      </w:r>
      <w:r w:rsidR="00530BA8">
        <w:t>was slow during the first two years of implementation</w:t>
      </w:r>
    </w:p>
    <w:p w14:paraId="7C372771" w14:textId="366C3604" w:rsidR="00530BA8" w:rsidRDefault="00E671DF" w:rsidP="00530BA8">
      <w:pPr>
        <w:pStyle w:val="ListParagraph"/>
        <w:numPr>
          <w:ilvl w:val="0"/>
          <w:numId w:val="47"/>
        </w:numPr>
        <w:spacing w:after="0"/>
      </w:pPr>
      <w:r>
        <w:t xml:space="preserve">not </w:t>
      </w:r>
      <w:r w:rsidR="00530BA8">
        <w:t xml:space="preserve">all stakeholders </w:t>
      </w:r>
      <w:r>
        <w:t xml:space="preserve">had </w:t>
      </w:r>
      <w:r w:rsidR="00530BA8">
        <w:t xml:space="preserve">the same understanding and commitment to </w:t>
      </w:r>
      <w:r>
        <w:t xml:space="preserve">monitoring and evaluation </w:t>
      </w:r>
      <w:r w:rsidR="00530BA8">
        <w:t xml:space="preserve">as AusAID. With the approval of the </w:t>
      </w:r>
      <w:r>
        <w:t xml:space="preserve">monitoring and evaluation </w:t>
      </w:r>
      <w:r w:rsidR="00530BA8">
        <w:t>framework in November 2011, stakeholders are now making more effort to demonstrate outcomes</w:t>
      </w:r>
      <w:r w:rsidR="00530BA8">
        <w:rPr>
          <w:rStyle w:val="FootnoteReference"/>
        </w:rPr>
        <w:footnoteReference w:id="50"/>
      </w:r>
    </w:p>
    <w:p w14:paraId="6AF10293" w14:textId="60B29B15" w:rsidR="00530BA8" w:rsidRDefault="00E671DF" w:rsidP="00530BA8">
      <w:pPr>
        <w:pStyle w:val="ListParagraph"/>
        <w:numPr>
          <w:ilvl w:val="0"/>
          <w:numId w:val="47"/>
        </w:numPr>
        <w:spacing w:after="0"/>
      </w:pPr>
      <w:r>
        <w:t xml:space="preserve">verifiable </w:t>
      </w:r>
      <w:r w:rsidR="00530BA8">
        <w:t xml:space="preserve">evidence on the quality of some project outputs and outcomes is limited. While </w:t>
      </w:r>
      <w:r>
        <w:t xml:space="preserve">the </w:t>
      </w:r>
      <w:r w:rsidRPr="00E671DF">
        <w:t>AANZFTA Support Unit</w:t>
      </w:r>
      <w:r>
        <w:t xml:space="preserve"> </w:t>
      </w:r>
      <w:r w:rsidR="00530BA8">
        <w:t xml:space="preserve">provides regular detailed reports to program stakeholders, a more succinct results and issues report would be useful for </w:t>
      </w:r>
      <w:r>
        <w:t xml:space="preserve">the </w:t>
      </w:r>
      <w:r w:rsidR="00FA23AA">
        <w:t xml:space="preserve">ASEAN </w:t>
      </w:r>
      <w:r>
        <w:t xml:space="preserve">Secretariat </w:t>
      </w:r>
      <w:r w:rsidR="00530BA8">
        <w:t xml:space="preserve">and to inform AusAID quality assurance reports. More could be done to demonstrate </w:t>
      </w:r>
      <w:r>
        <w:t xml:space="preserve">to the ASEAN Secretariat </w:t>
      </w:r>
      <w:r w:rsidR="00530BA8">
        <w:t>beneficial impacts</w:t>
      </w:r>
    </w:p>
    <w:p w14:paraId="3AFCAA3A" w14:textId="1415A765" w:rsidR="00530BA8" w:rsidRDefault="00E671DF" w:rsidP="00530BA8">
      <w:pPr>
        <w:pStyle w:val="ListParagraph"/>
        <w:numPr>
          <w:ilvl w:val="0"/>
          <w:numId w:val="47"/>
        </w:numPr>
        <w:spacing w:after="0"/>
      </w:pPr>
      <w:r>
        <w:t xml:space="preserve">there </w:t>
      </w:r>
      <w:r w:rsidR="00530BA8">
        <w:t xml:space="preserve">are some unrealistic expectations about the capacity of the </w:t>
      </w:r>
      <w:r>
        <w:t xml:space="preserve">monitoring and evaluation </w:t>
      </w:r>
      <w:r w:rsidR="00530BA8">
        <w:t>design to attribute AECSP direct contributions to regional trade and investment</w:t>
      </w:r>
    </w:p>
    <w:p w14:paraId="0A1B5169" w14:textId="6EFA4EE7" w:rsidR="00530BA8" w:rsidRDefault="00E671DF" w:rsidP="00530BA8">
      <w:pPr>
        <w:pStyle w:val="ListParagraph"/>
        <w:numPr>
          <w:ilvl w:val="0"/>
          <w:numId w:val="47"/>
        </w:numPr>
        <w:spacing w:after="0"/>
      </w:pPr>
      <w:r>
        <w:t xml:space="preserve">more </w:t>
      </w:r>
      <w:r w:rsidR="00530BA8">
        <w:t>national level analysis may be required to better establish the impact of AANZFTA and AECSP</w:t>
      </w:r>
    </w:p>
    <w:p w14:paraId="550ED08E" w14:textId="6BC9FF1B" w:rsidR="00530BA8" w:rsidRDefault="00E671DF" w:rsidP="00530BA8">
      <w:pPr>
        <w:pStyle w:val="ListParagraph"/>
        <w:numPr>
          <w:ilvl w:val="0"/>
          <w:numId w:val="47"/>
        </w:numPr>
        <w:spacing w:after="0"/>
      </w:pPr>
      <w:r>
        <w:t xml:space="preserve">gender </w:t>
      </w:r>
      <w:r w:rsidR="00530BA8">
        <w:t xml:space="preserve">issues have received little attention in </w:t>
      </w:r>
      <w:r>
        <w:t xml:space="preserve">monitoring and evaluation </w:t>
      </w:r>
      <w:r w:rsidR="00530BA8">
        <w:t>reporting</w:t>
      </w:r>
    </w:p>
    <w:p w14:paraId="3463C642" w14:textId="65334334" w:rsidR="00530BA8" w:rsidRDefault="00E671DF" w:rsidP="00530BA8">
      <w:pPr>
        <w:pStyle w:val="ListParagraph"/>
        <w:numPr>
          <w:ilvl w:val="0"/>
          <w:numId w:val="47"/>
        </w:numPr>
        <w:spacing w:after="0"/>
      </w:pPr>
      <w:r>
        <w:t xml:space="preserve">the monitoring and evaluation </w:t>
      </w:r>
      <w:r w:rsidR="00530BA8">
        <w:t>system is not linked to a learning and communication strategy</w:t>
      </w:r>
    </w:p>
    <w:p w14:paraId="72B99050" w14:textId="4CF08405" w:rsidR="00530BA8" w:rsidRDefault="00E671DF" w:rsidP="00530BA8">
      <w:pPr>
        <w:pStyle w:val="ListParagraph"/>
        <w:numPr>
          <w:ilvl w:val="0"/>
          <w:numId w:val="47"/>
        </w:numPr>
        <w:spacing w:after="0"/>
      </w:pPr>
      <w:r>
        <w:t xml:space="preserve">systematic </w:t>
      </w:r>
      <w:r w:rsidR="00530BA8">
        <w:t>reporting of qualitative information on regional trade and developments (</w:t>
      </w:r>
      <w:r w:rsidR="008059A2">
        <w:t>for example,</w:t>
      </w:r>
      <w:r w:rsidR="00530BA8">
        <w:t xml:space="preserve"> on the AANZFTA website) would be useful.</w:t>
      </w:r>
    </w:p>
    <w:p w14:paraId="53E2520F" w14:textId="0C763DA6" w:rsidR="00530BA8" w:rsidRPr="00BD7F36" w:rsidRDefault="00530BA8" w:rsidP="008059A2">
      <w:pPr>
        <w:pStyle w:val="BodyText"/>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sidRPr="002915C2">
        <w:rPr>
          <w:lang w:eastAsia="en-AU"/>
        </w:rPr>
        <w:tab/>
      </w:r>
      <w:r w:rsidR="008059A2">
        <w:t xml:space="preserve">While </w:t>
      </w:r>
      <w:r>
        <w:t xml:space="preserve">initial AANZFTA </w:t>
      </w:r>
      <w:r w:rsidR="00E671DF">
        <w:t xml:space="preserve">monitoring and evaluation </w:t>
      </w:r>
      <w:r>
        <w:t>traction was slow, improvements are being implemented. Results reporting remain</w:t>
      </w:r>
      <w:r w:rsidR="008059A2">
        <w:t>s</w:t>
      </w:r>
      <w:r>
        <w:t xml:space="preserve"> an important priority to better evaluate outcomes and progress against defined objectives.</w:t>
      </w:r>
      <w:r w:rsidR="005856D4">
        <w:t xml:space="preserve"> </w:t>
      </w:r>
      <w:r>
        <w:t xml:space="preserve">Results are also important to build </w:t>
      </w:r>
      <w:r>
        <w:lastRenderedPageBreak/>
        <w:t xml:space="preserve">knowledge and to learn for the future. A shift in focus towards a </w:t>
      </w:r>
      <w:r w:rsidRPr="006112A0">
        <w:t>performance assessment framework</w:t>
      </w:r>
      <w:r>
        <w:rPr>
          <w:rStyle w:val="FootnoteReference"/>
        </w:rPr>
        <w:footnoteReference w:id="51"/>
      </w:r>
      <w:r>
        <w:t xml:space="preserve"> </w:t>
      </w:r>
      <w:r w:rsidR="008059A2">
        <w:t xml:space="preserve">that will </w:t>
      </w:r>
      <w:r>
        <w:t>facilitat</w:t>
      </w:r>
      <w:r w:rsidR="008059A2">
        <w:t xml:space="preserve">e </w:t>
      </w:r>
      <w:r>
        <w:t xml:space="preserve">the collection of relevant data </w:t>
      </w:r>
      <w:r w:rsidR="008059A2">
        <w:t xml:space="preserve">and enable results to be </w:t>
      </w:r>
      <w:r>
        <w:t>document</w:t>
      </w:r>
      <w:r w:rsidR="008059A2">
        <w:t>ed</w:t>
      </w:r>
      <w:r>
        <w:t xml:space="preserve"> and </w:t>
      </w:r>
      <w:r w:rsidR="008059A2">
        <w:t xml:space="preserve">provided </w:t>
      </w:r>
      <w:r>
        <w:t xml:space="preserve">to program stakeholders may help build broader support for </w:t>
      </w:r>
      <w:r w:rsidR="00E671DF">
        <w:t xml:space="preserve">monitoring and evaluation </w:t>
      </w:r>
      <w:r>
        <w:t>amongst partners</w:t>
      </w:r>
      <w:r w:rsidRPr="006112A0">
        <w:t xml:space="preserve">. </w:t>
      </w:r>
      <w:r>
        <w:t xml:space="preserve">It will be particularly important that those undertaking the independent completion report for AECSP have better access to information on the results of AANZFTA </w:t>
      </w:r>
      <w:r w:rsidR="008059A2">
        <w:t xml:space="preserve">amongst </w:t>
      </w:r>
      <w:r>
        <w:t xml:space="preserve">the business community and on economic outcomes in AANZFTA </w:t>
      </w:r>
      <w:r w:rsidR="008059A2">
        <w:t xml:space="preserve">party </w:t>
      </w:r>
      <w:r>
        <w:t>countries.</w:t>
      </w:r>
    </w:p>
    <w:p w14:paraId="2C72F32D" w14:textId="2F27CF37" w:rsidR="00530BA8" w:rsidRPr="006B231B" w:rsidRDefault="00530BA8" w:rsidP="00530BA8">
      <w:pPr>
        <w:pStyle w:val="Heading3"/>
      </w:pPr>
      <w:r w:rsidRPr="006B231B">
        <w:t xml:space="preserve">Analysis and </w:t>
      </w:r>
      <w:r w:rsidR="005408FB">
        <w:t>l</w:t>
      </w:r>
      <w:r w:rsidR="005408FB" w:rsidRPr="006B231B">
        <w:t>earning</w:t>
      </w:r>
    </w:p>
    <w:p w14:paraId="50E7C423" w14:textId="267F516D" w:rsidR="00530BA8" w:rsidRDefault="00530BA8" w:rsidP="005939C5">
      <w:pPr>
        <w:ind w:left="426" w:hanging="426"/>
        <w:rPr>
          <w:lang w:val="en-US"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val="en-US" w:eastAsia="en-AU"/>
        </w:rPr>
        <w:t xml:space="preserve">There is need for a stronger focus on ongoing analysis of AECSP operations, drawing </w:t>
      </w:r>
      <w:r w:rsidR="005939C5">
        <w:rPr>
          <w:lang w:val="en-US" w:eastAsia="en-AU"/>
        </w:rPr>
        <w:t xml:space="preserve">on </w:t>
      </w:r>
      <w:r w:rsidRPr="002915C2">
        <w:rPr>
          <w:lang w:val="en-US" w:eastAsia="en-AU"/>
        </w:rPr>
        <w:t>lessons learned and taking remedial action to</w:t>
      </w:r>
      <w:r>
        <w:rPr>
          <w:lang w:val="en-US" w:eastAsia="en-AU"/>
        </w:rPr>
        <w:t xml:space="preserve"> ensure continuous improvement. </w:t>
      </w:r>
      <w:r w:rsidR="005939C5" w:rsidRPr="005939C5">
        <w:rPr>
          <w:lang w:eastAsia="en-AU"/>
        </w:rPr>
        <w:t>AANZFTA Support Unit</w:t>
      </w:r>
      <w:r w:rsidR="005939C5" w:rsidRPr="002915C2">
        <w:rPr>
          <w:lang w:val="en-US" w:eastAsia="en-AU"/>
        </w:rPr>
        <w:t xml:space="preserve"> </w:t>
      </w:r>
      <w:r w:rsidRPr="002915C2">
        <w:rPr>
          <w:lang w:val="en-US" w:eastAsia="en-AU"/>
        </w:rPr>
        <w:t xml:space="preserve">efforts have been focused on getting the </w:t>
      </w:r>
      <w:r w:rsidR="00546E38">
        <w:rPr>
          <w:lang w:val="en-US" w:eastAsia="en-AU"/>
        </w:rPr>
        <w:t xml:space="preserve">Economic Cooperation Work Program </w:t>
      </w:r>
      <w:r w:rsidRPr="002915C2">
        <w:rPr>
          <w:lang w:val="en-US" w:eastAsia="en-AU"/>
        </w:rPr>
        <w:t xml:space="preserve">moving and this has distracted attention from assessing lessons learned and outreach and communication initiatives. </w:t>
      </w:r>
      <w:r>
        <w:rPr>
          <w:lang w:val="en-US" w:eastAsia="en-AU"/>
        </w:rPr>
        <w:t xml:space="preserve">The development of a comprehensive communication and outreach strategy should now be accorded high priority. </w:t>
      </w:r>
    </w:p>
    <w:p w14:paraId="665C54CB" w14:textId="421F838A" w:rsidR="00530BA8" w:rsidRDefault="00530BA8" w:rsidP="005939C5">
      <w:pPr>
        <w:ind w:left="426" w:hanging="426"/>
        <w:rPr>
          <w:lang w:val="en-US"/>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8400CB">
        <w:rPr>
          <w:lang w:eastAsia="en-AU"/>
        </w:rPr>
        <w:t xml:space="preserve">AECSP </w:t>
      </w:r>
      <w:r>
        <w:rPr>
          <w:lang w:eastAsia="en-AU"/>
        </w:rPr>
        <w:t>has attempted</w:t>
      </w:r>
      <w:r w:rsidRPr="008400CB">
        <w:rPr>
          <w:lang w:eastAsia="en-AU"/>
        </w:rPr>
        <w:t xml:space="preserve"> to harmonise </w:t>
      </w:r>
      <w:r>
        <w:rPr>
          <w:lang w:eastAsia="en-AU"/>
        </w:rPr>
        <w:t xml:space="preserve">its procedures and processes </w:t>
      </w:r>
      <w:r w:rsidRPr="008400CB">
        <w:rPr>
          <w:lang w:eastAsia="en-AU"/>
        </w:rPr>
        <w:t xml:space="preserve">with </w:t>
      </w:r>
      <w:r w:rsidR="005939C5">
        <w:rPr>
          <w:lang w:eastAsia="en-AU"/>
        </w:rPr>
        <w:t xml:space="preserve">the </w:t>
      </w:r>
      <w:r w:rsidR="00FA23AA">
        <w:rPr>
          <w:lang w:eastAsia="en-AU"/>
        </w:rPr>
        <w:t xml:space="preserve">ASEAN </w:t>
      </w:r>
      <w:r w:rsidR="005939C5">
        <w:rPr>
          <w:lang w:eastAsia="en-AU"/>
        </w:rPr>
        <w:t>Secretariat, h</w:t>
      </w:r>
      <w:r>
        <w:rPr>
          <w:lang w:eastAsia="en-AU"/>
        </w:rPr>
        <w:t>owever m</w:t>
      </w:r>
      <w:r>
        <w:rPr>
          <w:lang w:val="en-US"/>
        </w:rPr>
        <w:t xml:space="preserve">ore can be done to </w:t>
      </w:r>
      <w:r w:rsidR="005939C5">
        <w:rPr>
          <w:lang w:val="en-US"/>
        </w:rPr>
        <w:t xml:space="preserve">harmonise </w:t>
      </w:r>
      <w:r>
        <w:rPr>
          <w:lang w:val="en-US"/>
        </w:rPr>
        <w:t xml:space="preserve">with </w:t>
      </w:r>
      <w:r w:rsidR="005939C5">
        <w:rPr>
          <w:lang w:val="en-US"/>
        </w:rPr>
        <w:t>the</w:t>
      </w:r>
      <w:r w:rsidR="00FA23AA">
        <w:rPr>
          <w:lang w:val="en-US"/>
        </w:rPr>
        <w:t xml:space="preserve"> </w:t>
      </w:r>
      <w:r w:rsidR="005939C5">
        <w:rPr>
          <w:lang w:val="en-US"/>
        </w:rPr>
        <w:t xml:space="preserve">secretariat’s </w:t>
      </w:r>
      <w:r>
        <w:rPr>
          <w:lang w:val="en-US"/>
        </w:rPr>
        <w:t>rules and regulations.</w:t>
      </w:r>
      <w:r w:rsidRPr="00907F3B">
        <w:rPr>
          <w:lang w:eastAsia="en-AU"/>
        </w:rPr>
        <w:t xml:space="preserve"> </w:t>
      </w:r>
      <w:r>
        <w:rPr>
          <w:lang w:eastAsia="en-AU"/>
        </w:rPr>
        <w:t>Other</w:t>
      </w:r>
      <w:r w:rsidRPr="008400CB">
        <w:rPr>
          <w:lang w:eastAsia="en-AU"/>
        </w:rPr>
        <w:t xml:space="preserve"> </w:t>
      </w:r>
      <w:r>
        <w:rPr>
          <w:lang w:eastAsia="en-AU"/>
        </w:rPr>
        <w:t>development partners</w:t>
      </w:r>
      <w:r w:rsidRPr="008400CB">
        <w:rPr>
          <w:lang w:eastAsia="en-AU"/>
        </w:rPr>
        <w:t xml:space="preserve"> working with </w:t>
      </w:r>
      <w:r w:rsidR="005939C5">
        <w:rPr>
          <w:lang w:eastAsia="en-AU"/>
        </w:rPr>
        <w:t xml:space="preserve">the ASEAN Secretariat </w:t>
      </w:r>
      <w:r>
        <w:rPr>
          <w:lang w:eastAsia="en-AU"/>
        </w:rPr>
        <w:t>also</w:t>
      </w:r>
      <w:r w:rsidRPr="008400CB">
        <w:rPr>
          <w:lang w:eastAsia="en-AU"/>
        </w:rPr>
        <w:t xml:space="preserve"> </w:t>
      </w:r>
      <w:r>
        <w:rPr>
          <w:lang w:eastAsia="en-AU"/>
        </w:rPr>
        <w:t>recognise</w:t>
      </w:r>
      <w:r w:rsidRPr="008400CB">
        <w:rPr>
          <w:lang w:eastAsia="en-AU"/>
        </w:rPr>
        <w:t xml:space="preserve"> </w:t>
      </w:r>
      <w:r>
        <w:rPr>
          <w:lang w:eastAsia="en-AU"/>
        </w:rPr>
        <w:t xml:space="preserve">the potential benefits from </w:t>
      </w:r>
      <w:r w:rsidR="005939C5">
        <w:rPr>
          <w:lang w:eastAsia="en-AU"/>
        </w:rPr>
        <w:t>harmonisation</w:t>
      </w:r>
      <w:r>
        <w:rPr>
          <w:lang w:eastAsia="en-AU"/>
        </w:rPr>
        <w:t>, but cooperation is still largely dependent on personal networks</w:t>
      </w:r>
      <w:r w:rsidRPr="008400CB">
        <w:rPr>
          <w:lang w:eastAsia="en-AU"/>
        </w:rPr>
        <w:t>.</w:t>
      </w:r>
      <w:r w:rsidRPr="00907F3B">
        <w:rPr>
          <w:lang w:eastAsia="en-AU"/>
        </w:rPr>
        <w:t xml:space="preserve"> </w:t>
      </w:r>
      <w:r>
        <w:rPr>
          <w:lang w:eastAsia="en-AU"/>
        </w:rPr>
        <w:t xml:space="preserve">Most development partners </w:t>
      </w:r>
      <w:r w:rsidR="005939C5">
        <w:rPr>
          <w:lang w:eastAsia="en-AU"/>
        </w:rPr>
        <w:t xml:space="preserve">recognise </w:t>
      </w:r>
      <w:r>
        <w:rPr>
          <w:lang w:eastAsia="en-AU"/>
        </w:rPr>
        <w:t>the potential for improvements in sharing experiences and knowledge, and collaboratin</w:t>
      </w:r>
      <w:r w:rsidR="006E72E9">
        <w:rPr>
          <w:lang w:eastAsia="en-AU"/>
        </w:rPr>
        <w:t>g</w:t>
      </w:r>
      <w:r>
        <w:rPr>
          <w:lang w:eastAsia="en-AU"/>
        </w:rPr>
        <w:t xml:space="preserve"> </w:t>
      </w:r>
      <w:r w:rsidR="006E72E9">
        <w:rPr>
          <w:lang w:eastAsia="en-AU"/>
        </w:rPr>
        <w:t xml:space="preserve">on </w:t>
      </w:r>
      <w:r>
        <w:rPr>
          <w:lang w:eastAsia="en-AU"/>
        </w:rPr>
        <w:t xml:space="preserve">efforts, between </w:t>
      </w:r>
      <w:r>
        <w:rPr>
          <w:lang w:val="en-US"/>
        </w:rPr>
        <w:t>related projects.</w:t>
      </w:r>
    </w:p>
    <w:p w14:paraId="7F2DE707" w14:textId="05420346" w:rsidR="00530BA8" w:rsidRPr="00712774" w:rsidRDefault="00530BA8" w:rsidP="005939C5">
      <w:pPr>
        <w:ind w:left="426" w:hanging="426"/>
        <w:rPr>
          <w:lang w:val="en-US"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val="en-US" w:eastAsia="en-AU"/>
        </w:rPr>
        <w:t xml:space="preserve">The </w:t>
      </w:r>
      <w:r w:rsidR="005939C5" w:rsidRPr="005939C5">
        <w:rPr>
          <w:lang w:eastAsia="en-AU"/>
        </w:rPr>
        <w:t>AANZFTA Support Unit</w:t>
      </w:r>
      <w:r w:rsidR="005939C5" w:rsidRPr="002915C2">
        <w:rPr>
          <w:lang w:val="en-US" w:eastAsia="en-AU"/>
        </w:rPr>
        <w:t xml:space="preserve"> </w:t>
      </w:r>
      <w:r w:rsidRPr="002915C2">
        <w:rPr>
          <w:lang w:val="en-US" w:eastAsia="en-AU"/>
        </w:rPr>
        <w:t>has been</w:t>
      </w:r>
      <w:r>
        <w:rPr>
          <w:lang w:val="en-US" w:eastAsia="en-AU"/>
        </w:rPr>
        <w:t xml:space="preserve"> pragmatic in reflecting on problems encountered and lessons learned</w:t>
      </w:r>
      <w:r w:rsidRPr="002915C2">
        <w:rPr>
          <w:lang w:val="en-US" w:eastAsia="en-AU"/>
        </w:rPr>
        <w:t xml:space="preserve"> </w:t>
      </w:r>
      <w:r>
        <w:rPr>
          <w:lang w:val="en-US" w:eastAsia="en-AU"/>
        </w:rPr>
        <w:t xml:space="preserve">in ongoing management and implementation, and </w:t>
      </w:r>
      <w:r w:rsidR="005939C5">
        <w:rPr>
          <w:lang w:val="en-US" w:eastAsia="en-AU"/>
        </w:rPr>
        <w:t xml:space="preserve">in </w:t>
      </w:r>
      <w:r>
        <w:rPr>
          <w:lang w:val="en-US" w:eastAsia="en-AU"/>
        </w:rPr>
        <w:t>developing solutions to address</w:t>
      </w:r>
      <w:r w:rsidRPr="002915C2">
        <w:rPr>
          <w:lang w:val="en-US" w:eastAsia="en-AU"/>
        </w:rPr>
        <w:t xml:space="preserve"> immediate </w:t>
      </w:r>
      <w:r>
        <w:rPr>
          <w:lang w:val="en-US" w:eastAsia="en-AU"/>
        </w:rPr>
        <w:t>bottleneck</w:t>
      </w:r>
      <w:r w:rsidR="005939C5">
        <w:rPr>
          <w:lang w:val="en-US" w:eastAsia="en-AU"/>
        </w:rPr>
        <w:t>s</w:t>
      </w:r>
      <w:r w:rsidRPr="002915C2">
        <w:rPr>
          <w:lang w:val="en-US" w:eastAsia="en-AU"/>
        </w:rPr>
        <w:t xml:space="preserve"> to</w:t>
      </w:r>
      <w:r>
        <w:rPr>
          <w:lang w:val="en-US" w:eastAsia="en-AU"/>
        </w:rPr>
        <w:t xml:space="preserve"> effective</w:t>
      </w:r>
      <w:r w:rsidRPr="002915C2">
        <w:rPr>
          <w:lang w:val="en-US" w:eastAsia="en-AU"/>
        </w:rPr>
        <w:t xml:space="preserve"> </w:t>
      </w:r>
      <w:r>
        <w:rPr>
          <w:lang w:val="en-US" w:eastAsia="en-AU"/>
        </w:rPr>
        <w:t xml:space="preserve">and efficient </w:t>
      </w:r>
      <w:r w:rsidR="00546E38">
        <w:rPr>
          <w:lang w:val="en-US" w:eastAsia="en-AU"/>
        </w:rPr>
        <w:t>Economic Cooperation Work Program</w:t>
      </w:r>
      <w:r w:rsidRPr="002915C2">
        <w:rPr>
          <w:lang w:val="en-US" w:eastAsia="en-AU"/>
        </w:rPr>
        <w:t xml:space="preserve"> implementation (</w:t>
      </w:r>
      <w:r w:rsidR="005939C5">
        <w:rPr>
          <w:lang w:val="en-US" w:eastAsia="en-AU"/>
        </w:rPr>
        <w:t>for example,</w:t>
      </w:r>
      <w:r w:rsidRPr="002915C2">
        <w:rPr>
          <w:lang w:val="en-US" w:eastAsia="en-AU"/>
        </w:rPr>
        <w:t xml:space="preserve"> the shift </w:t>
      </w:r>
      <w:r>
        <w:rPr>
          <w:lang w:val="en-US" w:eastAsia="en-AU"/>
        </w:rPr>
        <w:t>to special services agreements)</w:t>
      </w:r>
      <w:r w:rsidRPr="002915C2">
        <w:rPr>
          <w:lang w:val="en-US" w:eastAsia="en-AU"/>
        </w:rPr>
        <w:t>.</w:t>
      </w:r>
    </w:p>
    <w:p w14:paraId="1F04FE57" w14:textId="7C3AB2CC" w:rsidR="00530BA8" w:rsidRDefault="00530BA8" w:rsidP="00530BA8">
      <w:pPr>
        <w:pStyle w:val="Heading2"/>
      </w:pPr>
      <w:r>
        <w:t xml:space="preserve">Other </w:t>
      </w:r>
      <w:r w:rsidR="005408FB">
        <w:t>assessment issues</w:t>
      </w:r>
    </w:p>
    <w:p w14:paraId="1D9E20C1" w14:textId="5C036E22" w:rsidR="00530BA8" w:rsidRPr="00A173E5" w:rsidRDefault="00530BA8" w:rsidP="00530BA8">
      <w:pPr>
        <w:pStyle w:val="Heading3"/>
        <w:rPr>
          <w:lang w:val="en-US" w:eastAsia="en-AU"/>
        </w:rPr>
      </w:pPr>
      <w:r>
        <w:rPr>
          <w:lang w:val="en-US" w:eastAsia="en-AU"/>
        </w:rPr>
        <w:t xml:space="preserve">Factors </w:t>
      </w:r>
      <w:r w:rsidR="005408FB">
        <w:rPr>
          <w:lang w:val="en-US" w:eastAsia="en-AU"/>
        </w:rPr>
        <w:t>affecting program performance</w:t>
      </w:r>
    </w:p>
    <w:p w14:paraId="565B5B16" w14:textId="255DFA7D" w:rsidR="00530BA8" w:rsidRPr="002915C2" w:rsidRDefault="00530BA8" w:rsidP="005939C5">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 xml:space="preserve">Planned sub-components related to promotion and outreach, provision of information, and monitoring and evaluation, received relatively less attention due to the </w:t>
      </w:r>
      <w:r w:rsidR="005939C5" w:rsidRPr="005939C5">
        <w:rPr>
          <w:lang w:eastAsia="en-AU"/>
        </w:rPr>
        <w:t>AANZFTA Support Unit</w:t>
      </w:r>
      <w:r w:rsidR="005939C5" w:rsidRPr="002915C2">
        <w:rPr>
          <w:lang w:val="en-US" w:eastAsia="en-AU"/>
        </w:rPr>
        <w:t xml:space="preserve"> </w:t>
      </w:r>
      <w:r w:rsidRPr="002915C2">
        <w:rPr>
          <w:lang w:eastAsia="en-AU"/>
        </w:rPr>
        <w:t xml:space="preserve">focus on getting project activities moving. Several stakeholders, especially private sector representatives, noted the need for more concrete action in this area. Several </w:t>
      </w:r>
      <w:r w:rsidR="005939C5" w:rsidRPr="002915C2">
        <w:rPr>
          <w:lang w:eastAsia="en-AU"/>
        </w:rPr>
        <w:t>ad</w:t>
      </w:r>
      <w:r w:rsidR="005939C5">
        <w:rPr>
          <w:lang w:eastAsia="en-AU"/>
        </w:rPr>
        <w:t>-</w:t>
      </w:r>
      <w:r w:rsidRPr="002915C2">
        <w:rPr>
          <w:lang w:eastAsia="en-AU"/>
        </w:rPr>
        <w:t>hoc activities have been supported (</w:t>
      </w:r>
      <w:r w:rsidR="005939C5">
        <w:rPr>
          <w:lang w:eastAsia="en-AU"/>
        </w:rPr>
        <w:t>for example, the</w:t>
      </w:r>
      <w:r>
        <w:rPr>
          <w:lang w:eastAsia="en-AU"/>
        </w:rPr>
        <w:t xml:space="preserve"> </w:t>
      </w:r>
      <w:r w:rsidRPr="002915C2">
        <w:rPr>
          <w:lang w:eastAsia="en-AU"/>
        </w:rPr>
        <w:t>preparation and translation of guides and a business promotion event in Ho Chi Minh City), and most project activities include elements of promotion and outreach (</w:t>
      </w:r>
      <w:r w:rsidR="005939C5">
        <w:rPr>
          <w:lang w:eastAsia="en-AU"/>
        </w:rPr>
        <w:t>for example,</w:t>
      </w:r>
      <w:r w:rsidR="005939C5" w:rsidRPr="002915C2" w:rsidDel="005939C5">
        <w:rPr>
          <w:lang w:eastAsia="en-AU"/>
        </w:rPr>
        <w:t xml:space="preserve"> </w:t>
      </w:r>
      <w:r w:rsidRPr="002915C2">
        <w:rPr>
          <w:lang w:eastAsia="en-AU"/>
        </w:rPr>
        <w:t>engagement of the private sector in competition and investment related activities). However, there is no systematic strategy for disseminating information to facilitate greater business and community awareness or to raise the visibility of either AANZFTA or AECSP.</w:t>
      </w:r>
    </w:p>
    <w:p w14:paraId="09C24611" w14:textId="53375E57" w:rsidR="00530BA8" w:rsidRDefault="00530BA8" w:rsidP="005939C5">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 xml:space="preserve">There are substantial </w:t>
      </w:r>
      <w:r>
        <w:rPr>
          <w:lang w:eastAsia="en-AU"/>
        </w:rPr>
        <w:t xml:space="preserve">coordination, travel and efficiency </w:t>
      </w:r>
      <w:r w:rsidRPr="002915C2">
        <w:rPr>
          <w:lang w:eastAsia="en-AU"/>
        </w:rPr>
        <w:t xml:space="preserve">costs </w:t>
      </w:r>
      <w:r>
        <w:rPr>
          <w:lang w:eastAsia="en-AU"/>
        </w:rPr>
        <w:t>in</w:t>
      </w:r>
      <w:r w:rsidRPr="002915C2">
        <w:rPr>
          <w:lang w:eastAsia="en-AU"/>
        </w:rPr>
        <w:t xml:space="preserve"> implementing regional level </w:t>
      </w:r>
      <w:r>
        <w:rPr>
          <w:lang w:eastAsia="en-AU"/>
        </w:rPr>
        <w:t>activities.</w:t>
      </w:r>
      <w:r w:rsidRPr="002915C2">
        <w:rPr>
          <w:lang w:eastAsia="en-AU"/>
        </w:rPr>
        <w:t xml:space="preserve"> Given large regional differences in institutional capacity and regimes, most institution building activities will be more effective if implemented at </w:t>
      </w:r>
      <w:r w:rsidR="00C713C1">
        <w:rPr>
          <w:lang w:eastAsia="en-AU"/>
        </w:rPr>
        <w:t xml:space="preserve">the </w:t>
      </w:r>
      <w:r w:rsidRPr="002915C2">
        <w:rPr>
          <w:lang w:eastAsia="en-AU"/>
        </w:rPr>
        <w:t>national (and in some cases sub-national) level</w:t>
      </w:r>
      <w:r w:rsidR="005939C5">
        <w:rPr>
          <w:lang w:eastAsia="en-AU"/>
        </w:rPr>
        <w:t>.</w:t>
      </w:r>
      <w:r w:rsidRPr="002915C2">
        <w:rPr>
          <w:vertAlign w:val="superscript"/>
          <w:lang w:eastAsia="en-AU"/>
        </w:rPr>
        <w:footnoteReference w:id="52"/>
      </w:r>
      <w:r w:rsidR="005939C5">
        <w:rPr>
          <w:lang w:eastAsia="en-AU"/>
        </w:rPr>
        <w:t xml:space="preserve"> </w:t>
      </w:r>
      <w:r w:rsidRPr="002915C2">
        <w:rPr>
          <w:lang w:eastAsia="en-AU"/>
        </w:rPr>
        <w:t xml:space="preserve">AECSP needs to ensure </w:t>
      </w:r>
      <w:r w:rsidR="005939C5">
        <w:rPr>
          <w:lang w:eastAsia="en-AU"/>
        </w:rPr>
        <w:t xml:space="preserve">the </w:t>
      </w:r>
      <w:r w:rsidR="005939C5" w:rsidRPr="002915C2">
        <w:rPr>
          <w:lang w:eastAsia="en-AU"/>
        </w:rPr>
        <w:t xml:space="preserve">focus </w:t>
      </w:r>
      <w:r w:rsidR="005939C5">
        <w:rPr>
          <w:lang w:eastAsia="en-AU"/>
        </w:rPr>
        <w:t xml:space="preserve">is </w:t>
      </w:r>
      <w:r w:rsidRPr="002915C2">
        <w:rPr>
          <w:lang w:eastAsia="en-AU"/>
        </w:rPr>
        <w:t>on supporting activities where there are clearly demonstrated benefits from regional or sub-regional cooperation in institution building.</w:t>
      </w:r>
    </w:p>
    <w:p w14:paraId="7D06C34D" w14:textId="78224B41" w:rsidR="00530BA8" w:rsidRPr="00255ABB" w:rsidRDefault="00530BA8" w:rsidP="00530BA8">
      <w:pPr>
        <w:pStyle w:val="Heading3"/>
      </w:pPr>
      <w:r>
        <w:lastRenderedPageBreak/>
        <w:t xml:space="preserve">Capacity </w:t>
      </w:r>
      <w:r w:rsidR="005408FB">
        <w:t>building issues and opportunities</w:t>
      </w:r>
      <w:r>
        <w:rPr>
          <w:rStyle w:val="FootnoteReference"/>
        </w:rPr>
        <w:footnoteReference w:id="53"/>
      </w:r>
    </w:p>
    <w:p w14:paraId="077F6BF8" w14:textId="6ECD3BC2" w:rsidR="00530BA8" w:rsidRDefault="00530BA8" w:rsidP="00726896">
      <w:pPr>
        <w:pStyle w:val="BodyText"/>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t xml:space="preserve">AECSP was established </w:t>
      </w:r>
      <w:r w:rsidR="00726896">
        <w:t>when</w:t>
      </w:r>
      <w:r>
        <w:t xml:space="preserve"> ASEAN </w:t>
      </w:r>
      <w:r w:rsidR="00726896">
        <w:t xml:space="preserve">member states asked </w:t>
      </w:r>
      <w:r>
        <w:t>Australia and New Zealand to support development assistance during the implementation of AANZFTA. The AANZFTA/AECSP design is founded upon many good capacity development principles and practices:</w:t>
      </w:r>
    </w:p>
    <w:p w14:paraId="3E5DBA79" w14:textId="13166E8D" w:rsidR="00530BA8" w:rsidRDefault="00726896" w:rsidP="00530BA8">
      <w:pPr>
        <w:pStyle w:val="ListParagraph"/>
        <w:numPr>
          <w:ilvl w:val="0"/>
          <w:numId w:val="49"/>
        </w:numPr>
        <w:spacing w:after="0"/>
      </w:pPr>
      <w:r>
        <w:t xml:space="preserve">the </w:t>
      </w:r>
      <w:r w:rsidR="00530BA8">
        <w:t>multi-dimensional governance structure embedded in the AANZFTA framework (</w:t>
      </w:r>
      <w:r w:rsidRPr="00726896">
        <w:t xml:space="preserve">Senior Economic Officials Meeting </w:t>
      </w:r>
      <w:r w:rsidR="00530BA8">
        <w:t>and F</w:t>
      </w:r>
      <w:r>
        <w:t xml:space="preserve">ree Trade Agreement </w:t>
      </w:r>
      <w:r w:rsidR="00530BA8">
        <w:t>J</w:t>
      </w:r>
      <w:r>
        <w:t xml:space="preserve">oint </w:t>
      </w:r>
      <w:r w:rsidR="00530BA8">
        <w:t>C</w:t>
      </w:r>
      <w:r>
        <w:t>ommittee</w:t>
      </w:r>
      <w:r w:rsidR="00530BA8">
        <w:t>) ensures strong and active ownership</w:t>
      </w:r>
    </w:p>
    <w:p w14:paraId="2CC78255" w14:textId="1C00AC94" w:rsidR="00530BA8" w:rsidRDefault="00530BA8" w:rsidP="00530BA8">
      <w:pPr>
        <w:pStyle w:val="ListParagraph"/>
        <w:numPr>
          <w:ilvl w:val="0"/>
          <w:numId w:val="49"/>
        </w:numPr>
        <w:spacing w:after="0"/>
      </w:pPr>
      <w:r>
        <w:t>AECSP supported initiatives are demand driven and directly support AANZFTA implementation</w:t>
      </w:r>
    </w:p>
    <w:p w14:paraId="7CDFD091" w14:textId="5D69E772" w:rsidR="00530BA8" w:rsidRDefault="00726896" w:rsidP="00530BA8">
      <w:pPr>
        <w:pStyle w:val="ListParagraph"/>
        <w:numPr>
          <w:ilvl w:val="0"/>
          <w:numId w:val="49"/>
        </w:numPr>
        <w:spacing w:after="0"/>
      </w:pPr>
      <w:r>
        <w:t xml:space="preserve">the </w:t>
      </w:r>
      <w:r w:rsidRPr="00726896">
        <w:t xml:space="preserve">AANZFTA Support Unit </w:t>
      </w:r>
      <w:r w:rsidR="00530BA8">
        <w:t xml:space="preserve">is embedded in </w:t>
      </w:r>
      <w:r w:rsidR="00FA23AA">
        <w:t xml:space="preserve">ASEAN </w:t>
      </w:r>
      <w:r>
        <w:t xml:space="preserve">Secretariat </w:t>
      </w:r>
      <w:r w:rsidR="00530BA8">
        <w:t xml:space="preserve">and </w:t>
      </w:r>
      <w:r>
        <w:t xml:space="preserve">is </w:t>
      </w:r>
      <w:r w:rsidR="00530BA8">
        <w:t xml:space="preserve">accountable to AANZFTA </w:t>
      </w:r>
      <w:r>
        <w:t xml:space="preserve">parties </w:t>
      </w:r>
      <w:r w:rsidR="00530BA8">
        <w:t xml:space="preserve">through the </w:t>
      </w:r>
      <w:r>
        <w:t>Free Trade Agreement Joint Committee</w:t>
      </w:r>
    </w:p>
    <w:p w14:paraId="315134C7" w14:textId="3D8A207B" w:rsidR="00530BA8" w:rsidRDefault="00726896" w:rsidP="00530BA8">
      <w:pPr>
        <w:pStyle w:val="ListParagraph"/>
        <w:numPr>
          <w:ilvl w:val="0"/>
          <w:numId w:val="49"/>
        </w:numPr>
        <w:spacing w:after="0"/>
      </w:pPr>
      <w:r>
        <w:t xml:space="preserve">the </w:t>
      </w:r>
      <w:r w:rsidRPr="00726896">
        <w:t xml:space="preserve">AANZFTA Support Unit </w:t>
      </w:r>
      <w:r w:rsidR="00530BA8">
        <w:t xml:space="preserve">also reports to the </w:t>
      </w:r>
      <w:r w:rsidR="00FA23AA">
        <w:t xml:space="preserve">ASEAN </w:t>
      </w:r>
      <w:r>
        <w:t xml:space="preserve">Secretariat </w:t>
      </w:r>
      <w:r w:rsidR="00530BA8">
        <w:t>hierarchy</w:t>
      </w:r>
      <w:r>
        <w:t>,</w:t>
      </w:r>
      <w:r w:rsidR="00530BA8">
        <w:rPr>
          <w:rStyle w:val="FootnoteReference"/>
        </w:rPr>
        <w:footnoteReference w:id="54"/>
      </w:r>
      <w:r w:rsidR="00530BA8">
        <w:t xml:space="preserve"> work</w:t>
      </w:r>
      <w:r>
        <w:t xml:space="preserve">s </w:t>
      </w:r>
      <w:r w:rsidR="00530BA8">
        <w:t>closely with desk officers and us</w:t>
      </w:r>
      <w:r>
        <w:t>es the</w:t>
      </w:r>
      <w:r w:rsidR="00FA23AA">
        <w:t xml:space="preserve"> </w:t>
      </w:r>
      <w:r>
        <w:t xml:space="preserve">secretariat’s </w:t>
      </w:r>
      <w:r w:rsidR="00530BA8">
        <w:t xml:space="preserve">financial and administrative systems. </w:t>
      </w:r>
      <w:r w:rsidRPr="00726896">
        <w:t xml:space="preserve">AANZFTA Support Unit </w:t>
      </w:r>
      <w:r w:rsidR="00530BA8">
        <w:t xml:space="preserve">personnel and associated technical assistance is contracted through </w:t>
      </w:r>
      <w:r w:rsidR="00A5323B">
        <w:t xml:space="preserve">the </w:t>
      </w:r>
      <w:r w:rsidR="00FA23AA">
        <w:t xml:space="preserve">ASEAN </w:t>
      </w:r>
      <w:r>
        <w:t>Secretariat</w:t>
      </w:r>
    </w:p>
    <w:p w14:paraId="13627190" w14:textId="004FA12D" w:rsidR="00530BA8" w:rsidRDefault="00530BA8" w:rsidP="00530BA8">
      <w:pPr>
        <w:pStyle w:val="ListParagraph"/>
        <w:numPr>
          <w:ilvl w:val="0"/>
          <w:numId w:val="49"/>
        </w:numPr>
        <w:spacing w:after="0"/>
      </w:pPr>
      <w:r>
        <w:t>AECSP supported initiatives reflect</w:t>
      </w:r>
      <w:r w:rsidR="00726896">
        <w:t xml:space="preserve"> </w:t>
      </w:r>
      <w:r>
        <w:t xml:space="preserve">cultural and national priorities and </w:t>
      </w:r>
      <w:r w:rsidR="00726896">
        <w:t xml:space="preserve">are </w:t>
      </w:r>
      <w:r>
        <w:t>supported within a horizontal (sector) and vertical (country) context</w:t>
      </w:r>
    </w:p>
    <w:p w14:paraId="42AB6ECA" w14:textId="404F539E" w:rsidR="00530BA8" w:rsidRDefault="00726896" w:rsidP="00530BA8">
      <w:pPr>
        <w:pStyle w:val="ListParagraph"/>
        <w:numPr>
          <w:ilvl w:val="0"/>
          <w:numId w:val="49"/>
        </w:numPr>
        <w:spacing w:after="0"/>
      </w:pPr>
      <w:r>
        <w:t xml:space="preserve">the </w:t>
      </w:r>
      <w:r w:rsidR="00530BA8">
        <w:t>AANZFTA/AECSP design is both iterative and practical</w:t>
      </w:r>
      <w:r>
        <w:t>, and</w:t>
      </w:r>
      <w:r w:rsidR="00530BA8">
        <w:t xml:space="preserve"> support</w:t>
      </w:r>
      <w:r>
        <w:t xml:space="preserve">s </w:t>
      </w:r>
      <w:r w:rsidR="00530BA8">
        <w:t>a range of modalities including research/policy support</w:t>
      </w:r>
      <w:r>
        <w:t xml:space="preserve">, </w:t>
      </w:r>
      <w:r w:rsidR="00530BA8">
        <w:t>rapid response and direct implementation, and wide ranging capacity development initiatives</w:t>
      </w:r>
      <w:r w:rsidR="00530BA8">
        <w:rPr>
          <w:rStyle w:val="FootnoteReference"/>
        </w:rPr>
        <w:footnoteReference w:id="55"/>
      </w:r>
    </w:p>
    <w:p w14:paraId="45C60E2E" w14:textId="61109384" w:rsidR="00530BA8" w:rsidRDefault="00726896" w:rsidP="00530BA8">
      <w:pPr>
        <w:pStyle w:val="ListParagraph"/>
        <w:numPr>
          <w:ilvl w:val="0"/>
          <w:numId w:val="49"/>
        </w:numPr>
        <w:spacing w:after="0"/>
      </w:pPr>
      <w:r>
        <w:t>design</w:t>
      </w:r>
      <w:r w:rsidR="00530BA8">
        <w:t>, procurement implementation and monitoring processes are transparently managed and reported to stakeholders and partners.</w:t>
      </w:r>
      <w:r w:rsidR="005856D4">
        <w:t xml:space="preserve"> </w:t>
      </w:r>
    </w:p>
    <w:p w14:paraId="5A1AC989" w14:textId="71DCE2FB" w:rsidR="00530BA8" w:rsidRDefault="00530BA8" w:rsidP="00726896">
      <w:pPr>
        <w:ind w:left="426" w:hanging="426"/>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t>During the initial stage of AECSP implementation, resources tended to be targeted towards activities that supported individual professional development through workshops and conferences. Whil</w:t>
      </w:r>
      <w:r w:rsidR="00726896">
        <w:t>e</w:t>
      </w:r>
      <w:r>
        <w:t xml:space="preserve"> such activities generally help promote personal development and provide short-term incentives, they do not necessarily impact upon institutional capacity, particularly when the partner agencies and systems are weak. AECSP attempted to ensure professional development impacts were sustainable by using and establishing train</w:t>
      </w:r>
      <w:r w:rsidR="00726896">
        <w:t xml:space="preserve"> </w:t>
      </w:r>
      <w:r>
        <w:t>the</w:t>
      </w:r>
      <w:r w:rsidR="00726896">
        <w:t xml:space="preserve"> </w:t>
      </w:r>
      <w:r>
        <w:t>trainer methodologies within a cascading training modality. This can work well in stable and mature institutions, where appropriate resources are allocated to professional development programs. Training materials developed and used to support training initiatives are (anecdotally) considered of a very high quality</w:t>
      </w:r>
      <w:r w:rsidR="00726896">
        <w:t>,</w:t>
      </w:r>
      <w:r>
        <w:rPr>
          <w:rStyle w:val="FootnoteReference"/>
        </w:rPr>
        <w:footnoteReference w:id="56"/>
      </w:r>
      <w:r>
        <w:t xml:space="preserve"> and suitable to support ongoing professional development activities in a variety of training contexts (</w:t>
      </w:r>
      <w:r w:rsidR="00726896">
        <w:t>for example,</w:t>
      </w:r>
      <w:r>
        <w:t xml:space="preserve"> on-the-job training).</w:t>
      </w:r>
    </w:p>
    <w:p w14:paraId="50B269E8" w14:textId="5E738BA5" w:rsidR="00530BA8" w:rsidRDefault="00C713C1" w:rsidP="00714B4B">
      <w:pPr>
        <w:ind w:left="426" w:hanging="426"/>
      </w:pPr>
      <w:r>
        <w:t>69.</w:t>
      </w:r>
      <w:r>
        <w:tab/>
        <w:t>H</w:t>
      </w:r>
      <w:r w:rsidR="00530BA8">
        <w:t xml:space="preserve">owever, there is less verifiable evidence that AECSP sponsored training activities have had an impact </w:t>
      </w:r>
      <w:r>
        <w:t>o</w:t>
      </w:r>
      <w:r w:rsidR="00530BA8">
        <w:t>n developing sustainable institutions, or independent evidence to confirm that the materials produced in support of training are high quality or likely to be sustainable. International experience suggests that training alone will have little chance of developing sustainable organisational or institutional capacity</w:t>
      </w:r>
      <w:r w:rsidR="00726896">
        <w:t>.</w:t>
      </w:r>
      <w:r w:rsidR="00530BA8">
        <w:rPr>
          <w:rStyle w:val="FootnoteReference"/>
        </w:rPr>
        <w:footnoteReference w:id="57"/>
      </w:r>
      <w:r w:rsidR="00530BA8">
        <w:t xml:space="preserve"> As AECSP has matured, more focus has been given to designing more holistic initiatives</w:t>
      </w:r>
      <w:r w:rsidR="00530BA8">
        <w:rPr>
          <w:rStyle w:val="FootnoteReference"/>
        </w:rPr>
        <w:footnoteReference w:id="58"/>
      </w:r>
      <w:r w:rsidR="00530BA8">
        <w:t xml:space="preserve"> that </w:t>
      </w:r>
      <w:r w:rsidR="00530BA8">
        <w:lastRenderedPageBreak/>
        <w:t xml:space="preserve">encompass vertical (country) and horizontal (sectoral) development requirements linked together in a structured way. This is providing a better foundation for more effective capacity building support. </w:t>
      </w:r>
    </w:p>
    <w:p w14:paraId="6795BAA7" w14:textId="732AF1F5" w:rsidR="00530BA8" w:rsidRPr="002915C2" w:rsidRDefault="00530BA8" w:rsidP="00530BA8">
      <w:pPr>
        <w:pStyle w:val="Heading3"/>
        <w:rPr>
          <w:lang w:val="en-US" w:eastAsia="en-AU"/>
        </w:rPr>
      </w:pPr>
      <w:r w:rsidRPr="00C713C1">
        <w:rPr>
          <w:lang w:eastAsia="en-AU"/>
        </w:rPr>
        <w:t xml:space="preserve">AusAID </w:t>
      </w:r>
      <w:r w:rsidR="005408FB" w:rsidRPr="00C713C1">
        <w:rPr>
          <w:lang w:eastAsia="en-AU"/>
        </w:rPr>
        <w:t>management arrangements</w:t>
      </w:r>
    </w:p>
    <w:p w14:paraId="76267C8B" w14:textId="671B61A4" w:rsidR="00530BA8" w:rsidRPr="002915C2" w:rsidRDefault="00530BA8" w:rsidP="004B4C26">
      <w:pPr>
        <w:pStyle w:val="BodyText"/>
        <w:ind w:left="426" w:hanging="426"/>
        <w:rPr>
          <w:lang w:val="en-US"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val="en-US" w:eastAsia="en-AU"/>
        </w:rPr>
        <w:t xml:space="preserve">Several </w:t>
      </w:r>
      <w:r w:rsidR="004B4C26">
        <w:rPr>
          <w:lang w:val="en-US" w:eastAsia="en-AU"/>
        </w:rPr>
        <w:t>participants</w:t>
      </w:r>
      <w:r w:rsidR="004B4C26" w:rsidRPr="002915C2">
        <w:rPr>
          <w:lang w:val="en-US" w:eastAsia="en-AU"/>
        </w:rPr>
        <w:t xml:space="preserve"> </w:t>
      </w:r>
      <w:r w:rsidRPr="002915C2">
        <w:rPr>
          <w:lang w:val="en-US" w:eastAsia="en-AU"/>
        </w:rPr>
        <w:t xml:space="preserve">highlighted the advantages demonstrated under </w:t>
      </w:r>
      <w:r w:rsidR="004B4C26">
        <w:rPr>
          <w:lang w:val="en-US" w:eastAsia="en-AU"/>
        </w:rPr>
        <w:t xml:space="preserve">the </w:t>
      </w:r>
      <w:r w:rsidR="004B4C26" w:rsidRPr="004B4C26">
        <w:rPr>
          <w:lang w:eastAsia="en-AU"/>
        </w:rPr>
        <w:t>ASEAN Australia Development Cooperation Project: Phase II</w:t>
      </w:r>
      <w:r w:rsidR="004B4C26">
        <w:rPr>
          <w:lang w:eastAsia="en-AU"/>
        </w:rPr>
        <w:t xml:space="preserve"> initiative</w:t>
      </w:r>
      <w:r w:rsidRPr="002915C2">
        <w:rPr>
          <w:lang w:val="en-US" w:eastAsia="en-AU"/>
        </w:rPr>
        <w:t xml:space="preserve"> following the delegation of AusAID responsibility for program management to Jakarta. Regular contact between AusAID officials, the implementation units and </w:t>
      </w:r>
      <w:r w:rsidR="00FA23AA">
        <w:rPr>
          <w:lang w:val="en-US" w:eastAsia="en-AU"/>
        </w:rPr>
        <w:t xml:space="preserve">ASEAN </w:t>
      </w:r>
      <w:r w:rsidR="004B4C26">
        <w:rPr>
          <w:lang w:val="en-US" w:eastAsia="en-AU"/>
        </w:rPr>
        <w:t xml:space="preserve">Secretariat </w:t>
      </w:r>
      <w:r w:rsidRPr="002915C2">
        <w:rPr>
          <w:lang w:val="en-US" w:eastAsia="en-AU"/>
        </w:rPr>
        <w:t>leadership were seen as valuable in building the relationships need</w:t>
      </w:r>
      <w:r w:rsidR="004B4C26">
        <w:rPr>
          <w:lang w:val="en-US" w:eastAsia="en-AU"/>
        </w:rPr>
        <w:t>ed</w:t>
      </w:r>
      <w:r w:rsidRPr="002915C2">
        <w:rPr>
          <w:lang w:val="en-US" w:eastAsia="en-AU"/>
        </w:rPr>
        <w:t xml:space="preserve"> for effective partnerships</w:t>
      </w:r>
      <w:r w:rsidR="004B4C26">
        <w:rPr>
          <w:lang w:val="en-US" w:eastAsia="en-AU"/>
        </w:rPr>
        <w:t>,</w:t>
      </w:r>
      <w:r w:rsidR="004B4C26" w:rsidRPr="002915C2">
        <w:rPr>
          <w:lang w:val="en-US" w:eastAsia="en-AU"/>
        </w:rPr>
        <w:t xml:space="preserve"> </w:t>
      </w:r>
      <w:r w:rsidRPr="002915C2">
        <w:rPr>
          <w:lang w:val="en-US" w:eastAsia="en-AU"/>
        </w:rPr>
        <w:t xml:space="preserve">facilitating regular substantive dialogue with the </w:t>
      </w:r>
      <w:r w:rsidR="00FA23AA">
        <w:rPr>
          <w:lang w:val="en-US" w:eastAsia="en-AU"/>
        </w:rPr>
        <w:t xml:space="preserve">ASEAN </w:t>
      </w:r>
      <w:r w:rsidR="004B4C26">
        <w:rPr>
          <w:lang w:val="en-US" w:eastAsia="en-AU"/>
        </w:rPr>
        <w:t xml:space="preserve">Secretariat </w:t>
      </w:r>
      <w:r w:rsidRPr="002915C2">
        <w:rPr>
          <w:lang w:val="en-US" w:eastAsia="en-AU"/>
        </w:rPr>
        <w:t>leadership to better understand issues</w:t>
      </w:r>
      <w:r w:rsidR="004B4C26">
        <w:rPr>
          <w:lang w:val="en-US" w:eastAsia="en-AU"/>
        </w:rPr>
        <w:t>,</w:t>
      </w:r>
      <w:r w:rsidR="004B4C26" w:rsidRPr="002915C2">
        <w:rPr>
          <w:lang w:val="en-US" w:eastAsia="en-AU"/>
        </w:rPr>
        <w:t xml:space="preserve"> </w:t>
      </w:r>
      <w:r w:rsidRPr="002915C2">
        <w:rPr>
          <w:lang w:val="en-US" w:eastAsia="en-AU"/>
        </w:rPr>
        <w:t>identifying bottlenecks and agreeing on solutions in a timely manner</w:t>
      </w:r>
      <w:r w:rsidR="004B4C26">
        <w:rPr>
          <w:lang w:val="en-US" w:eastAsia="en-AU"/>
        </w:rPr>
        <w:t>,</w:t>
      </w:r>
      <w:r w:rsidR="004B4C26" w:rsidRPr="002915C2">
        <w:rPr>
          <w:lang w:val="en-US" w:eastAsia="en-AU"/>
        </w:rPr>
        <w:t xml:space="preserve"> </w:t>
      </w:r>
      <w:r w:rsidRPr="002915C2">
        <w:rPr>
          <w:lang w:val="en-US" w:eastAsia="en-AU"/>
        </w:rPr>
        <w:t>and ensuring more effective coordination of the various donor initiatives.</w:t>
      </w:r>
      <w:r w:rsidR="005856D4">
        <w:rPr>
          <w:lang w:val="en-US" w:eastAsia="en-AU"/>
        </w:rPr>
        <w:t xml:space="preserve"> </w:t>
      </w:r>
    </w:p>
    <w:p w14:paraId="3D84E592" w14:textId="207DB822" w:rsidR="00530BA8" w:rsidRPr="002915C2" w:rsidRDefault="00530BA8" w:rsidP="00530BA8">
      <w:pPr>
        <w:pStyle w:val="Heading3"/>
        <w:rPr>
          <w:lang w:val="en-US" w:eastAsia="en-AU"/>
        </w:rPr>
      </w:pPr>
      <w:r>
        <w:rPr>
          <w:lang w:val="en-US" w:eastAsia="en-AU"/>
        </w:rPr>
        <w:t xml:space="preserve">AECSP </w:t>
      </w:r>
      <w:r w:rsidR="005408FB">
        <w:rPr>
          <w:lang w:val="en-US" w:eastAsia="en-AU"/>
        </w:rPr>
        <w:t>a</w:t>
      </w:r>
      <w:r w:rsidR="005408FB" w:rsidRPr="002915C2">
        <w:rPr>
          <w:lang w:val="en-US" w:eastAsia="en-AU"/>
        </w:rPr>
        <w:t>ccoun</w:t>
      </w:r>
      <w:r w:rsidR="005408FB">
        <w:rPr>
          <w:lang w:val="en-US" w:eastAsia="en-AU"/>
        </w:rPr>
        <w:t>tability and governance a</w:t>
      </w:r>
      <w:r w:rsidR="005408FB" w:rsidRPr="002915C2">
        <w:rPr>
          <w:lang w:val="en-US" w:eastAsia="en-AU"/>
        </w:rPr>
        <w:t>rrangements</w:t>
      </w:r>
    </w:p>
    <w:p w14:paraId="2E67DC4B" w14:textId="785A68E2" w:rsidR="00530BA8" w:rsidRPr="002915C2" w:rsidRDefault="00530BA8" w:rsidP="004B4C2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Program governance arrangements are unique. Program planning and oversight is the responsibility of the F</w:t>
      </w:r>
      <w:r w:rsidR="004B4C26">
        <w:rPr>
          <w:lang w:eastAsia="en-AU"/>
        </w:rPr>
        <w:t xml:space="preserve">ree Trade Agreement </w:t>
      </w:r>
      <w:r w:rsidRPr="002915C2">
        <w:rPr>
          <w:lang w:eastAsia="en-AU"/>
        </w:rPr>
        <w:t>J</w:t>
      </w:r>
      <w:r w:rsidR="004B4C26">
        <w:rPr>
          <w:lang w:eastAsia="en-AU"/>
        </w:rPr>
        <w:t xml:space="preserve">oint </w:t>
      </w:r>
      <w:r w:rsidRPr="002915C2">
        <w:rPr>
          <w:lang w:eastAsia="en-AU"/>
        </w:rPr>
        <w:t>C</w:t>
      </w:r>
      <w:r w:rsidR="004B4C26">
        <w:rPr>
          <w:lang w:eastAsia="en-AU"/>
        </w:rPr>
        <w:t xml:space="preserve">ommittee, which is </w:t>
      </w:r>
      <w:r w:rsidRPr="002915C2">
        <w:rPr>
          <w:lang w:eastAsia="en-AU"/>
        </w:rPr>
        <w:t xml:space="preserve">responsible for implementing AANZFTA with representatives of </w:t>
      </w:r>
      <w:r>
        <w:rPr>
          <w:lang w:eastAsia="en-AU"/>
        </w:rPr>
        <w:t xml:space="preserve">ASEAN </w:t>
      </w:r>
      <w:r w:rsidR="004B4C26">
        <w:rPr>
          <w:lang w:eastAsia="en-AU"/>
        </w:rPr>
        <w:t>member states</w:t>
      </w:r>
      <w:r w:rsidRPr="002915C2">
        <w:rPr>
          <w:lang w:eastAsia="en-AU"/>
        </w:rPr>
        <w:t xml:space="preserve">, Australia and New Zealand. The involvement of the </w:t>
      </w:r>
      <w:r w:rsidR="004B4C26">
        <w:rPr>
          <w:lang w:eastAsia="en-AU"/>
        </w:rPr>
        <w:t>joint committee</w:t>
      </w:r>
      <w:r w:rsidR="004B4C26" w:rsidRPr="002915C2">
        <w:rPr>
          <w:lang w:eastAsia="en-AU"/>
        </w:rPr>
        <w:t xml:space="preserve"> </w:t>
      </w:r>
      <w:r w:rsidRPr="002915C2">
        <w:rPr>
          <w:lang w:eastAsia="en-AU"/>
        </w:rPr>
        <w:t xml:space="preserve">in priority setting helps ensure that approved proposals are of direct practical relevance to the AANZFTA </w:t>
      </w:r>
      <w:r w:rsidR="004B4C26">
        <w:rPr>
          <w:lang w:eastAsia="en-AU"/>
        </w:rPr>
        <w:t>p</w:t>
      </w:r>
      <w:r w:rsidR="004B4C26" w:rsidRPr="00D147C8">
        <w:rPr>
          <w:lang w:eastAsia="en-AU"/>
        </w:rPr>
        <w:t>arties</w:t>
      </w:r>
      <w:r w:rsidRPr="002915C2">
        <w:rPr>
          <w:lang w:eastAsia="en-AU"/>
        </w:rPr>
        <w:t xml:space="preserve">. This increases the probability of effective and sustainable delivery of program objectives. </w:t>
      </w:r>
    </w:p>
    <w:p w14:paraId="617B034F" w14:textId="123CB05F" w:rsidR="00530BA8" w:rsidRPr="002915C2" w:rsidRDefault="00530BA8" w:rsidP="004B4C2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 xml:space="preserve">While </w:t>
      </w:r>
      <w:r w:rsidR="004B4C26" w:rsidRPr="004B4C26">
        <w:rPr>
          <w:lang w:eastAsia="en-AU"/>
        </w:rPr>
        <w:t xml:space="preserve">AANZFTA Support Unit </w:t>
      </w:r>
      <w:r w:rsidRPr="002915C2">
        <w:rPr>
          <w:lang w:eastAsia="en-AU"/>
        </w:rPr>
        <w:t xml:space="preserve">staff are employed by </w:t>
      </w:r>
      <w:r w:rsidR="004B4C26">
        <w:rPr>
          <w:lang w:eastAsia="en-AU"/>
        </w:rPr>
        <w:t xml:space="preserve">the </w:t>
      </w:r>
      <w:r w:rsidR="00FA23AA">
        <w:rPr>
          <w:lang w:eastAsia="en-AU"/>
        </w:rPr>
        <w:t xml:space="preserve">ASEAN </w:t>
      </w:r>
      <w:r w:rsidR="004B4C26">
        <w:rPr>
          <w:lang w:eastAsia="en-AU"/>
        </w:rPr>
        <w:t>Secretariat</w:t>
      </w:r>
      <w:r w:rsidRPr="002915C2">
        <w:rPr>
          <w:lang w:eastAsia="en-AU"/>
        </w:rPr>
        <w:t xml:space="preserve">, the </w:t>
      </w:r>
      <w:r w:rsidR="004B4C26" w:rsidRPr="002915C2">
        <w:rPr>
          <w:lang w:eastAsia="en-AU"/>
        </w:rPr>
        <w:t>organi</w:t>
      </w:r>
      <w:r w:rsidR="004B4C26">
        <w:rPr>
          <w:lang w:eastAsia="en-AU"/>
        </w:rPr>
        <w:t>s</w:t>
      </w:r>
      <w:r w:rsidR="004B4C26" w:rsidRPr="002915C2">
        <w:rPr>
          <w:lang w:eastAsia="en-AU"/>
        </w:rPr>
        <w:t xml:space="preserve">ation </w:t>
      </w:r>
      <w:r w:rsidRPr="002915C2">
        <w:rPr>
          <w:lang w:eastAsia="en-AU"/>
        </w:rPr>
        <w:t xml:space="preserve">chart in the program design document shows </w:t>
      </w:r>
      <w:r w:rsidR="00C713C1">
        <w:rPr>
          <w:lang w:eastAsia="en-AU"/>
        </w:rPr>
        <w:t xml:space="preserve">the </w:t>
      </w:r>
      <w:r w:rsidR="004B4C26">
        <w:rPr>
          <w:lang w:eastAsia="en-AU"/>
        </w:rPr>
        <w:t>unit</w:t>
      </w:r>
      <w:r w:rsidR="004B4C26" w:rsidRPr="002915C2">
        <w:rPr>
          <w:lang w:eastAsia="en-AU"/>
        </w:rPr>
        <w:t xml:space="preserve"> </w:t>
      </w:r>
      <w:r w:rsidRPr="002915C2">
        <w:rPr>
          <w:lang w:eastAsia="en-AU"/>
        </w:rPr>
        <w:t xml:space="preserve">reporting to the </w:t>
      </w:r>
      <w:r w:rsidR="004B4C26" w:rsidRPr="002915C2">
        <w:rPr>
          <w:lang w:eastAsia="en-AU"/>
        </w:rPr>
        <w:t>F</w:t>
      </w:r>
      <w:r w:rsidR="004B4C26">
        <w:rPr>
          <w:lang w:eastAsia="en-AU"/>
        </w:rPr>
        <w:t xml:space="preserve">ree Trade Agreement </w:t>
      </w:r>
      <w:r w:rsidR="004B4C26" w:rsidRPr="002915C2">
        <w:rPr>
          <w:lang w:eastAsia="en-AU"/>
        </w:rPr>
        <w:t>J</w:t>
      </w:r>
      <w:r w:rsidR="004B4C26">
        <w:rPr>
          <w:lang w:eastAsia="en-AU"/>
        </w:rPr>
        <w:t xml:space="preserve">oint </w:t>
      </w:r>
      <w:r w:rsidR="004B4C26" w:rsidRPr="002915C2">
        <w:rPr>
          <w:lang w:eastAsia="en-AU"/>
        </w:rPr>
        <w:t>C</w:t>
      </w:r>
      <w:r w:rsidR="004B4C26">
        <w:rPr>
          <w:lang w:eastAsia="en-AU"/>
        </w:rPr>
        <w:t>ommittee</w:t>
      </w:r>
      <w:r w:rsidR="004B4C26" w:rsidRPr="002915C2" w:rsidDel="004B4C26">
        <w:rPr>
          <w:lang w:eastAsia="en-AU"/>
        </w:rPr>
        <w:t xml:space="preserve"> </w:t>
      </w:r>
      <w:r w:rsidRPr="002915C2">
        <w:rPr>
          <w:lang w:eastAsia="en-AU"/>
        </w:rPr>
        <w:t xml:space="preserve">via </w:t>
      </w:r>
      <w:r w:rsidR="004B4C26">
        <w:rPr>
          <w:lang w:eastAsia="en-AU"/>
        </w:rPr>
        <w:t>the</w:t>
      </w:r>
      <w:r w:rsidR="00FA23AA">
        <w:rPr>
          <w:lang w:eastAsia="en-AU"/>
        </w:rPr>
        <w:t xml:space="preserve"> </w:t>
      </w:r>
      <w:r w:rsidR="004B4C26">
        <w:rPr>
          <w:lang w:eastAsia="en-AU"/>
        </w:rPr>
        <w:t>ASEAN Secretariat</w:t>
      </w:r>
      <w:r w:rsidRPr="002915C2">
        <w:rPr>
          <w:lang w:eastAsia="en-AU"/>
        </w:rPr>
        <w:t xml:space="preserve">’s </w:t>
      </w:r>
      <w:r>
        <w:rPr>
          <w:lang w:eastAsia="en-AU"/>
        </w:rPr>
        <w:t xml:space="preserve">Assistant </w:t>
      </w:r>
      <w:r w:rsidRPr="002915C2">
        <w:rPr>
          <w:lang w:eastAsia="en-AU"/>
        </w:rPr>
        <w:t xml:space="preserve">Director of External Relations. </w:t>
      </w:r>
      <w:r>
        <w:rPr>
          <w:lang w:eastAsia="en-AU"/>
        </w:rPr>
        <w:t xml:space="preserve">In practice </w:t>
      </w:r>
      <w:r w:rsidR="004B4C26">
        <w:rPr>
          <w:lang w:eastAsia="en-AU"/>
        </w:rPr>
        <w:t xml:space="preserve">the </w:t>
      </w:r>
      <w:r w:rsidR="004B4C26" w:rsidRPr="004B4C26">
        <w:rPr>
          <w:lang w:eastAsia="en-AU"/>
        </w:rPr>
        <w:t>AANZFTA Support Unit</w:t>
      </w:r>
      <w:r w:rsidR="004B4C26">
        <w:rPr>
          <w:lang w:eastAsia="en-AU"/>
        </w:rPr>
        <w:t xml:space="preserve"> </w:t>
      </w:r>
      <w:r>
        <w:rPr>
          <w:lang w:eastAsia="en-AU"/>
        </w:rPr>
        <w:t>also reports to</w:t>
      </w:r>
      <w:r w:rsidR="005856D4">
        <w:rPr>
          <w:lang w:eastAsia="en-AU"/>
        </w:rPr>
        <w:t xml:space="preserve"> </w:t>
      </w:r>
      <w:r w:rsidR="004B4C26">
        <w:rPr>
          <w:lang w:eastAsia="en-AU"/>
        </w:rPr>
        <w:t xml:space="preserve">ASEAN Secretariat </w:t>
      </w:r>
      <w:r>
        <w:rPr>
          <w:lang w:eastAsia="en-AU"/>
        </w:rPr>
        <w:t>leadership</w:t>
      </w:r>
      <w:r w:rsidR="004B4C26">
        <w:rPr>
          <w:lang w:eastAsia="en-AU"/>
        </w:rPr>
        <w:t>.</w:t>
      </w:r>
      <w:r>
        <w:rPr>
          <w:rStyle w:val="FootnoteReference"/>
          <w:lang w:eastAsia="en-AU"/>
        </w:rPr>
        <w:footnoteReference w:id="59"/>
      </w:r>
      <w:r>
        <w:rPr>
          <w:lang w:eastAsia="en-AU"/>
        </w:rPr>
        <w:t xml:space="preserve"> The</w:t>
      </w:r>
      <w:r w:rsidRPr="002915C2">
        <w:rPr>
          <w:lang w:eastAsia="en-AU"/>
        </w:rPr>
        <w:t xml:space="preserve"> </w:t>
      </w:r>
      <w:r>
        <w:rPr>
          <w:lang w:eastAsia="en-AU"/>
        </w:rPr>
        <w:t xml:space="preserve">leadership noted </w:t>
      </w:r>
      <w:r w:rsidRPr="002915C2">
        <w:rPr>
          <w:lang w:eastAsia="en-AU"/>
        </w:rPr>
        <w:t xml:space="preserve">that </w:t>
      </w:r>
      <w:r>
        <w:rPr>
          <w:lang w:eastAsia="en-AU"/>
        </w:rPr>
        <w:t xml:space="preserve">effective reporting is important because </w:t>
      </w:r>
      <w:r w:rsidR="004B4C26">
        <w:rPr>
          <w:lang w:eastAsia="en-AU"/>
        </w:rPr>
        <w:t>the</w:t>
      </w:r>
      <w:r w:rsidR="00FA23AA">
        <w:rPr>
          <w:lang w:eastAsia="en-AU"/>
        </w:rPr>
        <w:t xml:space="preserve"> </w:t>
      </w:r>
      <w:r w:rsidR="00C713C1">
        <w:rPr>
          <w:lang w:eastAsia="en-AU"/>
        </w:rPr>
        <w:t>s</w:t>
      </w:r>
      <w:r w:rsidR="004B4C26">
        <w:rPr>
          <w:lang w:eastAsia="en-AU"/>
        </w:rPr>
        <w:t xml:space="preserve">ecretariat </w:t>
      </w:r>
      <w:r>
        <w:rPr>
          <w:lang w:eastAsia="en-AU"/>
        </w:rPr>
        <w:t>remains</w:t>
      </w:r>
      <w:r w:rsidRPr="002915C2">
        <w:rPr>
          <w:lang w:eastAsia="en-AU"/>
        </w:rPr>
        <w:t xml:space="preserve"> accountable for </w:t>
      </w:r>
      <w:r>
        <w:rPr>
          <w:lang w:eastAsia="en-AU"/>
        </w:rPr>
        <w:t>all</w:t>
      </w:r>
      <w:r w:rsidRPr="002915C2">
        <w:rPr>
          <w:lang w:eastAsia="en-AU"/>
        </w:rPr>
        <w:t xml:space="preserve"> resources</w:t>
      </w:r>
      <w:r>
        <w:rPr>
          <w:lang w:eastAsia="en-AU"/>
        </w:rPr>
        <w:t xml:space="preserve"> </w:t>
      </w:r>
      <w:r w:rsidR="004B4C26">
        <w:rPr>
          <w:lang w:eastAsia="en-AU"/>
        </w:rPr>
        <w:t xml:space="preserve">it </w:t>
      </w:r>
      <w:r>
        <w:rPr>
          <w:lang w:eastAsia="en-AU"/>
        </w:rPr>
        <w:t>manage</w:t>
      </w:r>
      <w:r w:rsidR="004B4C26">
        <w:rPr>
          <w:lang w:eastAsia="en-AU"/>
        </w:rPr>
        <w:t>s</w:t>
      </w:r>
      <w:r w:rsidRPr="002915C2">
        <w:rPr>
          <w:lang w:eastAsia="en-AU"/>
        </w:rPr>
        <w:t xml:space="preserve">. </w:t>
      </w:r>
      <w:r>
        <w:rPr>
          <w:lang w:eastAsia="en-AU"/>
        </w:rPr>
        <w:t>At times there have been</w:t>
      </w:r>
      <w:r w:rsidRPr="002915C2">
        <w:rPr>
          <w:lang w:eastAsia="en-AU"/>
        </w:rPr>
        <w:t xml:space="preserve"> tensions </w:t>
      </w:r>
      <w:r w:rsidR="00C713C1">
        <w:rPr>
          <w:lang w:eastAsia="en-AU"/>
        </w:rPr>
        <w:t>around</w:t>
      </w:r>
      <w:r w:rsidR="004B4C26" w:rsidRPr="002915C2">
        <w:rPr>
          <w:lang w:eastAsia="en-AU"/>
        </w:rPr>
        <w:t xml:space="preserve"> </w:t>
      </w:r>
      <w:r w:rsidRPr="002915C2">
        <w:rPr>
          <w:lang w:eastAsia="en-AU"/>
        </w:rPr>
        <w:t>priorit</w:t>
      </w:r>
      <w:r w:rsidR="004B4C26">
        <w:rPr>
          <w:lang w:eastAsia="en-AU"/>
        </w:rPr>
        <w:t xml:space="preserve">ising </w:t>
      </w:r>
      <w:r w:rsidRPr="002915C2">
        <w:rPr>
          <w:lang w:eastAsia="en-AU"/>
        </w:rPr>
        <w:t xml:space="preserve">use of </w:t>
      </w:r>
      <w:r w:rsidR="004B4C26">
        <w:rPr>
          <w:lang w:eastAsia="en-AU"/>
        </w:rPr>
        <w:t xml:space="preserve">ASEAN Secretariat </w:t>
      </w:r>
      <w:r w:rsidRPr="002915C2">
        <w:rPr>
          <w:lang w:eastAsia="en-AU"/>
        </w:rPr>
        <w:t xml:space="preserve">resources for some </w:t>
      </w:r>
      <w:r>
        <w:rPr>
          <w:lang w:eastAsia="en-AU"/>
        </w:rPr>
        <w:t xml:space="preserve">development partner-funded </w:t>
      </w:r>
      <w:r w:rsidRPr="002915C2">
        <w:rPr>
          <w:lang w:eastAsia="en-AU"/>
        </w:rPr>
        <w:t>activities</w:t>
      </w:r>
      <w:r>
        <w:rPr>
          <w:lang w:eastAsia="en-AU"/>
        </w:rPr>
        <w:t xml:space="preserve"> (including AECSP funded activities)</w:t>
      </w:r>
      <w:r w:rsidRPr="002915C2">
        <w:rPr>
          <w:lang w:eastAsia="en-AU"/>
        </w:rPr>
        <w:t xml:space="preserve">. This </w:t>
      </w:r>
      <w:r>
        <w:rPr>
          <w:lang w:eastAsia="en-AU"/>
        </w:rPr>
        <w:t>tension</w:t>
      </w:r>
      <w:r w:rsidRPr="002915C2">
        <w:rPr>
          <w:lang w:eastAsia="en-AU"/>
        </w:rPr>
        <w:t xml:space="preserve"> </w:t>
      </w:r>
      <w:r>
        <w:rPr>
          <w:lang w:eastAsia="en-AU"/>
        </w:rPr>
        <w:t>might be reduced if</w:t>
      </w:r>
      <w:r w:rsidRPr="002915C2">
        <w:rPr>
          <w:lang w:eastAsia="en-AU"/>
        </w:rPr>
        <w:t xml:space="preserve"> </w:t>
      </w:r>
      <w:r>
        <w:rPr>
          <w:lang w:eastAsia="en-AU"/>
        </w:rPr>
        <w:t>the value</w:t>
      </w:r>
      <w:r w:rsidRPr="002915C2">
        <w:rPr>
          <w:lang w:eastAsia="en-AU"/>
        </w:rPr>
        <w:t xml:space="preserve"> added </w:t>
      </w:r>
      <w:r w:rsidR="00C713C1">
        <w:rPr>
          <w:lang w:eastAsia="en-AU"/>
        </w:rPr>
        <w:t>by</w:t>
      </w:r>
      <w:r w:rsidR="00C713C1" w:rsidRPr="002915C2">
        <w:rPr>
          <w:lang w:eastAsia="en-AU"/>
        </w:rPr>
        <w:t xml:space="preserve"> </w:t>
      </w:r>
      <w:r w:rsidRPr="002915C2">
        <w:rPr>
          <w:lang w:eastAsia="en-AU"/>
        </w:rPr>
        <w:t xml:space="preserve">AECSP support to </w:t>
      </w:r>
      <w:r w:rsidR="004B4C26">
        <w:rPr>
          <w:lang w:eastAsia="en-AU"/>
        </w:rPr>
        <w:t>the ASEAN Secretariat</w:t>
      </w:r>
      <w:r w:rsidRPr="002915C2">
        <w:rPr>
          <w:lang w:eastAsia="en-AU"/>
        </w:rPr>
        <w:t xml:space="preserve"> </w:t>
      </w:r>
      <w:r w:rsidR="004B4C26">
        <w:rPr>
          <w:lang w:eastAsia="en-AU"/>
        </w:rPr>
        <w:t xml:space="preserve">was </w:t>
      </w:r>
      <w:r>
        <w:rPr>
          <w:lang w:eastAsia="en-AU"/>
        </w:rPr>
        <w:t>better</w:t>
      </w:r>
      <w:r w:rsidRPr="002915C2">
        <w:rPr>
          <w:lang w:eastAsia="en-AU"/>
        </w:rPr>
        <w:t xml:space="preserve"> documented and communicated.</w:t>
      </w:r>
      <w:r w:rsidRPr="00A10331">
        <w:rPr>
          <w:lang w:eastAsia="en-AU"/>
        </w:rPr>
        <w:t xml:space="preserve"> </w:t>
      </w:r>
    </w:p>
    <w:p w14:paraId="473AD447" w14:textId="2B0ED07C" w:rsidR="00530BA8" w:rsidRPr="00213D73" w:rsidRDefault="00530BA8" w:rsidP="004B4C26">
      <w:pPr>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 xml:space="preserve">There was some uncertainty </w:t>
      </w:r>
      <w:r w:rsidR="004B4C26">
        <w:rPr>
          <w:lang w:eastAsia="en-AU"/>
        </w:rPr>
        <w:t xml:space="preserve">over </w:t>
      </w:r>
      <w:r w:rsidRPr="002915C2">
        <w:rPr>
          <w:lang w:eastAsia="en-AU"/>
        </w:rPr>
        <w:t xml:space="preserve">whether the budget sub-committee has to approve projects, or just to endorse financial proposals </w:t>
      </w:r>
      <w:r w:rsidR="004B4C26">
        <w:rPr>
          <w:lang w:eastAsia="en-AU"/>
        </w:rPr>
        <w:t xml:space="preserve">that </w:t>
      </w:r>
      <w:r w:rsidRPr="002915C2">
        <w:rPr>
          <w:lang w:eastAsia="en-AU"/>
        </w:rPr>
        <w:t xml:space="preserve">are consistent with </w:t>
      </w:r>
      <w:r w:rsidR="00FA23AA">
        <w:rPr>
          <w:lang w:eastAsia="en-AU"/>
        </w:rPr>
        <w:t xml:space="preserve">ASEAN </w:t>
      </w:r>
      <w:r w:rsidR="004B4C26">
        <w:rPr>
          <w:lang w:eastAsia="en-AU"/>
        </w:rPr>
        <w:t xml:space="preserve">Secretariat </w:t>
      </w:r>
      <w:r w:rsidRPr="002915C2">
        <w:rPr>
          <w:lang w:eastAsia="en-AU"/>
        </w:rPr>
        <w:t xml:space="preserve">and donor financing guidelines. </w:t>
      </w:r>
      <w:r w:rsidRPr="0059133B">
        <w:rPr>
          <w:lang w:val="en-US" w:eastAsia="en-AU"/>
        </w:rPr>
        <w:t>This issue ne</w:t>
      </w:r>
      <w:r>
        <w:rPr>
          <w:lang w:val="en-US" w:eastAsia="en-AU"/>
        </w:rPr>
        <w:t xml:space="preserve">eds to be clarified by AANZFTA </w:t>
      </w:r>
      <w:r w:rsidR="004B4C26">
        <w:rPr>
          <w:lang w:val="en-US" w:eastAsia="en-AU"/>
        </w:rPr>
        <w:t>p</w:t>
      </w:r>
      <w:r w:rsidR="004B4C26" w:rsidRPr="0059133B">
        <w:rPr>
          <w:lang w:val="en-US" w:eastAsia="en-AU"/>
        </w:rPr>
        <w:t xml:space="preserve">arties </w:t>
      </w:r>
      <w:r w:rsidRPr="0059133B">
        <w:rPr>
          <w:lang w:val="en-US" w:eastAsia="en-AU"/>
        </w:rPr>
        <w:t>and AusAID</w:t>
      </w:r>
      <w:r>
        <w:rPr>
          <w:lang w:val="en-US" w:eastAsia="en-AU"/>
        </w:rPr>
        <w:t>.</w:t>
      </w:r>
    </w:p>
    <w:p w14:paraId="36EE74D2" w14:textId="7260E28F" w:rsidR="00530BA8" w:rsidRPr="002915C2" w:rsidRDefault="00530BA8" w:rsidP="00530BA8">
      <w:pPr>
        <w:pStyle w:val="Heading2"/>
        <w:rPr>
          <w:lang w:val="en-US"/>
        </w:rPr>
      </w:pPr>
      <w:r>
        <w:t xml:space="preserve">Program </w:t>
      </w:r>
      <w:r w:rsidR="005408FB">
        <w:t xml:space="preserve">duration </w:t>
      </w:r>
    </w:p>
    <w:p w14:paraId="45A233C4" w14:textId="6BCBC62C" w:rsidR="00530BA8" w:rsidRDefault="00530BA8" w:rsidP="00714B4B">
      <w:pPr>
        <w:pStyle w:val="BodyText"/>
        <w:ind w:left="426" w:hanging="426"/>
        <w:rPr>
          <w:lang w:eastAsia="en-AU"/>
        </w:rPr>
      </w:pPr>
      <w:r w:rsidRPr="002915C2">
        <w:rPr>
          <w:lang w:eastAsia="en-AU"/>
        </w:rPr>
        <w:fldChar w:fldCharType="begin"/>
      </w:r>
      <w:r w:rsidRPr="002915C2">
        <w:rPr>
          <w:lang w:eastAsia="en-AU"/>
        </w:rPr>
        <w:instrText xml:space="preserve"> AUTONUM </w:instrText>
      </w:r>
      <w:r w:rsidRPr="002915C2">
        <w:rPr>
          <w:lang w:eastAsia="en-AU"/>
        </w:rPr>
        <w:fldChar w:fldCharType="end"/>
      </w:r>
      <w:r>
        <w:rPr>
          <w:lang w:eastAsia="en-AU"/>
        </w:rPr>
        <w:tab/>
      </w:r>
      <w:r w:rsidRPr="002915C2">
        <w:rPr>
          <w:lang w:eastAsia="en-AU"/>
        </w:rPr>
        <w:t xml:space="preserve">Delays in project start-up means that considerable program resources have not been </w:t>
      </w:r>
      <w:r w:rsidR="004B4C26">
        <w:rPr>
          <w:lang w:eastAsia="en-AU"/>
        </w:rPr>
        <w:t>used</w:t>
      </w:r>
      <w:r w:rsidRPr="002915C2">
        <w:rPr>
          <w:lang w:eastAsia="en-AU"/>
        </w:rPr>
        <w:t>. The progra</w:t>
      </w:r>
      <w:r>
        <w:rPr>
          <w:lang w:eastAsia="en-AU"/>
        </w:rPr>
        <w:t>m is just beginning to develop</w:t>
      </w:r>
      <w:r w:rsidRPr="002915C2">
        <w:rPr>
          <w:lang w:eastAsia="en-AU"/>
        </w:rPr>
        <w:t xml:space="preserve"> momentum and finance more substantive medium-term support to build </w:t>
      </w:r>
      <w:r>
        <w:rPr>
          <w:lang w:eastAsia="en-AU"/>
        </w:rPr>
        <w:t xml:space="preserve">capacity, which has </w:t>
      </w:r>
      <w:r w:rsidRPr="002915C2">
        <w:rPr>
          <w:lang w:eastAsia="en-AU"/>
        </w:rPr>
        <w:t>the potential to generate development impacts beyond facilitating implementation of AANZFTA. Given</w:t>
      </w:r>
      <w:r>
        <w:rPr>
          <w:lang w:eastAsia="en-AU"/>
        </w:rPr>
        <w:t xml:space="preserve"> that</w:t>
      </w:r>
      <w:r w:rsidRPr="002915C2">
        <w:rPr>
          <w:lang w:eastAsia="en-AU"/>
        </w:rPr>
        <w:t xml:space="preserve"> there is a growing pipeline of proposals for </w:t>
      </w:r>
      <w:r w:rsidR="00C713C1" w:rsidRPr="002915C2">
        <w:rPr>
          <w:lang w:eastAsia="en-AU"/>
        </w:rPr>
        <w:t>results</w:t>
      </w:r>
      <w:r w:rsidR="00C713C1">
        <w:rPr>
          <w:lang w:eastAsia="en-AU"/>
        </w:rPr>
        <w:t>-</w:t>
      </w:r>
      <w:r w:rsidRPr="002915C2">
        <w:rPr>
          <w:lang w:eastAsia="en-AU"/>
        </w:rPr>
        <w:t xml:space="preserve">focused activities, and an increasingly effective support unit, the potential development impacts from a no-cost extension are considerable. </w:t>
      </w:r>
      <w:r>
        <w:rPr>
          <w:lang w:eastAsia="en-AU"/>
        </w:rPr>
        <w:t>AANZFTA includes</w:t>
      </w:r>
      <w:r w:rsidRPr="002915C2">
        <w:rPr>
          <w:lang w:eastAsia="en-AU"/>
        </w:rPr>
        <w:t xml:space="preserve"> provision for a review of progress in implementing the build-in agenda three years after the agreement came into force. </w:t>
      </w:r>
      <w:r>
        <w:rPr>
          <w:lang w:eastAsia="en-AU"/>
        </w:rPr>
        <w:t xml:space="preserve">There is also provision for an impact assessment of AANZFTA in 2015. </w:t>
      </w:r>
      <w:r w:rsidRPr="002915C2">
        <w:rPr>
          <w:lang w:eastAsia="en-AU"/>
        </w:rPr>
        <w:t>The results of t</w:t>
      </w:r>
      <w:r>
        <w:rPr>
          <w:lang w:eastAsia="en-AU"/>
        </w:rPr>
        <w:t>hese</w:t>
      </w:r>
      <w:r w:rsidRPr="002915C2">
        <w:rPr>
          <w:lang w:eastAsia="en-AU"/>
        </w:rPr>
        <w:t xml:space="preserve"> review</w:t>
      </w:r>
      <w:r>
        <w:rPr>
          <w:lang w:eastAsia="en-AU"/>
        </w:rPr>
        <w:t>s</w:t>
      </w:r>
      <w:r w:rsidRPr="002915C2">
        <w:rPr>
          <w:lang w:eastAsia="en-AU"/>
        </w:rPr>
        <w:t xml:space="preserve"> should help demonstrate achievement</w:t>
      </w:r>
      <w:r w:rsidR="00C713C1">
        <w:rPr>
          <w:lang w:eastAsia="en-AU"/>
        </w:rPr>
        <w:t>s</w:t>
      </w:r>
      <w:r w:rsidRPr="002915C2">
        <w:rPr>
          <w:lang w:eastAsia="en-AU"/>
        </w:rPr>
        <w:t xml:space="preserve"> and prioritise remaining needs. </w:t>
      </w:r>
      <w:r w:rsidR="000C2E33">
        <w:rPr>
          <w:lang w:eastAsia="en-AU"/>
        </w:rPr>
        <w:t>There is a strong case for recommending a no-cost extension of the program, g</w:t>
      </w:r>
      <w:r>
        <w:rPr>
          <w:lang w:eastAsia="en-AU"/>
        </w:rPr>
        <w:t>iven</w:t>
      </w:r>
      <w:r w:rsidR="004B4C26">
        <w:rPr>
          <w:lang w:eastAsia="en-AU"/>
        </w:rPr>
        <w:t xml:space="preserve"> the</w:t>
      </w:r>
      <w:r w:rsidR="00C713C1">
        <w:rPr>
          <w:lang w:eastAsia="en-AU"/>
        </w:rPr>
        <w:t xml:space="preserve"> </w:t>
      </w:r>
      <w:r>
        <w:rPr>
          <w:lang w:eastAsia="en-AU"/>
        </w:rPr>
        <w:t xml:space="preserve">growing </w:t>
      </w:r>
      <w:r w:rsidR="000C2E33">
        <w:rPr>
          <w:lang w:eastAsia="en-AU"/>
        </w:rPr>
        <w:t xml:space="preserve">program </w:t>
      </w:r>
      <w:r>
        <w:rPr>
          <w:lang w:eastAsia="en-AU"/>
        </w:rPr>
        <w:lastRenderedPageBreak/>
        <w:t>momentum</w:t>
      </w:r>
      <w:r w:rsidR="00C713C1">
        <w:rPr>
          <w:lang w:eastAsia="en-AU"/>
        </w:rPr>
        <w:t xml:space="preserve">, </w:t>
      </w:r>
      <w:r>
        <w:rPr>
          <w:lang w:eastAsia="en-AU"/>
        </w:rPr>
        <w:t>ongoing demand</w:t>
      </w:r>
      <w:r w:rsidR="000C2E33">
        <w:rPr>
          <w:lang w:eastAsia="en-AU"/>
        </w:rPr>
        <w:t xml:space="preserve"> (pipeline of requests) for support</w:t>
      </w:r>
      <w:r w:rsidR="00C713C1">
        <w:rPr>
          <w:lang w:eastAsia="en-AU"/>
        </w:rPr>
        <w:t xml:space="preserve">, and the </w:t>
      </w:r>
      <w:r>
        <w:rPr>
          <w:lang w:eastAsia="en-AU"/>
        </w:rPr>
        <w:t>innovative characteristics of the program that may provide useful lessons for AusAID and other development partners</w:t>
      </w:r>
      <w:r w:rsidR="000C2E33">
        <w:rPr>
          <w:lang w:eastAsia="en-AU"/>
        </w:rPr>
        <w:t xml:space="preserve">. </w:t>
      </w:r>
    </w:p>
    <w:p w14:paraId="188BAA5A" w14:textId="77777777" w:rsidR="000C2E33" w:rsidRDefault="000C2E33" w:rsidP="00470471">
      <w:pPr>
        <w:pStyle w:val="BodyText"/>
        <w:rPr>
          <w:lang w:eastAsia="en-AU"/>
        </w:rPr>
      </w:pPr>
    </w:p>
    <w:p w14:paraId="3A9618E5" w14:textId="77777777" w:rsidR="000C2E33" w:rsidRDefault="000C2E33" w:rsidP="00530BA8">
      <w:pPr>
        <w:pStyle w:val="Heading3"/>
        <w:sectPr w:rsidR="000C2E33" w:rsidSect="00470471">
          <w:headerReference w:type="even" r:id="rId15"/>
          <w:headerReference w:type="default" r:id="rId16"/>
          <w:footerReference w:type="default" r:id="rId17"/>
          <w:headerReference w:type="first" r:id="rId18"/>
          <w:footerReference w:type="first" r:id="rId19"/>
          <w:pgSz w:w="11900" w:h="16840" w:code="9"/>
          <w:pgMar w:top="1440" w:right="1797" w:bottom="1440" w:left="1797" w:header="567" w:footer="431" w:gutter="0"/>
          <w:pgNumType w:start="1"/>
          <w:cols w:space="708"/>
        </w:sectPr>
      </w:pPr>
    </w:p>
    <w:p w14:paraId="7AA8C13D" w14:textId="27EBD164" w:rsidR="00530BA8" w:rsidRDefault="00530BA8" w:rsidP="00530BA8">
      <w:pPr>
        <w:pStyle w:val="Heading3"/>
      </w:pPr>
      <w:r w:rsidRPr="00364569">
        <w:lastRenderedPageBreak/>
        <w:t xml:space="preserve">Evaluation </w:t>
      </w:r>
      <w:r w:rsidR="005408FB" w:rsidRPr="00364569">
        <w:t>criteria ratings</w:t>
      </w:r>
    </w:p>
    <w:tbl>
      <w:tblPr>
        <w:tblW w:w="8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406"/>
        <w:gridCol w:w="839"/>
        <w:gridCol w:w="6299"/>
      </w:tblGrid>
      <w:tr w:rsidR="00530BA8" w:rsidRPr="00760AA0" w14:paraId="7ED7CE5C" w14:textId="77777777" w:rsidTr="00530BA8">
        <w:trPr>
          <w:cantSplit/>
          <w:tblHeader/>
        </w:trPr>
        <w:tc>
          <w:tcPr>
            <w:tcW w:w="1406" w:type="dxa"/>
            <w:shd w:val="clear" w:color="auto" w:fill="E0E0E0"/>
            <w:vAlign w:val="center"/>
          </w:tcPr>
          <w:p w14:paraId="370A3599" w14:textId="1CCCAE6A" w:rsidR="00530BA8" w:rsidRPr="00760AA0" w:rsidRDefault="00530BA8">
            <w:pPr>
              <w:spacing w:before="0" w:after="0"/>
              <w:jc w:val="center"/>
              <w:rPr>
                <w:b/>
              </w:rPr>
            </w:pPr>
            <w:r w:rsidRPr="00760AA0">
              <w:rPr>
                <w:b/>
              </w:rPr>
              <w:t xml:space="preserve">Evaluation </w:t>
            </w:r>
            <w:r w:rsidR="005408FB">
              <w:rPr>
                <w:b/>
              </w:rPr>
              <w:t>c</w:t>
            </w:r>
            <w:r w:rsidR="005408FB" w:rsidRPr="00760AA0">
              <w:rPr>
                <w:b/>
              </w:rPr>
              <w:t>riteria</w:t>
            </w:r>
          </w:p>
        </w:tc>
        <w:tc>
          <w:tcPr>
            <w:tcW w:w="839" w:type="dxa"/>
            <w:shd w:val="clear" w:color="auto" w:fill="E0E0E0"/>
            <w:vAlign w:val="center"/>
          </w:tcPr>
          <w:p w14:paraId="1DB712EA" w14:textId="77777777" w:rsidR="00530BA8" w:rsidRPr="00760AA0" w:rsidRDefault="00530BA8" w:rsidP="00530BA8">
            <w:pPr>
              <w:spacing w:before="0" w:after="0"/>
              <w:jc w:val="center"/>
              <w:rPr>
                <w:b/>
              </w:rPr>
            </w:pPr>
            <w:r w:rsidRPr="00760AA0">
              <w:rPr>
                <w:b/>
              </w:rPr>
              <w:t>Rating (1-6)</w:t>
            </w:r>
          </w:p>
        </w:tc>
        <w:tc>
          <w:tcPr>
            <w:tcW w:w="6299" w:type="dxa"/>
            <w:shd w:val="clear" w:color="auto" w:fill="E0E0E0"/>
            <w:vAlign w:val="center"/>
          </w:tcPr>
          <w:p w14:paraId="135D56CE" w14:textId="77777777" w:rsidR="00530BA8" w:rsidRPr="00760AA0" w:rsidRDefault="00530BA8" w:rsidP="00530BA8">
            <w:pPr>
              <w:spacing w:before="0" w:after="0"/>
              <w:jc w:val="center"/>
              <w:rPr>
                <w:b/>
              </w:rPr>
            </w:pPr>
            <w:r w:rsidRPr="00760AA0">
              <w:rPr>
                <w:b/>
              </w:rPr>
              <w:t>Explanation</w:t>
            </w:r>
          </w:p>
        </w:tc>
      </w:tr>
      <w:tr w:rsidR="00530BA8" w:rsidRPr="00760AA0" w14:paraId="08FFB06C" w14:textId="77777777" w:rsidTr="00530BA8">
        <w:trPr>
          <w:cantSplit/>
        </w:trPr>
        <w:tc>
          <w:tcPr>
            <w:tcW w:w="1406" w:type="dxa"/>
            <w:shd w:val="clear" w:color="auto" w:fill="auto"/>
          </w:tcPr>
          <w:p w14:paraId="3814A219" w14:textId="77777777" w:rsidR="00530BA8" w:rsidRPr="007F2CDC" w:rsidRDefault="00530BA8" w:rsidP="00530BA8">
            <w:pPr>
              <w:spacing w:before="40" w:after="0"/>
            </w:pPr>
            <w:r>
              <w:t>Relevance</w:t>
            </w:r>
          </w:p>
        </w:tc>
        <w:tc>
          <w:tcPr>
            <w:tcW w:w="839" w:type="dxa"/>
            <w:shd w:val="clear" w:color="auto" w:fill="auto"/>
          </w:tcPr>
          <w:p w14:paraId="0A9B6A88" w14:textId="77777777" w:rsidR="00530BA8" w:rsidRPr="007F2CDC" w:rsidRDefault="00530BA8" w:rsidP="00530BA8">
            <w:pPr>
              <w:spacing w:before="40" w:after="0"/>
              <w:jc w:val="center"/>
            </w:pPr>
            <w:r>
              <w:t>5</w:t>
            </w:r>
          </w:p>
        </w:tc>
        <w:tc>
          <w:tcPr>
            <w:tcW w:w="6299" w:type="dxa"/>
            <w:shd w:val="clear" w:color="auto" w:fill="auto"/>
          </w:tcPr>
          <w:p w14:paraId="0752A7E5" w14:textId="698463AF" w:rsidR="00530BA8" w:rsidRPr="007F2CDC" w:rsidRDefault="00530BA8" w:rsidP="00087F92">
            <w:pPr>
              <w:spacing w:before="40" w:after="0"/>
            </w:pPr>
            <w:r w:rsidRPr="00593580">
              <w:t xml:space="preserve">The program supports activities that are closely aligned with </w:t>
            </w:r>
            <w:r>
              <w:t>F</w:t>
            </w:r>
            <w:r w:rsidR="00F96409">
              <w:t xml:space="preserve">ree </w:t>
            </w:r>
            <w:r>
              <w:t>T</w:t>
            </w:r>
            <w:r w:rsidR="00F96409">
              <w:t xml:space="preserve">rade </w:t>
            </w:r>
            <w:r>
              <w:t>A</w:t>
            </w:r>
            <w:r w:rsidR="00F96409">
              <w:t>greement</w:t>
            </w:r>
            <w:r>
              <w:t xml:space="preserve"> Joint Committee and </w:t>
            </w:r>
            <w:r w:rsidR="00F96409">
              <w:t>ASEAN member state</w:t>
            </w:r>
            <w:r w:rsidR="00F96409" w:rsidRPr="00F96409" w:rsidDel="00F96409">
              <w:t xml:space="preserve"> </w:t>
            </w:r>
            <w:r w:rsidRPr="00593580">
              <w:t xml:space="preserve">priorities. </w:t>
            </w:r>
            <w:r>
              <w:t xml:space="preserve">However, </w:t>
            </w:r>
            <w:r w:rsidR="00FA23AA">
              <w:t xml:space="preserve">ASEAN </w:t>
            </w:r>
            <w:r w:rsidR="00F96409">
              <w:t xml:space="preserve">Secretariat </w:t>
            </w:r>
            <w:r>
              <w:t>leadership does not always see AECSP activities as relevant.</w:t>
            </w:r>
            <w:r w:rsidR="005856D4">
              <w:t xml:space="preserve"> </w:t>
            </w:r>
            <w:r>
              <w:t xml:space="preserve">This issue may well be resolved with better two-way communication. </w:t>
            </w:r>
          </w:p>
        </w:tc>
      </w:tr>
      <w:tr w:rsidR="00530BA8" w:rsidRPr="00760AA0" w14:paraId="6DE8EFFE" w14:textId="77777777" w:rsidTr="00530BA8">
        <w:trPr>
          <w:cantSplit/>
        </w:trPr>
        <w:tc>
          <w:tcPr>
            <w:tcW w:w="1406" w:type="dxa"/>
            <w:shd w:val="clear" w:color="auto" w:fill="auto"/>
          </w:tcPr>
          <w:p w14:paraId="541FC380" w14:textId="77777777" w:rsidR="00530BA8" w:rsidRPr="007F2CDC" w:rsidRDefault="00530BA8" w:rsidP="00530BA8">
            <w:pPr>
              <w:spacing w:before="40" w:after="0"/>
            </w:pPr>
            <w:r>
              <w:t>Effectiveness</w:t>
            </w:r>
          </w:p>
        </w:tc>
        <w:tc>
          <w:tcPr>
            <w:tcW w:w="839" w:type="dxa"/>
            <w:shd w:val="clear" w:color="auto" w:fill="auto"/>
          </w:tcPr>
          <w:p w14:paraId="619BDC0A" w14:textId="77777777" w:rsidR="00530BA8" w:rsidRPr="007F2CDC" w:rsidRDefault="00530BA8" w:rsidP="00530BA8">
            <w:pPr>
              <w:spacing w:before="40" w:after="0"/>
              <w:jc w:val="center"/>
            </w:pPr>
            <w:r>
              <w:t>4</w:t>
            </w:r>
          </w:p>
        </w:tc>
        <w:tc>
          <w:tcPr>
            <w:tcW w:w="6299" w:type="dxa"/>
            <w:shd w:val="clear" w:color="auto" w:fill="auto"/>
          </w:tcPr>
          <w:p w14:paraId="335563F8" w14:textId="77777777" w:rsidR="00530BA8" w:rsidRPr="007F2CDC" w:rsidRDefault="00530BA8" w:rsidP="00530BA8">
            <w:pPr>
              <w:spacing w:before="40" w:after="0"/>
            </w:pPr>
            <w:r>
              <w:t>Despite a slower than planned start, AECSP is likely to achieve most core goals related to effective implementation of AANZFTA (even if business awareness was reported to be relatively modest). AECSP has been particularly effective in building regional partnerships to address practical barriers to enhanced economic cooperation.</w:t>
            </w:r>
            <w:r w:rsidRPr="002915C2">
              <w:rPr>
                <w:lang w:eastAsia="en-AU"/>
              </w:rPr>
              <w:t xml:space="preserve"> Progress in implementing </w:t>
            </w:r>
            <w:r>
              <w:rPr>
                <w:lang w:eastAsia="en-AU"/>
              </w:rPr>
              <w:t xml:space="preserve">planned </w:t>
            </w:r>
            <w:r w:rsidRPr="002915C2">
              <w:rPr>
                <w:lang w:eastAsia="en-AU"/>
              </w:rPr>
              <w:t xml:space="preserve">activities related to communication, outreach efforts and in evaluating the impact of AANZFTA and AECSP activities has been </w:t>
            </w:r>
            <w:r>
              <w:rPr>
                <w:lang w:eastAsia="en-AU"/>
              </w:rPr>
              <w:t>more mixed</w:t>
            </w:r>
            <w:r w:rsidRPr="002915C2">
              <w:rPr>
                <w:lang w:eastAsia="en-AU"/>
              </w:rPr>
              <w:t>.</w:t>
            </w:r>
          </w:p>
        </w:tc>
      </w:tr>
      <w:tr w:rsidR="00530BA8" w:rsidRPr="00760AA0" w14:paraId="0E2480F3" w14:textId="77777777" w:rsidTr="00530BA8">
        <w:trPr>
          <w:cantSplit/>
        </w:trPr>
        <w:tc>
          <w:tcPr>
            <w:tcW w:w="1406" w:type="dxa"/>
            <w:shd w:val="clear" w:color="auto" w:fill="auto"/>
          </w:tcPr>
          <w:p w14:paraId="1C4BC761" w14:textId="77777777" w:rsidR="00530BA8" w:rsidRPr="007F2CDC" w:rsidRDefault="00530BA8" w:rsidP="00530BA8">
            <w:pPr>
              <w:spacing w:before="40" w:after="0"/>
            </w:pPr>
            <w:r>
              <w:t>Efficiency</w:t>
            </w:r>
          </w:p>
        </w:tc>
        <w:tc>
          <w:tcPr>
            <w:tcW w:w="839" w:type="dxa"/>
            <w:shd w:val="clear" w:color="auto" w:fill="auto"/>
          </w:tcPr>
          <w:p w14:paraId="222CA17E" w14:textId="77777777" w:rsidR="00530BA8" w:rsidRPr="007F2CDC" w:rsidRDefault="00530BA8" w:rsidP="00530BA8">
            <w:pPr>
              <w:spacing w:before="40" w:after="0"/>
              <w:jc w:val="center"/>
            </w:pPr>
            <w:r>
              <w:t>5</w:t>
            </w:r>
          </w:p>
        </w:tc>
        <w:tc>
          <w:tcPr>
            <w:tcW w:w="6299" w:type="dxa"/>
            <w:shd w:val="clear" w:color="auto" w:fill="auto"/>
          </w:tcPr>
          <w:p w14:paraId="253C1CAB" w14:textId="0B9A0BB9" w:rsidR="00A8315E" w:rsidRPr="007F2CDC" w:rsidRDefault="005A6EAB" w:rsidP="00714B4B">
            <w:pPr>
              <w:spacing w:before="40" w:after="0"/>
              <w:rPr>
                <w:b/>
                <w:bCs/>
                <w:color w:val="4F81BD" w:themeColor="accent1"/>
                <w:sz w:val="18"/>
                <w:lang w:eastAsia="en-AU"/>
              </w:rPr>
            </w:pPr>
            <w:r w:rsidRPr="00A8315E">
              <w:rPr>
                <w:lang w:eastAsia="en-AU"/>
              </w:rPr>
              <w:t>Delays in AECSP start-up undermined efficiency in the early stages, but the AANZFTA Support Unit addressed problems encountered</w:t>
            </w:r>
            <w:r>
              <w:rPr>
                <w:lang w:eastAsia="en-AU"/>
              </w:rPr>
              <w:t xml:space="preserve"> in a pragmatic manner</w:t>
            </w:r>
            <w:r w:rsidRPr="00A8315E">
              <w:rPr>
                <w:lang w:eastAsia="en-AU"/>
              </w:rPr>
              <w:t>. AECSP seeks to minimise transaction costs by integrating with ASEAN Secretariat</w:t>
            </w:r>
            <w:r w:rsidRPr="00A8315E" w:rsidDel="0096119C">
              <w:rPr>
                <w:lang w:eastAsia="en-AU"/>
              </w:rPr>
              <w:t xml:space="preserve"> </w:t>
            </w:r>
            <w:r w:rsidRPr="00A8315E">
              <w:rPr>
                <w:lang w:eastAsia="en-AU"/>
              </w:rPr>
              <w:t>systems and coordinating program activities with ongoing ASEAN working agendas</w:t>
            </w:r>
            <w:r>
              <w:rPr>
                <w:lang w:eastAsia="en-AU"/>
              </w:rPr>
              <w:t xml:space="preserve"> to the extent feasible</w:t>
            </w:r>
            <w:r w:rsidRPr="00A8315E">
              <w:rPr>
                <w:lang w:eastAsia="en-AU"/>
              </w:rPr>
              <w:t xml:space="preserve">. Special </w:t>
            </w:r>
            <w:r>
              <w:rPr>
                <w:lang w:eastAsia="en-AU"/>
              </w:rPr>
              <w:t xml:space="preserve">services </w:t>
            </w:r>
            <w:r w:rsidRPr="00A8315E">
              <w:rPr>
                <w:lang w:eastAsia="en-AU"/>
              </w:rPr>
              <w:t xml:space="preserve">agreements with designated service providers are </w:t>
            </w:r>
            <w:r>
              <w:rPr>
                <w:lang w:eastAsia="en-AU"/>
              </w:rPr>
              <w:t xml:space="preserve">seen as </w:t>
            </w:r>
            <w:r w:rsidRPr="00A8315E">
              <w:rPr>
                <w:lang w:eastAsia="en-AU"/>
              </w:rPr>
              <w:t xml:space="preserve">useful </w:t>
            </w:r>
            <w:r>
              <w:rPr>
                <w:lang w:eastAsia="en-AU"/>
              </w:rPr>
              <w:t>in</w:t>
            </w:r>
            <w:r w:rsidRPr="00A8315E">
              <w:rPr>
                <w:lang w:eastAsia="en-AU"/>
              </w:rPr>
              <w:t xml:space="preserve"> facilitat</w:t>
            </w:r>
            <w:r>
              <w:rPr>
                <w:lang w:eastAsia="en-AU"/>
              </w:rPr>
              <w:t xml:space="preserve">ing </w:t>
            </w:r>
            <w:r w:rsidRPr="00A8315E">
              <w:rPr>
                <w:lang w:eastAsia="en-AU"/>
              </w:rPr>
              <w:t>more timely and efficient delivery of activities.</w:t>
            </w:r>
          </w:p>
        </w:tc>
      </w:tr>
      <w:tr w:rsidR="00530BA8" w:rsidRPr="00760AA0" w14:paraId="6A662E3F" w14:textId="77777777" w:rsidTr="00530BA8">
        <w:trPr>
          <w:cantSplit/>
        </w:trPr>
        <w:tc>
          <w:tcPr>
            <w:tcW w:w="1406" w:type="dxa"/>
            <w:shd w:val="clear" w:color="auto" w:fill="auto"/>
          </w:tcPr>
          <w:p w14:paraId="29739FED" w14:textId="77777777" w:rsidR="00530BA8" w:rsidRPr="007F2CDC" w:rsidRDefault="00530BA8" w:rsidP="00530BA8">
            <w:pPr>
              <w:spacing w:before="40" w:after="0"/>
            </w:pPr>
            <w:r>
              <w:t>Sustainability</w:t>
            </w:r>
          </w:p>
        </w:tc>
        <w:tc>
          <w:tcPr>
            <w:tcW w:w="839" w:type="dxa"/>
            <w:shd w:val="clear" w:color="auto" w:fill="auto"/>
          </w:tcPr>
          <w:p w14:paraId="53CB2309" w14:textId="77777777" w:rsidR="00530BA8" w:rsidRPr="007F2CDC" w:rsidRDefault="00530BA8" w:rsidP="00530BA8">
            <w:pPr>
              <w:spacing w:before="40" w:after="0"/>
              <w:jc w:val="center"/>
            </w:pPr>
            <w:r>
              <w:t>4</w:t>
            </w:r>
          </w:p>
        </w:tc>
        <w:tc>
          <w:tcPr>
            <w:tcW w:w="6299" w:type="dxa"/>
            <w:shd w:val="clear" w:color="auto" w:fill="auto"/>
          </w:tcPr>
          <w:p w14:paraId="330BE53D" w14:textId="4014F574" w:rsidR="00530BA8" w:rsidRPr="007F2CDC" w:rsidRDefault="00530BA8">
            <w:pPr>
              <w:spacing w:before="40" w:after="0"/>
              <w:rPr>
                <w:b/>
                <w:bCs/>
                <w:color w:val="4F81BD" w:themeColor="accent1"/>
                <w:sz w:val="18"/>
              </w:rPr>
            </w:pPr>
            <w:r w:rsidRPr="00885A53">
              <w:t xml:space="preserve">There is generally strong ownership of </w:t>
            </w:r>
            <w:r>
              <w:t>AECSP</w:t>
            </w:r>
            <w:r w:rsidRPr="00885A53">
              <w:t xml:space="preserve"> activities by </w:t>
            </w:r>
            <w:r>
              <w:t>project proponents</w:t>
            </w:r>
            <w:r w:rsidRPr="00885A53">
              <w:t xml:space="preserve"> and F</w:t>
            </w:r>
            <w:r w:rsidR="00F96409">
              <w:t xml:space="preserve">ree Trade Agreement </w:t>
            </w:r>
            <w:r w:rsidRPr="00885A53">
              <w:t>J</w:t>
            </w:r>
            <w:r w:rsidR="00F96409">
              <w:t xml:space="preserve">oint </w:t>
            </w:r>
            <w:r w:rsidRPr="00885A53">
              <w:t>C</w:t>
            </w:r>
            <w:r w:rsidR="00F96409">
              <w:t>ommittee</w:t>
            </w:r>
            <w:r w:rsidRPr="00885A53">
              <w:t xml:space="preserve"> members</w:t>
            </w:r>
            <w:r w:rsidR="00F96409">
              <w:t xml:space="preserve">, so </w:t>
            </w:r>
            <w:r w:rsidRPr="00885A53">
              <w:t xml:space="preserve">most outcomes are likely to be sustained. </w:t>
            </w:r>
            <w:r>
              <w:t>However, s</w:t>
            </w:r>
            <w:r w:rsidRPr="00885A53">
              <w:t xml:space="preserve">ustained </w:t>
            </w:r>
            <w:r w:rsidR="00FA23AA">
              <w:t xml:space="preserve">ASEAN </w:t>
            </w:r>
            <w:r w:rsidR="00F96409">
              <w:t xml:space="preserve">Secretariat </w:t>
            </w:r>
            <w:r w:rsidRPr="00885A53">
              <w:t>ownership depend</w:t>
            </w:r>
            <w:r>
              <w:t>s</w:t>
            </w:r>
            <w:r w:rsidRPr="00885A53">
              <w:t xml:space="preserve"> on </w:t>
            </w:r>
            <w:r w:rsidR="00F96409">
              <w:t>its</w:t>
            </w:r>
            <w:r w:rsidR="00FA23AA">
              <w:t xml:space="preserve"> </w:t>
            </w:r>
            <w:r w:rsidRPr="00885A53">
              <w:t xml:space="preserve">leadership being </w:t>
            </w:r>
            <w:r w:rsidRPr="00704E78">
              <w:t xml:space="preserve">kept informed </w:t>
            </w:r>
            <w:r w:rsidR="00F96409">
              <w:t>on</w:t>
            </w:r>
            <w:r w:rsidRPr="00704E78">
              <w:t xml:space="preserve"> how </w:t>
            </w:r>
            <w:r>
              <w:t>AECSP</w:t>
            </w:r>
            <w:r w:rsidRPr="00885A53">
              <w:t xml:space="preserve"> activities complement </w:t>
            </w:r>
            <w:r w:rsidR="00A8315E">
              <w:t>the</w:t>
            </w:r>
            <w:r w:rsidR="00A8315E" w:rsidRPr="00885A53">
              <w:t xml:space="preserve"> </w:t>
            </w:r>
            <w:r w:rsidR="00F96409">
              <w:t>secretariat</w:t>
            </w:r>
            <w:r w:rsidR="00A8315E">
              <w:t>’s core</w:t>
            </w:r>
            <w:r w:rsidR="00F96409">
              <w:t xml:space="preserve"> </w:t>
            </w:r>
            <w:r w:rsidRPr="00885A53">
              <w:t>business.</w:t>
            </w:r>
            <w:r>
              <w:t xml:space="preserve"> </w:t>
            </w:r>
          </w:p>
        </w:tc>
      </w:tr>
      <w:tr w:rsidR="00530BA8" w:rsidRPr="00760AA0" w14:paraId="386423E1" w14:textId="77777777" w:rsidTr="00530BA8">
        <w:trPr>
          <w:cantSplit/>
        </w:trPr>
        <w:tc>
          <w:tcPr>
            <w:tcW w:w="1406" w:type="dxa"/>
            <w:shd w:val="clear" w:color="auto" w:fill="auto"/>
          </w:tcPr>
          <w:p w14:paraId="6D0925F6" w14:textId="7F1940F3" w:rsidR="00530BA8" w:rsidRPr="007F2CDC" w:rsidRDefault="00530BA8">
            <w:pPr>
              <w:spacing w:before="40" w:after="0"/>
            </w:pPr>
            <w:r>
              <w:t xml:space="preserve">Gender </w:t>
            </w:r>
            <w:r w:rsidR="00F96409">
              <w:t>equality</w:t>
            </w:r>
          </w:p>
        </w:tc>
        <w:tc>
          <w:tcPr>
            <w:tcW w:w="839" w:type="dxa"/>
            <w:shd w:val="clear" w:color="auto" w:fill="auto"/>
          </w:tcPr>
          <w:p w14:paraId="130250F8" w14:textId="77777777" w:rsidR="00530BA8" w:rsidRPr="007F2CDC" w:rsidRDefault="00530BA8" w:rsidP="00530BA8">
            <w:pPr>
              <w:spacing w:before="40" w:after="0"/>
              <w:jc w:val="center"/>
            </w:pPr>
            <w:r>
              <w:t>3</w:t>
            </w:r>
          </w:p>
        </w:tc>
        <w:tc>
          <w:tcPr>
            <w:tcW w:w="6299" w:type="dxa"/>
            <w:shd w:val="clear" w:color="auto" w:fill="auto"/>
          </w:tcPr>
          <w:p w14:paraId="5AE904A5" w14:textId="3769712A" w:rsidR="00A8315E" w:rsidRPr="007F2CDC" w:rsidRDefault="00A8315E">
            <w:pPr>
              <w:spacing w:before="40" w:after="0"/>
            </w:pPr>
            <w:r>
              <w:t>There has been l</w:t>
            </w:r>
            <w:r w:rsidRPr="00885A53">
              <w:t xml:space="preserve">imited </w:t>
            </w:r>
            <w:r>
              <w:t>focus</w:t>
            </w:r>
            <w:r w:rsidRPr="00885A53">
              <w:t xml:space="preserve"> </w:t>
            </w:r>
            <w:r>
              <w:t>on</w:t>
            </w:r>
            <w:r w:rsidRPr="00885A53">
              <w:t xml:space="preserve"> gender </w:t>
            </w:r>
            <w:r>
              <w:t>equity</w:t>
            </w:r>
            <w:r w:rsidRPr="00885A53">
              <w:t xml:space="preserve"> issues. This </w:t>
            </w:r>
            <w:r>
              <w:t>partly</w:t>
            </w:r>
            <w:r w:rsidRPr="00885A53">
              <w:t xml:space="preserve"> reflects </w:t>
            </w:r>
            <w:r>
              <w:t>difficulties</w:t>
            </w:r>
            <w:r w:rsidRPr="00885A53">
              <w:t xml:space="preserve"> in efficiently factoring gender issues into technical regional integration </w:t>
            </w:r>
            <w:r>
              <w:t>activities. G</w:t>
            </w:r>
            <w:r w:rsidRPr="00885A53">
              <w:t xml:space="preserve">ender related integration issues are </w:t>
            </w:r>
            <w:r>
              <w:t xml:space="preserve">sometimes </w:t>
            </w:r>
            <w:r w:rsidRPr="00885A53">
              <w:t>more effectively addressed in country a</w:t>
            </w:r>
            <w:r>
              <w:t>nd sector specific activities. However t</w:t>
            </w:r>
            <w:r w:rsidRPr="00885A53">
              <w:t xml:space="preserve">here is scope to build </w:t>
            </w:r>
            <w:r>
              <w:t>AECSP and partner</w:t>
            </w:r>
            <w:r w:rsidRPr="00885A53">
              <w:t xml:space="preserve"> awareness to seek opportunities to address gender issues during regional consultations and capacity building activities</w:t>
            </w:r>
            <w:r>
              <w:t>.</w:t>
            </w:r>
          </w:p>
        </w:tc>
      </w:tr>
      <w:tr w:rsidR="00530BA8" w:rsidRPr="00760AA0" w14:paraId="3BBB9C5A" w14:textId="77777777" w:rsidTr="00530BA8">
        <w:trPr>
          <w:cantSplit/>
        </w:trPr>
        <w:tc>
          <w:tcPr>
            <w:tcW w:w="1406" w:type="dxa"/>
            <w:shd w:val="clear" w:color="auto" w:fill="auto"/>
          </w:tcPr>
          <w:p w14:paraId="74C144D4" w14:textId="706969E2" w:rsidR="00530BA8" w:rsidRPr="007F2CDC" w:rsidRDefault="00530BA8">
            <w:pPr>
              <w:spacing w:before="40" w:after="0"/>
            </w:pPr>
            <w:r>
              <w:t xml:space="preserve">Monitoring </w:t>
            </w:r>
            <w:r w:rsidR="00F96409">
              <w:t xml:space="preserve">and evaluation </w:t>
            </w:r>
          </w:p>
        </w:tc>
        <w:tc>
          <w:tcPr>
            <w:tcW w:w="839" w:type="dxa"/>
            <w:shd w:val="clear" w:color="auto" w:fill="auto"/>
          </w:tcPr>
          <w:p w14:paraId="357A6DE8" w14:textId="77777777" w:rsidR="00530BA8" w:rsidRPr="007F2CDC" w:rsidRDefault="00530BA8" w:rsidP="00530BA8">
            <w:pPr>
              <w:spacing w:before="40" w:after="0"/>
              <w:jc w:val="center"/>
            </w:pPr>
            <w:r>
              <w:t>3</w:t>
            </w:r>
          </w:p>
        </w:tc>
        <w:tc>
          <w:tcPr>
            <w:tcW w:w="6299" w:type="dxa"/>
            <w:shd w:val="clear" w:color="auto" w:fill="auto"/>
          </w:tcPr>
          <w:p w14:paraId="34D71E8B" w14:textId="59CF165D" w:rsidR="00530BA8" w:rsidRPr="00FC013C" w:rsidRDefault="00530BA8">
            <w:pPr>
              <w:spacing w:before="40" w:after="0"/>
            </w:pPr>
            <w:r w:rsidRPr="00FC013C">
              <w:t xml:space="preserve">Progress with </w:t>
            </w:r>
            <w:r w:rsidR="00F96409">
              <w:t>monitoring and evaluation</w:t>
            </w:r>
            <w:r w:rsidRPr="00FC013C">
              <w:t xml:space="preserve"> </w:t>
            </w:r>
            <w:r>
              <w:t>was initially</w:t>
            </w:r>
            <w:r w:rsidRPr="00FC013C">
              <w:t xml:space="preserve"> slow.</w:t>
            </w:r>
            <w:r>
              <w:t xml:space="preserve"> </w:t>
            </w:r>
            <w:r w:rsidRPr="00FC013C">
              <w:t>More needs to be done to assess likely contributions of project outputs to broader national and regional efforts to boost trade, investment and employment. Steps have been taken to more systematically understand what impact capacity building is having on participants</w:t>
            </w:r>
            <w:r>
              <w:t xml:space="preserve">, and to better document and communicate results. There are good prospects for the </w:t>
            </w:r>
            <w:r w:rsidR="00F96409">
              <w:t>monitoring and evaluation</w:t>
            </w:r>
            <w:r w:rsidR="00F96409" w:rsidRPr="00FC013C">
              <w:t xml:space="preserve"> </w:t>
            </w:r>
            <w:r>
              <w:t>rating to be increased by next year</w:t>
            </w:r>
            <w:r w:rsidRPr="00FC013C">
              <w:t>.</w:t>
            </w:r>
          </w:p>
        </w:tc>
      </w:tr>
      <w:tr w:rsidR="00530BA8" w:rsidRPr="00760AA0" w14:paraId="68210764" w14:textId="77777777" w:rsidTr="00530BA8">
        <w:trPr>
          <w:cantSplit/>
        </w:trPr>
        <w:tc>
          <w:tcPr>
            <w:tcW w:w="1406" w:type="dxa"/>
            <w:shd w:val="clear" w:color="auto" w:fill="auto"/>
          </w:tcPr>
          <w:p w14:paraId="276A0B14" w14:textId="40B11E19" w:rsidR="00530BA8" w:rsidRPr="007F2CDC" w:rsidRDefault="00530BA8">
            <w:pPr>
              <w:spacing w:before="40" w:after="0"/>
            </w:pPr>
            <w:r w:rsidRPr="006B231B">
              <w:t xml:space="preserve">Analysis </w:t>
            </w:r>
            <w:r w:rsidR="00F96409">
              <w:t>and</w:t>
            </w:r>
            <w:r w:rsidR="00F96409" w:rsidRPr="006B231B">
              <w:t xml:space="preserve"> </w:t>
            </w:r>
            <w:r w:rsidR="00F96409">
              <w:t>l</w:t>
            </w:r>
            <w:r w:rsidR="00F96409" w:rsidRPr="006B231B">
              <w:t>earning</w:t>
            </w:r>
          </w:p>
        </w:tc>
        <w:tc>
          <w:tcPr>
            <w:tcW w:w="839" w:type="dxa"/>
            <w:shd w:val="clear" w:color="auto" w:fill="auto"/>
          </w:tcPr>
          <w:p w14:paraId="2A37C4B3" w14:textId="77777777" w:rsidR="00530BA8" w:rsidRPr="007F2CDC" w:rsidRDefault="00530BA8" w:rsidP="00530BA8">
            <w:pPr>
              <w:spacing w:before="40" w:after="0"/>
              <w:jc w:val="center"/>
            </w:pPr>
            <w:r>
              <w:t>4</w:t>
            </w:r>
          </w:p>
        </w:tc>
        <w:tc>
          <w:tcPr>
            <w:tcW w:w="6299" w:type="dxa"/>
            <w:shd w:val="clear" w:color="auto" w:fill="auto"/>
          </w:tcPr>
          <w:p w14:paraId="3881D6FA" w14:textId="1FCCAA9B" w:rsidR="00530BA8" w:rsidRPr="007F2CDC" w:rsidRDefault="00A8315E" w:rsidP="00087F92">
            <w:pPr>
              <w:spacing w:before="40" w:after="0"/>
            </w:pPr>
            <w:r w:rsidRPr="00FC013C">
              <w:rPr>
                <w:lang w:val="en-US"/>
              </w:rPr>
              <w:t xml:space="preserve">The </w:t>
            </w:r>
            <w:r w:rsidRPr="004237BD">
              <w:t xml:space="preserve">AANZFTA Support Unit </w:t>
            </w:r>
            <w:r w:rsidRPr="00FC013C">
              <w:rPr>
                <w:lang w:val="en-US"/>
              </w:rPr>
              <w:t>has effective</w:t>
            </w:r>
            <w:r>
              <w:rPr>
                <w:lang w:val="en-US"/>
              </w:rPr>
              <w:t>ly</w:t>
            </w:r>
            <w:r w:rsidRPr="00FC013C">
              <w:rPr>
                <w:lang w:val="en-US"/>
              </w:rPr>
              <w:t xml:space="preserve"> identif</w:t>
            </w:r>
            <w:r>
              <w:rPr>
                <w:lang w:val="en-US"/>
              </w:rPr>
              <w:t xml:space="preserve">ied </w:t>
            </w:r>
            <w:r w:rsidRPr="00FC013C">
              <w:rPr>
                <w:lang w:val="en-US"/>
              </w:rPr>
              <w:t>and address</w:t>
            </w:r>
            <w:r>
              <w:rPr>
                <w:lang w:val="en-US"/>
              </w:rPr>
              <w:t xml:space="preserve">ed </w:t>
            </w:r>
            <w:r w:rsidRPr="00FC013C">
              <w:rPr>
                <w:lang w:val="en-US"/>
              </w:rPr>
              <w:t xml:space="preserve">immediate barriers to </w:t>
            </w:r>
            <w:r w:rsidRPr="004237BD">
              <w:t xml:space="preserve">Economic Cooperation Work </w:t>
            </w:r>
            <w:r>
              <w:t>Program</w:t>
            </w:r>
            <w:r w:rsidRPr="004237BD" w:rsidDel="004237BD">
              <w:rPr>
                <w:lang w:val="en-US"/>
              </w:rPr>
              <w:t xml:space="preserve"> </w:t>
            </w:r>
            <w:r w:rsidRPr="00FC013C">
              <w:rPr>
                <w:lang w:val="en-US"/>
              </w:rPr>
              <w:t>implementation (</w:t>
            </w:r>
            <w:r w:rsidR="00087F92">
              <w:rPr>
                <w:lang w:val="en-US"/>
              </w:rPr>
              <w:t xml:space="preserve">for example </w:t>
            </w:r>
            <w:r w:rsidRPr="00FC013C">
              <w:rPr>
                <w:lang w:val="en-US"/>
              </w:rPr>
              <w:t>the shift to special services agreements</w:t>
            </w:r>
            <w:r>
              <w:rPr>
                <w:lang w:val="en-US"/>
              </w:rPr>
              <w:t xml:space="preserve"> to reduce </w:t>
            </w:r>
            <w:r w:rsidRPr="0096119C">
              <w:rPr>
                <w:lang w:eastAsia="en-AU"/>
              </w:rPr>
              <w:t>ASEAN Secretariat</w:t>
            </w:r>
            <w:r w:rsidRPr="0096119C" w:rsidDel="0096119C">
              <w:rPr>
                <w:lang w:eastAsia="en-AU"/>
              </w:rPr>
              <w:t xml:space="preserve"> </w:t>
            </w:r>
            <w:r>
              <w:rPr>
                <w:lang w:val="en-US"/>
              </w:rPr>
              <w:t>overheads</w:t>
            </w:r>
            <w:r w:rsidRPr="00FC013C">
              <w:rPr>
                <w:lang w:val="en-US"/>
              </w:rPr>
              <w:t>).</w:t>
            </w:r>
            <w:r>
              <w:rPr>
                <w:lang w:val="en-US"/>
              </w:rPr>
              <w:t xml:space="preserve"> However, there is scope to strengthen</w:t>
            </w:r>
            <w:r w:rsidRPr="00FC013C">
              <w:rPr>
                <w:lang w:val="en-US"/>
              </w:rPr>
              <w:t xml:space="preserve"> ongoing analysis of AECSP operations, drawing </w:t>
            </w:r>
            <w:r>
              <w:rPr>
                <w:lang w:val="en-US"/>
              </w:rPr>
              <w:t xml:space="preserve">on </w:t>
            </w:r>
            <w:r w:rsidRPr="00FC013C">
              <w:rPr>
                <w:lang w:val="en-US"/>
              </w:rPr>
              <w:t>lessons learned and taking remedial action to ensure continuous improvement.</w:t>
            </w:r>
            <w:r>
              <w:rPr>
                <w:lang w:val="en-US"/>
              </w:rPr>
              <w:t xml:space="preserve"> More can be done to learn from other related projects.</w:t>
            </w:r>
          </w:p>
        </w:tc>
      </w:tr>
    </w:tbl>
    <w:p w14:paraId="5625679C" w14:textId="1A2AA1A5" w:rsidR="00530BA8" w:rsidRPr="007F246D" w:rsidRDefault="00530BA8" w:rsidP="00530BA8">
      <w:pPr>
        <w:pStyle w:val="Heading1"/>
        <w:pageBreakBefore/>
        <w:spacing w:before="0"/>
      </w:pPr>
      <w:bookmarkStart w:id="6" w:name="_Toc229924883"/>
      <w:r w:rsidRPr="00CE70A0">
        <w:lastRenderedPageBreak/>
        <w:t xml:space="preserve">Conclusion and </w:t>
      </w:r>
      <w:bookmarkEnd w:id="6"/>
      <w:r w:rsidR="005408FB" w:rsidRPr="00CE70A0">
        <w:t>recommendations</w:t>
      </w:r>
    </w:p>
    <w:p w14:paraId="7404B52B" w14:textId="77777777" w:rsidR="00530BA8" w:rsidRDefault="00530BA8" w:rsidP="00530BA8">
      <w:pPr>
        <w:pStyle w:val="Heading2"/>
      </w:pPr>
      <w:r w:rsidRPr="00CE70A0">
        <w:t>Conclusions</w:t>
      </w:r>
    </w:p>
    <w:p w14:paraId="73A7293B" w14:textId="0026E04A" w:rsidR="00530BA8" w:rsidRDefault="00530BA8" w:rsidP="00632D7C">
      <w:pPr>
        <w:ind w:left="426" w:hanging="426"/>
      </w:pPr>
      <w:r w:rsidRPr="00AC05DB">
        <w:fldChar w:fldCharType="begin"/>
      </w:r>
      <w:r w:rsidRPr="00AC05DB">
        <w:instrText xml:space="preserve"> AUTONUM </w:instrText>
      </w:r>
      <w:r w:rsidRPr="00AC05DB">
        <w:fldChar w:fldCharType="end"/>
      </w:r>
      <w:r>
        <w:tab/>
        <w:t>A</w:t>
      </w:r>
      <w:r w:rsidRPr="00AC05DB">
        <w:t xml:space="preserve">fter delays in start-up, AECSP is beginning to build momentum and </w:t>
      </w:r>
      <w:r>
        <w:t>generate</w:t>
      </w:r>
      <w:r w:rsidRPr="00AC05DB">
        <w:t xml:space="preserve"> tangible outcomes that </w:t>
      </w:r>
      <w:r>
        <w:t>should help facilitate growth in regional trade and investment</w:t>
      </w:r>
      <w:r>
        <w:rPr>
          <w:lang w:val="en-US"/>
        </w:rPr>
        <w:t xml:space="preserve">. </w:t>
      </w:r>
      <w:r>
        <w:t>M</w:t>
      </w:r>
      <w:r w:rsidRPr="00232015">
        <w:t xml:space="preserve">omentum has been </w:t>
      </w:r>
      <w:r>
        <w:t xml:space="preserve">strongest </w:t>
      </w:r>
      <w:r w:rsidRPr="00232015">
        <w:t xml:space="preserve">in </w:t>
      </w:r>
      <w:r w:rsidR="00632D7C">
        <w:t>g</w:t>
      </w:r>
      <w:r w:rsidR="00632D7C" w:rsidRPr="00232015">
        <w:t xml:space="preserve">oods </w:t>
      </w:r>
      <w:r w:rsidRPr="00232015">
        <w:t xml:space="preserve">and </w:t>
      </w:r>
      <w:r w:rsidR="00632D7C">
        <w:t>i</w:t>
      </w:r>
      <w:r w:rsidR="00632D7C" w:rsidRPr="00232015">
        <w:t xml:space="preserve">ntellectual </w:t>
      </w:r>
      <w:r w:rsidR="00632D7C">
        <w:t>p</w:t>
      </w:r>
      <w:r w:rsidR="00632D7C" w:rsidRPr="00232015">
        <w:t>roperty</w:t>
      </w:r>
      <w:r w:rsidR="00632D7C">
        <w:t xml:space="preserve"> </w:t>
      </w:r>
      <w:r>
        <w:t xml:space="preserve">areas, </w:t>
      </w:r>
      <w:r w:rsidRPr="00D147C8">
        <w:t xml:space="preserve">and is increasing in other areas including </w:t>
      </w:r>
      <w:r w:rsidR="00CE70A0">
        <w:t>i</w:t>
      </w:r>
      <w:r w:rsidR="00CE70A0" w:rsidRPr="00D147C8">
        <w:t xml:space="preserve">nvestment </w:t>
      </w:r>
      <w:r w:rsidRPr="00D147C8">
        <w:t xml:space="preserve">and </w:t>
      </w:r>
      <w:r w:rsidR="00CE70A0">
        <w:t>s</w:t>
      </w:r>
      <w:r w:rsidR="00CE70A0" w:rsidRPr="00D147C8">
        <w:t>ervices</w:t>
      </w:r>
      <w:r>
        <w:t>. Potential development impacts will be enhanced if AANZFTA serves as a catalyst for a wider trade agreement such as the Regional Comprehensive Economic Partnership. Regional leaders have repeatedly noted AECSP contributions in progressing the regional integration agenda, and have highlighted the quality of training support. Additional effort is needed</w:t>
      </w:r>
      <w:r w:rsidRPr="00AC05DB">
        <w:t xml:space="preserve"> to ensure that </w:t>
      </w:r>
      <w:r w:rsidR="00FA23AA">
        <w:t xml:space="preserve">ASEAN </w:t>
      </w:r>
      <w:r w:rsidR="00CE70A0">
        <w:t xml:space="preserve">Secretariat </w:t>
      </w:r>
      <w:r w:rsidRPr="00AC05DB">
        <w:t xml:space="preserve">leadership </w:t>
      </w:r>
      <w:r w:rsidR="00CE70A0">
        <w:t>is</w:t>
      </w:r>
      <w:r w:rsidR="00CE70A0" w:rsidRPr="00AC05DB">
        <w:t xml:space="preserve"> </w:t>
      </w:r>
      <w:r w:rsidRPr="00AC05DB">
        <w:t xml:space="preserve">more aware of </w:t>
      </w:r>
      <w:r>
        <w:t xml:space="preserve">AECSP </w:t>
      </w:r>
      <w:r w:rsidRPr="00AC05DB">
        <w:t>linkages w</w:t>
      </w:r>
      <w:r>
        <w:t xml:space="preserve">ith </w:t>
      </w:r>
      <w:r w:rsidR="00CE70A0">
        <w:t>the</w:t>
      </w:r>
      <w:r w:rsidR="00FA23AA">
        <w:t xml:space="preserve"> </w:t>
      </w:r>
      <w:r w:rsidR="00364569">
        <w:t>s</w:t>
      </w:r>
      <w:r w:rsidR="00CE70A0">
        <w:t xml:space="preserve">ecretariat’s </w:t>
      </w:r>
      <w:r>
        <w:t>core responsibilities.</w:t>
      </w:r>
    </w:p>
    <w:p w14:paraId="6EE5AAF3" w14:textId="1F24CE7B" w:rsidR="00530BA8" w:rsidRDefault="00530BA8" w:rsidP="00CE70A0">
      <w:pPr>
        <w:ind w:left="426" w:hanging="426"/>
      </w:pPr>
      <w:r w:rsidRPr="00AC05DB">
        <w:fldChar w:fldCharType="begin"/>
      </w:r>
      <w:r w:rsidRPr="00AC05DB">
        <w:instrText xml:space="preserve"> AUTONUM </w:instrText>
      </w:r>
      <w:r w:rsidRPr="00AC05DB">
        <w:fldChar w:fldCharType="end"/>
      </w:r>
      <w:r>
        <w:tab/>
      </w:r>
      <w:r w:rsidRPr="00AC05DB">
        <w:t xml:space="preserve">Progress with </w:t>
      </w:r>
      <w:r w:rsidR="00CE70A0" w:rsidRPr="00AC05DB">
        <w:t>AANZFTA</w:t>
      </w:r>
      <w:r w:rsidR="00CE70A0">
        <w:t xml:space="preserve"> </w:t>
      </w:r>
      <w:r w:rsidRPr="00AC05DB">
        <w:t xml:space="preserve">wide communications and outreach, and with </w:t>
      </w:r>
      <w:r>
        <w:t>monitoring and evaluation</w:t>
      </w:r>
      <w:r w:rsidR="00CE70A0">
        <w:t xml:space="preserve">, </w:t>
      </w:r>
      <w:r w:rsidRPr="00AC05DB">
        <w:t>have not</w:t>
      </w:r>
      <w:r>
        <w:t xml:space="preserve"> always</w:t>
      </w:r>
      <w:r w:rsidRPr="00AC05DB">
        <w:t xml:space="preserve"> matched AECSP design expectations.</w:t>
      </w:r>
      <w:r>
        <w:t xml:space="preserve"> More needs to be done to document and disseminate </w:t>
      </w:r>
      <w:r w:rsidR="00B10D1C">
        <w:t>evidence-based</w:t>
      </w:r>
      <w:r>
        <w:t xml:space="preserve"> arguments of the link between program</w:t>
      </w:r>
      <w:r w:rsidR="00364569">
        <w:t xml:space="preserve"> </w:t>
      </w:r>
      <w:r>
        <w:t>supported activities and results that can be expected to contribute to development outcomes.</w:t>
      </w:r>
    </w:p>
    <w:p w14:paraId="7BDC297B" w14:textId="493C364A" w:rsidR="00530BA8" w:rsidRPr="00AC05DB" w:rsidRDefault="00530BA8" w:rsidP="00CE70A0">
      <w:pPr>
        <w:ind w:left="426" w:hanging="426"/>
      </w:pPr>
      <w:r w:rsidRPr="00AC05DB">
        <w:fldChar w:fldCharType="begin"/>
      </w:r>
      <w:r w:rsidRPr="00AC05DB">
        <w:instrText xml:space="preserve"> AUTONUM </w:instrText>
      </w:r>
      <w:r w:rsidRPr="00AC05DB">
        <w:fldChar w:fldCharType="end"/>
      </w:r>
      <w:r>
        <w:tab/>
      </w:r>
      <w:r w:rsidRPr="00AC05DB">
        <w:t xml:space="preserve">The program is innovative in several important ways that may be of broader interest to the development community including: </w:t>
      </w:r>
    </w:p>
    <w:p w14:paraId="4830419A" w14:textId="3F7C05E9" w:rsidR="00530BA8" w:rsidRPr="00AC05DB" w:rsidRDefault="00CE70A0" w:rsidP="00CE70A0">
      <w:pPr>
        <w:pStyle w:val="List2"/>
        <w:numPr>
          <w:ilvl w:val="0"/>
          <w:numId w:val="56"/>
        </w:numPr>
        <w:ind w:hanging="654"/>
      </w:pPr>
      <w:r>
        <w:t>t</w:t>
      </w:r>
      <w:r w:rsidRPr="00AC05DB">
        <w:t xml:space="preserve">his </w:t>
      </w:r>
      <w:r w:rsidR="00530BA8" w:rsidRPr="00AC05DB">
        <w:t>is the first free trade agreement Australia has signed which includes an economic cooperation program. Embedding a broader trade and investment development agenda in a free trade agreement delivers a practical development modality that bridges the trade–aid agenda</w:t>
      </w:r>
    </w:p>
    <w:p w14:paraId="7E519CC3" w14:textId="4323440B" w:rsidR="00530BA8" w:rsidRPr="00AC05DB" w:rsidRDefault="00CE70A0" w:rsidP="00CE70A0">
      <w:pPr>
        <w:pStyle w:val="List2"/>
        <w:numPr>
          <w:ilvl w:val="0"/>
          <w:numId w:val="56"/>
        </w:numPr>
        <w:ind w:hanging="654"/>
      </w:pPr>
      <w:r>
        <w:t>t</w:t>
      </w:r>
      <w:r w:rsidRPr="00AC05DB">
        <w:t xml:space="preserve">he </w:t>
      </w:r>
      <w:r w:rsidR="00530BA8">
        <w:t xml:space="preserve">strong </w:t>
      </w:r>
      <w:r w:rsidR="00530BA8" w:rsidRPr="00AC05DB">
        <w:t xml:space="preserve">shared ownership of </w:t>
      </w:r>
      <w:r w:rsidR="00530BA8">
        <w:t xml:space="preserve">the </w:t>
      </w:r>
      <w:r w:rsidR="00530BA8" w:rsidRPr="00AC05DB">
        <w:t>program by those implementing the agreement.</w:t>
      </w:r>
      <w:r w:rsidR="00530BA8">
        <w:t xml:space="preserve"> This has been reflected in the substantial in-kind contributions provided (especially staff time) for program planning and implementation activities by </w:t>
      </w:r>
      <w:r>
        <w:t xml:space="preserve">the </w:t>
      </w:r>
      <w:r w:rsidR="00FA23AA">
        <w:t xml:space="preserve">ASEAN </w:t>
      </w:r>
      <w:r>
        <w:t>Secretariat</w:t>
      </w:r>
      <w:r w:rsidR="00530BA8">
        <w:t xml:space="preserve">, </w:t>
      </w:r>
      <w:r w:rsidRPr="00CE70A0">
        <w:t>ASEAN member states</w:t>
      </w:r>
      <w:r w:rsidR="00530BA8">
        <w:t xml:space="preserve">, and Australian and New Zealand government agencies </w:t>
      </w:r>
    </w:p>
    <w:p w14:paraId="1BF7F3A8" w14:textId="566C54AD" w:rsidR="00530BA8" w:rsidRPr="00AC05DB" w:rsidRDefault="00CE70A0" w:rsidP="00CE70A0">
      <w:pPr>
        <w:pStyle w:val="List2"/>
        <w:numPr>
          <w:ilvl w:val="0"/>
          <w:numId w:val="56"/>
        </w:numPr>
        <w:ind w:hanging="654"/>
      </w:pPr>
      <w:r>
        <w:rPr>
          <w:lang w:val="en-US"/>
        </w:rPr>
        <w:t>c</w:t>
      </w:r>
      <w:r w:rsidRPr="00AC05DB">
        <w:rPr>
          <w:lang w:val="en-US"/>
        </w:rPr>
        <w:t>ross</w:t>
      </w:r>
      <w:r w:rsidR="00530BA8" w:rsidRPr="00AC05DB">
        <w:rPr>
          <w:lang w:val="en-US"/>
        </w:rPr>
        <w:t xml:space="preserve">-pillar collaboration within </w:t>
      </w:r>
      <w:r>
        <w:rPr>
          <w:lang w:val="en-US"/>
        </w:rPr>
        <w:t xml:space="preserve">the </w:t>
      </w:r>
      <w:r w:rsidR="00FA23AA">
        <w:rPr>
          <w:lang w:val="en-US"/>
        </w:rPr>
        <w:t xml:space="preserve">ASEAN </w:t>
      </w:r>
      <w:r>
        <w:t>Secretariat</w:t>
      </w:r>
      <w:r w:rsidR="00364569">
        <w:t>. F</w:t>
      </w:r>
      <w:r>
        <w:rPr>
          <w:lang w:val="en-US"/>
        </w:rPr>
        <w:t>or example</w:t>
      </w:r>
      <w:r w:rsidR="00530BA8">
        <w:rPr>
          <w:lang w:val="en-US"/>
        </w:rPr>
        <w:t xml:space="preserve">, </w:t>
      </w:r>
      <w:r w:rsidR="00530BA8" w:rsidRPr="00AC05DB">
        <w:rPr>
          <w:lang w:val="en-US"/>
        </w:rPr>
        <w:t>the national qualification framework project which led to establish</w:t>
      </w:r>
      <w:r>
        <w:rPr>
          <w:lang w:val="en-US"/>
        </w:rPr>
        <w:t xml:space="preserve">ing </w:t>
      </w:r>
      <w:r w:rsidR="00530BA8">
        <w:rPr>
          <w:lang w:val="en-US"/>
        </w:rPr>
        <w:t xml:space="preserve">in October 2012 </w:t>
      </w:r>
      <w:r w:rsidR="00530BA8" w:rsidRPr="00AC05DB">
        <w:rPr>
          <w:lang w:val="en-US"/>
        </w:rPr>
        <w:t>mechanisms for ongoing collaboration between the different</w:t>
      </w:r>
      <w:r w:rsidR="00530BA8">
        <w:rPr>
          <w:lang w:val="en-US"/>
        </w:rPr>
        <w:t xml:space="preserve"> </w:t>
      </w:r>
      <w:r w:rsidR="00FA23AA">
        <w:rPr>
          <w:lang w:val="en-US"/>
        </w:rPr>
        <w:t xml:space="preserve">ASEAN </w:t>
      </w:r>
      <w:r>
        <w:t xml:space="preserve">Secretariat </w:t>
      </w:r>
      <w:r w:rsidR="00530BA8">
        <w:rPr>
          <w:lang w:val="en-US"/>
        </w:rPr>
        <w:t>divisions responsible for</w:t>
      </w:r>
      <w:r w:rsidR="00530BA8" w:rsidRPr="00AC05DB">
        <w:rPr>
          <w:lang w:val="en-US"/>
        </w:rPr>
        <w:t xml:space="preserve"> </w:t>
      </w:r>
      <w:r w:rsidR="00530BA8">
        <w:rPr>
          <w:lang w:val="en-US"/>
        </w:rPr>
        <w:t>trade in services, education, and migration</w:t>
      </w:r>
      <w:r w:rsidR="00530BA8" w:rsidRPr="00AC05DB">
        <w:rPr>
          <w:lang w:val="en-US"/>
        </w:rPr>
        <w:t xml:space="preserve">. </w:t>
      </w:r>
    </w:p>
    <w:p w14:paraId="124B2F9A" w14:textId="77777777" w:rsidR="00530BA8" w:rsidRPr="00AC05DB" w:rsidRDefault="00530BA8" w:rsidP="00530BA8">
      <w:pPr>
        <w:pStyle w:val="Heading3"/>
      </w:pPr>
      <w:r>
        <w:t>Recommendations</w:t>
      </w:r>
    </w:p>
    <w:p w14:paraId="696DE9EE" w14:textId="39FDFBC2" w:rsidR="00530BA8" w:rsidRPr="00AC05DB" w:rsidRDefault="00530BA8" w:rsidP="00530BA8">
      <w:pPr>
        <w:pStyle w:val="Heading4"/>
      </w:pPr>
      <w:r w:rsidRPr="00AC05DB">
        <w:t xml:space="preserve">Strengthen engagement with </w:t>
      </w:r>
      <w:r w:rsidR="00FA23AA">
        <w:t xml:space="preserve">ASEAN </w:t>
      </w:r>
      <w:r w:rsidR="00CE70A0">
        <w:t xml:space="preserve">Secretariat </w:t>
      </w:r>
      <w:r w:rsidRPr="00AC05DB">
        <w:t>leadership</w:t>
      </w:r>
    </w:p>
    <w:p w14:paraId="38B43823" w14:textId="082F1535" w:rsidR="00530BA8" w:rsidRPr="00AC05DB" w:rsidRDefault="00530BA8" w:rsidP="00530BA8">
      <w:pPr>
        <w:pStyle w:val="ListParagraph"/>
        <w:numPr>
          <w:ilvl w:val="0"/>
          <w:numId w:val="35"/>
        </w:numPr>
        <w:rPr>
          <w:lang w:val="en-US"/>
        </w:rPr>
      </w:pPr>
      <w:r w:rsidRPr="00AC05DB">
        <w:rPr>
          <w:lang w:val="en-US"/>
        </w:rPr>
        <w:t xml:space="preserve">Strengthen communications between </w:t>
      </w:r>
      <w:r w:rsidR="00FA23AA">
        <w:rPr>
          <w:lang w:val="en-US"/>
        </w:rPr>
        <w:t xml:space="preserve">ASEAN </w:t>
      </w:r>
      <w:r w:rsidR="00CE70A0">
        <w:t xml:space="preserve">Secretariat </w:t>
      </w:r>
      <w:r w:rsidRPr="00AC05DB">
        <w:rPr>
          <w:lang w:val="en-US"/>
        </w:rPr>
        <w:t>leadership</w:t>
      </w:r>
      <w:r>
        <w:rPr>
          <w:lang w:val="en-US"/>
        </w:rPr>
        <w:t>, AusAID</w:t>
      </w:r>
      <w:r w:rsidRPr="00AC05DB">
        <w:rPr>
          <w:lang w:val="en-US"/>
        </w:rPr>
        <w:t xml:space="preserve"> and </w:t>
      </w:r>
      <w:r w:rsidRPr="00A44EE1">
        <w:rPr>
          <w:lang w:val="en-US"/>
        </w:rPr>
        <w:t xml:space="preserve">AANZFTA </w:t>
      </w:r>
      <w:r w:rsidR="00CE70A0">
        <w:rPr>
          <w:lang w:val="en-US"/>
        </w:rPr>
        <w:t>p</w:t>
      </w:r>
      <w:r w:rsidR="00CE70A0" w:rsidRPr="00A44EE1">
        <w:rPr>
          <w:lang w:val="en-US"/>
        </w:rPr>
        <w:t>arties</w:t>
      </w:r>
      <w:r w:rsidR="00CE70A0" w:rsidRPr="00AC05DB">
        <w:rPr>
          <w:lang w:val="en-US"/>
        </w:rPr>
        <w:t xml:space="preserve"> </w:t>
      </w:r>
      <w:r w:rsidRPr="00AC05DB">
        <w:rPr>
          <w:lang w:val="en-US"/>
        </w:rPr>
        <w:t>around program issues, including more substantive discussion of p</w:t>
      </w:r>
      <w:r>
        <w:rPr>
          <w:lang w:val="en-US"/>
        </w:rPr>
        <w:t>rogram outcomes and constraints</w:t>
      </w:r>
      <w:r w:rsidRPr="00AC05DB">
        <w:rPr>
          <w:lang w:val="en-US"/>
        </w:rPr>
        <w:t xml:space="preserve">. </w:t>
      </w:r>
    </w:p>
    <w:p w14:paraId="74DA6709" w14:textId="1DA563E6" w:rsidR="00530BA8" w:rsidRPr="00AC05DB" w:rsidRDefault="00530BA8" w:rsidP="00530BA8">
      <w:pPr>
        <w:pStyle w:val="ListParagraph"/>
        <w:numPr>
          <w:ilvl w:val="0"/>
          <w:numId w:val="35"/>
        </w:numPr>
        <w:rPr>
          <w:lang w:val="en-US"/>
        </w:rPr>
      </w:pPr>
      <w:r>
        <w:rPr>
          <w:lang w:val="en-US"/>
        </w:rPr>
        <w:t xml:space="preserve">Raise </w:t>
      </w:r>
      <w:r w:rsidR="00FA23AA">
        <w:rPr>
          <w:lang w:val="en-US"/>
        </w:rPr>
        <w:t xml:space="preserve">ASEAN </w:t>
      </w:r>
      <w:r w:rsidR="00CE70A0">
        <w:t xml:space="preserve">Secretariat </w:t>
      </w:r>
      <w:r>
        <w:rPr>
          <w:lang w:val="en-US"/>
        </w:rPr>
        <w:t>leadership awareness of</w:t>
      </w:r>
      <w:r w:rsidRPr="00AC05DB">
        <w:rPr>
          <w:lang w:val="en-US"/>
        </w:rPr>
        <w:t xml:space="preserve"> the alignment between</w:t>
      </w:r>
      <w:r>
        <w:rPr>
          <w:lang w:val="en-US"/>
        </w:rPr>
        <w:t xml:space="preserve"> key</w:t>
      </w:r>
      <w:r w:rsidRPr="00AC05DB">
        <w:rPr>
          <w:lang w:val="en-US"/>
        </w:rPr>
        <w:t xml:space="preserve"> AECSP results targets and </w:t>
      </w:r>
      <w:r w:rsidR="00CE70A0">
        <w:rPr>
          <w:lang w:val="en-US"/>
        </w:rPr>
        <w:t xml:space="preserve">the </w:t>
      </w:r>
      <w:r w:rsidR="00CE70A0">
        <w:t>secretariat’s</w:t>
      </w:r>
      <w:r w:rsidR="00FA23AA">
        <w:rPr>
          <w:lang w:val="en-US"/>
        </w:rPr>
        <w:t xml:space="preserve"> </w:t>
      </w:r>
      <w:r w:rsidRPr="00AC05DB">
        <w:rPr>
          <w:lang w:val="en-US"/>
        </w:rPr>
        <w:t xml:space="preserve">core </w:t>
      </w:r>
      <w:r>
        <w:rPr>
          <w:lang w:val="en-US"/>
        </w:rPr>
        <w:t>responsibilities</w:t>
      </w:r>
      <w:r w:rsidRPr="00AC05DB">
        <w:rPr>
          <w:lang w:val="en-US"/>
        </w:rPr>
        <w:t xml:space="preserve"> (</w:t>
      </w:r>
      <w:r w:rsidR="00CE70A0">
        <w:rPr>
          <w:lang w:val="en-US"/>
        </w:rPr>
        <w:t>for example</w:t>
      </w:r>
      <w:r w:rsidRPr="00AC05DB">
        <w:rPr>
          <w:lang w:val="en-US"/>
        </w:rPr>
        <w:t xml:space="preserve"> as outlined in </w:t>
      </w:r>
      <w:r w:rsidR="00CE70A0" w:rsidRPr="002915C2">
        <w:rPr>
          <w:lang w:eastAsia="en-AU"/>
        </w:rPr>
        <w:t>ASEAN Economic Community</w:t>
      </w:r>
      <w:r w:rsidR="00CE70A0" w:rsidRPr="00AC05DB" w:rsidDel="00CE70A0">
        <w:rPr>
          <w:lang w:val="en-US"/>
        </w:rPr>
        <w:t xml:space="preserve"> </w:t>
      </w:r>
      <w:r w:rsidRPr="00AC05DB">
        <w:rPr>
          <w:lang w:val="en-US"/>
        </w:rPr>
        <w:t xml:space="preserve">blueprint) so the </w:t>
      </w:r>
      <w:r>
        <w:rPr>
          <w:lang w:val="en-US"/>
        </w:rPr>
        <w:t xml:space="preserve">potential AECSP </w:t>
      </w:r>
      <w:r w:rsidRPr="00AC05DB">
        <w:rPr>
          <w:lang w:val="en-US"/>
        </w:rPr>
        <w:t xml:space="preserve">benefits </w:t>
      </w:r>
      <w:r>
        <w:rPr>
          <w:lang w:val="en-US"/>
        </w:rPr>
        <w:t xml:space="preserve">to </w:t>
      </w:r>
      <w:r w:rsidR="00CE70A0">
        <w:rPr>
          <w:lang w:val="en-US"/>
        </w:rPr>
        <w:t xml:space="preserve">the </w:t>
      </w:r>
      <w:r w:rsidR="00FA23AA">
        <w:rPr>
          <w:lang w:val="en-US"/>
        </w:rPr>
        <w:t xml:space="preserve">ASEAN </w:t>
      </w:r>
      <w:r w:rsidR="00CE70A0">
        <w:t xml:space="preserve">Secretariat </w:t>
      </w:r>
      <w:r w:rsidRPr="00AC05DB">
        <w:rPr>
          <w:lang w:val="en-US"/>
        </w:rPr>
        <w:t>are better understood.</w:t>
      </w:r>
      <w:r>
        <w:rPr>
          <w:lang w:val="en-US"/>
        </w:rPr>
        <w:t xml:space="preserve"> </w:t>
      </w:r>
      <w:r w:rsidRPr="009B77FC">
        <w:t>It could be argued that nearly all capacity</w:t>
      </w:r>
      <w:r w:rsidR="00995E2D">
        <w:t xml:space="preserve"> </w:t>
      </w:r>
      <w:r w:rsidRPr="009B77FC">
        <w:t xml:space="preserve">building activities </w:t>
      </w:r>
      <w:r>
        <w:t>are linked to</w:t>
      </w:r>
      <w:r w:rsidRPr="009B77FC">
        <w:t xml:space="preserve"> </w:t>
      </w:r>
      <w:r w:rsidR="00995E2D">
        <w:t>the</w:t>
      </w:r>
      <w:r w:rsidR="00FA23AA">
        <w:t xml:space="preserve"> </w:t>
      </w:r>
      <w:r w:rsidR="00995E2D">
        <w:t>s</w:t>
      </w:r>
      <w:r w:rsidR="00CE70A0">
        <w:t>ecretariat</w:t>
      </w:r>
      <w:r w:rsidRPr="009B77FC">
        <w:t xml:space="preserve">’s core </w:t>
      </w:r>
      <w:r>
        <w:t>responsibilities</w:t>
      </w:r>
      <w:r w:rsidRPr="009B77FC">
        <w:t>.</w:t>
      </w:r>
      <w:r w:rsidR="005856D4">
        <w:t xml:space="preserve"> </w:t>
      </w:r>
      <w:r w:rsidRPr="009B77FC">
        <w:t>The exceptions may</w:t>
      </w:r>
      <w:r w:rsidR="00364569">
        <w:t xml:space="preserve"> </w:t>
      </w:r>
      <w:r w:rsidRPr="009B77FC">
        <w:t>be the relatively limited activities that are designed to publicise AA</w:t>
      </w:r>
      <w:r>
        <w:t xml:space="preserve">NZFTA or to enable compliance. </w:t>
      </w:r>
      <w:r w:rsidRPr="009B77FC">
        <w:t xml:space="preserve">Activities such as training </w:t>
      </w:r>
      <w:r>
        <w:t xml:space="preserve">on </w:t>
      </w:r>
      <w:r w:rsidR="00995E2D">
        <w:t xml:space="preserve">rules </w:t>
      </w:r>
      <w:r>
        <w:t xml:space="preserve">of </w:t>
      </w:r>
      <w:r w:rsidR="00995E2D">
        <w:t>origin</w:t>
      </w:r>
      <w:r>
        <w:t>,</w:t>
      </w:r>
      <w:r w:rsidRPr="009B77FC">
        <w:t xml:space="preserve"> the transposition of ta</w:t>
      </w:r>
      <w:r>
        <w:t xml:space="preserve">riff schedules to the latest </w:t>
      </w:r>
      <w:r w:rsidR="00087F92">
        <w:t>Harmonised System</w:t>
      </w:r>
      <w:r>
        <w:t xml:space="preserve"> competition policy and intellectual property </w:t>
      </w:r>
      <w:r w:rsidRPr="009B77FC">
        <w:t xml:space="preserve">will </w:t>
      </w:r>
      <w:r>
        <w:t>help</w:t>
      </w:r>
      <w:r w:rsidRPr="009B77FC">
        <w:t xml:space="preserve"> </w:t>
      </w:r>
      <w:r>
        <w:t xml:space="preserve">improve the competitiveness of </w:t>
      </w:r>
      <w:r w:rsidR="00995E2D">
        <w:t>ASEAN member state</w:t>
      </w:r>
      <w:r w:rsidR="00995E2D" w:rsidRPr="00995E2D" w:rsidDel="00995E2D">
        <w:t xml:space="preserve"> </w:t>
      </w:r>
      <w:r>
        <w:t xml:space="preserve">economies, and will help with implementation of other trade and investment agreements. </w:t>
      </w:r>
    </w:p>
    <w:p w14:paraId="79AFB9AE" w14:textId="1FBDD253" w:rsidR="00530BA8" w:rsidRDefault="00530BA8" w:rsidP="00530BA8">
      <w:pPr>
        <w:pStyle w:val="ListParagraph"/>
        <w:numPr>
          <w:ilvl w:val="0"/>
          <w:numId w:val="35"/>
        </w:numPr>
        <w:rPr>
          <w:lang w:val="en-US"/>
        </w:rPr>
      </w:pPr>
      <w:r w:rsidRPr="00AC05DB">
        <w:rPr>
          <w:lang w:val="en-US"/>
        </w:rPr>
        <w:t xml:space="preserve">Improve strategic and </w:t>
      </w:r>
      <w:r>
        <w:rPr>
          <w:lang w:val="en-US"/>
        </w:rPr>
        <w:t xml:space="preserve">summary </w:t>
      </w:r>
      <w:r w:rsidRPr="00AC05DB">
        <w:rPr>
          <w:lang w:val="en-US"/>
        </w:rPr>
        <w:t>results</w:t>
      </w:r>
      <w:r w:rsidR="00995E2D">
        <w:rPr>
          <w:lang w:val="en-US"/>
        </w:rPr>
        <w:t xml:space="preserve"> </w:t>
      </w:r>
      <w:r w:rsidRPr="00AC05DB">
        <w:rPr>
          <w:lang w:val="en-US"/>
        </w:rPr>
        <w:t xml:space="preserve">focused reporting to </w:t>
      </w:r>
      <w:r w:rsidR="00FA23AA">
        <w:rPr>
          <w:lang w:val="en-US"/>
        </w:rPr>
        <w:t xml:space="preserve">ASEAN </w:t>
      </w:r>
      <w:r w:rsidR="00CE70A0">
        <w:t xml:space="preserve">Secretariat </w:t>
      </w:r>
      <w:r w:rsidRPr="00AC05DB">
        <w:rPr>
          <w:lang w:val="en-US"/>
        </w:rPr>
        <w:t>leadership.</w:t>
      </w:r>
    </w:p>
    <w:p w14:paraId="65733A53" w14:textId="77777777" w:rsidR="00530BA8" w:rsidRPr="00AC05DB" w:rsidRDefault="00530BA8" w:rsidP="00530BA8">
      <w:pPr>
        <w:pStyle w:val="ListParagraph"/>
        <w:rPr>
          <w:lang w:val="en-US"/>
        </w:rPr>
      </w:pPr>
    </w:p>
    <w:p w14:paraId="10917492" w14:textId="77777777" w:rsidR="00530BA8" w:rsidRPr="00AC05DB" w:rsidRDefault="00530BA8" w:rsidP="00530BA8">
      <w:pPr>
        <w:pStyle w:val="Heading4"/>
      </w:pPr>
      <w:r w:rsidRPr="00AC05DB">
        <w:lastRenderedPageBreak/>
        <w:t>AusAID management</w:t>
      </w:r>
    </w:p>
    <w:p w14:paraId="3731C687" w14:textId="77777777" w:rsidR="00530BA8" w:rsidRPr="00AC05DB" w:rsidRDefault="00530BA8" w:rsidP="00530BA8">
      <w:pPr>
        <w:pStyle w:val="ListParagraph"/>
        <w:numPr>
          <w:ilvl w:val="0"/>
          <w:numId w:val="36"/>
        </w:numPr>
        <w:rPr>
          <w:lang w:val="en-US"/>
        </w:rPr>
      </w:pPr>
      <w:r w:rsidRPr="00AC05DB">
        <w:rPr>
          <w:lang w:val="en-US"/>
        </w:rPr>
        <w:t xml:space="preserve">Delegate responsibility for AusAID management of AECSP to its Jakarta office at a pace appropriate to resources and management timeframes. </w:t>
      </w:r>
    </w:p>
    <w:p w14:paraId="0B99F972" w14:textId="503A7EF0" w:rsidR="00530BA8" w:rsidRPr="00AC05DB" w:rsidRDefault="00530BA8" w:rsidP="00530BA8">
      <w:pPr>
        <w:pStyle w:val="ListParagraph"/>
        <w:numPr>
          <w:ilvl w:val="1"/>
          <w:numId w:val="36"/>
        </w:numPr>
        <w:rPr>
          <w:lang w:val="en-US"/>
        </w:rPr>
      </w:pPr>
      <w:r w:rsidRPr="00AC05DB">
        <w:rPr>
          <w:lang w:val="en-US"/>
        </w:rPr>
        <w:t xml:space="preserve">AusAID Jakarta should continue working with </w:t>
      </w:r>
      <w:r w:rsidR="00364569">
        <w:rPr>
          <w:lang w:val="en-US"/>
        </w:rPr>
        <w:t xml:space="preserve">the </w:t>
      </w:r>
      <w:r w:rsidRPr="00AC05DB">
        <w:rPr>
          <w:lang w:val="en-US"/>
        </w:rPr>
        <w:t xml:space="preserve">AECSP </w:t>
      </w:r>
      <w:r>
        <w:rPr>
          <w:lang w:val="en-US"/>
        </w:rPr>
        <w:t xml:space="preserve">and </w:t>
      </w:r>
      <w:r w:rsidR="00995E2D" w:rsidRPr="00995E2D">
        <w:t>ASEAN Australia Development Cooperation Project: Phase II</w:t>
      </w:r>
      <w:r w:rsidR="00995E2D" w:rsidRPr="00995E2D" w:rsidDel="00995E2D">
        <w:rPr>
          <w:lang w:val="en-US"/>
        </w:rPr>
        <w:t xml:space="preserve"> </w:t>
      </w:r>
      <w:r w:rsidRPr="00AC05DB">
        <w:rPr>
          <w:lang w:val="en-US"/>
        </w:rPr>
        <w:t>teams to build joint learning and collaboration as opportunities permits.</w:t>
      </w:r>
    </w:p>
    <w:p w14:paraId="2D033A12" w14:textId="4AFEB064" w:rsidR="00530BA8" w:rsidRPr="00AC05DB" w:rsidRDefault="00530BA8" w:rsidP="00530BA8">
      <w:pPr>
        <w:pStyle w:val="ListParagraph"/>
        <w:numPr>
          <w:ilvl w:val="1"/>
          <w:numId w:val="36"/>
        </w:numPr>
        <w:rPr>
          <w:lang w:val="en-US"/>
        </w:rPr>
      </w:pPr>
      <w:r w:rsidRPr="00AC05DB">
        <w:rPr>
          <w:lang w:val="en-US"/>
        </w:rPr>
        <w:t xml:space="preserve">Consider options for enhancing AECSP and </w:t>
      </w:r>
      <w:r w:rsidR="00995E2D" w:rsidRPr="00995E2D">
        <w:rPr>
          <w:bCs/>
        </w:rPr>
        <w:t>ASEAN Australia Development Cooperation Project: Phase II</w:t>
      </w:r>
      <w:r w:rsidR="00995E2D" w:rsidRPr="00995E2D" w:rsidDel="00995E2D">
        <w:rPr>
          <w:bCs/>
          <w:lang w:val="en-US"/>
        </w:rPr>
        <w:t xml:space="preserve"> </w:t>
      </w:r>
      <w:r w:rsidRPr="00AC05DB">
        <w:rPr>
          <w:lang w:val="en-US"/>
        </w:rPr>
        <w:t xml:space="preserve">collaboration to improve communications, reporting and linkages with </w:t>
      </w:r>
      <w:r w:rsidR="00FA23AA">
        <w:rPr>
          <w:lang w:val="en-US"/>
        </w:rPr>
        <w:t xml:space="preserve">ASEAN </w:t>
      </w:r>
      <w:r w:rsidR="00995E2D">
        <w:rPr>
          <w:lang w:val="en-US"/>
        </w:rPr>
        <w:t xml:space="preserve">Secretariat </w:t>
      </w:r>
      <w:r w:rsidRPr="00AC05DB">
        <w:rPr>
          <w:lang w:val="en-US"/>
        </w:rPr>
        <w:t>leadership and between the two programs.</w:t>
      </w:r>
    </w:p>
    <w:p w14:paraId="6FD78C18" w14:textId="77777777" w:rsidR="00530BA8" w:rsidRPr="00EE2C55" w:rsidRDefault="00530BA8" w:rsidP="00530BA8">
      <w:pPr>
        <w:pStyle w:val="ListParagraph"/>
        <w:numPr>
          <w:ilvl w:val="0"/>
          <w:numId w:val="36"/>
        </w:numPr>
        <w:rPr>
          <w:lang w:val="en-US"/>
        </w:rPr>
      </w:pPr>
      <w:r>
        <w:rPr>
          <w:lang w:val="en-US"/>
        </w:rPr>
        <w:t xml:space="preserve">Explore and support options </w:t>
      </w:r>
      <w:r w:rsidRPr="00AC05DB">
        <w:rPr>
          <w:lang w:val="en-US"/>
        </w:rPr>
        <w:t xml:space="preserve">to enhance linkages between AECSP </w:t>
      </w:r>
      <w:r>
        <w:rPr>
          <w:lang w:val="en-US"/>
        </w:rPr>
        <w:t>and other</w:t>
      </w:r>
      <w:r w:rsidRPr="00AC05DB">
        <w:rPr>
          <w:lang w:val="en-US"/>
        </w:rPr>
        <w:t xml:space="preserve"> bilateral ASEAN country programs</w:t>
      </w:r>
      <w:r>
        <w:rPr>
          <w:lang w:val="en-US"/>
        </w:rPr>
        <w:t xml:space="preserve"> (especially AusAID funded programs)</w:t>
      </w:r>
      <w:r w:rsidRPr="00AC05DB">
        <w:rPr>
          <w:lang w:val="en-US"/>
        </w:rPr>
        <w:t xml:space="preserve"> targeting economic, trade and investment reforms.</w:t>
      </w:r>
    </w:p>
    <w:p w14:paraId="3B266077" w14:textId="77777777" w:rsidR="00530BA8" w:rsidRPr="00AC05DB" w:rsidRDefault="00530BA8" w:rsidP="00530BA8">
      <w:pPr>
        <w:pStyle w:val="Heading4"/>
      </w:pPr>
      <w:r w:rsidRPr="00AC05DB">
        <w:t xml:space="preserve">Program </w:t>
      </w:r>
      <w:r>
        <w:t xml:space="preserve">level </w:t>
      </w:r>
      <w:r w:rsidRPr="00AC05DB">
        <w:t>planning</w:t>
      </w:r>
      <w:r>
        <w:t>,</w:t>
      </w:r>
      <w:r w:rsidRPr="00AC05DB">
        <w:t xml:space="preserve"> management</w:t>
      </w:r>
      <w:r w:rsidRPr="00B13DCC">
        <w:t xml:space="preserve"> </w:t>
      </w:r>
      <w:r w:rsidRPr="00AC05DB">
        <w:t>and</w:t>
      </w:r>
      <w:r>
        <w:t xml:space="preserve"> governance</w:t>
      </w:r>
    </w:p>
    <w:p w14:paraId="4A4F96DD" w14:textId="4DAE8A62" w:rsidR="00530BA8" w:rsidRPr="00AC05DB" w:rsidRDefault="00530BA8" w:rsidP="00530BA8">
      <w:pPr>
        <w:pStyle w:val="ListParagraph"/>
        <w:numPr>
          <w:ilvl w:val="0"/>
          <w:numId w:val="37"/>
        </w:numPr>
        <w:rPr>
          <w:lang w:val="en-US"/>
        </w:rPr>
      </w:pPr>
      <w:r w:rsidRPr="00AC05DB">
        <w:rPr>
          <w:lang w:val="en-US"/>
        </w:rPr>
        <w:t xml:space="preserve">Continue to be guided by </w:t>
      </w:r>
      <w:r w:rsidR="00FA23AA">
        <w:rPr>
          <w:lang w:val="en-US"/>
        </w:rPr>
        <w:t xml:space="preserve">ASEAN </w:t>
      </w:r>
      <w:r w:rsidR="00995E2D">
        <w:rPr>
          <w:lang w:val="en-US"/>
        </w:rPr>
        <w:t xml:space="preserve">Secretariat </w:t>
      </w:r>
      <w:r w:rsidRPr="00AC05DB">
        <w:rPr>
          <w:lang w:val="en-US"/>
        </w:rPr>
        <w:t xml:space="preserve">management guidelines on issues such as reporting, human resources, financial management and </w:t>
      </w:r>
      <w:r>
        <w:rPr>
          <w:lang w:val="en-US"/>
        </w:rPr>
        <w:t xml:space="preserve">transparency in </w:t>
      </w:r>
      <w:r w:rsidRPr="00AC05DB">
        <w:rPr>
          <w:lang w:val="en-US"/>
        </w:rPr>
        <w:t>procurement</w:t>
      </w:r>
      <w:r>
        <w:rPr>
          <w:lang w:val="en-US"/>
        </w:rPr>
        <w:t xml:space="preserve"> and evaluation of program supported activities</w:t>
      </w:r>
      <w:r w:rsidRPr="00AC05DB">
        <w:rPr>
          <w:lang w:val="en-US"/>
        </w:rPr>
        <w:t>.</w:t>
      </w:r>
    </w:p>
    <w:p w14:paraId="6A5B69C2" w14:textId="17F61A0D" w:rsidR="00530BA8" w:rsidRDefault="00530BA8" w:rsidP="00530BA8">
      <w:pPr>
        <w:pStyle w:val="ListParagraph"/>
        <w:numPr>
          <w:ilvl w:val="0"/>
          <w:numId w:val="37"/>
        </w:numPr>
        <w:rPr>
          <w:lang w:val="en-US"/>
        </w:rPr>
      </w:pPr>
      <w:r w:rsidRPr="00AC05DB">
        <w:rPr>
          <w:lang w:val="en-US"/>
        </w:rPr>
        <w:t>Clarify budget sub-committee responsibilities and authority in addressing any concerns they may have about proposals that have already been endorsed by relevant F</w:t>
      </w:r>
      <w:r w:rsidR="00995E2D">
        <w:rPr>
          <w:lang w:val="en-US"/>
        </w:rPr>
        <w:t xml:space="preserve">ree Trade Agreement </w:t>
      </w:r>
      <w:r w:rsidRPr="00AC05DB">
        <w:rPr>
          <w:lang w:val="en-US"/>
        </w:rPr>
        <w:t>J</w:t>
      </w:r>
      <w:r w:rsidR="00995E2D">
        <w:rPr>
          <w:lang w:val="en-US"/>
        </w:rPr>
        <w:t xml:space="preserve">oint </w:t>
      </w:r>
      <w:r w:rsidRPr="00AC05DB">
        <w:rPr>
          <w:lang w:val="en-US"/>
        </w:rPr>
        <w:t>C</w:t>
      </w:r>
      <w:r w:rsidR="00995E2D">
        <w:rPr>
          <w:lang w:val="en-US"/>
        </w:rPr>
        <w:t>ommittee</w:t>
      </w:r>
      <w:r w:rsidRPr="00AC05DB">
        <w:rPr>
          <w:lang w:val="en-US"/>
        </w:rPr>
        <w:t xml:space="preserve"> sub-committees.</w:t>
      </w:r>
    </w:p>
    <w:p w14:paraId="4FF530A3" w14:textId="77777777" w:rsidR="00530BA8" w:rsidRDefault="00530BA8" w:rsidP="00530BA8">
      <w:pPr>
        <w:pStyle w:val="ListParagraph"/>
        <w:numPr>
          <w:ilvl w:val="0"/>
          <w:numId w:val="37"/>
        </w:numPr>
        <w:rPr>
          <w:lang w:val="en-US"/>
        </w:rPr>
      </w:pPr>
      <w:r w:rsidRPr="00AC05DB">
        <w:rPr>
          <w:lang w:val="en-US"/>
        </w:rPr>
        <w:t>Explore options (including improved annual planning processes</w:t>
      </w:r>
      <w:r>
        <w:rPr>
          <w:lang w:val="en-US"/>
        </w:rPr>
        <w:t xml:space="preserve"> and direct support to sector agencies</w:t>
      </w:r>
      <w:r w:rsidRPr="00AC05DB">
        <w:rPr>
          <w:lang w:val="en-US"/>
        </w:rPr>
        <w:t>) to improve the quality o</w:t>
      </w:r>
      <w:r>
        <w:rPr>
          <w:lang w:val="en-US"/>
        </w:rPr>
        <w:t>f proposals for AECSP financing, and to</w:t>
      </w:r>
      <w:r w:rsidRPr="00ED047A">
        <w:rPr>
          <w:lang w:val="en-US"/>
        </w:rPr>
        <w:t xml:space="preserve"> </w:t>
      </w:r>
      <w:r>
        <w:rPr>
          <w:lang w:val="en-US"/>
        </w:rPr>
        <w:t>ensure proposals:</w:t>
      </w:r>
    </w:p>
    <w:p w14:paraId="0C57AC0B" w14:textId="7F9BA8D9" w:rsidR="00530BA8" w:rsidRDefault="00995E2D" w:rsidP="00530BA8">
      <w:pPr>
        <w:pStyle w:val="ListParagraph"/>
        <w:numPr>
          <w:ilvl w:val="1"/>
          <w:numId w:val="37"/>
        </w:numPr>
        <w:rPr>
          <w:lang w:val="en-US"/>
        </w:rPr>
      </w:pPr>
      <w:r>
        <w:rPr>
          <w:lang w:val="en-US"/>
        </w:rPr>
        <w:t xml:space="preserve">are </w:t>
      </w:r>
      <w:r w:rsidR="00530BA8" w:rsidRPr="00AC05DB">
        <w:rPr>
          <w:lang w:val="en-US"/>
        </w:rPr>
        <w:t xml:space="preserve">more strategic and focused </w:t>
      </w:r>
      <w:r w:rsidR="00530BA8">
        <w:rPr>
          <w:lang w:val="en-US"/>
        </w:rPr>
        <w:t xml:space="preserve">on </w:t>
      </w:r>
      <w:r w:rsidR="00530BA8" w:rsidRPr="00AC05DB">
        <w:rPr>
          <w:lang w:val="en-US"/>
        </w:rPr>
        <w:t xml:space="preserve">results </w:t>
      </w:r>
      <w:r w:rsidR="00530BA8">
        <w:rPr>
          <w:lang w:val="en-US"/>
        </w:rPr>
        <w:t>aligned with</w:t>
      </w:r>
      <w:r w:rsidR="00530BA8" w:rsidRPr="00EC7F61">
        <w:rPr>
          <w:lang w:val="en-US"/>
        </w:rPr>
        <w:t xml:space="preserve"> AECSP objectives</w:t>
      </w:r>
      <w:r w:rsidR="00530BA8" w:rsidRPr="00AC05DB">
        <w:rPr>
          <w:lang w:val="en-US"/>
        </w:rPr>
        <w:t xml:space="preserve"> </w:t>
      </w:r>
      <w:r w:rsidR="00530BA8">
        <w:rPr>
          <w:lang w:val="en-US"/>
        </w:rPr>
        <w:t xml:space="preserve">and </w:t>
      </w:r>
      <w:r w:rsidRPr="00237A57">
        <w:rPr>
          <w:lang w:val="en-US"/>
        </w:rPr>
        <w:t>component implementation plans</w:t>
      </w:r>
      <w:r>
        <w:rPr>
          <w:lang w:val="en-US"/>
        </w:rPr>
        <w:t>,</w:t>
      </w:r>
      <w:r w:rsidR="00530BA8">
        <w:rPr>
          <w:rStyle w:val="FootnoteReference"/>
          <w:lang w:val="en-US"/>
        </w:rPr>
        <w:footnoteReference w:id="60"/>
      </w:r>
      <w:r w:rsidR="00530BA8">
        <w:rPr>
          <w:lang w:val="en-US"/>
        </w:rPr>
        <w:t xml:space="preserve"> and include built in results focused </w:t>
      </w:r>
      <w:r>
        <w:rPr>
          <w:lang w:val="en-US"/>
        </w:rPr>
        <w:t>monitoring and evaluation</w:t>
      </w:r>
      <w:r w:rsidR="00530BA8">
        <w:rPr>
          <w:lang w:val="en-US"/>
        </w:rPr>
        <w:t xml:space="preserve"> systems</w:t>
      </w:r>
    </w:p>
    <w:p w14:paraId="1A6FD8C5" w14:textId="2FF36B43" w:rsidR="00530BA8" w:rsidRPr="00237A57" w:rsidRDefault="00995E2D" w:rsidP="00530BA8">
      <w:pPr>
        <w:pStyle w:val="ListParagraph"/>
        <w:numPr>
          <w:ilvl w:val="1"/>
          <w:numId w:val="37"/>
        </w:numPr>
        <w:rPr>
          <w:lang w:val="en-US"/>
        </w:rPr>
      </w:pPr>
      <w:r>
        <w:rPr>
          <w:lang w:val="en-US"/>
        </w:rPr>
        <w:t xml:space="preserve">explore </w:t>
      </w:r>
      <w:r w:rsidR="00530BA8">
        <w:rPr>
          <w:lang w:val="en-US"/>
        </w:rPr>
        <w:t>opportunities for cooperation with other donor funded AECSP projects</w:t>
      </w:r>
    </w:p>
    <w:p w14:paraId="4FDBCEF0" w14:textId="104656F3" w:rsidR="00530BA8" w:rsidRDefault="00995E2D" w:rsidP="00530BA8">
      <w:pPr>
        <w:pStyle w:val="ListParagraph"/>
        <w:numPr>
          <w:ilvl w:val="1"/>
          <w:numId w:val="37"/>
        </w:numPr>
        <w:rPr>
          <w:lang w:val="en-US"/>
        </w:rPr>
      </w:pPr>
      <w:r>
        <w:rPr>
          <w:lang w:val="en-US"/>
        </w:rPr>
        <w:t>d</w:t>
      </w:r>
      <w:r w:rsidRPr="007467C3">
        <w:rPr>
          <w:lang w:val="en-US"/>
        </w:rPr>
        <w:t xml:space="preserve">irectly </w:t>
      </w:r>
      <w:r w:rsidR="00530BA8" w:rsidRPr="007467C3">
        <w:rPr>
          <w:lang w:val="en-US"/>
        </w:rPr>
        <w:t xml:space="preserve">consider what activities (especially institutional building activities) are better done regionally and </w:t>
      </w:r>
      <w:r w:rsidR="00364569">
        <w:rPr>
          <w:lang w:val="en-US"/>
        </w:rPr>
        <w:t>those that</w:t>
      </w:r>
      <w:r w:rsidR="00364569" w:rsidRPr="007467C3">
        <w:rPr>
          <w:lang w:val="en-US"/>
        </w:rPr>
        <w:t xml:space="preserve"> </w:t>
      </w:r>
      <w:r w:rsidR="00530BA8" w:rsidRPr="007467C3">
        <w:rPr>
          <w:lang w:val="en-US"/>
        </w:rPr>
        <w:t>are better done bilaterally</w:t>
      </w:r>
    </w:p>
    <w:p w14:paraId="3E9EB111" w14:textId="2485729B" w:rsidR="00530BA8" w:rsidRDefault="00995E2D" w:rsidP="00530BA8">
      <w:pPr>
        <w:pStyle w:val="ListParagraph"/>
        <w:numPr>
          <w:ilvl w:val="1"/>
          <w:numId w:val="37"/>
        </w:numPr>
        <w:rPr>
          <w:lang w:val="en-US"/>
        </w:rPr>
      </w:pPr>
      <w:r>
        <w:rPr>
          <w:lang w:val="en-US"/>
        </w:rPr>
        <w:t>include</w:t>
      </w:r>
      <w:r w:rsidR="00530BA8">
        <w:rPr>
          <w:lang w:val="en-US"/>
        </w:rPr>
        <w:t>, w</w:t>
      </w:r>
      <w:r w:rsidR="00530BA8" w:rsidRPr="00AC05DB">
        <w:rPr>
          <w:lang w:val="en-US"/>
        </w:rPr>
        <w:t>here appropriate, gender specific results targets</w:t>
      </w:r>
    </w:p>
    <w:p w14:paraId="68FBB7E2" w14:textId="1817209B" w:rsidR="00530BA8" w:rsidRPr="007467C3" w:rsidRDefault="00995E2D" w:rsidP="00530BA8">
      <w:pPr>
        <w:pStyle w:val="ListParagraph"/>
        <w:numPr>
          <w:ilvl w:val="1"/>
          <w:numId w:val="37"/>
        </w:numPr>
        <w:rPr>
          <w:lang w:val="en-US"/>
        </w:rPr>
      </w:pPr>
      <w:r>
        <w:rPr>
          <w:lang w:val="en-US"/>
        </w:rPr>
        <w:t>f</w:t>
      </w:r>
      <w:r w:rsidRPr="007467C3">
        <w:rPr>
          <w:lang w:val="en-US"/>
        </w:rPr>
        <w:t>ocus</w:t>
      </w:r>
      <w:r>
        <w:rPr>
          <w:lang w:val="en-US"/>
        </w:rPr>
        <w:t xml:space="preserve"> </w:t>
      </w:r>
      <w:r w:rsidR="00530BA8">
        <w:rPr>
          <w:lang w:val="en-US"/>
        </w:rPr>
        <w:t>more</w:t>
      </w:r>
      <w:r w:rsidR="00530BA8" w:rsidRPr="007467C3">
        <w:rPr>
          <w:lang w:val="en-US"/>
        </w:rPr>
        <w:t xml:space="preserve"> on longer-term outcomes as opposed to request</w:t>
      </w:r>
      <w:r w:rsidR="00364569">
        <w:rPr>
          <w:lang w:val="en-US"/>
        </w:rPr>
        <w:t>s</w:t>
      </w:r>
      <w:r w:rsidR="00530BA8" w:rsidRPr="007467C3">
        <w:rPr>
          <w:lang w:val="en-US"/>
        </w:rPr>
        <w:t xml:space="preserve"> for support for single activities. The IP Australia and </w:t>
      </w:r>
      <w:r>
        <w:rPr>
          <w:lang w:val="en-US"/>
        </w:rPr>
        <w:t>Department of Agriculture, Fisheries and Forestry</w:t>
      </w:r>
      <w:r w:rsidRPr="007467C3">
        <w:rPr>
          <w:lang w:val="en-US"/>
        </w:rPr>
        <w:t xml:space="preserve"> </w:t>
      </w:r>
      <w:r w:rsidR="00530BA8" w:rsidRPr="007467C3">
        <w:rPr>
          <w:lang w:val="en-US"/>
        </w:rPr>
        <w:t>special service agreements provide potentially replicable models.</w:t>
      </w:r>
    </w:p>
    <w:p w14:paraId="1BCA49B9" w14:textId="2DB77572" w:rsidR="00530BA8" w:rsidRPr="00AC05DB" w:rsidRDefault="00530BA8" w:rsidP="00530BA8">
      <w:pPr>
        <w:pStyle w:val="ListParagraph"/>
        <w:numPr>
          <w:ilvl w:val="0"/>
          <w:numId w:val="37"/>
        </w:numPr>
        <w:rPr>
          <w:lang w:val="en-US"/>
        </w:rPr>
      </w:pPr>
      <w:r w:rsidRPr="00AC05DB">
        <w:rPr>
          <w:lang w:val="en-US"/>
        </w:rPr>
        <w:t xml:space="preserve">Strengthen </w:t>
      </w:r>
      <w:r w:rsidR="00995E2D">
        <w:rPr>
          <w:lang w:val="en-US"/>
        </w:rPr>
        <w:t xml:space="preserve">the </w:t>
      </w:r>
      <w:r w:rsidR="00FA23AA">
        <w:rPr>
          <w:lang w:val="en-US"/>
        </w:rPr>
        <w:t xml:space="preserve">ASEAN </w:t>
      </w:r>
      <w:r w:rsidR="00995E2D">
        <w:rPr>
          <w:lang w:val="en-US"/>
        </w:rPr>
        <w:t xml:space="preserve">Secretariat </w:t>
      </w:r>
      <w:r w:rsidRPr="00AC05DB">
        <w:rPr>
          <w:lang w:val="en-US"/>
        </w:rPr>
        <w:t>information base on related bilateral programs and improve AECSP linkages with complementary bilateral programs.</w:t>
      </w:r>
    </w:p>
    <w:p w14:paraId="3A7AF1E9" w14:textId="77777777" w:rsidR="00530BA8" w:rsidRPr="00AC05DB" w:rsidRDefault="00530BA8" w:rsidP="00530BA8">
      <w:pPr>
        <w:pStyle w:val="Heading4"/>
      </w:pPr>
      <w:r w:rsidRPr="00AC05DB">
        <w:t>Program monitoring</w:t>
      </w:r>
      <w:r>
        <w:t>,</w:t>
      </w:r>
      <w:r w:rsidRPr="00AC05DB">
        <w:t xml:space="preserve"> evaluatio</w:t>
      </w:r>
      <w:r>
        <w:t>n, communication and knowledge management</w:t>
      </w:r>
    </w:p>
    <w:p w14:paraId="199F37DC" w14:textId="230B2E29" w:rsidR="00530BA8" w:rsidRDefault="001608DC" w:rsidP="00530BA8">
      <w:pPr>
        <w:pStyle w:val="ListParagraph"/>
        <w:numPr>
          <w:ilvl w:val="0"/>
          <w:numId w:val="39"/>
        </w:numPr>
        <w:rPr>
          <w:lang w:val="en-US"/>
        </w:rPr>
      </w:pPr>
      <w:r>
        <w:rPr>
          <w:lang w:val="en-US"/>
        </w:rPr>
        <w:t>Allocate r</w:t>
      </w:r>
      <w:r w:rsidR="00530BA8" w:rsidRPr="00AC05DB">
        <w:rPr>
          <w:lang w:val="en-US"/>
        </w:rPr>
        <w:t xml:space="preserve">esources to </w:t>
      </w:r>
      <w:r w:rsidR="00530BA8">
        <w:rPr>
          <w:lang w:val="en-US"/>
        </w:rPr>
        <w:t>better monitor, analy</w:t>
      </w:r>
      <w:r w:rsidR="00465C26">
        <w:rPr>
          <w:lang w:val="en-US"/>
        </w:rPr>
        <w:t>s</w:t>
      </w:r>
      <w:r w:rsidR="00530BA8">
        <w:rPr>
          <w:lang w:val="en-US"/>
        </w:rPr>
        <w:t>e, document and disseminate</w:t>
      </w:r>
      <w:r w:rsidR="00530BA8" w:rsidRPr="00AC05DB">
        <w:rPr>
          <w:lang w:val="en-US"/>
        </w:rPr>
        <w:t xml:space="preserve"> evidence of the </w:t>
      </w:r>
      <w:r w:rsidR="00530BA8">
        <w:rPr>
          <w:lang w:val="en-US"/>
        </w:rPr>
        <w:t>links from</w:t>
      </w:r>
      <w:r w:rsidR="00530BA8" w:rsidRPr="00AC05DB">
        <w:rPr>
          <w:lang w:val="en-US"/>
        </w:rPr>
        <w:t xml:space="preserve"> </w:t>
      </w:r>
      <w:r w:rsidR="00530BA8">
        <w:rPr>
          <w:lang w:val="en-US"/>
        </w:rPr>
        <w:t xml:space="preserve">AECSP </w:t>
      </w:r>
      <w:r w:rsidR="00530BA8" w:rsidRPr="00AC05DB">
        <w:rPr>
          <w:lang w:val="en-US"/>
        </w:rPr>
        <w:t xml:space="preserve">supported activities </w:t>
      </w:r>
      <w:r w:rsidR="00530BA8">
        <w:rPr>
          <w:lang w:val="en-US"/>
        </w:rPr>
        <w:t>to facilitat</w:t>
      </w:r>
      <w:r w:rsidR="00276FD9">
        <w:rPr>
          <w:lang w:val="en-US"/>
        </w:rPr>
        <w:t xml:space="preserve">e </w:t>
      </w:r>
      <w:r w:rsidR="00530BA8" w:rsidRPr="00AC05DB">
        <w:rPr>
          <w:lang w:val="en-US"/>
        </w:rPr>
        <w:t>regional trade, investment and employment</w:t>
      </w:r>
      <w:r w:rsidR="00276FD9">
        <w:rPr>
          <w:lang w:val="en-US"/>
        </w:rPr>
        <w:t>.</w:t>
      </w:r>
      <w:r w:rsidR="00530BA8">
        <w:rPr>
          <w:rStyle w:val="FootnoteReference"/>
          <w:lang w:val="en-US"/>
        </w:rPr>
        <w:footnoteReference w:id="61"/>
      </w:r>
      <w:r w:rsidR="00530BA8" w:rsidRPr="00B13DCC">
        <w:rPr>
          <w:lang w:eastAsia="en-AU"/>
        </w:rPr>
        <w:t xml:space="preserve"> </w:t>
      </w:r>
      <w:r w:rsidR="00530BA8">
        <w:rPr>
          <w:lang w:eastAsia="en-AU"/>
        </w:rPr>
        <w:t>Consideration should be given to supporting, or linking with, national studies on impacts of integration.</w:t>
      </w:r>
    </w:p>
    <w:p w14:paraId="0AA5E3C6" w14:textId="2FEFB28C" w:rsidR="001608DC" w:rsidRPr="00714B4B" w:rsidRDefault="00530BA8" w:rsidP="00714B4B">
      <w:pPr>
        <w:pStyle w:val="ListParagraph"/>
        <w:numPr>
          <w:ilvl w:val="0"/>
          <w:numId w:val="39"/>
        </w:numPr>
        <w:rPr>
          <w:lang w:val="en-US"/>
        </w:rPr>
      </w:pPr>
      <w:r>
        <w:rPr>
          <w:lang w:val="en-US"/>
        </w:rPr>
        <w:t>Develop and implement</w:t>
      </w:r>
      <w:r w:rsidRPr="00AC05DB">
        <w:rPr>
          <w:lang w:val="en-US"/>
        </w:rPr>
        <w:t xml:space="preserve"> an AECSP communication s</w:t>
      </w:r>
      <w:r>
        <w:rPr>
          <w:lang w:val="en-US"/>
        </w:rPr>
        <w:t>trategy,</w:t>
      </w:r>
      <w:r w:rsidRPr="00AC05DB">
        <w:rPr>
          <w:lang w:val="en-US"/>
        </w:rPr>
        <w:t xml:space="preserve"> including strategies to raise awareness of AANZFTA related business</w:t>
      </w:r>
      <w:r>
        <w:rPr>
          <w:lang w:val="en-US"/>
        </w:rPr>
        <w:t xml:space="preserve"> results and</w:t>
      </w:r>
      <w:r w:rsidRPr="00AC05DB">
        <w:rPr>
          <w:lang w:val="en-US"/>
        </w:rPr>
        <w:t xml:space="preserve"> opportunities in </w:t>
      </w:r>
      <w:r w:rsidR="00276FD9" w:rsidRPr="00276FD9">
        <w:t>ASEAN member states</w:t>
      </w:r>
      <w:r w:rsidRPr="00AC05DB">
        <w:rPr>
          <w:lang w:val="en-US"/>
        </w:rPr>
        <w:t>, New Zealand and Australia</w:t>
      </w:r>
      <w:r w:rsidR="00276FD9">
        <w:rPr>
          <w:lang w:val="en-US"/>
        </w:rPr>
        <w:t>,</w:t>
      </w:r>
      <w:r w:rsidRPr="00AC05DB">
        <w:rPr>
          <w:vertAlign w:val="superscript"/>
          <w:lang w:val="en-US"/>
        </w:rPr>
        <w:footnoteReference w:id="62"/>
      </w:r>
      <w:r>
        <w:rPr>
          <w:lang w:val="en-US"/>
        </w:rPr>
        <w:t xml:space="preserve"> and </w:t>
      </w:r>
      <w:r w:rsidR="00276FD9">
        <w:rPr>
          <w:lang w:val="en-US"/>
        </w:rPr>
        <w:t xml:space="preserve">ensure </w:t>
      </w:r>
      <w:r>
        <w:rPr>
          <w:lang w:val="en-US"/>
        </w:rPr>
        <w:t xml:space="preserve">more effective use of the AECSP website to </w:t>
      </w:r>
      <w:r>
        <w:rPr>
          <w:lang w:eastAsia="en-AU"/>
        </w:rPr>
        <w:t>highlight program results and lessons learned. It is important to</w:t>
      </w:r>
      <w:r w:rsidR="001608DC">
        <w:rPr>
          <w:lang w:eastAsia="en-AU"/>
        </w:rPr>
        <w:t>:</w:t>
      </w:r>
    </w:p>
    <w:p w14:paraId="31110011" w14:textId="1F785BAD" w:rsidR="001608DC" w:rsidRDefault="001608DC" w:rsidP="00530BA8">
      <w:pPr>
        <w:pStyle w:val="ListParagraph"/>
        <w:numPr>
          <w:ilvl w:val="1"/>
          <w:numId w:val="40"/>
        </w:numPr>
        <w:rPr>
          <w:lang w:val="en-US"/>
        </w:rPr>
      </w:pPr>
      <w:r>
        <w:rPr>
          <w:lang w:eastAsia="en-AU"/>
        </w:rPr>
        <w:t>b</w:t>
      </w:r>
      <w:r w:rsidRPr="00C77292">
        <w:rPr>
          <w:lang w:val="en-US"/>
        </w:rPr>
        <w:t>etter document and publish the unique features of the program and lessons learned that might have broader applicability</w:t>
      </w:r>
    </w:p>
    <w:p w14:paraId="5F338DAD" w14:textId="2164D7C3" w:rsidR="00530BA8" w:rsidRPr="00AC05DB" w:rsidRDefault="001608DC" w:rsidP="00530BA8">
      <w:pPr>
        <w:pStyle w:val="ListParagraph"/>
        <w:numPr>
          <w:ilvl w:val="1"/>
          <w:numId w:val="40"/>
        </w:numPr>
        <w:rPr>
          <w:lang w:val="en-US"/>
        </w:rPr>
      </w:pPr>
      <w:r>
        <w:rPr>
          <w:lang w:val="en-US"/>
        </w:rPr>
        <w:lastRenderedPageBreak/>
        <w:t>r</w:t>
      </w:r>
      <w:r w:rsidRPr="00AC05DB">
        <w:rPr>
          <w:lang w:val="en-US"/>
        </w:rPr>
        <w:t xml:space="preserve">equire </w:t>
      </w:r>
      <w:r w:rsidR="00530BA8" w:rsidRPr="00AC05DB">
        <w:rPr>
          <w:lang w:val="en-US"/>
        </w:rPr>
        <w:t>all component proposals to include lessons learned sections in periodic reports on component activities, outputs and results</w:t>
      </w:r>
    </w:p>
    <w:p w14:paraId="57CF00E2" w14:textId="5AE90F0D" w:rsidR="00530BA8" w:rsidRPr="00AC05DB" w:rsidRDefault="001608DC" w:rsidP="00530BA8">
      <w:pPr>
        <w:pStyle w:val="ListParagraph"/>
        <w:numPr>
          <w:ilvl w:val="1"/>
          <w:numId w:val="40"/>
        </w:numPr>
        <w:rPr>
          <w:lang w:val="en-US"/>
        </w:rPr>
      </w:pPr>
      <w:r>
        <w:rPr>
          <w:lang w:val="en-US"/>
        </w:rPr>
        <w:t>s</w:t>
      </w:r>
      <w:r w:rsidRPr="00AC05DB">
        <w:rPr>
          <w:lang w:val="en-US"/>
        </w:rPr>
        <w:t xml:space="preserve">trengthen </w:t>
      </w:r>
      <w:r w:rsidR="00530BA8" w:rsidRPr="00AC05DB">
        <w:rPr>
          <w:lang w:val="en-US"/>
        </w:rPr>
        <w:t>know</w:t>
      </w:r>
      <w:r w:rsidR="00530BA8">
        <w:rPr>
          <w:lang w:val="en-US"/>
        </w:rPr>
        <w:t xml:space="preserve">ledge linkages </w:t>
      </w:r>
      <w:r w:rsidR="00530BA8" w:rsidRPr="00AC05DB">
        <w:rPr>
          <w:lang w:val="en-US"/>
        </w:rPr>
        <w:t xml:space="preserve">between AECSP and </w:t>
      </w:r>
      <w:r>
        <w:rPr>
          <w:lang w:val="en-US"/>
        </w:rPr>
        <w:t xml:space="preserve">the </w:t>
      </w:r>
      <w:r w:rsidRPr="001608DC">
        <w:t>ASEAN Australia Development Cooperation Project: Phase II</w:t>
      </w:r>
      <w:r w:rsidR="00530BA8" w:rsidRPr="00AC05DB">
        <w:rPr>
          <w:lang w:val="en-US"/>
        </w:rPr>
        <w:t>.</w:t>
      </w:r>
    </w:p>
    <w:p w14:paraId="3B61D28A" w14:textId="3BD0E5A6" w:rsidR="00530BA8" w:rsidRPr="00AC05DB" w:rsidRDefault="00530BA8" w:rsidP="00530BA8">
      <w:pPr>
        <w:pStyle w:val="ListParagraph"/>
        <w:numPr>
          <w:ilvl w:val="0"/>
          <w:numId w:val="39"/>
        </w:numPr>
        <w:rPr>
          <w:lang w:val="en-US"/>
        </w:rPr>
      </w:pPr>
      <w:r>
        <w:rPr>
          <w:lang w:val="en-US"/>
        </w:rPr>
        <w:t xml:space="preserve">Consider the need for a review of program priorities and </w:t>
      </w:r>
      <w:r w:rsidR="001608DC">
        <w:rPr>
          <w:lang w:val="en-US"/>
        </w:rPr>
        <w:t xml:space="preserve">the </w:t>
      </w:r>
      <w:r>
        <w:rPr>
          <w:lang w:val="en-US"/>
        </w:rPr>
        <w:t>work program following the AANZFTA review of progress in implementing the built-in agenda.</w:t>
      </w:r>
    </w:p>
    <w:p w14:paraId="32D6DC50" w14:textId="25A8061E" w:rsidR="00530BA8" w:rsidRPr="0078459F" w:rsidRDefault="00530BA8" w:rsidP="00530BA8">
      <w:pPr>
        <w:pStyle w:val="ListParagraph"/>
        <w:numPr>
          <w:ilvl w:val="0"/>
          <w:numId w:val="40"/>
        </w:numPr>
        <w:rPr>
          <w:lang w:val="en-US"/>
        </w:rPr>
      </w:pPr>
      <w:r w:rsidRPr="00AC05DB">
        <w:rPr>
          <w:lang w:val="en-US"/>
        </w:rPr>
        <w:t>Prepare a</w:t>
      </w:r>
      <w:r>
        <w:rPr>
          <w:lang w:val="en-US"/>
        </w:rPr>
        <w:t xml:space="preserve">nd present to </w:t>
      </w:r>
      <w:r w:rsidR="00FA23AA">
        <w:rPr>
          <w:lang w:val="en-US"/>
        </w:rPr>
        <w:t xml:space="preserve">ASEAN </w:t>
      </w:r>
      <w:r w:rsidR="001608DC">
        <w:rPr>
          <w:lang w:val="en-US"/>
        </w:rPr>
        <w:t xml:space="preserve">Secretariat </w:t>
      </w:r>
      <w:r>
        <w:rPr>
          <w:lang w:val="en-US"/>
        </w:rPr>
        <w:t>leadership periodic</w:t>
      </w:r>
      <w:r w:rsidRPr="00AC05DB">
        <w:rPr>
          <w:lang w:val="en-US"/>
        </w:rPr>
        <w:t xml:space="preserve"> </w:t>
      </w:r>
      <w:r>
        <w:rPr>
          <w:lang w:val="en-US"/>
        </w:rPr>
        <w:t xml:space="preserve">summary </w:t>
      </w:r>
      <w:r w:rsidRPr="00AC05DB">
        <w:rPr>
          <w:lang w:val="en-US"/>
        </w:rPr>
        <w:t>results focused review report</w:t>
      </w:r>
      <w:r>
        <w:rPr>
          <w:lang w:val="en-US"/>
        </w:rPr>
        <w:t>s</w:t>
      </w:r>
      <w:r w:rsidRPr="00AC05DB">
        <w:rPr>
          <w:lang w:val="en-US"/>
        </w:rPr>
        <w:t xml:space="preserve"> (</w:t>
      </w:r>
      <w:r w:rsidR="001608DC">
        <w:rPr>
          <w:lang w:val="en-US"/>
        </w:rPr>
        <w:t>for example,</w:t>
      </w:r>
      <w:r w:rsidRPr="00AC05DB">
        <w:rPr>
          <w:lang w:val="en-US"/>
        </w:rPr>
        <w:t xml:space="preserve"> </w:t>
      </w:r>
      <w:r w:rsidR="001608DC" w:rsidRPr="001608DC">
        <w:t>ASEAN Australia Development Cooperation Project: Phase II</w:t>
      </w:r>
      <w:r w:rsidR="001608DC" w:rsidRPr="001608DC" w:rsidDel="001608DC">
        <w:rPr>
          <w:lang w:val="en-US"/>
        </w:rPr>
        <w:t xml:space="preserve"> </w:t>
      </w:r>
      <w:r>
        <w:rPr>
          <w:lang w:val="en-US"/>
        </w:rPr>
        <w:t>reports</w:t>
      </w:r>
      <w:r w:rsidRPr="00AC05DB">
        <w:rPr>
          <w:lang w:val="en-US"/>
        </w:rPr>
        <w:t xml:space="preserve"> </w:t>
      </w:r>
      <w:r>
        <w:rPr>
          <w:lang w:val="en-US"/>
        </w:rPr>
        <w:t>may provide useful models</w:t>
      </w:r>
      <w:r w:rsidRPr="00AC05DB">
        <w:rPr>
          <w:lang w:val="en-US"/>
        </w:rPr>
        <w:t>).</w:t>
      </w:r>
    </w:p>
    <w:p w14:paraId="77CEBD47" w14:textId="77777777" w:rsidR="00530BA8" w:rsidRPr="00663FE3" w:rsidRDefault="00530BA8" w:rsidP="00530BA8">
      <w:pPr>
        <w:pStyle w:val="Heading4"/>
      </w:pPr>
      <w:r w:rsidRPr="00663FE3">
        <w:t>Gender</w:t>
      </w:r>
    </w:p>
    <w:p w14:paraId="5140534A" w14:textId="08CC8F78" w:rsidR="00530BA8" w:rsidRDefault="00530BA8" w:rsidP="00530BA8">
      <w:pPr>
        <w:pStyle w:val="ListParagraph"/>
        <w:numPr>
          <w:ilvl w:val="0"/>
          <w:numId w:val="53"/>
        </w:numPr>
        <w:spacing w:after="0"/>
      </w:pPr>
      <w:r>
        <w:t xml:space="preserve">Continue to liaise with </w:t>
      </w:r>
      <w:r w:rsidR="001608DC">
        <w:t xml:space="preserve">the </w:t>
      </w:r>
      <w:r w:rsidR="00FA23AA">
        <w:t xml:space="preserve">ASEAN </w:t>
      </w:r>
      <w:r w:rsidR="001608DC">
        <w:t>Secretariat</w:t>
      </w:r>
      <w:r>
        <w:rPr>
          <w:rFonts w:cs="Arial"/>
          <w:szCs w:val="20"/>
          <w:lang w:eastAsia="en-AU"/>
        </w:rPr>
        <w:t xml:space="preserve">, </w:t>
      </w:r>
      <w:r w:rsidR="001608DC" w:rsidRPr="001608DC">
        <w:rPr>
          <w:rFonts w:cs="Arial"/>
          <w:szCs w:val="20"/>
          <w:lang w:eastAsia="en-AU"/>
        </w:rPr>
        <w:t>ASEAN member states</w:t>
      </w:r>
      <w:r>
        <w:rPr>
          <w:rFonts w:cs="Arial"/>
          <w:szCs w:val="20"/>
          <w:lang w:eastAsia="en-AU"/>
        </w:rPr>
        <w:t xml:space="preserve"> and </w:t>
      </w:r>
      <w:r w:rsidRPr="00A44EE1">
        <w:rPr>
          <w:lang w:val="en-US"/>
        </w:rPr>
        <w:t xml:space="preserve">AANZFTA </w:t>
      </w:r>
      <w:r w:rsidR="001608DC">
        <w:rPr>
          <w:lang w:val="en-US"/>
        </w:rPr>
        <w:t>p</w:t>
      </w:r>
      <w:r w:rsidR="001608DC" w:rsidRPr="00A44EE1">
        <w:rPr>
          <w:lang w:val="en-US"/>
        </w:rPr>
        <w:t>arties</w:t>
      </w:r>
      <w:r w:rsidR="001608DC" w:rsidRPr="00916316">
        <w:rPr>
          <w:rFonts w:cs="Arial"/>
          <w:szCs w:val="20"/>
          <w:lang w:eastAsia="en-AU"/>
        </w:rPr>
        <w:t xml:space="preserve"> </w:t>
      </w:r>
      <w:r w:rsidRPr="00916316">
        <w:rPr>
          <w:rFonts w:cs="Arial"/>
          <w:szCs w:val="20"/>
          <w:lang w:eastAsia="en-AU"/>
        </w:rPr>
        <w:t>to</w:t>
      </w:r>
      <w:r>
        <w:t xml:space="preserve"> identify common opportunities to ensure gender equity in distribution of benefits from integration. Seek opportunities to support research</w:t>
      </w:r>
      <w:r w:rsidR="001608DC">
        <w:t xml:space="preserve"> and </w:t>
      </w:r>
      <w:r>
        <w:t>policy initiatives with inherent gender equity issues.</w:t>
      </w:r>
      <w:r w:rsidR="005856D4">
        <w:t xml:space="preserve"> </w:t>
      </w:r>
      <w:r>
        <w:t>Examples include value chain analysis, trade policy review mechanisms, sustainability impact assessment, engendering trade policies, poverty and social impact analysis, fair and ethical trade mechanisms.</w:t>
      </w:r>
    </w:p>
    <w:p w14:paraId="2BC81986" w14:textId="2AA8B0AF" w:rsidR="00530BA8" w:rsidRDefault="00530BA8" w:rsidP="00530BA8">
      <w:pPr>
        <w:pStyle w:val="ListParagraph"/>
        <w:numPr>
          <w:ilvl w:val="0"/>
          <w:numId w:val="53"/>
        </w:numPr>
        <w:spacing w:after="0"/>
      </w:pPr>
      <w:r>
        <w:t>Review reporting, operational and policy guidelines and templates to ensure gender and equality policy and opportunities are genuinely embedded within all AECSP documents and reports. Ensure gender priorities are integrated into the monitoring and evaluation framework, including reporting on gender outcomes.</w:t>
      </w:r>
      <w:r w:rsidR="005856D4">
        <w:t xml:space="preserve"> </w:t>
      </w:r>
    </w:p>
    <w:p w14:paraId="3687E2C7" w14:textId="1A2C04DC" w:rsidR="00530BA8" w:rsidRPr="0078459F" w:rsidRDefault="00530BA8" w:rsidP="00530BA8">
      <w:pPr>
        <w:pStyle w:val="ListParagraph"/>
        <w:numPr>
          <w:ilvl w:val="0"/>
          <w:numId w:val="53"/>
        </w:numPr>
        <w:spacing w:after="0"/>
      </w:pPr>
      <w:r>
        <w:t xml:space="preserve">Continue to focus on supporting trade in services, especially </w:t>
      </w:r>
      <w:r w:rsidR="001608DC">
        <w:t>those</w:t>
      </w:r>
      <w:r>
        <w:t xml:space="preserve"> that benefit women</w:t>
      </w:r>
      <w:r w:rsidR="001608DC">
        <w:t>.</w:t>
      </w:r>
      <w:r>
        <w:rPr>
          <w:rStyle w:val="FootnoteReference"/>
        </w:rPr>
        <w:footnoteReference w:id="63"/>
      </w:r>
    </w:p>
    <w:p w14:paraId="1613AF82" w14:textId="5A0D8D7D" w:rsidR="00530BA8" w:rsidRPr="0025151E" w:rsidRDefault="00530BA8" w:rsidP="00530BA8">
      <w:pPr>
        <w:pStyle w:val="Heading4"/>
      </w:pPr>
      <w:r w:rsidRPr="0025151E">
        <w:t xml:space="preserve">Capacity </w:t>
      </w:r>
      <w:r w:rsidR="005408FB">
        <w:t>b</w:t>
      </w:r>
      <w:r w:rsidR="005408FB" w:rsidRPr="0025151E">
        <w:t>uilding</w:t>
      </w:r>
    </w:p>
    <w:p w14:paraId="0C40BF15" w14:textId="1FDCEC53" w:rsidR="00530BA8" w:rsidRDefault="00530BA8" w:rsidP="00530BA8">
      <w:pPr>
        <w:pStyle w:val="ListParagraph"/>
        <w:numPr>
          <w:ilvl w:val="0"/>
          <w:numId w:val="44"/>
        </w:numPr>
        <w:spacing w:after="0"/>
      </w:pPr>
      <w:r>
        <w:t>Continue efforts to move away from standalone training, workshops and conferences towards more results focused medium</w:t>
      </w:r>
      <w:r w:rsidR="001608DC">
        <w:t xml:space="preserve"> </w:t>
      </w:r>
      <w:r>
        <w:t>term capacity building initiatives (as is being done with the patent assessors training</w:t>
      </w:r>
      <w:r w:rsidR="001608DC" w:rsidRPr="001608DC">
        <w:t xml:space="preserve"> </w:t>
      </w:r>
      <w:r w:rsidR="001608DC">
        <w:t>for example</w:t>
      </w:r>
      <w:r>
        <w:t>).</w:t>
      </w:r>
    </w:p>
    <w:p w14:paraId="2AEF4C97" w14:textId="7962E851" w:rsidR="00530BA8" w:rsidRDefault="00530BA8" w:rsidP="00530BA8">
      <w:pPr>
        <w:pStyle w:val="ListParagraph"/>
        <w:numPr>
          <w:ilvl w:val="0"/>
          <w:numId w:val="44"/>
        </w:numPr>
        <w:spacing w:after="0"/>
      </w:pPr>
      <w:r>
        <w:t>Continue supporting the development of long</w:t>
      </w:r>
      <w:r w:rsidR="001608DC">
        <w:t xml:space="preserve"> </w:t>
      </w:r>
      <w:r>
        <w:t xml:space="preserve">term institutional relationships that are likely to be sustained beyond AECSP funding. </w:t>
      </w:r>
    </w:p>
    <w:p w14:paraId="395A0D08" w14:textId="501E7902" w:rsidR="00530BA8" w:rsidRDefault="00530BA8" w:rsidP="00530BA8">
      <w:pPr>
        <w:pStyle w:val="ListParagraph"/>
        <w:numPr>
          <w:ilvl w:val="0"/>
          <w:numId w:val="44"/>
        </w:numPr>
        <w:spacing w:after="0"/>
      </w:pPr>
      <w:r>
        <w:t>Ensure design frameworks include robust performance assessment methodologies capable of measuring activity impacts (</w:t>
      </w:r>
      <w:r w:rsidR="001608DC">
        <w:t>for example</w:t>
      </w:r>
      <w:r>
        <w:t xml:space="preserve"> tracking instruments, outcome surveys and independent assessments of materials developed).</w:t>
      </w:r>
    </w:p>
    <w:p w14:paraId="4EB2AD05" w14:textId="3C1512BA" w:rsidR="00530BA8" w:rsidRDefault="00530BA8" w:rsidP="00530BA8">
      <w:pPr>
        <w:pStyle w:val="ListParagraph"/>
        <w:numPr>
          <w:ilvl w:val="0"/>
          <w:numId w:val="44"/>
        </w:numPr>
        <w:spacing w:after="0"/>
      </w:pPr>
      <w:r>
        <w:t>Establish links to complementary regional and bilateral programs</w:t>
      </w:r>
      <w:r w:rsidR="001608DC">
        <w:t>.</w:t>
      </w:r>
      <w:r>
        <w:rPr>
          <w:rStyle w:val="FootnoteReference"/>
        </w:rPr>
        <w:footnoteReference w:id="64"/>
      </w:r>
      <w:r>
        <w:t xml:space="preserve"> </w:t>
      </w:r>
    </w:p>
    <w:p w14:paraId="37A46CBD" w14:textId="7F761581" w:rsidR="00530BA8" w:rsidRDefault="00530BA8" w:rsidP="00530BA8">
      <w:pPr>
        <w:pStyle w:val="ListParagraph"/>
        <w:numPr>
          <w:ilvl w:val="0"/>
          <w:numId w:val="44"/>
        </w:numPr>
        <w:spacing w:after="0"/>
      </w:pPr>
      <w:r>
        <w:t>Cooperate with</w:t>
      </w:r>
      <w:r w:rsidR="00364569">
        <w:t xml:space="preserve"> the</w:t>
      </w:r>
      <w:r>
        <w:t xml:space="preserve"> </w:t>
      </w:r>
      <w:r w:rsidR="001608DC" w:rsidRPr="001608DC">
        <w:t xml:space="preserve">ASEAN Australia Development Cooperation Project: Phase </w:t>
      </w:r>
      <w:r>
        <w:t xml:space="preserve">II to ensure </w:t>
      </w:r>
      <w:r w:rsidR="00FA23AA">
        <w:t xml:space="preserve">ASEAN </w:t>
      </w:r>
      <w:r w:rsidR="001608DC">
        <w:t xml:space="preserve">Secretariat </w:t>
      </w:r>
      <w:r>
        <w:t xml:space="preserve">capacity continues to be enhanced. </w:t>
      </w:r>
    </w:p>
    <w:p w14:paraId="39EC52EC" w14:textId="7023E188" w:rsidR="00530BA8" w:rsidRPr="00AC05DB" w:rsidRDefault="00530BA8" w:rsidP="00530BA8">
      <w:pPr>
        <w:pStyle w:val="Heading4"/>
      </w:pPr>
      <w:r w:rsidRPr="00AC05DB">
        <w:t>Program duration</w:t>
      </w:r>
    </w:p>
    <w:p w14:paraId="1296CC0D" w14:textId="540689EE" w:rsidR="001608DC" w:rsidRDefault="001608DC" w:rsidP="00530BA8">
      <w:pPr>
        <w:pStyle w:val="ListParagraph"/>
        <w:numPr>
          <w:ilvl w:val="0"/>
          <w:numId w:val="41"/>
        </w:numPr>
      </w:pPr>
      <w:r>
        <w:rPr>
          <w:lang w:val="en-US"/>
        </w:rPr>
        <w:t xml:space="preserve">Depending on </w:t>
      </w:r>
      <w:r w:rsidR="00565D0E" w:rsidRPr="00814BCA">
        <w:rPr>
          <w:lang w:val="en-US"/>
        </w:rPr>
        <w:t xml:space="preserve">continued </w:t>
      </w:r>
      <w:r w:rsidR="00565D0E">
        <w:rPr>
          <w:lang w:val="en-US"/>
        </w:rPr>
        <w:t xml:space="preserve">progress in </w:t>
      </w:r>
      <w:r w:rsidR="00565D0E" w:rsidRPr="00814BCA">
        <w:rPr>
          <w:lang w:val="en-US"/>
        </w:rPr>
        <w:t>measuring, reporting</w:t>
      </w:r>
      <w:r w:rsidR="00565D0E">
        <w:rPr>
          <w:lang w:val="en-US"/>
        </w:rPr>
        <w:t xml:space="preserve"> and communicating information on outcomes</w:t>
      </w:r>
      <w:r>
        <w:rPr>
          <w:lang w:val="en-US"/>
        </w:rPr>
        <w:t>––</w:t>
      </w:r>
      <w:r w:rsidR="00565D0E">
        <w:rPr>
          <w:lang w:val="en-US"/>
        </w:rPr>
        <w:t>and</w:t>
      </w:r>
      <w:r w:rsidR="00565D0E" w:rsidRPr="00814BCA">
        <w:rPr>
          <w:lang w:val="en-US"/>
        </w:rPr>
        <w:t xml:space="preserve"> </w:t>
      </w:r>
      <w:r w:rsidR="00565D0E">
        <w:rPr>
          <w:lang w:val="en-US"/>
        </w:rPr>
        <w:t xml:space="preserve">the use of </w:t>
      </w:r>
      <w:r w:rsidR="00565D0E" w:rsidRPr="00814BCA">
        <w:rPr>
          <w:lang w:val="en-US"/>
        </w:rPr>
        <w:t xml:space="preserve">more </w:t>
      </w:r>
      <w:r w:rsidR="00565D0E">
        <w:rPr>
          <w:lang w:val="en-US"/>
        </w:rPr>
        <w:t>comprehensive</w:t>
      </w:r>
      <w:r w:rsidR="00565D0E" w:rsidRPr="00814BCA">
        <w:rPr>
          <w:lang w:val="en-US"/>
        </w:rPr>
        <w:t xml:space="preserve"> approaches to capacity building</w:t>
      </w:r>
      <w:r>
        <w:rPr>
          <w:lang w:val="en-US"/>
        </w:rPr>
        <w:t>––</w:t>
      </w:r>
      <w:r w:rsidR="00565D0E" w:rsidRPr="00814BCA">
        <w:rPr>
          <w:lang w:val="en-US"/>
        </w:rPr>
        <w:t>extend the program duration to at least the end of</w:t>
      </w:r>
      <w:r w:rsidR="00565D0E">
        <w:rPr>
          <w:lang w:val="en-US"/>
        </w:rPr>
        <w:t xml:space="preserve"> 2015 with no change in budget.</w:t>
      </w:r>
      <w:r w:rsidR="00565D0E" w:rsidRPr="00221611">
        <w:t xml:space="preserve"> Additional resources may be needed in the future depending on </w:t>
      </w:r>
      <w:r w:rsidR="00565D0E">
        <w:t xml:space="preserve">sustained </w:t>
      </w:r>
      <w:r w:rsidR="00565D0E" w:rsidRPr="00221611">
        <w:t>demand</w:t>
      </w:r>
      <w:r>
        <w:t xml:space="preserve"> and </w:t>
      </w:r>
      <w:r w:rsidR="00565D0E">
        <w:t xml:space="preserve">progress in providing stronger evidence of development outcomes. </w:t>
      </w:r>
    </w:p>
    <w:p w14:paraId="3A35ED6B" w14:textId="3E1ED9F3" w:rsidR="00530BA8" w:rsidRPr="00EE2C55" w:rsidRDefault="00565D0E" w:rsidP="00530BA8">
      <w:pPr>
        <w:pStyle w:val="ListParagraph"/>
        <w:numPr>
          <w:ilvl w:val="0"/>
          <w:numId w:val="41"/>
        </w:numPr>
      </w:pPr>
      <w:r>
        <w:t>Retain flexibility to provide support for economic cooperation agreements that extend beyond AANZFTA. The planned review of AANZFTA will be useful in terms of assessing the need for additional resources.</w:t>
      </w:r>
      <w:r w:rsidR="00530BA8" w:rsidRPr="002915C2">
        <w:rPr>
          <w:i/>
        </w:rPr>
        <w:br w:type="page"/>
      </w:r>
    </w:p>
    <w:p w14:paraId="41E1F8DD" w14:textId="77777777" w:rsidR="00530BA8" w:rsidRDefault="00530BA8" w:rsidP="00530BA8">
      <w:pPr>
        <w:pStyle w:val="ListParagraph"/>
        <w:rPr>
          <w:i/>
        </w:rPr>
      </w:pPr>
    </w:p>
    <w:p w14:paraId="15150BB5" w14:textId="0650C967" w:rsidR="00530BA8" w:rsidRDefault="00530BA8" w:rsidP="00530BA8">
      <w:pPr>
        <w:pStyle w:val="Heading1"/>
      </w:pPr>
      <w:bookmarkStart w:id="7" w:name="_Toc229924884"/>
      <w:r>
        <w:t xml:space="preserve">Appendix 1: </w:t>
      </w:r>
      <w:r w:rsidR="00636933">
        <w:t xml:space="preserve">Independent progress report </w:t>
      </w:r>
      <w:r w:rsidR="00636933" w:rsidRPr="00B56D6C">
        <w:t>terms of reference</w:t>
      </w:r>
      <w:bookmarkEnd w:id="7"/>
    </w:p>
    <w:p w14:paraId="0F8728F0" w14:textId="77777777" w:rsidR="00826731" w:rsidRPr="003C2B9F" w:rsidRDefault="00826731" w:rsidP="00714B4B"/>
    <w:p w14:paraId="636ED4ED" w14:textId="77777777" w:rsidR="00530BA8" w:rsidRPr="00D2299A" w:rsidRDefault="00530BA8" w:rsidP="00826731">
      <w:pPr>
        <w:pStyle w:val="ListParagraph"/>
        <w:numPr>
          <w:ilvl w:val="0"/>
          <w:numId w:val="15"/>
        </w:numPr>
        <w:spacing w:before="0" w:after="0"/>
        <w:ind w:left="567" w:hanging="425"/>
        <w:rPr>
          <w:rFonts w:cs="Arial"/>
          <w:b/>
          <w:szCs w:val="20"/>
        </w:rPr>
      </w:pPr>
      <w:r w:rsidRPr="00D2299A">
        <w:rPr>
          <w:rFonts w:cs="Arial"/>
          <w:b/>
          <w:szCs w:val="20"/>
        </w:rPr>
        <w:t>CONTEXT</w:t>
      </w:r>
    </w:p>
    <w:p w14:paraId="2DEB6E73" w14:textId="798509CC" w:rsidR="00530BA8" w:rsidRPr="00375816" w:rsidRDefault="00530BA8" w:rsidP="00530BA8">
      <w:pPr>
        <w:pStyle w:val="List2"/>
      </w:pPr>
      <w:r w:rsidRPr="00375816">
        <w:t>1.1</w:t>
      </w:r>
      <w:r w:rsidRPr="00375816">
        <w:tab/>
        <w:t>AusAID is contributing up to $20 million over five years (2009</w:t>
      </w:r>
      <w:r w:rsidR="00636933">
        <w:t>–</w:t>
      </w:r>
      <w:r w:rsidRPr="00375816">
        <w:t xml:space="preserve">10 </w:t>
      </w:r>
      <w:r w:rsidR="00636933">
        <w:t>to</w:t>
      </w:r>
      <w:r w:rsidRPr="00375816">
        <w:t xml:space="preserve"> 2013</w:t>
      </w:r>
      <w:r w:rsidR="00636933">
        <w:t>–</w:t>
      </w:r>
      <w:r w:rsidRPr="00375816">
        <w:t>14) to the AECSP.</w:t>
      </w:r>
      <w:r w:rsidR="005856D4">
        <w:t xml:space="preserve"> </w:t>
      </w:r>
      <w:r w:rsidRPr="00375816">
        <w:t xml:space="preserve">The AECSP is supporting ASEAN </w:t>
      </w:r>
      <w:r w:rsidR="00636933">
        <w:t>m</w:t>
      </w:r>
      <w:r w:rsidR="00636933" w:rsidRPr="00375816">
        <w:t xml:space="preserve">ember </w:t>
      </w:r>
      <w:r w:rsidR="00636933">
        <w:t>s</w:t>
      </w:r>
      <w:r w:rsidR="00636933" w:rsidRPr="00375816">
        <w:t xml:space="preserve">tates </w:t>
      </w:r>
      <w:r w:rsidRPr="00375816">
        <w:t>to implement AANZFTA.</w:t>
      </w:r>
      <w:r w:rsidR="005856D4">
        <w:t xml:space="preserve"> </w:t>
      </w:r>
      <w:r w:rsidRPr="00375816">
        <w:t xml:space="preserve">New Zealand is also contributing to the </w:t>
      </w:r>
      <w:r w:rsidR="00636933">
        <w:t>p</w:t>
      </w:r>
      <w:r w:rsidR="00636933" w:rsidRPr="00375816">
        <w:t>rogram</w:t>
      </w:r>
      <w:r w:rsidRPr="00375816">
        <w:t>. The AECSP funds an AANZFTA Support Unit within the ASEAN Secretariat and the annual implementation of Economic Cooperation Work Program activities.</w:t>
      </w:r>
      <w:r w:rsidR="005856D4">
        <w:t xml:space="preserve"> </w:t>
      </w:r>
      <w:r w:rsidRPr="00375816">
        <w:t xml:space="preserve">The </w:t>
      </w:r>
      <w:r w:rsidR="00AA34FF">
        <w:t>p</w:t>
      </w:r>
      <w:r w:rsidR="00AA34FF" w:rsidRPr="00375816">
        <w:t xml:space="preserve">rogram </w:t>
      </w:r>
      <w:r w:rsidRPr="00375816">
        <w:t>is being delivered through a partnership between AusAID</w:t>
      </w:r>
      <w:r w:rsidR="00AA34FF">
        <w:t xml:space="preserve">, the </w:t>
      </w:r>
      <w:r w:rsidRPr="00375816">
        <w:t>Department of Foreign Affairs and Trade</w:t>
      </w:r>
      <w:r w:rsidR="00AA34FF">
        <w:t>,</w:t>
      </w:r>
      <w:r w:rsidRPr="00375816">
        <w:t xml:space="preserve"> N</w:t>
      </w:r>
      <w:r w:rsidR="00AA34FF">
        <w:t xml:space="preserve">ew </w:t>
      </w:r>
      <w:r w:rsidRPr="00375816">
        <w:t>Z</w:t>
      </w:r>
      <w:r w:rsidR="00AA34FF">
        <w:t>ealand</w:t>
      </w:r>
      <w:r w:rsidRPr="00375816">
        <w:t xml:space="preserve">’s Ministry of Foreign Affairs and Trade, ASEAN and the ASEAN </w:t>
      </w:r>
      <w:r w:rsidR="00AA34FF" w:rsidRPr="00375816">
        <w:t>Secretariat</w:t>
      </w:r>
      <w:r w:rsidRPr="00375816">
        <w:t>.</w:t>
      </w:r>
      <w:r w:rsidR="005856D4">
        <w:t xml:space="preserve"> </w:t>
      </w:r>
    </w:p>
    <w:p w14:paraId="3BF91043" w14:textId="3D24423C" w:rsidR="00530BA8" w:rsidRPr="00D2299A" w:rsidRDefault="00530BA8" w:rsidP="00530BA8">
      <w:pPr>
        <w:pStyle w:val="ListContinue2"/>
      </w:pPr>
      <w:r w:rsidRPr="00D2299A">
        <w:t xml:space="preserve">Under the </w:t>
      </w:r>
      <w:r w:rsidR="00AA34FF" w:rsidRPr="00D2299A">
        <w:t xml:space="preserve">cooperation arrangement </w:t>
      </w:r>
      <w:r w:rsidRPr="00D2299A">
        <w:t xml:space="preserve">between AusAID and </w:t>
      </w:r>
      <w:r w:rsidR="00AA34FF">
        <w:t xml:space="preserve">the </w:t>
      </w:r>
      <w:r w:rsidR="00FA23AA">
        <w:t xml:space="preserve">ASEAN </w:t>
      </w:r>
      <w:r w:rsidR="00AA34FF">
        <w:t xml:space="preserve">Secretariat, </w:t>
      </w:r>
      <w:r w:rsidRPr="00D2299A">
        <w:t xml:space="preserve">an independent review will be undertaken in </w:t>
      </w:r>
      <w:r w:rsidR="00364569">
        <w:t>y</w:t>
      </w:r>
      <w:r w:rsidR="00364569" w:rsidRPr="00D2299A">
        <w:t xml:space="preserve">ear </w:t>
      </w:r>
      <w:r w:rsidRPr="00D2299A">
        <w:t xml:space="preserve">3 of </w:t>
      </w:r>
      <w:r w:rsidR="00AA34FF">
        <w:t>p</w:t>
      </w:r>
      <w:r w:rsidR="00AA34FF" w:rsidRPr="00D2299A">
        <w:t xml:space="preserve">rogram </w:t>
      </w:r>
      <w:r w:rsidRPr="00D2299A">
        <w:t xml:space="preserve">implementation. </w:t>
      </w:r>
    </w:p>
    <w:p w14:paraId="5CF1B60D" w14:textId="77777777" w:rsidR="00530BA8" w:rsidRPr="00D2299A" w:rsidRDefault="00530BA8" w:rsidP="00AA34FF">
      <w:pPr>
        <w:pStyle w:val="List2"/>
        <w:ind w:left="567" w:hanging="425"/>
      </w:pPr>
      <w:r w:rsidRPr="00D2299A">
        <w:t>1.2</w:t>
      </w:r>
      <w:r>
        <w:tab/>
      </w:r>
      <w:r w:rsidRPr="00D2299A">
        <w:t>The objectives of the AECSP sub-programs are as follows:</w:t>
      </w:r>
    </w:p>
    <w:p w14:paraId="3FE1F726" w14:textId="330DD815" w:rsidR="00530BA8" w:rsidRPr="00375816" w:rsidRDefault="00530BA8" w:rsidP="00530BA8">
      <w:pPr>
        <w:ind w:left="720"/>
        <w:rPr>
          <w:b/>
        </w:rPr>
      </w:pPr>
      <w:r w:rsidRPr="00375816">
        <w:rPr>
          <w:b/>
        </w:rPr>
        <w:t>AANZFTA Support Unit:</w:t>
      </w:r>
    </w:p>
    <w:p w14:paraId="5AD35242" w14:textId="09287E73" w:rsidR="00530BA8" w:rsidRPr="00D2299A" w:rsidRDefault="00AA34FF" w:rsidP="00530BA8">
      <w:pPr>
        <w:pStyle w:val="ListBullet3"/>
        <w:numPr>
          <w:ilvl w:val="0"/>
          <w:numId w:val="20"/>
        </w:numPr>
      </w:pPr>
      <w:r>
        <w:t>S</w:t>
      </w:r>
      <w:r w:rsidR="00530BA8" w:rsidRPr="00D2299A">
        <w:t xml:space="preserve">upport </w:t>
      </w:r>
      <w:r>
        <w:t xml:space="preserve">the </w:t>
      </w:r>
      <w:r w:rsidR="00FA23AA">
        <w:t xml:space="preserve">ASEAN </w:t>
      </w:r>
      <w:r>
        <w:t xml:space="preserve">Secretariat </w:t>
      </w:r>
      <w:r w:rsidR="00530BA8" w:rsidRPr="00D2299A">
        <w:t xml:space="preserve">in servicing the Free Trade Agreement Joint Committee and other stakeholders and assist </w:t>
      </w:r>
      <w:r>
        <w:t>p</w:t>
      </w:r>
      <w:r w:rsidRPr="00D2299A">
        <w:t xml:space="preserve">arties </w:t>
      </w:r>
      <w:r w:rsidR="00530BA8" w:rsidRPr="00D2299A">
        <w:t xml:space="preserve">in the implementation of AANZFTA. Key result areas include: </w:t>
      </w:r>
    </w:p>
    <w:p w14:paraId="78078591" w14:textId="7187C43C" w:rsidR="00530BA8" w:rsidRPr="00D2299A" w:rsidRDefault="00530BA8" w:rsidP="00530BA8">
      <w:pPr>
        <w:pStyle w:val="List4"/>
      </w:pPr>
      <w:r w:rsidRPr="00D2299A">
        <w:t>a.</w:t>
      </w:r>
      <w:r w:rsidRPr="00D2299A">
        <w:tab/>
      </w:r>
      <w:r w:rsidR="00AA34FF" w:rsidRPr="00D2299A">
        <w:t>promotion and outreach</w:t>
      </w:r>
    </w:p>
    <w:p w14:paraId="539BF27A" w14:textId="0080366D" w:rsidR="00530BA8" w:rsidRPr="00D2299A" w:rsidRDefault="00AA34FF" w:rsidP="00530BA8">
      <w:pPr>
        <w:pStyle w:val="List4"/>
      </w:pPr>
      <w:r w:rsidRPr="00D2299A">
        <w:t>b.</w:t>
      </w:r>
      <w:r w:rsidRPr="00D2299A">
        <w:tab/>
        <w:t>provision of information</w:t>
      </w:r>
    </w:p>
    <w:p w14:paraId="20B21441" w14:textId="17A5F62B" w:rsidR="00530BA8" w:rsidRPr="00D2299A" w:rsidRDefault="00AA34FF" w:rsidP="00530BA8">
      <w:pPr>
        <w:pStyle w:val="List4"/>
      </w:pPr>
      <w:r w:rsidRPr="00D2299A">
        <w:t>c.</w:t>
      </w:r>
      <w:r w:rsidRPr="00D2299A">
        <w:tab/>
        <w:t>technical assistance</w:t>
      </w:r>
      <w:r>
        <w:t xml:space="preserve"> and</w:t>
      </w:r>
      <w:r w:rsidRPr="00D2299A">
        <w:t xml:space="preserve"> capacity building</w:t>
      </w:r>
    </w:p>
    <w:p w14:paraId="6ABFC499" w14:textId="54E190CF" w:rsidR="00530BA8" w:rsidRPr="00D2299A" w:rsidRDefault="00AA34FF" w:rsidP="00530BA8">
      <w:pPr>
        <w:pStyle w:val="List4"/>
      </w:pPr>
      <w:r w:rsidRPr="00D2299A">
        <w:t>d.</w:t>
      </w:r>
      <w:r w:rsidRPr="00D2299A">
        <w:tab/>
        <w:t>rapid response mechanism</w:t>
      </w:r>
    </w:p>
    <w:p w14:paraId="59E60A41" w14:textId="5BD3DB80" w:rsidR="00530BA8" w:rsidRPr="00D2299A" w:rsidRDefault="00AA34FF" w:rsidP="00530BA8">
      <w:pPr>
        <w:pStyle w:val="List4"/>
      </w:pPr>
      <w:r w:rsidRPr="00D2299A">
        <w:t>e.</w:t>
      </w:r>
      <w:r w:rsidRPr="00D2299A">
        <w:tab/>
        <w:t>monitoring and evaluation</w:t>
      </w:r>
      <w:r w:rsidR="00530BA8" w:rsidRPr="00D2299A">
        <w:t>.</w:t>
      </w:r>
    </w:p>
    <w:p w14:paraId="6924564C" w14:textId="6C7D3016" w:rsidR="00530BA8" w:rsidRPr="00D2299A" w:rsidRDefault="00530BA8" w:rsidP="00530BA8">
      <w:pPr>
        <w:pStyle w:val="Heading3"/>
        <w:ind w:left="720"/>
      </w:pPr>
      <w:r w:rsidRPr="00D2299A">
        <w:t xml:space="preserve">The </w:t>
      </w:r>
      <w:r w:rsidR="00E77996">
        <w:t>Economic Cooperation Work Program</w:t>
      </w:r>
      <w:r w:rsidRPr="00D2299A">
        <w:t xml:space="preserve">: </w:t>
      </w:r>
    </w:p>
    <w:p w14:paraId="1B218CDC" w14:textId="2E045AE2" w:rsidR="00530BA8" w:rsidRPr="003C2B9F" w:rsidRDefault="00AA34FF" w:rsidP="00714B4B">
      <w:pPr>
        <w:pStyle w:val="ListBullet3"/>
        <w:numPr>
          <w:ilvl w:val="0"/>
          <w:numId w:val="20"/>
        </w:numPr>
        <w:rPr>
          <w:rFonts w:cs="Arial"/>
          <w:szCs w:val="20"/>
        </w:rPr>
      </w:pPr>
      <w:r>
        <w:t>O</w:t>
      </w:r>
      <w:r w:rsidR="00530BA8" w:rsidRPr="00D2299A">
        <w:t xml:space="preserve">perationalise AANZFTA through the nine </w:t>
      </w:r>
      <w:r w:rsidR="00546E38">
        <w:t>Economic Cooperation Work Program</w:t>
      </w:r>
      <w:r w:rsidR="005856D4">
        <w:t xml:space="preserve"> </w:t>
      </w:r>
      <w:r w:rsidR="00530BA8" w:rsidRPr="00D2299A">
        <w:t>component</w:t>
      </w:r>
      <w:r w:rsidR="00530BA8" w:rsidRPr="00D2299A">
        <w:rPr>
          <w:rStyle w:val="FootnoteReference"/>
          <w:rFonts w:cs="Arial"/>
          <w:szCs w:val="20"/>
        </w:rPr>
        <w:footnoteReference w:id="65"/>
      </w:r>
      <w:r w:rsidR="00530BA8" w:rsidRPr="00D2299A">
        <w:t xml:space="preserve"> objectives listed at Attachment</w:t>
      </w:r>
      <w:r w:rsidR="00530BA8" w:rsidRPr="00D2299A">
        <w:rPr>
          <w:b/>
        </w:rPr>
        <w:t xml:space="preserve"> </w:t>
      </w:r>
      <w:r w:rsidR="00530BA8" w:rsidRPr="00714B4B">
        <w:t>A.</w:t>
      </w:r>
      <w:r w:rsidR="00530BA8" w:rsidRPr="00D2299A">
        <w:rPr>
          <w:b/>
        </w:rPr>
        <w:t xml:space="preserve"> </w:t>
      </w:r>
    </w:p>
    <w:p w14:paraId="712598EE" w14:textId="1BAB3802" w:rsidR="00530BA8" w:rsidRPr="00D2299A" w:rsidRDefault="00530BA8" w:rsidP="00530BA8">
      <w:pPr>
        <w:pStyle w:val="List2"/>
      </w:pPr>
      <w:r w:rsidRPr="00D2299A">
        <w:t>1.3</w:t>
      </w:r>
      <w:r>
        <w:tab/>
      </w:r>
      <w:r w:rsidRPr="00D2299A">
        <w:t>While it appears AECSP has been operating since 2009</w:t>
      </w:r>
      <w:r w:rsidR="00AA34FF">
        <w:t>–</w:t>
      </w:r>
      <w:r w:rsidRPr="00D2299A">
        <w:t xml:space="preserve">10, the </w:t>
      </w:r>
      <w:r w:rsidR="00AA34FF">
        <w:t>p</w:t>
      </w:r>
      <w:r w:rsidR="00AA34FF" w:rsidRPr="00D2299A">
        <w:t xml:space="preserve">rogram </w:t>
      </w:r>
      <w:r w:rsidRPr="00D2299A">
        <w:t xml:space="preserve">had a slower start than anticipated due to the need to establish </w:t>
      </w:r>
      <w:r w:rsidR="00AA34FF">
        <w:t>an</w:t>
      </w:r>
      <w:r w:rsidR="00AA34FF" w:rsidRPr="00D2299A">
        <w:t xml:space="preserve"> </w:t>
      </w:r>
      <w:r w:rsidR="00AA34FF" w:rsidRPr="00AA34FF">
        <w:t xml:space="preserve">AANZFTA Support Unit </w:t>
      </w:r>
      <w:r w:rsidRPr="00D2299A">
        <w:t xml:space="preserve">and operationalise functioning systems, policies and procedures to enable projects to get underway. Delays also occurred in bedding down the AANZFTA subsidiary bodies and the resultant identification by these bodies of relevant </w:t>
      </w:r>
      <w:r w:rsidR="00546E38">
        <w:t>Economic Cooperation Work Program</w:t>
      </w:r>
      <w:r w:rsidR="005856D4">
        <w:t xml:space="preserve"> </w:t>
      </w:r>
      <w:r w:rsidRPr="00D2299A">
        <w:t xml:space="preserve">projects and activities. </w:t>
      </w:r>
    </w:p>
    <w:p w14:paraId="30B8F460" w14:textId="1043AC89" w:rsidR="00530BA8" w:rsidRPr="00D2299A" w:rsidRDefault="00530BA8">
      <w:pPr>
        <w:pStyle w:val="ListContinue2"/>
      </w:pPr>
      <w:r w:rsidRPr="00D2299A">
        <w:t>This delay has impacted on the rate of expenditure, with 30</w:t>
      </w:r>
      <w:r w:rsidR="00AA34FF">
        <w:t xml:space="preserve"> per cent</w:t>
      </w:r>
      <w:r w:rsidR="00AA34FF" w:rsidRPr="00D2299A">
        <w:t xml:space="preserve"> </w:t>
      </w:r>
      <w:r w:rsidRPr="00D2299A">
        <w:t>of</w:t>
      </w:r>
      <w:r w:rsidR="00AA34FF">
        <w:t xml:space="preserve"> the</w:t>
      </w:r>
      <w:r w:rsidRPr="00D2299A">
        <w:t xml:space="preserve"> budget spent over half of the </w:t>
      </w:r>
      <w:r w:rsidR="00AA34FF">
        <w:t>p</w:t>
      </w:r>
      <w:r w:rsidR="00AA34FF" w:rsidRPr="00D2299A">
        <w:t xml:space="preserve">rogram’s </w:t>
      </w:r>
      <w:r w:rsidRPr="00D2299A">
        <w:t xml:space="preserve">life. However, while the </w:t>
      </w:r>
      <w:r w:rsidR="00AA34FF" w:rsidRPr="00AA34FF">
        <w:t xml:space="preserve">AANZFTA Support Unit </w:t>
      </w:r>
      <w:r w:rsidRPr="00D2299A">
        <w:t>commenced in August 2010</w:t>
      </w:r>
      <w:r w:rsidR="00AA34FF">
        <w:t>,</w:t>
      </w:r>
      <w:r w:rsidRPr="00D2299A">
        <w:t xml:space="preserve"> it was not fully staffed until late 2011</w:t>
      </w:r>
      <w:r w:rsidR="00AA34FF">
        <w:t>. S</w:t>
      </w:r>
      <w:r w:rsidRPr="00D2299A">
        <w:t xml:space="preserve">imilarly the first </w:t>
      </w:r>
      <w:r w:rsidR="00546E38">
        <w:t>Economic Cooperation Work Program</w:t>
      </w:r>
      <w:r w:rsidR="005856D4">
        <w:t xml:space="preserve"> </w:t>
      </w:r>
      <w:r w:rsidRPr="00D2299A">
        <w:t>activity did not commence until May 2010.</w:t>
      </w:r>
      <w:r w:rsidR="005856D4">
        <w:t xml:space="preserve"> </w:t>
      </w:r>
      <w:r w:rsidRPr="00D2299A">
        <w:t xml:space="preserve">The </w:t>
      </w:r>
      <w:r w:rsidR="00AA34FF">
        <w:t>p</w:t>
      </w:r>
      <w:r w:rsidR="00AA34FF" w:rsidRPr="00D2299A">
        <w:t xml:space="preserve">rogram </w:t>
      </w:r>
      <w:r w:rsidRPr="00D2299A">
        <w:t>is clearly building momentum</w:t>
      </w:r>
      <w:r w:rsidR="00AA34FF">
        <w:t>. F</w:t>
      </w:r>
      <w:r w:rsidRPr="00D2299A">
        <w:t>or example in 2010, six activities were completed or underway</w:t>
      </w:r>
      <w:r w:rsidR="00AA34FF">
        <w:t xml:space="preserve"> and</w:t>
      </w:r>
      <w:r w:rsidR="00AA34FF" w:rsidRPr="00D2299A">
        <w:t xml:space="preserve"> </w:t>
      </w:r>
      <w:r w:rsidRPr="00D2299A">
        <w:t xml:space="preserve">in 2011, 18 activities </w:t>
      </w:r>
      <w:r w:rsidR="00AA34FF" w:rsidRPr="00D2299A">
        <w:t>ha</w:t>
      </w:r>
      <w:r w:rsidR="00AA34FF">
        <w:t>d</w:t>
      </w:r>
      <w:r w:rsidR="00AA34FF" w:rsidRPr="00D2299A">
        <w:t xml:space="preserve"> </w:t>
      </w:r>
      <w:r w:rsidRPr="00D2299A">
        <w:t xml:space="preserve">been approved or </w:t>
      </w:r>
      <w:r w:rsidR="00AA34FF">
        <w:t xml:space="preserve">were </w:t>
      </w:r>
      <w:r w:rsidRPr="00D2299A">
        <w:t>underway.</w:t>
      </w:r>
      <w:r w:rsidR="00AA34FF">
        <w:t xml:space="preserve"> </w:t>
      </w:r>
      <w:r w:rsidRPr="00D2299A">
        <w:t>Twenty</w:t>
      </w:r>
      <w:r w:rsidR="00AA34FF">
        <w:t>-</w:t>
      </w:r>
      <w:r w:rsidRPr="00D2299A">
        <w:t xml:space="preserve">nine projects are either completed or underway, and the project pipeline has the potential to increase the number of projects for the remaining years of the </w:t>
      </w:r>
      <w:r w:rsidR="00AA34FF">
        <w:t>p</w:t>
      </w:r>
      <w:r w:rsidR="00AA34FF" w:rsidRPr="00D2299A">
        <w:t>rogram</w:t>
      </w:r>
      <w:r w:rsidRPr="00D2299A">
        <w:t>. A detailed breakdown of these projects, together with information regarding outreach and awareness raising activities, is at Attachment B.</w:t>
      </w:r>
      <w:r w:rsidR="005856D4">
        <w:t xml:space="preserve"> </w:t>
      </w:r>
      <w:r w:rsidRPr="00D2299A">
        <w:t>Since commencement, program expenditure has been less than that anticipated under the AECSP design.</w:t>
      </w:r>
      <w:r w:rsidR="005856D4">
        <w:t xml:space="preserve"> </w:t>
      </w:r>
      <w:r w:rsidRPr="00D2299A">
        <w:t>AusAID funding has increased incrementally, with total AusAID funding to date of $4</w:t>
      </w:r>
      <w:r w:rsidR="00AA34FF">
        <w:t xml:space="preserve"> </w:t>
      </w:r>
      <w:r w:rsidRPr="00D2299A">
        <w:t>794</w:t>
      </w:r>
      <w:r w:rsidR="00AA34FF">
        <w:t xml:space="preserve"> </w:t>
      </w:r>
      <w:r w:rsidRPr="00D2299A">
        <w:t>426.</w:t>
      </w:r>
      <w:r w:rsidR="005856D4">
        <w:t xml:space="preserve"> </w:t>
      </w:r>
      <w:r w:rsidRPr="00D2299A">
        <w:t xml:space="preserve">However, while taking into account the </w:t>
      </w:r>
      <w:r w:rsidR="00AA34FF">
        <w:t>p</w:t>
      </w:r>
      <w:r w:rsidR="00AA34FF" w:rsidRPr="00D2299A">
        <w:t xml:space="preserve">roject </w:t>
      </w:r>
      <w:r w:rsidRPr="00D2299A">
        <w:t xml:space="preserve">pipeline, total </w:t>
      </w:r>
      <w:r w:rsidRPr="00D2299A">
        <w:lastRenderedPageBreak/>
        <w:t>program expenditure to 2013</w:t>
      </w:r>
      <w:r w:rsidR="00AA34FF">
        <w:t>–</w:t>
      </w:r>
      <w:r w:rsidRPr="00D2299A">
        <w:t>14 is expected to be significantly less than the program design’s projected expenditure of up to $20 million.</w:t>
      </w:r>
    </w:p>
    <w:p w14:paraId="4283E00A" w14:textId="33A6F1B3" w:rsidR="00530BA8" w:rsidRPr="00D2299A" w:rsidRDefault="00530BA8" w:rsidP="00530BA8">
      <w:pPr>
        <w:pStyle w:val="List2"/>
      </w:pPr>
      <w:r w:rsidRPr="00D2299A">
        <w:t>1.4</w:t>
      </w:r>
      <w:r>
        <w:tab/>
      </w:r>
      <w:r w:rsidRPr="00D2299A">
        <w:t xml:space="preserve">As the </w:t>
      </w:r>
      <w:r w:rsidR="00AA34FF">
        <w:t>p</w:t>
      </w:r>
      <w:r w:rsidR="00AA34FF" w:rsidRPr="00D2299A">
        <w:t xml:space="preserve">rogram </w:t>
      </w:r>
      <w:r w:rsidRPr="00D2299A">
        <w:t xml:space="preserve">is being delivered in partnership with ASEAN and </w:t>
      </w:r>
      <w:r w:rsidR="00AA34FF">
        <w:t xml:space="preserve">the </w:t>
      </w:r>
      <w:r w:rsidR="00FA23AA">
        <w:t xml:space="preserve">ASEAN </w:t>
      </w:r>
      <w:r w:rsidR="00AA34FF">
        <w:t>Secretariat</w:t>
      </w:r>
      <w:r w:rsidRPr="00D2299A">
        <w:t>, the involvement of ASEAN (including the F</w:t>
      </w:r>
      <w:r w:rsidR="00AA34FF">
        <w:t xml:space="preserve">ree </w:t>
      </w:r>
      <w:r w:rsidRPr="00D2299A">
        <w:t>T</w:t>
      </w:r>
      <w:r w:rsidR="00AA34FF">
        <w:t xml:space="preserve">rade </w:t>
      </w:r>
      <w:r w:rsidRPr="00D2299A">
        <w:t>A</w:t>
      </w:r>
      <w:r w:rsidR="00AA34FF">
        <w:t>greement</w:t>
      </w:r>
      <w:r w:rsidRPr="00D2299A">
        <w:t xml:space="preserve"> Joint Committees) and </w:t>
      </w:r>
      <w:r w:rsidR="00AA34FF">
        <w:t xml:space="preserve">the </w:t>
      </w:r>
      <w:r w:rsidR="00FA23AA">
        <w:t xml:space="preserve">ASEAN </w:t>
      </w:r>
      <w:r w:rsidR="00AA34FF">
        <w:t xml:space="preserve">Secretariat </w:t>
      </w:r>
      <w:r w:rsidRPr="00D2299A">
        <w:t xml:space="preserve">is crucial given that they must commit to jointly engaging in the process and following through on the agreed recommendations of the </w:t>
      </w:r>
      <w:r w:rsidR="00AA34FF" w:rsidRPr="00D2299A">
        <w:t>independent progress report</w:t>
      </w:r>
      <w:r w:rsidRPr="00D2299A">
        <w:t xml:space="preserve">. </w:t>
      </w:r>
      <w:r w:rsidR="00AA34FF">
        <w:t xml:space="preserve">Officers from the </w:t>
      </w:r>
      <w:r w:rsidR="00FA23AA">
        <w:t xml:space="preserve">ASEAN </w:t>
      </w:r>
      <w:r w:rsidR="00AA34FF">
        <w:t>Secretariat</w:t>
      </w:r>
      <w:r w:rsidRPr="00D2299A">
        <w:t xml:space="preserve">, </w:t>
      </w:r>
      <w:r w:rsidR="00AA34FF">
        <w:t>Department of Foreign Affairs and Trade,</w:t>
      </w:r>
      <w:r w:rsidR="00AA34FF" w:rsidRPr="00D2299A">
        <w:t xml:space="preserve"> </w:t>
      </w:r>
      <w:r w:rsidRPr="00D2299A">
        <w:t xml:space="preserve">and </w:t>
      </w:r>
      <w:r w:rsidR="00AA34FF">
        <w:t>New Zealand Ministry of Foreign Affairs and Trade</w:t>
      </w:r>
      <w:r w:rsidR="00AA34FF" w:rsidRPr="00D2299A">
        <w:t xml:space="preserve"> </w:t>
      </w:r>
      <w:r w:rsidRPr="00D2299A">
        <w:t xml:space="preserve">will be invited to participate in and contribute to the </w:t>
      </w:r>
      <w:r w:rsidR="00AA34FF" w:rsidRPr="00D2299A">
        <w:t>independent progress report</w:t>
      </w:r>
      <w:r w:rsidRPr="00D2299A">
        <w:t xml:space="preserve"> through the consultation process and the in-country mission.</w:t>
      </w:r>
      <w:r w:rsidR="005856D4">
        <w:t xml:space="preserve"> </w:t>
      </w:r>
      <w:r w:rsidRPr="00D2299A">
        <w:t>The F</w:t>
      </w:r>
      <w:r w:rsidR="00AA34FF">
        <w:t xml:space="preserve">ree </w:t>
      </w:r>
      <w:r w:rsidRPr="00D2299A">
        <w:t>T</w:t>
      </w:r>
      <w:r w:rsidR="00AA34FF">
        <w:t xml:space="preserve">rade </w:t>
      </w:r>
      <w:r w:rsidRPr="00D2299A">
        <w:t>A</w:t>
      </w:r>
      <w:r w:rsidR="00AA34FF">
        <w:t>greement</w:t>
      </w:r>
      <w:r w:rsidRPr="00D2299A">
        <w:t xml:space="preserve"> Joint Committee will be given the opportunity to comment on and approve </w:t>
      </w:r>
      <w:r w:rsidR="00F07A8A">
        <w:t>(</w:t>
      </w:r>
      <w:r w:rsidRPr="00D2299A">
        <w:t>if acceptable</w:t>
      </w:r>
      <w:r w:rsidR="00F07A8A">
        <w:t>)</w:t>
      </w:r>
      <w:r w:rsidRPr="00D2299A">
        <w:t xml:space="preserve">, the </w:t>
      </w:r>
      <w:r w:rsidR="00AA34FF">
        <w:t>terms of reference</w:t>
      </w:r>
      <w:r w:rsidRPr="00D2299A">
        <w:t xml:space="preserve">, participate in consultations with the </w:t>
      </w:r>
      <w:r w:rsidR="00AA34FF" w:rsidRPr="00D2299A">
        <w:t>independent progress report</w:t>
      </w:r>
      <w:r w:rsidR="00AA34FF" w:rsidRPr="00D2299A" w:rsidDel="00AA34FF">
        <w:t xml:space="preserve"> </w:t>
      </w:r>
      <w:r w:rsidRPr="00D2299A">
        <w:t>team</w:t>
      </w:r>
      <w:r w:rsidR="00826731">
        <w:t>,</w:t>
      </w:r>
      <w:r w:rsidRPr="00D2299A">
        <w:t xml:space="preserve"> and be part of the approval process for the final report.</w:t>
      </w:r>
    </w:p>
    <w:p w14:paraId="5836BF51" w14:textId="77777777" w:rsidR="00530BA8" w:rsidRPr="00D2299A" w:rsidRDefault="00530BA8" w:rsidP="00530BA8">
      <w:pPr>
        <w:rPr>
          <w:rFonts w:cs="Arial"/>
          <w:b/>
          <w:szCs w:val="20"/>
        </w:rPr>
      </w:pPr>
    </w:p>
    <w:p w14:paraId="47565E8B" w14:textId="77777777" w:rsidR="00530BA8" w:rsidRPr="00D2299A" w:rsidRDefault="00530BA8" w:rsidP="00714B4B">
      <w:pPr>
        <w:pStyle w:val="ListParagraph"/>
        <w:numPr>
          <w:ilvl w:val="0"/>
          <w:numId w:val="15"/>
        </w:numPr>
        <w:tabs>
          <w:tab w:val="left" w:pos="567"/>
        </w:tabs>
        <w:spacing w:before="0" w:after="0"/>
        <w:ind w:left="851" w:hanging="709"/>
        <w:rPr>
          <w:rFonts w:cs="Arial"/>
          <w:b/>
          <w:szCs w:val="20"/>
        </w:rPr>
      </w:pPr>
      <w:r w:rsidRPr="00D2299A">
        <w:rPr>
          <w:rFonts w:cs="Arial"/>
          <w:b/>
          <w:szCs w:val="20"/>
        </w:rPr>
        <w:t>OBJECTIVES OF THE REVIEW</w:t>
      </w:r>
    </w:p>
    <w:p w14:paraId="5775C559" w14:textId="79C6A5D9" w:rsidR="00530BA8" w:rsidRPr="00D2299A" w:rsidRDefault="00530BA8" w:rsidP="00530BA8">
      <w:pPr>
        <w:pStyle w:val="List2"/>
      </w:pPr>
      <w:r w:rsidRPr="00D2299A">
        <w:t>2.1</w:t>
      </w:r>
      <w:r>
        <w:tab/>
      </w:r>
      <w:r w:rsidRPr="00D2299A">
        <w:t xml:space="preserve">The </w:t>
      </w:r>
      <w:r w:rsidR="00826731" w:rsidRPr="00D2299A">
        <w:t>independent progress report</w:t>
      </w:r>
      <w:r w:rsidR="00826731" w:rsidRPr="00D2299A" w:rsidDel="00826731">
        <w:t xml:space="preserve"> </w:t>
      </w:r>
      <w:r w:rsidRPr="00D2299A">
        <w:t xml:space="preserve">will make recommendations for the remainder of the </w:t>
      </w:r>
      <w:r w:rsidR="00826731">
        <w:t>p</w:t>
      </w:r>
      <w:r w:rsidR="00826731" w:rsidRPr="00D2299A">
        <w:t xml:space="preserve">rogram </w:t>
      </w:r>
      <w:r w:rsidRPr="00D2299A">
        <w:t xml:space="preserve">and propose appropriate changes to budgets, resources and timeframes as required. Importantly the </w:t>
      </w:r>
      <w:r w:rsidR="00826731">
        <w:t>report</w:t>
      </w:r>
      <w:r w:rsidR="00826731" w:rsidRPr="00D2299A">
        <w:t xml:space="preserve"> </w:t>
      </w:r>
      <w:r w:rsidRPr="00D2299A">
        <w:t xml:space="preserve">will put forward options to ensure optimal sustainable outcomes from the </w:t>
      </w:r>
      <w:r w:rsidR="00826731">
        <w:t>p</w:t>
      </w:r>
      <w:r w:rsidR="00826731" w:rsidRPr="00D2299A">
        <w:t>rogram</w:t>
      </w:r>
      <w:r w:rsidRPr="00D2299A">
        <w:t>, taking into account the time and resources available.</w:t>
      </w:r>
      <w:r w:rsidR="005856D4">
        <w:t xml:space="preserve"> </w:t>
      </w:r>
      <w:r w:rsidRPr="00D2299A">
        <w:t xml:space="preserve">The </w:t>
      </w:r>
      <w:r w:rsidR="00826731">
        <w:t>report</w:t>
      </w:r>
      <w:r w:rsidR="00826731" w:rsidRPr="00D2299A">
        <w:t xml:space="preserve"> </w:t>
      </w:r>
      <w:r w:rsidRPr="00D2299A">
        <w:t xml:space="preserve">will also examine the governance arrangements for AECSP to ascertain whether they remain appropriate and relevant. The objectives of the </w:t>
      </w:r>
      <w:r w:rsidR="00826731" w:rsidRPr="00D2299A">
        <w:t>independent progress report</w:t>
      </w:r>
      <w:r w:rsidR="00826731" w:rsidRPr="00D2299A" w:rsidDel="00826731">
        <w:t xml:space="preserve"> </w:t>
      </w:r>
      <w:r w:rsidRPr="00D2299A">
        <w:t>are to:</w:t>
      </w:r>
    </w:p>
    <w:p w14:paraId="5C20D2C7" w14:textId="1D59DEC8" w:rsidR="00530BA8" w:rsidRPr="00D2299A" w:rsidRDefault="00530BA8" w:rsidP="00530BA8">
      <w:pPr>
        <w:pStyle w:val="List3"/>
      </w:pPr>
      <w:r w:rsidRPr="00D2299A">
        <w:t>a)</w:t>
      </w:r>
      <w:r>
        <w:tab/>
      </w:r>
      <w:r w:rsidRPr="00D2299A">
        <w:t>assess the performance of AECSP against the Development Assistance</w:t>
      </w:r>
      <w:r w:rsidR="005856D4">
        <w:t xml:space="preserve"> </w:t>
      </w:r>
      <w:r w:rsidRPr="00D2299A">
        <w:t>Committee evaluation criteria of relevance, efficiency, effectiveness, impact and sustainability</w:t>
      </w:r>
      <w:r w:rsidR="00826731">
        <w:t>,</w:t>
      </w:r>
      <w:r w:rsidR="00826731" w:rsidRPr="00D2299A">
        <w:t xml:space="preserve"> </w:t>
      </w:r>
      <w:r w:rsidRPr="00D2299A">
        <w:t>and the AusAID criteria of monitoring and evaluation and gender equality</w:t>
      </w:r>
    </w:p>
    <w:p w14:paraId="72430843" w14:textId="6D0F6CD7" w:rsidR="00530BA8" w:rsidRPr="00D2299A" w:rsidRDefault="00530BA8" w:rsidP="00530BA8">
      <w:pPr>
        <w:pStyle w:val="List3"/>
      </w:pPr>
      <w:r w:rsidRPr="00D2299A">
        <w:t>b)</w:t>
      </w:r>
      <w:r>
        <w:tab/>
      </w:r>
      <w:r w:rsidRPr="00D2299A">
        <w:t xml:space="preserve">assess AECSP’s success in addressing overall performance, including adequately promoting gender equality, establishing and operationalising a robust monitoring and evaluation system, and undertaking ongoing analysis of the operation of the </w:t>
      </w:r>
      <w:r w:rsidR="00826731">
        <w:t>p</w:t>
      </w:r>
      <w:r w:rsidR="00826731" w:rsidRPr="00D2299A">
        <w:t>rogram</w:t>
      </w:r>
      <w:r w:rsidRPr="00D2299A">
        <w:t>, drawing out major lessons learned and taking remedial action to ensure continuous improvement</w:t>
      </w:r>
    </w:p>
    <w:p w14:paraId="10A0E8BB" w14:textId="18608315" w:rsidR="00530BA8" w:rsidRPr="00D2299A" w:rsidRDefault="00530BA8" w:rsidP="00530BA8">
      <w:pPr>
        <w:pStyle w:val="List3"/>
      </w:pPr>
      <w:r w:rsidRPr="00D2299A">
        <w:t>c)</w:t>
      </w:r>
      <w:r>
        <w:tab/>
      </w:r>
      <w:r w:rsidRPr="00D2299A">
        <w:t xml:space="preserve">determine if there are issues affecting AECSP’s performance </w:t>
      </w:r>
      <w:r w:rsidR="00826731">
        <w:t>(</w:t>
      </w:r>
      <w:r w:rsidRPr="00D2299A">
        <w:t>and</w:t>
      </w:r>
      <w:r w:rsidR="005856D4">
        <w:t xml:space="preserve"> </w:t>
      </w:r>
      <w:r w:rsidRPr="00D2299A">
        <w:t>if so, propose solutions</w:t>
      </w:r>
      <w:r w:rsidR="00826731">
        <w:t>––f</w:t>
      </w:r>
      <w:r w:rsidRPr="00D2299A">
        <w:t>or example assessing the effectiveness of the partnership delivery mechanism</w:t>
      </w:r>
      <w:r w:rsidR="00826731">
        <w:t>)</w:t>
      </w:r>
      <w:r w:rsidRPr="00D2299A">
        <w:t xml:space="preserve"> and </w:t>
      </w:r>
      <w:r w:rsidR="00FA23AA">
        <w:t xml:space="preserve">ASEAN </w:t>
      </w:r>
      <w:r w:rsidR="00826731">
        <w:t xml:space="preserve">Secretariat </w:t>
      </w:r>
      <w:r w:rsidRPr="00D2299A">
        <w:t>processes and capacity limitations.</w:t>
      </w:r>
      <w:r w:rsidR="005856D4">
        <w:t xml:space="preserve"> </w:t>
      </w:r>
      <w:r w:rsidRPr="00D2299A">
        <w:t>Particular attention should be paid to identifying lessons learned and practices to draw on for designing future programs of ASEAN</w:t>
      </w:r>
      <w:r w:rsidR="00826731">
        <w:t>–</w:t>
      </w:r>
      <w:r w:rsidRPr="00D2299A">
        <w:t>Australian development cooperation</w:t>
      </w:r>
    </w:p>
    <w:p w14:paraId="080D011D" w14:textId="37BA9148" w:rsidR="00530BA8" w:rsidRPr="00D2299A" w:rsidRDefault="00530BA8" w:rsidP="00530BA8">
      <w:pPr>
        <w:pStyle w:val="List3"/>
      </w:pPr>
      <w:r w:rsidRPr="00D2299A">
        <w:t>d)</w:t>
      </w:r>
      <w:r>
        <w:tab/>
      </w:r>
      <w:r w:rsidRPr="00D2299A">
        <w:t>examine the existing management arrangements with a view to devolving</w:t>
      </w:r>
      <w:r w:rsidR="005856D4">
        <w:t xml:space="preserve"> </w:t>
      </w:r>
      <w:r w:rsidRPr="00D2299A">
        <w:t xml:space="preserve">AusAID Canberra’s management of the program to </w:t>
      </w:r>
      <w:r w:rsidR="00826731">
        <w:t xml:space="preserve">the </w:t>
      </w:r>
      <w:r w:rsidR="006F2FAC">
        <w:t>AusAID</w:t>
      </w:r>
      <w:r w:rsidRPr="00D2299A">
        <w:t xml:space="preserve"> East Asia regional team in Jakarta</w:t>
      </w:r>
    </w:p>
    <w:p w14:paraId="75F06B55" w14:textId="6C6C8322" w:rsidR="00530BA8" w:rsidRPr="00D2299A" w:rsidRDefault="00530BA8" w:rsidP="00530BA8">
      <w:pPr>
        <w:pStyle w:val="List3"/>
      </w:pPr>
      <w:r w:rsidRPr="00D2299A">
        <w:t>e)</w:t>
      </w:r>
      <w:r w:rsidRPr="00D2299A">
        <w:tab/>
        <w:t xml:space="preserve">review the accountability and governance arrangements for the </w:t>
      </w:r>
      <w:r w:rsidR="00826731">
        <w:t>p</w:t>
      </w:r>
      <w:r w:rsidR="00826731" w:rsidRPr="00D2299A">
        <w:t>rogram</w:t>
      </w:r>
    </w:p>
    <w:p w14:paraId="235285C1" w14:textId="19EF9854" w:rsidR="00530BA8" w:rsidRPr="00D2299A" w:rsidRDefault="00530BA8" w:rsidP="00530BA8">
      <w:pPr>
        <w:pStyle w:val="List3"/>
        <w:rPr>
          <w:rFonts w:eastAsia="Calibri"/>
          <w:color w:val="000080"/>
        </w:rPr>
      </w:pPr>
      <w:r w:rsidRPr="00D2299A">
        <w:t>f)</w:t>
      </w:r>
      <w:r w:rsidRPr="00D2299A">
        <w:tab/>
        <w:t xml:space="preserve">determine whether there is a demonstrated development need to extend the </w:t>
      </w:r>
      <w:r w:rsidR="00826731">
        <w:t>p</w:t>
      </w:r>
      <w:r w:rsidR="00826731" w:rsidRPr="00D2299A">
        <w:t xml:space="preserve">rogram </w:t>
      </w:r>
      <w:r w:rsidRPr="00D2299A">
        <w:t xml:space="preserve">beyond the current end date </w:t>
      </w:r>
    </w:p>
    <w:p w14:paraId="2FE209EB" w14:textId="62E9E468" w:rsidR="00530BA8" w:rsidRPr="00D2299A" w:rsidRDefault="00530BA8" w:rsidP="00530BA8">
      <w:pPr>
        <w:pStyle w:val="List3"/>
      </w:pPr>
      <w:r w:rsidRPr="00D2299A">
        <w:t>g)</w:t>
      </w:r>
      <w:r>
        <w:tab/>
      </w:r>
      <w:r w:rsidRPr="00D2299A">
        <w:t xml:space="preserve">address any other issues that the </w:t>
      </w:r>
      <w:r w:rsidR="00826731" w:rsidRPr="00D2299A">
        <w:t>independent progress report</w:t>
      </w:r>
      <w:r w:rsidR="00826731" w:rsidRPr="00D2299A" w:rsidDel="00826731">
        <w:t xml:space="preserve"> </w:t>
      </w:r>
      <w:r w:rsidRPr="00D2299A">
        <w:t xml:space="preserve">team considers necessary for the successful completion of </w:t>
      </w:r>
      <w:r w:rsidR="00826731">
        <w:t>its review</w:t>
      </w:r>
      <w:r w:rsidR="00826731" w:rsidRPr="00D2299A">
        <w:t xml:space="preserve"> </w:t>
      </w:r>
    </w:p>
    <w:p w14:paraId="0DA336D2" w14:textId="77777777" w:rsidR="00530BA8" w:rsidRDefault="00530BA8" w:rsidP="00530BA8">
      <w:pPr>
        <w:pStyle w:val="List3"/>
      </w:pPr>
      <w:r w:rsidRPr="00D2299A">
        <w:t>h)</w:t>
      </w:r>
      <w:r>
        <w:tab/>
      </w:r>
      <w:r w:rsidRPr="00D2299A">
        <w:t>make recommendations for the future directions of AECSP in relation to available budget and resources to promote improvements in effectiveness and efficiency.</w:t>
      </w:r>
    </w:p>
    <w:p w14:paraId="497ABD7A" w14:textId="77777777" w:rsidR="00530BA8" w:rsidRPr="00D2299A" w:rsidRDefault="00530BA8" w:rsidP="00530BA8">
      <w:pPr>
        <w:rPr>
          <w:rFonts w:cs="Arial"/>
          <w:szCs w:val="20"/>
        </w:rPr>
      </w:pPr>
    </w:p>
    <w:p w14:paraId="04C3CB17" w14:textId="77777777" w:rsidR="00530BA8" w:rsidRPr="00D2299A" w:rsidRDefault="00530BA8" w:rsidP="00826731">
      <w:pPr>
        <w:pStyle w:val="ListParagraph"/>
        <w:numPr>
          <w:ilvl w:val="0"/>
          <w:numId w:val="18"/>
        </w:numPr>
        <w:spacing w:before="0" w:after="0"/>
        <w:ind w:left="567" w:hanging="425"/>
        <w:rPr>
          <w:rFonts w:cs="Arial"/>
          <w:b/>
          <w:szCs w:val="20"/>
        </w:rPr>
      </w:pPr>
      <w:r w:rsidRPr="00D2299A">
        <w:rPr>
          <w:rFonts w:cs="Arial"/>
          <w:b/>
          <w:szCs w:val="20"/>
        </w:rPr>
        <w:t>EVALUATION METHOD</w:t>
      </w:r>
    </w:p>
    <w:p w14:paraId="6652D5B2" w14:textId="0B644F47" w:rsidR="00530BA8" w:rsidRDefault="00530BA8" w:rsidP="00530BA8">
      <w:pPr>
        <w:pStyle w:val="List2"/>
      </w:pPr>
      <w:r w:rsidRPr="00D2299A">
        <w:t>3.1</w:t>
      </w:r>
      <w:r w:rsidRPr="00D2299A">
        <w:tab/>
        <w:t xml:space="preserve">The </w:t>
      </w:r>
      <w:r w:rsidR="00826731" w:rsidRPr="00D2299A">
        <w:t>team leader</w:t>
      </w:r>
      <w:r w:rsidRPr="00D2299A">
        <w:t xml:space="preserve">, in consultation with the team member, will draft an evaluation plan at least two weeks </w:t>
      </w:r>
      <w:r w:rsidR="00826731">
        <w:t>before</w:t>
      </w:r>
      <w:r w:rsidRPr="00D2299A">
        <w:t xml:space="preserve"> the in-country mission for approval by AusAID and </w:t>
      </w:r>
      <w:r w:rsidR="00826731">
        <w:t xml:space="preserve">the </w:t>
      </w:r>
      <w:r w:rsidR="00FA23AA">
        <w:t xml:space="preserve">ASEAN </w:t>
      </w:r>
      <w:r w:rsidR="00826731">
        <w:t>Secretariat</w:t>
      </w:r>
      <w:r w:rsidRPr="00D2299A">
        <w:t>. The plan will expand on the evaluation questions (Annex 1</w:t>
      </w:r>
      <w:r w:rsidR="00826731" w:rsidRPr="00D2299A">
        <w:t>)</w:t>
      </w:r>
      <w:r w:rsidR="00826731">
        <w:t>,</w:t>
      </w:r>
      <w:r w:rsidR="00826731" w:rsidRPr="00D2299A">
        <w:t xml:space="preserve"> </w:t>
      </w:r>
      <w:r w:rsidRPr="00D2299A">
        <w:t>describe the evaluation methodologies to be used</w:t>
      </w:r>
      <w:r w:rsidR="00826731">
        <w:t>,</w:t>
      </w:r>
      <w:r w:rsidR="00826731" w:rsidRPr="00D2299A">
        <w:t xml:space="preserve"> </w:t>
      </w:r>
      <w:r w:rsidRPr="00D2299A">
        <w:t xml:space="preserve">and provide an indicative report structure. The </w:t>
      </w:r>
      <w:r w:rsidR="00826731" w:rsidRPr="00D2299A">
        <w:t>independent progress report</w:t>
      </w:r>
      <w:r w:rsidR="00826731" w:rsidRPr="00D2299A" w:rsidDel="00826731">
        <w:t xml:space="preserve"> </w:t>
      </w:r>
      <w:r w:rsidRPr="00D2299A">
        <w:t xml:space="preserve">will be undertaken according to the approved evaluation plan. </w:t>
      </w:r>
      <w:r w:rsidR="00826731">
        <w:t>A</w:t>
      </w:r>
      <w:r w:rsidR="00826731" w:rsidRPr="00D2299A">
        <w:t>s a minimum</w:t>
      </w:r>
      <w:r w:rsidR="00826731">
        <w:t>,</w:t>
      </w:r>
      <w:r w:rsidR="00826731" w:rsidRPr="00D2299A">
        <w:t xml:space="preserve"> </w:t>
      </w:r>
      <w:r w:rsidR="00826731">
        <w:t>t</w:t>
      </w:r>
      <w:r w:rsidR="00826731" w:rsidRPr="00D2299A">
        <w:t xml:space="preserve">he </w:t>
      </w:r>
      <w:r w:rsidRPr="00D2299A">
        <w:t xml:space="preserve">evaluation approach should include a document review and analysis by the team and accompanying </w:t>
      </w:r>
      <w:r w:rsidR="00FA23AA">
        <w:t xml:space="preserve">ASEAN </w:t>
      </w:r>
      <w:r w:rsidR="00826731">
        <w:t>Secretariat</w:t>
      </w:r>
      <w:r w:rsidRPr="00D2299A">
        <w:t>, AusAID, D</w:t>
      </w:r>
      <w:r w:rsidR="00826731">
        <w:t xml:space="preserve">epartment of </w:t>
      </w:r>
      <w:r w:rsidRPr="00D2299A">
        <w:t>F</w:t>
      </w:r>
      <w:r w:rsidR="00826731">
        <w:t xml:space="preserve">oreign </w:t>
      </w:r>
      <w:r w:rsidRPr="00D2299A">
        <w:t>A</w:t>
      </w:r>
      <w:r w:rsidR="00826731">
        <w:t xml:space="preserve">ffairs and </w:t>
      </w:r>
      <w:r w:rsidRPr="00D2299A">
        <w:t>T</w:t>
      </w:r>
      <w:r w:rsidR="00826731">
        <w:t>rade</w:t>
      </w:r>
      <w:r w:rsidR="006F2FAC">
        <w:t>,</w:t>
      </w:r>
      <w:r w:rsidR="00826731">
        <w:t xml:space="preserve"> </w:t>
      </w:r>
      <w:r w:rsidRPr="00D2299A">
        <w:t xml:space="preserve">and </w:t>
      </w:r>
      <w:r w:rsidR="00826731">
        <w:t xml:space="preserve">New Zealand </w:t>
      </w:r>
      <w:r w:rsidRPr="00D2299A">
        <w:t>M</w:t>
      </w:r>
      <w:r w:rsidR="00826731">
        <w:t xml:space="preserve">inistry of </w:t>
      </w:r>
      <w:r w:rsidRPr="00D2299A">
        <w:t>F</w:t>
      </w:r>
      <w:r w:rsidR="00826731">
        <w:t xml:space="preserve">oreign </w:t>
      </w:r>
      <w:r w:rsidRPr="00D2299A">
        <w:t>A</w:t>
      </w:r>
      <w:r w:rsidR="00826731">
        <w:t xml:space="preserve">ffairs and </w:t>
      </w:r>
      <w:r w:rsidRPr="00D2299A">
        <w:t>T</w:t>
      </w:r>
      <w:r w:rsidR="00826731">
        <w:t>rade</w:t>
      </w:r>
      <w:r w:rsidRPr="00D2299A">
        <w:t xml:space="preserve"> </w:t>
      </w:r>
      <w:r w:rsidRPr="00D2299A">
        <w:lastRenderedPageBreak/>
        <w:t xml:space="preserve">representatives, an in-country mission and stakeholder consultations. A non-exhaustive list of reference documents is provided at paragraph 7 below. </w:t>
      </w:r>
    </w:p>
    <w:p w14:paraId="4036EB33" w14:textId="54CCCDC3" w:rsidR="00530BA8" w:rsidRPr="00D2299A" w:rsidRDefault="00530BA8" w:rsidP="00530BA8">
      <w:pPr>
        <w:pStyle w:val="List2"/>
      </w:pPr>
      <w:r w:rsidRPr="00D2299A">
        <w:t>3.2</w:t>
      </w:r>
      <w:r w:rsidR="00826731">
        <w:tab/>
      </w:r>
      <w:r w:rsidRPr="00D2299A">
        <w:t>Using the generic evaluation questions in Annex 1 as a basis, the team should:</w:t>
      </w:r>
    </w:p>
    <w:p w14:paraId="15E9D2CE" w14:textId="4FFE86BC" w:rsidR="00530BA8" w:rsidRPr="00D2299A" w:rsidRDefault="00530BA8" w:rsidP="00530BA8">
      <w:pPr>
        <w:pStyle w:val="ListParagraph"/>
        <w:ind w:left="0" w:firstLine="720"/>
        <w:rPr>
          <w:rFonts w:cs="Arial"/>
          <w:szCs w:val="20"/>
        </w:rPr>
      </w:pPr>
      <w:r>
        <w:rPr>
          <w:rFonts w:cs="Arial"/>
          <w:szCs w:val="20"/>
        </w:rPr>
        <w:t>•</w:t>
      </w:r>
      <w:r>
        <w:rPr>
          <w:rFonts w:cs="Arial"/>
          <w:szCs w:val="20"/>
        </w:rPr>
        <w:tab/>
      </w:r>
      <w:r w:rsidRPr="00D2299A">
        <w:rPr>
          <w:rFonts w:cs="Arial"/>
          <w:szCs w:val="20"/>
        </w:rPr>
        <w:t>fine-tune these evaluation questions</w:t>
      </w:r>
    </w:p>
    <w:p w14:paraId="4648E30E" w14:textId="7283AC6A" w:rsidR="00530BA8" w:rsidRPr="00D2299A" w:rsidRDefault="00530BA8" w:rsidP="00530BA8">
      <w:pPr>
        <w:pStyle w:val="ListParagraph"/>
        <w:ind w:left="0" w:firstLine="720"/>
        <w:rPr>
          <w:rFonts w:cs="Arial"/>
          <w:szCs w:val="20"/>
        </w:rPr>
      </w:pPr>
      <w:r>
        <w:rPr>
          <w:rFonts w:cs="Arial"/>
          <w:szCs w:val="20"/>
        </w:rPr>
        <w:t>•</w:t>
      </w:r>
      <w:r>
        <w:rPr>
          <w:rFonts w:cs="Arial"/>
          <w:szCs w:val="20"/>
        </w:rPr>
        <w:tab/>
      </w:r>
      <w:r w:rsidRPr="00D2299A">
        <w:rPr>
          <w:rFonts w:cs="Arial"/>
          <w:szCs w:val="20"/>
        </w:rPr>
        <w:t>identify the key stakeholders to be interviewed</w:t>
      </w:r>
    </w:p>
    <w:p w14:paraId="753B6F18" w14:textId="407A61B5" w:rsidR="00530BA8" w:rsidRPr="00364569" w:rsidRDefault="00530BA8">
      <w:pPr>
        <w:pStyle w:val="ListParagraph"/>
        <w:ind w:left="0" w:firstLine="720"/>
        <w:rPr>
          <w:rFonts w:cs="Arial"/>
          <w:szCs w:val="20"/>
        </w:rPr>
      </w:pPr>
      <w:r>
        <w:rPr>
          <w:rFonts w:cs="Arial"/>
          <w:szCs w:val="20"/>
        </w:rPr>
        <w:t>•</w:t>
      </w:r>
      <w:r>
        <w:rPr>
          <w:rFonts w:cs="Arial"/>
          <w:szCs w:val="20"/>
        </w:rPr>
        <w:tab/>
      </w:r>
      <w:r w:rsidRPr="00D2299A">
        <w:rPr>
          <w:rFonts w:cs="Arial"/>
          <w:szCs w:val="20"/>
        </w:rPr>
        <w:t>convert these questions into a semi-formal interview forma</w:t>
      </w:r>
      <w:r w:rsidR="00826731">
        <w:rPr>
          <w:rFonts w:cs="Arial"/>
          <w:szCs w:val="20"/>
        </w:rPr>
        <w:t>t</w:t>
      </w:r>
    </w:p>
    <w:p w14:paraId="0421D1DA" w14:textId="77777777" w:rsidR="00530BA8" w:rsidRPr="00D2299A" w:rsidRDefault="00530BA8" w:rsidP="00826731">
      <w:pPr>
        <w:pStyle w:val="ListParagraph"/>
        <w:ind w:left="1418" w:hanging="709"/>
        <w:rPr>
          <w:rFonts w:cs="Arial"/>
          <w:szCs w:val="20"/>
        </w:rPr>
      </w:pPr>
      <w:r>
        <w:rPr>
          <w:rFonts w:cs="Arial"/>
          <w:szCs w:val="20"/>
        </w:rPr>
        <w:t>•</w:t>
      </w:r>
      <w:r>
        <w:rPr>
          <w:rFonts w:cs="Arial"/>
          <w:szCs w:val="20"/>
        </w:rPr>
        <w:tab/>
      </w:r>
      <w:r w:rsidRPr="00D2299A">
        <w:rPr>
          <w:rFonts w:cs="Arial"/>
          <w:szCs w:val="20"/>
        </w:rPr>
        <w:t>determine if the best approach to answering these questions will be through</w:t>
      </w:r>
      <w:r>
        <w:rPr>
          <w:rFonts w:cs="Arial"/>
          <w:szCs w:val="20"/>
        </w:rPr>
        <w:t xml:space="preserve"> </w:t>
      </w:r>
      <w:r w:rsidRPr="00D2299A">
        <w:rPr>
          <w:rFonts w:cs="Arial"/>
          <w:szCs w:val="20"/>
        </w:rPr>
        <w:t>one-on-one interviews with stakeholders or whether some balance between</w:t>
      </w:r>
      <w:r>
        <w:rPr>
          <w:rFonts w:cs="Arial"/>
          <w:szCs w:val="20"/>
        </w:rPr>
        <w:t xml:space="preserve"> </w:t>
      </w:r>
      <w:r w:rsidRPr="00D2299A">
        <w:rPr>
          <w:rFonts w:cs="Arial"/>
          <w:szCs w:val="20"/>
        </w:rPr>
        <w:t xml:space="preserve">focus groups and individual interviews will be more useful. </w:t>
      </w:r>
    </w:p>
    <w:p w14:paraId="5902F317" w14:textId="2241FB49" w:rsidR="00530BA8" w:rsidRDefault="00530BA8" w:rsidP="00530BA8">
      <w:pPr>
        <w:pStyle w:val="List2"/>
      </w:pPr>
      <w:r w:rsidRPr="00D2299A">
        <w:t>3.3</w:t>
      </w:r>
      <w:r w:rsidR="00826731">
        <w:tab/>
      </w:r>
      <w:r w:rsidR="00826731" w:rsidRPr="00714B4B">
        <w:t xml:space="preserve">Before </w:t>
      </w:r>
      <w:r w:rsidR="00714B4B">
        <w:t>commencing</w:t>
      </w:r>
      <w:r w:rsidRPr="00D2299A">
        <w:t xml:space="preserve"> the </w:t>
      </w:r>
      <w:r w:rsidR="00826731" w:rsidRPr="00D2299A">
        <w:t>independent progress report</w:t>
      </w:r>
      <w:r w:rsidRPr="00D2299A">
        <w:t>, the team should gain a thorough appreciation of AECSP’s context, rationale, desired outputs and outcomes, implementation methodologies, program management, monitoring and evaluation, results achieved, lessons learn</w:t>
      </w:r>
      <w:r w:rsidR="00F07A8A">
        <w:t>ed</w:t>
      </w:r>
      <w:r w:rsidRPr="00D2299A">
        <w:t xml:space="preserve"> </w:t>
      </w:r>
      <w:r w:rsidR="00826731">
        <w:t xml:space="preserve">and </w:t>
      </w:r>
      <w:r w:rsidRPr="00D2299A">
        <w:t>major issues.</w:t>
      </w:r>
    </w:p>
    <w:p w14:paraId="61349A89" w14:textId="77777777" w:rsidR="00530BA8" w:rsidRPr="00D2299A" w:rsidRDefault="00530BA8" w:rsidP="00530BA8">
      <w:pPr>
        <w:pStyle w:val="List2"/>
      </w:pPr>
    </w:p>
    <w:p w14:paraId="3A196A2A" w14:textId="1DBBE16B" w:rsidR="00530BA8" w:rsidRPr="00D2299A" w:rsidRDefault="00530BA8" w:rsidP="00530BA8">
      <w:pPr>
        <w:pStyle w:val="List2"/>
      </w:pPr>
      <w:r w:rsidRPr="00D2299A">
        <w:t xml:space="preserve">3.4 </w:t>
      </w:r>
      <w:r>
        <w:tab/>
      </w:r>
      <w:r w:rsidRPr="00D2299A">
        <w:t xml:space="preserve">Before departing Jakarta, the team will conduct a one-day workshop to ensure key stakeholders have a good understanding of the preliminary findings and issues arising from the </w:t>
      </w:r>
      <w:r w:rsidR="00826731" w:rsidRPr="00D2299A">
        <w:t>independent progress report</w:t>
      </w:r>
      <w:r w:rsidRPr="00D2299A">
        <w:t>.</w:t>
      </w:r>
    </w:p>
    <w:p w14:paraId="7C0A926A" w14:textId="77777777" w:rsidR="00530BA8" w:rsidRPr="00D2299A" w:rsidRDefault="00530BA8" w:rsidP="00530BA8">
      <w:pPr>
        <w:pStyle w:val="ListParagraph"/>
        <w:ind w:left="0"/>
        <w:rPr>
          <w:rFonts w:cs="Arial"/>
          <w:szCs w:val="20"/>
        </w:rPr>
      </w:pPr>
    </w:p>
    <w:p w14:paraId="3C9FDF73" w14:textId="77777777" w:rsidR="00530BA8" w:rsidRPr="00D2299A" w:rsidRDefault="00530BA8" w:rsidP="00826731">
      <w:pPr>
        <w:pStyle w:val="ListParagraph"/>
        <w:numPr>
          <w:ilvl w:val="0"/>
          <w:numId w:val="18"/>
        </w:numPr>
        <w:spacing w:before="0" w:after="0"/>
        <w:ind w:left="567" w:hanging="425"/>
        <w:rPr>
          <w:rFonts w:cs="Arial"/>
          <w:b/>
          <w:szCs w:val="20"/>
        </w:rPr>
      </w:pPr>
      <w:r w:rsidRPr="00D2299A">
        <w:rPr>
          <w:rFonts w:cs="Arial"/>
          <w:b/>
          <w:szCs w:val="20"/>
        </w:rPr>
        <w:t>TIMING AND DURATION</w:t>
      </w:r>
    </w:p>
    <w:p w14:paraId="6C484EDD" w14:textId="25217C5C" w:rsidR="00530BA8" w:rsidRPr="00D2299A" w:rsidRDefault="00530BA8" w:rsidP="00530BA8">
      <w:pPr>
        <w:pStyle w:val="List2"/>
      </w:pPr>
      <w:r>
        <w:t xml:space="preserve">4.1 </w:t>
      </w:r>
      <w:r>
        <w:tab/>
      </w:r>
      <w:r w:rsidRPr="00D2299A">
        <w:t xml:space="preserve">The </w:t>
      </w:r>
      <w:r w:rsidR="00826731" w:rsidRPr="00D2299A">
        <w:t>independent progress report</w:t>
      </w:r>
      <w:r w:rsidR="00826731" w:rsidRPr="00D2299A" w:rsidDel="00826731">
        <w:t xml:space="preserve"> </w:t>
      </w:r>
      <w:r w:rsidR="00826731">
        <w:t xml:space="preserve">process </w:t>
      </w:r>
      <w:r w:rsidRPr="00D2299A">
        <w:t>will take place from late February to mid April 2013. The following phases are required:</w:t>
      </w:r>
    </w:p>
    <w:tbl>
      <w:tblPr>
        <w:tblStyle w:val="TableGrid"/>
        <w:tblW w:w="5050" w:type="pct"/>
        <w:tblLayout w:type="fixed"/>
        <w:tblLook w:val="04A0" w:firstRow="1" w:lastRow="0" w:firstColumn="1" w:lastColumn="0" w:noHBand="0" w:noVBand="1"/>
        <w:tblCaption w:val="Timing and duration of independent progress report"/>
        <w:tblDescription w:val="This table outlines the tasks and outlines the indicative timing, location, input and output in relation to the independent progress report"/>
      </w:tblPr>
      <w:tblGrid>
        <w:gridCol w:w="1789"/>
        <w:gridCol w:w="1284"/>
        <w:gridCol w:w="1163"/>
        <w:gridCol w:w="907"/>
        <w:gridCol w:w="3361"/>
      </w:tblGrid>
      <w:tr w:rsidR="00530BA8" w:rsidRPr="00B56D6C" w14:paraId="1823820A" w14:textId="77777777" w:rsidTr="00714B4B">
        <w:trPr>
          <w:cnfStyle w:val="100000000000" w:firstRow="1" w:lastRow="0" w:firstColumn="0" w:lastColumn="0" w:oddVBand="0" w:evenVBand="0" w:oddHBand="0" w:evenHBand="0" w:firstRowFirstColumn="0" w:firstRowLastColumn="0" w:lastRowFirstColumn="0" w:lastRowLastColumn="0"/>
          <w:trHeight w:val="543"/>
        </w:trPr>
        <w:tc>
          <w:tcPr>
            <w:tcW w:w="1052" w:type="pct"/>
          </w:tcPr>
          <w:p w14:paraId="2D066B0C" w14:textId="77777777" w:rsidR="00530BA8" w:rsidRPr="00B56D6C" w:rsidRDefault="00530BA8" w:rsidP="00530BA8">
            <w:pPr>
              <w:overflowPunct w:val="0"/>
              <w:autoSpaceDE w:val="0"/>
              <w:autoSpaceDN w:val="0"/>
              <w:adjustRightInd w:val="0"/>
              <w:textAlignment w:val="baseline"/>
              <w:rPr>
                <w:rFonts w:cs="Arial"/>
                <w:b w:val="0"/>
              </w:rPr>
            </w:pPr>
            <w:r w:rsidRPr="00B56D6C">
              <w:rPr>
                <w:rFonts w:cs="Arial"/>
              </w:rPr>
              <w:t>Task</w:t>
            </w:r>
          </w:p>
        </w:tc>
        <w:tc>
          <w:tcPr>
            <w:tcW w:w="755" w:type="pct"/>
          </w:tcPr>
          <w:p w14:paraId="6A458173" w14:textId="77777777" w:rsidR="00530BA8" w:rsidRPr="00B56D6C" w:rsidRDefault="00530BA8" w:rsidP="00530BA8">
            <w:pPr>
              <w:overflowPunct w:val="0"/>
              <w:autoSpaceDE w:val="0"/>
              <w:autoSpaceDN w:val="0"/>
              <w:adjustRightInd w:val="0"/>
              <w:textAlignment w:val="baseline"/>
              <w:rPr>
                <w:rFonts w:cs="Arial"/>
                <w:b w:val="0"/>
              </w:rPr>
            </w:pPr>
            <w:r w:rsidRPr="00B56D6C">
              <w:rPr>
                <w:rFonts w:cs="Arial"/>
              </w:rPr>
              <w:t>Indicative timing</w:t>
            </w:r>
          </w:p>
        </w:tc>
        <w:tc>
          <w:tcPr>
            <w:tcW w:w="684" w:type="pct"/>
          </w:tcPr>
          <w:p w14:paraId="07840DAB" w14:textId="77777777" w:rsidR="00530BA8" w:rsidRPr="00B56D6C" w:rsidRDefault="00530BA8" w:rsidP="00530BA8">
            <w:pPr>
              <w:overflowPunct w:val="0"/>
              <w:autoSpaceDE w:val="0"/>
              <w:autoSpaceDN w:val="0"/>
              <w:adjustRightInd w:val="0"/>
              <w:textAlignment w:val="baseline"/>
              <w:rPr>
                <w:rFonts w:cs="Arial"/>
                <w:b w:val="0"/>
              </w:rPr>
            </w:pPr>
            <w:r w:rsidRPr="00B56D6C">
              <w:rPr>
                <w:rFonts w:cs="Arial"/>
              </w:rPr>
              <w:t>Location</w:t>
            </w:r>
          </w:p>
        </w:tc>
        <w:tc>
          <w:tcPr>
            <w:tcW w:w="533" w:type="pct"/>
          </w:tcPr>
          <w:p w14:paraId="700D1A62" w14:textId="77777777" w:rsidR="00530BA8" w:rsidRPr="00B56D6C" w:rsidRDefault="00530BA8" w:rsidP="00530BA8">
            <w:pPr>
              <w:overflowPunct w:val="0"/>
              <w:autoSpaceDE w:val="0"/>
              <w:autoSpaceDN w:val="0"/>
              <w:adjustRightInd w:val="0"/>
              <w:textAlignment w:val="baseline"/>
              <w:rPr>
                <w:rFonts w:cs="Arial"/>
                <w:b w:val="0"/>
              </w:rPr>
            </w:pPr>
            <w:r w:rsidRPr="00B56D6C">
              <w:rPr>
                <w:rFonts w:cs="Arial"/>
              </w:rPr>
              <w:t>Input</w:t>
            </w:r>
          </w:p>
        </w:tc>
        <w:tc>
          <w:tcPr>
            <w:tcW w:w="1976" w:type="pct"/>
          </w:tcPr>
          <w:p w14:paraId="41BA0375" w14:textId="77777777" w:rsidR="00530BA8" w:rsidRPr="00B56D6C" w:rsidRDefault="00530BA8" w:rsidP="00530BA8">
            <w:pPr>
              <w:overflowPunct w:val="0"/>
              <w:autoSpaceDE w:val="0"/>
              <w:autoSpaceDN w:val="0"/>
              <w:adjustRightInd w:val="0"/>
              <w:textAlignment w:val="baseline"/>
              <w:rPr>
                <w:rFonts w:cs="Arial"/>
                <w:b w:val="0"/>
              </w:rPr>
            </w:pPr>
            <w:r w:rsidRPr="00B56D6C">
              <w:rPr>
                <w:rFonts w:cs="Arial"/>
              </w:rPr>
              <w:t>Output</w:t>
            </w:r>
          </w:p>
        </w:tc>
      </w:tr>
      <w:tr w:rsidR="00530BA8" w:rsidRPr="00B56D6C" w14:paraId="0E65A4B5" w14:textId="77777777" w:rsidTr="00714B4B">
        <w:trPr>
          <w:trHeight w:val="611"/>
        </w:trPr>
        <w:tc>
          <w:tcPr>
            <w:tcW w:w="1052" w:type="pct"/>
          </w:tcPr>
          <w:p w14:paraId="254067A4" w14:textId="10AC9A36" w:rsidR="00530BA8" w:rsidRPr="00B56D6C" w:rsidRDefault="00530BA8">
            <w:pPr>
              <w:overflowPunct w:val="0"/>
              <w:autoSpaceDE w:val="0"/>
              <w:autoSpaceDN w:val="0"/>
              <w:adjustRightInd w:val="0"/>
              <w:textAlignment w:val="baseline"/>
              <w:rPr>
                <w:rFonts w:cs="Arial"/>
              </w:rPr>
            </w:pPr>
            <w:r w:rsidRPr="00B56D6C">
              <w:rPr>
                <w:rFonts w:cs="Arial"/>
              </w:rPr>
              <w:t xml:space="preserve">Evaluation </w:t>
            </w:r>
            <w:r w:rsidR="00A87086">
              <w:rPr>
                <w:rFonts w:cs="Arial"/>
              </w:rPr>
              <w:t>p</w:t>
            </w:r>
            <w:r w:rsidR="00A87086" w:rsidRPr="00B56D6C">
              <w:rPr>
                <w:rFonts w:cs="Arial"/>
              </w:rPr>
              <w:t>lan</w:t>
            </w:r>
          </w:p>
        </w:tc>
        <w:tc>
          <w:tcPr>
            <w:tcW w:w="755" w:type="pct"/>
          </w:tcPr>
          <w:p w14:paraId="32D4C649" w14:textId="48A4B35A" w:rsidR="00530BA8" w:rsidRPr="00B56D6C" w:rsidRDefault="00530BA8">
            <w:pPr>
              <w:overflowPunct w:val="0"/>
              <w:autoSpaceDE w:val="0"/>
              <w:autoSpaceDN w:val="0"/>
              <w:adjustRightInd w:val="0"/>
              <w:textAlignment w:val="baseline"/>
              <w:rPr>
                <w:rFonts w:cs="Arial"/>
              </w:rPr>
            </w:pPr>
            <w:r w:rsidRPr="00B56D6C">
              <w:rPr>
                <w:rFonts w:cs="Arial"/>
              </w:rPr>
              <w:t>28</w:t>
            </w:r>
            <w:r w:rsidR="00A87086">
              <w:rPr>
                <w:rFonts w:cs="Arial"/>
              </w:rPr>
              <w:t xml:space="preserve"> to </w:t>
            </w:r>
            <w:r w:rsidRPr="00B56D6C">
              <w:rPr>
                <w:rFonts w:cs="Arial"/>
              </w:rPr>
              <w:t>31 January 2013</w:t>
            </w:r>
          </w:p>
        </w:tc>
        <w:tc>
          <w:tcPr>
            <w:tcW w:w="684" w:type="pct"/>
          </w:tcPr>
          <w:p w14:paraId="27C7B1D7"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Australia</w:t>
            </w:r>
          </w:p>
        </w:tc>
        <w:tc>
          <w:tcPr>
            <w:tcW w:w="533" w:type="pct"/>
          </w:tcPr>
          <w:p w14:paraId="63763C9E" w14:textId="61651446" w:rsidR="00530BA8" w:rsidRPr="00B56D6C" w:rsidRDefault="00F07A8A">
            <w:pPr>
              <w:overflowPunct w:val="0"/>
              <w:autoSpaceDE w:val="0"/>
              <w:autoSpaceDN w:val="0"/>
              <w:adjustRightInd w:val="0"/>
              <w:textAlignment w:val="baseline"/>
              <w:rPr>
                <w:rFonts w:cs="Arial"/>
              </w:rPr>
            </w:pPr>
            <w:r>
              <w:rPr>
                <w:rFonts w:cs="Arial"/>
              </w:rPr>
              <w:t>Two</w:t>
            </w:r>
            <w:r w:rsidRPr="00B56D6C">
              <w:rPr>
                <w:rFonts w:cs="Arial"/>
              </w:rPr>
              <w:t xml:space="preserve"> days for </w:t>
            </w:r>
            <w:r>
              <w:rPr>
                <w:rFonts w:cs="Arial"/>
              </w:rPr>
              <w:t>team leader</w:t>
            </w:r>
          </w:p>
        </w:tc>
        <w:tc>
          <w:tcPr>
            <w:tcW w:w="1976" w:type="pct"/>
          </w:tcPr>
          <w:p w14:paraId="4A0073C2" w14:textId="7DC7BBB6" w:rsidR="00530BA8" w:rsidRPr="00B56D6C" w:rsidRDefault="00530BA8">
            <w:pPr>
              <w:rPr>
                <w:rFonts w:cs="Arial"/>
              </w:rPr>
            </w:pPr>
            <w:r w:rsidRPr="00B56D6C">
              <w:rPr>
                <w:rFonts w:cs="Arial"/>
              </w:rPr>
              <w:t xml:space="preserve">Evaluation methodology and </w:t>
            </w:r>
            <w:r w:rsidR="00A87086">
              <w:rPr>
                <w:rFonts w:cs="Arial"/>
              </w:rPr>
              <w:t>p</w:t>
            </w:r>
            <w:r w:rsidR="00A87086" w:rsidRPr="00B56D6C">
              <w:rPr>
                <w:rFonts w:cs="Arial"/>
              </w:rPr>
              <w:t xml:space="preserve">lan </w:t>
            </w:r>
            <w:r w:rsidRPr="00B56D6C">
              <w:rPr>
                <w:rFonts w:cs="Arial"/>
              </w:rPr>
              <w:t>submitted to AusAID by 31 January</w:t>
            </w:r>
            <w:r w:rsidR="00A87086">
              <w:rPr>
                <w:rFonts w:cs="Arial"/>
              </w:rPr>
              <w:t>.</w:t>
            </w:r>
            <w:r w:rsidRPr="00B56D6C">
              <w:rPr>
                <w:rFonts w:cs="Arial"/>
              </w:rPr>
              <w:t xml:space="preserve"> </w:t>
            </w:r>
          </w:p>
        </w:tc>
      </w:tr>
      <w:tr w:rsidR="00530BA8" w:rsidRPr="00B56D6C" w14:paraId="6C6ED8C8" w14:textId="77777777" w:rsidTr="00714B4B">
        <w:trPr>
          <w:trHeight w:val="988"/>
        </w:trPr>
        <w:tc>
          <w:tcPr>
            <w:tcW w:w="1052" w:type="pct"/>
          </w:tcPr>
          <w:p w14:paraId="6C6C7550" w14:textId="2BC381C9" w:rsidR="00530BA8" w:rsidRPr="00B56D6C" w:rsidRDefault="00530BA8">
            <w:pPr>
              <w:overflowPunct w:val="0"/>
              <w:autoSpaceDE w:val="0"/>
              <w:autoSpaceDN w:val="0"/>
              <w:adjustRightInd w:val="0"/>
              <w:textAlignment w:val="baseline"/>
              <w:rPr>
                <w:rFonts w:cs="Arial"/>
              </w:rPr>
            </w:pPr>
            <w:r w:rsidRPr="00B56D6C">
              <w:rPr>
                <w:rFonts w:cs="Arial"/>
              </w:rPr>
              <w:t xml:space="preserve">Preparation and </w:t>
            </w:r>
            <w:r w:rsidR="00A87086">
              <w:rPr>
                <w:rFonts w:cs="Arial"/>
              </w:rPr>
              <w:t>d</w:t>
            </w:r>
            <w:r w:rsidR="00A87086" w:rsidRPr="00B56D6C">
              <w:rPr>
                <w:rFonts w:cs="Arial"/>
              </w:rPr>
              <w:t xml:space="preserve">esk </w:t>
            </w:r>
            <w:r w:rsidR="00A87086">
              <w:rPr>
                <w:rFonts w:cs="Arial"/>
              </w:rPr>
              <w:t>r</w:t>
            </w:r>
            <w:r w:rsidR="00A87086" w:rsidRPr="00B56D6C">
              <w:rPr>
                <w:rFonts w:cs="Arial"/>
              </w:rPr>
              <w:t xml:space="preserve">eview </w:t>
            </w:r>
          </w:p>
        </w:tc>
        <w:tc>
          <w:tcPr>
            <w:tcW w:w="755" w:type="pct"/>
          </w:tcPr>
          <w:p w14:paraId="17DD7BCC" w14:textId="47386591" w:rsidR="00530BA8" w:rsidRPr="00B56D6C" w:rsidRDefault="00530BA8">
            <w:pPr>
              <w:overflowPunct w:val="0"/>
              <w:autoSpaceDE w:val="0"/>
              <w:autoSpaceDN w:val="0"/>
              <w:adjustRightInd w:val="0"/>
              <w:textAlignment w:val="baseline"/>
              <w:rPr>
                <w:rFonts w:cs="Arial"/>
              </w:rPr>
            </w:pPr>
            <w:r w:rsidRPr="00B56D6C">
              <w:rPr>
                <w:rFonts w:cs="Arial"/>
              </w:rPr>
              <w:t>4</w:t>
            </w:r>
            <w:r w:rsidR="00A87086">
              <w:rPr>
                <w:rFonts w:cs="Arial"/>
              </w:rPr>
              <w:t xml:space="preserve"> to </w:t>
            </w:r>
            <w:r w:rsidRPr="00B56D6C">
              <w:rPr>
                <w:rFonts w:cs="Arial"/>
              </w:rPr>
              <w:t>8 February</w:t>
            </w:r>
            <w:r w:rsidR="005856D4">
              <w:rPr>
                <w:rFonts w:cs="Arial"/>
              </w:rPr>
              <w:t xml:space="preserve"> </w:t>
            </w:r>
          </w:p>
        </w:tc>
        <w:tc>
          <w:tcPr>
            <w:tcW w:w="684" w:type="pct"/>
          </w:tcPr>
          <w:p w14:paraId="26E2ECCB"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Australia</w:t>
            </w:r>
          </w:p>
        </w:tc>
        <w:tc>
          <w:tcPr>
            <w:tcW w:w="533" w:type="pct"/>
          </w:tcPr>
          <w:p w14:paraId="6AA2FD9D" w14:textId="599D4477" w:rsidR="00530BA8" w:rsidRPr="00B56D6C" w:rsidRDefault="00A87086" w:rsidP="00530BA8">
            <w:pPr>
              <w:overflowPunct w:val="0"/>
              <w:autoSpaceDE w:val="0"/>
              <w:autoSpaceDN w:val="0"/>
              <w:adjustRightInd w:val="0"/>
              <w:textAlignment w:val="baseline"/>
              <w:rPr>
                <w:rFonts w:cs="Arial"/>
              </w:rPr>
            </w:pPr>
            <w:r>
              <w:rPr>
                <w:rFonts w:cs="Arial"/>
              </w:rPr>
              <w:t>Six</w:t>
            </w:r>
            <w:r w:rsidRPr="00B56D6C">
              <w:rPr>
                <w:rFonts w:cs="Arial"/>
              </w:rPr>
              <w:t xml:space="preserve"> </w:t>
            </w:r>
            <w:r w:rsidR="00530BA8" w:rsidRPr="00B56D6C">
              <w:rPr>
                <w:rFonts w:cs="Arial"/>
              </w:rPr>
              <w:t>days</w:t>
            </w:r>
          </w:p>
        </w:tc>
        <w:tc>
          <w:tcPr>
            <w:tcW w:w="1976" w:type="pct"/>
          </w:tcPr>
          <w:p w14:paraId="30529D72" w14:textId="3844CB0C" w:rsidR="00530BA8" w:rsidRPr="00B56D6C" w:rsidRDefault="00530BA8" w:rsidP="00530BA8">
            <w:pPr>
              <w:rPr>
                <w:rFonts w:cs="Arial"/>
              </w:rPr>
            </w:pPr>
            <w:r w:rsidRPr="00B56D6C">
              <w:rPr>
                <w:rFonts w:cs="Arial"/>
              </w:rPr>
              <w:t xml:space="preserve">Including consultations with Australian stakeholders and team briefing on 6 February in AusAID Canberra. </w:t>
            </w:r>
          </w:p>
        </w:tc>
      </w:tr>
      <w:tr w:rsidR="00530BA8" w:rsidRPr="00B56D6C" w14:paraId="42EC3E8E" w14:textId="77777777" w:rsidTr="00714B4B">
        <w:trPr>
          <w:trHeight w:val="1115"/>
        </w:trPr>
        <w:tc>
          <w:tcPr>
            <w:tcW w:w="1052" w:type="pct"/>
          </w:tcPr>
          <w:p w14:paraId="737F5D99" w14:textId="06666FC4" w:rsidR="00530BA8" w:rsidRPr="00B56D6C" w:rsidRDefault="00A87086" w:rsidP="00530BA8">
            <w:pPr>
              <w:overflowPunct w:val="0"/>
              <w:autoSpaceDE w:val="0"/>
              <w:autoSpaceDN w:val="0"/>
              <w:adjustRightInd w:val="0"/>
              <w:textAlignment w:val="baseline"/>
              <w:rPr>
                <w:rFonts w:cs="Arial"/>
              </w:rPr>
            </w:pPr>
            <w:r>
              <w:rPr>
                <w:rFonts w:cs="Arial"/>
              </w:rPr>
              <w:t>M</w:t>
            </w:r>
            <w:r w:rsidR="00530BA8" w:rsidRPr="00B56D6C">
              <w:rPr>
                <w:rFonts w:cs="Arial"/>
              </w:rPr>
              <w:t>eetings</w:t>
            </w:r>
          </w:p>
        </w:tc>
        <w:tc>
          <w:tcPr>
            <w:tcW w:w="755" w:type="pct"/>
          </w:tcPr>
          <w:p w14:paraId="7836BAFA" w14:textId="22DA63BC" w:rsidR="00530BA8" w:rsidRPr="00B56D6C" w:rsidRDefault="00530BA8">
            <w:pPr>
              <w:overflowPunct w:val="0"/>
              <w:autoSpaceDE w:val="0"/>
              <w:autoSpaceDN w:val="0"/>
              <w:adjustRightInd w:val="0"/>
              <w:textAlignment w:val="baseline"/>
              <w:rPr>
                <w:rFonts w:cs="Arial"/>
              </w:rPr>
            </w:pPr>
            <w:r w:rsidRPr="00B56D6C">
              <w:rPr>
                <w:rFonts w:cs="Arial"/>
              </w:rPr>
              <w:t>11</w:t>
            </w:r>
            <w:r w:rsidR="00A87086">
              <w:rPr>
                <w:rFonts w:cs="Arial"/>
              </w:rPr>
              <w:t xml:space="preserve"> to</w:t>
            </w:r>
            <w:r w:rsidR="00A87086" w:rsidRPr="00B56D6C">
              <w:rPr>
                <w:rFonts w:cs="Arial"/>
              </w:rPr>
              <w:t xml:space="preserve"> </w:t>
            </w:r>
            <w:r w:rsidRPr="00B56D6C">
              <w:rPr>
                <w:rFonts w:cs="Arial"/>
              </w:rPr>
              <w:t xml:space="preserve">18 February </w:t>
            </w:r>
          </w:p>
        </w:tc>
        <w:tc>
          <w:tcPr>
            <w:tcW w:w="684" w:type="pct"/>
          </w:tcPr>
          <w:p w14:paraId="66B00786"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Jakarta</w:t>
            </w:r>
          </w:p>
        </w:tc>
        <w:tc>
          <w:tcPr>
            <w:tcW w:w="533" w:type="pct"/>
          </w:tcPr>
          <w:p w14:paraId="0A1D7F84" w14:textId="45F73BC5" w:rsidR="00530BA8" w:rsidRPr="00B56D6C" w:rsidRDefault="00530BA8" w:rsidP="00530BA8">
            <w:pPr>
              <w:overflowPunct w:val="0"/>
              <w:autoSpaceDE w:val="0"/>
              <w:autoSpaceDN w:val="0"/>
              <w:adjustRightInd w:val="0"/>
              <w:textAlignment w:val="baseline"/>
              <w:rPr>
                <w:rFonts w:cs="Arial"/>
              </w:rPr>
            </w:pPr>
            <w:r w:rsidRPr="00B56D6C">
              <w:rPr>
                <w:rFonts w:cs="Arial"/>
              </w:rPr>
              <w:t>10 days (incl</w:t>
            </w:r>
            <w:r w:rsidR="00A87086">
              <w:rPr>
                <w:rFonts w:cs="Arial"/>
              </w:rPr>
              <w:t>uding</w:t>
            </w:r>
            <w:r w:rsidRPr="00B56D6C">
              <w:rPr>
                <w:rFonts w:cs="Arial"/>
              </w:rPr>
              <w:t xml:space="preserve"> travel)</w:t>
            </w:r>
          </w:p>
        </w:tc>
        <w:tc>
          <w:tcPr>
            <w:tcW w:w="1976" w:type="pct"/>
          </w:tcPr>
          <w:p w14:paraId="28B1AAA5" w14:textId="74192128" w:rsidR="00530BA8" w:rsidRPr="00B56D6C" w:rsidRDefault="00530BA8">
            <w:pPr>
              <w:overflowPunct w:val="0"/>
              <w:autoSpaceDE w:val="0"/>
              <w:autoSpaceDN w:val="0"/>
              <w:adjustRightInd w:val="0"/>
              <w:textAlignment w:val="baseline"/>
              <w:rPr>
                <w:rFonts w:cs="Arial"/>
              </w:rPr>
            </w:pPr>
            <w:r w:rsidRPr="00B56D6C">
              <w:rPr>
                <w:rFonts w:cs="Arial"/>
              </w:rPr>
              <w:t xml:space="preserve">Discussions with relevant stakeholders including personnel from ASEAN, </w:t>
            </w:r>
            <w:r w:rsidR="00A87086">
              <w:rPr>
                <w:rFonts w:cs="Arial"/>
              </w:rPr>
              <w:t xml:space="preserve">the </w:t>
            </w:r>
            <w:r w:rsidR="00FA23AA">
              <w:rPr>
                <w:rFonts w:cs="Arial"/>
              </w:rPr>
              <w:t xml:space="preserve">ASEAN </w:t>
            </w:r>
            <w:r w:rsidR="00A87086">
              <w:rPr>
                <w:rFonts w:cs="Arial"/>
              </w:rPr>
              <w:t xml:space="preserve">Secretariat </w:t>
            </w:r>
            <w:r w:rsidRPr="00B56D6C">
              <w:rPr>
                <w:rFonts w:cs="Arial"/>
              </w:rPr>
              <w:t xml:space="preserve">and AusAID, collect relevant data, prepare the </w:t>
            </w:r>
            <w:r w:rsidR="00A87086">
              <w:rPr>
                <w:rFonts w:cs="Arial"/>
              </w:rPr>
              <w:t>a</w:t>
            </w:r>
            <w:r w:rsidR="00A87086" w:rsidRPr="00B56D6C">
              <w:rPr>
                <w:rFonts w:cs="Arial"/>
              </w:rPr>
              <w:t xml:space="preserve">ide </w:t>
            </w:r>
            <w:r w:rsidR="00A87086">
              <w:rPr>
                <w:rFonts w:cs="Arial"/>
              </w:rPr>
              <w:t>m</w:t>
            </w:r>
            <w:r w:rsidR="00A87086" w:rsidRPr="00B56D6C">
              <w:rPr>
                <w:rFonts w:cs="Arial"/>
              </w:rPr>
              <w:t xml:space="preserve">emoire </w:t>
            </w:r>
            <w:r w:rsidRPr="00B56D6C">
              <w:rPr>
                <w:rFonts w:cs="Arial"/>
              </w:rPr>
              <w:t>for presentation at stakeholder workshop on 18 February</w:t>
            </w:r>
            <w:r w:rsidR="00A87086">
              <w:rPr>
                <w:rFonts w:cs="Arial"/>
              </w:rPr>
              <w:t>.</w:t>
            </w:r>
          </w:p>
        </w:tc>
      </w:tr>
      <w:tr w:rsidR="00530BA8" w:rsidRPr="00B56D6C" w14:paraId="23AD891A" w14:textId="77777777" w:rsidTr="00714B4B">
        <w:trPr>
          <w:trHeight w:val="829"/>
        </w:trPr>
        <w:tc>
          <w:tcPr>
            <w:tcW w:w="1052" w:type="pct"/>
          </w:tcPr>
          <w:p w14:paraId="7C28936A"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Stakeholder workshop</w:t>
            </w:r>
          </w:p>
        </w:tc>
        <w:tc>
          <w:tcPr>
            <w:tcW w:w="755" w:type="pct"/>
          </w:tcPr>
          <w:p w14:paraId="3BAC54CD" w14:textId="0319FAB0" w:rsidR="00530BA8" w:rsidRPr="00B56D6C" w:rsidRDefault="00530BA8" w:rsidP="00530BA8">
            <w:pPr>
              <w:overflowPunct w:val="0"/>
              <w:autoSpaceDE w:val="0"/>
              <w:autoSpaceDN w:val="0"/>
              <w:adjustRightInd w:val="0"/>
              <w:textAlignment w:val="baseline"/>
              <w:rPr>
                <w:rFonts w:cs="Arial"/>
              </w:rPr>
            </w:pPr>
            <w:r w:rsidRPr="00B56D6C">
              <w:rPr>
                <w:rFonts w:cs="Arial"/>
              </w:rPr>
              <w:t>18 February</w:t>
            </w:r>
            <w:r w:rsidR="005856D4">
              <w:rPr>
                <w:rFonts w:cs="Arial"/>
              </w:rPr>
              <w:t xml:space="preserve"> </w:t>
            </w:r>
          </w:p>
        </w:tc>
        <w:tc>
          <w:tcPr>
            <w:tcW w:w="684" w:type="pct"/>
          </w:tcPr>
          <w:p w14:paraId="5D3E09B9"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Jakarta</w:t>
            </w:r>
          </w:p>
        </w:tc>
        <w:tc>
          <w:tcPr>
            <w:tcW w:w="533" w:type="pct"/>
          </w:tcPr>
          <w:p w14:paraId="3007E276" w14:textId="16B2EEDB" w:rsidR="00530BA8" w:rsidRPr="00B56D6C" w:rsidRDefault="00A87086" w:rsidP="00530BA8">
            <w:pPr>
              <w:overflowPunct w:val="0"/>
              <w:autoSpaceDE w:val="0"/>
              <w:autoSpaceDN w:val="0"/>
              <w:adjustRightInd w:val="0"/>
              <w:textAlignment w:val="baseline"/>
              <w:rPr>
                <w:rFonts w:cs="Arial"/>
              </w:rPr>
            </w:pPr>
            <w:r>
              <w:rPr>
                <w:rFonts w:cs="Arial"/>
              </w:rPr>
              <w:t>One</w:t>
            </w:r>
            <w:r w:rsidRPr="00B56D6C">
              <w:rPr>
                <w:rFonts w:cs="Arial"/>
              </w:rPr>
              <w:t xml:space="preserve"> </w:t>
            </w:r>
            <w:r w:rsidR="00530BA8" w:rsidRPr="00B56D6C">
              <w:rPr>
                <w:rFonts w:cs="Arial"/>
              </w:rPr>
              <w:t>day</w:t>
            </w:r>
          </w:p>
        </w:tc>
        <w:tc>
          <w:tcPr>
            <w:tcW w:w="1976" w:type="pct"/>
          </w:tcPr>
          <w:p w14:paraId="3987A40E" w14:textId="698214E2" w:rsidR="00530BA8" w:rsidRPr="00B56D6C" w:rsidRDefault="00530BA8" w:rsidP="00530BA8">
            <w:pPr>
              <w:overflowPunct w:val="0"/>
              <w:autoSpaceDE w:val="0"/>
              <w:autoSpaceDN w:val="0"/>
              <w:adjustRightInd w:val="0"/>
              <w:textAlignment w:val="baseline"/>
              <w:rPr>
                <w:rFonts w:cs="Arial"/>
              </w:rPr>
            </w:pPr>
            <w:r w:rsidRPr="00B56D6C">
              <w:rPr>
                <w:rFonts w:cs="Arial"/>
              </w:rPr>
              <w:t>Discussion of preliminary</w:t>
            </w:r>
            <w:r w:rsidR="005856D4">
              <w:rPr>
                <w:rFonts w:cs="Arial"/>
              </w:rPr>
              <w:t xml:space="preserve"> </w:t>
            </w:r>
            <w:r w:rsidRPr="00B56D6C">
              <w:rPr>
                <w:rFonts w:cs="Arial"/>
              </w:rPr>
              <w:t>findings and issues with relevant stakeholders</w:t>
            </w:r>
            <w:r w:rsidR="00A87086">
              <w:rPr>
                <w:rFonts w:cs="Arial"/>
              </w:rPr>
              <w:t>.</w:t>
            </w:r>
          </w:p>
        </w:tc>
      </w:tr>
      <w:tr w:rsidR="00530BA8" w:rsidRPr="00B56D6C" w14:paraId="4015F89E" w14:textId="77777777" w:rsidTr="00714B4B">
        <w:trPr>
          <w:trHeight w:val="576"/>
        </w:trPr>
        <w:tc>
          <w:tcPr>
            <w:tcW w:w="1052" w:type="pct"/>
          </w:tcPr>
          <w:p w14:paraId="53716005" w14:textId="3C467884" w:rsidR="00530BA8" w:rsidRPr="00B56D6C" w:rsidRDefault="00530BA8" w:rsidP="00530BA8">
            <w:pPr>
              <w:overflowPunct w:val="0"/>
              <w:autoSpaceDE w:val="0"/>
              <w:autoSpaceDN w:val="0"/>
              <w:adjustRightInd w:val="0"/>
              <w:textAlignment w:val="baseline"/>
              <w:rPr>
                <w:rFonts w:cs="Arial"/>
              </w:rPr>
            </w:pPr>
            <w:r w:rsidRPr="00B56D6C">
              <w:rPr>
                <w:rFonts w:cs="Arial"/>
              </w:rPr>
              <w:t xml:space="preserve">Draft </w:t>
            </w:r>
            <w:r w:rsidR="00A87086">
              <w:rPr>
                <w:rFonts w:cs="Arial"/>
              </w:rPr>
              <w:t>r</w:t>
            </w:r>
            <w:r w:rsidR="00A87086" w:rsidRPr="00B56D6C">
              <w:rPr>
                <w:rFonts w:cs="Arial"/>
              </w:rPr>
              <w:t xml:space="preserve">eport </w:t>
            </w:r>
            <w:r w:rsidR="00A87086">
              <w:rPr>
                <w:rFonts w:cs="Arial"/>
              </w:rPr>
              <w:t>p</w:t>
            </w:r>
            <w:r w:rsidR="00A87086" w:rsidRPr="00B56D6C">
              <w:rPr>
                <w:rFonts w:cs="Arial"/>
              </w:rPr>
              <w:t>reparation</w:t>
            </w:r>
          </w:p>
          <w:p w14:paraId="3F7D74C9" w14:textId="77777777" w:rsidR="00530BA8" w:rsidRPr="00B56D6C" w:rsidRDefault="00530BA8" w:rsidP="00530BA8">
            <w:pPr>
              <w:overflowPunct w:val="0"/>
              <w:autoSpaceDE w:val="0"/>
              <w:autoSpaceDN w:val="0"/>
              <w:adjustRightInd w:val="0"/>
              <w:textAlignment w:val="baseline"/>
              <w:rPr>
                <w:rFonts w:cs="Arial"/>
              </w:rPr>
            </w:pPr>
          </w:p>
        </w:tc>
        <w:tc>
          <w:tcPr>
            <w:tcW w:w="755" w:type="pct"/>
          </w:tcPr>
          <w:p w14:paraId="4AF61C1C" w14:textId="30594C99" w:rsidR="00530BA8" w:rsidRPr="00B56D6C" w:rsidRDefault="00530BA8">
            <w:pPr>
              <w:overflowPunct w:val="0"/>
              <w:autoSpaceDE w:val="0"/>
              <w:autoSpaceDN w:val="0"/>
              <w:adjustRightInd w:val="0"/>
              <w:textAlignment w:val="baseline"/>
              <w:rPr>
                <w:rFonts w:cs="Arial"/>
              </w:rPr>
            </w:pPr>
            <w:r w:rsidRPr="00B56D6C">
              <w:rPr>
                <w:rFonts w:cs="Arial"/>
              </w:rPr>
              <w:t>18 February</w:t>
            </w:r>
            <w:r w:rsidR="005856D4">
              <w:rPr>
                <w:rFonts w:cs="Arial"/>
              </w:rPr>
              <w:t xml:space="preserve"> </w:t>
            </w:r>
            <w:r w:rsidR="00A87086">
              <w:rPr>
                <w:rFonts w:cs="Arial"/>
              </w:rPr>
              <w:t>to</w:t>
            </w:r>
            <w:r w:rsidR="00A87086" w:rsidRPr="00B56D6C">
              <w:rPr>
                <w:rFonts w:cs="Arial"/>
              </w:rPr>
              <w:t xml:space="preserve"> </w:t>
            </w:r>
            <w:r w:rsidRPr="00B56D6C">
              <w:rPr>
                <w:rFonts w:cs="Arial"/>
              </w:rPr>
              <w:t xml:space="preserve">4 March </w:t>
            </w:r>
          </w:p>
        </w:tc>
        <w:tc>
          <w:tcPr>
            <w:tcW w:w="684" w:type="pct"/>
          </w:tcPr>
          <w:p w14:paraId="5EA136E3"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Australia</w:t>
            </w:r>
          </w:p>
        </w:tc>
        <w:tc>
          <w:tcPr>
            <w:tcW w:w="533" w:type="pct"/>
          </w:tcPr>
          <w:p w14:paraId="69C37EB3" w14:textId="6CDC696A" w:rsidR="00530BA8" w:rsidRPr="00B56D6C" w:rsidRDefault="00A87086" w:rsidP="00530BA8">
            <w:pPr>
              <w:overflowPunct w:val="0"/>
              <w:autoSpaceDE w:val="0"/>
              <w:autoSpaceDN w:val="0"/>
              <w:adjustRightInd w:val="0"/>
              <w:textAlignment w:val="baseline"/>
              <w:rPr>
                <w:rFonts w:cs="Arial"/>
              </w:rPr>
            </w:pPr>
            <w:r>
              <w:rPr>
                <w:rFonts w:cs="Arial"/>
              </w:rPr>
              <w:t>Five</w:t>
            </w:r>
            <w:r w:rsidRPr="00B56D6C">
              <w:rPr>
                <w:rFonts w:cs="Arial"/>
              </w:rPr>
              <w:t xml:space="preserve"> </w:t>
            </w:r>
            <w:r w:rsidR="00530BA8" w:rsidRPr="00B56D6C">
              <w:rPr>
                <w:rFonts w:cs="Arial"/>
              </w:rPr>
              <w:t xml:space="preserve">days </w:t>
            </w:r>
          </w:p>
        </w:tc>
        <w:tc>
          <w:tcPr>
            <w:tcW w:w="1976" w:type="pct"/>
          </w:tcPr>
          <w:p w14:paraId="0BE089DF" w14:textId="5E920F2B" w:rsidR="00530BA8" w:rsidRPr="00B56D6C" w:rsidRDefault="00530BA8">
            <w:pPr>
              <w:overflowPunct w:val="0"/>
              <w:autoSpaceDE w:val="0"/>
              <w:autoSpaceDN w:val="0"/>
              <w:adjustRightInd w:val="0"/>
              <w:textAlignment w:val="baseline"/>
              <w:rPr>
                <w:rFonts w:cs="Arial"/>
              </w:rPr>
            </w:pPr>
            <w:r w:rsidRPr="00B56D6C">
              <w:rPr>
                <w:rFonts w:cs="Arial"/>
              </w:rPr>
              <w:t xml:space="preserve">Draft </w:t>
            </w:r>
            <w:r w:rsidR="00A87086">
              <w:rPr>
                <w:rFonts w:cs="Arial"/>
              </w:rPr>
              <w:t>r</w:t>
            </w:r>
            <w:r w:rsidR="00A87086" w:rsidRPr="00B56D6C">
              <w:rPr>
                <w:rFonts w:cs="Arial"/>
              </w:rPr>
              <w:t xml:space="preserve">eport </w:t>
            </w:r>
            <w:r w:rsidRPr="00B56D6C">
              <w:rPr>
                <w:rFonts w:cs="Arial"/>
              </w:rPr>
              <w:t>to AusAID by 4 March incorporating presentation to AusAID</w:t>
            </w:r>
            <w:r w:rsidR="00A87086">
              <w:rPr>
                <w:rFonts w:cs="Arial"/>
              </w:rPr>
              <w:t xml:space="preserve"> and the </w:t>
            </w:r>
            <w:r w:rsidRPr="00B56D6C">
              <w:rPr>
                <w:rFonts w:cs="Arial"/>
              </w:rPr>
              <w:t>D</w:t>
            </w:r>
            <w:r w:rsidR="00A87086">
              <w:rPr>
                <w:rFonts w:cs="Arial"/>
              </w:rPr>
              <w:t xml:space="preserve">epartment of </w:t>
            </w:r>
            <w:r w:rsidRPr="00B56D6C">
              <w:rPr>
                <w:rFonts w:cs="Arial"/>
              </w:rPr>
              <w:t>F</w:t>
            </w:r>
            <w:r w:rsidR="00A87086">
              <w:rPr>
                <w:rFonts w:cs="Arial"/>
              </w:rPr>
              <w:t xml:space="preserve">oreign </w:t>
            </w:r>
            <w:r w:rsidRPr="00B56D6C">
              <w:rPr>
                <w:rFonts w:cs="Arial"/>
              </w:rPr>
              <w:t>A</w:t>
            </w:r>
            <w:r w:rsidR="00A87086">
              <w:rPr>
                <w:rFonts w:cs="Arial"/>
              </w:rPr>
              <w:t xml:space="preserve">ffairs and </w:t>
            </w:r>
            <w:r w:rsidRPr="00B56D6C">
              <w:rPr>
                <w:rFonts w:cs="Arial"/>
              </w:rPr>
              <w:t>T</w:t>
            </w:r>
            <w:r w:rsidR="00A87086">
              <w:rPr>
                <w:rFonts w:cs="Arial"/>
              </w:rPr>
              <w:t>rade</w:t>
            </w:r>
            <w:r w:rsidR="005856D4">
              <w:rPr>
                <w:rFonts w:cs="Arial"/>
              </w:rPr>
              <w:t xml:space="preserve"> </w:t>
            </w:r>
            <w:r w:rsidRPr="00B56D6C">
              <w:rPr>
                <w:rFonts w:cs="Arial"/>
              </w:rPr>
              <w:t>Canberra on 5 March</w:t>
            </w:r>
            <w:r w:rsidR="00A87086">
              <w:rPr>
                <w:rFonts w:cs="Arial"/>
              </w:rPr>
              <w:t>.</w:t>
            </w:r>
          </w:p>
        </w:tc>
      </w:tr>
      <w:tr w:rsidR="00530BA8" w:rsidRPr="00B56D6C" w14:paraId="74254EF0" w14:textId="77777777" w:rsidTr="00714B4B">
        <w:trPr>
          <w:trHeight w:val="829"/>
        </w:trPr>
        <w:tc>
          <w:tcPr>
            <w:tcW w:w="1052" w:type="pct"/>
          </w:tcPr>
          <w:p w14:paraId="25EF9F9D" w14:textId="245CD8E9" w:rsidR="00530BA8" w:rsidRPr="00B56D6C" w:rsidRDefault="00530BA8">
            <w:pPr>
              <w:overflowPunct w:val="0"/>
              <w:autoSpaceDE w:val="0"/>
              <w:autoSpaceDN w:val="0"/>
              <w:adjustRightInd w:val="0"/>
              <w:textAlignment w:val="baseline"/>
              <w:rPr>
                <w:rFonts w:cs="Arial"/>
              </w:rPr>
            </w:pPr>
            <w:r w:rsidRPr="00B56D6C">
              <w:rPr>
                <w:rFonts w:cs="Arial"/>
              </w:rPr>
              <w:t xml:space="preserve">Stakeholder </w:t>
            </w:r>
            <w:r w:rsidR="00A87086">
              <w:rPr>
                <w:rFonts w:cs="Arial"/>
              </w:rPr>
              <w:t>c</w:t>
            </w:r>
            <w:r w:rsidR="00A87086" w:rsidRPr="00B56D6C">
              <w:rPr>
                <w:rFonts w:cs="Arial"/>
              </w:rPr>
              <w:t>omments</w:t>
            </w:r>
          </w:p>
        </w:tc>
        <w:tc>
          <w:tcPr>
            <w:tcW w:w="755" w:type="pct"/>
          </w:tcPr>
          <w:p w14:paraId="74CB182F" w14:textId="526538ED" w:rsidR="00530BA8" w:rsidRPr="00B56D6C" w:rsidRDefault="00530BA8">
            <w:pPr>
              <w:overflowPunct w:val="0"/>
              <w:autoSpaceDE w:val="0"/>
              <w:autoSpaceDN w:val="0"/>
              <w:adjustRightInd w:val="0"/>
              <w:textAlignment w:val="baseline"/>
              <w:rPr>
                <w:rFonts w:cs="Arial"/>
              </w:rPr>
            </w:pPr>
            <w:r w:rsidRPr="00B56D6C">
              <w:rPr>
                <w:rFonts w:cs="Arial"/>
              </w:rPr>
              <w:t xml:space="preserve">7 </w:t>
            </w:r>
            <w:r w:rsidR="00A87086">
              <w:rPr>
                <w:rFonts w:cs="Arial"/>
              </w:rPr>
              <w:t>to</w:t>
            </w:r>
            <w:r w:rsidR="00A87086" w:rsidRPr="00B56D6C">
              <w:rPr>
                <w:rFonts w:cs="Arial"/>
              </w:rPr>
              <w:t xml:space="preserve"> </w:t>
            </w:r>
            <w:r w:rsidRPr="00B56D6C">
              <w:rPr>
                <w:rFonts w:cs="Arial"/>
              </w:rPr>
              <w:t>20 March</w:t>
            </w:r>
            <w:r w:rsidR="005856D4">
              <w:rPr>
                <w:rFonts w:cs="Arial"/>
              </w:rPr>
              <w:t xml:space="preserve"> </w:t>
            </w:r>
          </w:p>
        </w:tc>
        <w:tc>
          <w:tcPr>
            <w:tcW w:w="684" w:type="pct"/>
          </w:tcPr>
          <w:p w14:paraId="2E6BAE39"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Australia</w:t>
            </w:r>
          </w:p>
        </w:tc>
        <w:tc>
          <w:tcPr>
            <w:tcW w:w="533" w:type="pct"/>
          </w:tcPr>
          <w:p w14:paraId="740790F4" w14:textId="77777777" w:rsidR="00530BA8" w:rsidRPr="00B56D6C" w:rsidRDefault="00530BA8" w:rsidP="00530BA8">
            <w:pPr>
              <w:overflowPunct w:val="0"/>
              <w:autoSpaceDE w:val="0"/>
              <w:autoSpaceDN w:val="0"/>
              <w:adjustRightInd w:val="0"/>
              <w:textAlignment w:val="baseline"/>
              <w:rPr>
                <w:rFonts w:cs="Arial"/>
              </w:rPr>
            </w:pPr>
          </w:p>
        </w:tc>
        <w:tc>
          <w:tcPr>
            <w:tcW w:w="1976" w:type="pct"/>
          </w:tcPr>
          <w:p w14:paraId="6150CF15" w14:textId="5E36404A" w:rsidR="00530BA8" w:rsidRPr="00B56D6C" w:rsidRDefault="00530BA8">
            <w:pPr>
              <w:overflowPunct w:val="0"/>
              <w:autoSpaceDE w:val="0"/>
              <w:autoSpaceDN w:val="0"/>
              <w:adjustRightInd w:val="0"/>
              <w:textAlignment w:val="baseline"/>
              <w:rPr>
                <w:rFonts w:cs="Arial"/>
              </w:rPr>
            </w:pPr>
            <w:r w:rsidRPr="00B56D6C">
              <w:rPr>
                <w:rFonts w:cs="Arial"/>
              </w:rPr>
              <w:t xml:space="preserve">Comments to </w:t>
            </w:r>
            <w:r w:rsidR="00A87086">
              <w:rPr>
                <w:rFonts w:cs="Arial"/>
              </w:rPr>
              <w:t>t</w:t>
            </w:r>
            <w:r w:rsidR="00A87086" w:rsidRPr="00B56D6C">
              <w:rPr>
                <w:rFonts w:cs="Arial"/>
              </w:rPr>
              <w:t xml:space="preserve">eam </w:t>
            </w:r>
            <w:r w:rsidR="00A87086">
              <w:rPr>
                <w:rFonts w:cs="Arial"/>
              </w:rPr>
              <w:t>l</w:t>
            </w:r>
            <w:r w:rsidR="00A87086" w:rsidRPr="00B56D6C">
              <w:rPr>
                <w:rFonts w:cs="Arial"/>
              </w:rPr>
              <w:t xml:space="preserve">eader </w:t>
            </w:r>
            <w:r w:rsidRPr="00B56D6C">
              <w:rPr>
                <w:rFonts w:cs="Arial"/>
              </w:rPr>
              <w:t>by 20 March</w:t>
            </w:r>
            <w:r w:rsidR="00A87086">
              <w:rPr>
                <w:rFonts w:cs="Arial"/>
              </w:rPr>
              <w:t>.</w:t>
            </w:r>
            <w:r w:rsidRPr="00B56D6C">
              <w:rPr>
                <w:rFonts w:cs="Arial"/>
              </w:rPr>
              <w:t xml:space="preserve"> </w:t>
            </w:r>
          </w:p>
        </w:tc>
      </w:tr>
      <w:tr w:rsidR="00530BA8" w:rsidRPr="00B56D6C" w14:paraId="54DD5F65" w14:textId="77777777" w:rsidTr="00714B4B">
        <w:trPr>
          <w:trHeight w:val="543"/>
        </w:trPr>
        <w:tc>
          <w:tcPr>
            <w:tcW w:w="1052" w:type="pct"/>
          </w:tcPr>
          <w:p w14:paraId="5652461F" w14:textId="6C4ED741" w:rsidR="00530BA8" w:rsidRPr="00B56D6C" w:rsidRDefault="00530BA8" w:rsidP="00530BA8">
            <w:pPr>
              <w:overflowPunct w:val="0"/>
              <w:autoSpaceDE w:val="0"/>
              <w:autoSpaceDN w:val="0"/>
              <w:adjustRightInd w:val="0"/>
              <w:textAlignment w:val="baseline"/>
              <w:rPr>
                <w:rFonts w:cs="Arial"/>
              </w:rPr>
            </w:pPr>
            <w:r w:rsidRPr="00B56D6C">
              <w:rPr>
                <w:rFonts w:cs="Arial"/>
              </w:rPr>
              <w:t xml:space="preserve">Revise </w:t>
            </w:r>
            <w:r w:rsidR="00A87086" w:rsidRPr="00B56D6C">
              <w:rPr>
                <w:rFonts w:cs="Arial"/>
              </w:rPr>
              <w:t>draft report</w:t>
            </w:r>
          </w:p>
        </w:tc>
        <w:tc>
          <w:tcPr>
            <w:tcW w:w="755" w:type="pct"/>
          </w:tcPr>
          <w:p w14:paraId="2D58F3B2" w14:textId="468C784B" w:rsidR="00530BA8" w:rsidRPr="00B56D6C" w:rsidRDefault="00530BA8">
            <w:pPr>
              <w:overflowPunct w:val="0"/>
              <w:autoSpaceDE w:val="0"/>
              <w:autoSpaceDN w:val="0"/>
              <w:adjustRightInd w:val="0"/>
              <w:textAlignment w:val="baseline"/>
              <w:rPr>
                <w:rFonts w:cs="Arial"/>
              </w:rPr>
            </w:pPr>
            <w:r w:rsidRPr="00B56D6C">
              <w:rPr>
                <w:rFonts w:cs="Arial"/>
              </w:rPr>
              <w:t>21</w:t>
            </w:r>
            <w:r w:rsidR="00A87086">
              <w:rPr>
                <w:rFonts w:cs="Arial"/>
              </w:rPr>
              <w:t xml:space="preserve"> to </w:t>
            </w:r>
            <w:r w:rsidRPr="00B56D6C">
              <w:rPr>
                <w:rFonts w:cs="Arial"/>
              </w:rPr>
              <w:t>27 March</w:t>
            </w:r>
            <w:r w:rsidR="005856D4">
              <w:rPr>
                <w:rFonts w:cs="Arial"/>
              </w:rPr>
              <w:t xml:space="preserve"> </w:t>
            </w:r>
          </w:p>
        </w:tc>
        <w:tc>
          <w:tcPr>
            <w:tcW w:w="684" w:type="pct"/>
          </w:tcPr>
          <w:p w14:paraId="4889C4BC"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Australia</w:t>
            </w:r>
          </w:p>
        </w:tc>
        <w:tc>
          <w:tcPr>
            <w:tcW w:w="533" w:type="pct"/>
          </w:tcPr>
          <w:p w14:paraId="684D4EAA" w14:textId="2630FB45" w:rsidR="00530BA8" w:rsidRPr="00B56D6C" w:rsidRDefault="00A87086">
            <w:pPr>
              <w:overflowPunct w:val="0"/>
              <w:autoSpaceDE w:val="0"/>
              <w:autoSpaceDN w:val="0"/>
              <w:adjustRightInd w:val="0"/>
              <w:textAlignment w:val="baseline"/>
              <w:rPr>
                <w:rFonts w:cs="Arial"/>
              </w:rPr>
            </w:pPr>
            <w:r>
              <w:rPr>
                <w:rFonts w:cs="Arial"/>
              </w:rPr>
              <w:t>Two</w:t>
            </w:r>
            <w:r w:rsidRPr="00B56D6C">
              <w:rPr>
                <w:rFonts w:cs="Arial"/>
              </w:rPr>
              <w:t xml:space="preserve"> </w:t>
            </w:r>
            <w:r w:rsidR="00530BA8" w:rsidRPr="00B56D6C">
              <w:rPr>
                <w:rFonts w:cs="Arial"/>
              </w:rPr>
              <w:t xml:space="preserve">days for </w:t>
            </w:r>
            <w:r>
              <w:rPr>
                <w:rFonts w:cs="Arial"/>
              </w:rPr>
              <w:t>team leader</w:t>
            </w:r>
          </w:p>
        </w:tc>
        <w:tc>
          <w:tcPr>
            <w:tcW w:w="1976" w:type="pct"/>
          </w:tcPr>
          <w:p w14:paraId="78CFBEF3" w14:textId="4D552667" w:rsidR="00530BA8" w:rsidRPr="00B56D6C" w:rsidRDefault="00530BA8">
            <w:pPr>
              <w:overflowPunct w:val="0"/>
              <w:autoSpaceDE w:val="0"/>
              <w:autoSpaceDN w:val="0"/>
              <w:adjustRightInd w:val="0"/>
              <w:textAlignment w:val="baseline"/>
              <w:rPr>
                <w:rFonts w:cs="Arial"/>
              </w:rPr>
            </w:pPr>
            <w:r w:rsidRPr="00B56D6C">
              <w:rPr>
                <w:rFonts w:cs="Arial"/>
              </w:rPr>
              <w:t xml:space="preserve">Revised </w:t>
            </w:r>
            <w:r w:rsidR="00A87086">
              <w:rPr>
                <w:rFonts w:cs="Arial"/>
              </w:rPr>
              <w:t>d</w:t>
            </w:r>
            <w:r w:rsidR="00A87086" w:rsidRPr="00B56D6C">
              <w:rPr>
                <w:rFonts w:cs="Arial"/>
              </w:rPr>
              <w:t xml:space="preserve">raft </w:t>
            </w:r>
            <w:r w:rsidR="00A87086">
              <w:rPr>
                <w:rFonts w:cs="Arial"/>
              </w:rPr>
              <w:t>r</w:t>
            </w:r>
            <w:r w:rsidR="00A87086" w:rsidRPr="00B56D6C">
              <w:rPr>
                <w:rFonts w:cs="Arial"/>
              </w:rPr>
              <w:t xml:space="preserve">eport </w:t>
            </w:r>
            <w:r w:rsidRPr="00B56D6C">
              <w:rPr>
                <w:rFonts w:cs="Arial"/>
              </w:rPr>
              <w:t>to AusAID by 27 March</w:t>
            </w:r>
            <w:r w:rsidR="00A87086">
              <w:rPr>
                <w:rFonts w:cs="Arial"/>
              </w:rPr>
              <w:t>.</w:t>
            </w:r>
          </w:p>
        </w:tc>
      </w:tr>
      <w:tr w:rsidR="00530BA8" w:rsidRPr="00B56D6C" w14:paraId="7EA91405" w14:textId="77777777" w:rsidTr="00714B4B">
        <w:trPr>
          <w:trHeight w:val="557"/>
        </w:trPr>
        <w:tc>
          <w:tcPr>
            <w:tcW w:w="1052" w:type="pct"/>
          </w:tcPr>
          <w:p w14:paraId="4BA18DEB" w14:textId="56AF1D66" w:rsidR="00530BA8" w:rsidRPr="00B56D6C" w:rsidRDefault="00530BA8">
            <w:pPr>
              <w:overflowPunct w:val="0"/>
              <w:autoSpaceDE w:val="0"/>
              <w:autoSpaceDN w:val="0"/>
              <w:adjustRightInd w:val="0"/>
              <w:textAlignment w:val="baseline"/>
              <w:rPr>
                <w:rFonts w:cs="Arial"/>
              </w:rPr>
            </w:pPr>
            <w:r w:rsidRPr="00B56D6C">
              <w:rPr>
                <w:rFonts w:cs="Arial"/>
              </w:rPr>
              <w:lastRenderedPageBreak/>
              <w:t xml:space="preserve">Independent </w:t>
            </w:r>
            <w:r w:rsidR="00A87086">
              <w:rPr>
                <w:rFonts w:cs="Arial"/>
              </w:rPr>
              <w:t>p</w:t>
            </w:r>
            <w:r w:rsidR="00A87086" w:rsidRPr="00B56D6C">
              <w:rPr>
                <w:rFonts w:cs="Arial"/>
              </w:rPr>
              <w:t xml:space="preserve">eer </w:t>
            </w:r>
            <w:r w:rsidRPr="00B56D6C">
              <w:rPr>
                <w:rFonts w:cs="Arial"/>
              </w:rPr>
              <w:t>review</w:t>
            </w:r>
          </w:p>
        </w:tc>
        <w:tc>
          <w:tcPr>
            <w:tcW w:w="755" w:type="pct"/>
          </w:tcPr>
          <w:p w14:paraId="0FCE3D40"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 xml:space="preserve">Week commencing 15 April </w:t>
            </w:r>
          </w:p>
        </w:tc>
        <w:tc>
          <w:tcPr>
            <w:tcW w:w="684" w:type="pct"/>
          </w:tcPr>
          <w:p w14:paraId="761081A9"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Australia</w:t>
            </w:r>
          </w:p>
        </w:tc>
        <w:tc>
          <w:tcPr>
            <w:tcW w:w="533" w:type="pct"/>
          </w:tcPr>
          <w:p w14:paraId="724B202F" w14:textId="1707C60C" w:rsidR="00530BA8" w:rsidRPr="00B56D6C" w:rsidRDefault="00A87086" w:rsidP="00530BA8">
            <w:pPr>
              <w:overflowPunct w:val="0"/>
              <w:autoSpaceDE w:val="0"/>
              <w:autoSpaceDN w:val="0"/>
              <w:adjustRightInd w:val="0"/>
              <w:textAlignment w:val="baseline"/>
              <w:rPr>
                <w:rFonts w:cs="Arial"/>
              </w:rPr>
            </w:pPr>
            <w:r>
              <w:rPr>
                <w:rFonts w:cs="Arial"/>
              </w:rPr>
              <w:t>Two</w:t>
            </w:r>
            <w:r w:rsidRPr="00B56D6C">
              <w:rPr>
                <w:rFonts w:cs="Arial"/>
              </w:rPr>
              <w:t xml:space="preserve"> </w:t>
            </w:r>
            <w:r w:rsidR="00530BA8" w:rsidRPr="00B56D6C">
              <w:rPr>
                <w:rFonts w:cs="Arial"/>
              </w:rPr>
              <w:t>weeks</w:t>
            </w:r>
          </w:p>
        </w:tc>
        <w:tc>
          <w:tcPr>
            <w:tcW w:w="1976" w:type="pct"/>
          </w:tcPr>
          <w:p w14:paraId="471EAB93" w14:textId="204574BB" w:rsidR="00530BA8" w:rsidRPr="00B56D6C" w:rsidRDefault="00530BA8" w:rsidP="00530BA8">
            <w:pPr>
              <w:overflowPunct w:val="0"/>
              <w:autoSpaceDE w:val="0"/>
              <w:autoSpaceDN w:val="0"/>
              <w:adjustRightInd w:val="0"/>
              <w:textAlignment w:val="baseline"/>
              <w:rPr>
                <w:rFonts w:cs="Arial"/>
              </w:rPr>
            </w:pPr>
            <w:r w:rsidRPr="00B56D6C">
              <w:rPr>
                <w:rFonts w:cs="Arial"/>
              </w:rPr>
              <w:t>Report to peer reviewers 28 March</w:t>
            </w:r>
            <w:r w:rsidR="00A87086">
              <w:rPr>
                <w:rFonts w:cs="Arial"/>
              </w:rPr>
              <w:t>.</w:t>
            </w:r>
          </w:p>
        </w:tc>
      </w:tr>
      <w:tr w:rsidR="00530BA8" w:rsidRPr="00B56D6C" w14:paraId="6AD72E00" w14:textId="77777777" w:rsidTr="00714B4B">
        <w:trPr>
          <w:trHeight w:val="557"/>
        </w:trPr>
        <w:tc>
          <w:tcPr>
            <w:tcW w:w="1052" w:type="pct"/>
          </w:tcPr>
          <w:p w14:paraId="3771FA0E" w14:textId="239BF085" w:rsidR="00530BA8" w:rsidRPr="00B56D6C" w:rsidRDefault="00530BA8">
            <w:pPr>
              <w:overflowPunct w:val="0"/>
              <w:autoSpaceDE w:val="0"/>
              <w:autoSpaceDN w:val="0"/>
              <w:adjustRightInd w:val="0"/>
              <w:textAlignment w:val="baseline"/>
              <w:rPr>
                <w:rFonts w:cs="Arial"/>
              </w:rPr>
            </w:pPr>
            <w:r w:rsidRPr="00B56D6C">
              <w:rPr>
                <w:rFonts w:cs="Arial"/>
              </w:rPr>
              <w:t xml:space="preserve">Finalisation of </w:t>
            </w:r>
            <w:r w:rsidR="00A87086">
              <w:rPr>
                <w:rFonts w:cs="Arial"/>
              </w:rPr>
              <w:t>r</w:t>
            </w:r>
            <w:r w:rsidR="00A87086" w:rsidRPr="00B56D6C">
              <w:rPr>
                <w:rFonts w:cs="Arial"/>
              </w:rPr>
              <w:t>eport</w:t>
            </w:r>
          </w:p>
        </w:tc>
        <w:tc>
          <w:tcPr>
            <w:tcW w:w="755" w:type="pct"/>
          </w:tcPr>
          <w:p w14:paraId="2A92B6D7" w14:textId="7426636E" w:rsidR="00530BA8" w:rsidRPr="00B56D6C" w:rsidRDefault="00530BA8">
            <w:pPr>
              <w:overflowPunct w:val="0"/>
              <w:autoSpaceDE w:val="0"/>
              <w:autoSpaceDN w:val="0"/>
              <w:adjustRightInd w:val="0"/>
              <w:textAlignment w:val="baseline"/>
              <w:rPr>
                <w:rFonts w:cs="Arial"/>
              </w:rPr>
            </w:pPr>
            <w:r w:rsidRPr="00B56D6C">
              <w:rPr>
                <w:rFonts w:cs="Arial"/>
              </w:rPr>
              <w:t>22</w:t>
            </w:r>
            <w:r w:rsidR="00A87086">
              <w:rPr>
                <w:rFonts w:cs="Arial"/>
              </w:rPr>
              <w:t xml:space="preserve"> to </w:t>
            </w:r>
            <w:r w:rsidRPr="00B56D6C">
              <w:rPr>
                <w:rFonts w:cs="Arial"/>
              </w:rPr>
              <w:t>25 April</w:t>
            </w:r>
            <w:r w:rsidR="005856D4">
              <w:rPr>
                <w:rFonts w:cs="Arial"/>
              </w:rPr>
              <w:t xml:space="preserve"> </w:t>
            </w:r>
          </w:p>
        </w:tc>
        <w:tc>
          <w:tcPr>
            <w:tcW w:w="684" w:type="pct"/>
          </w:tcPr>
          <w:p w14:paraId="597D2215" w14:textId="77777777" w:rsidR="00530BA8" w:rsidRPr="00B56D6C" w:rsidRDefault="00530BA8" w:rsidP="00530BA8">
            <w:pPr>
              <w:overflowPunct w:val="0"/>
              <w:autoSpaceDE w:val="0"/>
              <w:autoSpaceDN w:val="0"/>
              <w:adjustRightInd w:val="0"/>
              <w:textAlignment w:val="baseline"/>
              <w:rPr>
                <w:rFonts w:cs="Arial"/>
              </w:rPr>
            </w:pPr>
            <w:r w:rsidRPr="00B56D6C">
              <w:rPr>
                <w:rFonts w:cs="Arial"/>
              </w:rPr>
              <w:t>Australia</w:t>
            </w:r>
          </w:p>
        </w:tc>
        <w:tc>
          <w:tcPr>
            <w:tcW w:w="533" w:type="pct"/>
          </w:tcPr>
          <w:p w14:paraId="30916083" w14:textId="3C7FD797" w:rsidR="00530BA8" w:rsidRPr="00B56D6C" w:rsidRDefault="00A87086">
            <w:pPr>
              <w:overflowPunct w:val="0"/>
              <w:autoSpaceDE w:val="0"/>
              <w:autoSpaceDN w:val="0"/>
              <w:adjustRightInd w:val="0"/>
              <w:textAlignment w:val="baseline"/>
              <w:rPr>
                <w:rFonts w:cs="Arial"/>
              </w:rPr>
            </w:pPr>
            <w:r>
              <w:rPr>
                <w:rFonts w:cs="Arial"/>
              </w:rPr>
              <w:t>Two</w:t>
            </w:r>
            <w:r w:rsidRPr="00B56D6C">
              <w:rPr>
                <w:rFonts w:cs="Arial"/>
              </w:rPr>
              <w:t xml:space="preserve"> </w:t>
            </w:r>
            <w:r w:rsidR="00530BA8" w:rsidRPr="00B56D6C">
              <w:rPr>
                <w:rFonts w:cs="Arial"/>
              </w:rPr>
              <w:t xml:space="preserve">days for </w:t>
            </w:r>
            <w:r>
              <w:rPr>
                <w:rFonts w:cs="Arial"/>
              </w:rPr>
              <w:t>team leader</w:t>
            </w:r>
          </w:p>
        </w:tc>
        <w:tc>
          <w:tcPr>
            <w:tcW w:w="1976" w:type="pct"/>
          </w:tcPr>
          <w:p w14:paraId="5430561C" w14:textId="1ABCB782" w:rsidR="00530BA8" w:rsidRPr="00B56D6C" w:rsidRDefault="00530BA8" w:rsidP="00530BA8">
            <w:pPr>
              <w:overflowPunct w:val="0"/>
              <w:autoSpaceDE w:val="0"/>
              <w:autoSpaceDN w:val="0"/>
              <w:adjustRightInd w:val="0"/>
              <w:textAlignment w:val="baseline"/>
              <w:rPr>
                <w:rFonts w:cs="Arial"/>
              </w:rPr>
            </w:pPr>
            <w:r w:rsidRPr="00B56D6C">
              <w:rPr>
                <w:rFonts w:cs="Arial"/>
              </w:rPr>
              <w:t xml:space="preserve">Peer </w:t>
            </w:r>
            <w:r w:rsidR="00A87086">
              <w:rPr>
                <w:rFonts w:cs="Arial"/>
              </w:rPr>
              <w:t>reviewers</w:t>
            </w:r>
            <w:r w:rsidR="00A87086" w:rsidRPr="00B56D6C">
              <w:rPr>
                <w:rFonts w:cs="Arial"/>
              </w:rPr>
              <w:t xml:space="preserve"> </w:t>
            </w:r>
            <w:r w:rsidRPr="00B56D6C">
              <w:rPr>
                <w:rFonts w:cs="Arial"/>
              </w:rPr>
              <w:t xml:space="preserve">comments from AusAID to </w:t>
            </w:r>
            <w:r w:rsidR="00A87086">
              <w:rPr>
                <w:rFonts w:cs="Arial"/>
              </w:rPr>
              <w:t>team leader</w:t>
            </w:r>
            <w:r w:rsidR="00A87086" w:rsidRPr="00B56D6C">
              <w:rPr>
                <w:rFonts w:cs="Arial"/>
              </w:rPr>
              <w:t xml:space="preserve"> </w:t>
            </w:r>
            <w:r w:rsidRPr="00B56D6C">
              <w:rPr>
                <w:rFonts w:cs="Arial"/>
              </w:rPr>
              <w:t>by 22 April</w:t>
            </w:r>
            <w:r w:rsidR="00A87086">
              <w:rPr>
                <w:rFonts w:cs="Arial"/>
              </w:rPr>
              <w:t>.</w:t>
            </w:r>
          </w:p>
          <w:p w14:paraId="5D6445D0" w14:textId="16EA9074" w:rsidR="00530BA8" w:rsidRPr="00B56D6C" w:rsidRDefault="00530BA8">
            <w:pPr>
              <w:overflowPunct w:val="0"/>
              <w:autoSpaceDE w:val="0"/>
              <w:autoSpaceDN w:val="0"/>
              <w:adjustRightInd w:val="0"/>
              <w:textAlignment w:val="baseline"/>
              <w:rPr>
                <w:rFonts w:cs="Arial"/>
              </w:rPr>
            </w:pPr>
            <w:r w:rsidRPr="00B56D6C">
              <w:rPr>
                <w:rFonts w:cs="Arial"/>
              </w:rPr>
              <w:t xml:space="preserve">Final </w:t>
            </w:r>
            <w:r w:rsidR="00A87086">
              <w:rPr>
                <w:rFonts w:cs="Arial"/>
              </w:rPr>
              <w:t>report</w:t>
            </w:r>
            <w:r w:rsidR="00A87086" w:rsidRPr="00B56D6C">
              <w:rPr>
                <w:rFonts w:cs="Arial"/>
              </w:rPr>
              <w:t xml:space="preserve"> </w:t>
            </w:r>
            <w:r w:rsidRPr="00B56D6C">
              <w:rPr>
                <w:rFonts w:cs="Arial"/>
              </w:rPr>
              <w:t>to AusAID by 26 April</w:t>
            </w:r>
            <w:r w:rsidR="00A87086">
              <w:rPr>
                <w:rFonts w:cs="Arial"/>
              </w:rPr>
              <w:t>.</w:t>
            </w:r>
          </w:p>
        </w:tc>
      </w:tr>
    </w:tbl>
    <w:p w14:paraId="5C0CB65A" w14:textId="3FB47188" w:rsidR="00530BA8" w:rsidRPr="00D2299A" w:rsidRDefault="005856D4" w:rsidP="00530BA8">
      <w:pPr>
        <w:pStyle w:val="ListParagraph"/>
        <w:ind w:left="1418"/>
        <w:rPr>
          <w:rFonts w:cs="Arial"/>
          <w:szCs w:val="20"/>
        </w:rPr>
      </w:pPr>
      <w:r>
        <w:rPr>
          <w:rFonts w:cs="Arial"/>
          <w:szCs w:val="20"/>
        </w:rPr>
        <w:t xml:space="preserve"> </w:t>
      </w:r>
    </w:p>
    <w:p w14:paraId="6EBC7A60" w14:textId="77777777" w:rsidR="00530BA8" w:rsidRPr="00714B4B" w:rsidRDefault="00530BA8" w:rsidP="00791FAE">
      <w:pPr>
        <w:pStyle w:val="List"/>
        <w:ind w:left="567" w:hanging="425"/>
        <w:rPr>
          <w:b/>
        </w:rPr>
      </w:pPr>
      <w:r w:rsidRPr="00714B4B">
        <w:rPr>
          <w:b/>
        </w:rPr>
        <w:t>5.</w:t>
      </w:r>
      <w:r w:rsidRPr="00714B4B">
        <w:rPr>
          <w:b/>
        </w:rPr>
        <w:tab/>
        <w:t>TEAM COMPOSITION</w:t>
      </w:r>
    </w:p>
    <w:p w14:paraId="228074EA" w14:textId="28239A70" w:rsidR="00530BA8" w:rsidRPr="00D2299A" w:rsidRDefault="00530BA8" w:rsidP="00530BA8">
      <w:pPr>
        <w:pStyle w:val="List2"/>
      </w:pPr>
      <w:r w:rsidRPr="00D2299A">
        <w:t>5.1</w:t>
      </w:r>
      <w:r>
        <w:tab/>
      </w:r>
      <w:r w:rsidRPr="00D2299A">
        <w:t xml:space="preserve">In the interest of ensuring adequate input by both partners to </w:t>
      </w:r>
      <w:r w:rsidR="00A87086">
        <w:t>the</w:t>
      </w:r>
      <w:r w:rsidR="00A87086" w:rsidRPr="00D2299A">
        <w:t xml:space="preserve"> </w:t>
      </w:r>
      <w:r w:rsidR="00A87086">
        <w:t>p</w:t>
      </w:r>
      <w:r w:rsidR="00A87086" w:rsidRPr="00D2299A">
        <w:t>rogram</w:t>
      </w:r>
      <w:r w:rsidR="00A87086">
        <w:t>,</w:t>
      </w:r>
      <w:r w:rsidR="00A87086" w:rsidRPr="00D2299A">
        <w:t xml:space="preserve"> </w:t>
      </w:r>
      <w:r w:rsidRPr="00D2299A">
        <w:t xml:space="preserve">this </w:t>
      </w:r>
      <w:r w:rsidR="00A87086" w:rsidRPr="00D2299A">
        <w:t>independent progress report</w:t>
      </w:r>
      <w:r w:rsidR="00A87086" w:rsidRPr="00D2299A" w:rsidDel="00A87086">
        <w:t xml:space="preserve"> </w:t>
      </w:r>
      <w:r w:rsidRPr="00D2299A">
        <w:t xml:space="preserve">should include representatives from </w:t>
      </w:r>
      <w:r w:rsidR="00A87086">
        <w:t xml:space="preserve">the </w:t>
      </w:r>
      <w:r w:rsidR="00FA23AA">
        <w:t xml:space="preserve">ASEAN </w:t>
      </w:r>
      <w:r w:rsidR="00A87086">
        <w:t>Secretariat</w:t>
      </w:r>
      <w:r w:rsidRPr="00D2299A">
        <w:t>, D</w:t>
      </w:r>
      <w:r w:rsidR="00A87086">
        <w:t xml:space="preserve">epartment of </w:t>
      </w:r>
      <w:r w:rsidRPr="00D2299A">
        <w:t>F</w:t>
      </w:r>
      <w:r w:rsidR="00A87086">
        <w:t xml:space="preserve">oreign </w:t>
      </w:r>
      <w:r w:rsidRPr="00D2299A">
        <w:t>A</w:t>
      </w:r>
      <w:r w:rsidR="00A87086">
        <w:t xml:space="preserve">ffairs and </w:t>
      </w:r>
      <w:r w:rsidRPr="00D2299A">
        <w:t>T</w:t>
      </w:r>
      <w:r w:rsidR="00A87086">
        <w:t>rade</w:t>
      </w:r>
      <w:r w:rsidRPr="00D2299A">
        <w:t xml:space="preserve">, </w:t>
      </w:r>
      <w:r w:rsidR="00A87086">
        <w:t xml:space="preserve">the New Zealand </w:t>
      </w:r>
      <w:r w:rsidRPr="00D2299A">
        <w:t>M</w:t>
      </w:r>
      <w:r w:rsidR="00A87086">
        <w:t xml:space="preserve">inistry of </w:t>
      </w:r>
      <w:r w:rsidRPr="00D2299A">
        <w:t>F</w:t>
      </w:r>
      <w:r w:rsidR="00A87086">
        <w:t xml:space="preserve">oreign </w:t>
      </w:r>
      <w:r w:rsidRPr="00D2299A">
        <w:t>A</w:t>
      </w:r>
      <w:r w:rsidR="00A87086">
        <w:t xml:space="preserve">ffairs and </w:t>
      </w:r>
      <w:r w:rsidRPr="00D2299A">
        <w:t>T</w:t>
      </w:r>
      <w:r w:rsidR="00A87086">
        <w:t>rade,</w:t>
      </w:r>
      <w:r w:rsidRPr="00D2299A">
        <w:t xml:space="preserve"> and AusAID.</w:t>
      </w:r>
    </w:p>
    <w:p w14:paraId="3511FA18" w14:textId="4342A26B" w:rsidR="00530BA8" w:rsidRPr="00D2299A" w:rsidRDefault="00530BA8" w:rsidP="00530BA8">
      <w:pPr>
        <w:pStyle w:val="List2"/>
      </w:pPr>
      <w:r w:rsidRPr="00D2299A">
        <w:t>5.2</w:t>
      </w:r>
      <w:r>
        <w:tab/>
      </w:r>
      <w:r w:rsidRPr="00D2299A">
        <w:t xml:space="preserve">It is recommended that the team comprise two consultants: a capacity development and </w:t>
      </w:r>
      <w:r w:rsidR="00A87086" w:rsidRPr="00D2299A">
        <w:t>monitoring and evaluation</w:t>
      </w:r>
      <w:r w:rsidRPr="00D2299A">
        <w:t xml:space="preserve"> adviser</w:t>
      </w:r>
      <w:r w:rsidR="00A87086">
        <w:t>,</w:t>
      </w:r>
      <w:r w:rsidR="00A87086" w:rsidRPr="00D2299A">
        <w:t xml:space="preserve"> </w:t>
      </w:r>
      <w:r w:rsidRPr="00D2299A">
        <w:t xml:space="preserve">and an economics/trade analysis adviser. The team will be accompanied by a nominated officer from </w:t>
      </w:r>
      <w:r w:rsidR="00A87086">
        <w:t xml:space="preserve">the </w:t>
      </w:r>
      <w:r w:rsidR="00FA23AA">
        <w:t xml:space="preserve">ASEAN </w:t>
      </w:r>
      <w:r w:rsidR="00A87086">
        <w:t>Secretariat</w:t>
      </w:r>
      <w:r w:rsidRPr="00D2299A">
        <w:t xml:space="preserve"> and a representative each from</w:t>
      </w:r>
      <w:r w:rsidR="005856D4">
        <w:t xml:space="preserve"> </w:t>
      </w:r>
      <w:r w:rsidRPr="00D2299A">
        <w:t xml:space="preserve">AusAID, </w:t>
      </w:r>
      <w:r w:rsidR="00A87086">
        <w:t xml:space="preserve">the </w:t>
      </w:r>
      <w:r w:rsidR="00A87086" w:rsidRPr="00D2299A">
        <w:t>D</w:t>
      </w:r>
      <w:r w:rsidR="00A87086">
        <w:t xml:space="preserve">epartment of </w:t>
      </w:r>
      <w:r w:rsidR="00A87086" w:rsidRPr="00D2299A">
        <w:t>F</w:t>
      </w:r>
      <w:r w:rsidR="00A87086">
        <w:t xml:space="preserve">oreign </w:t>
      </w:r>
      <w:r w:rsidR="00A87086" w:rsidRPr="00D2299A">
        <w:t>A</w:t>
      </w:r>
      <w:r w:rsidR="00A87086">
        <w:t xml:space="preserve">ffairs and </w:t>
      </w:r>
      <w:r w:rsidR="00A87086" w:rsidRPr="00D2299A">
        <w:t>T</w:t>
      </w:r>
      <w:r w:rsidR="00A87086">
        <w:t>rade</w:t>
      </w:r>
      <w:r w:rsidR="00A87086" w:rsidRPr="00D2299A">
        <w:t xml:space="preserve"> </w:t>
      </w:r>
      <w:r w:rsidRPr="00D2299A">
        <w:t xml:space="preserve">and </w:t>
      </w:r>
      <w:r w:rsidR="00A87086">
        <w:t xml:space="preserve">the New Zealand </w:t>
      </w:r>
      <w:r w:rsidR="00A87086" w:rsidRPr="00D2299A">
        <w:t>M</w:t>
      </w:r>
      <w:r w:rsidR="00A87086">
        <w:t xml:space="preserve">inistry of </w:t>
      </w:r>
      <w:r w:rsidR="00A87086" w:rsidRPr="00D2299A">
        <w:t>F</w:t>
      </w:r>
      <w:r w:rsidR="00A87086">
        <w:t xml:space="preserve">oreign </w:t>
      </w:r>
      <w:r w:rsidR="00A87086" w:rsidRPr="00D2299A">
        <w:t>A</w:t>
      </w:r>
      <w:r w:rsidR="00A87086">
        <w:t xml:space="preserve">ffairs and </w:t>
      </w:r>
      <w:r w:rsidR="00A87086" w:rsidRPr="00D2299A">
        <w:t>T</w:t>
      </w:r>
      <w:r w:rsidR="00A87086">
        <w:t>rade</w:t>
      </w:r>
      <w:r w:rsidRPr="00D2299A">
        <w:t xml:space="preserve">. One consultant will also be engaged as </w:t>
      </w:r>
      <w:r w:rsidR="00A87086">
        <w:t>t</w:t>
      </w:r>
      <w:r w:rsidR="00A87086" w:rsidRPr="00D2299A">
        <w:t xml:space="preserve">eam </w:t>
      </w:r>
      <w:r w:rsidR="00A87086">
        <w:t>l</w:t>
      </w:r>
      <w:r w:rsidR="00A87086" w:rsidRPr="00D2299A">
        <w:t>eader</w:t>
      </w:r>
      <w:r w:rsidRPr="00D2299A">
        <w:t xml:space="preserve">. </w:t>
      </w:r>
    </w:p>
    <w:p w14:paraId="0DB43055" w14:textId="77777777" w:rsidR="00530BA8" w:rsidRPr="00D2299A" w:rsidRDefault="00530BA8" w:rsidP="00530BA8">
      <w:pPr>
        <w:pStyle w:val="Heading4"/>
      </w:pPr>
      <w:r w:rsidRPr="00D2299A">
        <w:t>Consultants</w:t>
      </w:r>
    </w:p>
    <w:p w14:paraId="54AED68A" w14:textId="044320A5" w:rsidR="00530BA8" w:rsidRPr="00D2299A" w:rsidRDefault="00530BA8" w:rsidP="00530BA8">
      <w:pPr>
        <w:pStyle w:val="List2"/>
      </w:pPr>
      <w:r w:rsidRPr="00D2299A">
        <w:t>5.3</w:t>
      </w:r>
      <w:r>
        <w:tab/>
      </w:r>
      <w:r w:rsidRPr="00D2299A">
        <w:t xml:space="preserve">The two consultants will have complementary skills in team leadership, monitoring and evaluation, economics and capacity building/institutional change. They should also have an appreciation of the economic and development aspects of ASEAN </w:t>
      </w:r>
      <w:r w:rsidR="009F37F6">
        <w:t>m</w:t>
      </w:r>
      <w:r w:rsidR="009F37F6" w:rsidRPr="00D2299A">
        <w:t xml:space="preserve">ember </w:t>
      </w:r>
      <w:r w:rsidR="009F37F6">
        <w:t>s</w:t>
      </w:r>
      <w:r w:rsidR="009F37F6" w:rsidRPr="00D2299A">
        <w:t xml:space="preserve">tates </w:t>
      </w:r>
      <w:r w:rsidRPr="00D2299A">
        <w:t xml:space="preserve">and </w:t>
      </w:r>
      <w:r w:rsidR="009F37F6">
        <w:t xml:space="preserve">the </w:t>
      </w:r>
      <w:r w:rsidR="00FA23AA">
        <w:t xml:space="preserve">ASEAN </w:t>
      </w:r>
      <w:r w:rsidR="009F37F6">
        <w:t>Secretariat</w:t>
      </w:r>
      <w:r w:rsidRPr="00D2299A">
        <w:t>.</w:t>
      </w:r>
      <w:r w:rsidR="005856D4">
        <w:t xml:space="preserve"> </w:t>
      </w:r>
      <w:r w:rsidRPr="00D2299A">
        <w:t>Both consultants will have extensive experience in reviewing technical cooperation programs and projects</w:t>
      </w:r>
      <w:r w:rsidR="009F37F6">
        <w:t>,</w:t>
      </w:r>
      <w:r w:rsidR="009F37F6" w:rsidRPr="00D2299A">
        <w:t xml:space="preserve"> </w:t>
      </w:r>
      <w:r w:rsidRPr="00D2299A">
        <w:t>and a good understanding of partnership arrangements.</w:t>
      </w:r>
    </w:p>
    <w:p w14:paraId="526945AC" w14:textId="08214EBE" w:rsidR="00530BA8" w:rsidRPr="00D2299A" w:rsidRDefault="00530BA8" w:rsidP="00530BA8">
      <w:pPr>
        <w:pStyle w:val="List2"/>
      </w:pPr>
      <w:r w:rsidRPr="00D2299A">
        <w:t>5.4</w:t>
      </w:r>
      <w:r>
        <w:tab/>
      </w:r>
      <w:r w:rsidRPr="00D2299A">
        <w:t xml:space="preserve">In addition to economics expertise, the economics specialist will undertake the </w:t>
      </w:r>
      <w:r w:rsidR="009F37F6">
        <w:t>t</w:t>
      </w:r>
      <w:r w:rsidR="009F37F6" w:rsidRPr="00D2299A">
        <w:t xml:space="preserve">eam </w:t>
      </w:r>
      <w:r w:rsidR="009F37F6">
        <w:t>l</w:t>
      </w:r>
      <w:r w:rsidR="009F37F6" w:rsidRPr="00D2299A">
        <w:t xml:space="preserve">eader </w:t>
      </w:r>
      <w:r w:rsidRPr="00D2299A">
        <w:t xml:space="preserve">role and will provide leadership and overall direction for the </w:t>
      </w:r>
      <w:r w:rsidR="009F37F6">
        <w:t>i</w:t>
      </w:r>
      <w:r w:rsidR="009F37F6" w:rsidRPr="009F37F6">
        <w:t>ndependent progress report</w:t>
      </w:r>
      <w:r w:rsidRPr="00D2299A">
        <w:t>.</w:t>
      </w:r>
      <w:r w:rsidR="005856D4">
        <w:t xml:space="preserve"> </w:t>
      </w:r>
      <w:r w:rsidRPr="00D2299A">
        <w:t>This includes engag</w:t>
      </w:r>
      <w:r w:rsidR="009F37F6">
        <w:t xml:space="preserve">ing </w:t>
      </w:r>
      <w:r w:rsidRPr="00D2299A">
        <w:t xml:space="preserve">with all team members and </w:t>
      </w:r>
      <w:r w:rsidR="009F37F6">
        <w:t>i</w:t>
      </w:r>
      <w:r w:rsidR="009F37F6" w:rsidRPr="009F37F6">
        <w:t>ndependent progress report</w:t>
      </w:r>
      <w:r w:rsidR="009F37F6">
        <w:t xml:space="preserve"> </w:t>
      </w:r>
      <w:r w:rsidRPr="00D2299A">
        <w:t>participants</w:t>
      </w:r>
      <w:r w:rsidR="009F37F6">
        <w:t>,</w:t>
      </w:r>
      <w:r w:rsidR="009F37F6" w:rsidRPr="00D2299A">
        <w:t xml:space="preserve"> </w:t>
      </w:r>
      <w:r w:rsidRPr="00D2299A">
        <w:t xml:space="preserve">and ensuring all stakeholders comprehend the </w:t>
      </w:r>
      <w:r w:rsidR="009F37F6">
        <w:t>report’s</w:t>
      </w:r>
      <w:r w:rsidR="009F37F6" w:rsidRPr="00D2299A">
        <w:t xml:space="preserve"> </w:t>
      </w:r>
      <w:r w:rsidRPr="00D2299A">
        <w:t xml:space="preserve">purpose and scope. </w:t>
      </w:r>
      <w:r w:rsidR="009F37F6">
        <w:t>They</w:t>
      </w:r>
      <w:r w:rsidRPr="00D2299A">
        <w:t xml:space="preserve"> will also be responsible for the </w:t>
      </w:r>
      <w:r w:rsidR="009F37F6">
        <w:t>report’s</w:t>
      </w:r>
      <w:r w:rsidR="009F37F6" w:rsidRPr="00D2299A" w:rsidDel="00E023E3">
        <w:t xml:space="preserve"> </w:t>
      </w:r>
      <w:r w:rsidRPr="00D2299A">
        <w:t>rigour and the application of appropriate methodological inquiry to each of the</w:t>
      </w:r>
      <w:r w:rsidR="009F37F6">
        <w:t xml:space="preserve"> report’s</w:t>
      </w:r>
      <w:r w:rsidRPr="00D2299A">
        <w:t xml:space="preserve"> </w:t>
      </w:r>
      <w:r w:rsidR="009F37F6" w:rsidRPr="00D2299A">
        <w:t>are</w:t>
      </w:r>
      <w:r w:rsidR="009F37F6">
        <w:t>as</w:t>
      </w:r>
      <w:r w:rsidRPr="00D2299A">
        <w:t xml:space="preserve">. The </w:t>
      </w:r>
      <w:r w:rsidR="009F37F6" w:rsidRPr="00D2299A">
        <w:t xml:space="preserve">team leader </w:t>
      </w:r>
      <w:r w:rsidRPr="00D2299A">
        <w:t xml:space="preserve">will be responsible for the final report. </w:t>
      </w:r>
    </w:p>
    <w:p w14:paraId="2BA2B3A6" w14:textId="01A1FDC3" w:rsidR="00530BA8" w:rsidRPr="00D2299A" w:rsidRDefault="00530BA8" w:rsidP="00530BA8">
      <w:pPr>
        <w:pStyle w:val="List2"/>
      </w:pPr>
      <w:r w:rsidRPr="00D2299A">
        <w:t>5.5</w:t>
      </w:r>
      <w:r>
        <w:tab/>
      </w:r>
      <w:r w:rsidRPr="00D2299A">
        <w:t xml:space="preserve">The economics consultant will be widely experienced in economic analysis and project assessment and the practical application of economics to a multi-faceted program in a complex environment. The economist will assess the economic principles, objectives and assumptions underpinning the </w:t>
      </w:r>
      <w:r w:rsidR="009F37F6">
        <w:t>p</w:t>
      </w:r>
      <w:r w:rsidR="009F37F6" w:rsidRPr="00D2299A">
        <w:t xml:space="preserve">rogram </w:t>
      </w:r>
      <w:r w:rsidRPr="00D2299A">
        <w:t xml:space="preserve">to gauge the extent to which </w:t>
      </w:r>
      <w:r w:rsidR="009F37F6">
        <w:t>it</w:t>
      </w:r>
      <w:r w:rsidR="009F37F6" w:rsidRPr="00D2299A">
        <w:t xml:space="preserve"> ha</w:t>
      </w:r>
      <w:r w:rsidR="009F37F6">
        <w:t>s</w:t>
      </w:r>
      <w:r w:rsidR="009F37F6" w:rsidRPr="00D2299A">
        <w:t xml:space="preserve"> </w:t>
      </w:r>
      <w:r w:rsidRPr="00D2299A">
        <w:t>been viable, practical and sustainable. The economist will analyse selected </w:t>
      </w:r>
      <w:r w:rsidR="00E77996">
        <w:t>Economic Cooperation Work Program</w:t>
      </w:r>
      <w:r w:rsidR="005856D4">
        <w:t xml:space="preserve"> </w:t>
      </w:r>
      <w:r w:rsidRPr="00D2299A">
        <w:t xml:space="preserve">project completion reports to ascertain </w:t>
      </w:r>
      <w:r w:rsidR="009F37F6">
        <w:t>how</w:t>
      </w:r>
      <w:r w:rsidRPr="00D2299A">
        <w:t xml:space="preserve"> they meet the objectives of both the relevant activity and the </w:t>
      </w:r>
      <w:r w:rsidR="009F37F6">
        <w:t>p</w:t>
      </w:r>
      <w:r w:rsidR="009F37F6" w:rsidRPr="00D2299A">
        <w:t xml:space="preserve">rogram </w:t>
      </w:r>
      <w:r w:rsidRPr="00D2299A">
        <w:t xml:space="preserve">more broadly, and assess their value when developing targeted future activities under the </w:t>
      </w:r>
      <w:r w:rsidR="009F37F6">
        <w:t>p</w:t>
      </w:r>
      <w:r w:rsidR="009F37F6" w:rsidRPr="00D2299A">
        <w:t>rogram</w:t>
      </w:r>
      <w:r w:rsidRPr="00D2299A">
        <w:t>. The economist should also have a good understanding of current trade issues and developments in ASEAN and its dialogue partners.</w:t>
      </w:r>
      <w:r w:rsidR="005856D4">
        <w:t xml:space="preserve"> </w:t>
      </w:r>
    </w:p>
    <w:p w14:paraId="1BD2AAD1" w14:textId="5640FA17" w:rsidR="00530BA8" w:rsidRPr="00D2299A" w:rsidRDefault="00530BA8" w:rsidP="00530BA8">
      <w:pPr>
        <w:pStyle w:val="List2"/>
      </w:pPr>
      <w:r w:rsidRPr="00D2299A">
        <w:t>5.6</w:t>
      </w:r>
      <w:r>
        <w:tab/>
      </w:r>
      <w:r w:rsidRPr="00D2299A">
        <w:t xml:space="preserve">The </w:t>
      </w:r>
      <w:r w:rsidR="009F37F6">
        <w:t>monitoring and evaluation</w:t>
      </w:r>
      <w:r w:rsidRPr="00D2299A">
        <w:t xml:space="preserve">/capacity development consultant will examine the existing </w:t>
      </w:r>
      <w:r w:rsidR="00791FAE">
        <w:t>monitoring and evaluation</w:t>
      </w:r>
      <w:r w:rsidRPr="00D2299A">
        <w:t xml:space="preserve"> basis for both the </w:t>
      </w:r>
      <w:r w:rsidR="00E77996" w:rsidRPr="00E77996">
        <w:t xml:space="preserve">AANZFTA Support Unit </w:t>
      </w:r>
      <w:r w:rsidRPr="00D2299A">
        <w:t xml:space="preserve">and </w:t>
      </w:r>
      <w:r w:rsidR="00E77996">
        <w:t>Economic Cooperation Work Program</w:t>
      </w:r>
      <w:r w:rsidR="005856D4">
        <w:t xml:space="preserve"> </w:t>
      </w:r>
      <w:r w:rsidRPr="00D2299A">
        <w:t xml:space="preserve">components, and assess the extent to which each component is meeting </w:t>
      </w:r>
      <w:r w:rsidR="00791FAE">
        <w:t>its</w:t>
      </w:r>
      <w:r w:rsidR="00791FAE" w:rsidRPr="00D2299A">
        <w:t xml:space="preserve"> </w:t>
      </w:r>
      <w:r w:rsidRPr="00D2299A">
        <w:t xml:space="preserve">respective objectives and contributing to the overall goal of AECSP. The consultant will also have experience in capacity development and institutional change, particularly in assessing the contribution of </w:t>
      </w:r>
      <w:r w:rsidR="00546E38">
        <w:t>Economic Cooperation Work Program</w:t>
      </w:r>
      <w:r w:rsidR="005856D4">
        <w:t xml:space="preserve"> </w:t>
      </w:r>
      <w:r w:rsidRPr="00D2299A">
        <w:t xml:space="preserve">projects to capacity building in ASEAN </w:t>
      </w:r>
      <w:r w:rsidR="00791FAE">
        <w:t>m</w:t>
      </w:r>
      <w:r w:rsidR="00791FAE" w:rsidRPr="00D2299A">
        <w:t xml:space="preserve">ember </w:t>
      </w:r>
      <w:r w:rsidR="00791FAE">
        <w:t>s</w:t>
      </w:r>
      <w:r w:rsidR="00791FAE" w:rsidRPr="00D2299A">
        <w:t>tates</w:t>
      </w:r>
      <w:r w:rsidRPr="00D2299A">
        <w:t xml:space="preserve">, and the role of the </w:t>
      </w:r>
      <w:r w:rsidR="00791FAE" w:rsidRPr="00791FAE">
        <w:t xml:space="preserve">AANZFTA Support Unit </w:t>
      </w:r>
      <w:r w:rsidRPr="00D2299A">
        <w:t xml:space="preserve">in both the </w:t>
      </w:r>
      <w:r w:rsidR="00791FAE">
        <w:t>p</w:t>
      </w:r>
      <w:r w:rsidR="00791FAE" w:rsidRPr="00D2299A">
        <w:t xml:space="preserve">rogram </w:t>
      </w:r>
      <w:r w:rsidRPr="00D2299A">
        <w:t xml:space="preserve">and </w:t>
      </w:r>
      <w:r w:rsidR="00FA23AA">
        <w:t xml:space="preserve">ASEAN </w:t>
      </w:r>
      <w:r w:rsidR="00791FAE">
        <w:t xml:space="preserve">Secretariat </w:t>
      </w:r>
      <w:r w:rsidRPr="00D2299A">
        <w:t>more broadly</w:t>
      </w:r>
      <w:r w:rsidR="005158BB">
        <w:t>—</w:t>
      </w:r>
      <w:r w:rsidR="00791FAE">
        <w:t xml:space="preserve">that is, </w:t>
      </w:r>
      <w:r w:rsidRPr="00D2299A">
        <w:t xml:space="preserve">in assisting ASEAN to build capacity and expertise in </w:t>
      </w:r>
      <w:r w:rsidR="00791FAE">
        <w:t xml:space="preserve">free trade </w:t>
      </w:r>
      <w:r w:rsidR="00791FAE">
        <w:lastRenderedPageBreak/>
        <w:t>agreement</w:t>
      </w:r>
      <w:r w:rsidR="00791FAE" w:rsidRPr="00D2299A">
        <w:t xml:space="preserve"> </w:t>
      </w:r>
      <w:r w:rsidRPr="00D2299A">
        <w:t>negotiations and implementation. This consultant will also ensure that the findings and recommendation</w:t>
      </w:r>
      <w:r w:rsidR="00791FAE">
        <w:t>s</w:t>
      </w:r>
      <w:r w:rsidRPr="00D2299A">
        <w:t xml:space="preserve"> of the team are evidence based and that the analysis and presentation of that evidence is clearly presented in the final report. </w:t>
      </w:r>
    </w:p>
    <w:p w14:paraId="7BEFE0A6" w14:textId="6A999E37" w:rsidR="00530BA8" w:rsidRPr="00D2299A" w:rsidRDefault="00FA23AA" w:rsidP="00530BA8">
      <w:pPr>
        <w:pStyle w:val="Heading4"/>
      </w:pPr>
      <w:r>
        <w:t xml:space="preserve">ASEAN </w:t>
      </w:r>
      <w:r w:rsidR="00791FAE">
        <w:t>Secretariat r</w:t>
      </w:r>
      <w:r w:rsidR="00791FAE" w:rsidRPr="00D2299A">
        <w:t>epresentativ</w:t>
      </w:r>
      <w:r w:rsidR="00791FAE">
        <w:t>e</w:t>
      </w:r>
    </w:p>
    <w:p w14:paraId="3C8A4082" w14:textId="59079F81" w:rsidR="00530BA8" w:rsidRPr="00D2299A" w:rsidRDefault="00530BA8" w:rsidP="00530BA8">
      <w:pPr>
        <w:pStyle w:val="List2"/>
      </w:pPr>
      <w:r w:rsidRPr="00D2299A">
        <w:t>5.8</w:t>
      </w:r>
      <w:r>
        <w:tab/>
      </w:r>
      <w:r w:rsidRPr="00D2299A">
        <w:t xml:space="preserve">It is highly desirable that </w:t>
      </w:r>
      <w:r w:rsidR="00FA23AA">
        <w:t xml:space="preserve">ASEAN </w:t>
      </w:r>
      <w:r w:rsidR="00791FAE">
        <w:t xml:space="preserve">Secretariat </w:t>
      </w:r>
      <w:r w:rsidRPr="00D2299A">
        <w:t xml:space="preserve">representative be </w:t>
      </w:r>
      <w:r w:rsidR="00A15F6F">
        <w:t xml:space="preserve">an </w:t>
      </w:r>
      <w:r w:rsidRPr="00D2299A">
        <w:t xml:space="preserve">experienced officer who can contribute to one or more of the areas of specialisation for the </w:t>
      </w:r>
      <w:r w:rsidR="00791FAE">
        <w:t>i</w:t>
      </w:r>
      <w:r w:rsidR="00791FAE" w:rsidRPr="00791FAE">
        <w:t>ndependent progress report</w:t>
      </w:r>
      <w:r w:rsidRPr="00D2299A">
        <w:t>.</w:t>
      </w:r>
      <w:r w:rsidR="005856D4">
        <w:t xml:space="preserve"> </w:t>
      </w:r>
      <w:r w:rsidRPr="00D2299A">
        <w:t>Ideally a staff member working in the economics and</w:t>
      </w:r>
      <w:r w:rsidR="00791FAE">
        <w:t xml:space="preserve"> </w:t>
      </w:r>
      <w:r w:rsidRPr="00D2299A">
        <w:t>external relations areas would be best placed to participate fully.</w:t>
      </w:r>
    </w:p>
    <w:p w14:paraId="1ED98CFA" w14:textId="60EA155B" w:rsidR="00530BA8" w:rsidRPr="00D2299A" w:rsidRDefault="00530BA8" w:rsidP="00530BA8">
      <w:pPr>
        <w:pStyle w:val="List2"/>
        <w:rPr>
          <w:b/>
        </w:rPr>
      </w:pPr>
      <w:r w:rsidRPr="00D2299A">
        <w:t>5.9</w:t>
      </w:r>
      <w:r>
        <w:tab/>
      </w:r>
      <w:r w:rsidR="00A15F6F">
        <w:t xml:space="preserve">The </w:t>
      </w:r>
      <w:r w:rsidR="00FA23AA">
        <w:t xml:space="preserve">ASEAN </w:t>
      </w:r>
      <w:r w:rsidR="00791FAE">
        <w:t xml:space="preserve">Secretariat </w:t>
      </w:r>
      <w:r w:rsidRPr="00D2299A">
        <w:t>representative</w:t>
      </w:r>
      <w:r w:rsidR="00A15F6F">
        <w:t xml:space="preserve"> is </w:t>
      </w:r>
      <w:r w:rsidRPr="00D2299A">
        <w:t xml:space="preserve">expected to contribute substantially to the evidence base and analysis undertaken by the team. </w:t>
      </w:r>
      <w:r w:rsidR="00A15F6F">
        <w:t xml:space="preserve">He/she </w:t>
      </w:r>
      <w:r w:rsidRPr="00D2299A">
        <w:t>will be consulted fully in the preparation and drafting of the report.</w:t>
      </w:r>
    </w:p>
    <w:p w14:paraId="1B020CD1" w14:textId="374C4655" w:rsidR="00530BA8" w:rsidRPr="00D2299A" w:rsidRDefault="00530BA8" w:rsidP="00530BA8">
      <w:pPr>
        <w:pStyle w:val="Heading4"/>
      </w:pPr>
      <w:r w:rsidRPr="00D2299A">
        <w:t>AusAID</w:t>
      </w:r>
      <w:r w:rsidR="00791FAE">
        <w:t xml:space="preserve">, </w:t>
      </w:r>
      <w:r w:rsidRPr="00D2299A">
        <w:t>D</w:t>
      </w:r>
      <w:r w:rsidR="00791FAE">
        <w:t xml:space="preserve">epartment of </w:t>
      </w:r>
      <w:r w:rsidRPr="00D2299A">
        <w:t>F</w:t>
      </w:r>
      <w:r w:rsidR="00791FAE">
        <w:t xml:space="preserve">oreign </w:t>
      </w:r>
      <w:r w:rsidRPr="00D2299A">
        <w:t>A</w:t>
      </w:r>
      <w:r w:rsidR="00791FAE">
        <w:t xml:space="preserve">ffairs and </w:t>
      </w:r>
      <w:r w:rsidRPr="00D2299A">
        <w:t>T</w:t>
      </w:r>
      <w:r w:rsidR="00791FAE">
        <w:t xml:space="preserve">rade, and New Zealand </w:t>
      </w:r>
      <w:r w:rsidRPr="00D2299A">
        <w:t>M</w:t>
      </w:r>
      <w:r w:rsidR="00791FAE">
        <w:t xml:space="preserve">inistry of </w:t>
      </w:r>
      <w:r w:rsidRPr="00D2299A">
        <w:t>F</w:t>
      </w:r>
      <w:r w:rsidR="00791FAE">
        <w:t xml:space="preserve">oreign </w:t>
      </w:r>
      <w:r w:rsidRPr="00D2299A">
        <w:t>A</w:t>
      </w:r>
      <w:r w:rsidR="00791FAE">
        <w:t xml:space="preserve">ffairs and </w:t>
      </w:r>
      <w:r w:rsidRPr="00D2299A">
        <w:t>T</w:t>
      </w:r>
      <w:r w:rsidR="00791FAE">
        <w:t>rade</w:t>
      </w:r>
      <w:r w:rsidRPr="00D2299A">
        <w:t xml:space="preserve"> </w:t>
      </w:r>
      <w:r w:rsidR="00791FAE">
        <w:t>r</w:t>
      </w:r>
      <w:r w:rsidRPr="00D2299A">
        <w:t>epresentatives</w:t>
      </w:r>
    </w:p>
    <w:p w14:paraId="38B27808" w14:textId="1C75914A" w:rsidR="00530BA8" w:rsidRPr="00D2299A" w:rsidRDefault="00530BA8" w:rsidP="00530BA8">
      <w:pPr>
        <w:pStyle w:val="List2"/>
      </w:pPr>
      <w:r w:rsidRPr="00D2299A">
        <w:t>5.10</w:t>
      </w:r>
      <w:r>
        <w:tab/>
      </w:r>
      <w:r w:rsidRPr="00D2299A">
        <w:t>The role of AusAID,</w:t>
      </w:r>
      <w:r w:rsidR="005158BB">
        <w:t xml:space="preserve"> </w:t>
      </w:r>
      <w:r w:rsidR="00791FAE" w:rsidRPr="00D2299A">
        <w:t>D</w:t>
      </w:r>
      <w:r w:rsidR="00791FAE">
        <w:t xml:space="preserve">epartment of </w:t>
      </w:r>
      <w:r w:rsidR="00791FAE" w:rsidRPr="00D2299A">
        <w:t>F</w:t>
      </w:r>
      <w:r w:rsidR="00791FAE">
        <w:t xml:space="preserve">oreign </w:t>
      </w:r>
      <w:r w:rsidR="00791FAE" w:rsidRPr="00D2299A">
        <w:t>A</w:t>
      </w:r>
      <w:r w:rsidR="00791FAE">
        <w:t xml:space="preserve">ffairs and </w:t>
      </w:r>
      <w:r w:rsidR="00791FAE" w:rsidRPr="00D2299A">
        <w:t>T</w:t>
      </w:r>
      <w:r w:rsidR="00791FAE">
        <w:t xml:space="preserve">rade, and New Zealand </w:t>
      </w:r>
      <w:r w:rsidR="00791FAE" w:rsidRPr="00D2299A">
        <w:t>M</w:t>
      </w:r>
      <w:r w:rsidR="00791FAE">
        <w:t xml:space="preserve">inistry of </w:t>
      </w:r>
      <w:r w:rsidR="00791FAE" w:rsidRPr="00D2299A">
        <w:t>F</w:t>
      </w:r>
      <w:r w:rsidR="00791FAE">
        <w:t xml:space="preserve">oreign </w:t>
      </w:r>
      <w:r w:rsidR="00791FAE" w:rsidRPr="00D2299A">
        <w:t>A</w:t>
      </w:r>
      <w:r w:rsidR="00791FAE">
        <w:t xml:space="preserve">ffairs and </w:t>
      </w:r>
      <w:r w:rsidR="00791FAE" w:rsidRPr="00D2299A">
        <w:t>T</w:t>
      </w:r>
      <w:r w:rsidR="00791FAE">
        <w:t>rade</w:t>
      </w:r>
      <w:r w:rsidR="00791FAE" w:rsidRPr="00D2299A" w:rsidDel="00791FAE">
        <w:t xml:space="preserve"> </w:t>
      </w:r>
      <w:r w:rsidRPr="00D2299A">
        <w:t xml:space="preserve">representatives is to provide </w:t>
      </w:r>
      <w:r w:rsidR="00791FAE">
        <w:t xml:space="preserve">input and </w:t>
      </w:r>
      <w:r w:rsidR="00791FAE" w:rsidRPr="00D2299A">
        <w:t xml:space="preserve">information </w:t>
      </w:r>
      <w:r w:rsidR="00791FAE">
        <w:t>on Australia</w:t>
      </w:r>
      <w:r w:rsidR="00791FAE" w:rsidRPr="00D2299A">
        <w:t xml:space="preserve"> </w:t>
      </w:r>
      <w:r w:rsidRPr="00D2299A">
        <w:t xml:space="preserve">and </w:t>
      </w:r>
      <w:r w:rsidR="00791FAE">
        <w:t>New Zealand’s</w:t>
      </w:r>
      <w:r w:rsidR="00791FAE" w:rsidRPr="00D2299A">
        <w:t xml:space="preserve"> </w:t>
      </w:r>
      <w:r w:rsidRPr="00D2299A">
        <w:t>perspective</w:t>
      </w:r>
      <w:r w:rsidR="00791FAE">
        <w:t>,</w:t>
      </w:r>
      <w:r w:rsidRPr="00D2299A">
        <w:t xml:space="preserve"> and </w:t>
      </w:r>
      <w:r w:rsidR="00791FAE">
        <w:t>information on</w:t>
      </w:r>
      <w:r w:rsidR="00791FAE" w:rsidRPr="00D2299A">
        <w:t xml:space="preserve"> </w:t>
      </w:r>
      <w:r w:rsidR="00791FAE">
        <w:t>the three agencies</w:t>
      </w:r>
      <w:r w:rsidRPr="00D2299A">
        <w:t>.</w:t>
      </w:r>
      <w:r w:rsidR="005856D4">
        <w:t xml:space="preserve"> </w:t>
      </w:r>
      <w:r w:rsidRPr="00D2299A">
        <w:t xml:space="preserve">They will provide in country support to the </w:t>
      </w:r>
      <w:r w:rsidR="00791FAE">
        <w:t>i</w:t>
      </w:r>
      <w:r w:rsidR="00791FAE" w:rsidRPr="00791FAE">
        <w:t>ndependent progress report</w:t>
      </w:r>
      <w:r w:rsidR="00791FAE" w:rsidRPr="00791FAE" w:rsidDel="00791FAE">
        <w:t xml:space="preserve"> </w:t>
      </w:r>
      <w:r w:rsidRPr="00D2299A">
        <w:t>mission, including facilitating and attending meetings with key stakeholders.</w:t>
      </w:r>
      <w:r w:rsidR="005856D4">
        <w:t xml:space="preserve"> </w:t>
      </w:r>
      <w:r w:rsidRPr="00D2299A">
        <w:t xml:space="preserve">Where applicable they may assist the team regarding advice on </w:t>
      </w:r>
      <w:r w:rsidR="00791FAE">
        <w:t>their</w:t>
      </w:r>
      <w:r w:rsidR="00791FAE" w:rsidRPr="00D2299A" w:rsidDel="00791FAE">
        <w:t xml:space="preserve"> </w:t>
      </w:r>
      <w:r w:rsidRPr="00D2299A">
        <w:t xml:space="preserve">policies and business processes, as well as development effectiveness and international best practice approaches. As determined by the </w:t>
      </w:r>
      <w:r w:rsidR="00791FAE" w:rsidRPr="00D2299A">
        <w:t>team leader</w:t>
      </w:r>
      <w:r w:rsidRPr="00D2299A">
        <w:t xml:space="preserve">, they may also contribute to the preparation of the </w:t>
      </w:r>
      <w:r w:rsidR="00791FAE">
        <w:t>i</w:t>
      </w:r>
      <w:r w:rsidR="00791FAE" w:rsidRPr="00791FAE">
        <w:t>ndependent progress report</w:t>
      </w:r>
      <w:r w:rsidRPr="00D2299A">
        <w:t>.</w:t>
      </w:r>
    </w:p>
    <w:p w14:paraId="31B39709" w14:textId="77777777" w:rsidR="00530BA8" w:rsidRPr="00D2299A" w:rsidRDefault="00530BA8" w:rsidP="00530BA8">
      <w:pPr>
        <w:rPr>
          <w:rFonts w:cs="Arial"/>
          <w:b/>
          <w:szCs w:val="20"/>
        </w:rPr>
      </w:pPr>
    </w:p>
    <w:p w14:paraId="51B5FCB9" w14:textId="77777777" w:rsidR="00530BA8" w:rsidRPr="00714B4B" w:rsidRDefault="00530BA8" w:rsidP="00791FAE">
      <w:pPr>
        <w:pStyle w:val="List"/>
        <w:ind w:left="567" w:hanging="425"/>
        <w:rPr>
          <w:b/>
        </w:rPr>
      </w:pPr>
      <w:r w:rsidRPr="00714B4B">
        <w:rPr>
          <w:b/>
        </w:rPr>
        <w:t>6.</w:t>
      </w:r>
      <w:r w:rsidRPr="00714B4B">
        <w:rPr>
          <w:b/>
        </w:rPr>
        <w:tab/>
        <w:t>REPORTING REQUIREMENTS</w:t>
      </w:r>
    </w:p>
    <w:p w14:paraId="4DAD37D9" w14:textId="77BF76BA" w:rsidR="00530BA8" w:rsidRPr="00D2299A" w:rsidRDefault="00530BA8" w:rsidP="00530BA8">
      <w:pPr>
        <w:pStyle w:val="List2"/>
      </w:pPr>
      <w:r>
        <w:t xml:space="preserve">6.1 </w:t>
      </w:r>
      <w:r>
        <w:tab/>
      </w:r>
      <w:r w:rsidRPr="00D2299A">
        <w:t xml:space="preserve">A suggested draft report format will be agreed before the team departs for Jakarta. The </w:t>
      </w:r>
      <w:r w:rsidR="00791FAE">
        <w:t>i</w:t>
      </w:r>
      <w:r w:rsidR="00791FAE" w:rsidRPr="00791FAE">
        <w:t>ndependent progress report</w:t>
      </w:r>
      <w:r w:rsidR="00791FAE">
        <w:t xml:space="preserve"> </w:t>
      </w:r>
      <w:r w:rsidRPr="00D2299A">
        <w:t>team will provide:</w:t>
      </w:r>
    </w:p>
    <w:p w14:paraId="31F7ACCC" w14:textId="0F740A51" w:rsidR="00553850" w:rsidRDefault="00553850" w:rsidP="00714B4B">
      <w:pPr>
        <w:pStyle w:val="ListBullet2"/>
        <w:numPr>
          <w:ilvl w:val="0"/>
          <w:numId w:val="14"/>
        </w:numPr>
        <w:ind w:left="765" w:hanging="357"/>
      </w:pPr>
      <w:r w:rsidRPr="001452B0">
        <w:rPr>
          <w:rFonts w:cs="Arial"/>
          <w:szCs w:val="20"/>
        </w:rPr>
        <w:t>31 January 2013: evaluation plan/draft methodology</w:t>
      </w:r>
      <w:r w:rsidRPr="00D2299A">
        <w:rPr>
          <w:rFonts w:cs="Arial"/>
          <w:szCs w:val="20"/>
        </w:rPr>
        <w:t xml:space="preserve"> for approval prior to the in-country mission. This plan will outline the scope and methodology of the evaluation</w:t>
      </w:r>
      <w:r>
        <w:rPr>
          <w:rFonts w:cs="Arial"/>
          <w:szCs w:val="20"/>
        </w:rPr>
        <w:t>.</w:t>
      </w:r>
    </w:p>
    <w:p w14:paraId="1DACB31C" w14:textId="7B8D94FC" w:rsidR="00530BA8" w:rsidRPr="00D2299A" w:rsidRDefault="00530BA8" w:rsidP="00714B4B">
      <w:pPr>
        <w:pStyle w:val="ListBullet2"/>
        <w:numPr>
          <w:ilvl w:val="0"/>
          <w:numId w:val="14"/>
        </w:numPr>
        <w:ind w:left="765" w:hanging="357"/>
      </w:pPr>
      <w:r w:rsidRPr="00714B4B">
        <w:t xml:space="preserve">18 February: </w:t>
      </w:r>
      <w:r w:rsidR="00791FAE" w:rsidRPr="00791FAE">
        <w:t>independent progress report aide memoire</w:t>
      </w:r>
      <w:r w:rsidR="00791FAE" w:rsidRPr="00D2299A">
        <w:t xml:space="preserve"> </w:t>
      </w:r>
      <w:r w:rsidRPr="00D2299A">
        <w:t xml:space="preserve">to be presented to ASEAN, </w:t>
      </w:r>
      <w:r w:rsidR="00791FAE">
        <w:t xml:space="preserve">the </w:t>
      </w:r>
      <w:r w:rsidR="00FA23AA">
        <w:t xml:space="preserve">ASEAN </w:t>
      </w:r>
      <w:r w:rsidR="00791FAE">
        <w:t xml:space="preserve">Secretariat </w:t>
      </w:r>
      <w:r w:rsidRPr="00D2299A">
        <w:t xml:space="preserve">and </w:t>
      </w:r>
      <w:r w:rsidR="00791FAE">
        <w:t>departmental</w:t>
      </w:r>
      <w:r w:rsidRPr="00D2299A">
        <w:t xml:space="preserve"> representatives at the stakeholder workshop on completion of the in-country mission.</w:t>
      </w:r>
      <w:r w:rsidR="005856D4">
        <w:t xml:space="preserve"> </w:t>
      </w:r>
      <w:r w:rsidRPr="00D2299A">
        <w:t>Th</w:t>
      </w:r>
      <w:r w:rsidR="00E17A74">
        <w:t>is</w:t>
      </w:r>
      <w:r w:rsidRPr="00D2299A">
        <w:t xml:space="preserve"> document will also be provided to AusAID Canberra for comment.</w:t>
      </w:r>
    </w:p>
    <w:p w14:paraId="055FE9F4" w14:textId="7B978FDF" w:rsidR="00530BA8" w:rsidRPr="00D2299A" w:rsidRDefault="00530BA8" w:rsidP="00714B4B">
      <w:pPr>
        <w:pStyle w:val="ListBullet2"/>
        <w:numPr>
          <w:ilvl w:val="0"/>
          <w:numId w:val="14"/>
        </w:numPr>
        <w:ind w:left="765" w:hanging="357"/>
      </w:pPr>
      <w:r w:rsidRPr="00D2299A">
        <w:t xml:space="preserve">5 March: </w:t>
      </w:r>
      <w:r w:rsidR="00791FAE" w:rsidRPr="00D2299A">
        <w:t xml:space="preserve">draft independent progress report </w:t>
      </w:r>
      <w:r w:rsidRPr="00D2299A">
        <w:t>to be provided to AusAID Canberra.</w:t>
      </w:r>
      <w:r w:rsidR="005856D4">
        <w:t xml:space="preserve"> </w:t>
      </w:r>
    </w:p>
    <w:p w14:paraId="4B9EF2A2" w14:textId="007752C1" w:rsidR="00530BA8" w:rsidRPr="00D2299A" w:rsidRDefault="00530BA8" w:rsidP="00714B4B">
      <w:pPr>
        <w:pStyle w:val="ListBullet2"/>
        <w:numPr>
          <w:ilvl w:val="0"/>
          <w:numId w:val="14"/>
        </w:numPr>
        <w:ind w:left="765" w:hanging="357"/>
      </w:pPr>
      <w:r w:rsidRPr="00D2299A">
        <w:t xml:space="preserve">28 March: Revised </w:t>
      </w:r>
      <w:r w:rsidR="00791FAE" w:rsidRPr="00D2299A">
        <w:t xml:space="preserve">draft independent progress report </w:t>
      </w:r>
      <w:r w:rsidRPr="00D2299A">
        <w:t>incorporating stakeholder comments</w:t>
      </w:r>
      <w:r w:rsidR="00791FAE">
        <w:t>.</w:t>
      </w:r>
    </w:p>
    <w:p w14:paraId="2BCF0526" w14:textId="70ECA629" w:rsidR="00530BA8" w:rsidRPr="00D2299A" w:rsidRDefault="00530BA8" w:rsidP="00530BA8">
      <w:pPr>
        <w:pStyle w:val="ListBullet2"/>
        <w:numPr>
          <w:ilvl w:val="0"/>
          <w:numId w:val="14"/>
        </w:numPr>
      </w:pPr>
      <w:r w:rsidRPr="00714B4B">
        <w:t xml:space="preserve">8 April: </w:t>
      </w:r>
      <w:r w:rsidR="009479AB" w:rsidRPr="009479AB">
        <w:t>peer r</w:t>
      </w:r>
      <w:r w:rsidRPr="00714B4B">
        <w:t>eview:</w:t>
      </w:r>
      <w:r w:rsidRPr="00D2299A">
        <w:t xml:space="preserve"> the </w:t>
      </w:r>
      <w:r w:rsidR="009479AB" w:rsidRPr="00D2299A">
        <w:t xml:space="preserve">team leader </w:t>
      </w:r>
      <w:r w:rsidRPr="00D2299A">
        <w:t>(and possibly team members) will participate in the peer review and provide verbal clarification and input as required</w:t>
      </w:r>
      <w:r w:rsidR="009479AB">
        <w:t>.</w:t>
      </w:r>
    </w:p>
    <w:p w14:paraId="4005438B" w14:textId="4BCA83DF" w:rsidR="00530BA8" w:rsidRPr="00D2299A" w:rsidRDefault="00530BA8" w:rsidP="00530BA8">
      <w:pPr>
        <w:pStyle w:val="ListBullet2"/>
        <w:numPr>
          <w:ilvl w:val="0"/>
          <w:numId w:val="14"/>
        </w:numPr>
      </w:pPr>
      <w:r w:rsidRPr="00714B4B">
        <w:t xml:space="preserve">16 April: </w:t>
      </w:r>
      <w:r w:rsidR="009479AB" w:rsidRPr="00714B4B">
        <w:t>final independent progress report</w:t>
      </w:r>
      <w:r w:rsidR="009479AB">
        <w:t>:</w:t>
      </w:r>
      <w:r w:rsidRPr="00D2299A">
        <w:t xml:space="preserve"> final document, incorporating agreed outcomes from the peer review. The report will be no more than 20 pages (plus annexes and a two page executive summary). Lessons learned, recommendations and ratings should be clearly documented in the report</w:t>
      </w:r>
      <w:r w:rsidR="009479AB">
        <w:t>.</w:t>
      </w:r>
    </w:p>
    <w:p w14:paraId="24FD02F0" w14:textId="1A928E75" w:rsidR="00530BA8" w:rsidRDefault="00530BA8" w:rsidP="00530BA8">
      <w:pPr>
        <w:pStyle w:val="ListBullet2"/>
        <w:numPr>
          <w:ilvl w:val="0"/>
          <w:numId w:val="14"/>
        </w:numPr>
      </w:pPr>
      <w:r w:rsidRPr="00714B4B">
        <w:t>Summary for publication</w:t>
      </w:r>
      <w:r w:rsidR="009479AB">
        <w:t>:</w:t>
      </w:r>
      <w:r w:rsidRPr="00D2299A">
        <w:t xml:space="preserve"> in consultation with AusAID Canberra, produce a </w:t>
      </w:r>
      <w:r w:rsidR="009479AB">
        <w:t>two</w:t>
      </w:r>
      <w:r w:rsidR="009479AB" w:rsidRPr="00D2299A">
        <w:t xml:space="preserve"> </w:t>
      </w:r>
      <w:r w:rsidRPr="00D2299A">
        <w:t>page summary document for publication on the website, highlighting the most important aspects of the final report.</w:t>
      </w:r>
    </w:p>
    <w:p w14:paraId="19668A0E" w14:textId="77777777" w:rsidR="00530BA8" w:rsidRPr="00D2299A" w:rsidRDefault="00530BA8" w:rsidP="00530BA8">
      <w:pPr>
        <w:tabs>
          <w:tab w:val="num" w:pos="709"/>
        </w:tabs>
        <w:spacing w:before="0" w:after="0"/>
        <w:ind w:left="709"/>
        <w:rPr>
          <w:rFonts w:cs="Arial"/>
          <w:szCs w:val="20"/>
        </w:rPr>
      </w:pPr>
    </w:p>
    <w:p w14:paraId="0DCAFEE6" w14:textId="036FD73B" w:rsidR="00530BA8" w:rsidRPr="00714B4B" w:rsidRDefault="009479AB" w:rsidP="009479AB">
      <w:pPr>
        <w:pStyle w:val="List"/>
        <w:ind w:left="567" w:hanging="425"/>
        <w:rPr>
          <w:b/>
        </w:rPr>
      </w:pPr>
      <w:r w:rsidRPr="009479AB">
        <w:rPr>
          <w:b/>
        </w:rPr>
        <w:t>7.</w:t>
      </w:r>
      <w:r w:rsidRPr="009479AB">
        <w:rPr>
          <w:b/>
        </w:rPr>
        <w:tab/>
        <w:t>KEY REFERENCES</w:t>
      </w:r>
    </w:p>
    <w:p w14:paraId="3FA17FCB" w14:textId="77777777" w:rsidR="00530BA8" w:rsidRPr="00D2299A" w:rsidRDefault="00530BA8" w:rsidP="00530BA8">
      <w:pPr>
        <w:pStyle w:val="List2"/>
      </w:pPr>
      <w:r>
        <w:t>7.1</w:t>
      </w:r>
      <w:r>
        <w:tab/>
      </w:r>
      <w:r w:rsidRPr="00D2299A">
        <w:t xml:space="preserve">The following is a list of key documents and is not intended to be exhaustive: </w:t>
      </w:r>
    </w:p>
    <w:p w14:paraId="31B0581A" w14:textId="77777777" w:rsidR="00530BA8" w:rsidRPr="00D2299A" w:rsidRDefault="00530BA8" w:rsidP="00530BA8">
      <w:pPr>
        <w:pStyle w:val="ListParagraph"/>
        <w:numPr>
          <w:ilvl w:val="0"/>
          <w:numId w:val="19"/>
        </w:numPr>
        <w:spacing w:before="0" w:after="0"/>
        <w:rPr>
          <w:rFonts w:cs="Arial"/>
          <w:szCs w:val="20"/>
        </w:rPr>
      </w:pPr>
      <w:r w:rsidRPr="00D2299A">
        <w:rPr>
          <w:rFonts w:cs="Arial"/>
          <w:szCs w:val="20"/>
        </w:rPr>
        <w:t>AECSP design document</w:t>
      </w:r>
    </w:p>
    <w:p w14:paraId="5530B09D" w14:textId="74CC3022" w:rsidR="00530BA8" w:rsidRPr="00D2299A" w:rsidRDefault="00530BA8" w:rsidP="00530BA8">
      <w:pPr>
        <w:pStyle w:val="ListParagraph"/>
        <w:numPr>
          <w:ilvl w:val="0"/>
          <w:numId w:val="19"/>
        </w:numPr>
        <w:spacing w:before="0" w:after="0"/>
        <w:rPr>
          <w:rFonts w:cs="Arial"/>
          <w:szCs w:val="20"/>
        </w:rPr>
      </w:pPr>
      <w:r w:rsidRPr="00D2299A">
        <w:rPr>
          <w:rFonts w:cs="Arial"/>
          <w:szCs w:val="20"/>
        </w:rPr>
        <w:t xml:space="preserve">AECSP </w:t>
      </w:r>
      <w:r w:rsidR="009479AB" w:rsidRPr="00D2299A">
        <w:rPr>
          <w:rFonts w:cs="Arial"/>
          <w:szCs w:val="20"/>
        </w:rPr>
        <w:t xml:space="preserve">strategic overview </w:t>
      </w:r>
      <w:r w:rsidRPr="00D2299A">
        <w:rPr>
          <w:rFonts w:cs="Arial"/>
          <w:szCs w:val="20"/>
        </w:rPr>
        <w:t>(August 2011)</w:t>
      </w:r>
    </w:p>
    <w:p w14:paraId="47F468B4" w14:textId="5FCDB1F5" w:rsidR="00530BA8" w:rsidRPr="00D2299A" w:rsidRDefault="00530BA8" w:rsidP="00530BA8">
      <w:pPr>
        <w:pStyle w:val="ListParagraph"/>
        <w:numPr>
          <w:ilvl w:val="0"/>
          <w:numId w:val="19"/>
        </w:numPr>
        <w:spacing w:before="0" w:after="0"/>
        <w:rPr>
          <w:rFonts w:cs="Arial"/>
          <w:szCs w:val="20"/>
        </w:rPr>
      </w:pPr>
      <w:r w:rsidRPr="00D2299A">
        <w:rPr>
          <w:rFonts w:cs="Arial"/>
          <w:szCs w:val="20"/>
        </w:rPr>
        <w:lastRenderedPageBreak/>
        <w:t xml:space="preserve">AECSP </w:t>
      </w:r>
      <w:r w:rsidR="009479AB" w:rsidRPr="00D2299A">
        <w:rPr>
          <w:rFonts w:cs="Arial"/>
          <w:szCs w:val="20"/>
        </w:rPr>
        <w:t xml:space="preserve">mid-term review </w:t>
      </w:r>
      <w:r w:rsidRPr="00D2299A">
        <w:rPr>
          <w:rFonts w:cs="Arial"/>
          <w:szCs w:val="20"/>
        </w:rPr>
        <w:t>(August 2012)</w:t>
      </w:r>
      <w:r w:rsidRPr="00D2299A">
        <w:rPr>
          <w:rStyle w:val="FootnoteReference"/>
          <w:rFonts w:cs="Arial"/>
          <w:szCs w:val="20"/>
        </w:rPr>
        <w:footnoteReference w:id="66"/>
      </w:r>
    </w:p>
    <w:p w14:paraId="066189ED" w14:textId="4F2CAE4B" w:rsidR="00530BA8" w:rsidRPr="00D2299A" w:rsidRDefault="00E17A74" w:rsidP="00530BA8">
      <w:pPr>
        <w:pStyle w:val="ListParagraph"/>
        <w:numPr>
          <w:ilvl w:val="0"/>
          <w:numId w:val="19"/>
        </w:numPr>
        <w:spacing w:before="0" w:after="0"/>
        <w:rPr>
          <w:rFonts w:cs="Arial"/>
          <w:szCs w:val="20"/>
        </w:rPr>
      </w:pPr>
      <w:r>
        <w:rPr>
          <w:rFonts w:cs="Arial"/>
          <w:szCs w:val="20"/>
        </w:rPr>
        <w:t>q</w:t>
      </w:r>
      <w:r w:rsidRPr="00D2299A">
        <w:rPr>
          <w:rFonts w:cs="Arial"/>
          <w:szCs w:val="20"/>
        </w:rPr>
        <w:t xml:space="preserve">uality </w:t>
      </w:r>
      <w:r w:rsidR="00530BA8" w:rsidRPr="00D2299A">
        <w:rPr>
          <w:rFonts w:cs="Arial"/>
          <w:szCs w:val="20"/>
        </w:rPr>
        <w:t xml:space="preserve">at </w:t>
      </w:r>
      <w:r>
        <w:rPr>
          <w:rFonts w:cs="Arial"/>
          <w:szCs w:val="20"/>
        </w:rPr>
        <w:t>i</w:t>
      </w:r>
      <w:r w:rsidRPr="00D2299A">
        <w:rPr>
          <w:rFonts w:cs="Arial"/>
          <w:szCs w:val="20"/>
        </w:rPr>
        <w:t xml:space="preserve">mplementation </w:t>
      </w:r>
      <w:r w:rsidR="00530BA8" w:rsidRPr="00D2299A">
        <w:rPr>
          <w:rFonts w:cs="Arial"/>
          <w:szCs w:val="20"/>
        </w:rPr>
        <w:t xml:space="preserve">reports </w:t>
      </w:r>
    </w:p>
    <w:p w14:paraId="66F4F5FA" w14:textId="00275BC6" w:rsidR="00530BA8" w:rsidRPr="00D2299A" w:rsidRDefault="00530BA8" w:rsidP="00530BA8">
      <w:pPr>
        <w:pStyle w:val="ListParagraph"/>
        <w:numPr>
          <w:ilvl w:val="0"/>
          <w:numId w:val="19"/>
        </w:numPr>
        <w:spacing w:before="0" w:after="0"/>
        <w:rPr>
          <w:rFonts w:cs="Arial"/>
          <w:szCs w:val="20"/>
        </w:rPr>
      </w:pPr>
      <w:r w:rsidRPr="00D2299A">
        <w:rPr>
          <w:rFonts w:cs="Arial"/>
          <w:szCs w:val="20"/>
        </w:rPr>
        <w:t>F</w:t>
      </w:r>
      <w:r w:rsidR="009479AB">
        <w:rPr>
          <w:rFonts w:cs="Arial"/>
          <w:szCs w:val="20"/>
        </w:rPr>
        <w:t xml:space="preserve">ree </w:t>
      </w:r>
      <w:r w:rsidRPr="00D2299A">
        <w:rPr>
          <w:rFonts w:cs="Arial"/>
          <w:szCs w:val="20"/>
        </w:rPr>
        <w:t>T</w:t>
      </w:r>
      <w:r w:rsidR="009479AB">
        <w:rPr>
          <w:rFonts w:cs="Arial"/>
          <w:szCs w:val="20"/>
        </w:rPr>
        <w:t xml:space="preserve">rade </w:t>
      </w:r>
      <w:r w:rsidRPr="00D2299A">
        <w:rPr>
          <w:rFonts w:cs="Arial"/>
          <w:szCs w:val="20"/>
        </w:rPr>
        <w:t>A</w:t>
      </w:r>
      <w:r w:rsidR="009479AB">
        <w:rPr>
          <w:rFonts w:cs="Arial"/>
          <w:szCs w:val="20"/>
        </w:rPr>
        <w:t>greement</w:t>
      </w:r>
      <w:r w:rsidRPr="00D2299A">
        <w:rPr>
          <w:rFonts w:cs="Arial"/>
          <w:szCs w:val="20"/>
        </w:rPr>
        <w:t xml:space="preserve"> Joint Committee summary of decisions</w:t>
      </w:r>
      <w:r w:rsidR="005856D4">
        <w:rPr>
          <w:rFonts w:cs="Arial"/>
          <w:szCs w:val="20"/>
        </w:rPr>
        <w:t xml:space="preserve"> </w:t>
      </w:r>
    </w:p>
    <w:p w14:paraId="5E8D7074" w14:textId="00F87D52" w:rsidR="00530BA8" w:rsidRPr="00D2299A" w:rsidRDefault="00E17A74" w:rsidP="00530BA8">
      <w:pPr>
        <w:pStyle w:val="ListParagraph"/>
        <w:numPr>
          <w:ilvl w:val="0"/>
          <w:numId w:val="19"/>
        </w:numPr>
        <w:spacing w:before="0" w:after="0"/>
        <w:rPr>
          <w:rFonts w:cs="Arial"/>
          <w:szCs w:val="20"/>
        </w:rPr>
      </w:pPr>
      <w:r>
        <w:rPr>
          <w:rFonts w:cs="Arial"/>
          <w:szCs w:val="20"/>
        </w:rPr>
        <w:t>m</w:t>
      </w:r>
      <w:r w:rsidRPr="00D2299A">
        <w:rPr>
          <w:rFonts w:cs="Arial"/>
          <w:szCs w:val="20"/>
        </w:rPr>
        <w:t xml:space="preserve">onitoring </w:t>
      </w:r>
      <w:r w:rsidR="00530BA8" w:rsidRPr="00D2299A">
        <w:rPr>
          <w:rFonts w:cs="Arial"/>
          <w:szCs w:val="20"/>
        </w:rPr>
        <w:t xml:space="preserve">and </w:t>
      </w:r>
      <w:r w:rsidR="009479AB" w:rsidRPr="00D2299A">
        <w:rPr>
          <w:rFonts w:cs="Arial"/>
          <w:szCs w:val="20"/>
        </w:rPr>
        <w:t>evaluation f</w:t>
      </w:r>
      <w:r w:rsidR="00530BA8" w:rsidRPr="00D2299A">
        <w:rPr>
          <w:rFonts w:cs="Arial"/>
          <w:szCs w:val="20"/>
        </w:rPr>
        <w:t xml:space="preserve">ramework </w:t>
      </w:r>
    </w:p>
    <w:p w14:paraId="731FFCE9" w14:textId="22BA6326" w:rsidR="00530BA8" w:rsidRPr="00D2299A" w:rsidRDefault="00530BA8" w:rsidP="00530BA8">
      <w:pPr>
        <w:pStyle w:val="ListParagraph"/>
        <w:numPr>
          <w:ilvl w:val="0"/>
          <w:numId w:val="19"/>
        </w:numPr>
        <w:spacing w:before="0" w:after="0"/>
        <w:rPr>
          <w:rFonts w:cs="Arial"/>
          <w:szCs w:val="20"/>
        </w:rPr>
      </w:pPr>
      <w:r w:rsidRPr="00D2299A">
        <w:rPr>
          <w:rFonts w:cs="Arial"/>
          <w:szCs w:val="20"/>
        </w:rPr>
        <w:t xml:space="preserve">AECSP matrix of approved </w:t>
      </w:r>
      <w:r w:rsidR="00E77996">
        <w:rPr>
          <w:rFonts w:cs="Arial"/>
          <w:szCs w:val="20"/>
        </w:rPr>
        <w:t xml:space="preserve">Economic Cooperation Work Program </w:t>
      </w:r>
      <w:r w:rsidRPr="00D2299A">
        <w:rPr>
          <w:rFonts w:cs="Arial"/>
          <w:szCs w:val="20"/>
        </w:rPr>
        <w:t xml:space="preserve">projects </w:t>
      </w:r>
    </w:p>
    <w:p w14:paraId="2D3670A1" w14:textId="6974F957" w:rsidR="00530BA8" w:rsidRPr="00D2299A" w:rsidRDefault="00546E38" w:rsidP="00530BA8">
      <w:pPr>
        <w:pStyle w:val="ListParagraph"/>
        <w:numPr>
          <w:ilvl w:val="0"/>
          <w:numId w:val="19"/>
        </w:numPr>
        <w:spacing w:before="0" w:after="0"/>
        <w:rPr>
          <w:rFonts w:cs="Arial"/>
          <w:szCs w:val="20"/>
        </w:rPr>
      </w:pPr>
      <w:r>
        <w:rPr>
          <w:rFonts w:cs="Arial"/>
          <w:szCs w:val="20"/>
        </w:rPr>
        <w:t xml:space="preserve">Economic </w:t>
      </w:r>
      <w:r w:rsidR="00E77996">
        <w:rPr>
          <w:rFonts w:cs="Arial"/>
          <w:szCs w:val="20"/>
        </w:rPr>
        <w:t xml:space="preserve">Cooperation Work Program </w:t>
      </w:r>
      <w:r w:rsidR="00530BA8" w:rsidRPr="00D2299A">
        <w:rPr>
          <w:rFonts w:cs="Arial"/>
          <w:szCs w:val="20"/>
        </w:rPr>
        <w:t xml:space="preserve">component implementation plans </w:t>
      </w:r>
    </w:p>
    <w:p w14:paraId="1C8B9F3E" w14:textId="65B8D6CE" w:rsidR="00530BA8" w:rsidRPr="00D2299A" w:rsidRDefault="00600A7D" w:rsidP="00530BA8">
      <w:pPr>
        <w:pStyle w:val="ListParagraph"/>
        <w:numPr>
          <w:ilvl w:val="0"/>
          <w:numId w:val="19"/>
        </w:numPr>
        <w:spacing w:before="0" w:after="0"/>
        <w:rPr>
          <w:rFonts w:cs="Arial"/>
          <w:szCs w:val="20"/>
        </w:rPr>
      </w:pPr>
      <w:r>
        <w:rPr>
          <w:rFonts w:cs="Arial"/>
          <w:szCs w:val="20"/>
        </w:rPr>
        <w:t>a</w:t>
      </w:r>
      <w:r w:rsidRPr="00D2299A">
        <w:rPr>
          <w:rFonts w:cs="Arial"/>
          <w:szCs w:val="20"/>
        </w:rPr>
        <w:t xml:space="preserve">vailable </w:t>
      </w:r>
      <w:r w:rsidR="00E77996">
        <w:rPr>
          <w:rFonts w:cs="Arial"/>
          <w:szCs w:val="20"/>
        </w:rPr>
        <w:t xml:space="preserve">Economic Cooperation Work Program </w:t>
      </w:r>
      <w:r w:rsidR="009479AB" w:rsidRPr="00D2299A">
        <w:rPr>
          <w:rFonts w:cs="Arial"/>
          <w:szCs w:val="20"/>
        </w:rPr>
        <w:t xml:space="preserve">project completion reports </w:t>
      </w:r>
    </w:p>
    <w:p w14:paraId="3368BD54" w14:textId="318AF702" w:rsidR="00530BA8" w:rsidRPr="00D2299A" w:rsidRDefault="009479AB" w:rsidP="00530BA8">
      <w:pPr>
        <w:pStyle w:val="ListParagraph"/>
        <w:numPr>
          <w:ilvl w:val="0"/>
          <w:numId w:val="19"/>
        </w:numPr>
        <w:spacing w:before="0" w:after="0"/>
        <w:rPr>
          <w:rFonts w:cs="Arial"/>
          <w:szCs w:val="20"/>
        </w:rPr>
      </w:pPr>
      <w:r>
        <w:rPr>
          <w:rFonts w:cs="Arial"/>
          <w:szCs w:val="20"/>
        </w:rPr>
        <w:t>O</w:t>
      </w:r>
      <w:r w:rsidRPr="00D2299A">
        <w:rPr>
          <w:rFonts w:cs="Arial"/>
          <w:szCs w:val="20"/>
        </w:rPr>
        <w:t xml:space="preserve">utput and outcome level data and analysis of </w:t>
      </w:r>
      <w:r w:rsidR="00E77996">
        <w:rPr>
          <w:rFonts w:cs="Arial"/>
          <w:szCs w:val="20"/>
        </w:rPr>
        <w:t>Economic Cooperation Work Progra</w:t>
      </w:r>
      <w:r>
        <w:rPr>
          <w:rFonts w:cs="Arial"/>
          <w:szCs w:val="20"/>
        </w:rPr>
        <w:t xml:space="preserve">m </w:t>
      </w:r>
      <w:r w:rsidRPr="00D2299A">
        <w:rPr>
          <w:rFonts w:cs="Arial"/>
          <w:szCs w:val="20"/>
        </w:rPr>
        <w:t>projects</w:t>
      </w:r>
      <w:r>
        <w:rPr>
          <w:rFonts w:cs="Arial"/>
          <w:szCs w:val="20"/>
        </w:rPr>
        <w:t xml:space="preserve"> </w:t>
      </w:r>
    </w:p>
    <w:p w14:paraId="54341502" w14:textId="2A352727" w:rsidR="00530BA8" w:rsidRPr="00D2299A" w:rsidRDefault="00530BA8" w:rsidP="00530BA8">
      <w:pPr>
        <w:pStyle w:val="ListParagraph"/>
        <w:numPr>
          <w:ilvl w:val="0"/>
          <w:numId w:val="19"/>
        </w:numPr>
        <w:spacing w:before="0" w:after="0"/>
        <w:rPr>
          <w:rFonts w:cs="Arial"/>
          <w:b/>
          <w:szCs w:val="20"/>
        </w:rPr>
      </w:pPr>
      <w:r w:rsidRPr="00D2299A">
        <w:rPr>
          <w:rFonts w:cs="Arial"/>
          <w:szCs w:val="20"/>
        </w:rPr>
        <w:t xml:space="preserve">Cooperation Arrangement </w:t>
      </w:r>
      <w:r w:rsidR="009479AB">
        <w:rPr>
          <w:rFonts w:cs="Arial"/>
          <w:szCs w:val="20"/>
        </w:rPr>
        <w:t>b</w:t>
      </w:r>
      <w:r w:rsidR="009479AB" w:rsidRPr="00D2299A">
        <w:rPr>
          <w:rFonts w:cs="Arial"/>
          <w:szCs w:val="20"/>
        </w:rPr>
        <w:t xml:space="preserve">etween </w:t>
      </w:r>
      <w:r w:rsidRPr="00D2299A">
        <w:rPr>
          <w:rFonts w:cs="Arial"/>
          <w:szCs w:val="20"/>
        </w:rPr>
        <w:t>the Association of Southeast Asian Nations Secretariat</w:t>
      </w:r>
      <w:r w:rsidR="005856D4">
        <w:rPr>
          <w:rFonts w:cs="Arial"/>
          <w:szCs w:val="20"/>
        </w:rPr>
        <w:t xml:space="preserve"> </w:t>
      </w:r>
      <w:r w:rsidRPr="00D2299A">
        <w:rPr>
          <w:rFonts w:cs="Arial"/>
          <w:szCs w:val="20"/>
        </w:rPr>
        <w:t>and the Commonwealth of Australia represented by the Australian Agency for International Development on the ASEAN Australia New Zealand Free Trade Area Economic Cooperation Support Program</w:t>
      </w:r>
      <w:r w:rsidR="009479AB">
        <w:rPr>
          <w:rFonts w:cs="Arial"/>
          <w:szCs w:val="20"/>
        </w:rPr>
        <w:t>.</w:t>
      </w:r>
    </w:p>
    <w:p w14:paraId="5B30D6AE" w14:textId="77777777" w:rsidR="009479AB" w:rsidRPr="00714B4B" w:rsidRDefault="009479AB" w:rsidP="00530BA8">
      <w:pPr>
        <w:rPr>
          <w:rFonts w:cs="Arial"/>
          <w:b/>
          <w:szCs w:val="20"/>
        </w:rPr>
      </w:pPr>
    </w:p>
    <w:p w14:paraId="1F65A6AB" w14:textId="77777777" w:rsidR="00530BA8" w:rsidRPr="00714B4B" w:rsidRDefault="00530BA8" w:rsidP="009479AB">
      <w:pPr>
        <w:pStyle w:val="List"/>
        <w:ind w:left="567" w:hanging="425"/>
        <w:rPr>
          <w:b/>
        </w:rPr>
      </w:pPr>
      <w:r w:rsidRPr="00714B4B">
        <w:rPr>
          <w:b/>
        </w:rPr>
        <w:t>8.</w:t>
      </w:r>
      <w:r w:rsidRPr="00714B4B">
        <w:rPr>
          <w:b/>
        </w:rPr>
        <w:tab/>
        <w:t>LEARNING AND DISSEMINATION</w:t>
      </w:r>
    </w:p>
    <w:p w14:paraId="19B7A6B2" w14:textId="70EE1A59" w:rsidR="00530BA8" w:rsidRPr="00D2299A" w:rsidRDefault="00530BA8" w:rsidP="00530BA8">
      <w:pPr>
        <w:pStyle w:val="List2"/>
      </w:pPr>
      <w:r>
        <w:t>8.1</w:t>
      </w:r>
      <w:r>
        <w:tab/>
      </w:r>
      <w:r w:rsidRPr="00D2299A">
        <w:t xml:space="preserve">AusAID will consult on the final </w:t>
      </w:r>
      <w:r w:rsidR="009479AB">
        <w:t>i</w:t>
      </w:r>
      <w:r w:rsidR="009479AB" w:rsidRPr="00791FAE">
        <w:t>ndependent progress report</w:t>
      </w:r>
      <w:r w:rsidR="009479AB">
        <w:t xml:space="preserve"> </w:t>
      </w:r>
      <w:r w:rsidRPr="00D2299A">
        <w:t xml:space="preserve">with ASEAN, </w:t>
      </w:r>
      <w:r w:rsidR="009479AB">
        <w:t xml:space="preserve">the </w:t>
      </w:r>
      <w:r w:rsidR="00FA23AA">
        <w:t xml:space="preserve">ASEAN </w:t>
      </w:r>
      <w:r w:rsidR="009479AB">
        <w:t>Secretariat</w:t>
      </w:r>
      <w:r w:rsidRPr="00D2299A">
        <w:t>, D</w:t>
      </w:r>
      <w:r w:rsidR="009479AB">
        <w:t xml:space="preserve">epartment of </w:t>
      </w:r>
      <w:r w:rsidRPr="00D2299A">
        <w:t>F</w:t>
      </w:r>
      <w:r w:rsidR="009479AB">
        <w:t xml:space="preserve">oreign </w:t>
      </w:r>
      <w:r w:rsidRPr="00D2299A">
        <w:t>A</w:t>
      </w:r>
      <w:r w:rsidR="009479AB">
        <w:t xml:space="preserve">ffairs and </w:t>
      </w:r>
      <w:r w:rsidRPr="00D2299A">
        <w:t>T</w:t>
      </w:r>
      <w:r w:rsidR="009479AB">
        <w:t>rade</w:t>
      </w:r>
      <w:r w:rsidRPr="00D2299A">
        <w:t>,</w:t>
      </w:r>
      <w:r w:rsidR="009479AB">
        <w:t xml:space="preserve"> New Zealand</w:t>
      </w:r>
      <w:r w:rsidRPr="00D2299A">
        <w:t xml:space="preserve"> M</w:t>
      </w:r>
      <w:r w:rsidR="009479AB">
        <w:t xml:space="preserve">inistry of </w:t>
      </w:r>
      <w:r w:rsidRPr="00D2299A">
        <w:t>F</w:t>
      </w:r>
      <w:r w:rsidR="009479AB">
        <w:t xml:space="preserve">oreign </w:t>
      </w:r>
      <w:r w:rsidRPr="00D2299A">
        <w:t>A</w:t>
      </w:r>
      <w:r w:rsidR="009479AB">
        <w:t xml:space="preserve">ffairs and </w:t>
      </w:r>
      <w:r w:rsidRPr="00D2299A">
        <w:t>T</w:t>
      </w:r>
      <w:r w:rsidR="009479AB">
        <w:t>rade</w:t>
      </w:r>
      <w:r w:rsidRPr="00D2299A">
        <w:t xml:space="preserve"> and the F</w:t>
      </w:r>
      <w:r w:rsidR="009479AB">
        <w:t xml:space="preserve">ree </w:t>
      </w:r>
      <w:r w:rsidRPr="00D2299A">
        <w:t>T</w:t>
      </w:r>
      <w:r w:rsidR="009479AB">
        <w:t xml:space="preserve">rade </w:t>
      </w:r>
      <w:r w:rsidRPr="00D2299A">
        <w:t>A</w:t>
      </w:r>
      <w:r w:rsidR="009479AB">
        <w:t>greement</w:t>
      </w:r>
      <w:r w:rsidRPr="00D2299A">
        <w:t xml:space="preserve"> Joint Committee. A joint management response to the </w:t>
      </w:r>
      <w:r w:rsidR="009479AB">
        <w:t>i</w:t>
      </w:r>
      <w:r w:rsidR="009479AB" w:rsidRPr="00791FAE">
        <w:t>ndependent progress report</w:t>
      </w:r>
      <w:r w:rsidR="009479AB">
        <w:t xml:space="preserve"> </w:t>
      </w:r>
      <w:r w:rsidRPr="00D2299A">
        <w:t xml:space="preserve">recommendations will be agreed by these parties. </w:t>
      </w:r>
    </w:p>
    <w:p w14:paraId="3582B376" w14:textId="77777777" w:rsidR="00530BA8" w:rsidRPr="00D2299A" w:rsidRDefault="00530BA8" w:rsidP="00530BA8">
      <w:pPr>
        <w:rPr>
          <w:rFonts w:cs="Arial"/>
          <w:szCs w:val="20"/>
        </w:rPr>
      </w:pPr>
    </w:p>
    <w:p w14:paraId="722B8391" w14:textId="77777777" w:rsidR="00530BA8" w:rsidRPr="00D2299A" w:rsidRDefault="00530BA8" w:rsidP="00530BA8">
      <w:pPr>
        <w:spacing w:after="200" w:line="276" w:lineRule="auto"/>
        <w:rPr>
          <w:rFonts w:cs="Arial"/>
          <w:szCs w:val="20"/>
        </w:rPr>
      </w:pPr>
      <w:r w:rsidRPr="00D2299A">
        <w:rPr>
          <w:rFonts w:cs="Arial"/>
          <w:szCs w:val="20"/>
        </w:rPr>
        <w:br w:type="page"/>
      </w:r>
    </w:p>
    <w:p w14:paraId="0A633961" w14:textId="65F92E9F" w:rsidR="00530BA8" w:rsidRPr="00B75A93" w:rsidRDefault="00530BA8" w:rsidP="00530BA8">
      <w:pPr>
        <w:pStyle w:val="BodyText"/>
        <w:rPr>
          <w:rFonts w:cs="Arial"/>
          <w:b/>
        </w:rPr>
      </w:pPr>
      <w:r w:rsidRPr="00B75A93">
        <w:rPr>
          <w:rFonts w:cs="Arial"/>
          <w:b/>
        </w:rPr>
        <w:lastRenderedPageBreak/>
        <w:t xml:space="preserve">Attachment to Appendix 1: </w:t>
      </w:r>
      <w:r w:rsidRPr="00B75A93">
        <w:rPr>
          <w:b/>
        </w:rPr>
        <w:t xml:space="preserve">Proposed </w:t>
      </w:r>
      <w:r w:rsidR="009479AB" w:rsidRPr="00B75A93">
        <w:rPr>
          <w:b/>
        </w:rPr>
        <w:t>questions for an independent progress report</w:t>
      </w:r>
    </w:p>
    <w:p w14:paraId="1B9D00B4" w14:textId="77777777" w:rsidR="00530BA8" w:rsidRPr="00D2299A" w:rsidRDefault="00530BA8" w:rsidP="00530BA8">
      <w:pPr>
        <w:pStyle w:val="Heading2"/>
        <w:rPr>
          <w:sz w:val="20"/>
          <w:szCs w:val="20"/>
        </w:rPr>
      </w:pPr>
      <w:r w:rsidRPr="00D2299A">
        <w:rPr>
          <w:sz w:val="20"/>
          <w:szCs w:val="20"/>
        </w:rPr>
        <w:t xml:space="preserve">Relevance </w:t>
      </w:r>
    </w:p>
    <w:p w14:paraId="7130B149" w14:textId="7975B5A6" w:rsidR="00530BA8" w:rsidRPr="00D2299A" w:rsidRDefault="00530BA8" w:rsidP="00530BA8">
      <w:pPr>
        <w:pStyle w:val="List-bullet-2"/>
        <w:tabs>
          <w:tab w:val="clear" w:pos="1021"/>
          <w:tab w:val="num" w:pos="301"/>
        </w:tabs>
        <w:spacing w:after="0"/>
        <w:ind w:left="301"/>
        <w:rPr>
          <w:szCs w:val="20"/>
        </w:rPr>
      </w:pPr>
      <w:r w:rsidRPr="00D2299A">
        <w:rPr>
          <w:szCs w:val="20"/>
        </w:rPr>
        <w:t xml:space="preserve">Are the objectives relevant to Australian Government and partner (ASEAN and </w:t>
      </w:r>
      <w:r w:rsidR="00FA23AA">
        <w:rPr>
          <w:szCs w:val="20"/>
        </w:rPr>
        <w:t xml:space="preserve">ASEAN </w:t>
      </w:r>
      <w:r w:rsidR="009479AB">
        <w:rPr>
          <w:szCs w:val="20"/>
        </w:rPr>
        <w:t>Secretariat</w:t>
      </w:r>
      <w:r w:rsidRPr="00D2299A">
        <w:rPr>
          <w:szCs w:val="20"/>
        </w:rPr>
        <w:t>) priorities?</w:t>
      </w:r>
    </w:p>
    <w:p w14:paraId="740E2AB0" w14:textId="77777777" w:rsidR="00530BA8" w:rsidRPr="00D2299A" w:rsidRDefault="00530BA8" w:rsidP="00530BA8">
      <w:pPr>
        <w:pStyle w:val="List-bullet-2"/>
        <w:tabs>
          <w:tab w:val="clear" w:pos="1021"/>
          <w:tab w:val="num" w:pos="301"/>
        </w:tabs>
        <w:spacing w:after="0"/>
        <w:ind w:left="301"/>
        <w:rPr>
          <w:szCs w:val="20"/>
        </w:rPr>
      </w:pPr>
      <w:r w:rsidRPr="00D2299A">
        <w:rPr>
          <w:szCs w:val="20"/>
        </w:rPr>
        <w:t>Are the objectives relevant to the context and needs of beneficiaries?</w:t>
      </w:r>
    </w:p>
    <w:p w14:paraId="5E8894CD" w14:textId="77777777" w:rsidR="00530BA8" w:rsidRPr="00D2299A" w:rsidRDefault="00530BA8" w:rsidP="00530BA8">
      <w:pPr>
        <w:pStyle w:val="List-bullet-2"/>
        <w:tabs>
          <w:tab w:val="clear" w:pos="1021"/>
          <w:tab w:val="num" w:pos="301"/>
        </w:tabs>
        <w:spacing w:after="0"/>
        <w:ind w:left="301"/>
        <w:rPr>
          <w:szCs w:val="20"/>
        </w:rPr>
      </w:pPr>
      <w:r w:rsidRPr="00D2299A">
        <w:rPr>
          <w:szCs w:val="20"/>
        </w:rPr>
        <w:t xml:space="preserve">If not, what changes need to be made to the activity or its objectives to ensure continued relevance? </w:t>
      </w:r>
    </w:p>
    <w:p w14:paraId="38C167D8" w14:textId="77777777" w:rsidR="00530BA8" w:rsidRPr="00D2299A" w:rsidRDefault="00530BA8" w:rsidP="00530BA8">
      <w:pPr>
        <w:pStyle w:val="Heading2"/>
        <w:rPr>
          <w:sz w:val="20"/>
          <w:szCs w:val="20"/>
        </w:rPr>
      </w:pPr>
      <w:r w:rsidRPr="00D2299A">
        <w:rPr>
          <w:sz w:val="20"/>
          <w:szCs w:val="20"/>
        </w:rPr>
        <w:t xml:space="preserve">Effectiveness </w:t>
      </w:r>
    </w:p>
    <w:p w14:paraId="6EB9AE78" w14:textId="77777777" w:rsidR="00530BA8" w:rsidRPr="00D2299A" w:rsidRDefault="00530BA8" w:rsidP="00530BA8">
      <w:pPr>
        <w:pStyle w:val="List-bullet-2"/>
        <w:tabs>
          <w:tab w:val="clear" w:pos="1021"/>
          <w:tab w:val="num" w:pos="301"/>
        </w:tabs>
        <w:spacing w:after="0"/>
        <w:ind w:left="301"/>
        <w:rPr>
          <w:szCs w:val="20"/>
        </w:rPr>
      </w:pPr>
      <w:r w:rsidRPr="00D2299A">
        <w:rPr>
          <w:szCs w:val="20"/>
        </w:rPr>
        <w:t>Are the objectives on track to being achieved? If not, what changes need to be made to objectives to ensure they can be achieved?</w:t>
      </w:r>
    </w:p>
    <w:p w14:paraId="64672C1A" w14:textId="77777777" w:rsidR="00530BA8" w:rsidRPr="00D2299A" w:rsidRDefault="00530BA8" w:rsidP="00530BA8">
      <w:pPr>
        <w:pStyle w:val="List-bullet-2"/>
        <w:tabs>
          <w:tab w:val="clear" w:pos="1021"/>
          <w:tab w:val="num" w:pos="301"/>
        </w:tabs>
        <w:spacing w:after="0"/>
        <w:ind w:left="301"/>
        <w:rPr>
          <w:szCs w:val="20"/>
        </w:rPr>
      </w:pPr>
      <w:r w:rsidRPr="00D2299A">
        <w:rPr>
          <w:szCs w:val="20"/>
        </w:rPr>
        <w:t>To what extent has the activity contributed to achievement of objectives?</w:t>
      </w:r>
    </w:p>
    <w:p w14:paraId="6513BAAF" w14:textId="77777777" w:rsidR="00530BA8" w:rsidRPr="00D2299A" w:rsidRDefault="00530BA8" w:rsidP="00530BA8">
      <w:pPr>
        <w:pStyle w:val="Heading2"/>
        <w:rPr>
          <w:sz w:val="20"/>
          <w:szCs w:val="20"/>
        </w:rPr>
      </w:pPr>
      <w:r w:rsidRPr="00D2299A">
        <w:rPr>
          <w:sz w:val="20"/>
          <w:szCs w:val="20"/>
        </w:rPr>
        <w:t>Efficiency</w:t>
      </w:r>
    </w:p>
    <w:p w14:paraId="40EDB23A" w14:textId="77777777" w:rsidR="00530BA8" w:rsidRPr="00D2299A" w:rsidRDefault="00530BA8" w:rsidP="00530BA8">
      <w:pPr>
        <w:pStyle w:val="List-bullet-2"/>
        <w:tabs>
          <w:tab w:val="clear" w:pos="1021"/>
          <w:tab w:val="num" w:pos="301"/>
        </w:tabs>
        <w:spacing w:after="0"/>
        <w:ind w:left="301"/>
        <w:rPr>
          <w:szCs w:val="20"/>
        </w:rPr>
      </w:pPr>
      <w:r w:rsidRPr="00D2299A">
        <w:rPr>
          <w:szCs w:val="20"/>
        </w:rPr>
        <w:t>Has the implementation of the activity made effective use of time and resources to achieve the outcomes?</w:t>
      </w:r>
    </w:p>
    <w:p w14:paraId="79DB2F10" w14:textId="77777777" w:rsidR="00530BA8" w:rsidRPr="00D2299A" w:rsidRDefault="00530BA8" w:rsidP="00530BA8">
      <w:pPr>
        <w:pStyle w:val="Table-list-bullet"/>
        <w:numPr>
          <w:ilvl w:val="0"/>
          <w:numId w:val="16"/>
        </w:numPr>
        <w:tabs>
          <w:tab w:val="clear" w:pos="397"/>
          <w:tab w:val="num" w:pos="570"/>
        </w:tabs>
        <w:spacing w:before="120" w:after="120"/>
        <w:ind w:left="570" w:hanging="269"/>
        <w:rPr>
          <w:rFonts w:cs="Arial"/>
          <w:szCs w:val="20"/>
        </w:rPr>
      </w:pPr>
      <w:r w:rsidRPr="00D2299A">
        <w:rPr>
          <w:rFonts w:cs="Arial"/>
          <w:szCs w:val="20"/>
        </w:rPr>
        <w:t>Have there been any financial variations to the activity? If so, was value for money considered in making these amendments?</w:t>
      </w:r>
    </w:p>
    <w:p w14:paraId="68A96A67" w14:textId="77777777" w:rsidR="00530BA8" w:rsidRPr="00D2299A" w:rsidRDefault="00530BA8" w:rsidP="00530BA8">
      <w:pPr>
        <w:pStyle w:val="Table-list-bullet"/>
        <w:numPr>
          <w:ilvl w:val="0"/>
          <w:numId w:val="16"/>
        </w:numPr>
        <w:tabs>
          <w:tab w:val="clear" w:pos="397"/>
          <w:tab w:val="num" w:pos="570"/>
        </w:tabs>
        <w:spacing w:before="120" w:after="120"/>
        <w:ind w:left="570" w:hanging="269"/>
        <w:rPr>
          <w:rFonts w:cs="Arial"/>
          <w:szCs w:val="20"/>
        </w:rPr>
      </w:pPr>
      <w:r w:rsidRPr="00D2299A">
        <w:rPr>
          <w:rFonts w:cs="Arial"/>
          <w:szCs w:val="20"/>
        </w:rPr>
        <w:t>Has management of the activity been responsive to changing needs? If not, why not?</w:t>
      </w:r>
    </w:p>
    <w:p w14:paraId="4663D958" w14:textId="77777777" w:rsidR="00530BA8" w:rsidRPr="00D2299A" w:rsidRDefault="00530BA8" w:rsidP="00530BA8">
      <w:pPr>
        <w:pStyle w:val="Table-list-bullet"/>
        <w:numPr>
          <w:ilvl w:val="0"/>
          <w:numId w:val="16"/>
        </w:numPr>
        <w:tabs>
          <w:tab w:val="clear" w:pos="397"/>
          <w:tab w:val="num" w:pos="570"/>
        </w:tabs>
        <w:spacing w:before="120" w:after="120"/>
        <w:ind w:left="570" w:hanging="269"/>
        <w:rPr>
          <w:rFonts w:cs="Arial"/>
          <w:szCs w:val="20"/>
        </w:rPr>
      </w:pPr>
      <w:r w:rsidRPr="00D2299A">
        <w:rPr>
          <w:rFonts w:cs="Arial"/>
          <w:szCs w:val="20"/>
        </w:rPr>
        <w:t>Has the activity suffered from delays in implementation? If so, why and what was done about it?</w:t>
      </w:r>
    </w:p>
    <w:p w14:paraId="7F95DC55" w14:textId="77777777" w:rsidR="00530BA8" w:rsidRPr="00D2299A" w:rsidRDefault="00530BA8" w:rsidP="00530BA8">
      <w:pPr>
        <w:pStyle w:val="Table-list-bullet"/>
        <w:numPr>
          <w:ilvl w:val="0"/>
          <w:numId w:val="16"/>
        </w:numPr>
        <w:tabs>
          <w:tab w:val="clear" w:pos="397"/>
          <w:tab w:val="num" w:pos="570"/>
        </w:tabs>
        <w:spacing w:before="120" w:after="120"/>
        <w:ind w:left="570" w:hanging="269"/>
        <w:rPr>
          <w:rFonts w:cs="Arial"/>
          <w:szCs w:val="20"/>
        </w:rPr>
      </w:pPr>
      <w:r w:rsidRPr="00D2299A">
        <w:rPr>
          <w:rFonts w:cs="Arial"/>
          <w:szCs w:val="20"/>
        </w:rPr>
        <w:t>Has the activity had sufficient and appropriate staffing resources?</w:t>
      </w:r>
    </w:p>
    <w:p w14:paraId="3332A124" w14:textId="77777777" w:rsidR="00530BA8" w:rsidRPr="00D2299A" w:rsidRDefault="00530BA8" w:rsidP="00530BA8">
      <w:pPr>
        <w:pStyle w:val="List-bullet-2"/>
        <w:tabs>
          <w:tab w:val="clear" w:pos="1021"/>
          <w:tab w:val="num" w:pos="301"/>
        </w:tabs>
        <w:spacing w:after="0"/>
        <w:ind w:left="301"/>
        <w:rPr>
          <w:szCs w:val="20"/>
        </w:rPr>
      </w:pPr>
      <w:r w:rsidRPr="00D2299A">
        <w:rPr>
          <w:szCs w:val="20"/>
        </w:rPr>
        <w:t xml:space="preserve">Was a risk management approach applied to management of the activity (including anti-corruption)? </w:t>
      </w:r>
    </w:p>
    <w:p w14:paraId="385CAA16" w14:textId="77777777" w:rsidR="00530BA8" w:rsidRPr="00D2299A" w:rsidRDefault="00530BA8" w:rsidP="00530BA8">
      <w:pPr>
        <w:pStyle w:val="List-bullet-2"/>
        <w:tabs>
          <w:tab w:val="clear" w:pos="1021"/>
          <w:tab w:val="num" w:pos="301"/>
        </w:tabs>
        <w:spacing w:after="0"/>
        <w:ind w:left="301"/>
        <w:rPr>
          <w:szCs w:val="20"/>
        </w:rPr>
      </w:pPr>
      <w:r w:rsidRPr="00D2299A">
        <w:rPr>
          <w:szCs w:val="20"/>
        </w:rPr>
        <w:t>What are the risks to achievement of objectives? Have the risks been managed appropriately?</w:t>
      </w:r>
    </w:p>
    <w:p w14:paraId="55F5D6D2" w14:textId="77777777" w:rsidR="00530BA8" w:rsidRPr="00D2299A" w:rsidRDefault="00530BA8" w:rsidP="00530BA8">
      <w:pPr>
        <w:pStyle w:val="Heading2"/>
        <w:rPr>
          <w:sz w:val="20"/>
          <w:szCs w:val="20"/>
        </w:rPr>
      </w:pPr>
      <w:r w:rsidRPr="00D2299A">
        <w:rPr>
          <w:sz w:val="20"/>
          <w:szCs w:val="20"/>
        </w:rPr>
        <w:t>Impact (if feasible)</w:t>
      </w:r>
    </w:p>
    <w:p w14:paraId="533F2568" w14:textId="77777777" w:rsidR="00530BA8" w:rsidRPr="00D2299A" w:rsidRDefault="00530BA8" w:rsidP="00530BA8">
      <w:pPr>
        <w:pStyle w:val="List-bullet-2"/>
        <w:tabs>
          <w:tab w:val="clear" w:pos="1021"/>
          <w:tab w:val="num" w:pos="301"/>
        </w:tabs>
        <w:spacing w:after="0"/>
        <w:ind w:left="301"/>
        <w:rPr>
          <w:szCs w:val="20"/>
          <w:lang w:eastAsia="en-AU"/>
        </w:rPr>
      </w:pPr>
      <w:r w:rsidRPr="00D2299A">
        <w:rPr>
          <w:szCs w:val="20"/>
          <w:lang w:eastAsia="en-AU"/>
        </w:rPr>
        <w:t>Has the activity produced intended or unintended changes in the lives of beneficiaries and their environment, directly or indirectly?</w:t>
      </w:r>
    </w:p>
    <w:p w14:paraId="388AEEEF" w14:textId="77777777" w:rsidR="00530BA8" w:rsidRPr="00D2299A" w:rsidRDefault="00530BA8" w:rsidP="00530BA8">
      <w:pPr>
        <w:pStyle w:val="List-bullet-2"/>
        <w:tabs>
          <w:tab w:val="clear" w:pos="1021"/>
          <w:tab w:val="num" w:pos="301"/>
        </w:tabs>
        <w:spacing w:after="0"/>
        <w:ind w:left="301"/>
        <w:rPr>
          <w:szCs w:val="20"/>
          <w:lang w:eastAsia="en-AU"/>
        </w:rPr>
      </w:pPr>
      <w:r w:rsidRPr="00D2299A">
        <w:rPr>
          <w:szCs w:val="20"/>
          <w:lang w:eastAsia="en-AU"/>
        </w:rPr>
        <w:t>Have there been positive or negative impacts from external factors?</w:t>
      </w:r>
    </w:p>
    <w:p w14:paraId="44FD0CBB" w14:textId="77777777" w:rsidR="00530BA8" w:rsidRPr="00D2299A" w:rsidRDefault="00530BA8" w:rsidP="00530BA8">
      <w:pPr>
        <w:pStyle w:val="Heading2"/>
        <w:rPr>
          <w:sz w:val="20"/>
          <w:szCs w:val="20"/>
        </w:rPr>
      </w:pPr>
      <w:r w:rsidRPr="00D2299A">
        <w:rPr>
          <w:sz w:val="20"/>
          <w:szCs w:val="20"/>
        </w:rPr>
        <w:t>Sustainability</w:t>
      </w:r>
    </w:p>
    <w:p w14:paraId="3ADE4DD5" w14:textId="77777777" w:rsidR="00530BA8" w:rsidRPr="00D2299A" w:rsidRDefault="00530BA8" w:rsidP="00530BA8">
      <w:pPr>
        <w:pStyle w:val="List-bullet-2"/>
        <w:tabs>
          <w:tab w:val="clear" w:pos="1021"/>
          <w:tab w:val="num" w:pos="301"/>
        </w:tabs>
        <w:spacing w:after="0"/>
        <w:ind w:left="301"/>
        <w:rPr>
          <w:szCs w:val="20"/>
        </w:rPr>
      </w:pPr>
      <w:r w:rsidRPr="00D2299A">
        <w:rPr>
          <w:szCs w:val="20"/>
        </w:rPr>
        <w:t>Do beneficiaries and/or partner country stakeholders have sufficient ownership, capacity and resources to maintain the activity outcomes after Australian Government funding has ceased?</w:t>
      </w:r>
    </w:p>
    <w:p w14:paraId="7D5CAD6E" w14:textId="77777777" w:rsidR="00530BA8" w:rsidRPr="00D2299A" w:rsidRDefault="00530BA8" w:rsidP="00530BA8">
      <w:pPr>
        <w:pStyle w:val="List-bullet-2"/>
        <w:tabs>
          <w:tab w:val="clear" w:pos="1021"/>
          <w:tab w:val="num" w:pos="301"/>
        </w:tabs>
        <w:spacing w:after="0"/>
        <w:ind w:left="301"/>
        <w:rPr>
          <w:szCs w:val="20"/>
        </w:rPr>
      </w:pPr>
      <w:r w:rsidRPr="00D2299A">
        <w:rPr>
          <w:szCs w:val="20"/>
        </w:rPr>
        <w:t>Are there any actions that can be taken now that will increase the likelihood that the activity will be sustainable? Are there any areas of the activity that are clearly not sustainable? What actions should be taken to address this?</w:t>
      </w:r>
    </w:p>
    <w:p w14:paraId="677658FC" w14:textId="33C6A21C" w:rsidR="00530BA8" w:rsidRPr="00D2299A" w:rsidRDefault="00530BA8" w:rsidP="00530BA8">
      <w:pPr>
        <w:pStyle w:val="Heading2"/>
        <w:rPr>
          <w:sz w:val="20"/>
          <w:szCs w:val="20"/>
        </w:rPr>
      </w:pPr>
      <w:r w:rsidRPr="00D2299A">
        <w:rPr>
          <w:sz w:val="20"/>
          <w:szCs w:val="20"/>
        </w:rPr>
        <w:t xml:space="preserve">Gender </w:t>
      </w:r>
      <w:r w:rsidR="009479AB">
        <w:rPr>
          <w:sz w:val="20"/>
          <w:szCs w:val="20"/>
        </w:rPr>
        <w:t>e</w:t>
      </w:r>
      <w:r w:rsidR="009479AB" w:rsidRPr="00D2299A">
        <w:rPr>
          <w:sz w:val="20"/>
          <w:szCs w:val="20"/>
        </w:rPr>
        <w:t>quality</w:t>
      </w:r>
    </w:p>
    <w:p w14:paraId="4240977C" w14:textId="77777777" w:rsidR="00530BA8" w:rsidRPr="00D2299A" w:rsidRDefault="00530BA8" w:rsidP="00530BA8">
      <w:pPr>
        <w:pStyle w:val="List-bullet-2"/>
        <w:tabs>
          <w:tab w:val="clear" w:pos="1021"/>
          <w:tab w:val="num" w:pos="301"/>
        </w:tabs>
        <w:spacing w:after="0"/>
        <w:ind w:left="301"/>
        <w:rPr>
          <w:szCs w:val="20"/>
        </w:rPr>
      </w:pPr>
      <w:r w:rsidRPr="00D2299A">
        <w:rPr>
          <w:szCs w:val="20"/>
        </w:rPr>
        <w:t>Is the activity promoting equal participation and benefits for women and men?</w:t>
      </w:r>
    </w:p>
    <w:p w14:paraId="43004504" w14:textId="77777777" w:rsidR="00530BA8" w:rsidRPr="00D2299A" w:rsidRDefault="00530BA8" w:rsidP="00530BA8">
      <w:pPr>
        <w:pStyle w:val="List-bullet-2"/>
        <w:numPr>
          <w:ilvl w:val="0"/>
          <w:numId w:val="0"/>
        </w:numPr>
        <w:rPr>
          <w:i/>
          <w:szCs w:val="20"/>
        </w:rPr>
      </w:pPr>
      <w:r w:rsidRPr="00D2299A">
        <w:rPr>
          <w:i/>
          <w:szCs w:val="20"/>
        </w:rPr>
        <w:t>Sub-questions:</w:t>
      </w:r>
    </w:p>
    <w:p w14:paraId="7C64838A" w14:textId="77777777" w:rsidR="00530BA8" w:rsidRPr="00D2299A" w:rsidRDefault="00530BA8" w:rsidP="00530BA8">
      <w:pPr>
        <w:pStyle w:val="List-bullet-1"/>
        <w:spacing w:after="0"/>
        <w:rPr>
          <w:szCs w:val="20"/>
        </w:rPr>
      </w:pPr>
      <w:r w:rsidRPr="00D2299A">
        <w:rPr>
          <w:szCs w:val="20"/>
        </w:rPr>
        <w:t>Is the activity promoting more equal access by women and men to the benefits of the activity, and more broadly to resources, services and skills?</w:t>
      </w:r>
    </w:p>
    <w:p w14:paraId="37174436" w14:textId="6645C8F0" w:rsidR="00530BA8" w:rsidRPr="00D2299A" w:rsidRDefault="00530BA8" w:rsidP="00530BA8">
      <w:pPr>
        <w:pStyle w:val="List-bullet-1"/>
        <w:spacing w:after="0"/>
        <w:rPr>
          <w:szCs w:val="20"/>
        </w:rPr>
      </w:pPr>
      <w:r w:rsidRPr="00D2299A">
        <w:rPr>
          <w:szCs w:val="20"/>
        </w:rPr>
        <w:t>Is the activity promoting equality of decision</w:t>
      </w:r>
      <w:r w:rsidR="009479AB">
        <w:rPr>
          <w:szCs w:val="20"/>
        </w:rPr>
        <w:t xml:space="preserve"> </w:t>
      </w:r>
      <w:r w:rsidRPr="00D2299A">
        <w:rPr>
          <w:szCs w:val="20"/>
        </w:rPr>
        <w:t>making between women and men?</w:t>
      </w:r>
    </w:p>
    <w:p w14:paraId="12A0A7DB" w14:textId="77777777" w:rsidR="00530BA8" w:rsidRPr="00D2299A" w:rsidRDefault="00530BA8" w:rsidP="00530BA8">
      <w:pPr>
        <w:pStyle w:val="List-bullet-1"/>
        <w:spacing w:after="0"/>
        <w:rPr>
          <w:szCs w:val="20"/>
        </w:rPr>
      </w:pPr>
      <w:r w:rsidRPr="00D2299A">
        <w:rPr>
          <w:szCs w:val="20"/>
        </w:rPr>
        <w:lastRenderedPageBreak/>
        <w:t>Is the initiative helping to promote women’s rights?</w:t>
      </w:r>
    </w:p>
    <w:p w14:paraId="3854470A" w14:textId="1E3A84F1" w:rsidR="00530BA8" w:rsidRPr="00D2299A" w:rsidRDefault="00530BA8" w:rsidP="00530BA8">
      <w:pPr>
        <w:pStyle w:val="List-bullet-1"/>
        <w:spacing w:after="0"/>
        <w:rPr>
          <w:szCs w:val="20"/>
        </w:rPr>
      </w:pPr>
      <w:r w:rsidRPr="00D2299A">
        <w:rPr>
          <w:szCs w:val="20"/>
        </w:rPr>
        <w:t>Is the initiative helping to develop capacity (donors, partner government, civil society etc</w:t>
      </w:r>
      <w:r w:rsidR="00AE2D46">
        <w:rPr>
          <w:szCs w:val="20"/>
        </w:rPr>
        <w:t>.</w:t>
      </w:r>
      <w:r w:rsidRPr="00D2299A">
        <w:rPr>
          <w:szCs w:val="20"/>
        </w:rPr>
        <w:t>) to understand and promote gender equality?</w:t>
      </w:r>
    </w:p>
    <w:p w14:paraId="1436133E" w14:textId="460ADEA7" w:rsidR="00530BA8" w:rsidRPr="00D2299A" w:rsidRDefault="00530BA8" w:rsidP="00530BA8">
      <w:pPr>
        <w:pStyle w:val="Heading2"/>
        <w:rPr>
          <w:sz w:val="20"/>
          <w:szCs w:val="20"/>
        </w:rPr>
      </w:pPr>
      <w:r w:rsidRPr="00D2299A">
        <w:rPr>
          <w:sz w:val="20"/>
          <w:szCs w:val="20"/>
        </w:rPr>
        <w:t xml:space="preserve">Monitoring and </w:t>
      </w:r>
      <w:r w:rsidR="008948AA">
        <w:rPr>
          <w:sz w:val="20"/>
          <w:szCs w:val="20"/>
        </w:rPr>
        <w:t>e</w:t>
      </w:r>
      <w:r w:rsidR="008948AA" w:rsidRPr="00D2299A">
        <w:rPr>
          <w:sz w:val="20"/>
          <w:szCs w:val="20"/>
        </w:rPr>
        <w:t>valuation</w:t>
      </w:r>
    </w:p>
    <w:p w14:paraId="798CE55F" w14:textId="77777777" w:rsidR="00530BA8" w:rsidRPr="00D2299A" w:rsidRDefault="00530BA8" w:rsidP="00530BA8">
      <w:pPr>
        <w:pStyle w:val="List-bullet-2"/>
        <w:tabs>
          <w:tab w:val="clear" w:pos="1021"/>
          <w:tab w:val="num" w:pos="301"/>
        </w:tabs>
        <w:spacing w:after="0"/>
        <w:ind w:left="301"/>
        <w:rPr>
          <w:szCs w:val="20"/>
        </w:rPr>
      </w:pPr>
      <w:r w:rsidRPr="00D2299A">
        <w:rPr>
          <w:szCs w:val="20"/>
        </w:rPr>
        <w:t>Does evidence exist to show that objectives are on track to being achieved?</w:t>
      </w:r>
    </w:p>
    <w:p w14:paraId="2D486207" w14:textId="45D41392" w:rsidR="00530BA8" w:rsidRPr="00D2299A" w:rsidRDefault="00530BA8" w:rsidP="00530BA8">
      <w:pPr>
        <w:pStyle w:val="List-bullet-2"/>
        <w:tabs>
          <w:tab w:val="clear" w:pos="1021"/>
          <w:tab w:val="num" w:pos="301"/>
        </w:tabs>
        <w:spacing w:after="0"/>
        <w:ind w:left="301"/>
        <w:rPr>
          <w:szCs w:val="20"/>
        </w:rPr>
      </w:pPr>
      <w:r w:rsidRPr="00D2299A">
        <w:rPr>
          <w:szCs w:val="20"/>
        </w:rPr>
        <w:t xml:space="preserve">Is the </w:t>
      </w:r>
      <w:r w:rsidR="008948AA">
        <w:rPr>
          <w:szCs w:val="20"/>
        </w:rPr>
        <w:t>monitoring and evaluation</w:t>
      </w:r>
      <w:r w:rsidRPr="00D2299A">
        <w:rPr>
          <w:szCs w:val="20"/>
        </w:rPr>
        <w:t xml:space="preserve"> system collecting the right information to allow </w:t>
      </w:r>
      <w:r w:rsidR="00B10D1C" w:rsidRPr="00D2299A">
        <w:rPr>
          <w:szCs w:val="20"/>
        </w:rPr>
        <w:t>judg</w:t>
      </w:r>
      <w:r w:rsidR="00B10D1C">
        <w:rPr>
          <w:szCs w:val="20"/>
        </w:rPr>
        <w:t>m</w:t>
      </w:r>
      <w:r w:rsidR="00B10D1C" w:rsidRPr="00D2299A">
        <w:rPr>
          <w:szCs w:val="20"/>
        </w:rPr>
        <w:t>ent</w:t>
      </w:r>
      <w:r w:rsidRPr="00D2299A">
        <w:rPr>
          <w:szCs w:val="20"/>
        </w:rPr>
        <w:t xml:space="preserve"> to be made about meeting objectives and sustainability at the next evaluation point?</w:t>
      </w:r>
    </w:p>
    <w:p w14:paraId="4CE56B67" w14:textId="3D09E0FA" w:rsidR="00530BA8" w:rsidRPr="00D2299A" w:rsidRDefault="00530BA8" w:rsidP="00530BA8">
      <w:pPr>
        <w:pStyle w:val="List-bullet-2"/>
        <w:tabs>
          <w:tab w:val="clear" w:pos="1021"/>
          <w:tab w:val="num" w:pos="301"/>
        </w:tabs>
        <w:spacing w:after="0"/>
        <w:ind w:left="301"/>
        <w:rPr>
          <w:szCs w:val="20"/>
        </w:rPr>
      </w:pPr>
      <w:r w:rsidRPr="00D2299A">
        <w:rPr>
          <w:szCs w:val="20"/>
        </w:rPr>
        <w:t>Is data gender-disaggregated to measure the outcomes of the activity on men and</w:t>
      </w:r>
      <w:r w:rsidR="005856D4">
        <w:rPr>
          <w:szCs w:val="20"/>
        </w:rPr>
        <w:t xml:space="preserve"> </w:t>
      </w:r>
      <w:r w:rsidRPr="00D2299A">
        <w:rPr>
          <w:szCs w:val="20"/>
        </w:rPr>
        <w:t>women?</w:t>
      </w:r>
    </w:p>
    <w:p w14:paraId="1856257D" w14:textId="3F08B215" w:rsidR="00530BA8" w:rsidRPr="00D2299A" w:rsidRDefault="00530BA8" w:rsidP="00530BA8">
      <w:pPr>
        <w:pStyle w:val="List-bullet-2"/>
        <w:tabs>
          <w:tab w:val="clear" w:pos="1021"/>
          <w:tab w:val="num" w:pos="301"/>
        </w:tabs>
        <w:spacing w:after="0"/>
        <w:ind w:left="301"/>
        <w:rPr>
          <w:szCs w:val="20"/>
        </w:rPr>
      </w:pPr>
      <w:r w:rsidRPr="00D2299A">
        <w:rPr>
          <w:szCs w:val="20"/>
        </w:rPr>
        <w:t xml:space="preserve">Is the </w:t>
      </w:r>
      <w:r w:rsidR="008948AA">
        <w:rPr>
          <w:szCs w:val="20"/>
        </w:rPr>
        <w:t>monitoring and evaluation</w:t>
      </w:r>
      <w:r w:rsidR="008948AA" w:rsidRPr="00D2299A">
        <w:rPr>
          <w:szCs w:val="20"/>
        </w:rPr>
        <w:t xml:space="preserve"> </w:t>
      </w:r>
      <w:r w:rsidRPr="00D2299A">
        <w:rPr>
          <w:szCs w:val="20"/>
        </w:rPr>
        <w:t>system collecting useful information on cross-cutting issues?</w:t>
      </w:r>
    </w:p>
    <w:p w14:paraId="3BE8E26F" w14:textId="0864E27E" w:rsidR="00530BA8" w:rsidRPr="00D2299A" w:rsidRDefault="00530BA8" w:rsidP="00530BA8">
      <w:pPr>
        <w:pStyle w:val="Heading2"/>
        <w:rPr>
          <w:sz w:val="20"/>
          <w:szCs w:val="20"/>
        </w:rPr>
      </w:pPr>
      <w:r w:rsidRPr="00D2299A">
        <w:rPr>
          <w:sz w:val="20"/>
          <w:szCs w:val="20"/>
        </w:rPr>
        <w:t xml:space="preserve">Analysis </w:t>
      </w:r>
      <w:r w:rsidR="008948AA">
        <w:rPr>
          <w:sz w:val="20"/>
          <w:szCs w:val="20"/>
        </w:rPr>
        <w:t>and</w:t>
      </w:r>
      <w:r w:rsidR="008948AA" w:rsidRPr="00D2299A">
        <w:rPr>
          <w:sz w:val="20"/>
          <w:szCs w:val="20"/>
        </w:rPr>
        <w:t xml:space="preserve"> </w:t>
      </w:r>
      <w:r w:rsidR="008948AA">
        <w:rPr>
          <w:sz w:val="20"/>
          <w:szCs w:val="20"/>
        </w:rPr>
        <w:t>l</w:t>
      </w:r>
      <w:r w:rsidRPr="00D2299A">
        <w:rPr>
          <w:sz w:val="20"/>
          <w:szCs w:val="20"/>
        </w:rPr>
        <w:t>earning</w:t>
      </w:r>
    </w:p>
    <w:p w14:paraId="704394BD" w14:textId="77777777" w:rsidR="00530BA8" w:rsidRPr="00D2299A" w:rsidRDefault="00530BA8" w:rsidP="00530BA8">
      <w:pPr>
        <w:pStyle w:val="List-bullet-2"/>
        <w:tabs>
          <w:tab w:val="clear" w:pos="1021"/>
          <w:tab w:val="num" w:pos="301"/>
        </w:tabs>
        <w:spacing w:after="0"/>
        <w:ind w:left="301"/>
        <w:rPr>
          <w:szCs w:val="20"/>
        </w:rPr>
      </w:pPr>
      <w:r w:rsidRPr="00D2299A">
        <w:rPr>
          <w:szCs w:val="20"/>
        </w:rPr>
        <w:t>How well was the design based on previous learning and analysis?</w:t>
      </w:r>
    </w:p>
    <w:p w14:paraId="6BADFD62" w14:textId="77777777" w:rsidR="00530BA8" w:rsidRPr="00D2299A" w:rsidRDefault="00530BA8" w:rsidP="00530BA8">
      <w:pPr>
        <w:pStyle w:val="List-bullet-2"/>
        <w:tabs>
          <w:tab w:val="clear" w:pos="1021"/>
          <w:tab w:val="num" w:pos="301"/>
        </w:tabs>
        <w:spacing w:after="0"/>
        <w:ind w:left="301"/>
        <w:rPr>
          <w:szCs w:val="20"/>
        </w:rPr>
      </w:pPr>
      <w:r w:rsidRPr="00D2299A">
        <w:rPr>
          <w:szCs w:val="20"/>
        </w:rPr>
        <w:t>How well has learning from implementation and previous reviews (self-assessment and independent) been integrated into the activity?</w:t>
      </w:r>
    </w:p>
    <w:p w14:paraId="0CDE9A02" w14:textId="77777777" w:rsidR="00530BA8" w:rsidRPr="00D2299A" w:rsidRDefault="00530BA8" w:rsidP="00530BA8">
      <w:pPr>
        <w:pStyle w:val="Heading2"/>
        <w:rPr>
          <w:sz w:val="20"/>
          <w:szCs w:val="20"/>
        </w:rPr>
      </w:pPr>
      <w:r w:rsidRPr="00D2299A">
        <w:rPr>
          <w:sz w:val="20"/>
          <w:szCs w:val="20"/>
        </w:rPr>
        <w:t>Lessons</w:t>
      </w:r>
    </w:p>
    <w:p w14:paraId="52C6E683" w14:textId="551083AE" w:rsidR="00530BA8" w:rsidRPr="00D2299A" w:rsidRDefault="00530BA8" w:rsidP="00530BA8">
      <w:pPr>
        <w:pStyle w:val="List-bullet-2"/>
        <w:tabs>
          <w:tab w:val="clear" w:pos="1021"/>
          <w:tab w:val="num" w:pos="301"/>
        </w:tabs>
        <w:spacing w:after="0"/>
        <w:ind w:left="301"/>
        <w:rPr>
          <w:szCs w:val="20"/>
        </w:rPr>
      </w:pPr>
      <w:r w:rsidRPr="00D2299A">
        <w:rPr>
          <w:szCs w:val="20"/>
        </w:rPr>
        <w:t xml:space="preserve">What lessons from the activity, </w:t>
      </w:r>
      <w:r w:rsidR="00600A7D">
        <w:rPr>
          <w:szCs w:val="20"/>
        </w:rPr>
        <w:t>for example</w:t>
      </w:r>
      <w:r w:rsidR="008948AA" w:rsidRPr="00D2299A">
        <w:rPr>
          <w:szCs w:val="20"/>
        </w:rPr>
        <w:t xml:space="preserve"> </w:t>
      </w:r>
      <w:r w:rsidRPr="00D2299A">
        <w:rPr>
          <w:szCs w:val="20"/>
        </w:rPr>
        <w:t>working in partner systems, can be applied to an extension or further phase of the program (if applicable), or to designing future activities</w:t>
      </w:r>
      <w:r w:rsidR="00600A7D">
        <w:rPr>
          <w:szCs w:val="20"/>
        </w:rPr>
        <w:t>?</w:t>
      </w:r>
    </w:p>
    <w:p w14:paraId="33861ABD" w14:textId="77777777" w:rsidR="00530BA8" w:rsidRPr="00A12F26" w:rsidRDefault="00530BA8" w:rsidP="00530BA8">
      <w:pPr>
        <w:rPr>
          <w:rFonts w:cs="Arial"/>
          <w:b/>
        </w:rPr>
      </w:pPr>
    </w:p>
    <w:p w14:paraId="0D47591A" w14:textId="77777777" w:rsidR="00530BA8" w:rsidRDefault="00530BA8" w:rsidP="00530BA8">
      <w:pPr>
        <w:pStyle w:val="Heading1"/>
        <w:sectPr w:rsidR="00530BA8" w:rsidSect="009E068C">
          <w:pgSz w:w="11900" w:h="16840" w:code="9"/>
          <w:pgMar w:top="1440" w:right="1797" w:bottom="1440" w:left="1797" w:header="567" w:footer="431" w:gutter="0"/>
          <w:cols w:space="708"/>
        </w:sectPr>
      </w:pPr>
    </w:p>
    <w:p w14:paraId="4E6F99D1" w14:textId="798CDBAE" w:rsidR="00530BA8" w:rsidRPr="002915C2" w:rsidRDefault="00530BA8" w:rsidP="00530BA8">
      <w:pPr>
        <w:pStyle w:val="Heading1"/>
      </w:pPr>
      <w:bookmarkStart w:id="8" w:name="_Toc229924885"/>
      <w:r>
        <w:lastRenderedPageBreak/>
        <w:t xml:space="preserve">Appendix 2: </w:t>
      </w:r>
      <w:r w:rsidRPr="002915C2">
        <w:t xml:space="preserve">Agencies and </w:t>
      </w:r>
      <w:r w:rsidR="001F0ECA">
        <w:t>p</w:t>
      </w:r>
      <w:r w:rsidR="001F0ECA" w:rsidRPr="002915C2">
        <w:t>e</w:t>
      </w:r>
      <w:r w:rsidR="001F0ECA">
        <w:t xml:space="preserve">ople </w:t>
      </w:r>
      <w:bookmarkEnd w:id="8"/>
      <w:r w:rsidR="001F0ECA">
        <w:t>c</w:t>
      </w:r>
      <w:r w:rsidR="001F0ECA" w:rsidRPr="002915C2">
        <w:t>onsulted</w:t>
      </w:r>
    </w:p>
    <w:tbl>
      <w:tblPr>
        <w:tblW w:w="8902" w:type="dxa"/>
        <w:tblInd w:w="85" w:type="dxa"/>
        <w:tblLayout w:type="fixed"/>
        <w:tblCellMar>
          <w:left w:w="56" w:type="dxa"/>
          <w:right w:w="56" w:type="dxa"/>
        </w:tblCellMar>
        <w:tblLook w:val="0000" w:firstRow="0" w:lastRow="0" w:firstColumn="0" w:lastColumn="0" w:noHBand="0" w:noVBand="0"/>
      </w:tblPr>
      <w:tblGrid>
        <w:gridCol w:w="822"/>
        <w:gridCol w:w="1984"/>
        <w:gridCol w:w="1276"/>
        <w:gridCol w:w="4820"/>
      </w:tblGrid>
      <w:tr w:rsidR="00530BA8" w:rsidRPr="002915C2" w14:paraId="0EC0DB7C" w14:textId="77777777" w:rsidTr="00530BA8">
        <w:trPr>
          <w:trHeight w:val="207"/>
          <w:tblHeader/>
        </w:trPr>
        <w:tc>
          <w:tcPr>
            <w:tcW w:w="822" w:type="dxa"/>
            <w:tcBorders>
              <w:top w:val="single" w:sz="4" w:space="0" w:color="4F81BD"/>
              <w:bottom w:val="single" w:sz="4" w:space="0" w:color="4F81BD"/>
            </w:tcBorders>
            <w:shd w:val="clear" w:color="auto" w:fill="DAEEF3"/>
          </w:tcPr>
          <w:p w14:paraId="2A6CB72D" w14:textId="77777777" w:rsidR="00530BA8" w:rsidRPr="008329D2" w:rsidRDefault="00530BA8" w:rsidP="00530BA8">
            <w:pPr>
              <w:spacing w:before="20" w:after="20"/>
              <w:rPr>
                <w:i/>
                <w:sz w:val="18"/>
                <w:szCs w:val="18"/>
                <w:lang w:eastAsia="en-AU"/>
              </w:rPr>
            </w:pPr>
            <w:r w:rsidRPr="008329D2">
              <w:rPr>
                <w:sz w:val="18"/>
                <w:szCs w:val="18"/>
                <w:lang w:eastAsia="en-AU"/>
              </w:rPr>
              <w:t>Date</w:t>
            </w:r>
          </w:p>
        </w:tc>
        <w:tc>
          <w:tcPr>
            <w:tcW w:w="1984" w:type="dxa"/>
            <w:tcBorders>
              <w:top w:val="single" w:sz="4" w:space="0" w:color="4F81BD"/>
              <w:bottom w:val="single" w:sz="4" w:space="0" w:color="4F81BD"/>
            </w:tcBorders>
            <w:shd w:val="clear" w:color="auto" w:fill="DAEEF3"/>
          </w:tcPr>
          <w:p w14:paraId="27BC016E" w14:textId="2BD4A7CF" w:rsidR="00530BA8" w:rsidRPr="008329D2" w:rsidRDefault="00530BA8" w:rsidP="00530BA8">
            <w:pPr>
              <w:spacing w:before="20" w:after="20"/>
              <w:rPr>
                <w:i/>
                <w:sz w:val="18"/>
                <w:szCs w:val="18"/>
                <w:lang w:eastAsia="en-AU"/>
              </w:rPr>
            </w:pPr>
            <w:r w:rsidRPr="008329D2">
              <w:rPr>
                <w:sz w:val="18"/>
                <w:szCs w:val="18"/>
                <w:lang w:eastAsia="en-AU"/>
              </w:rPr>
              <w:t>Person consulted</w:t>
            </w:r>
          </w:p>
        </w:tc>
        <w:tc>
          <w:tcPr>
            <w:tcW w:w="1276" w:type="dxa"/>
            <w:tcBorders>
              <w:top w:val="single" w:sz="4" w:space="0" w:color="4F81BD"/>
              <w:bottom w:val="single" w:sz="4" w:space="0" w:color="4F81BD"/>
            </w:tcBorders>
            <w:shd w:val="clear" w:color="auto" w:fill="DAEEF3"/>
          </w:tcPr>
          <w:p w14:paraId="728FA8C2" w14:textId="77777777" w:rsidR="00530BA8" w:rsidRPr="008329D2" w:rsidRDefault="00530BA8" w:rsidP="00530BA8">
            <w:pPr>
              <w:spacing w:before="20" w:after="20"/>
              <w:rPr>
                <w:i/>
                <w:sz w:val="18"/>
                <w:szCs w:val="18"/>
                <w:lang w:eastAsia="en-AU"/>
              </w:rPr>
            </w:pPr>
            <w:r w:rsidRPr="008329D2">
              <w:rPr>
                <w:sz w:val="18"/>
                <w:szCs w:val="18"/>
                <w:lang w:eastAsia="en-AU"/>
              </w:rPr>
              <w:t>Agency</w:t>
            </w:r>
          </w:p>
        </w:tc>
        <w:tc>
          <w:tcPr>
            <w:tcW w:w="4820" w:type="dxa"/>
            <w:tcBorders>
              <w:top w:val="single" w:sz="4" w:space="0" w:color="4F81BD"/>
              <w:bottom w:val="single" w:sz="4" w:space="0" w:color="4F81BD"/>
            </w:tcBorders>
            <w:shd w:val="clear" w:color="auto" w:fill="DAEEF3"/>
          </w:tcPr>
          <w:p w14:paraId="0C4A057A" w14:textId="77777777" w:rsidR="00530BA8" w:rsidRPr="008329D2" w:rsidRDefault="00530BA8" w:rsidP="00530BA8">
            <w:pPr>
              <w:spacing w:before="20" w:after="20"/>
              <w:rPr>
                <w:i/>
                <w:sz w:val="18"/>
                <w:szCs w:val="18"/>
                <w:lang w:eastAsia="en-AU"/>
              </w:rPr>
            </w:pPr>
            <w:r w:rsidRPr="008329D2">
              <w:rPr>
                <w:sz w:val="18"/>
                <w:szCs w:val="18"/>
                <w:lang w:eastAsia="en-AU"/>
              </w:rPr>
              <w:t>Position</w:t>
            </w:r>
          </w:p>
        </w:tc>
      </w:tr>
      <w:tr w:rsidR="00530BA8" w:rsidRPr="002915C2" w14:paraId="09329788" w14:textId="77777777" w:rsidTr="00530BA8">
        <w:trPr>
          <w:trHeight w:val="207"/>
        </w:trPr>
        <w:tc>
          <w:tcPr>
            <w:tcW w:w="822" w:type="dxa"/>
          </w:tcPr>
          <w:p w14:paraId="17B0E670" w14:textId="77777777" w:rsidR="00530BA8" w:rsidRPr="008329D2" w:rsidRDefault="00530BA8" w:rsidP="00530BA8">
            <w:pPr>
              <w:spacing w:before="20" w:after="20"/>
              <w:rPr>
                <w:sz w:val="18"/>
                <w:szCs w:val="18"/>
                <w:lang w:eastAsia="en-AU"/>
              </w:rPr>
            </w:pPr>
            <w:r w:rsidRPr="008329D2">
              <w:rPr>
                <w:sz w:val="18"/>
                <w:szCs w:val="18"/>
                <w:lang w:eastAsia="en-AU"/>
              </w:rPr>
              <w:t>4/2/13</w:t>
            </w:r>
          </w:p>
        </w:tc>
        <w:tc>
          <w:tcPr>
            <w:tcW w:w="1984" w:type="dxa"/>
          </w:tcPr>
          <w:p w14:paraId="7885079D" w14:textId="77777777" w:rsidR="00530BA8" w:rsidRPr="008329D2" w:rsidRDefault="00530BA8" w:rsidP="00530BA8">
            <w:pPr>
              <w:spacing w:before="20" w:after="20"/>
              <w:rPr>
                <w:sz w:val="18"/>
                <w:szCs w:val="18"/>
                <w:lang w:eastAsia="en-AU"/>
              </w:rPr>
            </w:pPr>
            <w:r w:rsidRPr="008329D2">
              <w:rPr>
                <w:sz w:val="18"/>
                <w:szCs w:val="18"/>
                <w:lang w:eastAsia="en-AU"/>
              </w:rPr>
              <w:t>Hannah Plumb</w:t>
            </w:r>
          </w:p>
        </w:tc>
        <w:tc>
          <w:tcPr>
            <w:tcW w:w="1276" w:type="dxa"/>
          </w:tcPr>
          <w:p w14:paraId="22820354" w14:textId="77777777" w:rsidR="00530BA8" w:rsidRPr="008329D2" w:rsidRDefault="00530BA8" w:rsidP="00530BA8">
            <w:pPr>
              <w:spacing w:before="20" w:after="20"/>
              <w:rPr>
                <w:sz w:val="18"/>
                <w:szCs w:val="18"/>
                <w:lang w:eastAsia="en-AU"/>
              </w:rPr>
            </w:pPr>
            <w:r w:rsidRPr="008329D2">
              <w:rPr>
                <w:sz w:val="18"/>
                <w:szCs w:val="18"/>
                <w:lang w:eastAsia="en-AU"/>
              </w:rPr>
              <w:t>AusAID</w:t>
            </w:r>
          </w:p>
        </w:tc>
        <w:tc>
          <w:tcPr>
            <w:tcW w:w="4820" w:type="dxa"/>
          </w:tcPr>
          <w:p w14:paraId="70C67991" w14:textId="183684F2" w:rsidR="00530BA8" w:rsidRPr="008329D2" w:rsidRDefault="00530BA8" w:rsidP="00097596">
            <w:pPr>
              <w:spacing w:before="20" w:after="20"/>
              <w:rPr>
                <w:sz w:val="18"/>
                <w:szCs w:val="18"/>
                <w:lang w:eastAsia="en-AU"/>
              </w:rPr>
            </w:pPr>
            <w:r w:rsidRPr="008329D2">
              <w:rPr>
                <w:sz w:val="18"/>
                <w:szCs w:val="18"/>
                <w:lang w:eastAsia="en-AU"/>
              </w:rPr>
              <w:t>Program Office</w:t>
            </w:r>
            <w:r w:rsidR="00097596">
              <w:rPr>
                <w:sz w:val="18"/>
                <w:szCs w:val="18"/>
                <w:lang w:eastAsia="en-AU"/>
              </w:rPr>
              <w:t>r</w:t>
            </w:r>
            <w:r w:rsidRPr="008329D2">
              <w:rPr>
                <w:sz w:val="18"/>
                <w:szCs w:val="18"/>
                <w:lang w:eastAsia="en-AU"/>
              </w:rPr>
              <w:t>, E</w:t>
            </w:r>
            <w:r w:rsidR="00097596">
              <w:rPr>
                <w:sz w:val="18"/>
                <w:szCs w:val="18"/>
                <w:lang w:eastAsia="en-AU"/>
              </w:rPr>
              <w:t xml:space="preserve">ast Asia Regional Section </w:t>
            </w:r>
          </w:p>
        </w:tc>
      </w:tr>
      <w:tr w:rsidR="00530BA8" w:rsidRPr="002915C2" w14:paraId="465B963B" w14:textId="77777777" w:rsidTr="00530BA8">
        <w:trPr>
          <w:trHeight w:val="207"/>
        </w:trPr>
        <w:tc>
          <w:tcPr>
            <w:tcW w:w="822" w:type="dxa"/>
          </w:tcPr>
          <w:p w14:paraId="74EBE697" w14:textId="7E96FC18" w:rsidR="00530BA8" w:rsidRPr="008329D2" w:rsidRDefault="00530BA8" w:rsidP="00530BA8">
            <w:pPr>
              <w:spacing w:before="20" w:after="20"/>
              <w:rPr>
                <w:sz w:val="18"/>
                <w:szCs w:val="18"/>
                <w:lang w:eastAsia="en-AU"/>
              </w:rPr>
            </w:pPr>
          </w:p>
        </w:tc>
        <w:tc>
          <w:tcPr>
            <w:tcW w:w="1984" w:type="dxa"/>
          </w:tcPr>
          <w:p w14:paraId="18FA12D0" w14:textId="77777777" w:rsidR="00530BA8" w:rsidRPr="008329D2" w:rsidRDefault="00530BA8" w:rsidP="00530BA8">
            <w:pPr>
              <w:spacing w:before="20" w:after="20"/>
              <w:rPr>
                <w:sz w:val="18"/>
                <w:szCs w:val="18"/>
                <w:lang w:eastAsia="en-AU"/>
              </w:rPr>
            </w:pPr>
            <w:r w:rsidRPr="008329D2">
              <w:rPr>
                <w:sz w:val="18"/>
                <w:szCs w:val="18"/>
                <w:lang w:eastAsia="en-AU"/>
              </w:rPr>
              <w:t>Lisa Spender</w:t>
            </w:r>
          </w:p>
        </w:tc>
        <w:tc>
          <w:tcPr>
            <w:tcW w:w="1276" w:type="dxa"/>
          </w:tcPr>
          <w:p w14:paraId="4CB07507" w14:textId="0152302A" w:rsidR="00530BA8" w:rsidRPr="008329D2" w:rsidRDefault="00DD2898" w:rsidP="00530BA8">
            <w:pPr>
              <w:spacing w:before="20" w:after="20"/>
              <w:rPr>
                <w:sz w:val="18"/>
                <w:szCs w:val="18"/>
                <w:lang w:eastAsia="en-AU"/>
              </w:rPr>
            </w:pPr>
            <w:r w:rsidRPr="008329D2">
              <w:rPr>
                <w:sz w:val="18"/>
                <w:szCs w:val="18"/>
                <w:lang w:eastAsia="en-AU"/>
              </w:rPr>
              <w:t>AusAID</w:t>
            </w:r>
          </w:p>
        </w:tc>
        <w:tc>
          <w:tcPr>
            <w:tcW w:w="4820" w:type="dxa"/>
          </w:tcPr>
          <w:p w14:paraId="2886619D" w14:textId="490E7015" w:rsidR="00530BA8" w:rsidRPr="008329D2" w:rsidRDefault="00530BA8" w:rsidP="00530BA8">
            <w:pPr>
              <w:spacing w:before="20" w:after="20"/>
              <w:rPr>
                <w:sz w:val="18"/>
                <w:szCs w:val="18"/>
                <w:lang w:eastAsia="en-AU"/>
              </w:rPr>
            </w:pPr>
            <w:r w:rsidRPr="008329D2">
              <w:rPr>
                <w:sz w:val="18"/>
                <w:szCs w:val="18"/>
                <w:lang w:eastAsia="en-AU"/>
              </w:rPr>
              <w:t xml:space="preserve">Program Manager, </w:t>
            </w:r>
            <w:r w:rsidR="00097596" w:rsidRPr="00097596">
              <w:rPr>
                <w:sz w:val="18"/>
                <w:szCs w:val="18"/>
                <w:lang w:eastAsia="en-AU"/>
              </w:rPr>
              <w:t>East Asia Regional Section</w:t>
            </w:r>
          </w:p>
        </w:tc>
      </w:tr>
      <w:tr w:rsidR="00530BA8" w:rsidRPr="002915C2" w14:paraId="1DA4B4AB" w14:textId="77777777" w:rsidTr="00530BA8">
        <w:trPr>
          <w:trHeight w:val="207"/>
        </w:trPr>
        <w:tc>
          <w:tcPr>
            <w:tcW w:w="822" w:type="dxa"/>
          </w:tcPr>
          <w:p w14:paraId="429F393D" w14:textId="49EEB1A4" w:rsidR="00530BA8" w:rsidRPr="008329D2" w:rsidRDefault="00530BA8" w:rsidP="00530BA8">
            <w:pPr>
              <w:spacing w:before="20" w:after="20"/>
              <w:rPr>
                <w:sz w:val="18"/>
                <w:szCs w:val="18"/>
                <w:lang w:eastAsia="en-AU"/>
              </w:rPr>
            </w:pPr>
          </w:p>
        </w:tc>
        <w:tc>
          <w:tcPr>
            <w:tcW w:w="1984" w:type="dxa"/>
          </w:tcPr>
          <w:p w14:paraId="7163B0E6" w14:textId="77777777" w:rsidR="00530BA8" w:rsidRPr="008329D2" w:rsidRDefault="00530BA8" w:rsidP="00530BA8">
            <w:pPr>
              <w:spacing w:before="20" w:after="20"/>
              <w:rPr>
                <w:sz w:val="18"/>
                <w:szCs w:val="18"/>
                <w:lang w:eastAsia="en-AU"/>
              </w:rPr>
            </w:pPr>
            <w:r w:rsidRPr="008329D2">
              <w:rPr>
                <w:sz w:val="18"/>
                <w:szCs w:val="18"/>
                <w:lang w:eastAsia="en-AU"/>
              </w:rPr>
              <w:t>Graham Rady</w:t>
            </w:r>
          </w:p>
        </w:tc>
        <w:tc>
          <w:tcPr>
            <w:tcW w:w="1276" w:type="dxa"/>
          </w:tcPr>
          <w:p w14:paraId="18865C4C" w14:textId="6521C7FA" w:rsidR="00530BA8" w:rsidRPr="008329D2" w:rsidRDefault="00DD2898" w:rsidP="00530BA8">
            <w:pPr>
              <w:spacing w:before="20" w:after="20"/>
              <w:rPr>
                <w:sz w:val="18"/>
                <w:szCs w:val="18"/>
                <w:lang w:eastAsia="en-AU"/>
              </w:rPr>
            </w:pPr>
            <w:r w:rsidRPr="008329D2">
              <w:rPr>
                <w:sz w:val="18"/>
                <w:szCs w:val="18"/>
                <w:lang w:eastAsia="en-AU"/>
              </w:rPr>
              <w:t>AusAID</w:t>
            </w:r>
          </w:p>
        </w:tc>
        <w:tc>
          <w:tcPr>
            <w:tcW w:w="4820" w:type="dxa"/>
          </w:tcPr>
          <w:p w14:paraId="758F8315" w14:textId="5C01B522" w:rsidR="00530BA8" w:rsidRPr="008329D2" w:rsidRDefault="00530BA8" w:rsidP="00097596">
            <w:pPr>
              <w:spacing w:before="20" w:after="20"/>
              <w:rPr>
                <w:sz w:val="18"/>
                <w:szCs w:val="18"/>
                <w:lang w:eastAsia="en-AU"/>
              </w:rPr>
            </w:pPr>
            <w:r w:rsidRPr="008329D2">
              <w:rPr>
                <w:sz w:val="18"/>
                <w:szCs w:val="18"/>
                <w:lang w:eastAsia="en-AU"/>
              </w:rPr>
              <w:t>Quality Specialist, A</w:t>
            </w:r>
            <w:r w:rsidR="00097596">
              <w:rPr>
                <w:sz w:val="18"/>
                <w:szCs w:val="18"/>
                <w:lang w:eastAsia="en-AU"/>
              </w:rPr>
              <w:t xml:space="preserve">sia Strategies and Partnerships Branch </w:t>
            </w:r>
          </w:p>
        </w:tc>
      </w:tr>
      <w:tr w:rsidR="00530BA8" w:rsidRPr="002915C2" w14:paraId="71086421" w14:textId="77777777" w:rsidTr="00530BA8">
        <w:trPr>
          <w:trHeight w:val="207"/>
        </w:trPr>
        <w:tc>
          <w:tcPr>
            <w:tcW w:w="822" w:type="dxa"/>
          </w:tcPr>
          <w:p w14:paraId="52B3B74C" w14:textId="77777777" w:rsidR="00530BA8" w:rsidRPr="008329D2" w:rsidRDefault="00530BA8" w:rsidP="00530BA8">
            <w:pPr>
              <w:spacing w:before="20" w:after="20"/>
              <w:rPr>
                <w:sz w:val="18"/>
                <w:szCs w:val="18"/>
                <w:lang w:eastAsia="en-AU"/>
              </w:rPr>
            </w:pPr>
          </w:p>
        </w:tc>
        <w:tc>
          <w:tcPr>
            <w:tcW w:w="1984" w:type="dxa"/>
          </w:tcPr>
          <w:p w14:paraId="538BBAC5" w14:textId="77777777" w:rsidR="00530BA8" w:rsidRPr="008329D2" w:rsidRDefault="00530BA8" w:rsidP="00530BA8">
            <w:pPr>
              <w:spacing w:before="20" w:after="20"/>
              <w:rPr>
                <w:sz w:val="18"/>
                <w:szCs w:val="18"/>
                <w:lang w:eastAsia="en-AU"/>
              </w:rPr>
            </w:pPr>
            <w:r w:rsidRPr="008329D2">
              <w:rPr>
                <w:sz w:val="18"/>
                <w:szCs w:val="18"/>
                <w:lang w:eastAsia="en-AU"/>
              </w:rPr>
              <w:t>Claire Birgin</w:t>
            </w:r>
          </w:p>
        </w:tc>
        <w:tc>
          <w:tcPr>
            <w:tcW w:w="1276" w:type="dxa"/>
          </w:tcPr>
          <w:p w14:paraId="32890171" w14:textId="77777777" w:rsidR="00530BA8" w:rsidRPr="008329D2" w:rsidRDefault="00530BA8" w:rsidP="00530BA8">
            <w:pPr>
              <w:spacing w:before="20" w:after="20"/>
              <w:rPr>
                <w:sz w:val="18"/>
                <w:szCs w:val="18"/>
                <w:lang w:eastAsia="en-AU"/>
              </w:rPr>
            </w:pPr>
            <w:r w:rsidRPr="008329D2">
              <w:rPr>
                <w:sz w:val="18"/>
                <w:szCs w:val="18"/>
                <w:lang w:eastAsia="en-AU"/>
              </w:rPr>
              <w:t>DFAT</w:t>
            </w:r>
          </w:p>
        </w:tc>
        <w:tc>
          <w:tcPr>
            <w:tcW w:w="4820" w:type="dxa"/>
          </w:tcPr>
          <w:p w14:paraId="4D0918C7" w14:textId="77777777" w:rsidR="00530BA8" w:rsidRPr="008329D2" w:rsidRDefault="00530BA8" w:rsidP="00530BA8">
            <w:pPr>
              <w:spacing w:before="20" w:after="20"/>
              <w:rPr>
                <w:sz w:val="18"/>
                <w:szCs w:val="18"/>
                <w:lang w:eastAsia="en-AU"/>
              </w:rPr>
            </w:pPr>
            <w:r w:rsidRPr="008329D2">
              <w:rPr>
                <w:sz w:val="18"/>
                <w:szCs w:val="18"/>
                <w:lang w:eastAsia="en-AU"/>
              </w:rPr>
              <w:t>Director, SE Asia Investment and Services</w:t>
            </w:r>
          </w:p>
        </w:tc>
      </w:tr>
      <w:tr w:rsidR="00530BA8" w:rsidRPr="002915C2" w14:paraId="635E40E3" w14:textId="77777777" w:rsidTr="00530BA8">
        <w:trPr>
          <w:trHeight w:val="207"/>
        </w:trPr>
        <w:tc>
          <w:tcPr>
            <w:tcW w:w="822" w:type="dxa"/>
          </w:tcPr>
          <w:p w14:paraId="69F63E05" w14:textId="77777777" w:rsidR="00530BA8" w:rsidRPr="008329D2" w:rsidRDefault="00530BA8" w:rsidP="00530BA8">
            <w:pPr>
              <w:spacing w:before="20" w:after="20"/>
              <w:rPr>
                <w:sz w:val="18"/>
                <w:szCs w:val="18"/>
                <w:lang w:eastAsia="en-AU"/>
              </w:rPr>
            </w:pPr>
          </w:p>
        </w:tc>
        <w:tc>
          <w:tcPr>
            <w:tcW w:w="1984" w:type="dxa"/>
          </w:tcPr>
          <w:p w14:paraId="26B645B9" w14:textId="77777777" w:rsidR="00530BA8" w:rsidRPr="008329D2" w:rsidRDefault="00530BA8" w:rsidP="00530BA8">
            <w:pPr>
              <w:spacing w:before="20" w:after="20"/>
              <w:rPr>
                <w:sz w:val="18"/>
                <w:szCs w:val="18"/>
                <w:lang w:eastAsia="en-AU"/>
              </w:rPr>
            </w:pPr>
            <w:r w:rsidRPr="008329D2">
              <w:rPr>
                <w:sz w:val="18"/>
                <w:szCs w:val="18"/>
                <w:lang w:eastAsia="en-AU"/>
              </w:rPr>
              <w:t>Tony Mahar</w:t>
            </w:r>
          </w:p>
        </w:tc>
        <w:tc>
          <w:tcPr>
            <w:tcW w:w="1276" w:type="dxa"/>
          </w:tcPr>
          <w:p w14:paraId="399D8002" w14:textId="488EC818" w:rsidR="00530BA8" w:rsidRPr="008329D2" w:rsidRDefault="00530BA8" w:rsidP="00097596">
            <w:pPr>
              <w:spacing w:before="20" w:after="20"/>
              <w:rPr>
                <w:sz w:val="18"/>
                <w:szCs w:val="18"/>
                <w:lang w:eastAsia="en-AU"/>
              </w:rPr>
            </w:pPr>
            <w:r w:rsidRPr="008329D2">
              <w:rPr>
                <w:sz w:val="18"/>
                <w:szCs w:val="18"/>
                <w:lang w:eastAsia="en-AU"/>
              </w:rPr>
              <w:t>N</w:t>
            </w:r>
            <w:r w:rsidR="00097596">
              <w:rPr>
                <w:sz w:val="18"/>
                <w:szCs w:val="18"/>
                <w:lang w:eastAsia="en-AU"/>
              </w:rPr>
              <w:t xml:space="preserve">ational Farmers Federation </w:t>
            </w:r>
          </w:p>
        </w:tc>
        <w:tc>
          <w:tcPr>
            <w:tcW w:w="4820" w:type="dxa"/>
          </w:tcPr>
          <w:p w14:paraId="6A44903C" w14:textId="77777777" w:rsidR="00530BA8" w:rsidRPr="008329D2" w:rsidRDefault="00530BA8" w:rsidP="00530BA8">
            <w:pPr>
              <w:spacing w:before="20" w:after="20"/>
              <w:rPr>
                <w:sz w:val="18"/>
                <w:szCs w:val="18"/>
                <w:lang w:eastAsia="en-AU"/>
              </w:rPr>
            </w:pPr>
            <w:r w:rsidRPr="008329D2">
              <w:rPr>
                <w:sz w:val="18"/>
                <w:szCs w:val="18"/>
                <w:lang w:eastAsia="en-AU"/>
              </w:rPr>
              <w:t>Representative</w:t>
            </w:r>
          </w:p>
        </w:tc>
      </w:tr>
      <w:tr w:rsidR="00530BA8" w:rsidRPr="002915C2" w14:paraId="230A6E61" w14:textId="77777777" w:rsidTr="00530BA8">
        <w:trPr>
          <w:trHeight w:val="207"/>
        </w:trPr>
        <w:tc>
          <w:tcPr>
            <w:tcW w:w="822" w:type="dxa"/>
          </w:tcPr>
          <w:p w14:paraId="31EC1E4E" w14:textId="77777777" w:rsidR="00530BA8" w:rsidRPr="008329D2" w:rsidRDefault="00530BA8" w:rsidP="00530BA8">
            <w:pPr>
              <w:spacing w:before="20" w:after="20"/>
              <w:rPr>
                <w:sz w:val="18"/>
                <w:szCs w:val="18"/>
                <w:lang w:eastAsia="en-AU"/>
              </w:rPr>
            </w:pPr>
          </w:p>
        </w:tc>
        <w:tc>
          <w:tcPr>
            <w:tcW w:w="1984" w:type="dxa"/>
          </w:tcPr>
          <w:p w14:paraId="4A536802" w14:textId="77777777" w:rsidR="00530BA8" w:rsidRPr="008329D2" w:rsidRDefault="00530BA8" w:rsidP="00530BA8">
            <w:pPr>
              <w:spacing w:before="20" w:after="20"/>
              <w:rPr>
                <w:sz w:val="18"/>
                <w:szCs w:val="18"/>
                <w:lang w:eastAsia="en-AU"/>
              </w:rPr>
            </w:pPr>
            <w:r w:rsidRPr="008329D2">
              <w:rPr>
                <w:sz w:val="18"/>
                <w:szCs w:val="18"/>
                <w:lang w:eastAsia="en-AU"/>
              </w:rPr>
              <w:t>Bob Warner</w:t>
            </w:r>
          </w:p>
        </w:tc>
        <w:tc>
          <w:tcPr>
            <w:tcW w:w="1276" w:type="dxa"/>
          </w:tcPr>
          <w:p w14:paraId="7CC9EE1D" w14:textId="77777777" w:rsidR="00530BA8" w:rsidRPr="008329D2" w:rsidRDefault="00530BA8" w:rsidP="00530BA8">
            <w:pPr>
              <w:spacing w:before="20" w:after="20"/>
              <w:rPr>
                <w:sz w:val="18"/>
                <w:szCs w:val="18"/>
                <w:lang w:eastAsia="en-AU"/>
              </w:rPr>
            </w:pPr>
            <w:r w:rsidRPr="008329D2">
              <w:rPr>
                <w:sz w:val="18"/>
                <w:szCs w:val="18"/>
                <w:lang w:eastAsia="en-AU"/>
              </w:rPr>
              <w:t>ANU</w:t>
            </w:r>
          </w:p>
        </w:tc>
        <w:tc>
          <w:tcPr>
            <w:tcW w:w="4820" w:type="dxa"/>
          </w:tcPr>
          <w:p w14:paraId="69C0C31F" w14:textId="77777777" w:rsidR="00530BA8" w:rsidRPr="008329D2" w:rsidRDefault="00530BA8" w:rsidP="00530BA8">
            <w:pPr>
              <w:spacing w:before="20" w:after="20"/>
              <w:rPr>
                <w:sz w:val="18"/>
                <w:szCs w:val="18"/>
                <w:lang w:eastAsia="en-AU"/>
              </w:rPr>
            </w:pPr>
            <w:r w:rsidRPr="008329D2">
              <w:rPr>
                <w:sz w:val="18"/>
                <w:szCs w:val="18"/>
                <w:lang w:eastAsia="en-AU"/>
              </w:rPr>
              <w:t>Director, Crawford School</w:t>
            </w:r>
          </w:p>
        </w:tc>
      </w:tr>
      <w:tr w:rsidR="00530BA8" w:rsidRPr="002915C2" w14:paraId="264170D7" w14:textId="77777777" w:rsidTr="00530BA8">
        <w:trPr>
          <w:trHeight w:val="207"/>
        </w:trPr>
        <w:tc>
          <w:tcPr>
            <w:tcW w:w="822" w:type="dxa"/>
          </w:tcPr>
          <w:p w14:paraId="62394B37" w14:textId="77777777" w:rsidR="00530BA8" w:rsidRPr="008329D2" w:rsidRDefault="00530BA8" w:rsidP="00530BA8">
            <w:pPr>
              <w:spacing w:before="20" w:after="20"/>
              <w:rPr>
                <w:sz w:val="18"/>
                <w:szCs w:val="18"/>
                <w:lang w:eastAsia="en-AU"/>
              </w:rPr>
            </w:pPr>
          </w:p>
        </w:tc>
        <w:tc>
          <w:tcPr>
            <w:tcW w:w="1984" w:type="dxa"/>
          </w:tcPr>
          <w:p w14:paraId="4B075DDD" w14:textId="77777777" w:rsidR="00530BA8" w:rsidRPr="008329D2" w:rsidRDefault="00530BA8" w:rsidP="00530BA8">
            <w:pPr>
              <w:spacing w:before="20" w:after="20"/>
              <w:rPr>
                <w:sz w:val="18"/>
                <w:szCs w:val="18"/>
                <w:lang w:eastAsia="en-AU"/>
              </w:rPr>
            </w:pPr>
          </w:p>
        </w:tc>
        <w:tc>
          <w:tcPr>
            <w:tcW w:w="1276" w:type="dxa"/>
          </w:tcPr>
          <w:p w14:paraId="74A8BBCD" w14:textId="77777777" w:rsidR="00530BA8" w:rsidRPr="008329D2" w:rsidRDefault="00530BA8" w:rsidP="00530BA8">
            <w:pPr>
              <w:spacing w:before="20" w:after="20"/>
              <w:rPr>
                <w:sz w:val="18"/>
                <w:szCs w:val="18"/>
                <w:lang w:eastAsia="en-AU"/>
              </w:rPr>
            </w:pPr>
          </w:p>
        </w:tc>
        <w:tc>
          <w:tcPr>
            <w:tcW w:w="4820" w:type="dxa"/>
          </w:tcPr>
          <w:p w14:paraId="0839A37C" w14:textId="77777777" w:rsidR="00530BA8" w:rsidRPr="008329D2" w:rsidRDefault="00530BA8" w:rsidP="00530BA8">
            <w:pPr>
              <w:spacing w:before="20" w:after="20"/>
              <w:rPr>
                <w:sz w:val="18"/>
                <w:szCs w:val="18"/>
                <w:lang w:eastAsia="en-AU"/>
              </w:rPr>
            </w:pPr>
          </w:p>
        </w:tc>
      </w:tr>
      <w:tr w:rsidR="00530BA8" w:rsidRPr="002915C2" w14:paraId="266E3266" w14:textId="77777777" w:rsidTr="00530BA8">
        <w:trPr>
          <w:trHeight w:val="207"/>
        </w:trPr>
        <w:tc>
          <w:tcPr>
            <w:tcW w:w="822" w:type="dxa"/>
          </w:tcPr>
          <w:p w14:paraId="3792A2B3" w14:textId="77777777" w:rsidR="00530BA8" w:rsidRPr="008329D2" w:rsidRDefault="00530BA8" w:rsidP="00530BA8">
            <w:pPr>
              <w:spacing w:before="20" w:after="20"/>
              <w:rPr>
                <w:sz w:val="18"/>
                <w:szCs w:val="18"/>
                <w:lang w:eastAsia="en-AU"/>
              </w:rPr>
            </w:pPr>
            <w:r w:rsidRPr="008329D2">
              <w:rPr>
                <w:sz w:val="18"/>
                <w:szCs w:val="18"/>
                <w:lang w:eastAsia="en-AU"/>
              </w:rPr>
              <w:t>5/2/13</w:t>
            </w:r>
          </w:p>
        </w:tc>
        <w:tc>
          <w:tcPr>
            <w:tcW w:w="1984" w:type="dxa"/>
          </w:tcPr>
          <w:p w14:paraId="0F788885" w14:textId="77777777" w:rsidR="00530BA8" w:rsidRPr="008329D2" w:rsidRDefault="00530BA8" w:rsidP="00530BA8">
            <w:pPr>
              <w:spacing w:before="20" w:after="20"/>
              <w:rPr>
                <w:sz w:val="18"/>
                <w:szCs w:val="18"/>
                <w:lang w:eastAsia="en-AU"/>
              </w:rPr>
            </w:pPr>
            <w:r w:rsidRPr="008329D2">
              <w:rPr>
                <w:sz w:val="18"/>
                <w:szCs w:val="18"/>
                <w:lang w:eastAsia="en-AU"/>
              </w:rPr>
              <w:t>Christine Ford</w:t>
            </w:r>
          </w:p>
        </w:tc>
        <w:tc>
          <w:tcPr>
            <w:tcW w:w="1276" w:type="dxa"/>
          </w:tcPr>
          <w:p w14:paraId="1E1A017A" w14:textId="77777777" w:rsidR="00530BA8" w:rsidRPr="008329D2" w:rsidRDefault="00530BA8" w:rsidP="00530BA8">
            <w:pPr>
              <w:spacing w:before="20" w:after="20"/>
              <w:rPr>
                <w:sz w:val="18"/>
                <w:szCs w:val="18"/>
                <w:lang w:eastAsia="en-AU"/>
              </w:rPr>
            </w:pPr>
            <w:r w:rsidRPr="008329D2">
              <w:rPr>
                <w:sz w:val="18"/>
                <w:szCs w:val="18"/>
                <w:lang w:eastAsia="en-AU"/>
              </w:rPr>
              <w:t>AusAID</w:t>
            </w:r>
          </w:p>
        </w:tc>
        <w:tc>
          <w:tcPr>
            <w:tcW w:w="4820" w:type="dxa"/>
          </w:tcPr>
          <w:p w14:paraId="66B770C5" w14:textId="77777777" w:rsidR="00530BA8" w:rsidRPr="008329D2" w:rsidRDefault="00530BA8" w:rsidP="00530BA8">
            <w:pPr>
              <w:spacing w:before="20" w:after="20"/>
              <w:rPr>
                <w:sz w:val="18"/>
                <w:szCs w:val="18"/>
                <w:lang w:eastAsia="en-AU"/>
              </w:rPr>
            </w:pPr>
            <w:r w:rsidRPr="008329D2">
              <w:rPr>
                <w:sz w:val="18"/>
                <w:szCs w:val="18"/>
                <w:lang w:eastAsia="en-AU"/>
              </w:rPr>
              <w:t>(former) Program Manager AECSP</w:t>
            </w:r>
          </w:p>
        </w:tc>
      </w:tr>
      <w:tr w:rsidR="00DD2898" w:rsidRPr="002915C2" w14:paraId="37CF8577" w14:textId="77777777" w:rsidTr="00530BA8">
        <w:trPr>
          <w:trHeight w:val="207"/>
        </w:trPr>
        <w:tc>
          <w:tcPr>
            <w:tcW w:w="822" w:type="dxa"/>
          </w:tcPr>
          <w:p w14:paraId="6C903E0E" w14:textId="77777777" w:rsidR="00DD2898" w:rsidRPr="008329D2" w:rsidRDefault="00DD2898" w:rsidP="00530BA8">
            <w:pPr>
              <w:spacing w:before="20" w:after="20"/>
              <w:rPr>
                <w:sz w:val="18"/>
                <w:szCs w:val="18"/>
                <w:lang w:eastAsia="en-AU"/>
              </w:rPr>
            </w:pPr>
          </w:p>
        </w:tc>
        <w:tc>
          <w:tcPr>
            <w:tcW w:w="1984" w:type="dxa"/>
          </w:tcPr>
          <w:p w14:paraId="74A99878" w14:textId="77777777" w:rsidR="00DD2898" w:rsidRPr="008329D2" w:rsidRDefault="00DD2898" w:rsidP="00530BA8">
            <w:pPr>
              <w:spacing w:before="20" w:after="20"/>
              <w:rPr>
                <w:sz w:val="18"/>
                <w:szCs w:val="18"/>
                <w:lang w:eastAsia="en-AU"/>
              </w:rPr>
            </w:pPr>
            <w:r w:rsidRPr="008329D2">
              <w:rPr>
                <w:sz w:val="18"/>
                <w:szCs w:val="18"/>
                <w:lang w:eastAsia="en-AU"/>
              </w:rPr>
              <w:t>Graham Rady</w:t>
            </w:r>
          </w:p>
        </w:tc>
        <w:tc>
          <w:tcPr>
            <w:tcW w:w="1276" w:type="dxa"/>
          </w:tcPr>
          <w:p w14:paraId="294B1753" w14:textId="289F2C64" w:rsidR="00DD2898" w:rsidRPr="008329D2" w:rsidRDefault="00DD2898" w:rsidP="00530BA8">
            <w:pPr>
              <w:spacing w:before="20" w:after="20"/>
              <w:rPr>
                <w:sz w:val="18"/>
                <w:szCs w:val="18"/>
                <w:lang w:eastAsia="en-AU"/>
              </w:rPr>
            </w:pPr>
            <w:r w:rsidRPr="000D7861">
              <w:rPr>
                <w:sz w:val="18"/>
                <w:szCs w:val="18"/>
                <w:lang w:eastAsia="en-AU"/>
              </w:rPr>
              <w:t>AusAID</w:t>
            </w:r>
          </w:p>
        </w:tc>
        <w:tc>
          <w:tcPr>
            <w:tcW w:w="4820" w:type="dxa"/>
          </w:tcPr>
          <w:p w14:paraId="40CA9C00" w14:textId="4041DDF4" w:rsidR="00DD2898" w:rsidRPr="008329D2" w:rsidRDefault="00DD2898" w:rsidP="00530BA8">
            <w:pPr>
              <w:spacing w:before="20" w:after="20"/>
              <w:rPr>
                <w:sz w:val="18"/>
                <w:szCs w:val="18"/>
                <w:lang w:eastAsia="en-AU"/>
              </w:rPr>
            </w:pPr>
            <w:r w:rsidRPr="008329D2">
              <w:rPr>
                <w:sz w:val="18"/>
                <w:szCs w:val="18"/>
                <w:lang w:eastAsia="en-AU"/>
              </w:rPr>
              <w:t xml:space="preserve">Quality Specialist, </w:t>
            </w:r>
            <w:r w:rsidR="00E72629" w:rsidRPr="00E72629">
              <w:rPr>
                <w:sz w:val="18"/>
                <w:szCs w:val="18"/>
                <w:lang w:eastAsia="en-AU"/>
              </w:rPr>
              <w:t>Asia Strategies and Partnerships Branch</w:t>
            </w:r>
          </w:p>
        </w:tc>
      </w:tr>
      <w:tr w:rsidR="00DD2898" w:rsidRPr="002915C2" w14:paraId="13E77285" w14:textId="77777777" w:rsidTr="00530BA8">
        <w:trPr>
          <w:trHeight w:val="207"/>
        </w:trPr>
        <w:tc>
          <w:tcPr>
            <w:tcW w:w="822" w:type="dxa"/>
          </w:tcPr>
          <w:p w14:paraId="2F3FFB6D" w14:textId="77777777" w:rsidR="00DD2898" w:rsidRPr="008329D2" w:rsidRDefault="00DD2898" w:rsidP="00530BA8">
            <w:pPr>
              <w:spacing w:before="20" w:after="20"/>
              <w:rPr>
                <w:sz w:val="18"/>
                <w:szCs w:val="18"/>
                <w:lang w:eastAsia="en-AU"/>
              </w:rPr>
            </w:pPr>
          </w:p>
        </w:tc>
        <w:tc>
          <w:tcPr>
            <w:tcW w:w="1984" w:type="dxa"/>
          </w:tcPr>
          <w:p w14:paraId="449D4C3B" w14:textId="77777777" w:rsidR="00DD2898" w:rsidRPr="008329D2" w:rsidRDefault="00DD2898" w:rsidP="00530BA8">
            <w:pPr>
              <w:spacing w:before="20" w:after="20"/>
              <w:rPr>
                <w:sz w:val="18"/>
                <w:szCs w:val="18"/>
                <w:lang w:eastAsia="en-AU"/>
              </w:rPr>
            </w:pPr>
            <w:r w:rsidRPr="008329D2">
              <w:rPr>
                <w:sz w:val="18"/>
                <w:szCs w:val="18"/>
                <w:lang w:eastAsia="en-AU"/>
              </w:rPr>
              <w:t>Arnold Jorge</w:t>
            </w:r>
          </w:p>
        </w:tc>
        <w:tc>
          <w:tcPr>
            <w:tcW w:w="1276" w:type="dxa"/>
          </w:tcPr>
          <w:p w14:paraId="61823FC9" w14:textId="7D76D2D7" w:rsidR="00DD2898" w:rsidRPr="008329D2" w:rsidRDefault="00DD2898" w:rsidP="00530BA8">
            <w:pPr>
              <w:spacing w:before="20" w:after="20"/>
              <w:rPr>
                <w:sz w:val="18"/>
                <w:szCs w:val="18"/>
                <w:lang w:eastAsia="en-AU"/>
              </w:rPr>
            </w:pPr>
            <w:r w:rsidRPr="000D7861">
              <w:rPr>
                <w:sz w:val="18"/>
                <w:szCs w:val="18"/>
                <w:lang w:eastAsia="en-AU"/>
              </w:rPr>
              <w:t>AusAID</w:t>
            </w:r>
          </w:p>
        </w:tc>
        <w:tc>
          <w:tcPr>
            <w:tcW w:w="4820" w:type="dxa"/>
          </w:tcPr>
          <w:p w14:paraId="5CD5DF61" w14:textId="77777777" w:rsidR="00DD2898" w:rsidRPr="008329D2" w:rsidRDefault="00DD2898" w:rsidP="00530BA8">
            <w:pPr>
              <w:spacing w:before="20" w:after="20"/>
              <w:rPr>
                <w:sz w:val="18"/>
                <w:szCs w:val="18"/>
                <w:lang w:eastAsia="en-AU"/>
              </w:rPr>
            </w:pPr>
            <w:r w:rsidRPr="008329D2">
              <w:rPr>
                <w:sz w:val="18"/>
                <w:szCs w:val="18"/>
                <w:lang w:eastAsia="en-AU"/>
              </w:rPr>
              <w:t>Trade Advisor</w:t>
            </w:r>
          </w:p>
        </w:tc>
      </w:tr>
      <w:tr w:rsidR="00DD2898" w:rsidRPr="002915C2" w14:paraId="217387FE" w14:textId="77777777" w:rsidTr="00530BA8">
        <w:trPr>
          <w:trHeight w:val="207"/>
        </w:trPr>
        <w:tc>
          <w:tcPr>
            <w:tcW w:w="822" w:type="dxa"/>
          </w:tcPr>
          <w:p w14:paraId="31210978" w14:textId="77777777" w:rsidR="00DD2898" w:rsidRPr="008329D2" w:rsidRDefault="00DD2898" w:rsidP="00530BA8">
            <w:pPr>
              <w:spacing w:before="20" w:after="20"/>
              <w:rPr>
                <w:sz w:val="18"/>
                <w:szCs w:val="18"/>
                <w:lang w:eastAsia="en-AU"/>
              </w:rPr>
            </w:pPr>
          </w:p>
        </w:tc>
        <w:tc>
          <w:tcPr>
            <w:tcW w:w="1984" w:type="dxa"/>
          </w:tcPr>
          <w:p w14:paraId="5B75206D" w14:textId="77777777" w:rsidR="00DD2898" w:rsidRPr="008329D2" w:rsidRDefault="00DD2898" w:rsidP="00530BA8">
            <w:pPr>
              <w:spacing w:before="20" w:after="20"/>
              <w:rPr>
                <w:sz w:val="18"/>
                <w:szCs w:val="18"/>
                <w:lang w:eastAsia="en-AU"/>
              </w:rPr>
            </w:pPr>
            <w:r w:rsidRPr="008329D2">
              <w:rPr>
                <w:sz w:val="18"/>
                <w:szCs w:val="18"/>
                <w:lang w:eastAsia="en-AU"/>
              </w:rPr>
              <w:t>Julia Niblet</w:t>
            </w:r>
          </w:p>
        </w:tc>
        <w:tc>
          <w:tcPr>
            <w:tcW w:w="1276" w:type="dxa"/>
          </w:tcPr>
          <w:p w14:paraId="3769DBA7" w14:textId="52836C21" w:rsidR="00DD2898" w:rsidRPr="008329D2" w:rsidRDefault="00DD2898" w:rsidP="00530BA8">
            <w:pPr>
              <w:spacing w:before="20" w:after="20"/>
              <w:rPr>
                <w:sz w:val="18"/>
                <w:szCs w:val="18"/>
                <w:lang w:eastAsia="en-AU"/>
              </w:rPr>
            </w:pPr>
            <w:r w:rsidRPr="000D7861">
              <w:rPr>
                <w:sz w:val="18"/>
                <w:szCs w:val="18"/>
                <w:lang w:eastAsia="en-AU"/>
              </w:rPr>
              <w:t>AusAID</w:t>
            </w:r>
          </w:p>
        </w:tc>
        <w:tc>
          <w:tcPr>
            <w:tcW w:w="4820" w:type="dxa"/>
          </w:tcPr>
          <w:p w14:paraId="731C5847" w14:textId="542F7C6F" w:rsidR="00DD2898" w:rsidRPr="008329D2" w:rsidRDefault="00DD2898" w:rsidP="00530BA8">
            <w:pPr>
              <w:spacing w:before="20" w:after="20"/>
              <w:rPr>
                <w:sz w:val="18"/>
                <w:szCs w:val="18"/>
                <w:lang w:eastAsia="en-AU"/>
              </w:rPr>
            </w:pPr>
            <w:r w:rsidRPr="008329D2">
              <w:rPr>
                <w:sz w:val="18"/>
                <w:szCs w:val="18"/>
                <w:lang w:eastAsia="en-AU"/>
              </w:rPr>
              <w:t xml:space="preserve">ADG, </w:t>
            </w:r>
            <w:r w:rsidR="00E72629" w:rsidRPr="00E72629">
              <w:rPr>
                <w:sz w:val="18"/>
                <w:szCs w:val="18"/>
                <w:lang w:eastAsia="en-AU"/>
              </w:rPr>
              <w:t>Asia Strategies and Partnerships Branch</w:t>
            </w:r>
          </w:p>
        </w:tc>
      </w:tr>
      <w:tr w:rsidR="00DD2898" w:rsidRPr="002915C2" w14:paraId="7F9CDC0E" w14:textId="77777777" w:rsidTr="00530BA8">
        <w:trPr>
          <w:trHeight w:val="207"/>
        </w:trPr>
        <w:tc>
          <w:tcPr>
            <w:tcW w:w="822" w:type="dxa"/>
          </w:tcPr>
          <w:p w14:paraId="6834D9D6" w14:textId="77777777" w:rsidR="00DD2898" w:rsidRPr="008329D2" w:rsidRDefault="00DD2898" w:rsidP="00530BA8">
            <w:pPr>
              <w:spacing w:before="20" w:after="20"/>
              <w:rPr>
                <w:sz w:val="18"/>
                <w:szCs w:val="18"/>
                <w:lang w:eastAsia="en-AU"/>
              </w:rPr>
            </w:pPr>
          </w:p>
        </w:tc>
        <w:tc>
          <w:tcPr>
            <w:tcW w:w="1984" w:type="dxa"/>
          </w:tcPr>
          <w:p w14:paraId="4E95DA48" w14:textId="77777777" w:rsidR="00DD2898" w:rsidRPr="008329D2" w:rsidRDefault="00DD2898" w:rsidP="00530BA8">
            <w:pPr>
              <w:spacing w:before="20" w:after="20"/>
              <w:rPr>
                <w:sz w:val="18"/>
                <w:szCs w:val="18"/>
                <w:lang w:eastAsia="en-AU"/>
              </w:rPr>
            </w:pPr>
            <w:r w:rsidRPr="008329D2">
              <w:rPr>
                <w:sz w:val="18"/>
                <w:szCs w:val="18"/>
                <w:lang w:eastAsia="en-AU"/>
              </w:rPr>
              <w:t>Susan Wilson</w:t>
            </w:r>
          </w:p>
        </w:tc>
        <w:tc>
          <w:tcPr>
            <w:tcW w:w="1276" w:type="dxa"/>
          </w:tcPr>
          <w:p w14:paraId="65E3D971" w14:textId="16D808BB" w:rsidR="00DD2898" w:rsidRPr="008329D2" w:rsidRDefault="00DD2898" w:rsidP="00530BA8">
            <w:pPr>
              <w:spacing w:before="20" w:after="20"/>
              <w:rPr>
                <w:sz w:val="18"/>
                <w:szCs w:val="18"/>
                <w:lang w:eastAsia="en-AU"/>
              </w:rPr>
            </w:pPr>
            <w:r w:rsidRPr="000D7861">
              <w:rPr>
                <w:sz w:val="18"/>
                <w:szCs w:val="18"/>
                <w:lang w:eastAsia="en-AU"/>
              </w:rPr>
              <w:t>AusAID</w:t>
            </w:r>
          </w:p>
        </w:tc>
        <w:tc>
          <w:tcPr>
            <w:tcW w:w="4820" w:type="dxa"/>
          </w:tcPr>
          <w:p w14:paraId="7119A35B" w14:textId="3827E14C" w:rsidR="00DD2898" w:rsidRPr="008329D2" w:rsidRDefault="00DD2898" w:rsidP="00E72629">
            <w:pPr>
              <w:spacing w:before="20" w:after="20"/>
              <w:rPr>
                <w:sz w:val="18"/>
                <w:szCs w:val="18"/>
                <w:lang w:eastAsia="en-AU"/>
              </w:rPr>
            </w:pPr>
            <w:r w:rsidRPr="008329D2">
              <w:rPr>
                <w:sz w:val="18"/>
                <w:szCs w:val="18"/>
                <w:lang w:eastAsia="en-AU"/>
              </w:rPr>
              <w:t xml:space="preserve">Director, </w:t>
            </w:r>
            <w:r w:rsidR="00E72629" w:rsidRPr="008329D2">
              <w:rPr>
                <w:sz w:val="18"/>
                <w:szCs w:val="18"/>
                <w:lang w:eastAsia="en-AU"/>
              </w:rPr>
              <w:t>E</w:t>
            </w:r>
            <w:r w:rsidR="00E72629">
              <w:rPr>
                <w:sz w:val="18"/>
                <w:szCs w:val="18"/>
                <w:lang w:eastAsia="en-AU"/>
              </w:rPr>
              <w:t xml:space="preserve">ast Asia regional Section </w:t>
            </w:r>
          </w:p>
        </w:tc>
      </w:tr>
      <w:tr w:rsidR="00DD2898" w:rsidRPr="002915C2" w14:paraId="61E8A65B" w14:textId="77777777" w:rsidTr="00530BA8">
        <w:trPr>
          <w:trHeight w:val="207"/>
        </w:trPr>
        <w:tc>
          <w:tcPr>
            <w:tcW w:w="822" w:type="dxa"/>
          </w:tcPr>
          <w:p w14:paraId="3FB30AFC" w14:textId="77777777" w:rsidR="00DD2898" w:rsidRPr="008329D2" w:rsidRDefault="00DD2898" w:rsidP="00530BA8">
            <w:pPr>
              <w:spacing w:before="20" w:after="20"/>
              <w:rPr>
                <w:sz w:val="18"/>
                <w:szCs w:val="18"/>
                <w:lang w:eastAsia="en-AU"/>
              </w:rPr>
            </w:pPr>
          </w:p>
        </w:tc>
        <w:tc>
          <w:tcPr>
            <w:tcW w:w="1984" w:type="dxa"/>
          </w:tcPr>
          <w:p w14:paraId="52B92FCD" w14:textId="77777777" w:rsidR="00DD2898" w:rsidRPr="008329D2" w:rsidRDefault="00DD2898" w:rsidP="00530BA8">
            <w:pPr>
              <w:spacing w:before="20" w:after="20"/>
              <w:rPr>
                <w:sz w:val="18"/>
                <w:szCs w:val="18"/>
                <w:lang w:eastAsia="en-AU"/>
              </w:rPr>
            </w:pPr>
            <w:r w:rsidRPr="008329D2">
              <w:rPr>
                <w:sz w:val="18"/>
                <w:szCs w:val="18"/>
                <w:lang w:eastAsia="en-AU"/>
              </w:rPr>
              <w:t>Pat Duggan</w:t>
            </w:r>
          </w:p>
        </w:tc>
        <w:tc>
          <w:tcPr>
            <w:tcW w:w="1276" w:type="dxa"/>
          </w:tcPr>
          <w:p w14:paraId="256BA58A" w14:textId="78D3A022" w:rsidR="00DD2898" w:rsidRPr="008329D2" w:rsidRDefault="00DD2898" w:rsidP="00530BA8">
            <w:pPr>
              <w:spacing w:before="20" w:after="20"/>
              <w:rPr>
                <w:sz w:val="18"/>
                <w:szCs w:val="18"/>
                <w:lang w:eastAsia="en-AU"/>
              </w:rPr>
            </w:pPr>
            <w:r w:rsidRPr="000D7861">
              <w:rPr>
                <w:sz w:val="18"/>
                <w:szCs w:val="18"/>
                <w:lang w:eastAsia="en-AU"/>
              </w:rPr>
              <w:t>AusAID</w:t>
            </w:r>
          </w:p>
        </w:tc>
        <w:tc>
          <w:tcPr>
            <w:tcW w:w="4820" w:type="dxa"/>
          </w:tcPr>
          <w:p w14:paraId="2DBA5F59" w14:textId="77777777" w:rsidR="00DD2898" w:rsidRPr="008329D2" w:rsidRDefault="00DD2898" w:rsidP="00530BA8">
            <w:pPr>
              <w:spacing w:before="20" w:after="20"/>
              <w:rPr>
                <w:sz w:val="18"/>
                <w:szCs w:val="18"/>
                <w:lang w:eastAsia="en-AU"/>
              </w:rPr>
            </w:pPr>
            <w:r w:rsidRPr="008329D2">
              <w:rPr>
                <w:sz w:val="18"/>
                <w:szCs w:val="18"/>
                <w:lang w:eastAsia="en-AU"/>
              </w:rPr>
              <w:t xml:space="preserve">Counsellor Regional </w:t>
            </w:r>
          </w:p>
        </w:tc>
      </w:tr>
      <w:tr w:rsidR="00DD2898" w:rsidRPr="002915C2" w14:paraId="7CF773BC" w14:textId="77777777" w:rsidTr="00530BA8">
        <w:trPr>
          <w:trHeight w:val="207"/>
        </w:trPr>
        <w:tc>
          <w:tcPr>
            <w:tcW w:w="822" w:type="dxa"/>
          </w:tcPr>
          <w:p w14:paraId="3542E6C6" w14:textId="77777777" w:rsidR="00DD2898" w:rsidRPr="008329D2" w:rsidRDefault="00DD2898" w:rsidP="00530BA8">
            <w:pPr>
              <w:spacing w:before="20" w:after="20"/>
              <w:rPr>
                <w:sz w:val="18"/>
                <w:szCs w:val="18"/>
                <w:lang w:eastAsia="en-AU"/>
              </w:rPr>
            </w:pPr>
          </w:p>
        </w:tc>
        <w:tc>
          <w:tcPr>
            <w:tcW w:w="1984" w:type="dxa"/>
          </w:tcPr>
          <w:p w14:paraId="629BFB1E" w14:textId="77777777" w:rsidR="00DD2898" w:rsidRPr="008329D2" w:rsidRDefault="00DD2898" w:rsidP="00530BA8">
            <w:pPr>
              <w:spacing w:before="20" w:after="20"/>
              <w:rPr>
                <w:sz w:val="18"/>
                <w:szCs w:val="18"/>
                <w:lang w:eastAsia="en-AU"/>
              </w:rPr>
            </w:pPr>
            <w:r w:rsidRPr="008329D2">
              <w:rPr>
                <w:sz w:val="18"/>
                <w:szCs w:val="18"/>
                <w:lang w:eastAsia="en-AU"/>
              </w:rPr>
              <w:t>Eko</w:t>
            </w:r>
            <w:r>
              <w:rPr>
                <w:sz w:val="18"/>
                <w:szCs w:val="18"/>
                <w:lang w:eastAsia="en-AU"/>
              </w:rPr>
              <w:t xml:space="preserve"> </w:t>
            </w:r>
            <w:r w:rsidRPr="008329D2">
              <w:rPr>
                <w:sz w:val="18"/>
                <w:szCs w:val="18"/>
                <w:lang w:eastAsia="en-AU"/>
              </w:rPr>
              <w:t>Setiono</w:t>
            </w:r>
          </w:p>
        </w:tc>
        <w:tc>
          <w:tcPr>
            <w:tcW w:w="1276" w:type="dxa"/>
          </w:tcPr>
          <w:p w14:paraId="14FD88CA" w14:textId="69B32D03" w:rsidR="00DD2898" w:rsidRPr="008329D2" w:rsidRDefault="00DD2898" w:rsidP="00530BA8">
            <w:pPr>
              <w:spacing w:before="20" w:after="20"/>
              <w:rPr>
                <w:sz w:val="18"/>
                <w:szCs w:val="18"/>
                <w:lang w:eastAsia="en-AU"/>
              </w:rPr>
            </w:pPr>
            <w:r w:rsidRPr="000D7861">
              <w:rPr>
                <w:sz w:val="18"/>
                <w:szCs w:val="18"/>
                <w:lang w:eastAsia="en-AU"/>
              </w:rPr>
              <w:t>AusAID</w:t>
            </w:r>
          </w:p>
        </w:tc>
        <w:tc>
          <w:tcPr>
            <w:tcW w:w="4820" w:type="dxa"/>
          </w:tcPr>
          <w:p w14:paraId="5D756D85" w14:textId="77777777" w:rsidR="00DD2898" w:rsidRPr="008329D2" w:rsidRDefault="00DD2898" w:rsidP="00530BA8">
            <w:pPr>
              <w:spacing w:before="20" w:after="20"/>
              <w:rPr>
                <w:sz w:val="18"/>
                <w:szCs w:val="18"/>
                <w:lang w:eastAsia="en-AU"/>
              </w:rPr>
            </w:pPr>
            <w:r w:rsidRPr="008329D2">
              <w:rPr>
                <w:sz w:val="18"/>
                <w:szCs w:val="18"/>
                <w:lang w:eastAsia="en-AU"/>
              </w:rPr>
              <w:t>Program Manager</w:t>
            </w:r>
          </w:p>
        </w:tc>
      </w:tr>
      <w:tr w:rsidR="00530BA8" w:rsidRPr="002915C2" w14:paraId="1493B83E" w14:textId="77777777" w:rsidTr="00530BA8">
        <w:trPr>
          <w:trHeight w:val="207"/>
        </w:trPr>
        <w:tc>
          <w:tcPr>
            <w:tcW w:w="822" w:type="dxa"/>
          </w:tcPr>
          <w:p w14:paraId="3C1FED21" w14:textId="77777777" w:rsidR="00530BA8" w:rsidRPr="008329D2" w:rsidRDefault="00530BA8" w:rsidP="00530BA8">
            <w:pPr>
              <w:spacing w:before="20" w:after="20"/>
              <w:rPr>
                <w:sz w:val="18"/>
                <w:szCs w:val="18"/>
                <w:lang w:eastAsia="en-AU"/>
              </w:rPr>
            </w:pPr>
          </w:p>
        </w:tc>
        <w:tc>
          <w:tcPr>
            <w:tcW w:w="1984" w:type="dxa"/>
          </w:tcPr>
          <w:p w14:paraId="2FD8F251" w14:textId="77777777" w:rsidR="00530BA8" w:rsidRPr="008329D2" w:rsidRDefault="00530BA8" w:rsidP="00530BA8">
            <w:pPr>
              <w:spacing w:before="20" w:after="20"/>
              <w:rPr>
                <w:sz w:val="18"/>
                <w:szCs w:val="18"/>
                <w:lang w:eastAsia="en-AU"/>
              </w:rPr>
            </w:pPr>
            <w:r w:rsidRPr="008329D2">
              <w:rPr>
                <w:sz w:val="18"/>
                <w:szCs w:val="18"/>
                <w:lang w:eastAsia="en-AU"/>
              </w:rPr>
              <w:t>Colin Reynolds</w:t>
            </w:r>
          </w:p>
        </w:tc>
        <w:tc>
          <w:tcPr>
            <w:tcW w:w="1276" w:type="dxa"/>
          </w:tcPr>
          <w:p w14:paraId="30D4D369" w14:textId="77777777" w:rsidR="00530BA8" w:rsidRPr="008329D2" w:rsidRDefault="00530BA8" w:rsidP="00530BA8">
            <w:pPr>
              <w:spacing w:before="20" w:after="20"/>
              <w:rPr>
                <w:sz w:val="18"/>
                <w:szCs w:val="18"/>
                <w:lang w:eastAsia="en-AU"/>
              </w:rPr>
            </w:pPr>
            <w:r w:rsidRPr="008329D2">
              <w:rPr>
                <w:sz w:val="18"/>
                <w:szCs w:val="18"/>
                <w:lang w:eastAsia="en-AU"/>
              </w:rPr>
              <w:t>Consultant</w:t>
            </w:r>
          </w:p>
        </w:tc>
        <w:tc>
          <w:tcPr>
            <w:tcW w:w="4820" w:type="dxa"/>
          </w:tcPr>
          <w:p w14:paraId="6FBF2FA5" w14:textId="19D2C540" w:rsidR="00530BA8" w:rsidRPr="008329D2" w:rsidRDefault="00DD2898" w:rsidP="00714B4B">
            <w:pPr>
              <w:spacing w:before="20" w:after="20"/>
              <w:rPr>
                <w:rFonts w:eastAsia="SimSun"/>
                <w:b/>
                <w:bCs/>
                <w:color w:val="4F81BD" w:themeColor="accent1"/>
                <w:sz w:val="18"/>
                <w:szCs w:val="18"/>
                <w:lang w:val="en-US" w:eastAsia="en-AU"/>
              </w:rPr>
            </w:pPr>
            <w:r>
              <w:rPr>
                <w:sz w:val="18"/>
                <w:szCs w:val="18"/>
                <w:lang w:eastAsia="en-AU"/>
              </w:rPr>
              <w:t>Monitoring and Evaluation</w:t>
            </w:r>
            <w:r w:rsidR="00530BA8" w:rsidRPr="008329D2">
              <w:rPr>
                <w:sz w:val="18"/>
                <w:szCs w:val="18"/>
                <w:lang w:eastAsia="en-AU"/>
              </w:rPr>
              <w:t xml:space="preserve"> Consultant</w:t>
            </w:r>
          </w:p>
        </w:tc>
      </w:tr>
      <w:tr w:rsidR="00530BA8" w:rsidRPr="002915C2" w14:paraId="64FD99BB" w14:textId="77777777" w:rsidTr="00530BA8">
        <w:trPr>
          <w:trHeight w:val="207"/>
        </w:trPr>
        <w:tc>
          <w:tcPr>
            <w:tcW w:w="822" w:type="dxa"/>
          </w:tcPr>
          <w:p w14:paraId="020FDA33" w14:textId="77777777" w:rsidR="00530BA8" w:rsidRPr="008329D2" w:rsidRDefault="00530BA8" w:rsidP="00530BA8">
            <w:pPr>
              <w:spacing w:before="20" w:after="20"/>
              <w:rPr>
                <w:sz w:val="18"/>
                <w:szCs w:val="18"/>
                <w:lang w:eastAsia="en-AU"/>
              </w:rPr>
            </w:pPr>
          </w:p>
        </w:tc>
        <w:tc>
          <w:tcPr>
            <w:tcW w:w="1984" w:type="dxa"/>
          </w:tcPr>
          <w:p w14:paraId="3532886E" w14:textId="77777777" w:rsidR="00530BA8" w:rsidRPr="008329D2" w:rsidRDefault="00530BA8" w:rsidP="00530BA8">
            <w:pPr>
              <w:spacing w:before="20" w:after="20"/>
              <w:rPr>
                <w:sz w:val="18"/>
                <w:szCs w:val="18"/>
                <w:lang w:eastAsia="en-AU"/>
              </w:rPr>
            </w:pPr>
            <w:r>
              <w:rPr>
                <w:sz w:val="18"/>
                <w:szCs w:val="18"/>
                <w:lang w:eastAsia="en-AU"/>
              </w:rPr>
              <w:t>Dorothea C. Lazaro</w:t>
            </w:r>
          </w:p>
        </w:tc>
        <w:tc>
          <w:tcPr>
            <w:tcW w:w="1276" w:type="dxa"/>
          </w:tcPr>
          <w:p w14:paraId="6EA8BCC0" w14:textId="77777777" w:rsidR="00530BA8" w:rsidRPr="008329D2" w:rsidRDefault="00530BA8" w:rsidP="00530BA8">
            <w:pPr>
              <w:spacing w:before="20" w:after="20"/>
              <w:rPr>
                <w:sz w:val="18"/>
                <w:szCs w:val="18"/>
                <w:lang w:eastAsia="en-AU"/>
              </w:rPr>
            </w:pPr>
            <w:r>
              <w:rPr>
                <w:sz w:val="18"/>
                <w:szCs w:val="18"/>
                <w:lang w:eastAsia="en-AU"/>
              </w:rPr>
              <w:t>ASU</w:t>
            </w:r>
          </w:p>
        </w:tc>
        <w:tc>
          <w:tcPr>
            <w:tcW w:w="4820" w:type="dxa"/>
          </w:tcPr>
          <w:p w14:paraId="5A5E0BF5" w14:textId="77777777" w:rsidR="00530BA8" w:rsidRPr="008329D2" w:rsidRDefault="00530BA8" w:rsidP="00530BA8">
            <w:pPr>
              <w:spacing w:before="20" w:after="20"/>
              <w:rPr>
                <w:sz w:val="18"/>
                <w:szCs w:val="18"/>
                <w:lang w:eastAsia="en-AU"/>
              </w:rPr>
            </w:pPr>
            <w:r>
              <w:rPr>
                <w:sz w:val="18"/>
                <w:szCs w:val="18"/>
                <w:lang w:eastAsia="en-AU"/>
              </w:rPr>
              <w:t>Program Coordinator</w:t>
            </w:r>
          </w:p>
        </w:tc>
      </w:tr>
      <w:tr w:rsidR="00530BA8" w:rsidRPr="002915C2" w14:paraId="718DA983" w14:textId="77777777" w:rsidTr="00530BA8">
        <w:trPr>
          <w:trHeight w:val="207"/>
        </w:trPr>
        <w:tc>
          <w:tcPr>
            <w:tcW w:w="822" w:type="dxa"/>
          </w:tcPr>
          <w:p w14:paraId="6FFF9211" w14:textId="77777777" w:rsidR="00530BA8" w:rsidRPr="008329D2" w:rsidRDefault="00530BA8" w:rsidP="00530BA8">
            <w:pPr>
              <w:spacing w:before="20" w:after="20"/>
              <w:rPr>
                <w:sz w:val="18"/>
                <w:szCs w:val="18"/>
                <w:lang w:eastAsia="en-AU"/>
              </w:rPr>
            </w:pPr>
          </w:p>
        </w:tc>
        <w:tc>
          <w:tcPr>
            <w:tcW w:w="1984" w:type="dxa"/>
          </w:tcPr>
          <w:p w14:paraId="3A938F09" w14:textId="77777777" w:rsidR="00530BA8" w:rsidRPr="008329D2" w:rsidRDefault="00530BA8" w:rsidP="00530BA8">
            <w:pPr>
              <w:spacing w:before="20" w:after="20"/>
              <w:rPr>
                <w:sz w:val="18"/>
                <w:szCs w:val="18"/>
                <w:lang w:eastAsia="en-AU"/>
              </w:rPr>
            </w:pPr>
          </w:p>
        </w:tc>
        <w:tc>
          <w:tcPr>
            <w:tcW w:w="1276" w:type="dxa"/>
          </w:tcPr>
          <w:p w14:paraId="49E325A9" w14:textId="77777777" w:rsidR="00530BA8" w:rsidRPr="008329D2" w:rsidRDefault="00530BA8" w:rsidP="00530BA8">
            <w:pPr>
              <w:spacing w:before="20" w:after="20"/>
              <w:rPr>
                <w:sz w:val="18"/>
                <w:szCs w:val="18"/>
                <w:lang w:eastAsia="en-AU"/>
              </w:rPr>
            </w:pPr>
          </w:p>
        </w:tc>
        <w:tc>
          <w:tcPr>
            <w:tcW w:w="4820" w:type="dxa"/>
          </w:tcPr>
          <w:p w14:paraId="2A28929F" w14:textId="77777777" w:rsidR="00530BA8" w:rsidRPr="008329D2" w:rsidRDefault="00530BA8" w:rsidP="00530BA8">
            <w:pPr>
              <w:spacing w:before="20" w:after="20"/>
              <w:rPr>
                <w:sz w:val="18"/>
                <w:szCs w:val="18"/>
                <w:lang w:eastAsia="en-AU"/>
              </w:rPr>
            </w:pPr>
          </w:p>
        </w:tc>
      </w:tr>
      <w:tr w:rsidR="00530BA8" w:rsidRPr="002915C2" w14:paraId="508F8492" w14:textId="77777777" w:rsidTr="00530BA8">
        <w:trPr>
          <w:trHeight w:val="207"/>
        </w:trPr>
        <w:tc>
          <w:tcPr>
            <w:tcW w:w="822" w:type="dxa"/>
          </w:tcPr>
          <w:p w14:paraId="62ACF8EE" w14:textId="77777777" w:rsidR="00530BA8" w:rsidRPr="008329D2" w:rsidRDefault="00530BA8" w:rsidP="00530BA8">
            <w:pPr>
              <w:spacing w:before="20" w:after="20"/>
              <w:rPr>
                <w:sz w:val="18"/>
                <w:szCs w:val="18"/>
                <w:lang w:eastAsia="en-AU"/>
              </w:rPr>
            </w:pPr>
            <w:r w:rsidRPr="008329D2">
              <w:rPr>
                <w:sz w:val="18"/>
                <w:szCs w:val="18"/>
                <w:lang w:eastAsia="en-AU"/>
              </w:rPr>
              <w:t>6/2/13</w:t>
            </w:r>
          </w:p>
        </w:tc>
        <w:tc>
          <w:tcPr>
            <w:tcW w:w="1984" w:type="dxa"/>
          </w:tcPr>
          <w:p w14:paraId="20D6A37F" w14:textId="77777777" w:rsidR="00530BA8" w:rsidRPr="008329D2" w:rsidRDefault="00530BA8" w:rsidP="00530BA8">
            <w:pPr>
              <w:spacing w:before="20" w:after="20"/>
              <w:rPr>
                <w:sz w:val="18"/>
                <w:szCs w:val="18"/>
                <w:lang w:eastAsia="en-AU"/>
              </w:rPr>
            </w:pPr>
            <w:r w:rsidRPr="008329D2">
              <w:rPr>
                <w:sz w:val="18"/>
                <w:szCs w:val="18"/>
                <w:lang w:eastAsia="en-AU"/>
              </w:rPr>
              <w:t>Michael Mugliston</w:t>
            </w:r>
          </w:p>
        </w:tc>
        <w:tc>
          <w:tcPr>
            <w:tcW w:w="1276" w:type="dxa"/>
          </w:tcPr>
          <w:p w14:paraId="654AFB3A" w14:textId="77777777" w:rsidR="00530BA8" w:rsidRPr="008329D2" w:rsidRDefault="00530BA8" w:rsidP="00530BA8">
            <w:pPr>
              <w:spacing w:before="20" w:after="20"/>
              <w:rPr>
                <w:sz w:val="18"/>
                <w:szCs w:val="18"/>
                <w:lang w:eastAsia="en-AU"/>
              </w:rPr>
            </w:pPr>
            <w:r w:rsidRPr="008329D2">
              <w:rPr>
                <w:sz w:val="18"/>
                <w:szCs w:val="18"/>
                <w:lang w:eastAsia="en-AU"/>
              </w:rPr>
              <w:t>DFAT</w:t>
            </w:r>
          </w:p>
        </w:tc>
        <w:tc>
          <w:tcPr>
            <w:tcW w:w="4820" w:type="dxa"/>
          </w:tcPr>
          <w:p w14:paraId="0894D3D7" w14:textId="77777777" w:rsidR="00530BA8" w:rsidRPr="008329D2" w:rsidRDefault="00530BA8" w:rsidP="00530BA8">
            <w:pPr>
              <w:spacing w:before="20" w:after="20"/>
              <w:rPr>
                <w:sz w:val="18"/>
                <w:szCs w:val="18"/>
                <w:lang w:eastAsia="en-AU"/>
              </w:rPr>
            </w:pPr>
            <w:r w:rsidRPr="008329D2">
              <w:rPr>
                <w:sz w:val="18"/>
                <w:szCs w:val="18"/>
                <w:lang w:eastAsia="en-AU"/>
              </w:rPr>
              <w:t>Special Negotiator</w:t>
            </w:r>
          </w:p>
        </w:tc>
      </w:tr>
      <w:tr w:rsidR="00530BA8" w:rsidRPr="002915C2" w14:paraId="757F3570" w14:textId="77777777" w:rsidTr="00530BA8">
        <w:trPr>
          <w:trHeight w:val="207"/>
        </w:trPr>
        <w:tc>
          <w:tcPr>
            <w:tcW w:w="822" w:type="dxa"/>
          </w:tcPr>
          <w:p w14:paraId="2CDDA7FC" w14:textId="77777777" w:rsidR="00530BA8" w:rsidRPr="008329D2" w:rsidRDefault="00530BA8" w:rsidP="00530BA8">
            <w:pPr>
              <w:spacing w:before="20" w:after="20"/>
              <w:rPr>
                <w:sz w:val="18"/>
                <w:szCs w:val="18"/>
                <w:lang w:eastAsia="en-AU"/>
              </w:rPr>
            </w:pPr>
          </w:p>
        </w:tc>
        <w:tc>
          <w:tcPr>
            <w:tcW w:w="1984" w:type="dxa"/>
          </w:tcPr>
          <w:p w14:paraId="4E824B4F" w14:textId="77777777" w:rsidR="00530BA8" w:rsidRPr="008329D2" w:rsidRDefault="00530BA8" w:rsidP="00530BA8">
            <w:pPr>
              <w:spacing w:before="20" w:after="20"/>
              <w:rPr>
                <w:sz w:val="18"/>
                <w:szCs w:val="18"/>
                <w:lang w:eastAsia="en-AU"/>
              </w:rPr>
            </w:pPr>
            <w:r w:rsidRPr="008329D2">
              <w:rPr>
                <w:sz w:val="18"/>
                <w:szCs w:val="18"/>
                <w:lang w:eastAsia="en-AU"/>
              </w:rPr>
              <w:t>Claire Birgin</w:t>
            </w:r>
          </w:p>
        </w:tc>
        <w:tc>
          <w:tcPr>
            <w:tcW w:w="1276" w:type="dxa"/>
          </w:tcPr>
          <w:p w14:paraId="778FEA97" w14:textId="77777777" w:rsidR="00530BA8" w:rsidRPr="008329D2" w:rsidRDefault="00530BA8" w:rsidP="00530BA8">
            <w:pPr>
              <w:spacing w:before="20" w:after="20"/>
              <w:rPr>
                <w:sz w:val="18"/>
                <w:szCs w:val="18"/>
                <w:lang w:eastAsia="en-AU"/>
              </w:rPr>
            </w:pPr>
            <w:r w:rsidRPr="008329D2">
              <w:rPr>
                <w:sz w:val="18"/>
                <w:szCs w:val="18"/>
                <w:lang w:eastAsia="en-AU"/>
              </w:rPr>
              <w:t>DFAT</w:t>
            </w:r>
          </w:p>
        </w:tc>
        <w:tc>
          <w:tcPr>
            <w:tcW w:w="4820" w:type="dxa"/>
          </w:tcPr>
          <w:p w14:paraId="67279B57" w14:textId="77777777" w:rsidR="00530BA8" w:rsidRPr="008329D2" w:rsidRDefault="00530BA8" w:rsidP="00530BA8">
            <w:pPr>
              <w:spacing w:before="20" w:after="20"/>
              <w:rPr>
                <w:sz w:val="18"/>
                <w:szCs w:val="18"/>
                <w:lang w:eastAsia="en-AU"/>
              </w:rPr>
            </w:pPr>
            <w:r w:rsidRPr="008329D2">
              <w:rPr>
                <w:sz w:val="18"/>
                <w:szCs w:val="18"/>
                <w:lang w:eastAsia="en-AU"/>
              </w:rPr>
              <w:t>Director, SE Asia, Investment &amp; Services Branch</w:t>
            </w:r>
          </w:p>
        </w:tc>
      </w:tr>
      <w:tr w:rsidR="00530BA8" w:rsidRPr="002915C2" w14:paraId="1F387549" w14:textId="77777777" w:rsidTr="00530BA8">
        <w:trPr>
          <w:trHeight w:val="207"/>
        </w:trPr>
        <w:tc>
          <w:tcPr>
            <w:tcW w:w="822" w:type="dxa"/>
          </w:tcPr>
          <w:p w14:paraId="2C320BEA" w14:textId="77777777" w:rsidR="00530BA8" w:rsidRPr="008329D2" w:rsidRDefault="00530BA8" w:rsidP="00530BA8">
            <w:pPr>
              <w:spacing w:before="20" w:after="20"/>
              <w:rPr>
                <w:sz w:val="18"/>
                <w:szCs w:val="18"/>
                <w:lang w:eastAsia="en-AU"/>
              </w:rPr>
            </w:pPr>
          </w:p>
        </w:tc>
        <w:tc>
          <w:tcPr>
            <w:tcW w:w="1984" w:type="dxa"/>
          </w:tcPr>
          <w:p w14:paraId="16FFDE29" w14:textId="77777777" w:rsidR="00530BA8" w:rsidRPr="008329D2" w:rsidRDefault="00530BA8" w:rsidP="00530BA8">
            <w:pPr>
              <w:spacing w:before="20" w:after="20"/>
              <w:rPr>
                <w:sz w:val="18"/>
                <w:szCs w:val="18"/>
                <w:lang w:eastAsia="en-AU"/>
              </w:rPr>
            </w:pPr>
            <w:r w:rsidRPr="008329D2">
              <w:rPr>
                <w:sz w:val="18"/>
                <w:szCs w:val="18"/>
                <w:lang w:eastAsia="en-AU"/>
              </w:rPr>
              <w:t>Milton Churche</w:t>
            </w:r>
          </w:p>
        </w:tc>
        <w:tc>
          <w:tcPr>
            <w:tcW w:w="1276" w:type="dxa"/>
          </w:tcPr>
          <w:p w14:paraId="70FA8FAD" w14:textId="77777777" w:rsidR="00530BA8" w:rsidRPr="008329D2" w:rsidRDefault="00530BA8" w:rsidP="00530BA8">
            <w:pPr>
              <w:spacing w:before="20" w:after="20"/>
              <w:rPr>
                <w:sz w:val="18"/>
                <w:szCs w:val="18"/>
                <w:lang w:eastAsia="en-AU"/>
              </w:rPr>
            </w:pPr>
            <w:r w:rsidRPr="008329D2">
              <w:rPr>
                <w:sz w:val="18"/>
                <w:szCs w:val="18"/>
                <w:lang w:eastAsia="en-AU"/>
              </w:rPr>
              <w:t>DFAT</w:t>
            </w:r>
          </w:p>
        </w:tc>
        <w:tc>
          <w:tcPr>
            <w:tcW w:w="4820" w:type="dxa"/>
          </w:tcPr>
          <w:p w14:paraId="5766D64F" w14:textId="77777777" w:rsidR="00530BA8" w:rsidRPr="008329D2" w:rsidRDefault="00530BA8" w:rsidP="00530BA8">
            <w:pPr>
              <w:spacing w:before="20" w:after="20"/>
              <w:rPr>
                <w:sz w:val="18"/>
                <w:szCs w:val="18"/>
                <w:lang w:eastAsia="en-AU"/>
              </w:rPr>
            </w:pPr>
            <w:r w:rsidRPr="008329D2">
              <w:rPr>
                <w:sz w:val="18"/>
                <w:szCs w:val="18"/>
                <w:lang w:eastAsia="en-AU"/>
              </w:rPr>
              <w:t>SE Asia Goods Branch</w:t>
            </w:r>
          </w:p>
        </w:tc>
      </w:tr>
      <w:tr w:rsidR="00530BA8" w:rsidRPr="002915C2" w14:paraId="558CE815" w14:textId="77777777" w:rsidTr="00530BA8">
        <w:trPr>
          <w:trHeight w:val="207"/>
        </w:trPr>
        <w:tc>
          <w:tcPr>
            <w:tcW w:w="822" w:type="dxa"/>
          </w:tcPr>
          <w:p w14:paraId="53F82A2A" w14:textId="77777777" w:rsidR="00530BA8" w:rsidRPr="008329D2" w:rsidRDefault="00530BA8" w:rsidP="00530BA8">
            <w:pPr>
              <w:spacing w:before="20" w:after="20"/>
              <w:rPr>
                <w:sz w:val="18"/>
                <w:szCs w:val="18"/>
                <w:lang w:eastAsia="en-AU"/>
              </w:rPr>
            </w:pPr>
          </w:p>
        </w:tc>
        <w:tc>
          <w:tcPr>
            <w:tcW w:w="1984" w:type="dxa"/>
          </w:tcPr>
          <w:p w14:paraId="72767362" w14:textId="77777777" w:rsidR="00530BA8" w:rsidRPr="008329D2" w:rsidRDefault="00530BA8" w:rsidP="00530BA8">
            <w:pPr>
              <w:spacing w:before="20" w:after="20"/>
              <w:rPr>
                <w:sz w:val="18"/>
                <w:szCs w:val="18"/>
                <w:lang w:eastAsia="en-AU"/>
              </w:rPr>
            </w:pPr>
            <w:r w:rsidRPr="008329D2">
              <w:rPr>
                <w:sz w:val="18"/>
                <w:szCs w:val="18"/>
                <w:lang w:eastAsia="en-AU"/>
              </w:rPr>
              <w:t>Louise Hingee,</w:t>
            </w:r>
          </w:p>
        </w:tc>
        <w:tc>
          <w:tcPr>
            <w:tcW w:w="1276" w:type="dxa"/>
          </w:tcPr>
          <w:p w14:paraId="4535668B" w14:textId="77777777" w:rsidR="00530BA8" w:rsidRPr="008329D2" w:rsidRDefault="00530BA8" w:rsidP="00530BA8">
            <w:pPr>
              <w:spacing w:before="20" w:after="20"/>
              <w:rPr>
                <w:sz w:val="18"/>
                <w:szCs w:val="18"/>
                <w:lang w:eastAsia="en-AU"/>
              </w:rPr>
            </w:pPr>
            <w:r w:rsidRPr="008329D2">
              <w:rPr>
                <w:sz w:val="18"/>
                <w:szCs w:val="18"/>
                <w:lang w:eastAsia="en-AU"/>
              </w:rPr>
              <w:t>DFAT</w:t>
            </w:r>
          </w:p>
        </w:tc>
        <w:tc>
          <w:tcPr>
            <w:tcW w:w="4820" w:type="dxa"/>
          </w:tcPr>
          <w:p w14:paraId="2CABCAB9" w14:textId="77777777" w:rsidR="00530BA8" w:rsidRPr="008329D2" w:rsidRDefault="00530BA8" w:rsidP="00530BA8">
            <w:pPr>
              <w:spacing w:before="20" w:after="20"/>
              <w:rPr>
                <w:sz w:val="18"/>
                <w:szCs w:val="18"/>
                <w:lang w:eastAsia="en-AU"/>
              </w:rPr>
            </w:pPr>
            <w:r w:rsidRPr="008329D2">
              <w:rPr>
                <w:sz w:val="18"/>
                <w:szCs w:val="18"/>
                <w:lang w:eastAsia="en-AU"/>
              </w:rPr>
              <w:t>Executive Officer, Goods and Government Procurement</w:t>
            </w:r>
          </w:p>
        </w:tc>
      </w:tr>
      <w:tr w:rsidR="00530BA8" w:rsidRPr="002915C2" w14:paraId="41DC6A73" w14:textId="77777777" w:rsidTr="00530BA8">
        <w:trPr>
          <w:trHeight w:val="207"/>
        </w:trPr>
        <w:tc>
          <w:tcPr>
            <w:tcW w:w="822" w:type="dxa"/>
          </w:tcPr>
          <w:p w14:paraId="19B05568" w14:textId="77777777" w:rsidR="00530BA8" w:rsidRPr="008329D2" w:rsidRDefault="00530BA8" w:rsidP="00530BA8">
            <w:pPr>
              <w:spacing w:before="20" w:after="20"/>
              <w:rPr>
                <w:sz w:val="18"/>
                <w:szCs w:val="18"/>
                <w:lang w:eastAsia="en-AU"/>
              </w:rPr>
            </w:pPr>
          </w:p>
        </w:tc>
        <w:tc>
          <w:tcPr>
            <w:tcW w:w="1984" w:type="dxa"/>
          </w:tcPr>
          <w:p w14:paraId="1CC94037" w14:textId="77777777" w:rsidR="00530BA8" w:rsidRPr="008329D2" w:rsidRDefault="00530BA8" w:rsidP="00530BA8">
            <w:pPr>
              <w:spacing w:before="20" w:after="20"/>
              <w:rPr>
                <w:sz w:val="18"/>
                <w:szCs w:val="18"/>
                <w:lang w:eastAsia="en-AU"/>
              </w:rPr>
            </w:pPr>
            <w:r w:rsidRPr="008329D2">
              <w:rPr>
                <w:sz w:val="18"/>
                <w:szCs w:val="18"/>
                <w:lang w:eastAsia="en-AU"/>
              </w:rPr>
              <w:t>Carol Robertson</w:t>
            </w:r>
          </w:p>
        </w:tc>
        <w:tc>
          <w:tcPr>
            <w:tcW w:w="1276" w:type="dxa"/>
          </w:tcPr>
          <w:p w14:paraId="6FB131C1" w14:textId="77777777" w:rsidR="00530BA8" w:rsidRPr="008329D2" w:rsidRDefault="00530BA8" w:rsidP="00530BA8">
            <w:pPr>
              <w:spacing w:before="20" w:after="20"/>
              <w:rPr>
                <w:sz w:val="18"/>
                <w:szCs w:val="18"/>
                <w:lang w:eastAsia="en-AU"/>
              </w:rPr>
            </w:pPr>
            <w:r w:rsidRPr="008329D2">
              <w:rPr>
                <w:sz w:val="18"/>
                <w:szCs w:val="18"/>
                <w:lang w:eastAsia="en-AU"/>
              </w:rPr>
              <w:t>DFAT</w:t>
            </w:r>
          </w:p>
        </w:tc>
        <w:tc>
          <w:tcPr>
            <w:tcW w:w="4820" w:type="dxa"/>
          </w:tcPr>
          <w:p w14:paraId="7BCEA6A8" w14:textId="77777777" w:rsidR="00530BA8" w:rsidRPr="008329D2" w:rsidRDefault="00530BA8" w:rsidP="00530BA8">
            <w:pPr>
              <w:spacing w:before="20" w:after="20"/>
              <w:rPr>
                <w:sz w:val="18"/>
                <w:szCs w:val="18"/>
                <w:lang w:eastAsia="en-AU"/>
              </w:rPr>
            </w:pPr>
            <w:r w:rsidRPr="008329D2">
              <w:rPr>
                <w:sz w:val="18"/>
                <w:szCs w:val="18"/>
                <w:lang w:eastAsia="en-AU"/>
              </w:rPr>
              <w:t>Divisional Coordinator</w:t>
            </w:r>
          </w:p>
        </w:tc>
      </w:tr>
      <w:tr w:rsidR="00530BA8" w:rsidRPr="002915C2" w14:paraId="6CEB47BF" w14:textId="77777777" w:rsidTr="00530BA8">
        <w:trPr>
          <w:trHeight w:val="207"/>
        </w:trPr>
        <w:tc>
          <w:tcPr>
            <w:tcW w:w="822" w:type="dxa"/>
          </w:tcPr>
          <w:p w14:paraId="3FEC9B83" w14:textId="77777777" w:rsidR="00530BA8" w:rsidRPr="008329D2" w:rsidRDefault="00530BA8" w:rsidP="00530BA8">
            <w:pPr>
              <w:spacing w:before="20" w:after="20"/>
              <w:rPr>
                <w:sz w:val="18"/>
                <w:szCs w:val="18"/>
                <w:lang w:eastAsia="en-AU"/>
              </w:rPr>
            </w:pPr>
          </w:p>
        </w:tc>
        <w:tc>
          <w:tcPr>
            <w:tcW w:w="1984" w:type="dxa"/>
          </w:tcPr>
          <w:p w14:paraId="7316D358" w14:textId="77777777" w:rsidR="00530BA8" w:rsidRPr="008329D2" w:rsidRDefault="00530BA8" w:rsidP="00530BA8">
            <w:pPr>
              <w:spacing w:before="20" w:after="20"/>
              <w:rPr>
                <w:sz w:val="18"/>
                <w:szCs w:val="18"/>
                <w:lang w:eastAsia="en-AU"/>
              </w:rPr>
            </w:pPr>
            <w:r w:rsidRPr="008329D2">
              <w:rPr>
                <w:sz w:val="18"/>
                <w:szCs w:val="18"/>
                <w:lang w:eastAsia="en-AU"/>
              </w:rPr>
              <w:t>David Earl</w:t>
            </w:r>
          </w:p>
        </w:tc>
        <w:tc>
          <w:tcPr>
            <w:tcW w:w="1276" w:type="dxa"/>
          </w:tcPr>
          <w:p w14:paraId="4DB6C03E" w14:textId="77777777" w:rsidR="00530BA8" w:rsidRPr="008329D2" w:rsidRDefault="00530BA8" w:rsidP="00530BA8">
            <w:pPr>
              <w:spacing w:before="20" w:after="20"/>
              <w:rPr>
                <w:sz w:val="18"/>
                <w:szCs w:val="18"/>
                <w:lang w:eastAsia="en-AU"/>
              </w:rPr>
            </w:pPr>
            <w:r w:rsidRPr="008329D2">
              <w:rPr>
                <w:sz w:val="18"/>
                <w:szCs w:val="18"/>
                <w:lang w:eastAsia="en-AU"/>
              </w:rPr>
              <w:t>Treasury</w:t>
            </w:r>
          </w:p>
        </w:tc>
        <w:tc>
          <w:tcPr>
            <w:tcW w:w="4820" w:type="dxa"/>
          </w:tcPr>
          <w:p w14:paraId="76F9EC4D" w14:textId="77777777" w:rsidR="00530BA8" w:rsidRPr="008329D2" w:rsidRDefault="00530BA8" w:rsidP="00530BA8">
            <w:pPr>
              <w:spacing w:before="20" w:after="20"/>
              <w:rPr>
                <w:sz w:val="18"/>
                <w:szCs w:val="18"/>
                <w:lang w:eastAsia="en-AU"/>
              </w:rPr>
            </w:pPr>
            <w:r w:rsidRPr="008329D2">
              <w:rPr>
                <w:sz w:val="18"/>
                <w:szCs w:val="18"/>
                <w:lang w:eastAsia="en-AU"/>
              </w:rPr>
              <w:t>Foreign Investment and Trade Policy</w:t>
            </w:r>
          </w:p>
        </w:tc>
      </w:tr>
      <w:tr w:rsidR="00530BA8" w:rsidRPr="002915C2" w14:paraId="0DFAC5FB" w14:textId="77777777" w:rsidTr="00530BA8">
        <w:trPr>
          <w:trHeight w:val="207"/>
        </w:trPr>
        <w:tc>
          <w:tcPr>
            <w:tcW w:w="822" w:type="dxa"/>
          </w:tcPr>
          <w:p w14:paraId="192C5B4E" w14:textId="77777777" w:rsidR="00530BA8" w:rsidRPr="008329D2" w:rsidRDefault="00530BA8" w:rsidP="00530BA8">
            <w:pPr>
              <w:spacing w:before="20" w:after="20"/>
              <w:rPr>
                <w:sz w:val="18"/>
                <w:szCs w:val="18"/>
                <w:lang w:eastAsia="en-AU"/>
              </w:rPr>
            </w:pPr>
          </w:p>
        </w:tc>
        <w:tc>
          <w:tcPr>
            <w:tcW w:w="1984" w:type="dxa"/>
          </w:tcPr>
          <w:p w14:paraId="55B78EFC" w14:textId="77777777" w:rsidR="00530BA8" w:rsidRPr="008329D2" w:rsidRDefault="00530BA8" w:rsidP="00530BA8">
            <w:pPr>
              <w:spacing w:before="20" w:after="20"/>
              <w:rPr>
                <w:sz w:val="18"/>
                <w:szCs w:val="18"/>
                <w:lang w:eastAsia="en-AU"/>
              </w:rPr>
            </w:pPr>
            <w:r w:rsidRPr="008329D2">
              <w:rPr>
                <w:sz w:val="18"/>
                <w:szCs w:val="18"/>
                <w:lang w:eastAsia="en-AU"/>
              </w:rPr>
              <w:t>John Kitchen</w:t>
            </w:r>
          </w:p>
        </w:tc>
        <w:tc>
          <w:tcPr>
            <w:tcW w:w="1276" w:type="dxa"/>
          </w:tcPr>
          <w:p w14:paraId="7DF5369B" w14:textId="77777777" w:rsidR="00530BA8" w:rsidRPr="008329D2" w:rsidRDefault="00530BA8" w:rsidP="00530BA8">
            <w:pPr>
              <w:spacing w:before="20" w:after="20"/>
              <w:rPr>
                <w:sz w:val="18"/>
                <w:szCs w:val="18"/>
                <w:lang w:eastAsia="en-AU"/>
              </w:rPr>
            </w:pPr>
            <w:r w:rsidRPr="008329D2">
              <w:rPr>
                <w:sz w:val="18"/>
                <w:szCs w:val="18"/>
                <w:lang w:eastAsia="en-AU"/>
              </w:rPr>
              <w:t>Treasury</w:t>
            </w:r>
          </w:p>
        </w:tc>
        <w:tc>
          <w:tcPr>
            <w:tcW w:w="4820" w:type="dxa"/>
          </w:tcPr>
          <w:p w14:paraId="433CC913" w14:textId="77777777" w:rsidR="00530BA8" w:rsidRPr="008329D2" w:rsidRDefault="00530BA8" w:rsidP="00530BA8">
            <w:pPr>
              <w:spacing w:before="20" w:after="20"/>
              <w:rPr>
                <w:sz w:val="18"/>
                <w:szCs w:val="18"/>
                <w:lang w:eastAsia="en-AU"/>
              </w:rPr>
            </w:pPr>
            <w:r w:rsidRPr="008329D2">
              <w:rPr>
                <w:sz w:val="18"/>
                <w:szCs w:val="18"/>
                <w:lang w:eastAsia="en-AU"/>
              </w:rPr>
              <w:t>Foreign Investment and Trade Policy</w:t>
            </w:r>
          </w:p>
        </w:tc>
      </w:tr>
      <w:tr w:rsidR="00530BA8" w:rsidRPr="002915C2" w14:paraId="4A714020" w14:textId="77777777" w:rsidTr="00530BA8">
        <w:trPr>
          <w:trHeight w:val="207"/>
        </w:trPr>
        <w:tc>
          <w:tcPr>
            <w:tcW w:w="822" w:type="dxa"/>
          </w:tcPr>
          <w:p w14:paraId="6889ED1F" w14:textId="77777777" w:rsidR="00530BA8" w:rsidRPr="008329D2" w:rsidRDefault="00530BA8" w:rsidP="00530BA8">
            <w:pPr>
              <w:spacing w:before="20" w:after="20"/>
              <w:rPr>
                <w:sz w:val="18"/>
                <w:szCs w:val="18"/>
                <w:lang w:eastAsia="en-AU"/>
              </w:rPr>
            </w:pPr>
          </w:p>
        </w:tc>
        <w:tc>
          <w:tcPr>
            <w:tcW w:w="1984" w:type="dxa"/>
          </w:tcPr>
          <w:p w14:paraId="0E5AAE48" w14:textId="77777777" w:rsidR="00530BA8" w:rsidRPr="008329D2" w:rsidRDefault="00530BA8" w:rsidP="00530BA8">
            <w:pPr>
              <w:spacing w:before="20" w:after="20"/>
              <w:rPr>
                <w:sz w:val="18"/>
                <w:szCs w:val="18"/>
                <w:lang w:eastAsia="en-AU"/>
              </w:rPr>
            </w:pPr>
            <w:r w:rsidRPr="008329D2">
              <w:rPr>
                <w:sz w:val="18"/>
                <w:szCs w:val="18"/>
                <w:lang w:eastAsia="en-AU"/>
              </w:rPr>
              <w:t>Tim Lear</w:t>
            </w:r>
          </w:p>
        </w:tc>
        <w:tc>
          <w:tcPr>
            <w:tcW w:w="1276" w:type="dxa"/>
          </w:tcPr>
          <w:p w14:paraId="47DCC8D6" w14:textId="48494FC3" w:rsidR="00530BA8" w:rsidRPr="008329D2" w:rsidRDefault="00E72629" w:rsidP="000F345D">
            <w:pPr>
              <w:spacing w:before="20" w:after="20"/>
              <w:rPr>
                <w:sz w:val="18"/>
                <w:szCs w:val="18"/>
                <w:lang w:eastAsia="en-AU"/>
              </w:rPr>
            </w:pPr>
            <w:r w:rsidRPr="008329D2">
              <w:rPr>
                <w:sz w:val="18"/>
                <w:szCs w:val="18"/>
                <w:lang w:eastAsia="en-AU"/>
              </w:rPr>
              <w:t>A</w:t>
            </w:r>
            <w:r w:rsidRPr="00E72629">
              <w:rPr>
                <w:sz w:val="18"/>
                <w:szCs w:val="18"/>
                <w:lang w:eastAsia="en-AU"/>
              </w:rPr>
              <w:t>C</w:t>
            </w:r>
            <w:r>
              <w:rPr>
                <w:sz w:val="18"/>
                <w:szCs w:val="18"/>
                <w:lang w:eastAsia="en-AU"/>
              </w:rPr>
              <w:t>C</w:t>
            </w:r>
            <w:r w:rsidR="000F345D">
              <w:rPr>
                <w:sz w:val="18"/>
                <w:szCs w:val="18"/>
                <w:lang w:eastAsia="en-AU"/>
              </w:rPr>
              <w:t>C</w:t>
            </w:r>
            <w:r>
              <w:rPr>
                <w:sz w:val="18"/>
                <w:szCs w:val="18"/>
                <w:lang w:eastAsia="en-AU"/>
              </w:rPr>
              <w:t xml:space="preserve"> </w:t>
            </w:r>
          </w:p>
        </w:tc>
        <w:tc>
          <w:tcPr>
            <w:tcW w:w="4820" w:type="dxa"/>
          </w:tcPr>
          <w:p w14:paraId="7C119AEC" w14:textId="77777777" w:rsidR="00530BA8" w:rsidRPr="008329D2" w:rsidRDefault="00530BA8" w:rsidP="00530BA8">
            <w:pPr>
              <w:spacing w:before="20" w:after="20"/>
              <w:rPr>
                <w:sz w:val="18"/>
                <w:szCs w:val="18"/>
                <w:lang w:eastAsia="en-AU"/>
              </w:rPr>
            </w:pPr>
            <w:r w:rsidRPr="008329D2">
              <w:rPr>
                <w:sz w:val="18"/>
                <w:szCs w:val="18"/>
                <w:lang w:eastAsia="en-AU"/>
              </w:rPr>
              <w:t>International Unit, Intelligence, Infocentre &amp; Policy Liaison</w:t>
            </w:r>
          </w:p>
        </w:tc>
      </w:tr>
      <w:tr w:rsidR="00530BA8" w:rsidRPr="002915C2" w14:paraId="745AE4B6" w14:textId="77777777" w:rsidTr="00530BA8">
        <w:trPr>
          <w:trHeight w:val="207"/>
        </w:trPr>
        <w:tc>
          <w:tcPr>
            <w:tcW w:w="822" w:type="dxa"/>
          </w:tcPr>
          <w:p w14:paraId="75B5F725" w14:textId="77777777" w:rsidR="00530BA8" w:rsidRPr="008329D2" w:rsidRDefault="00530BA8" w:rsidP="00530BA8">
            <w:pPr>
              <w:spacing w:before="20" w:after="20"/>
              <w:rPr>
                <w:sz w:val="18"/>
                <w:szCs w:val="18"/>
                <w:lang w:eastAsia="en-AU"/>
              </w:rPr>
            </w:pPr>
          </w:p>
        </w:tc>
        <w:tc>
          <w:tcPr>
            <w:tcW w:w="1984" w:type="dxa"/>
          </w:tcPr>
          <w:p w14:paraId="60D73961" w14:textId="77777777" w:rsidR="00530BA8" w:rsidRPr="008329D2" w:rsidRDefault="00530BA8" w:rsidP="00530BA8">
            <w:pPr>
              <w:spacing w:before="20" w:after="20"/>
              <w:rPr>
                <w:sz w:val="18"/>
                <w:szCs w:val="18"/>
                <w:lang w:eastAsia="en-AU"/>
              </w:rPr>
            </w:pPr>
            <w:r w:rsidRPr="008329D2">
              <w:rPr>
                <w:sz w:val="18"/>
                <w:szCs w:val="18"/>
                <w:lang w:eastAsia="en-AU"/>
              </w:rPr>
              <w:t>Rose Webb</w:t>
            </w:r>
          </w:p>
        </w:tc>
        <w:tc>
          <w:tcPr>
            <w:tcW w:w="1276" w:type="dxa"/>
          </w:tcPr>
          <w:p w14:paraId="3BC130A8" w14:textId="77777777" w:rsidR="00530BA8" w:rsidRPr="008329D2" w:rsidRDefault="00530BA8" w:rsidP="00530BA8">
            <w:pPr>
              <w:spacing w:before="20" w:after="20"/>
              <w:rPr>
                <w:sz w:val="18"/>
                <w:szCs w:val="18"/>
                <w:lang w:eastAsia="en-AU"/>
              </w:rPr>
            </w:pPr>
            <w:r w:rsidRPr="008329D2">
              <w:rPr>
                <w:sz w:val="18"/>
                <w:szCs w:val="18"/>
                <w:lang w:eastAsia="en-AU"/>
              </w:rPr>
              <w:t>ACCC</w:t>
            </w:r>
          </w:p>
        </w:tc>
        <w:tc>
          <w:tcPr>
            <w:tcW w:w="4820" w:type="dxa"/>
          </w:tcPr>
          <w:p w14:paraId="7D745E84" w14:textId="77777777" w:rsidR="00530BA8" w:rsidRPr="008329D2" w:rsidRDefault="00530BA8" w:rsidP="00530BA8">
            <w:pPr>
              <w:spacing w:before="20" w:after="20"/>
              <w:rPr>
                <w:sz w:val="18"/>
                <w:szCs w:val="18"/>
                <w:lang w:eastAsia="en-AU"/>
              </w:rPr>
            </w:pPr>
            <w:r w:rsidRPr="008329D2">
              <w:rPr>
                <w:sz w:val="18"/>
                <w:szCs w:val="18"/>
                <w:lang w:eastAsia="en-AU"/>
              </w:rPr>
              <w:t>Executive General Manager, Mergers &amp; Acquisition</w:t>
            </w:r>
          </w:p>
        </w:tc>
      </w:tr>
      <w:tr w:rsidR="00530BA8" w:rsidRPr="002915C2" w14:paraId="4B380965" w14:textId="77777777" w:rsidTr="00530BA8">
        <w:trPr>
          <w:trHeight w:val="207"/>
        </w:trPr>
        <w:tc>
          <w:tcPr>
            <w:tcW w:w="822" w:type="dxa"/>
          </w:tcPr>
          <w:p w14:paraId="5E051692" w14:textId="77777777" w:rsidR="00530BA8" w:rsidRPr="008329D2" w:rsidRDefault="00530BA8" w:rsidP="00530BA8">
            <w:pPr>
              <w:spacing w:before="20" w:after="20"/>
              <w:rPr>
                <w:sz w:val="18"/>
                <w:szCs w:val="18"/>
                <w:lang w:eastAsia="en-AU"/>
              </w:rPr>
            </w:pPr>
          </w:p>
        </w:tc>
        <w:tc>
          <w:tcPr>
            <w:tcW w:w="1984" w:type="dxa"/>
          </w:tcPr>
          <w:p w14:paraId="043FD402" w14:textId="77777777" w:rsidR="00530BA8" w:rsidRPr="008329D2" w:rsidRDefault="00530BA8" w:rsidP="00530BA8">
            <w:pPr>
              <w:spacing w:before="20" w:after="20"/>
              <w:rPr>
                <w:sz w:val="18"/>
                <w:szCs w:val="18"/>
                <w:lang w:eastAsia="en-AU"/>
              </w:rPr>
            </w:pPr>
            <w:r w:rsidRPr="008329D2">
              <w:rPr>
                <w:sz w:val="18"/>
                <w:szCs w:val="18"/>
                <w:lang w:eastAsia="en-AU"/>
              </w:rPr>
              <w:t>Dr Ian Naumann</w:t>
            </w:r>
          </w:p>
        </w:tc>
        <w:tc>
          <w:tcPr>
            <w:tcW w:w="1276" w:type="dxa"/>
          </w:tcPr>
          <w:p w14:paraId="1FB4F299" w14:textId="77777777" w:rsidR="00530BA8" w:rsidRPr="008329D2" w:rsidRDefault="00530BA8" w:rsidP="00530BA8">
            <w:pPr>
              <w:spacing w:before="20" w:after="20"/>
              <w:rPr>
                <w:sz w:val="18"/>
                <w:szCs w:val="18"/>
                <w:lang w:eastAsia="en-AU"/>
              </w:rPr>
            </w:pPr>
            <w:r w:rsidRPr="008329D2">
              <w:rPr>
                <w:sz w:val="18"/>
                <w:szCs w:val="18"/>
                <w:lang w:eastAsia="en-AU"/>
              </w:rPr>
              <w:t>DAFF</w:t>
            </w:r>
          </w:p>
        </w:tc>
        <w:tc>
          <w:tcPr>
            <w:tcW w:w="4820" w:type="dxa"/>
          </w:tcPr>
          <w:p w14:paraId="7BCB8EF3" w14:textId="77777777" w:rsidR="00530BA8" w:rsidRPr="008329D2" w:rsidRDefault="00530BA8" w:rsidP="00530BA8">
            <w:pPr>
              <w:spacing w:before="20" w:after="20"/>
              <w:rPr>
                <w:sz w:val="18"/>
                <w:szCs w:val="18"/>
                <w:lang w:eastAsia="en-AU"/>
              </w:rPr>
            </w:pPr>
            <w:r w:rsidRPr="008329D2">
              <w:rPr>
                <w:sz w:val="18"/>
                <w:szCs w:val="18"/>
                <w:lang w:eastAsia="en-AU"/>
              </w:rPr>
              <w:t>Director, Office of the Chief Plant Protection Officer</w:t>
            </w:r>
          </w:p>
        </w:tc>
      </w:tr>
      <w:tr w:rsidR="00530BA8" w:rsidRPr="002915C2" w14:paraId="63F3837A" w14:textId="77777777" w:rsidTr="00530BA8">
        <w:trPr>
          <w:trHeight w:val="207"/>
        </w:trPr>
        <w:tc>
          <w:tcPr>
            <w:tcW w:w="822" w:type="dxa"/>
          </w:tcPr>
          <w:p w14:paraId="3FCD511E" w14:textId="77777777" w:rsidR="00530BA8" w:rsidRPr="008329D2" w:rsidRDefault="00530BA8" w:rsidP="00530BA8">
            <w:pPr>
              <w:spacing w:before="20" w:after="20"/>
              <w:rPr>
                <w:sz w:val="18"/>
                <w:szCs w:val="18"/>
                <w:lang w:eastAsia="en-AU"/>
              </w:rPr>
            </w:pPr>
          </w:p>
        </w:tc>
        <w:tc>
          <w:tcPr>
            <w:tcW w:w="1984" w:type="dxa"/>
          </w:tcPr>
          <w:p w14:paraId="42ADB52E" w14:textId="77777777" w:rsidR="00530BA8" w:rsidRPr="008329D2" w:rsidRDefault="00530BA8" w:rsidP="00530BA8">
            <w:pPr>
              <w:spacing w:before="20" w:after="20"/>
              <w:rPr>
                <w:sz w:val="18"/>
                <w:szCs w:val="18"/>
                <w:lang w:eastAsia="en-AU"/>
              </w:rPr>
            </w:pPr>
            <w:r w:rsidRPr="008329D2">
              <w:rPr>
                <w:sz w:val="18"/>
                <w:szCs w:val="18"/>
                <w:lang w:eastAsia="en-AU"/>
              </w:rPr>
              <w:t>Wendy Lee</w:t>
            </w:r>
          </w:p>
        </w:tc>
        <w:tc>
          <w:tcPr>
            <w:tcW w:w="1276" w:type="dxa"/>
          </w:tcPr>
          <w:p w14:paraId="1D0C71EA" w14:textId="77777777" w:rsidR="00530BA8" w:rsidRPr="008329D2" w:rsidRDefault="00530BA8" w:rsidP="00530BA8">
            <w:pPr>
              <w:spacing w:before="20" w:after="20"/>
              <w:rPr>
                <w:sz w:val="18"/>
                <w:szCs w:val="18"/>
                <w:lang w:eastAsia="en-AU"/>
              </w:rPr>
            </w:pPr>
            <w:r w:rsidRPr="008329D2">
              <w:rPr>
                <w:sz w:val="18"/>
                <w:szCs w:val="18"/>
                <w:lang w:eastAsia="en-AU"/>
              </w:rPr>
              <w:t>DAFF</w:t>
            </w:r>
          </w:p>
        </w:tc>
        <w:tc>
          <w:tcPr>
            <w:tcW w:w="4820" w:type="dxa"/>
          </w:tcPr>
          <w:p w14:paraId="017AED70" w14:textId="77777777" w:rsidR="00530BA8" w:rsidRPr="008329D2" w:rsidRDefault="00530BA8" w:rsidP="00530BA8">
            <w:pPr>
              <w:spacing w:before="20" w:after="20"/>
              <w:rPr>
                <w:sz w:val="18"/>
                <w:szCs w:val="18"/>
                <w:lang w:eastAsia="en-AU"/>
              </w:rPr>
            </w:pPr>
            <w:r w:rsidRPr="008329D2">
              <w:rPr>
                <w:sz w:val="18"/>
                <w:szCs w:val="18"/>
                <w:lang w:eastAsia="en-AU"/>
              </w:rPr>
              <w:t>Program Coordinator, SPS Capacity Building Program</w:t>
            </w:r>
          </w:p>
        </w:tc>
      </w:tr>
      <w:tr w:rsidR="00530BA8" w:rsidRPr="002915C2" w14:paraId="0E4A25FE" w14:textId="77777777" w:rsidTr="00530BA8">
        <w:trPr>
          <w:trHeight w:val="207"/>
        </w:trPr>
        <w:tc>
          <w:tcPr>
            <w:tcW w:w="822" w:type="dxa"/>
          </w:tcPr>
          <w:p w14:paraId="1007DC74" w14:textId="77777777" w:rsidR="00530BA8" w:rsidRPr="008329D2" w:rsidRDefault="00530BA8" w:rsidP="00530BA8">
            <w:pPr>
              <w:spacing w:before="20" w:after="20"/>
              <w:rPr>
                <w:sz w:val="18"/>
                <w:szCs w:val="18"/>
                <w:lang w:eastAsia="en-AU"/>
              </w:rPr>
            </w:pPr>
          </w:p>
        </w:tc>
        <w:tc>
          <w:tcPr>
            <w:tcW w:w="1984" w:type="dxa"/>
          </w:tcPr>
          <w:p w14:paraId="18A11A1F" w14:textId="77777777" w:rsidR="00530BA8" w:rsidRPr="008329D2" w:rsidRDefault="00530BA8" w:rsidP="00530BA8">
            <w:pPr>
              <w:spacing w:before="20" w:after="20"/>
              <w:rPr>
                <w:sz w:val="18"/>
                <w:szCs w:val="18"/>
                <w:lang w:eastAsia="en-AU"/>
              </w:rPr>
            </w:pPr>
            <w:r w:rsidRPr="008329D2">
              <w:rPr>
                <w:sz w:val="18"/>
                <w:szCs w:val="18"/>
                <w:lang w:eastAsia="en-AU"/>
              </w:rPr>
              <w:t>Kate Colquhuon</w:t>
            </w:r>
          </w:p>
        </w:tc>
        <w:tc>
          <w:tcPr>
            <w:tcW w:w="1276" w:type="dxa"/>
          </w:tcPr>
          <w:p w14:paraId="7773D1C7" w14:textId="77777777" w:rsidR="00530BA8" w:rsidRPr="008329D2" w:rsidRDefault="00530BA8" w:rsidP="00530BA8">
            <w:pPr>
              <w:spacing w:before="20" w:after="20"/>
              <w:rPr>
                <w:sz w:val="18"/>
                <w:szCs w:val="18"/>
                <w:lang w:eastAsia="en-AU"/>
              </w:rPr>
            </w:pPr>
            <w:r w:rsidRPr="008329D2">
              <w:rPr>
                <w:sz w:val="18"/>
                <w:szCs w:val="18"/>
                <w:lang w:eastAsia="en-AU"/>
              </w:rPr>
              <w:t>IP Australia</w:t>
            </w:r>
          </w:p>
        </w:tc>
        <w:tc>
          <w:tcPr>
            <w:tcW w:w="4820" w:type="dxa"/>
          </w:tcPr>
          <w:p w14:paraId="3143BA2D" w14:textId="77777777" w:rsidR="00530BA8" w:rsidRPr="008329D2" w:rsidRDefault="00530BA8" w:rsidP="00530BA8">
            <w:pPr>
              <w:spacing w:before="20" w:after="20"/>
              <w:rPr>
                <w:sz w:val="18"/>
                <w:szCs w:val="18"/>
                <w:lang w:eastAsia="en-AU"/>
              </w:rPr>
            </w:pPr>
            <w:r w:rsidRPr="008329D2">
              <w:rPr>
                <w:sz w:val="18"/>
                <w:szCs w:val="18"/>
                <w:lang w:eastAsia="en-AU"/>
              </w:rPr>
              <w:t>Assistant Director, International Policy and Cooperation</w:t>
            </w:r>
          </w:p>
        </w:tc>
      </w:tr>
      <w:tr w:rsidR="00530BA8" w:rsidRPr="002915C2" w14:paraId="1541A0AF" w14:textId="77777777" w:rsidTr="00530BA8">
        <w:trPr>
          <w:trHeight w:val="207"/>
        </w:trPr>
        <w:tc>
          <w:tcPr>
            <w:tcW w:w="822" w:type="dxa"/>
          </w:tcPr>
          <w:p w14:paraId="4DA04C5A" w14:textId="77777777" w:rsidR="00530BA8" w:rsidRPr="008329D2" w:rsidRDefault="00530BA8" w:rsidP="00530BA8">
            <w:pPr>
              <w:spacing w:before="20" w:after="20"/>
              <w:rPr>
                <w:sz w:val="18"/>
                <w:szCs w:val="18"/>
                <w:lang w:eastAsia="en-AU"/>
              </w:rPr>
            </w:pPr>
          </w:p>
        </w:tc>
        <w:tc>
          <w:tcPr>
            <w:tcW w:w="1984" w:type="dxa"/>
          </w:tcPr>
          <w:p w14:paraId="199DF2B0" w14:textId="77777777" w:rsidR="00530BA8" w:rsidRPr="008329D2" w:rsidRDefault="00530BA8" w:rsidP="00530BA8">
            <w:pPr>
              <w:spacing w:before="20" w:after="20"/>
              <w:rPr>
                <w:sz w:val="18"/>
                <w:szCs w:val="18"/>
                <w:lang w:eastAsia="en-AU"/>
              </w:rPr>
            </w:pPr>
            <w:r w:rsidRPr="008329D2">
              <w:rPr>
                <w:sz w:val="18"/>
                <w:szCs w:val="18"/>
                <w:lang w:eastAsia="en-AU"/>
              </w:rPr>
              <w:t>Helen Dawson</w:t>
            </w:r>
          </w:p>
        </w:tc>
        <w:tc>
          <w:tcPr>
            <w:tcW w:w="1276" w:type="dxa"/>
          </w:tcPr>
          <w:p w14:paraId="5B74032E" w14:textId="77777777" w:rsidR="00530BA8" w:rsidRPr="008329D2" w:rsidRDefault="00530BA8" w:rsidP="00530BA8">
            <w:pPr>
              <w:spacing w:before="20" w:after="20"/>
              <w:rPr>
                <w:sz w:val="18"/>
                <w:szCs w:val="18"/>
                <w:lang w:eastAsia="en-AU"/>
              </w:rPr>
            </w:pPr>
            <w:r w:rsidRPr="008329D2">
              <w:rPr>
                <w:sz w:val="18"/>
                <w:szCs w:val="18"/>
                <w:lang w:eastAsia="en-AU"/>
              </w:rPr>
              <w:t>IP Australia</w:t>
            </w:r>
          </w:p>
        </w:tc>
        <w:tc>
          <w:tcPr>
            <w:tcW w:w="4820" w:type="dxa"/>
          </w:tcPr>
          <w:p w14:paraId="0CAAF33A" w14:textId="77777777" w:rsidR="00530BA8" w:rsidRPr="008329D2" w:rsidRDefault="00530BA8" w:rsidP="00530BA8">
            <w:pPr>
              <w:spacing w:before="20" w:after="20"/>
              <w:rPr>
                <w:sz w:val="18"/>
                <w:szCs w:val="18"/>
                <w:lang w:eastAsia="en-AU"/>
              </w:rPr>
            </w:pPr>
            <w:r w:rsidRPr="008329D2">
              <w:rPr>
                <w:sz w:val="18"/>
                <w:szCs w:val="18"/>
                <w:lang w:eastAsia="en-AU"/>
              </w:rPr>
              <w:t>Assistant Director, International Policy and Cooperation</w:t>
            </w:r>
          </w:p>
        </w:tc>
      </w:tr>
      <w:tr w:rsidR="00530BA8" w:rsidRPr="002915C2" w14:paraId="685EB02E" w14:textId="77777777" w:rsidTr="00530BA8">
        <w:trPr>
          <w:trHeight w:val="207"/>
        </w:trPr>
        <w:tc>
          <w:tcPr>
            <w:tcW w:w="822" w:type="dxa"/>
          </w:tcPr>
          <w:p w14:paraId="11BE1E49" w14:textId="77777777" w:rsidR="00530BA8" w:rsidRPr="008329D2" w:rsidRDefault="00530BA8" w:rsidP="00530BA8">
            <w:pPr>
              <w:spacing w:before="20" w:after="20"/>
              <w:rPr>
                <w:sz w:val="18"/>
                <w:szCs w:val="18"/>
                <w:lang w:eastAsia="en-AU"/>
              </w:rPr>
            </w:pPr>
          </w:p>
        </w:tc>
        <w:tc>
          <w:tcPr>
            <w:tcW w:w="1984" w:type="dxa"/>
          </w:tcPr>
          <w:p w14:paraId="459C9FA6" w14:textId="77777777" w:rsidR="00530BA8" w:rsidRPr="008329D2" w:rsidRDefault="00530BA8" w:rsidP="00530BA8">
            <w:pPr>
              <w:spacing w:before="20" w:after="20"/>
              <w:rPr>
                <w:sz w:val="18"/>
                <w:szCs w:val="18"/>
                <w:lang w:eastAsia="en-AU"/>
              </w:rPr>
            </w:pPr>
            <w:r w:rsidRPr="008329D2">
              <w:rPr>
                <w:sz w:val="18"/>
                <w:szCs w:val="18"/>
                <w:lang w:eastAsia="en-AU"/>
              </w:rPr>
              <w:t>Paul Gretton</w:t>
            </w:r>
          </w:p>
        </w:tc>
        <w:tc>
          <w:tcPr>
            <w:tcW w:w="1276" w:type="dxa"/>
          </w:tcPr>
          <w:p w14:paraId="24A587EF" w14:textId="25D3304E" w:rsidR="00530BA8" w:rsidRPr="008329D2" w:rsidRDefault="00530BA8" w:rsidP="00E72629">
            <w:pPr>
              <w:spacing w:before="20" w:after="20"/>
              <w:rPr>
                <w:sz w:val="18"/>
                <w:szCs w:val="18"/>
                <w:lang w:eastAsia="en-AU"/>
              </w:rPr>
            </w:pPr>
            <w:r w:rsidRPr="008329D2">
              <w:rPr>
                <w:sz w:val="18"/>
                <w:szCs w:val="18"/>
                <w:lang w:eastAsia="en-AU"/>
              </w:rPr>
              <w:t>P</w:t>
            </w:r>
            <w:r w:rsidR="00E72629">
              <w:rPr>
                <w:sz w:val="18"/>
                <w:szCs w:val="18"/>
                <w:lang w:eastAsia="en-AU"/>
              </w:rPr>
              <w:t xml:space="preserve">roductivity Commission </w:t>
            </w:r>
          </w:p>
        </w:tc>
        <w:tc>
          <w:tcPr>
            <w:tcW w:w="4820" w:type="dxa"/>
          </w:tcPr>
          <w:p w14:paraId="7D5CB37D" w14:textId="77777777" w:rsidR="00530BA8" w:rsidRPr="008329D2" w:rsidRDefault="00530BA8" w:rsidP="00530BA8">
            <w:pPr>
              <w:spacing w:before="20" w:after="20"/>
              <w:rPr>
                <w:sz w:val="18"/>
                <w:szCs w:val="18"/>
                <w:lang w:eastAsia="en-AU"/>
              </w:rPr>
            </w:pPr>
            <w:r w:rsidRPr="008329D2">
              <w:rPr>
                <w:sz w:val="18"/>
                <w:szCs w:val="18"/>
                <w:lang w:eastAsia="en-AU"/>
              </w:rPr>
              <w:t>Assistant Commissioner, Trade and Economic Studies</w:t>
            </w:r>
          </w:p>
        </w:tc>
      </w:tr>
      <w:tr w:rsidR="00530BA8" w:rsidRPr="002915C2" w14:paraId="2C13F8E3" w14:textId="77777777" w:rsidTr="00530BA8">
        <w:trPr>
          <w:trHeight w:val="207"/>
        </w:trPr>
        <w:tc>
          <w:tcPr>
            <w:tcW w:w="822" w:type="dxa"/>
          </w:tcPr>
          <w:p w14:paraId="1399B299" w14:textId="77777777" w:rsidR="00530BA8" w:rsidRPr="008329D2" w:rsidRDefault="00530BA8" w:rsidP="00530BA8">
            <w:pPr>
              <w:spacing w:before="20" w:after="20"/>
              <w:rPr>
                <w:sz w:val="18"/>
                <w:szCs w:val="18"/>
                <w:lang w:eastAsia="en-AU"/>
              </w:rPr>
            </w:pPr>
          </w:p>
        </w:tc>
        <w:tc>
          <w:tcPr>
            <w:tcW w:w="1984" w:type="dxa"/>
          </w:tcPr>
          <w:p w14:paraId="0A6561EA" w14:textId="77777777" w:rsidR="00530BA8" w:rsidRPr="008329D2" w:rsidRDefault="00530BA8" w:rsidP="00530BA8">
            <w:pPr>
              <w:spacing w:before="20" w:after="20"/>
              <w:rPr>
                <w:sz w:val="18"/>
                <w:szCs w:val="18"/>
                <w:lang w:eastAsia="en-AU"/>
              </w:rPr>
            </w:pPr>
          </w:p>
        </w:tc>
        <w:tc>
          <w:tcPr>
            <w:tcW w:w="1276" w:type="dxa"/>
          </w:tcPr>
          <w:p w14:paraId="6E6A08AD" w14:textId="77777777" w:rsidR="00530BA8" w:rsidRPr="008329D2" w:rsidRDefault="00530BA8" w:rsidP="00530BA8">
            <w:pPr>
              <w:spacing w:before="20" w:after="20"/>
              <w:rPr>
                <w:sz w:val="18"/>
                <w:szCs w:val="18"/>
                <w:lang w:eastAsia="en-AU"/>
              </w:rPr>
            </w:pPr>
          </w:p>
        </w:tc>
        <w:tc>
          <w:tcPr>
            <w:tcW w:w="4820" w:type="dxa"/>
          </w:tcPr>
          <w:p w14:paraId="74DBB74D" w14:textId="77777777" w:rsidR="00530BA8" w:rsidRPr="008329D2" w:rsidRDefault="00530BA8" w:rsidP="00530BA8">
            <w:pPr>
              <w:spacing w:before="20" w:after="20"/>
              <w:rPr>
                <w:sz w:val="18"/>
                <w:szCs w:val="18"/>
                <w:lang w:eastAsia="en-AU"/>
              </w:rPr>
            </w:pPr>
          </w:p>
        </w:tc>
      </w:tr>
      <w:tr w:rsidR="00530BA8" w:rsidRPr="002915C2" w14:paraId="7665C660" w14:textId="77777777" w:rsidTr="00530BA8">
        <w:trPr>
          <w:trHeight w:val="207"/>
        </w:trPr>
        <w:tc>
          <w:tcPr>
            <w:tcW w:w="822" w:type="dxa"/>
          </w:tcPr>
          <w:p w14:paraId="153FF64F" w14:textId="77777777" w:rsidR="00530BA8" w:rsidRPr="008329D2" w:rsidRDefault="00530BA8" w:rsidP="00530BA8">
            <w:pPr>
              <w:spacing w:before="20" w:after="20"/>
              <w:rPr>
                <w:sz w:val="18"/>
                <w:szCs w:val="18"/>
                <w:lang w:eastAsia="en-AU"/>
              </w:rPr>
            </w:pPr>
            <w:r w:rsidRPr="008329D2">
              <w:rPr>
                <w:sz w:val="18"/>
                <w:szCs w:val="18"/>
                <w:lang w:eastAsia="en-AU"/>
              </w:rPr>
              <w:t>7/2/13</w:t>
            </w:r>
          </w:p>
        </w:tc>
        <w:tc>
          <w:tcPr>
            <w:tcW w:w="1984" w:type="dxa"/>
          </w:tcPr>
          <w:p w14:paraId="51D8E002" w14:textId="77777777" w:rsidR="00530BA8" w:rsidRPr="008329D2" w:rsidRDefault="00530BA8" w:rsidP="00530BA8">
            <w:pPr>
              <w:spacing w:before="20" w:after="20"/>
              <w:rPr>
                <w:sz w:val="18"/>
                <w:szCs w:val="18"/>
                <w:lang w:eastAsia="en-AU"/>
              </w:rPr>
            </w:pPr>
            <w:r w:rsidRPr="008329D2">
              <w:rPr>
                <w:sz w:val="18"/>
                <w:szCs w:val="18"/>
                <w:lang w:eastAsia="en-AU"/>
              </w:rPr>
              <w:t>Grant Belchamber</w:t>
            </w:r>
          </w:p>
        </w:tc>
        <w:tc>
          <w:tcPr>
            <w:tcW w:w="1276" w:type="dxa"/>
          </w:tcPr>
          <w:p w14:paraId="0816861F" w14:textId="77777777" w:rsidR="00530BA8" w:rsidRPr="008329D2" w:rsidRDefault="00530BA8" w:rsidP="00530BA8">
            <w:pPr>
              <w:spacing w:before="20" w:after="20"/>
              <w:rPr>
                <w:sz w:val="18"/>
                <w:szCs w:val="18"/>
                <w:lang w:eastAsia="en-AU"/>
              </w:rPr>
            </w:pPr>
            <w:r w:rsidRPr="008329D2">
              <w:rPr>
                <w:sz w:val="18"/>
                <w:szCs w:val="18"/>
                <w:lang w:eastAsia="en-AU"/>
              </w:rPr>
              <w:t>ACTU</w:t>
            </w:r>
          </w:p>
        </w:tc>
        <w:tc>
          <w:tcPr>
            <w:tcW w:w="4820" w:type="dxa"/>
          </w:tcPr>
          <w:p w14:paraId="6323FB1F" w14:textId="77777777" w:rsidR="00530BA8" w:rsidRPr="008329D2" w:rsidRDefault="00530BA8" w:rsidP="00530BA8">
            <w:pPr>
              <w:spacing w:before="20" w:after="20"/>
              <w:rPr>
                <w:sz w:val="18"/>
                <w:szCs w:val="18"/>
                <w:lang w:eastAsia="en-AU"/>
              </w:rPr>
            </w:pPr>
            <w:r w:rsidRPr="008329D2">
              <w:rPr>
                <w:sz w:val="18"/>
                <w:szCs w:val="18"/>
                <w:lang w:eastAsia="en-AU"/>
              </w:rPr>
              <w:t>Representative</w:t>
            </w:r>
          </w:p>
        </w:tc>
      </w:tr>
      <w:tr w:rsidR="00530BA8" w:rsidRPr="002915C2" w14:paraId="3D0A893E" w14:textId="77777777" w:rsidTr="00530BA8">
        <w:trPr>
          <w:trHeight w:val="207"/>
        </w:trPr>
        <w:tc>
          <w:tcPr>
            <w:tcW w:w="822" w:type="dxa"/>
          </w:tcPr>
          <w:p w14:paraId="39784337" w14:textId="77777777" w:rsidR="00530BA8" w:rsidRPr="008329D2" w:rsidRDefault="00530BA8" w:rsidP="00530BA8">
            <w:pPr>
              <w:spacing w:before="20" w:after="20"/>
              <w:rPr>
                <w:sz w:val="18"/>
                <w:szCs w:val="18"/>
                <w:lang w:eastAsia="en-AU"/>
              </w:rPr>
            </w:pPr>
          </w:p>
        </w:tc>
        <w:tc>
          <w:tcPr>
            <w:tcW w:w="1984" w:type="dxa"/>
          </w:tcPr>
          <w:p w14:paraId="55B77603" w14:textId="28920D9C" w:rsidR="00530BA8" w:rsidRPr="008329D2" w:rsidRDefault="00530BA8" w:rsidP="00530BA8">
            <w:pPr>
              <w:spacing w:before="20" w:after="20"/>
              <w:rPr>
                <w:sz w:val="18"/>
                <w:szCs w:val="18"/>
                <w:lang w:eastAsia="en-AU"/>
              </w:rPr>
            </w:pPr>
            <w:r w:rsidRPr="008329D2">
              <w:rPr>
                <w:sz w:val="18"/>
                <w:szCs w:val="18"/>
                <w:lang w:eastAsia="en-AU"/>
              </w:rPr>
              <w:t>Amy</w:t>
            </w:r>
            <w:r w:rsidR="00097596">
              <w:t xml:space="preserve"> </w:t>
            </w:r>
            <w:r w:rsidR="00097596" w:rsidRPr="00097596">
              <w:rPr>
                <w:sz w:val="18"/>
                <w:szCs w:val="18"/>
                <w:lang w:eastAsia="en-AU"/>
              </w:rPr>
              <w:t>Schwebel</w:t>
            </w:r>
          </w:p>
        </w:tc>
        <w:tc>
          <w:tcPr>
            <w:tcW w:w="1276" w:type="dxa"/>
          </w:tcPr>
          <w:p w14:paraId="7A37338B" w14:textId="77777777" w:rsidR="00530BA8" w:rsidRPr="008329D2" w:rsidRDefault="00530BA8" w:rsidP="00530BA8">
            <w:pPr>
              <w:spacing w:before="20" w:after="20"/>
              <w:rPr>
                <w:sz w:val="18"/>
                <w:szCs w:val="18"/>
                <w:lang w:eastAsia="en-AU"/>
              </w:rPr>
            </w:pPr>
            <w:r w:rsidRPr="008329D2">
              <w:rPr>
                <w:sz w:val="18"/>
                <w:szCs w:val="18"/>
                <w:lang w:eastAsia="en-AU"/>
              </w:rPr>
              <w:t>ACTU</w:t>
            </w:r>
          </w:p>
        </w:tc>
        <w:tc>
          <w:tcPr>
            <w:tcW w:w="4820" w:type="dxa"/>
          </w:tcPr>
          <w:p w14:paraId="32C14F43" w14:textId="77777777" w:rsidR="00530BA8" w:rsidRPr="008329D2" w:rsidRDefault="00530BA8" w:rsidP="00530BA8">
            <w:pPr>
              <w:spacing w:before="20" w:after="20"/>
              <w:rPr>
                <w:sz w:val="18"/>
                <w:szCs w:val="18"/>
                <w:lang w:eastAsia="en-AU"/>
              </w:rPr>
            </w:pPr>
            <w:r w:rsidRPr="008329D2">
              <w:rPr>
                <w:sz w:val="18"/>
                <w:szCs w:val="18"/>
                <w:lang w:eastAsia="en-AU"/>
              </w:rPr>
              <w:t>Representative</w:t>
            </w:r>
          </w:p>
        </w:tc>
      </w:tr>
      <w:tr w:rsidR="00530BA8" w:rsidRPr="002915C2" w14:paraId="7C2715FD" w14:textId="77777777" w:rsidTr="00530BA8">
        <w:trPr>
          <w:trHeight w:val="207"/>
        </w:trPr>
        <w:tc>
          <w:tcPr>
            <w:tcW w:w="822" w:type="dxa"/>
          </w:tcPr>
          <w:p w14:paraId="583FE970" w14:textId="77777777" w:rsidR="00530BA8" w:rsidRPr="008329D2" w:rsidRDefault="00530BA8" w:rsidP="00530BA8">
            <w:pPr>
              <w:spacing w:before="20" w:after="20"/>
              <w:rPr>
                <w:sz w:val="18"/>
                <w:szCs w:val="18"/>
                <w:lang w:eastAsia="en-AU"/>
              </w:rPr>
            </w:pPr>
          </w:p>
        </w:tc>
        <w:tc>
          <w:tcPr>
            <w:tcW w:w="1984" w:type="dxa"/>
          </w:tcPr>
          <w:p w14:paraId="26EB4654" w14:textId="77777777" w:rsidR="00530BA8" w:rsidRPr="008329D2" w:rsidRDefault="00530BA8" w:rsidP="00530BA8">
            <w:pPr>
              <w:spacing w:before="20" w:after="20"/>
              <w:rPr>
                <w:sz w:val="18"/>
                <w:szCs w:val="18"/>
                <w:lang w:eastAsia="en-AU"/>
              </w:rPr>
            </w:pPr>
            <w:r w:rsidRPr="008329D2">
              <w:rPr>
                <w:sz w:val="18"/>
                <w:szCs w:val="18"/>
                <w:lang w:eastAsia="en-AU"/>
              </w:rPr>
              <w:t>Peter Mare</w:t>
            </w:r>
          </w:p>
        </w:tc>
        <w:tc>
          <w:tcPr>
            <w:tcW w:w="1276" w:type="dxa"/>
            <w:vMerge w:val="restart"/>
          </w:tcPr>
          <w:p w14:paraId="2AF5D9C9" w14:textId="45E5F713" w:rsidR="00530BA8" w:rsidRPr="008329D2" w:rsidRDefault="00097596" w:rsidP="00530BA8">
            <w:pPr>
              <w:spacing w:before="20" w:after="20"/>
              <w:rPr>
                <w:sz w:val="18"/>
                <w:szCs w:val="18"/>
                <w:lang w:eastAsia="en-AU"/>
              </w:rPr>
            </w:pPr>
            <w:r w:rsidRPr="00097596">
              <w:rPr>
                <w:sz w:val="18"/>
                <w:szCs w:val="18"/>
                <w:lang w:eastAsia="en-AU"/>
              </w:rPr>
              <w:t>Australian Institute of Export</w:t>
            </w:r>
          </w:p>
        </w:tc>
        <w:tc>
          <w:tcPr>
            <w:tcW w:w="4820" w:type="dxa"/>
          </w:tcPr>
          <w:p w14:paraId="34B0C29F" w14:textId="1783D26E" w:rsidR="00530BA8" w:rsidRPr="008329D2" w:rsidRDefault="00530BA8" w:rsidP="00530BA8">
            <w:pPr>
              <w:spacing w:before="20" w:after="20"/>
              <w:rPr>
                <w:sz w:val="18"/>
                <w:szCs w:val="18"/>
                <w:lang w:eastAsia="en-AU"/>
              </w:rPr>
            </w:pPr>
            <w:r w:rsidRPr="008329D2">
              <w:rPr>
                <w:sz w:val="18"/>
                <w:szCs w:val="18"/>
                <w:lang w:eastAsia="en-AU"/>
              </w:rPr>
              <w:t>Official</w:t>
            </w:r>
            <w:r w:rsidR="00097596">
              <w:t xml:space="preserve"> </w:t>
            </w:r>
            <w:r w:rsidR="00097596" w:rsidRPr="00097596">
              <w:rPr>
                <w:sz w:val="18"/>
                <w:szCs w:val="18"/>
                <w:lang w:eastAsia="en-AU"/>
              </w:rPr>
              <w:t>General Manager</w:t>
            </w:r>
          </w:p>
        </w:tc>
      </w:tr>
      <w:tr w:rsidR="00530BA8" w:rsidRPr="002915C2" w14:paraId="243BB817" w14:textId="77777777" w:rsidTr="00530BA8">
        <w:trPr>
          <w:trHeight w:val="207"/>
        </w:trPr>
        <w:tc>
          <w:tcPr>
            <w:tcW w:w="822" w:type="dxa"/>
          </w:tcPr>
          <w:p w14:paraId="02838F03" w14:textId="77777777" w:rsidR="00530BA8" w:rsidRPr="008329D2" w:rsidRDefault="00530BA8" w:rsidP="00530BA8">
            <w:pPr>
              <w:spacing w:before="20" w:after="20"/>
              <w:rPr>
                <w:sz w:val="18"/>
                <w:szCs w:val="18"/>
                <w:lang w:eastAsia="en-AU"/>
              </w:rPr>
            </w:pPr>
          </w:p>
        </w:tc>
        <w:tc>
          <w:tcPr>
            <w:tcW w:w="1984" w:type="dxa"/>
          </w:tcPr>
          <w:p w14:paraId="0C12228F" w14:textId="77777777" w:rsidR="00530BA8" w:rsidRPr="008329D2" w:rsidRDefault="00530BA8" w:rsidP="00530BA8">
            <w:pPr>
              <w:spacing w:before="20" w:after="20"/>
              <w:rPr>
                <w:sz w:val="18"/>
                <w:szCs w:val="18"/>
                <w:lang w:eastAsia="en-AU"/>
              </w:rPr>
            </w:pPr>
            <w:r w:rsidRPr="008329D2">
              <w:rPr>
                <w:sz w:val="18"/>
                <w:szCs w:val="18"/>
                <w:lang w:eastAsia="en-AU"/>
              </w:rPr>
              <w:t>Lisa McAuley</w:t>
            </w:r>
          </w:p>
        </w:tc>
        <w:tc>
          <w:tcPr>
            <w:tcW w:w="1276" w:type="dxa"/>
            <w:vMerge/>
          </w:tcPr>
          <w:p w14:paraId="2EC491D5" w14:textId="77777777" w:rsidR="00530BA8" w:rsidRPr="008329D2" w:rsidRDefault="00530BA8" w:rsidP="00530BA8">
            <w:pPr>
              <w:spacing w:before="20" w:after="20"/>
              <w:rPr>
                <w:sz w:val="18"/>
                <w:szCs w:val="18"/>
                <w:lang w:eastAsia="en-AU"/>
              </w:rPr>
            </w:pPr>
          </w:p>
        </w:tc>
        <w:tc>
          <w:tcPr>
            <w:tcW w:w="4820" w:type="dxa"/>
          </w:tcPr>
          <w:p w14:paraId="461B6698" w14:textId="77777777" w:rsidR="00530BA8" w:rsidRPr="008329D2" w:rsidRDefault="00530BA8" w:rsidP="00530BA8">
            <w:pPr>
              <w:spacing w:before="20" w:after="20"/>
              <w:rPr>
                <w:sz w:val="18"/>
                <w:szCs w:val="18"/>
                <w:lang w:eastAsia="en-AU"/>
              </w:rPr>
            </w:pPr>
            <w:r w:rsidRPr="008329D2">
              <w:rPr>
                <w:sz w:val="18"/>
                <w:szCs w:val="18"/>
                <w:lang w:eastAsia="en-AU"/>
              </w:rPr>
              <w:t>Official</w:t>
            </w:r>
          </w:p>
        </w:tc>
      </w:tr>
      <w:tr w:rsidR="00530BA8" w:rsidRPr="002915C2" w14:paraId="19301C70" w14:textId="77777777" w:rsidTr="00530BA8">
        <w:trPr>
          <w:trHeight w:val="207"/>
        </w:trPr>
        <w:tc>
          <w:tcPr>
            <w:tcW w:w="822" w:type="dxa"/>
          </w:tcPr>
          <w:p w14:paraId="22120481" w14:textId="77777777" w:rsidR="00530BA8" w:rsidRPr="008329D2" w:rsidRDefault="00530BA8" w:rsidP="00530BA8">
            <w:pPr>
              <w:spacing w:before="20" w:after="20"/>
              <w:rPr>
                <w:sz w:val="18"/>
                <w:szCs w:val="18"/>
                <w:lang w:eastAsia="en-AU"/>
              </w:rPr>
            </w:pPr>
          </w:p>
        </w:tc>
        <w:tc>
          <w:tcPr>
            <w:tcW w:w="1984" w:type="dxa"/>
          </w:tcPr>
          <w:p w14:paraId="28437A8B" w14:textId="77777777" w:rsidR="00530BA8" w:rsidRPr="008329D2" w:rsidRDefault="00530BA8" w:rsidP="00530BA8">
            <w:pPr>
              <w:spacing w:before="20" w:after="20"/>
              <w:rPr>
                <w:sz w:val="18"/>
                <w:szCs w:val="18"/>
                <w:lang w:eastAsia="en-AU"/>
              </w:rPr>
            </w:pPr>
            <w:r w:rsidRPr="008329D2">
              <w:rPr>
                <w:sz w:val="18"/>
                <w:szCs w:val="18"/>
                <w:lang w:eastAsia="en-AU"/>
              </w:rPr>
              <w:t>Louise McGrath</w:t>
            </w:r>
          </w:p>
        </w:tc>
        <w:tc>
          <w:tcPr>
            <w:tcW w:w="1276" w:type="dxa"/>
          </w:tcPr>
          <w:p w14:paraId="3FC0EA62" w14:textId="77777777" w:rsidR="00530BA8" w:rsidRPr="008329D2" w:rsidRDefault="00530BA8" w:rsidP="00530BA8">
            <w:pPr>
              <w:spacing w:before="20" w:after="20"/>
              <w:rPr>
                <w:sz w:val="18"/>
                <w:szCs w:val="18"/>
                <w:lang w:eastAsia="en-AU"/>
              </w:rPr>
            </w:pPr>
            <w:r w:rsidRPr="008329D2">
              <w:rPr>
                <w:sz w:val="18"/>
                <w:szCs w:val="18"/>
                <w:lang w:eastAsia="en-AU"/>
              </w:rPr>
              <w:t>AIG</w:t>
            </w:r>
          </w:p>
        </w:tc>
        <w:tc>
          <w:tcPr>
            <w:tcW w:w="4820" w:type="dxa"/>
          </w:tcPr>
          <w:p w14:paraId="66EC7ACE" w14:textId="77777777" w:rsidR="00530BA8" w:rsidRPr="008329D2" w:rsidRDefault="00530BA8" w:rsidP="00530BA8">
            <w:pPr>
              <w:spacing w:before="20" w:after="20"/>
              <w:rPr>
                <w:sz w:val="18"/>
                <w:szCs w:val="18"/>
                <w:lang w:eastAsia="en-AU"/>
              </w:rPr>
            </w:pPr>
            <w:r w:rsidRPr="008329D2">
              <w:rPr>
                <w:sz w:val="18"/>
                <w:szCs w:val="18"/>
                <w:lang w:eastAsia="en-AU"/>
              </w:rPr>
              <w:t>National Business Development Manager</w:t>
            </w:r>
          </w:p>
        </w:tc>
      </w:tr>
      <w:tr w:rsidR="00530BA8" w:rsidRPr="002915C2" w14:paraId="2BEED3FE" w14:textId="77777777" w:rsidTr="00530BA8">
        <w:trPr>
          <w:trHeight w:val="207"/>
        </w:trPr>
        <w:tc>
          <w:tcPr>
            <w:tcW w:w="822" w:type="dxa"/>
          </w:tcPr>
          <w:p w14:paraId="65BFA1DE" w14:textId="77777777" w:rsidR="00530BA8" w:rsidRPr="008329D2" w:rsidRDefault="00530BA8" w:rsidP="00530BA8">
            <w:pPr>
              <w:spacing w:before="20" w:after="20"/>
              <w:rPr>
                <w:sz w:val="18"/>
                <w:szCs w:val="18"/>
                <w:lang w:eastAsia="en-AU"/>
              </w:rPr>
            </w:pPr>
          </w:p>
        </w:tc>
        <w:tc>
          <w:tcPr>
            <w:tcW w:w="1984" w:type="dxa"/>
          </w:tcPr>
          <w:p w14:paraId="03B1AFCC" w14:textId="2244710A" w:rsidR="00530BA8" w:rsidRPr="008329D2" w:rsidRDefault="00530BA8" w:rsidP="00530BA8">
            <w:pPr>
              <w:spacing w:before="20" w:after="20"/>
              <w:rPr>
                <w:sz w:val="18"/>
                <w:szCs w:val="18"/>
                <w:lang w:eastAsia="en-AU"/>
              </w:rPr>
            </w:pPr>
            <w:r w:rsidRPr="00980DB4">
              <w:rPr>
                <w:sz w:val="18"/>
                <w:szCs w:val="18"/>
                <w:lang w:eastAsia="en-AU"/>
              </w:rPr>
              <w:t>Rebecca Walker</w:t>
            </w:r>
          </w:p>
        </w:tc>
        <w:tc>
          <w:tcPr>
            <w:tcW w:w="1276" w:type="dxa"/>
          </w:tcPr>
          <w:p w14:paraId="52B1D909" w14:textId="77777777" w:rsidR="00530BA8" w:rsidRPr="008329D2" w:rsidRDefault="00530BA8" w:rsidP="00530BA8">
            <w:pPr>
              <w:spacing w:before="20" w:after="20"/>
              <w:rPr>
                <w:sz w:val="18"/>
                <w:szCs w:val="18"/>
                <w:lang w:eastAsia="en-AU"/>
              </w:rPr>
            </w:pPr>
            <w:r w:rsidRPr="008329D2">
              <w:rPr>
                <w:sz w:val="18"/>
                <w:szCs w:val="18"/>
                <w:lang w:eastAsia="en-AU"/>
              </w:rPr>
              <w:t>AIG</w:t>
            </w:r>
          </w:p>
        </w:tc>
        <w:tc>
          <w:tcPr>
            <w:tcW w:w="4820" w:type="dxa"/>
          </w:tcPr>
          <w:p w14:paraId="0BE00364" w14:textId="36B15E01" w:rsidR="00530BA8" w:rsidRPr="008329D2" w:rsidRDefault="00530BA8" w:rsidP="00530BA8">
            <w:pPr>
              <w:spacing w:before="20" w:after="20"/>
              <w:rPr>
                <w:sz w:val="18"/>
                <w:szCs w:val="18"/>
                <w:lang w:eastAsia="en-AU"/>
              </w:rPr>
            </w:pPr>
            <w:r w:rsidRPr="008329D2">
              <w:rPr>
                <w:sz w:val="18"/>
                <w:szCs w:val="18"/>
                <w:lang w:eastAsia="en-AU"/>
              </w:rPr>
              <w:t>S</w:t>
            </w:r>
            <w:r w:rsidR="00DD2898">
              <w:rPr>
                <w:sz w:val="18"/>
                <w:szCs w:val="18"/>
                <w:lang w:eastAsia="en-AU"/>
              </w:rPr>
              <w:t>enio</w:t>
            </w:r>
            <w:r w:rsidRPr="008329D2">
              <w:rPr>
                <w:sz w:val="18"/>
                <w:szCs w:val="18"/>
                <w:lang w:eastAsia="en-AU"/>
              </w:rPr>
              <w:t>r Advisor, International and Government Relations</w:t>
            </w:r>
          </w:p>
        </w:tc>
      </w:tr>
      <w:tr w:rsidR="00530BA8" w:rsidRPr="002915C2" w14:paraId="17BB4940" w14:textId="77777777" w:rsidTr="00530BA8">
        <w:trPr>
          <w:trHeight w:val="207"/>
        </w:trPr>
        <w:tc>
          <w:tcPr>
            <w:tcW w:w="822" w:type="dxa"/>
          </w:tcPr>
          <w:p w14:paraId="044787C0" w14:textId="77777777" w:rsidR="00530BA8" w:rsidRPr="008329D2" w:rsidRDefault="00530BA8" w:rsidP="00530BA8">
            <w:pPr>
              <w:spacing w:before="20" w:after="20"/>
              <w:rPr>
                <w:sz w:val="18"/>
                <w:szCs w:val="18"/>
                <w:lang w:eastAsia="en-AU"/>
              </w:rPr>
            </w:pPr>
          </w:p>
        </w:tc>
        <w:tc>
          <w:tcPr>
            <w:tcW w:w="1984" w:type="dxa"/>
          </w:tcPr>
          <w:p w14:paraId="472F875F" w14:textId="77777777" w:rsidR="00530BA8" w:rsidRPr="008329D2" w:rsidRDefault="00530BA8" w:rsidP="00530BA8">
            <w:pPr>
              <w:spacing w:before="20" w:after="20"/>
              <w:rPr>
                <w:sz w:val="18"/>
                <w:szCs w:val="18"/>
                <w:lang w:eastAsia="en-AU"/>
              </w:rPr>
            </w:pPr>
            <w:r w:rsidRPr="008329D2">
              <w:rPr>
                <w:sz w:val="18"/>
                <w:szCs w:val="18"/>
                <w:lang w:eastAsia="en-AU"/>
              </w:rPr>
              <w:t>Professor Tony Milner</w:t>
            </w:r>
          </w:p>
        </w:tc>
        <w:tc>
          <w:tcPr>
            <w:tcW w:w="1276" w:type="dxa"/>
          </w:tcPr>
          <w:p w14:paraId="05693150" w14:textId="77777777" w:rsidR="00530BA8" w:rsidRPr="008329D2" w:rsidRDefault="00530BA8" w:rsidP="00530BA8">
            <w:pPr>
              <w:spacing w:before="20" w:after="20"/>
              <w:rPr>
                <w:sz w:val="18"/>
                <w:szCs w:val="18"/>
                <w:lang w:eastAsia="en-AU"/>
              </w:rPr>
            </w:pPr>
            <w:r w:rsidRPr="008329D2">
              <w:rPr>
                <w:sz w:val="18"/>
                <w:szCs w:val="18"/>
                <w:lang w:eastAsia="en-AU"/>
              </w:rPr>
              <w:t>ANU</w:t>
            </w:r>
          </w:p>
        </w:tc>
        <w:tc>
          <w:tcPr>
            <w:tcW w:w="4820" w:type="dxa"/>
          </w:tcPr>
          <w:p w14:paraId="2F958FD2" w14:textId="4D70303E" w:rsidR="00530BA8" w:rsidRPr="008329D2" w:rsidRDefault="0020385E" w:rsidP="0020385E">
            <w:pPr>
              <w:spacing w:before="20" w:after="20"/>
              <w:rPr>
                <w:sz w:val="18"/>
                <w:szCs w:val="18"/>
                <w:lang w:eastAsia="en-AU"/>
              </w:rPr>
            </w:pPr>
            <w:r w:rsidRPr="0020385E">
              <w:rPr>
                <w:sz w:val="18"/>
                <w:szCs w:val="18"/>
                <w:lang w:eastAsia="en-AU"/>
              </w:rPr>
              <w:t>Professorial Fellow</w:t>
            </w:r>
            <w:r>
              <w:rPr>
                <w:sz w:val="18"/>
                <w:szCs w:val="18"/>
                <w:lang w:eastAsia="en-AU"/>
              </w:rPr>
              <w:t xml:space="preserve">, </w:t>
            </w:r>
            <w:r w:rsidRPr="0020385E">
              <w:rPr>
                <w:sz w:val="18"/>
                <w:szCs w:val="18"/>
                <w:lang w:eastAsia="en-AU"/>
              </w:rPr>
              <w:t>Asialink</w:t>
            </w:r>
          </w:p>
        </w:tc>
      </w:tr>
      <w:tr w:rsidR="00530BA8" w:rsidRPr="002915C2" w14:paraId="47E59069" w14:textId="77777777" w:rsidTr="00530BA8">
        <w:trPr>
          <w:trHeight w:val="207"/>
        </w:trPr>
        <w:tc>
          <w:tcPr>
            <w:tcW w:w="822" w:type="dxa"/>
          </w:tcPr>
          <w:p w14:paraId="06F5ED8D" w14:textId="77777777" w:rsidR="00530BA8" w:rsidRPr="008329D2" w:rsidRDefault="00530BA8" w:rsidP="00530BA8">
            <w:pPr>
              <w:spacing w:before="20" w:after="20"/>
              <w:rPr>
                <w:sz w:val="18"/>
                <w:szCs w:val="18"/>
                <w:lang w:eastAsia="en-AU"/>
              </w:rPr>
            </w:pPr>
          </w:p>
        </w:tc>
        <w:tc>
          <w:tcPr>
            <w:tcW w:w="1984" w:type="dxa"/>
          </w:tcPr>
          <w:p w14:paraId="23A6F0C6" w14:textId="77777777" w:rsidR="00530BA8" w:rsidRPr="008329D2" w:rsidRDefault="00530BA8" w:rsidP="00530BA8">
            <w:pPr>
              <w:spacing w:before="20" w:after="20"/>
              <w:rPr>
                <w:sz w:val="18"/>
                <w:szCs w:val="18"/>
                <w:lang w:eastAsia="en-AU"/>
              </w:rPr>
            </w:pPr>
            <w:r w:rsidRPr="008329D2">
              <w:rPr>
                <w:sz w:val="18"/>
                <w:szCs w:val="18"/>
                <w:lang w:eastAsia="en-AU"/>
              </w:rPr>
              <w:t>Ian Birks</w:t>
            </w:r>
          </w:p>
        </w:tc>
        <w:tc>
          <w:tcPr>
            <w:tcW w:w="1276" w:type="dxa"/>
          </w:tcPr>
          <w:p w14:paraId="566F9865" w14:textId="77777777" w:rsidR="00530BA8" w:rsidRPr="008329D2" w:rsidRDefault="00530BA8" w:rsidP="00530BA8">
            <w:pPr>
              <w:spacing w:before="20" w:after="20"/>
              <w:rPr>
                <w:sz w:val="18"/>
                <w:szCs w:val="18"/>
                <w:lang w:eastAsia="en-AU"/>
              </w:rPr>
            </w:pPr>
            <w:r w:rsidRPr="008329D2">
              <w:rPr>
                <w:sz w:val="18"/>
                <w:szCs w:val="18"/>
                <w:lang w:eastAsia="en-AU"/>
              </w:rPr>
              <w:t>ASR</w:t>
            </w:r>
          </w:p>
        </w:tc>
        <w:tc>
          <w:tcPr>
            <w:tcW w:w="4820" w:type="dxa"/>
          </w:tcPr>
          <w:p w14:paraId="12364AF0" w14:textId="77777777" w:rsidR="00530BA8" w:rsidRPr="008329D2" w:rsidRDefault="00530BA8" w:rsidP="00530BA8">
            <w:pPr>
              <w:spacing w:before="20" w:after="20"/>
              <w:rPr>
                <w:sz w:val="18"/>
                <w:szCs w:val="18"/>
                <w:lang w:eastAsia="en-AU"/>
              </w:rPr>
            </w:pPr>
            <w:r w:rsidRPr="008329D2">
              <w:rPr>
                <w:sz w:val="18"/>
                <w:szCs w:val="18"/>
                <w:lang w:eastAsia="en-AU"/>
              </w:rPr>
              <w:t>CEO, Australian Services Roundtable</w:t>
            </w:r>
          </w:p>
        </w:tc>
      </w:tr>
      <w:tr w:rsidR="00DD2898" w:rsidRPr="002915C2" w14:paraId="38CC1915" w14:textId="77777777" w:rsidTr="00530BA8">
        <w:trPr>
          <w:trHeight w:val="207"/>
        </w:trPr>
        <w:tc>
          <w:tcPr>
            <w:tcW w:w="822" w:type="dxa"/>
          </w:tcPr>
          <w:p w14:paraId="5EB07F71" w14:textId="77777777" w:rsidR="00DD2898" w:rsidRPr="008329D2" w:rsidRDefault="00DD2898" w:rsidP="00530BA8">
            <w:pPr>
              <w:spacing w:before="20" w:after="20"/>
              <w:rPr>
                <w:sz w:val="18"/>
                <w:szCs w:val="18"/>
                <w:lang w:eastAsia="en-AU"/>
              </w:rPr>
            </w:pPr>
          </w:p>
        </w:tc>
        <w:tc>
          <w:tcPr>
            <w:tcW w:w="1984" w:type="dxa"/>
          </w:tcPr>
          <w:p w14:paraId="3415ECA4" w14:textId="77777777" w:rsidR="00DD2898" w:rsidRPr="008329D2" w:rsidRDefault="00DD2898" w:rsidP="00530BA8">
            <w:pPr>
              <w:spacing w:before="20" w:after="20"/>
              <w:rPr>
                <w:sz w:val="18"/>
                <w:szCs w:val="18"/>
                <w:lang w:eastAsia="en-AU"/>
              </w:rPr>
            </w:pPr>
          </w:p>
        </w:tc>
        <w:tc>
          <w:tcPr>
            <w:tcW w:w="1276" w:type="dxa"/>
          </w:tcPr>
          <w:p w14:paraId="48241A35" w14:textId="77777777" w:rsidR="00DD2898" w:rsidRPr="008329D2" w:rsidRDefault="00DD2898" w:rsidP="00530BA8">
            <w:pPr>
              <w:spacing w:before="20" w:after="20"/>
              <w:rPr>
                <w:sz w:val="18"/>
                <w:szCs w:val="18"/>
                <w:lang w:eastAsia="en-AU"/>
              </w:rPr>
            </w:pPr>
          </w:p>
        </w:tc>
        <w:tc>
          <w:tcPr>
            <w:tcW w:w="4820" w:type="dxa"/>
          </w:tcPr>
          <w:p w14:paraId="2C0E39CC" w14:textId="77777777" w:rsidR="00DD2898" w:rsidRPr="008329D2" w:rsidRDefault="00DD2898" w:rsidP="00530BA8">
            <w:pPr>
              <w:spacing w:before="20" w:after="20"/>
              <w:rPr>
                <w:sz w:val="18"/>
                <w:szCs w:val="18"/>
                <w:lang w:eastAsia="en-AU"/>
              </w:rPr>
            </w:pPr>
          </w:p>
        </w:tc>
      </w:tr>
      <w:tr w:rsidR="00530BA8" w:rsidRPr="002915C2" w14:paraId="69B117B5" w14:textId="77777777" w:rsidTr="00530BA8">
        <w:trPr>
          <w:trHeight w:val="207"/>
        </w:trPr>
        <w:tc>
          <w:tcPr>
            <w:tcW w:w="822" w:type="dxa"/>
          </w:tcPr>
          <w:p w14:paraId="4CE1E0F7" w14:textId="77777777" w:rsidR="00530BA8" w:rsidRPr="008329D2" w:rsidRDefault="00530BA8" w:rsidP="00530BA8">
            <w:pPr>
              <w:spacing w:before="20" w:after="20"/>
              <w:rPr>
                <w:sz w:val="18"/>
                <w:szCs w:val="18"/>
                <w:lang w:eastAsia="en-AU"/>
              </w:rPr>
            </w:pPr>
            <w:r w:rsidRPr="008329D2">
              <w:rPr>
                <w:sz w:val="18"/>
                <w:szCs w:val="18"/>
                <w:lang w:eastAsia="en-AU"/>
              </w:rPr>
              <w:t>8/2/13</w:t>
            </w:r>
          </w:p>
        </w:tc>
        <w:tc>
          <w:tcPr>
            <w:tcW w:w="1984" w:type="dxa"/>
          </w:tcPr>
          <w:p w14:paraId="10802EE3" w14:textId="77777777" w:rsidR="00530BA8" w:rsidRPr="008329D2" w:rsidRDefault="00530BA8" w:rsidP="00530BA8">
            <w:pPr>
              <w:spacing w:before="20" w:after="20"/>
              <w:rPr>
                <w:sz w:val="18"/>
                <w:szCs w:val="18"/>
                <w:lang w:eastAsia="en-AU"/>
              </w:rPr>
            </w:pPr>
            <w:r w:rsidRPr="008329D2">
              <w:rPr>
                <w:sz w:val="18"/>
                <w:szCs w:val="18"/>
                <w:lang w:eastAsia="en-AU"/>
              </w:rPr>
              <w:t>Steve McCombie</w:t>
            </w:r>
          </w:p>
        </w:tc>
        <w:tc>
          <w:tcPr>
            <w:tcW w:w="1276" w:type="dxa"/>
          </w:tcPr>
          <w:p w14:paraId="20937510" w14:textId="77777777" w:rsidR="00530BA8" w:rsidRPr="008329D2" w:rsidRDefault="00530BA8" w:rsidP="00530BA8">
            <w:pPr>
              <w:spacing w:before="20" w:after="20"/>
              <w:rPr>
                <w:sz w:val="18"/>
                <w:szCs w:val="18"/>
                <w:lang w:eastAsia="en-AU"/>
              </w:rPr>
            </w:pPr>
            <w:r w:rsidRPr="008329D2">
              <w:rPr>
                <w:sz w:val="18"/>
                <w:szCs w:val="18"/>
                <w:lang w:eastAsia="en-AU"/>
              </w:rPr>
              <w:t>NZ MFAT</w:t>
            </w:r>
          </w:p>
        </w:tc>
        <w:tc>
          <w:tcPr>
            <w:tcW w:w="4820" w:type="dxa"/>
          </w:tcPr>
          <w:p w14:paraId="53FE9BF0" w14:textId="77777777" w:rsidR="00530BA8" w:rsidRPr="008329D2" w:rsidRDefault="00530BA8" w:rsidP="00530BA8">
            <w:pPr>
              <w:spacing w:before="20" w:after="20"/>
              <w:rPr>
                <w:sz w:val="18"/>
                <w:szCs w:val="18"/>
                <w:lang w:eastAsia="en-AU"/>
              </w:rPr>
            </w:pPr>
            <w:r w:rsidRPr="008329D2">
              <w:rPr>
                <w:sz w:val="18"/>
                <w:szCs w:val="18"/>
                <w:lang w:eastAsia="en-AU"/>
              </w:rPr>
              <w:t>Former AANZFTA Co-chair</w:t>
            </w:r>
          </w:p>
        </w:tc>
      </w:tr>
      <w:tr w:rsidR="00530BA8" w:rsidRPr="002915C2" w14:paraId="7146BCDE" w14:textId="77777777" w:rsidTr="00530BA8">
        <w:trPr>
          <w:trHeight w:val="207"/>
        </w:trPr>
        <w:tc>
          <w:tcPr>
            <w:tcW w:w="822" w:type="dxa"/>
          </w:tcPr>
          <w:p w14:paraId="49E76C92" w14:textId="77777777" w:rsidR="00530BA8" w:rsidRPr="008329D2" w:rsidRDefault="00530BA8" w:rsidP="00530BA8">
            <w:pPr>
              <w:spacing w:before="20" w:after="20"/>
              <w:rPr>
                <w:sz w:val="18"/>
                <w:szCs w:val="18"/>
                <w:lang w:eastAsia="en-AU"/>
              </w:rPr>
            </w:pPr>
          </w:p>
        </w:tc>
        <w:tc>
          <w:tcPr>
            <w:tcW w:w="1984" w:type="dxa"/>
          </w:tcPr>
          <w:p w14:paraId="4E3CF381" w14:textId="77777777" w:rsidR="00530BA8" w:rsidRPr="008329D2" w:rsidRDefault="00530BA8" w:rsidP="00530BA8">
            <w:pPr>
              <w:spacing w:before="20" w:after="20"/>
              <w:rPr>
                <w:sz w:val="18"/>
                <w:szCs w:val="18"/>
                <w:lang w:eastAsia="en-AU"/>
              </w:rPr>
            </w:pPr>
            <w:r w:rsidRPr="008329D2">
              <w:rPr>
                <w:sz w:val="18"/>
                <w:szCs w:val="18"/>
                <w:lang w:eastAsia="en-AU"/>
              </w:rPr>
              <w:t>Greg Andrews</w:t>
            </w:r>
          </w:p>
        </w:tc>
        <w:tc>
          <w:tcPr>
            <w:tcW w:w="1276" w:type="dxa"/>
          </w:tcPr>
          <w:p w14:paraId="13568D3C" w14:textId="77777777" w:rsidR="00530BA8" w:rsidRPr="008329D2" w:rsidRDefault="00530BA8" w:rsidP="00530BA8">
            <w:pPr>
              <w:spacing w:before="20" w:after="20"/>
              <w:rPr>
                <w:sz w:val="18"/>
                <w:szCs w:val="18"/>
                <w:lang w:eastAsia="en-AU"/>
              </w:rPr>
            </w:pPr>
            <w:r w:rsidRPr="008329D2">
              <w:rPr>
                <w:sz w:val="18"/>
                <w:szCs w:val="18"/>
                <w:lang w:eastAsia="en-AU"/>
              </w:rPr>
              <w:t>NZ MFAT</w:t>
            </w:r>
          </w:p>
        </w:tc>
        <w:tc>
          <w:tcPr>
            <w:tcW w:w="4820" w:type="dxa"/>
          </w:tcPr>
          <w:p w14:paraId="7A74E373" w14:textId="77777777" w:rsidR="00530BA8" w:rsidRPr="008329D2" w:rsidRDefault="00530BA8" w:rsidP="00530BA8">
            <w:pPr>
              <w:spacing w:before="20" w:after="20"/>
              <w:rPr>
                <w:sz w:val="18"/>
                <w:szCs w:val="18"/>
                <w:lang w:eastAsia="en-AU"/>
              </w:rPr>
            </w:pPr>
            <w:r w:rsidRPr="008329D2">
              <w:rPr>
                <w:sz w:val="18"/>
                <w:szCs w:val="18"/>
                <w:lang w:eastAsia="en-AU"/>
              </w:rPr>
              <w:t>Manager FTA Implementation Unit</w:t>
            </w:r>
          </w:p>
        </w:tc>
      </w:tr>
      <w:tr w:rsidR="00530BA8" w:rsidRPr="002915C2" w14:paraId="6781A298" w14:textId="77777777" w:rsidTr="00530BA8">
        <w:trPr>
          <w:trHeight w:val="207"/>
        </w:trPr>
        <w:tc>
          <w:tcPr>
            <w:tcW w:w="822" w:type="dxa"/>
          </w:tcPr>
          <w:p w14:paraId="41C887DC" w14:textId="77777777" w:rsidR="00530BA8" w:rsidRPr="008329D2" w:rsidRDefault="00530BA8" w:rsidP="00530BA8">
            <w:pPr>
              <w:spacing w:before="20" w:after="20"/>
              <w:rPr>
                <w:sz w:val="18"/>
                <w:szCs w:val="18"/>
                <w:lang w:eastAsia="en-AU"/>
              </w:rPr>
            </w:pPr>
          </w:p>
        </w:tc>
        <w:tc>
          <w:tcPr>
            <w:tcW w:w="1984" w:type="dxa"/>
          </w:tcPr>
          <w:p w14:paraId="4510DC76" w14:textId="63F7993B" w:rsidR="00530BA8" w:rsidRPr="008329D2" w:rsidRDefault="00530BA8">
            <w:pPr>
              <w:spacing w:before="20" w:after="20"/>
              <w:rPr>
                <w:sz w:val="18"/>
                <w:szCs w:val="18"/>
                <w:lang w:eastAsia="en-AU"/>
              </w:rPr>
            </w:pPr>
            <w:r w:rsidRPr="008329D2">
              <w:rPr>
                <w:sz w:val="18"/>
                <w:szCs w:val="18"/>
                <w:lang w:eastAsia="en-AU"/>
              </w:rPr>
              <w:t>Andrew Gilles</w:t>
            </w:r>
            <w:r w:rsidR="00980DB4" w:rsidRPr="008329D2">
              <w:rPr>
                <w:sz w:val="18"/>
                <w:szCs w:val="18"/>
                <w:lang w:eastAsia="en-AU"/>
              </w:rPr>
              <w:t>p</w:t>
            </w:r>
            <w:r w:rsidRPr="008329D2">
              <w:rPr>
                <w:sz w:val="18"/>
                <w:szCs w:val="18"/>
                <w:lang w:eastAsia="en-AU"/>
              </w:rPr>
              <w:t>ie</w:t>
            </w:r>
          </w:p>
        </w:tc>
        <w:tc>
          <w:tcPr>
            <w:tcW w:w="1276" w:type="dxa"/>
          </w:tcPr>
          <w:p w14:paraId="32E67708" w14:textId="77777777" w:rsidR="00530BA8" w:rsidRPr="008329D2" w:rsidRDefault="00530BA8" w:rsidP="00530BA8">
            <w:pPr>
              <w:spacing w:before="20" w:after="20"/>
              <w:rPr>
                <w:sz w:val="18"/>
                <w:szCs w:val="18"/>
                <w:lang w:eastAsia="en-AU"/>
              </w:rPr>
            </w:pPr>
            <w:r w:rsidRPr="008329D2">
              <w:rPr>
                <w:sz w:val="18"/>
                <w:szCs w:val="18"/>
                <w:lang w:eastAsia="en-AU"/>
              </w:rPr>
              <w:t>NZ MFAT</w:t>
            </w:r>
          </w:p>
        </w:tc>
        <w:tc>
          <w:tcPr>
            <w:tcW w:w="4820" w:type="dxa"/>
          </w:tcPr>
          <w:p w14:paraId="4E71316B" w14:textId="77777777" w:rsidR="00530BA8" w:rsidRPr="008329D2" w:rsidRDefault="00530BA8" w:rsidP="00530BA8">
            <w:pPr>
              <w:spacing w:before="20" w:after="20"/>
              <w:rPr>
                <w:sz w:val="18"/>
                <w:szCs w:val="18"/>
                <w:lang w:eastAsia="en-AU"/>
              </w:rPr>
            </w:pPr>
            <w:r w:rsidRPr="008329D2">
              <w:rPr>
                <w:sz w:val="18"/>
                <w:szCs w:val="18"/>
                <w:lang w:eastAsia="en-AU"/>
              </w:rPr>
              <w:t>NZ representative on FTA budget sub-committee</w:t>
            </w:r>
          </w:p>
        </w:tc>
      </w:tr>
      <w:tr w:rsidR="00530BA8" w:rsidRPr="002915C2" w14:paraId="6FCE5FA6" w14:textId="77777777" w:rsidTr="00530BA8">
        <w:trPr>
          <w:trHeight w:val="207"/>
        </w:trPr>
        <w:tc>
          <w:tcPr>
            <w:tcW w:w="822" w:type="dxa"/>
          </w:tcPr>
          <w:p w14:paraId="7347A16B" w14:textId="77777777" w:rsidR="00530BA8" w:rsidRPr="008329D2" w:rsidRDefault="00530BA8" w:rsidP="00530BA8">
            <w:pPr>
              <w:spacing w:before="20" w:after="20"/>
              <w:rPr>
                <w:sz w:val="18"/>
                <w:szCs w:val="18"/>
                <w:lang w:eastAsia="en-AU"/>
              </w:rPr>
            </w:pPr>
          </w:p>
        </w:tc>
        <w:tc>
          <w:tcPr>
            <w:tcW w:w="1984" w:type="dxa"/>
          </w:tcPr>
          <w:p w14:paraId="1E087DE9" w14:textId="77777777" w:rsidR="00530BA8" w:rsidRPr="008329D2" w:rsidRDefault="00530BA8" w:rsidP="00530BA8">
            <w:pPr>
              <w:spacing w:before="20" w:after="20"/>
              <w:rPr>
                <w:sz w:val="18"/>
                <w:szCs w:val="18"/>
                <w:lang w:eastAsia="en-AU"/>
              </w:rPr>
            </w:pPr>
            <w:r w:rsidRPr="008329D2">
              <w:rPr>
                <w:sz w:val="18"/>
                <w:szCs w:val="18"/>
                <w:lang w:eastAsia="en-AU"/>
              </w:rPr>
              <w:t>Caron Beaton Wells</w:t>
            </w:r>
          </w:p>
        </w:tc>
        <w:tc>
          <w:tcPr>
            <w:tcW w:w="1276" w:type="dxa"/>
          </w:tcPr>
          <w:p w14:paraId="46D306D2" w14:textId="77777777" w:rsidR="00530BA8" w:rsidRPr="008329D2" w:rsidRDefault="00530BA8" w:rsidP="00530BA8">
            <w:pPr>
              <w:spacing w:before="20" w:after="20"/>
              <w:rPr>
                <w:sz w:val="18"/>
                <w:szCs w:val="18"/>
                <w:lang w:eastAsia="en-AU"/>
              </w:rPr>
            </w:pPr>
            <w:r w:rsidRPr="008329D2">
              <w:rPr>
                <w:sz w:val="18"/>
                <w:szCs w:val="18"/>
                <w:lang w:eastAsia="en-AU"/>
              </w:rPr>
              <w:t>Consultant</w:t>
            </w:r>
          </w:p>
        </w:tc>
        <w:tc>
          <w:tcPr>
            <w:tcW w:w="4820" w:type="dxa"/>
          </w:tcPr>
          <w:p w14:paraId="28B98274" w14:textId="77777777" w:rsidR="00530BA8" w:rsidRPr="008329D2" w:rsidRDefault="00530BA8" w:rsidP="00530BA8">
            <w:pPr>
              <w:spacing w:before="20" w:after="20"/>
              <w:rPr>
                <w:sz w:val="18"/>
                <w:szCs w:val="18"/>
                <w:lang w:eastAsia="en-AU"/>
              </w:rPr>
            </w:pPr>
            <w:r w:rsidRPr="008329D2">
              <w:rPr>
                <w:sz w:val="18"/>
                <w:szCs w:val="18"/>
                <w:lang w:eastAsia="en-AU"/>
              </w:rPr>
              <w:t>AECSP contractor (competition workshops)</w:t>
            </w:r>
          </w:p>
        </w:tc>
      </w:tr>
      <w:tr w:rsidR="00DD2898" w:rsidRPr="002915C2" w14:paraId="23E4D569" w14:textId="77777777" w:rsidTr="00530BA8">
        <w:trPr>
          <w:trHeight w:val="207"/>
        </w:trPr>
        <w:tc>
          <w:tcPr>
            <w:tcW w:w="822" w:type="dxa"/>
          </w:tcPr>
          <w:p w14:paraId="40C178CB" w14:textId="77777777" w:rsidR="00DD2898" w:rsidRPr="008329D2" w:rsidRDefault="00DD2898" w:rsidP="00530BA8">
            <w:pPr>
              <w:spacing w:before="20" w:after="20"/>
              <w:rPr>
                <w:sz w:val="18"/>
                <w:szCs w:val="18"/>
                <w:lang w:eastAsia="en-AU"/>
              </w:rPr>
            </w:pPr>
          </w:p>
        </w:tc>
        <w:tc>
          <w:tcPr>
            <w:tcW w:w="1984" w:type="dxa"/>
          </w:tcPr>
          <w:p w14:paraId="5943DFC2" w14:textId="77777777" w:rsidR="00DD2898" w:rsidRPr="008329D2" w:rsidRDefault="00DD2898" w:rsidP="00530BA8">
            <w:pPr>
              <w:spacing w:before="20" w:after="20"/>
              <w:rPr>
                <w:sz w:val="18"/>
                <w:szCs w:val="18"/>
                <w:lang w:eastAsia="en-AU"/>
              </w:rPr>
            </w:pPr>
          </w:p>
        </w:tc>
        <w:tc>
          <w:tcPr>
            <w:tcW w:w="1276" w:type="dxa"/>
          </w:tcPr>
          <w:p w14:paraId="1BEBF16B" w14:textId="77777777" w:rsidR="00DD2898" w:rsidRPr="008329D2" w:rsidRDefault="00DD2898" w:rsidP="00530BA8">
            <w:pPr>
              <w:spacing w:before="20" w:after="20"/>
              <w:rPr>
                <w:sz w:val="18"/>
                <w:szCs w:val="18"/>
                <w:lang w:eastAsia="en-AU"/>
              </w:rPr>
            </w:pPr>
          </w:p>
        </w:tc>
        <w:tc>
          <w:tcPr>
            <w:tcW w:w="4820" w:type="dxa"/>
          </w:tcPr>
          <w:p w14:paraId="4599447A" w14:textId="77777777" w:rsidR="00DD2898" w:rsidRPr="008329D2" w:rsidRDefault="00DD2898" w:rsidP="00530BA8">
            <w:pPr>
              <w:spacing w:before="20" w:after="20"/>
              <w:rPr>
                <w:sz w:val="18"/>
                <w:szCs w:val="18"/>
                <w:lang w:eastAsia="en-AU"/>
              </w:rPr>
            </w:pPr>
          </w:p>
        </w:tc>
      </w:tr>
      <w:tr w:rsidR="00530BA8" w:rsidRPr="002915C2" w14:paraId="5BF05405" w14:textId="77777777" w:rsidTr="00530BA8">
        <w:trPr>
          <w:trHeight w:val="794"/>
        </w:trPr>
        <w:tc>
          <w:tcPr>
            <w:tcW w:w="822" w:type="dxa"/>
          </w:tcPr>
          <w:p w14:paraId="5B385665" w14:textId="77777777" w:rsidR="00530BA8" w:rsidRPr="008329D2" w:rsidRDefault="00530BA8" w:rsidP="00530BA8">
            <w:pPr>
              <w:spacing w:before="20" w:after="20"/>
              <w:rPr>
                <w:sz w:val="18"/>
                <w:szCs w:val="18"/>
                <w:lang w:eastAsia="en-AU"/>
              </w:rPr>
            </w:pPr>
            <w:r w:rsidRPr="008329D2">
              <w:rPr>
                <w:sz w:val="18"/>
                <w:szCs w:val="18"/>
                <w:lang w:eastAsia="en-AU"/>
              </w:rPr>
              <w:lastRenderedPageBreak/>
              <w:t>11/2/13</w:t>
            </w:r>
          </w:p>
        </w:tc>
        <w:tc>
          <w:tcPr>
            <w:tcW w:w="1984" w:type="dxa"/>
          </w:tcPr>
          <w:p w14:paraId="1B573A88" w14:textId="77777777" w:rsidR="00530BA8" w:rsidRPr="00EA21EA" w:rsidRDefault="00530BA8" w:rsidP="00530BA8">
            <w:pPr>
              <w:spacing w:before="40" w:after="40"/>
              <w:rPr>
                <w:sz w:val="18"/>
                <w:szCs w:val="18"/>
              </w:rPr>
            </w:pPr>
            <w:r w:rsidRPr="00EA21EA">
              <w:rPr>
                <w:sz w:val="18"/>
                <w:szCs w:val="18"/>
              </w:rPr>
              <w:t>Susanna Manurung</w:t>
            </w:r>
          </w:p>
          <w:p w14:paraId="7C6D4513" w14:textId="77777777" w:rsidR="00530BA8" w:rsidRPr="00EA21EA" w:rsidRDefault="00530BA8" w:rsidP="00530BA8">
            <w:pPr>
              <w:spacing w:before="40" w:after="40"/>
              <w:rPr>
                <w:sz w:val="18"/>
                <w:szCs w:val="18"/>
              </w:rPr>
            </w:pPr>
            <w:r w:rsidRPr="00EA21EA">
              <w:rPr>
                <w:sz w:val="18"/>
                <w:szCs w:val="18"/>
              </w:rPr>
              <w:t xml:space="preserve">Kunto </w:t>
            </w:r>
            <w:r>
              <w:rPr>
                <w:sz w:val="18"/>
                <w:szCs w:val="18"/>
              </w:rPr>
              <w:t>Suseno</w:t>
            </w:r>
          </w:p>
          <w:p w14:paraId="06FFE9A9" w14:textId="77777777" w:rsidR="00530BA8" w:rsidRPr="008329D2" w:rsidRDefault="00530BA8" w:rsidP="00530BA8">
            <w:pPr>
              <w:spacing w:before="20" w:after="20"/>
              <w:rPr>
                <w:sz w:val="18"/>
                <w:szCs w:val="18"/>
                <w:lang w:eastAsia="en-AU"/>
              </w:rPr>
            </w:pPr>
            <w:r>
              <w:rPr>
                <w:sz w:val="18"/>
                <w:szCs w:val="18"/>
              </w:rPr>
              <w:t>Jati Martopranoto</w:t>
            </w:r>
          </w:p>
        </w:tc>
        <w:tc>
          <w:tcPr>
            <w:tcW w:w="1276" w:type="dxa"/>
          </w:tcPr>
          <w:p w14:paraId="22B3A055" w14:textId="77777777" w:rsidR="00530BA8" w:rsidRPr="00EA21EA" w:rsidRDefault="00530BA8" w:rsidP="00530BA8">
            <w:pPr>
              <w:spacing w:before="40" w:after="40"/>
              <w:rPr>
                <w:sz w:val="18"/>
                <w:szCs w:val="18"/>
              </w:rPr>
            </w:pPr>
            <w:r w:rsidRPr="00EA21EA">
              <w:rPr>
                <w:sz w:val="18"/>
                <w:szCs w:val="18"/>
              </w:rPr>
              <w:t>ASU</w:t>
            </w:r>
          </w:p>
          <w:p w14:paraId="601AAF99" w14:textId="77777777" w:rsidR="00530BA8" w:rsidRPr="00EA21EA" w:rsidRDefault="00530BA8" w:rsidP="00530BA8">
            <w:pPr>
              <w:spacing w:before="40" w:after="40"/>
              <w:rPr>
                <w:sz w:val="18"/>
                <w:szCs w:val="18"/>
              </w:rPr>
            </w:pPr>
            <w:r w:rsidRPr="00EA21EA">
              <w:rPr>
                <w:sz w:val="18"/>
                <w:szCs w:val="18"/>
              </w:rPr>
              <w:t>ASU</w:t>
            </w:r>
          </w:p>
          <w:p w14:paraId="7ACF6ECC" w14:textId="77777777" w:rsidR="00530BA8" w:rsidRPr="008329D2" w:rsidRDefault="00530BA8" w:rsidP="00530BA8">
            <w:pPr>
              <w:spacing w:before="20" w:after="20"/>
              <w:rPr>
                <w:sz w:val="18"/>
                <w:szCs w:val="18"/>
                <w:lang w:eastAsia="en-AU"/>
              </w:rPr>
            </w:pPr>
            <w:r>
              <w:rPr>
                <w:sz w:val="18"/>
                <w:szCs w:val="18"/>
              </w:rPr>
              <w:t>ASU</w:t>
            </w:r>
          </w:p>
        </w:tc>
        <w:tc>
          <w:tcPr>
            <w:tcW w:w="4820" w:type="dxa"/>
          </w:tcPr>
          <w:p w14:paraId="02DA8FBC" w14:textId="77777777" w:rsidR="00530BA8" w:rsidRPr="00EA21EA" w:rsidRDefault="00530BA8" w:rsidP="00530BA8">
            <w:pPr>
              <w:spacing w:before="40" w:after="40"/>
              <w:rPr>
                <w:sz w:val="18"/>
                <w:szCs w:val="18"/>
              </w:rPr>
            </w:pPr>
            <w:r w:rsidRPr="00EA21EA">
              <w:rPr>
                <w:sz w:val="18"/>
                <w:szCs w:val="18"/>
              </w:rPr>
              <w:t>Trade Officer</w:t>
            </w:r>
          </w:p>
          <w:p w14:paraId="15C8CA15" w14:textId="77777777" w:rsidR="00530BA8" w:rsidRPr="00EA21EA" w:rsidRDefault="00530BA8" w:rsidP="00530BA8">
            <w:pPr>
              <w:spacing w:before="40" w:after="40"/>
              <w:rPr>
                <w:sz w:val="18"/>
                <w:szCs w:val="18"/>
              </w:rPr>
            </w:pPr>
            <w:r w:rsidRPr="00EA21EA">
              <w:rPr>
                <w:sz w:val="18"/>
                <w:szCs w:val="18"/>
              </w:rPr>
              <w:t>Trade Officer</w:t>
            </w:r>
          </w:p>
          <w:p w14:paraId="52FD569B" w14:textId="77777777" w:rsidR="00530BA8" w:rsidRPr="008329D2" w:rsidRDefault="00530BA8" w:rsidP="00530BA8">
            <w:pPr>
              <w:spacing w:before="20" w:after="20"/>
              <w:rPr>
                <w:sz w:val="18"/>
                <w:szCs w:val="18"/>
                <w:lang w:eastAsia="en-AU"/>
              </w:rPr>
            </w:pPr>
            <w:r>
              <w:rPr>
                <w:sz w:val="18"/>
                <w:szCs w:val="18"/>
              </w:rPr>
              <w:t xml:space="preserve">Technical </w:t>
            </w:r>
            <w:r w:rsidRPr="00EA21EA">
              <w:rPr>
                <w:sz w:val="18"/>
                <w:szCs w:val="18"/>
              </w:rPr>
              <w:t>Officer</w:t>
            </w:r>
          </w:p>
        </w:tc>
      </w:tr>
      <w:tr w:rsidR="00530BA8" w:rsidRPr="002915C2" w14:paraId="04FC72D9" w14:textId="77777777" w:rsidTr="00530BA8">
        <w:trPr>
          <w:trHeight w:val="207"/>
        </w:trPr>
        <w:tc>
          <w:tcPr>
            <w:tcW w:w="822" w:type="dxa"/>
          </w:tcPr>
          <w:p w14:paraId="2DD42A3F" w14:textId="77777777" w:rsidR="00530BA8" w:rsidRPr="008329D2" w:rsidRDefault="00530BA8" w:rsidP="00530BA8">
            <w:pPr>
              <w:spacing w:before="20" w:after="20"/>
              <w:rPr>
                <w:sz w:val="18"/>
                <w:szCs w:val="18"/>
                <w:lang w:eastAsia="en-AU"/>
              </w:rPr>
            </w:pPr>
          </w:p>
        </w:tc>
        <w:tc>
          <w:tcPr>
            <w:tcW w:w="1984" w:type="dxa"/>
          </w:tcPr>
          <w:p w14:paraId="3F6571FA" w14:textId="77777777" w:rsidR="00530BA8" w:rsidRPr="008329D2" w:rsidRDefault="00530BA8" w:rsidP="00530BA8">
            <w:pPr>
              <w:spacing w:before="20" w:after="20"/>
              <w:rPr>
                <w:sz w:val="18"/>
                <w:szCs w:val="18"/>
                <w:lang w:eastAsia="en-AU"/>
              </w:rPr>
            </w:pPr>
            <w:r>
              <w:rPr>
                <w:sz w:val="18"/>
                <w:szCs w:val="18"/>
              </w:rPr>
              <w:t>Jeannie Kiagoes</w:t>
            </w:r>
          </w:p>
        </w:tc>
        <w:tc>
          <w:tcPr>
            <w:tcW w:w="1276" w:type="dxa"/>
          </w:tcPr>
          <w:p w14:paraId="31D25B6A" w14:textId="77777777" w:rsidR="00530BA8" w:rsidRPr="008329D2" w:rsidRDefault="00530BA8" w:rsidP="00530BA8">
            <w:pPr>
              <w:spacing w:before="20" w:after="20"/>
              <w:rPr>
                <w:sz w:val="18"/>
                <w:szCs w:val="18"/>
                <w:lang w:eastAsia="en-AU"/>
              </w:rPr>
            </w:pPr>
            <w:r>
              <w:rPr>
                <w:sz w:val="18"/>
                <w:szCs w:val="18"/>
              </w:rPr>
              <w:t>ASU</w:t>
            </w:r>
          </w:p>
        </w:tc>
        <w:tc>
          <w:tcPr>
            <w:tcW w:w="4820" w:type="dxa"/>
          </w:tcPr>
          <w:p w14:paraId="6E09B1F2" w14:textId="77777777" w:rsidR="00530BA8" w:rsidRPr="008329D2" w:rsidRDefault="00530BA8" w:rsidP="00530BA8">
            <w:pPr>
              <w:spacing w:before="20" w:after="20"/>
              <w:rPr>
                <w:sz w:val="18"/>
                <w:szCs w:val="18"/>
                <w:lang w:eastAsia="en-AU"/>
              </w:rPr>
            </w:pPr>
            <w:r>
              <w:rPr>
                <w:sz w:val="18"/>
                <w:szCs w:val="18"/>
              </w:rPr>
              <w:t>Technical Assistant</w:t>
            </w:r>
          </w:p>
        </w:tc>
      </w:tr>
      <w:tr w:rsidR="00530BA8" w:rsidRPr="002915C2" w14:paraId="7B6396F1" w14:textId="77777777" w:rsidTr="00530BA8">
        <w:trPr>
          <w:trHeight w:val="207"/>
        </w:trPr>
        <w:tc>
          <w:tcPr>
            <w:tcW w:w="822" w:type="dxa"/>
          </w:tcPr>
          <w:p w14:paraId="63CEB1E4" w14:textId="77777777" w:rsidR="00530BA8" w:rsidRPr="008329D2" w:rsidRDefault="00530BA8" w:rsidP="00530BA8">
            <w:pPr>
              <w:spacing w:before="20" w:after="20"/>
              <w:rPr>
                <w:sz w:val="18"/>
                <w:szCs w:val="18"/>
                <w:lang w:eastAsia="en-AU"/>
              </w:rPr>
            </w:pPr>
          </w:p>
        </w:tc>
        <w:tc>
          <w:tcPr>
            <w:tcW w:w="1984" w:type="dxa"/>
          </w:tcPr>
          <w:p w14:paraId="0B8B677A" w14:textId="77777777" w:rsidR="00530BA8" w:rsidRPr="008329D2" w:rsidRDefault="00530BA8" w:rsidP="00530BA8">
            <w:pPr>
              <w:spacing w:before="20" w:after="20"/>
              <w:rPr>
                <w:sz w:val="18"/>
                <w:szCs w:val="18"/>
                <w:lang w:eastAsia="en-AU"/>
              </w:rPr>
            </w:pPr>
            <w:r w:rsidRPr="008329D2">
              <w:rPr>
                <w:sz w:val="18"/>
                <w:szCs w:val="18"/>
                <w:lang w:eastAsia="en-AU"/>
              </w:rPr>
              <w:t>Anna Robeniol</w:t>
            </w:r>
          </w:p>
        </w:tc>
        <w:tc>
          <w:tcPr>
            <w:tcW w:w="1276" w:type="dxa"/>
          </w:tcPr>
          <w:p w14:paraId="7E0D5928" w14:textId="2CBE5D0D"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 xml:space="preserve">Secretariat </w:t>
            </w:r>
          </w:p>
        </w:tc>
        <w:tc>
          <w:tcPr>
            <w:tcW w:w="4820" w:type="dxa"/>
          </w:tcPr>
          <w:p w14:paraId="61224951" w14:textId="77777777" w:rsidR="00530BA8" w:rsidRPr="008329D2" w:rsidRDefault="00530BA8" w:rsidP="00530BA8">
            <w:pPr>
              <w:spacing w:before="20" w:after="20"/>
              <w:rPr>
                <w:sz w:val="18"/>
                <w:szCs w:val="18"/>
                <w:lang w:eastAsia="en-AU"/>
              </w:rPr>
            </w:pPr>
            <w:r w:rsidRPr="008329D2">
              <w:rPr>
                <w:sz w:val="18"/>
                <w:szCs w:val="18"/>
                <w:lang w:eastAsia="en-AU"/>
              </w:rPr>
              <w:t xml:space="preserve">Assistant Director – </w:t>
            </w:r>
            <w:r w:rsidRPr="00E03B16">
              <w:rPr>
                <w:sz w:val="18"/>
                <w:szCs w:val="18"/>
                <w:lang w:eastAsia="en-AU"/>
              </w:rPr>
              <w:t>External</w:t>
            </w:r>
            <w:r w:rsidRPr="008329D2">
              <w:rPr>
                <w:sz w:val="18"/>
                <w:szCs w:val="18"/>
                <w:lang w:eastAsia="en-AU"/>
              </w:rPr>
              <w:t xml:space="preserve"> Economic Relations</w:t>
            </w:r>
          </w:p>
        </w:tc>
      </w:tr>
      <w:tr w:rsidR="00530BA8" w:rsidRPr="002915C2" w14:paraId="0F36408B" w14:textId="77777777" w:rsidTr="00530BA8">
        <w:trPr>
          <w:trHeight w:val="207"/>
        </w:trPr>
        <w:tc>
          <w:tcPr>
            <w:tcW w:w="822" w:type="dxa"/>
          </w:tcPr>
          <w:p w14:paraId="36A298AF" w14:textId="77777777" w:rsidR="00530BA8" w:rsidRPr="008329D2" w:rsidRDefault="00530BA8" w:rsidP="00530BA8">
            <w:pPr>
              <w:spacing w:before="20" w:after="20"/>
              <w:rPr>
                <w:sz w:val="18"/>
                <w:szCs w:val="18"/>
                <w:lang w:eastAsia="en-AU"/>
              </w:rPr>
            </w:pPr>
          </w:p>
        </w:tc>
        <w:tc>
          <w:tcPr>
            <w:tcW w:w="1984" w:type="dxa"/>
          </w:tcPr>
          <w:p w14:paraId="16C8323D" w14:textId="77777777" w:rsidR="00530BA8" w:rsidRPr="008329D2" w:rsidRDefault="00530BA8" w:rsidP="00530BA8">
            <w:pPr>
              <w:spacing w:before="20" w:after="20"/>
              <w:rPr>
                <w:sz w:val="18"/>
                <w:szCs w:val="18"/>
                <w:lang w:eastAsia="en-AU"/>
              </w:rPr>
            </w:pPr>
            <w:r w:rsidRPr="00BF6D66">
              <w:rPr>
                <w:sz w:val="18"/>
                <w:szCs w:val="18"/>
                <w:lang w:val="en-US" w:eastAsia="en-AU"/>
              </w:rPr>
              <w:t>Subash Bose Pillai</w:t>
            </w:r>
          </w:p>
        </w:tc>
        <w:tc>
          <w:tcPr>
            <w:tcW w:w="1276" w:type="dxa"/>
          </w:tcPr>
          <w:p w14:paraId="4A5BB7E6" w14:textId="1E0495CA" w:rsidR="00530BA8"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 xml:space="preserve">Secretariat </w:t>
            </w:r>
          </w:p>
          <w:p w14:paraId="193C1EA3" w14:textId="6FA93B7A" w:rsidR="00DD2898" w:rsidRPr="008329D2" w:rsidRDefault="00DD2898" w:rsidP="00530BA8">
            <w:pPr>
              <w:spacing w:before="20" w:after="20"/>
              <w:rPr>
                <w:sz w:val="18"/>
                <w:szCs w:val="18"/>
                <w:lang w:eastAsia="en-AU"/>
              </w:rPr>
            </w:pPr>
          </w:p>
        </w:tc>
        <w:tc>
          <w:tcPr>
            <w:tcW w:w="4820" w:type="dxa"/>
          </w:tcPr>
          <w:p w14:paraId="327009D7" w14:textId="77777777" w:rsidR="00530BA8" w:rsidRPr="008329D2" w:rsidRDefault="00530BA8" w:rsidP="00530BA8">
            <w:pPr>
              <w:spacing w:before="20" w:after="20"/>
              <w:rPr>
                <w:sz w:val="18"/>
                <w:szCs w:val="18"/>
                <w:lang w:eastAsia="en-AU"/>
              </w:rPr>
            </w:pPr>
            <w:r w:rsidRPr="008329D2">
              <w:rPr>
                <w:sz w:val="18"/>
                <w:szCs w:val="18"/>
                <w:lang w:eastAsia="en-AU"/>
              </w:rPr>
              <w:t>Director – Market Integration</w:t>
            </w:r>
          </w:p>
        </w:tc>
      </w:tr>
      <w:tr w:rsidR="00530BA8" w:rsidRPr="002915C2" w14:paraId="6292936D" w14:textId="77777777" w:rsidTr="00530BA8">
        <w:trPr>
          <w:trHeight w:val="207"/>
        </w:trPr>
        <w:tc>
          <w:tcPr>
            <w:tcW w:w="822" w:type="dxa"/>
          </w:tcPr>
          <w:p w14:paraId="2F56DA41" w14:textId="77777777" w:rsidR="00530BA8" w:rsidRPr="008329D2" w:rsidRDefault="00530BA8" w:rsidP="00530BA8">
            <w:pPr>
              <w:spacing w:before="20" w:after="20"/>
              <w:rPr>
                <w:sz w:val="18"/>
                <w:szCs w:val="18"/>
                <w:lang w:eastAsia="en-AU"/>
              </w:rPr>
            </w:pPr>
            <w:r w:rsidRPr="008329D2">
              <w:rPr>
                <w:sz w:val="18"/>
                <w:szCs w:val="18"/>
                <w:lang w:eastAsia="en-AU"/>
              </w:rPr>
              <w:t>12/2/13</w:t>
            </w:r>
          </w:p>
        </w:tc>
        <w:tc>
          <w:tcPr>
            <w:tcW w:w="1984" w:type="dxa"/>
          </w:tcPr>
          <w:p w14:paraId="31FFCD93" w14:textId="77777777" w:rsidR="00530BA8" w:rsidRPr="008329D2" w:rsidRDefault="00530BA8" w:rsidP="00530BA8">
            <w:pPr>
              <w:spacing w:before="20" w:after="20"/>
              <w:rPr>
                <w:sz w:val="18"/>
                <w:szCs w:val="18"/>
                <w:lang w:eastAsia="en-AU"/>
              </w:rPr>
            </w:pPr>
            <w:r w:rsidRPr="008329D2">
              <w:rPr>
                <w:sz w:val="18"/>
                <w:szCs w:val="18"/>
                <w:lang w:eastAsia="en-AU"/>
              </w:rPr>
              <w:t>Jenny Lala</w:t>
            </w:r>
          </w:p>
          <w:p w14:paraId="3D7E51B3" w14:textId="77777777" w:rsidR="00530BA8" w:rsidRDefault="00530BA8" w:rsidP="00530BA8">
            <w:pPr>
              <w:spacing w:before="20" w:after="20"/>
              <w:rPr>
                <w:sz w:val="18"/>
                <w:szCs w:val="18"/>
                <w:lang w:eastAsia="en-AU"/>
              </w:rPr>
            </w:pPr>
            <w:r w:rsidRPr="008329D2">
              <w:rPr>
                <w:sz w:val="18"/>
                <w:szCs w:val="18"/>
                <w:lang w:eastAsia="en-AU"/>
              </w:rPr>
              <w:t>Glenda Reyes</w:t>
            </w:r>
          </w:p>
          <w:p w14:paraId="3041D4A2" w14:textId="77777777" w:rsidR="00DD2898" w:rsidRPr="008329D2" w:rsidRDefault="00DD2898" w:rsidP="00530BA8">
            <w:pPr>
              <w:spacing w:before="20" w:after="20"/>
              <w:rPr>
                <w:sz w:val="18"/>
                <w:szCs w:val="18"/>
                <w:lang w:eastAsia="en-AU"/>
              </w:rPr>
            </w:pPr>
          </w:p>
          <w:p w14:paraId="32111CF1" w14:textId="77777777" w:rsidR="00530BA8" w:rsidRDefault="00530BA8" w:rsidP="00530BA8">
            <w:pPr>
              <w:spacing w:before="20" w:after="20"/>
              <w:rPr>
                <w:sz w:val="18"/>
                <w:szCs w:val="18"/>
                <w:lang w:eastAsia="en-AU"/>
              </w:rPr>
            </w:pPr>
            <w:r w:rsidRPr="008329D2">
              <w:rPr>
                <w:sz w:val="18"/>
                <w:szCs w:val="18"/>
                <w:lang w:eastAsia="en-AU"/>
              </w:rPr>
              <w:t>Elizabeth Alarilla</w:t>
            </w:r>
          </w:p>
          <w:p w14:paraId="2411967A" w14:textId="77777777" w:rsidR="00DD2898" w:rsidRPr="008329D2" w:rsidRDefault="00DD2898" w:rsidP="00530BA8">
            <w:pPr>
              <w:spacing w:before="20" w:after="20"/>
              <w:rPr>
                <w:sz w:val="18"/>
                <w:szCs w:val="18"/>
                <w:lang w:eastAsia="en-AU"/>
              </w:rPr>
            </w:pPr>
          </w:p>
          <w:p w14:paraId="55900604" w14:textId="77777777" w:rsidR="00530BA8" w:rsidRDefault="00530BA8" w:rsidP="00530BA8">
            <w:pPr>
              <w:spacing w:before="20" w:after="20"/>
              <w:rPr>
                <w:sz w:val="18"/>
                <w:szCs w:val="18"/>
                <w:lang w:eastAsia="en-AU"/>
              </w:rPr>
            </w:pPr>
            <w:r w:rsidRPr="008329D2">
              <w:rPr>
                <w:sz w:val="18"/>
                <w:szCs w:val="18"/>
                <w:lang w:eastAsia="en-AU"/>
              </w:rPr>
              <w:t>Mega Irena</w:t>
            </w:r>
          </w:p>
          <w:p w14:paraId="688727DF" w14:textId="77777777" w:rsidR="00DD2898" w:rsidRPr="008329D2" w:rsidRDefault="00DD2898" w:rsidP="00530BA8">
            <w:pPr>
              <w:spacing w:before="20" w:after="20"/>
              <w:rPr>
                <w:sz w:val="18"/>
                <w:szCs w:val="18"/>
                <w:lang w:eastAsia="en-AU"/>
              </w:rPr>
            </w:pPr>
          </w:p>
          <w:p w14:paraId="1143B7B3" w14:textId="77777777" w:rsidR="00530BA8" w:rsidRPr="008329D2" w:rsidRDefault="00530BA8" w:rsidP="00530BA8">
            <w:pPr>
              <w:spacing w:before="20" w:after="20"/>
              <w:rPr>
                <w:sz w:val="18"/>
                <w:szCs w:val="18"/>
                <w:lang w:eastAsia="en-AU"/>
              </w:rPr>
            </w:pPr>
            <w:r w:rsidRPr="008329D2">
              <w:rPr>
                <w:sz w:val="18"/>
                <w:szCs w:val="18"/>
                <w:lang w:eastAsia="en-AU"/>
              </w:rPr>
              <w:t>Kamal Mamat</w:t>
            </w:r>
          </w:p>
        </w:tc>
        <w:tc>
          <w:tcPr>
            <w:tcW w:w="1276" w:type="dxa"/>
          </w:tcPr>
          <w:p w14:paraId="6DEB053F" w14:textId="77777777" w:rsidR="00530BA8" w:rsidRPr="008329D2" w:rsidRDefault="00530BA8" w:rsidP="00530BA8">
            <w:pPr>
              <w:spacing w:before="20" w:after="20"/>
              <w:rPr>
                <w:sz w:val="18"/>
                <w:szCs w:val="18"/>
                <w:lang w:eastAsia="en-AU"/>
              </w:rPr>
            </w:pPr>
            <w:r>
              <w:rPr>
                <w:sz w:val="18"/>
                <w:szCs w:val="18"/>
                <w:lang w:eastAsia="en-AU"/>
              </w:rPr>
              <w:t>AADCP II</w:t>
            </w:r>
          </w:p>
          <w:p w14:paraId="6C353D11" w14:textId="30F32699"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 xml:space="preserve">Secretariat </w:t>
            </w:r>
          </w:p>
          <w:p w14:paraId="5174A6B1" w14:textId="7B1C889B"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p w14:paraId="032BB556" w14:textId="10B19806"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p w14:paraId="3ED86056" w14:textId="1685D3E9"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tc>
        <w:tc>
          <w:tcPr>
            <w:tcW w:w="4820" w:type="dxa"/>
          </w:tcPr>
          <w:p w14:paraId="0DF490A6" w14:textId="77777777" w:rsidR="00530BA8" w:rsidRPr="008329D2" w:rsidRDefault="00530BA8" w:rsidP="00530BA8">
            <w:pPr>
              <w:spacing w:before="20" w:after="20"/>
              <w:rPr>
                <w:sz w:val="18"/>
                <w:szCs w:val="18"/>
                <w:lang w:eastAsia="en-AU"/>
              </w:rPr>
            </w:pPr>
            <w:r w:rsidRPr="008329D2">
              <w:rPr>
                <w:sz w:val="18"/>
                <w:szCs w:val="18"/>
                <w:lang w:eastAsia="en-AU"/>
              </w:rPr>
              <w:t xml:space="preserve">Program Director – AADCP </w:t>
            </w:r>
            <w:r>
              <w:rPr>
                <w:sz w:val="18"/>
                <w:szCs w:val="18"/>
                <w:lang w:eastAsia="en-AU"/>
              </w:rPr>
              <w:t xml:space="preserve">II </w:t>
            </w:r>
            <w:r w:rsidRPr="008329D2">
              <w:rPr>
                <w:sz w:val="18"/>
                <w:szCs w:val="18"/>
                <w:lang w:eastAsia="en-AU"/>
              </w:rPr>
              <w:t>(AusAID)</w:t>
            </w:r>
          </w:p>
          <w:p w14:paraId="7A5DECC5" w14:textId="77777777" w:rsidR="00530BA8" w:rsidRPr="008329D2" w:rsidRDefault="00530BA8" w:rsidP="00530BA8">
            <w:pPr>
              <w:spacing w:before="20" w:after="20"/>
              <w:rPr>
                <w:sz w:val="18"/>
                <w:szCs w:val="18"/>
                <w:lang w:eastAsia="en-AU"/>
              </w:rPr>
            </w:pPr>
            <w:r w:rsidRPr="008329D2">
              <w:rPr>
                <w:sz w:val="18"/>
                <w:szCs w:val="18"/>
                <w:lang w:eastAsia="en-AU"/>
              </w:rPr>
              <w:t>Assistant Director – Services and Investment</w:t>
            </w:r>
          </w:p>
          <w:p w14:paraId="3F85C980" w14:textId="77777777" w:rsidR="000F345D" w:rsidRDefault="000F345D" w:rsidP="00530BA8">
            <w:pPr>
              <w:spacing w:before="20" w:after="20"/>
              <w:rPr>
                <w:sz w:val="18"/>
                <w:szCs w:val="18"/>
                <w:lang w:eastAsia="en-AU"/>
              </w:rPr>
            </w:pPr>
          </w:p>
          <w:p w14:paraId="005131D0" w14:textId="77777777" w:rsidR="00530BA8" w:rsidRPr="008329D2" w:rsidRDefault="00530BA8" w:rsidP="000F345D">
            <w:pPr>
              <w:spacing w:before="0" w:after="0"/>
              <w:rPr>
                <w:sz w:val="18"/>
                <w:szCs w:val="18"/>
                <w:lang w:eastAsia="en-AU"/>
              </w:rPr>
            </w:pPr>
            <w:r w:rsidRPr="008329D2">
              <w:rPr>
                <w:sz w:val="18"/>
                <w:szCs w:val="18"/>
                <w:lang w:eastAsia="en-AU"/>
              </w:rPr>
              <w:t>Senior Officer – Statistics</w:t>
            </w:r>
          </w:p>
          <w:p w14:paraId="0A900F4A" w14:textId="77777777" w:rsidR="000F345D" w:rsidRDefault="000F345D" w:rsidP="000F345D">
            <w:pPr>
              <w:spacing w:before="0" w:after="0"/>
              <w:rPr>
                <w:sz w:val="18"/>
                <w:szCs w:val="18"/>
                <w:lang w:eastAsia="en-AU"/>
              </w:rPr>
            </w:pPr>
          </w:p>
          <w:p w14:paraId="45F0AFEF" w14:textId="77777777" w:rsidR="00530BA8" w:rsidRPr="008329D2" w:rsidRDefault="00530BA8" w:rsidP="000F345D">
            <w:pPr>
              <w:spacing w:before="0" w:after="0"/>
              <w:rPr>
                <w:sz w:val="18"/>
                <w:szCs w:val="18"/>
                <w:lang w:eastAsia="en-AU"/>
              </w:rPr>
            </w:pPr>
            <w:r w:rsidRPr="008329D2">
              <w:rPr>
                <w:sz w:val="18"/>
                <w:szCs w:val="18"/>
                <w:lang w:eastAsia="en-AU"/>
              </w:rPr>
              <w:t>Assistant Director – Social Welfare</w:t>
            </w:r>
          </w:p>
          <w:p w14:paraId="53A750EA" w14:textId="77777777" w:rsidR="000F345D" w:rsidRDefault="000F345D" w:rsidP="00530BA8">
            <w:pPr>
              <w:spacing w:before="20" w:after="20"/>
              <w:rPr>
                <w:sz w:val="18"/>
                <w:szCs w:val="18"/>
                <w:lang w:eastAsia="en-AU"/>
              </w:rPr>
            </w:pPr>
          </w:p>
          <w:p w14:paraId="3D9A4695" w14:textId="77777777" w:rsidR="00530BA8" w:rsidRPr="008329D2" w:rsidRDefault="00530BA8" w:rsidP="000F345D">
            <w:pPr>
              <w:spacing w:before="0" w:after="0"/>
              <w:rPr>
                <w:sz w:val="18"/>
                <w:szCs w:val="18"/>
                <w:lang w:eastAsia="en-AU"/>
              </w:rPr>
            </w:pPr>
            <w:r w:rsidRPr="008329D2">
              <w:rPr>
                <w:sz w:val="18"/>
                <w:szCs w:val="18"/>
                <w:lang w:eastAsia="en-AU"/>
              </w:rPr>
              <w:t>Senior Officer – Education</w:t>
            </w:r>
          </w:p>
        </w:tc>
      </w:tr>
      <w:tr w:rsidR="00530BA8" w:rsidRPr="002915C2" w14:paraId="06A6AE45" w14:textId="77777777" w:rsidTr="00530BA8">
        <w:trPr>
          <w:trHeight w:val="207"/>
        </w:trPr>
        <w:tc>
          <w:tcPr>
            <w:tcW w:w="822" w:type="dxa"/>
          </w:tcPr>
          <w:p w14:paraId="2C2E9983" w14:textId="0D1A29D3" w:rsidR="00530BA8" w:rsidRPr="008329D2" w:rsidRDefault="0020385E" w:rsidP="00530BA8">
            <w:pPr>
              <w:spacing w:before="20" w:after="20"/>
              <w:rPr>
                <w:sz w:val="18"/>
                <w:szCs w:val="18"/>
                <w:lang w:eastAsia="en-AU"/>
              </w:rPr>
            </w:pPr>
            <w:r>
              <w:rPr>
                <w:sz w:val="18"/>
                <w:szCs w:val="18"/>
                <w:lang w:eastAsia="en-AU"/>
              </w:rPr>
              <w:t xml:space="preserve">/ </w:t>
            </w:r>
          </w:p>
        </w:tc>
        <w:tc>
          <w:tcPr>
            <w:tcW w:w="1984" w:type="dxa"/>
          </w:tcPr>
          <w:p w14:paraId="12C3F30F" w14:textId="77777777" w:rsidR="00530BA8" w:rsidRPr="008329D2" w:rsidRDefault="00530BA8" w:rsidP="00530BA8">
            <w:pPr>
              <w:spacing w:before="20" w:after="20"/>
              <w:rPr>
                <w:sz w:val="18"/>
                <w:szCs w:val="18"/>
                <w:lang w:eastAsia="en-AU"/>
              </w:rPr>
            </w:pPr>
            <w:r w:rsidRPr="008329D2">
              <w:rPr>
                <w:sz w:val="18"/>
                <w:szCs w:val="18"/>
                <w:lang w:eastAsia="en-AU"/>
              </w:rPr>
              <w:t>Sita Zimpel</w:t>
            </w:r>
          </w:p>
        </w:tc>
        <w:tc>
          <w:tcPr>
            <w:tcW w:w="1276" w:type="dxa"/>
          </w:tcPr>
          <w:p w14:paraId="02505055" w14:textId="77777777" w:rsidR="00530BA8" w:rsidRPr="008329D2" w:rsidRDefault="00530BA8" w:rsidP="00530BA8">
            <w:pPr>
              <w:spacing w:before="20" w:after="20"/>
              <w:rPr>
                <w:sz w:val="18"/>
                <w:szCs w:val="18"/>
                <w:lang w:eastAsia="en-AU"/>
              </w:rPr>
            </w:pPr>
            <w:r w:rsidRPr="008329D2">
              <w:rPr>
                <w:sz w:val="18"/>
                <w:szCs w:val="18"/>
                <w:lang w:eastAsia="en-AU"/>
              </w:rPr>
              <w:t>GIZ</w:t>
            </w:r>
          </w:p>
        </w:tc>
        <w:tc>
          <w:tcPr>
            <w:tcW w:w="4820" w:type="dxa"/>
          </w:tcPr>
          <w:p w14:paraId="14F258B5" w14:textId="76F33930" w:rsidR="00530BA8" w:rsidRDefault="00530BA8" w:rsidP="00530BA8">
            <w:pPr>
              <w:spacing w:before="20" w:after="20"/>
              <w:rPr>
                <w:sz w:val="18"/>
                <w:szCs w:val="18"/>
                <w:lang w:eastAsia="en-AU"/>
              </w:rPr>
            </w:pPr>
            <w:r w:rsidRPr="008329D2">
              <w:rPr>
                <w:sz w:val="18"/>
                <w:szCs w:val="18"/>
                <w:lang w:eastAsia="en-AU"/>
              </w:rPr>
              <w:t xml:space="preserve">Technical Adviser – </w:t>
            </w:r>
            <w:r w:rsidR="00FA23AA">
              <w:rPr>
                <w:sz w:val="18"/>
                <w:szCs w:val="18"/>
                <w:lang w:eastAsia="en-AU"/>
              </w:rPr>
              <w:t xml:space="preserve">ASEAN </w:t>
            </w:r>
            <w:r w:rsidR="001827E7">
              <w:rPr>
                <w:sz w:val="18"/>
                <w:szCs w:val="18"/>
                <w:lang w:eastAsia="en-AU"/>
              </w:rPr>
              <w:t xml:space="preserve">Secretariat </w:t>
            </w:r>
            <w:r w:rsidRPr="008329D2">
              <w:rPr>
                <w:sz w:val="18"/>
                <w:szCs w:val="18"/>
                <w:lang w:eastAsia="en-AU"/>
              </w:rPr>
              <w:t>GIZ Program</w:t>
            </w:r>
          </w:p>
          <w:p w14:paraId="5E268419" w14:textId="4D002E1C" w:rsidR="00DD2898" w:rsidRPr="008329D2" w:rsidRDefault="00DD2898" w:rsidP="00530BA8">
            <w:pPr>
              <w:spacing w:before="20" w:after="20"/>
              <w:rPr>
                <w:sz w:val="18"/>
                <w:szCs w:val="18"/>
                <w:lang w:eastAsia="en-AU"/>
              </w:rPr>
            </w:pPr>
          </w:p>
        </w:tc>
      </w:tr>
      <w:tr w:rsidR="00530BA8" w:rsidRPr="002915C2" w14:paraId="029C960D" w14:textId="77777777" w:rsidTr="00530BA8">
        <w:trPr>
          <w:trHeight w:val="207"/>
        </w:trPr>
        <w:tc>
          <w:tcPr>
            <w:tcW w:w="822" w:type="dxa"/>
          </w:tcPr>
          <w:p w14:paraId="437848DC" w14:textId="77777777" w:rsidR="00530BA8" w:rsidRPr="008329D2" w:rsidRDefault="00530BA8" w:rsidP="00530BA8">
            <w:pPr>
              <w:spacing w:before="20" w:after="20"/>
              <w:rPr>
                <w:sz w:val="18"/>
                <w:szCs w:val="18"/>
                <w:lang w:eastAsia="en-AU"/>
              </w:rPr>
            </w:pPr>
            <w:r w:rsidRPr="008329D2">
              <w:rPr>
                <w:sz w:val="18"/>
                <w:szCs w:val="18"/>
                <w:lang w:eastAsia="en-AU"/>
              </w:rPr>
              <w:t>13/2/13</w:t>
            </w:r>
          </w:p>
        </w:tc>
        <w:tc>
          <w:tcPr>
            <w:tcW w:w="1984" w:type="dxa"/>
          </w:tcPr>
          <w:p w14:paraId="788FF7CF" w14:textId="77777777" w:rsidR="00530BA8" w:rsidRDefault="00530BA8" w:rsidP="00530BA8">
            <w:pPr>
              <w:spacing w:before="20" w:after="20"/>
              <w:rPr>
                <w:sz w:val="18"/>
                <w:szCs w:val="18"/>
                <w:lang w:eastAsia="en-AU"/>
              </w:rPr>
            </w:pPr>
            <w:r w:rsidRPr="008329D2">
              <w:rPr>
                <w:sz w:val="18"/>
                <w:szCs w:val="18"/>
                <w:lang w:eastAsia="en-AU"/>
              </w:rPr>
              <w:t>Isagani Erna</w:t>
            </w:r>
          </w:p>
          <w:p w14:paraId="51C69D3D" w14:textId="77777777" w:rsidR="00DD2898" w:rsidRPr="008329D2" w:rsidRDefault="00DD2898" w:rsidP="00530BA8">
            <w:pPr>
              <w:spacing w:before="20" w:after="20"/>
              <w:rPr>
                <w:sz w:val="18"/>
                <w:szCs w:val="18"/>
                <w:lang w:eastAsia="en-AU"/>
              </w:rPr>
            </w:pPr>
          </w:p>
          <w:p w14:paraId="4622C2E0" w14:textId="77777777" w:rsidR="00530BA8" w:rsidRDefault="00530BA8" w:rsidP="00530BA8">
            <w:pPr>
              <w:spacing w:before="20" w:after="20"/>
              <w:rPr>
                <w:sz w:val="18"/>
                <w:szCs w:val="18"/>
                <w:lang w:eastAsia="en-AU"/>
              </w:rPr>
            </w:pPr>
            <w:r w:rsidRPr="008329D2">
              <w:rPr>
                <w:sz w:val="18"/>
                <w:szCs w:val="18"/>
                <w:lang w:eastAsia="en-AU"/>
              </w:rPr>
              <w:t>Antonio Mendoza</w:t>
            </w:r>
          </w:p>
          <w:p w14:paraId="4B8AFB9C" w14:textId="77777777" w:rsidR="00DD2898" w:rsidRDefault="00DD2898" w:rsidP="00530BA8">
            <w:pPr>
              <w:spacing w:before="20" w:after="20"/>
              <w:rPr>
                <w:sz w:val="18"/>
                <w:szCs w:val="18"/>
                <w:lang w:eastAsia="en-AU"/>
              </w:rPr>
            </w:pPr>
          </w:p>
          <w:p w14:paraId="3E9ADCD3" w14:textId="77777777" w:rsidR="00530BA8" w:rsidRDefault="00530BA8" w:rsidP="00530BA8">
            <w:pPr>
              <w:spacing w:before="40" w:after="40"/>
              <w:rPr>
                <w:sz w:val="18"/>
                <w:szCs w:val="18"/>
              </w:rPr>
            </w:pPr>
            <w:r>
              <w:rPr>
                <w:sz w:val="18"/>
                <w:szCs w:val="18"/>
              </w:rPr>
              <w:t>Nadya Fanessa</w:t>
            </w:r>
          </w:p>
          <w:p w14:paraId="2DE37055" w14:textId="77777777" w:rsidR="00DD2898" w:rsidRPr="008329D2" w:rsidRDefault="00DD2898" w:rsidP="00530BA8">
            <w:pPr>
              <w:spacing w:before="40" w:after="40"/>
              <w:rPr>
                <w:sz w:val="18"/>
                <w:szCs w:val="18"/>
              </w:rPr>
            </w:pPr>
          </w:p>
          <w:p w14:paraId="56164F23" w14:textId="77777777" w:rsidR="00530BA8" w:rsidRDefault="00530BA8" w:rsidP="00530BA8">
            <w:pPr>
              <w:spacing w:before="20" w:after="20"/>
              <w:rPr>
                <w:sz w:val="18"/>
                <w:szCs w:val="18"/>
                <w:lang w:eastAsia="en-AU"/>
              </w:rPr>
            </w:pPr>
            <w:r w:rsidRPr="008329D2">
              <w:rPr>
                <w:sz w:val="18"/>
                <w:szCs w:val="18"/>
                <w:lang w:eastAsia="en-AU"/>
              </w:rPr>
              <w:t>Solomon N. Benigno</w:t>
            </w:r>
          </w:p>
          <w:p w14:paraId="09592C7F" w14:textId="77777777" w:rsidR="00DD2898" w:rsidRPr="008329D2" w:rsidRDefault="00DD2898" w:rsidP="00530BA8">
            <w:pPr>
              <w:spacing w:before="20" w:after="20"/>
              <w:rPr>
                <w:sz w:val="18"/>
                <w:szCs w:val="18"/>
                <w:lang w:eastAsia="en-AU"/>
              </w:rPr>
            </w:pPr>
          </w:p>
          <w:p w14:paraId="30E6CC4E" w14:textId="77777777" w:rsidR="00530BA8" w:rsidRPr="008329D2" w:rsidRDefault="00530BA8" w:rsidP="00530BA8">
            <w:pPr>
              <w:spacing w:before="20" w:after="20"/>
              <w:rPr>
                <w:sz w:val="18"/>
                <w:szCs w:val="18"/>
                <w:lang w:eastAsia="en-AU"/>
              </w:rPr>
            </w:pPr>
            <w:r w:rsidRPr="008329D2">
              <w:rPr>
                <w:sz w:val="18"/>
                <w:szCs w:val="18"/>
                <w:lang w:eastAsia="en-AU"/>
              </w:rPr>
              <w:t>Himma Adiena</w:t>
            </w:r>
          </w:p>
        </w:tc>
        <w:tc>
          <w:tcPr>
            <w:tcW w:w="1276" w:type="dxa"/>
          </w:tcPr>
          <w:p w14:paraId="213896F7" w14:textId="6BE5DCBF"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p w14:paraId="13045847" w14:textId="6C528465"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p w14:paraId="28BB4767" w14:textId="34ADFE05"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p w14:paraId="33AF0952" w14:textId="11F6CBE1" w:rsidR="00530BA8"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p w14:paraId="5D054C87" w14:textId="43F823D8"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tc>
        <w:tc>
          <w:tcPr>
            <w:tcW w:w="4820" w:type="dxa"/>
          </w:tcPr>
          <w:p w14:paraId="2F55CAA9" w14:textId="77777777" w:rsidR="00530BA8" w:rsidRPr="008329D2" w:rsidRDefault="00530BA8" w:rsidP="000F345D">
            <w:pPr>
              <w:spacing w:before="0" w:after="0"/>
              <w:rPr>
                <w:sz w:val="18"/>
                <w:szCs w:val="18"/>
                <w:lang w:eastAsia="en-AU"/>
              </w:rPr>
            </w:pPr>
            <w:r w:rsidRPr="008329D2">
              <w:rPr>
                <w:sz w:val="18"/>
                <w:szCs w:val="18"/>
                <w:lang w:eastAsia="en-AU"/>
              </w:rPr>
              <w:t>Senior Officer – Standards and Conformance</w:t>
            </w:r>
          </w:p>
          <w:p w14:paraId="047B9F5F" w14:textId="77777777" w:rsidR="000F345D" w:rsidRDefault="000F345D" w:rsidP="000F345D">
            <w:pPr>
              <w:spacing w:before="0" w:after="0"/>
              <w:rPr>
                <w:sz w:val="18"/>
                <w:szCs w:val="18"/>
                <w:lang w:eastAsia="en-AU"/>
              </w:rPr>
            </w:pPr>
          </w:p>
          <w:p w14:paraId="094C734A" w14:textId="77777777" w:rsidR="00530BA8" w:rsidRPr="008329D2" w:rsidRDefault="00530BA8" w:rsidP="000F345D">
            <w:pPr>
              <w:spacing w:before="0" w:after="0"/>
              <w:rPr>
                <w:sz w:val="18"/>
                <w:szCs w:val="18"/>
                <w:lang w:eastAsia="en-AU"/>
              </w:rPr>
            </w:pPr>
            <w:r w:rsidRPr="008329D2">
              <w:rPr>
                <w:sz w:val="18"/>
                <w:szCs w:val="18"/>
                <w:lang w:eastAsia="en-AU"/>
              </w:rPr>
              <w:t>Senior Officer – Intellectual Property</w:t>
            </w:r>
          </w:p>
          <w:p w14:paraId="159DC546" w14:textId="77777777" w:rsidR="000F345D" w:rsidRDefault="000F345D" w:rsidP="000F345D">
            <w:pPr>
              <w:spacing w:before="0" w:after="0"/>
              <w:rPr>
                <w:sz w:val="18"/>
                <w:szCs w:val="18"/>
                <w:lang w:eastAsia="en-AU"/>
              </w:rPr>
            </w:pPr>
          </w:p>
          <w:p w14:paraId="54EF92B5" w14:textId="77777777" w:rsidR="00530BA8" w:rsidRDefault="00530BA8" w:rsidP="000F345D">
            <w:pPr>
              <w:spacing w:before="0" w:after="0"/>
              <w:rPr>
                <w:sz w:val="18"/>
                <w:szCs w:val="18"/>
                <w:lang w:eastAsia="en-AU"/>
              </w:rPr>
            </w:pPr>
            <w:r w:rsidRPr="008329D2">
              <w:rPr>
                <w:sz w:val="18"/>
                <w:szCs w:val="18"/>
                <w:lang w:eastAsia="en-AU"/>
              </w:rPr>
              <w:t>Technical Officer – Intellectual Property</w:t>
            </w:r>
          </w:p>
          <w:p w14:paraId="60A5C606" w14:textId="77777777" w:rsidR="000F345D" w:rsidRDefault="000F345D" w:rsidP="000F345D">
            <w:pPr>
              <w:spacing w:before="0" w:after="0"/>
              <w:rPr>
                <w:sz w:val="18"/>
                <w:szCs w:val="18"/>
                <w:lang w:eastAsia="en-AU"/>
              </w:rPr>
            </w:pPr>
          </w:p>
          <w:p w14:paraId="05DC05C5" w14:textId="77777777" w:rsidR="00530BA8" w:rsidRDefault="00530BA8" w:rsidP="000F345D">
            <w:pPr>
              <w:spacing w:before="0" w:after="0"/>
              <w:rPr>
                <w:sz w:val="18"/>
                <w:szCs w:val="18"/>
                <w:lang w:eastAsia="en-AU"/>
              </w:rPr>
            </w:pPr>
            <w:r w:rsidRPr="008329D2">
              <w:rPr>
                <w:sz w:val="18"/>
                <w:szCs w:val="18"/>
                <w:lang w:eastAsia="en-AU"/>
              </w:rPr>
              <w:t xml:space="preserve">Senior Officer – Agriculture Industries </w:t>
            </w:r>
          </w:p>
          <w:p w14:paraId="52AACBD7" w14:textId="77777777" w:rsidR="000F345D" w:rsidRDefault="000F345D" w:rsidP="000F345D">
            <w:pPr>
              <w:spacing w:before="0" w:after="0"/>
              <w:rPr>
                <w:sz w:val="18"/>
                <w:szCs w:val="18"/>
                <w:lang w:eastAsia="en-AU"/>
              </w:rPr>
            </w:pPr>
          </w:p>
          <w:p w14:paraId="5FEC6234" w14:textId="77777777" w:rsidR="000F345D" w:rsidRDefault="000F345D" w:rsidP="000F345D">
            <w:pPr>
              <w:spacing w:before="0" w:after="0"/>
              <w:rPr>
                <w:sz w:val="18"/>
                <w:szCs w:val="18"/>
                <w:lang w:eastAsia="en-AU"/>
              </w:rPr>
            </w:pPr>
          </w:p>
          <w:p w14:paraId="64D60C23" w14:textId="77777777" w:rsidR="00530BA8" w:rsidRPr="008329D2" w:rsidRDefault="00530BA8" w:rsidP="000F345D">
            <w:pPr>
              <w:spacing w:before="0" w:after="0"/>
              <w:rPr>
                <w:sz w:val="18"/>
                <w:szCs w:val="18"/>
                <w:lang w:eastAsia="en-AU"/>
              </w:rPr>
            </w:pPr>
            <w:r w:rsidRPr="008329D2">
              <w:rPr>
                <w:sz w:val="18"/>
                <w:szCs w:val="18"/>
                <w:lang w:eastAsia="en-AU"/>
              </w:rPr>
              <w:t>Technical Officer – Agriculture Industries</w:t>
            </w:r>
          </w:p>
        </w:tc>
      </w:tr>
      <w:tr w:rsidR="00530BA8" w:rsidRPr="002915C2" w14:paraId="1D4FF415" w14:textId="77777777" w:rsidTr="00530BA8">
        <w:trPr>
          <w:trHeight w:val="207"/>
        </w:trPr>
        <w:tc>
          <w:tcPr>
            <w:tcW w:w="822" w:type="dxa"/>
          </w:tcPr>
          <w:p w14:paraId="4C352373" w14:textId="77777777" w:rsidR="00530BA8" w:rsidRPr="008329D2" w:rsidRDefault="00530BA8" w:rsidP="00530BA8">
            <w:pPr>
              <w:spacing w:before="20" w:after="20"/>
              <w:rPr>
                <w:sz w:val="18"/>
                <w:szCs w:val="18"/>
                <w:lang w:eastAsia="en-AU"/>
              </w:rPr>
            </w:pPr>
          </w:p>
        </w:tc>
        <w:tc>
          <w:tcPr>
            <w:tcW w:w="1984" w:type="dxa"/>
          </w:tcPr>
          <w:p w14:paraId="2D9DCB7F" w14:textId="77777777" w:rsidR="00530BA8" w:rsidRPr="008329D2" w:rsidRDefault="00530BA8" w:rsidP="00530BA8">
            <w:pPr>
              <w:spacing w:before="20" w:after="20"/>
              <w:rPr>
                <w:sz w:val="18"/>
                <w:szCs w:val="18"/>
                <w:lang w:eastAsia="en-AU"/>
              </w:rPr>
            </w:pPr>
            <w:r w:rsidRPr="008329D2">
              <w:rPr>
                <w:sz w:val="18"/>
                <w:szCs w:val="18"/>
                <w:lang w:eastAsia="en-AU"/>
              </w:rPr>
              <w:t>Lim Hong Hin</w:t>
            </w:r>
          </w:p>
        </w:tc>
        <w:tc>
          <w:tcPr>
            <w:tcW w:w="1276" w:type="dxa"/>
          </w:tcPr>
          <w:p w14:paraId="19949404" w14:textId="2183FCA6"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tc>
        <w:tc>
          <w:tcPr>
            <w:tcW w:w="4820" w:type="dxa"/>
          </w:tcPr>
          <w:p w14:paraId="73FF1EDD" w14:textId="77777777" w:rsidR="00530BA8" w:rsidRPr="008329D2" w:rsidRDefault="00530BA8" w:rsidP="00530BA8">
            <w:pPr>
              <w:spacing w:before="20" w:after="20"/>
              <w:rPr>
                <w:sz w:val="18"/>
                <w:szCs w:val="18"/>
                <w:lang w:eastAsia="en-AU"/>
              </w:rPr>
            </w:pPr>
            <w:r w:rsidRPr="008329D2">
              <w:rPr>
                <w:sz w:val="18"/>
                <w:szCs w:val="18"/>
                <w:lang w:eastAsia="en-AU"/>
              </w:rPr>
              <w:t>Deputy Secretary General</w:t>
            </w:r>
          </w:p>
        </w:tc>
      </w:tr>
      <w:tr w:rsidR="00DD2898" w:rsidRPr="002915C2" w14:paraId="46198E20" w14:textId="77777777" w:rsidTr="00530BA8">
        <w:trPr>
          <w:trHeight w:val="207"/>
        </w:trPr>
        <w:tc>
          <w:tcPr>
            <w:tcW w:w="822" w:type="dxa"/>
          </w:tcPr>
          <w:p w14:paraId="62321418" w14:textId="77777777" w:rsidR="00DD2898" w:rsidRPr="008329D2" w:rsidRDefault="00DD2898" w:rsidP="00530BA8">
            <w:pPr>
              <w:spacing w:before="20" w:after="20"/>
              <w:rPr>
                <w:sz w:val="18"/>
                <w:szCs w:val="18"/>
                <w:lang w:eastAsia="en-AU"/>
              </w:rPr>
            </w:pPr>
          </w:p>
        </w:tc>
        <w:tc>
          <w:tcPr>
            <w:tcW w:w="1984" w:type="dxa"/>
          </w:tcPr>
          <w:p w14:paraId="3639BA28" w14:textId="77777777" w:rsidR="00DD2898" w:rsidRPr="008329D2" w:rsidRDefault="00DD2898" w:rsidP="00530BA8">
            <w:pPr>
              <w:spacing w:before="20" w:after="20"/>
              <w:rPr>
                <w:sz w:val="18"/>
                <w:szCs w:val="18"/>
                <w:lang w:eastAsia="en-AU"/>
              </w:rPr>
            </w:pPr>
          </w:p>
        </w:tc>
        <w:tc>
          <w:tcPr>
            <w:tcW w:w="1276" w:type="dxa"/>
          </w:tcPr>
          <w:p w14:paraId="5FA75769" w14:textId="77777777" w:rsidR="00DD2898" w:rsidRPr="008329D2" w:rsidDel="00FA23AA" w:rsidRDefault="00DD2898" w:rsidP="00530BA8">
            <w:pPr>
              <w:spacing w:before="20" w:after="20"/>
              <w:rPr>
                <w:sz w:val="18"/>
                <w:szCs w:val="18"/>
                <w:lang w:eastAsia="en-AU"/>
              </w:rPr>
            </w:pPr>
          </w:p>
        </w:tc>
        <w:tc>
          <w:tcPr>
            <w:tcW w:w="4820" w:type="dxa"/>
          </w:tcPr>
          <w:p w14:paraId="31D150E7" w14:textId="77777777" w:rsidR="00DD2898" w:rsidRPr="008329D2" w:rsidRDefault="00DD2898" w:rsidP="00530BA8">
            <w:pPr>
              <w:spacing w:before="20" w:after="20"/>
              <w:rPr>
                <w:sz w:val="18"/>
                <w:szCs w:val="18"/>
                <w:lang w:eastAsia="en-AU"/>
              </w:rPr>
            </w:pPr>
          </w:p>
        </w:tc>
      </w:tr>
      <w:tr w:rsidR="00530BA8" w:rsidRPr="002915C2" w14:paraId="1E36AC38" w14:textId="77777777" w:rsidTr="00530BA8">
        <w:trPr>
          <w:trHeight w:val="207"/>
        </w:trPr>
        <w:tc>
          <w:tcPr>
            <w:tcW w:w="822" w:type="dxa"/>
          </w:tcPr>
          <w:p w14:paraId="1F537D68" w14:textId="77777777" w:rsidR="00530BA8" w:rsidRPr="008329D2" w:rsidRDefault="00530BA8" w:rsidP="00530BA8">
            <w:pPr>
              <w:spacing w:before="20" w:after="20"/>
              <w:rPr>
                <w:sz w:val="18"/>
                <w:szCs w:val="18"/>
                <w:lang w:eastAsia="en-AU"/>
              </w:rPr>
            </w:pPr>
            <w:r w:rsidRPr="008329D2">
              <w:rPr>
                <w:sz w:val="18"/>
                <w:szCs w:val="18"/>
                <w:lang w:eastAsia="en-AU"/>
              </w:rPr>
              <w:t>14/2/13</w:t>
            </w:r>
          </w:p>
        </w:tc>
        <w:tc>
          <w:tcPr>
            <w:tcW w:w="1984" w:type="dxa"/>
          </w:tcPr>
          <w:p w14:paraId="60FEC5F6" w14:textId="77777777" w:rsidR="00530BA8" w:rsidRPr="008329D2" w:rsidRDefault="00530BA8" w:rsidP="00530BA8">
            <w:pPr>
              <w:spacing w:before="20" w:after="20"/>
              <w:rPr>
                <w:sz w:val="18"/>
                <w:szCs w:val="18"/>
                <w:lang w:eastAsia="en-AU"/>
              </w:rPr>
            </w:pPr>
            <w:r w:rsidRPr="008329D2">
              <w:rPr>
                <w:sz w:val="18"/>
                <w:szCs w:val="18"/>
                <w:lang w:eastAsia="en-AU"/>
              </w:rPr>
              <w:t>Tradene Dobson</w:t>
            </w:r>
          </w:p>
        </w:tc>
        <w:tc>
          <w:tcPr>
            <w:tcW w:w="1276" w:type="dxa"/>
          </w:tcPr>
          <w:p w14:paraId="28FD5DA3" w14:textId="64CD42EB" w:rsidR="00530BA8" w:rsidRPr="008329D2" w:rsidRDefault="00530BA8" w:rsidP="00530BA8">
            <w:pPr>
              <w:spacing w:before="20" w:after="20"/>
              <w:rPr>
                <w:sz w:val="18"/>
                <w:szCs w:val="18"/>
                <w:lang w:eastAsia="en-AU"/>
              </w:rPr>
            </w:pPr>
            <w:r w:rsidRPr="008329D2">
              <w:rPr>
                <w:sz w:val="18"/>
                <w:szCs w:val="18"/>
                <w:lang w:eastAsia="en-AU"/>
              </w:rPr>
              <w:t>N</w:t>
            </w:r>
            <w:r w:rsidR="00DD2898">
              <w:rPr>
                <w:sz w:val="18"/>
                <w:szCs w:val="18"/>
                <w:lang w:eastAsia="en-AU"/>
              </w:rPr>
              <w:t xml:space="preserve">ew </w:t>
            </w:r>
            <w:r w:rsidRPr="008329D2">
              <w:rPr>
                <w:sz w:val="18"/>
                <w:szCs w:val="18"/>
                <w:lang w:eastAsia="en-AU"/>
              </w:rPr>
              <w:t>Z</w:t>
            </w:r>
            <w:r w:rsidR="00DD2898">
              <w:rPr>
                <w:sz w:val="18"/>
                <w:szCs w:val="18"/>
                <w:lang w:eastAsia="en-AU"/>
              </w:rPr>
              <w:t>ealand</w:t>
            </w:r>
            <w:r w:rsidRPr="008329D2">
              <w:rPr>
                <w:sz w:val="18"/>
                <w:szCs w:val="18"/>
                <w:lang w:eastAsia="en-AU"/>
              </w:rPr>
              <w:t xml:space="preserve"> Embassy</w:t>
            </w:r>
          </w:p>
        </w:tc>
        <w:tc>
          <w:tcPr>
            <w:tcW w:w="4820" w:type="dxa"/>
          </w:tcPr>
          <w:p w14:paraId="1AFE05F1" w14:textId="77777777" w:rsidR="00530BA8" w:rsidRPr="008329D2" w:rsidRDefault="00530BA8" w:rsidP="00530BA8">
            <w:pPr>
              <w:spacing w:before="20" w:after="20"/>
              <w:rPr>
                <w:sz w:val="18"/>
                <w:szCs w:val="18"/>
                <w:lang w:eastAsia="en-AU"/>
              </w:rPr>
            </w:pPr>
            <w:r w:rsidRPr="008329D2">
              <w:rPr>
                <w:sz w:val="18"/>
                <w:szCs w:val="18"/>
                <w:lang w:eastAsia="en-AU"/>
              </w:rPr>
              <w:t>Deputy Head of Mission</w:t>
            </w:r>
          </w:p>
        </w:tc>
      </w:tr>
      <w:tr w:rsidR="00530BA8" w:rsidRPr="002915C2" w14:paraId="25E5A755" w14:textId="77777777" w:rsidTr="00530BA8">
        <w:trPr>
          <w:trHeight w:val="207"/>
        </w:trPr>
        <w:tc>
          <w:tcPr>
            <w:tcW w:w="822" w:type="dxa"/>
          </w:tcPr>
          <w:p w14:paraId="3279A6A1" w14:textId="77777777" w:rsidR="00530BA8" w:rsidRPr="008329D2" w:rsidRDefault="00530BA8" w:rsidP="00530BA8">
            <w:pPr>
              <w:spacing w:before="20" w:after="20"/>
              <w:rPr>
                <w:sz w:val="18"/>
                <w:szCs w:val="18"/>
                <w:lang w:eastAsia="en-AU"/>
              </w:rPr>
            </w:pPr>
          </w:p>
        </w:tc>
        <w:tc>
          <w:tcPr>
            <w:tcW w:w="1984" w:type="dxa"/>
          </w:tcPr>
          <w:p w14:paraId="7FFA307F" w14:textId="77777777" w:rsidR="00530BA8" w:rsidRPr="008329D2" w:rsidRDefault="00530BA8" w:rsidP="00530BA8">
            <w:pPr>
              <w:spacing w:before="20" w:after="20"/>
              <w:rPr>
                <w:sz w:val="18"/>
                <w:szCs w:val="18"/>
                <w:lang w:eastAsia="en-AU"/>
              </w:rPr>
            </w:pPr>
            <w:r w:rsidRPr="008329D2">
              <w:rPr>
                <w:sz w:val="18"/>
                <w:szCs w:val="18"/>
                <w:lang w:eastAsia="en-AU"/>
              </w:rPr>
              <w:t>Anita Prakash</w:t>
            </w:r>
          </w:p>
          <w:p w14:paraId="3C237950" w14:textId="77777777" w:rsidR="00530BA8" w:rsidRPr="008329D2" w:rsidRDefault="00530BA8" w:rsidP="00530BA8">
            <w:pPr>
              <w:spacing w:before="20" w:after="20"/>
              <w:rPr>
                <w:sz w:val="18"/>
                <w:szCs w:val="18"/>
                <w:lang w:eastAsia="en-AU"/>
              </w:rPr>
            </w:pPr>
            <w:r w:rsidRPr="008329D2">
              <w:rPr>
                <w:sz w:val="18"/>
                <w:szCs w:val="18"/>
                <w:lang w:eastAsia="en-AU"/>
              </w:rPr>
              <w:t>Lili Yan Ing</w:t>
            </w:r>
          </w:p>
        </w:tc>
        <w:tc>
          <w:tcPr>
            <w:tcW w:w="1276" w:type="dxa"/>
          </w:tcPr>
          <w:p w14:paraId="37F1D199" w14:textId="77777777" w:rsidR="00530BA8" w:rsidRPr="008329D2" w:rsidRDefault="00530BA8" w:rsidP="00530BA8">
            <w:pPr>
              <w:spacing w:before="20" w:after="20"/>
              <w:rPr>
                <w:sz w:val="18"/>
                <w:szCs w:val="18"/>
                <w:lang w:eastAsia="en-AU"/>
              </w:rPr>
            </w:pPr>
            <w:r w:rsidRPr="008329D2">
              <w:rPr>
                <w:sz w:val="18"/>
                <w:szCs w:val="18"/>
                <w:lang w:eastAsia="en-AU"/>
              </w:rPr>
              <w:t>ERIA</w:t>
            </w:r>
          </w:p>
          <w:p w14:paraId="5302A4C3" w14:textId="77777777" w:rsidR="00530BA8" w:rsidRPr="008329D2" w:rsidRDefault="00530BA8" w:rsidP="00530BA8">
            <w:pPr>
              <w:spacing w:before="20" w:after="20"/>
              <w:rPr>
                <w:sz w:val="18"/>
                <w:szCs w:val="18"/>
                <w:lang w:eastAsia="en-AU"/>
              </w:rPr>
            </w:pPr>
            <w:r w:rsidRPr="008329D2">
              <w:rPr>
                <w:sz w:val="18"/>
                <w:szCs w:val="18"/>
                <w:lang w:eastAsia="en-AU"/>
              </w:rPr>
              <w:t>ERIA</w:t>
            </w:r>
          </w:p>
        </w:tc>
        <w:tc>
          <w:tcPr>
            <w:tcW w:w="4820" w:type="dxa"/>
          </w:tcPr>
          <w:p w14:paraId="27779FF0" w14:textId="77777777" w:rsidR="00530BA8" w:rsidRPr="008329D2" w:rsidRDefault="00530BA8" w:rsidP="00530BA8">
            <w:pPr>
              <w:spacing w:before="20" w:after="20"/>
              <w:rPr>
                <w:sz w:val="18"/>
                <w:szCs w:val="18"/>
                <w:lang w:eastAsia="en-AU"/>
              </w:rPr>
            </w:pPr>
            <w:r w:rsidRPr="008329D2">
              <w:rPr>
                <w:sz w:val="18"/>
                <w:szCs w:val="18"/>
                <w:lang w:eastAsia="en-AU"/>
              </w:rPr>
              <w:t>Director, Policy Relations</w:t>
            </w:r>
          </w:p>
          <w:p w14:paraId="333F7E86" w14:textId="77777777" w:rsidR="00530BA8" w:rsidRPr="008329D2" w:rsidRDefault="00530BA8" w:rsidP="00530BA8">
            <w:pPr>
              <w:spacing w:before="20" w:after="20"/>
              <w:rPr>
                <w:sz w:val="18"/>
                <w:szCs w:val="18"/>
                <w:lang w:eastAsia="en-AU"/>
              </w:rPr>
            </w:pPr>
            <w:r w:rsidRPr="008329D2">
              <w:rPr>
                <w:sz w:val="18"/>
                <w:szCs w:val="18"/>
                <w:lang w:eastAsia="en-AU"/>
              </w:rPr>
              <w:t>Economist</w:t>
            </w:r>
          </w:p>
        </w:tc>
      </w:tr>
      <w:tr w:rsidR="00530BA8" w:rsidRPr="002915C2" w14:paraId="42F42A7E" w14:textId="77777777" w:rsidTr="00530BA8">
        <w:trPr>
          <w:trHeight w:val="207"/>
        </w:trPr>
        <w:tc>
          <w:tcPr>
            <w:tcW w:w="822" w:type="dxa"/>
          </w:tcPr>
          <w:p w14:paraId="76513ABF" w14:textId="77777777" w:rsidR="00530BA8" w:rsidRPr="008329D2" w:rsidRDefault="00530BA8" w:rsidP="00530BA8">
            <w:pPr>
              <w:spacing w:before="20" w:after="20"/>
              <w:rPr>
                <w:sz w:val="18"/>
                <w:szCs w:val="18"/>
                <w:lang w:eastAsia="en-AU"/>
              </w:rPr>
            </w:pPr>
          </w:p>
        </w:tc>
        <w:tc>
          <w:tcPr>
            <w:tcW w:w="1984" w:type="dxa"/>
          </w:tcPr>
          <w:p w14:paraId="2547AD8B" w14:textId="77777777" w:rsidR="00530BA8" w:rsidRPr="008329D2" w:rsidRDefault="00530BA8" w:rsidP="00530BA8">
            <w:pPr>
              <w:spacing w:before="20" w:after="20"/>
              <w:rPr>
                <w:sz w:val="18"/>
                <w:szCs w:val="18"/>
                <w:lang w:eastAsia="en-AU"/>
              </w:rPr>
            </w:pPr>
            <w:r w:rsidRPr="008329D2">
              <w:rPr>
                <w:sz w:val="18"/>
                <w:szCs w:val="18"/>
                <w:lang w:eastAsia="en-AU"/>
              </w:rPr>
              <w:t>Rony Soerakoesoemah</w:t>
            </w:r>
          </w:p>
        </w:tc>
        <w:tc>
          <w:tcPr>
            <w:tcW w:w="1276" w:type="dxa"/>
          </w:tcPr>
          <w:p w14:paraId="49D98696" w14:textId="5F802459" w:rsidR="00530BA8" w:rsidRPr="008329D2" w:rsidRDefault="00FA23AA" w:rsidP="00530BA8">
            <w:pPr>
              <w:spacing w:before="20" w:after="20"/>
              <w:rPr>
                <w:sz w:val="18"/>
                <w:szCs w:val="18"/>
                <w:lang w:eastAsia="en-AU"/>
              </w:rPr>
            </w:pPr>
            <w:r>
              <w:rPr>
                <w:sz w:val="18"/>
                <w:szCs w:val="18"/>
                <w:lang w:eastAsia="en-AU"/>
              </w:rPr>
              <w:t xml:space="preserve">ASEAN </w:t>
            </w:r>
            <w:r w:rsidR="00DD2898">
              <w:rPr>
                <w:sz w:val="18"/>
                <w:szCs w:val="18"/>
                <w:lang w:eastAsia="en-AU"/>
              </w:rPr>
              <w:t>Secretariat</w:t>
            </w:r>
          </w:p>
        </w:tc>
        <w:tc>
          <w:tcPr>
            <w:tcW w:w="4820" w:type="dxa"/>
          </w:tcPr>
          <w:p w14:paraId="390D0135" w14:textId="77777777" w:rsidR="00530BA8" w:rsidRPr="008329D2" w:rsidRDefault="00530BA8" w:rsidP="00530BA8">
            <w:pPr>
              <w:spacing w:before="20" w:after="20"/>
              <w:rPr>
                <w:sz w:val="18"/>
                <w:szCs w:val="18"/>
                <w:lang w:eastAsia="en-AU"/>
              </w:rPr>
            </w:pPr>
            <w:r w:rsidRPr="008329D2">
              <w:rPr>
                <w:sz w:val="18"/>
                <w:szCs w:val="18"/>
                <w:lang w:eastAsia="en-AU"/>
              </w:rPr>
              <w:t>Assistant Director, IAI and NDG</w:t>
            </w:r>
          </w:p>
        </w:tc>
      </w:tr>
      <w:tr w:rsidR="00530BA8" w:rsidRPr="002915C2" w14:paraId="7C496ED8" w14:textId="77777777" w:rsidTr="00530BA8">
        <w:trPr>
          <w:trHeight w:val="207"/>
        </w:trPr>
        <w:tc>
          <w:tcPr>
            <w:tcW w:w="822" w:type="dxa"/>
          </w:tcPr>
          <w:p w14:paraId="2C0EEE41" w14:textId="77777777" w:rsidR="00530BA8" w:rsidRPr="008329D2" w:rsidRDefault="00530BA8" w:rsidP="00530BA8">
            <w:pPr>
              <w:spacing w:before="20" w:after="20"/>
              <w:rPr>
                <w:sz w:val="18"/>
                <w:szCs w:val="18"/>
                <w:lang w:eastAsia="en-AU"/>
              </w:rPr>
            </w:pPr>
          </w:p>
        </w:tc>
        <w:tc>
          <w:tcPr>
            <w:tcW w:w="1984" w:type="dxa"/>
          </w:tcPr>
          <w:p w14:paraId="53D6FC38" w14:textId="77777777" w:rsidR="00530BA8" w:rsidRPr="008329D2" w:rsidRDefault="00530BA8" w:rsidP="00530BA8">
            <w:pPr>
              <w:spacing w:before="20" w:after="20"/>
              <w:rPr>
                <w:sz w:val="18"/>
                <w:szCs w:val="18"/>
                <w:lang w:eastAsia="en-AU"/>
              </w:rPr>
            </w:pPr>
            <w:r w:rsidRPr="008329D2">
              <w:rPr>
                <w:sz w:val="18"/>
                <w:szCs w:val="18"/>
                <w:lang w:eastAsia="en-AU"/>
              </w:rPr>
              <w:t>Adrian Candolada</w:t>
            </w:r>
          </w:p>
          <w:p w14:paraId="5D6E4427" w14:textId="6A3986E6" w:rsidR="00DD2898" w:rsidRPr="008329D2" w:rsidRDefault="00530BA8" w:rsidP="00530BA8">
            <w:pPr>
              <w:spacing w:before="20" w:after="20"/>
              <w:rPr>
                <w:sz w:val="18"/>
                <w:szCs w:val="18"/>
                <w:lang w:eastAsia="en-AU"/>
              </w:rPr>
            </w:pPr>
            <w:r w:rsidRPr="008329D2">
              <w:rPr>
                <w:sz w:val="18"/>
                <w:szCs w:val="18"/>
                <w:lang w:eastAsia="en-AU"/>
              </w:rPr>
              <w:t>Gabriel Bautista</w:t>
            </w:r>
          </w:p>
          <w:p w14:paraId="28E59E1A" w14:textId="77777777" w:rsidR="00530BA8" w:rsidRPr="008329D2" w:rsidRDefault="00530BA8" w:rsidP="00530BA8">
            <w:pPr>
              <w:spacing w:before="20" w:after="20"/>
              <w:rPr>
                <w:sz w:val="18"/>
                <w:szCs w:val="18"/>
                <w:lang w:eastAsia="en-AU"/>
              </w:rPr>
            </w:pPr>
            <w:r w:rsidRPr="008329D2">
              <w:rPr>
                <w:sz w:val="18"/>
                <w:szCs w:val="18"/>
                <w:lang w:eastAsia="en-AU"/>
              </w:rPr>
              <w:t>Vanessa G. Bago</w:t>
            </w:r>
          </w:p>
        </w:tc>
        <w:tc>
          <w:tcPr>
            <w:tcW w:w="1276" w:type="dxa"/>
          </w:tcPr>
          <w:p w14:paraId="0BEF104F" w14:textId="77777777" w:rsidR="00530BA8" w:rsidRPr="008329D2" w:rsidRDefault="00530BA8" w:rsidP="00530BA8">
            <w:pPr>
              <w:spacing w:before="20" w:after="20"/>
              <w:rPr>
                <w:sz w:val="18"/>
                <w:szCs w:val="18"/>
                <w:lang w:eastAsia="en-AU"/>
              </w:rPr>
            </w:pPr>
            <w:r w:rsidRPr="008329D2">
              <w:rPr>
                <w:sz w:val="18"/>
                <w:szCs w:val="18"/>
                <w:lang w:eastAsia="en-AU"/>
              </w:rPr>
              <w:t>Philippines Mission to ASEAN</w:t>
            </w:r>
          </w:p>
        </w:tc>
        <w:tc>
          <w:tcPr>
            <w:tcW w:w="4820" w:type="dxa"/>
          </w:tcPr>
          <w:p w14:paraId="6D515766" w14:textId="77777777" w:rsidR="00530BA8" w:rsidRPr="008329D2" w:rsidRDefault="00530BA8" w:rsidP="00530BA8">
            <w:pPr>
              <w:spacing w:before="20" w:after="20"/>
              <w:rPr>
                <w:sz w:val="18"/>
                <w:szCs w:val="18"/>
                <w:lang w:eastAsia="en-AU"/>
              </w:rPr>
            </w:pPr>
            <w:r w:rsidRPr="008329D2">
              <w:rPr>
                <w:sz w:val="18"/>
                <w:szCs w:val="18"/>
                <w:lang w:eastAsia="en-AU"/>
              </w:rPr>
              <w:t>Minister</w:t>
            </w:r>
          </w:p>
          <w:p w14:paraId="6492E6CD" w14:textId="77777777" w:rsidR="00530BA8" w:rsidRPr="008329D2" w:rsidRDefault="00530BA8" w:rsidP="00530BA8">
            <w:pPr>
              <w:spacing w:before="20" w:after="20"/>
              <w:rPr>
                <w:sz w:val="18"/>
                <w:szCs w:val="18"/>
                <w:lang w:eastAsia="en-AU"/>
              </w:rPr>
            </w:pPr>
            <w:r w:rsidRPr="008329D2">
              <w:rPr>
                <w:sz w:val="18"/>
                <w:szCs w:val="18"/>
                <w:lang w:eastAsia="en-AU"/>
              </w:rPr>
              <w:t>Second Secretary</w:t>
            </w:r>
          </w:p>
          <w:p w14:paraId="72AD4553" w14:textId="77777777" w:rsidR="00530BA8" w:rsidRPr="008329D2" w:rsidRDefault="00530BA8" w:rsidP="00530BA8">
            <w:pPr>
              <w:spacing w:before="20" w:after="20"/>
              <w:rPr>
                <w:sz w:val="18"/>
                <w:szCs w:val="18"/>
                <w:lang w:eastAsia="en-AU"/>
              </w:rPr>
            </w:pPr>
            <w:r w:rsidRPr="008329D2">
              <w:rPr>
                <w:sz w:val="18"/>
                <w:szCs w:val="18"/>
                <w:lang w:eastAsia="en-AU"/>
              </w:rPr>
              <w:t>Third Secretary</w:t>
            </w:r>
          </w:p>
        </w:tc>
      </w:tr>
      <w:tr w:rsidR="00530BA8" w:rsidRPr="002915C2" w14:paraId="17E34C91" w14:textId="77777777" w:rsidTr="00530BA8">
        <w:trPr>
          <w:trHeight w:val="207"/>
        </w:trPr>
        <w:tc>
          <w:tcPr>
            <w:tcW w:w="822" w:type="dxa"/>
          </w:tcPr>
          <w:p w14:paraId="282E51AD" w14:textId="77777777" w:rsidR="00530BA8" w:rsidRPr="008329D2" w:rsidRDefault="00530BA8" w:rsidP="00530BA8">
            <w:pPr>
              <w:spacing w:before="20" w:after="20"/>
              <w:rPr>
                <w:sz w:val="18"/>
                <w:szCs w:val="18"/>
                <w:lang w:eastAsia="en-AU"/>
              </w:rPr>
            </w:pPr>
          </w:p>
        </w:tc>
        <w:tc>
          <w:tcPr>
            <w:tcW w:w="1984" w:type="dxa"/>
          </w:tcPr>
          <w:p w14:paraId="14002168" w14:textId="77777777" w:rsidR="00530BA8" w:rsidRPr="008329D2" w:rsidRDefault="00530BA8" w:rsidP="00530BA8">
            <w:pPr>
              <w:spacing w:before="20" w:after="20"/>
              <w:rPr>
                <w:sz w:val="18"/>
                <w:szCs w:val="18"/>
                <w:lang w:eastAsia="en-AU"/>
              </w:rPr>
            </w:pPr>
            <w:r w:rsidRPr="008329D2">
              <w:rPr>
                <w:sz w:val="18"/>
                <w:szCs w:val="18"/>
                <w:lang w:eastAsia="en-AU"/>
              </w:rPr>
              <w:t>Peter van Diermen</w:t>
            </w:r>
          </w:p>
        </w:tc>
        <w:tc>
          <w:tcPr>
            <w:tcW w:w="1276" w:type="dxa"/>
          </w:tcPr>
          <w:p w14:paraId="640E582A" w14:textId="77777777" w:rsidR="00530BA8" w:rsidRPr="008329D2" w:rsidRDefault="00530BA8" w:rsidP="00530BA8">
            <w:pPr>
              <w:spacing w:before="20" w:after="20"/>
              <w:rPr>
                <w:sz w:val="18"/>
                <w:szCs w:val="18"/>
                <w:lang w:eastAsia="en-AU"/>
              </w:rPr>
            </w:pPr>
            <w:r w:rsidRPr="008329D2">
              <w:rPr>
                <w:sz w:val="18"/>
                <w:szCs w:val="18"/>
                <w:lang w:eastAsia="en-AU"/>
              </w:rPr>
              <w:t>Consultant</w:t>
            </w:r>
          </w:p>
        </w:tc>
        <w:tc>
          <w:tcPr>
            <w:tcW w:w="4820" w:type="dxa"/>
          </w:tcPr>
          <w:p w14:paraId="155924BE" w14:textId="51FF6570" w:rsidR="00530BA8" w:rsidRPr="008329D2" w:rsidRDefault="00530BA8">
            <w:pPr>
              <w:spacing w:before="20" w:after="20"/>
              <w:rPr>
                <w:sz w:val="18"/>
                <w:szCs w:val="18"/>
                <w:lang w:eastAsia="en-AU"/>
              </w:rPr>
            </w:pPr>
            <w:r w:rsidRPr="008329D2">
              <w:rPr>
                <w:sz w:val="18"/>
                <w:szCs w:val="18"/>
                <w:lang w:eastAsia="en-AU"/>
              </w:rPr>
              <w:t xml:space="preserve">Advisor to the Vice President, AusAID </w:t>
            </w:r>
            <w:r w:rsidR="00DD2898">
              <w:rPr>
                <w:sz w:val="18"/>
                <w:szCs w:val="18"/>
                <w:lang w:eastAsia="en-AU"/>
              </w:rPr>
              <w:t>S</w:t>
            </w:r>
            <w:r w:rsidR="00DD2898" w:rsidRPr="008329D2">
              <w:rPr>
                <w:sz w:val="18"/>
                <w:szCs w:val="18"/>
                <w:lang w:eastAsia="en-AU"/>
              </w:rPr>
              <w:t>upport</w:t>
            </w:r>
          </w:p>
        </w:tc>
      </w:tr>
      <w:tr w:rsidR="00DD2898" w:rsidRPr="002915C2" w14:paraId="7437F85B" w14:textId="77777777" w:rsidTr="00530BA8">
        <w:trPr>
          <w:trHeight w:val="207"/>
        </w:trPr>
        <w:tc>
          <w:tcPr>
            <w:tcW w:w="822" w:type="dxa"/>
          </w:tcPr>
          <w:p w14:paraId="5A2198C8" w14:textId="77777777" w:rsidR="00DD2898" w:rsidRPr="008329D2" w:rsidRDefault="00DD2898" w:rsidP="00530BA8">
            <w:pPr>
              <w:spacing w:before="20" w:after="20"/>
              <w:rPr>
                <w:sz w:val="18"/>
                <w:szCs w:val="18"/>
                <w:lang w:eastAsia="en-AU"/>
              </w:rPr>
            </w:pPr>
          </w:p>
        </w:tc>
        <w:tc>
          <w:tcPr>
            <w:tcW w:w="1984" w:type="dxa"/>
          </w:tcPr>
          <w:p w14:paraId="55EF223F" w14:textId="77777777" w:rsidR="00DD2898" w:rsidRPr="008329D2" w:rsidRDefault="00DD2898" w:rsidP="00530BA8">
            <w:pPr>
              <w:spacing w:before="20" w:after="20"/>
              <w:rPr>
                <w:sz w:val="18"/>
                <w:szCs w:val="18"/>
                <w:lang w:eastAsia="en-AU"/>
              </w:rPr>
            </w:pPr>
          </w:p>
        </w:tc>
        <w:tc>
          <w:tcPr>
            <w:tcW w:w="1276" w:type="dxa"/>
          </w:tcPr>
          <w:p w14:paraId="5201B2D0" w14:textId="77777777" w:rsidR="00DD2898" w:rsidRPr="008329D2" w:rsidRDefault="00DD2898" w:rsidP="00530BA8">
            <w:pPr>
              <w:spacing w:before="20" w:after="20"/>
              <w:rPr>
                <w:sz w:val="18"/>
                <w:szCs w:val="18"/>
                <w:lang w:eastAsia="en-AU"/>
              </w:rPr>
            </w:pPr>
          </w:p>
        </w:tc>
        <w:tc>
          <w:tcPr>
            <w:tcW w:w="4820" w:type="dxa"/>
          </w:tcPr>
          <w:p w14:paraId="2635ACEE" w14:textId="77777777" w:rsidR="00DD2898" w:rsidRPr="008329D2" w:rsidRDefault="00DD2898" w:rsidP="00530BA8">
            <w:pPr>
              <w:spacing w:before="20" w:after="20"/>
              <w:rPr>
                <w:sz w:val="18"/>
                <w:szCs w:val="18"/>
                <w:lang w:eastAsia="en-AU"/>
              </w:rPr>
            </w:pPr>
          </w:p>
        </w:tc>
      </w:tr>
      <w:tr w:rsidR="00530BA8" w:rsidRPr="002915C2" w14:paraId="3D6CBF71" w14:textId="77777777" w:rsidTr="00530BA8">
        <w:trPr>
          <w:trHeight w:val="207"/>
        </w:trPr>
        <w:tc>
          <w:tcPr>
            <w:tcW w:w="822" w:type="dxa"/>
          </w:tcPr>
          <w:p w14:paraId="05FD0B5B" w14:textId="77777777" w:rsidR="00530BA8" w:rsidRPr="008329D2" w:rsidRDefault="00530BA8" w:rsidP="00530BA8">
            <w:pPr>
              <w:spacing w:before="20" w:after="20"/>
              <w:rPr>
                <w:sz w:val="18"/>
                <w:szCs w:val="18"/>
                <w:lang w:eastAsia="en-AU"/>
              </w:rPr>
            </w:pPr>
            <w:r w:rsidRPr="008329D2">
              <w:rPr>
                <w:sz w:val="18"/>
                <w:szCs w:val="18"/>
                <w:lang w:eastAsia="en-AU"/>
              </w:rPr>
              <w:t>15/2/13</w:t>
            </w:r>
          </w:p>
        </w:tc>
        <w:tc>
          <w:tcPr>
            <w:tcW w:w="1984" w:type="dxa"/>
          </w:tcPr>
          <w:p w14:paraId="57A949C5" w14:textId="77777777" w:rsidR="00530BA8" w:rsidRPr="008329D2" w:rsidRDefault="00530BA8" w:rsidP="00530BA8">
            <w:pPr>
              <w:spacing w:before="20" w:after="20"/>
              <w:rPr>
                <w:sz w:val="18"/>
                <w:szCs w:val="18"/>
                <w:lang w:eastAsia="en-AU"/>
              </w:rPr>
            </w:pPr>
            <w:r w:rsidRPr="008329D2">
              <w:rPr>
                <w:sz w:val="18"/>
                <w:szCs w:val="18"/>
                <w:lang w:eastAsia="en-AU"/>
              </w:rPr>
              <w:t>Takako Ito</w:t>
            </w:r>
          </w:p>
        </w:tc>
        <w:tc>
          <w:tcPr>
            <w:tcW w:w="1276" w:type="dxa"/>
          </w:tcPr>
          <w:p w14:paraId="147FEEC0" w14:textId="77777777" w:rsidR="00530BA8" w:rsidRPr="008329D2" w:rsidRDefault="00530BA8" w:rsidP="00530BA8">
            <w:pPr>
              <w:spacing w:before="20" w:after="20"/>
              <w:rPr>
                <w:sz w:val="18"/>
                <w:szCs w:val="18"/>
                <w:lang w:eastAsia="en-AU"/>
              </w:rPr>
            </w:pPr>
            <w:r>
              <w:rPr>
                <w:sz w:val="18"/>
                <w:szCs w:val="18"/>
                <w:lang w:eastAsia="en-AU"/>
              </w:rPr>
              <w:t>Japan Embassy</w:t>
            </w:r>
          </w:p>
        </w:tc>
        <w:tc>
          <w:tcPr>
            <w:tcW w:w="4820" w:type="dxa"/>
          </w:tcPr>
          <w:p w14:paraId="0AF6E99C" w14:textId="4DE3643C" w:rsidR="00530BA8" w:rsidRPr="008329D2" w:rsidRDefault="00530BA8" w:rsidP="00530BA8">
            <w:pPr>
              <w:spacing w:before="20" w:after="20"/>
              <w:rPr>
                <w:sz w:val="18"/>
                <w:szCs w:val="18"/>
                <w:lang w:eastAsia="en-AU"/>
              </w:rPr>
            </w:pPr>
            <w:r w:rsidRPr="008329D2">
              <w:rPr>
                <w:sz w:val="18"/>
                <w:szCs w:val="18"/>
                <w:lang w:eastAsia="en-AU"/>
              </w:rPr>
              <w:t>Minister-Counsellor, Dep</w:t>
            </w:r>
            <w:r w:rsidR="00DD2898">
              <w:rPr>
                <w:sz w:val="18"/>
                <w:szCs w:val="18"/>
                <w:lang w:eastAsia="en-AU"/>
              </w:rPr>
              <w:t>uty</w:t>
            </w:r>
            <w:r w:rsidRPr="008329D2">
              <w:rPr>
                <w:sz w:val="18"/>
                <w:szCs w:val="18"/>
                <w:lang w:eastAsia="en-AU"/>
              </w:rPr>
              <w:t xml:space="preserve"> Chief of Mission to ASEAN</w:t>
            </w:r>
          </w:p>
        </w:tc>
      </w:tr>
      <w:tr w:rsidR="00530BA8" w:rsidRPr="002915C2" w14:paraId="525D3966" w14:textId="77777777" w:rsidTr="00530BA8">
        <w:trPr>
          <w:trHeight w:val="207"/>
        </w:trPr>
        <w:tc>
          <w:tcPr>
            <w:tcW w:w="822" w:type="dxa"/>
          </w:tcPr>
          <w:p w14:paraId="0FF92D9E" w14:textId="77777777" w:rsidR="00530BA8" w:rsidRPr="008329D2" w:rsidRDefault="00530BA8" w:rsidP="00530BA8">
            <w:pPr>
              <w:spacing w:before="20" w:after="20"/>
              <w:rPr>
                <w:sz w:val="18"/>
                <w:szCs w:val="18"/>
                <w:lang w:eastAsia="en-AU"/>
              </w:rPr>
            </w:pPr>
          </w:p>
        </w:tc>
        <w:tc>
          <w:tcPr>
            <w:tcW w:w="1984" w:type="dxa"/>
          </w:tcPr>
          <w:p w14:paraId="6557B886" w14:textId="77777777" w:rsidR="00530BA8" w:rsidRPr="008329D2" w:rsidRDefault="00530BA8" w:rsidP="00530BA8">
            <w:pPr>
              <w:spacing w:before="20" w:after="20"/>
              <w:rPr>
                <w:sz w:val="18"/>
                <w:szCs w:val="18"/>
                <w:lang w:eastAsia="en-AU"/>
              </w:rPr>
            </w:pPr>
            <w:r w:rsidRPr="008329D2">
              <w:rPr>
                <w:sz w:val="18"/>
                <w:szCs w:val="18"/>
                <w:lang w:eastAsia="en-AU"/>
              </w:rPr>
              <w:t xml:space="preserve">Cecile Leroy </w:t>
            </w:r>
          </w:p>
        </w:tc>
        <w:tc>
          <w:tcPr>
            <w:tcW w:w="1276" w:type="dxa"/>
          </w:tcPr>
          <w:p w14:paraId="714EDA5F" w14:textId="77777777" w:rsidR="00530BA8" w:rsidRPr="008329D2" w:rsidRDefault="00530BA8" w:rsidP="00530BA8">
            <w:pPr>
              <w:spacing w:before="20" w:after="20"/>
              <w:rPr>
                <w:sz w:val="18"/>
                <w:szCs w:val="18"/>
                <w:lang w:eastAsia="en-AU"/>
              </w:rPr>
            </w:pPr>
            <w:r w:rsidRPr="008329D2">
              <w:rPr>
                <w:sz w:val="18"/>
                <w:szCs w:val="18"/>
                <w:lang w:eastAsia="en-AU"/>
              </w:rPr>
              <w:t>EU</w:t>
            </w:r>
          </w:p>
        </w:tc>
        <w:tc>
          <w:tcPr>
            <w:tcW w:w="4820" w:type="dxa"/>
          </w:tcPr>
          <w:p w14:paraId="791C6BB7" w14:textId="77777777" w:rsidR="00530BA8" w:rsidRPr="008329D2" w:rsidRDefault="00530BA8" w:rsidP="00530BA8">
            <w:pPr>
              <w:spacing w:before="20" w:after="20"/>
              <w:rPr>
                <w:sz w:val="18"/>
                <w:szCs w:val="18"/>
                <w:lang w:eastAsia="en-AU"/>
              </w:rPr>
            </w:pPr>
            <w:r w:rsidRPr="008329D2">
              <w:rPr>
                <w:sz w:val="18"/>
                <w:szCs w:val="18"/>
                <w:lang w:eastAsia="en-AU"/>
              </w:rPr>
              <w:t>Project Officer – Economic Cooperation</w:t>
            </w:r>
          </w:p>
        </w:tc>
      </w:tr>
      <w:tr w:rsidR="00530BA8" w:rsidRPr="002915C2" w14:paraId="349652AE" w14:textId="77777777" w:rsidTr="00530BA8">
        <w:trPr>
          <w:trHeight w:val="207"/>
        </w:trPr>
        <w:tc>
          <w:tcPr>
            <w:tcW w:w="822" w:type="dxa"/>
          </w:tcPr>
          <w:p w14:paraId="5D6FE9E0" w14:textId="77777777" w:rsidR="00530BA8" w:rsidRPr="008329D2" w:rsidRDefault="00530BA8" w:rsidP="00530BA8">
            <w:pPr>
              <w:spacing w:before="20" w:after="20"/>
              <w:rPr>
                <w:sz w:val="18"/>
                <w:szCs w:val="18"/>
                <w:lang w:eastAsia="en-AU"/>
              </w:rPr>
            </w:pPr>
          </w:p>
        </w:tc>
        <w:tc>
          <w:tcPr>
            <w:tcW w:w="1984" w:type="dxa"/>
          </w:tcPr>
          <w:p w14:paraId="296C1ED4" w14:textId="77777777" w:rsidR="00530BA8" w:rsidRPr="008329D2" w:rsidRDefault="00530BA8" w:rsidP="00530BA8">
            <w:pPr>
              <w:spacing w:before="20" w:after="20"/>
              <w:rPr>
                <w:sz w:val="18"/>
                <w:szCs w:val="18"/>
                <w:lang w:eastAsia="en-AU"/>
              </w:rPr>
            </w:pPr>
            <w:r w:rsidRPr="008329D2">
              <w:rPr>
                <w:sz w:val="18"/>
                <w:szCs w:val="18"/>
                <w:lang w:eastAsia="en-AU"/>
              </w:rPr>
              <w:t>Jennifer Wilson</w:t>
            </w:r>
          </w:p>
          <w:p w14:paraId="33E7666F" w14:textId="77777777" w:rsidR="00530BA8" w:rsidRPr="008329D2" w:rsidRDefault="00530BA8" w:rsidP="00530BA8">
            <w:pPr>
              <w:spacing w:before="20" w:after="20"/>
              <w:rPr>
                <w:sz w:val="18"/>
                <w:szCs w:val="18"/>
                <w:lang w:eastAsia="en-AU"/>
              </w:rPr>
            </w:pPr>
            <w:r w:rsidRPr="008329D2">
              <w:rPr>
                <w:sz w:val="18"/>
                <w:szCs w:val="18"/>
                <w:lang w:eastAsia="en-AU"/>
              </w:rPr>
              <w:t>Guillo Cintron</w:t>
            </w:r>
          </w:p>
        </w:tc>
        <w:tc>
          <w:tcPr>
            <w:tcW w:w="1276" w:type="dxa"/>
          </w:tcPr>
          <w:p w14:paraId="4F518BBC" w14:textId="77777777" w:rsidR="00530BA8" w:rsidRPr="008329D2" w:rsidRDefault="00530BA8" w:rsidP="00530BA8">
            <w:pPr>
              <w:spacing w:before="20" w:after="20"/>
              <w:rPr>
                <w:sz w:val="18"/>
                <w:szCs w:val="18"/>
                <w:lang w:eastAsia="en-AU"/>
              </w:rPr>
            </w:pPr>
            <w:r w:rsidRPr="008329D2">
              <w:rPr>
                <w:sz w:val="18"/>
                <w:szCs w:val="18"/>
                <w:lang w:eastAsia="en-AU"/>
              </w:rPr>
              <w:t>US Embassy</w:t>
            </w:r>
          </w:p>
        </w:tc>
        <w:tc>
          <w:tcPr>
            <w:tcW w:w="4820" w:type="dxa"/>
          </w:tcPr>
          <w:p w14:paraId="066A9C38" w14:textId="77777777" w:rsidR="00530BA8" w:rsidRPr="008329D2" w:rsidRDefault="00530BA8" w:rsidP="00530BA8">
            <w:pPr>
              <w:spacing w:before="20" w:after="20"/>
              <w:rPr>
                <w:sz w:val="18"/>
                <w:szCs w:val="18"/>
                <w:lang w:eastAsia="en-AU"/>
              </w:rPr>
            </w:pPr>
            <w:r w:rsidRPr="008329D2">
              <w:rPr>
                <w:sz w:val="18"/>
                <w:szCs w:val="18"/>
                <w:lang w:eastAsia="en-AU"/>
              </w:rPr>
              <w:t>USAID – ASEAN Affairs</w:t>
            </w:r>
          </w:p>
          <w:p w14:paraId="42F7B98E" w14:textId="77777777" w:rsidR="00530BA8" w:rsidRPr="008329D2" w:rsidRDefault="00530BA8" w:rsidP="00530BA8">
            <w:pPr>
              <w:spacing w:before="20" w:after="20"/>
              <w:rPr>
                <w:sz w:val="18"/>
                <w:szCs w:val="18"/>
                <w:lang w:eastAsia="en-AU"/>
              </w:rPr>
            </w:pPr>
            <w:r w:rsidRPr="008329D2">
              <w:rPr>
                <w:sz w:val="18"/>
                <w:szCs w:val="18"/>
                <w:lang w:eastAsia="en-AU"/>
              </w:rPr>
              <w:t xml:space="preserve">USAID – Program Manager </w:t>
            </w:r>
          </w:p>
        </w:tc>
      </w:tr>
      <w:tr w:rsidR="00530BA8" w:rsidRPr="002915C2" w14:paraId="3B1EF298" w14:textId="77777777" w:rsidTr="00530BA8">
        <w:trPr>
          <w:trHeight w:val="207"/>
        </w:trPr>
        <w:tc>
          <w:tcPr>
            <w:tcW w:w="822" w:type="dxa"/>
          </w:tcPr>
          <w:p w14:paraId="05EEABBD" w14:textId="77777777" w:rsidR="00530BA8" w:rsidRPr="008329D2" w:rsidRDefault="00530BA8" w:rsidP="00530BA8">
            <w:pPr>
              <w:spacing w:before="20" w:after="20"/>
              <w:rPr>
                <w:sz w:val="18"/>
                <w:szCs w:val="18"/>
                <w:lang w:eastAsia="en-AU"/>
              </w:rPr>
            </w:pPr>
            <w:r>
              <w:rPr>
                <w:sz w:val="18"/>
                <w:szCs w:val="18"/>
                <w:lang w:eastAsia="en-AU"/>
              </w:rPr>
              <w:t>18/3/13</w:t>
            </w:r>
          </w:p>
        </w:tc>
        <w:tc>
          <w:tcPr>
            <w:tcW w:w="1984" w:type="dxa"/>
          </w:tcPr>
          <w:p w14:paraId="303F32ED" w14:textId="77777777" w:rsidR="00530BA8" w:rsidRPr="008329D2" w:rsidRDefault="00530BA8" w:rsidP="00530BA8">
            <w:pPr>
              <w:spacing w:before="20" w:after="20"/>
              <w:rPr>
                <w:sz w:val="18"/>
                <w:szCs w:val="18"/>
                <w:lang w:eastAsia="en-AU"/>
              </w:rPr>
            </w:pPr>
            <w:r>
              <w:rPr>
                <w:sz w:val="18"/>
                <w:szCs w:val="18"/>
                <w:lang w:eastAsia="en-AU"/>
              </w:rPr>
              <w:t>Djatmiko W</w:t>
            </w:r>
            <w:r w:rsidRPr="006A26AD">
              <w:rPr>
                <w:sz w:val="18"/>
                <w:szCs w:val="18"/>
                <w:lang w:eastAsia="en-AU"/>
              </w:rPr>
              <w:t xml:space="preserve">itjaksono </w:t>
            </w:r>
          </w:p>
        </w:tc>
        <w:tc>
          <w:tcPr>
            <w:tcW w:w="1276" w:type="dxa"/>
          </w:tcPr>
          <w:p w14:paraId="03916998" w14:textId="67CB1FEC" w:rsidR="00530BA8" w:rsidRPr="008329D2" w:rsidRDefault="00DD6062">
            <w:pPr>
              <w:spacing w:before="20" w:after="20"/>
              <w:rPr>
                <w:sz w:val="18"/>
                <w:szCs w:val="18"/>
                <w:lang w:eastAsia="en-AU"/>
              </w:rPr>
            </w:pPr>
            <w:r>
              <w:rPr>
                <w:sz w:val="18"/>
                <w:szCs w:val="18"/>
                <w:lang w:eastAsia="en-AU"/>
              </w:rPr>
              <w:t xml:space="preserve">Indonesia </w:t>
            </w:r>
            <w:r w:rsidR="00530BA8">
              <w:rPr>
                <w:sz w:val="18"/>
                <w:szCs w:val="18"/>
                <w:lang w:eastAsia="en-AU"/>
              </w:rPr>
              <w:t>M</w:t>
            </w:r>
            <w:r w:rsidR="00DD2898">
              <w:rPr>
                <w:sz w:val="18"/>
                <w:szCs w:val="18"/>
                <w:lang w:eastAsia="en-AU"/>
              </w:rPr>
              <w:t xml:space="preserve">inistry </w:t>
            </w:r>
            <w:r w:rsidR="00530BA8">
              <w:rPr>
                <w:sz w:val="18"/>
                <w:szCs w:val="18"/>
                <w:lang w:eastAsia="en-AU"/>
              </w:rPr>
              <w:t>of Trade</w:t>
            </w:r>
          </w:p>
        </w:tc>
        <w:tc>
          <w:tcPr>
            <w:tcW w:w="4820" w:type="dxa"/>
          </w:tcPr>
          <w:p w14:paraId="7C8CA83C" w14:textId="77777777" w:rsidR="00530BA8" w:rsidRPr="008329D2" w:rsidRDefault="00530BA8" w:rsidP="00530BA8">
            <w:pPr>
              <w:spacing w:before="20" w:after="20"/>
              <w:rPr>
                <w:sz w:val="18"/>
                <w:szCs w:val="18"/>
                <w:lang w:eastAsia="en-AU"/>
              </w:rPr>
            </w:pPr>
            <w:r>
              <w:rPr>
                <w:sz w:val="18"/>
                <w:szCs w:val="18"/>
                <w:lang w:eastAsia="en-AU"/>
              </w:rPr>
              <w:t>Director, ASEAN Cooperation</w:t>
            </w:r>
          </w:p>
        </w:tc>
      </w:tr>
      <w:tr w:rsidR="00530BA8" w:rsidRPr="002915C2" w14:paraId="3606D23D" w14:textId="77777777" w:rsidTr="00530BA8">
        <w:trPr>
          <w:trHeight w:val="207"/>
        </w:trPr>
        <w:tc>
          <w:tcPr>
            <w:tcW w:w="822" w:type="dxa"/>
          </w:tcPr>
          <w:p w14:paraId="2D4D812B" w14:textId="77777777" w:rsidR="00530BA8" w:rsidRDefault="00530BA8" w:rsidP="00530BA8">
            <w:pPr>
              <w:spacing w:before="20" w:after="20"/>
              <w:rPr>
                <w:sz w:val="18"/>
                <w:szCs w:val="18"/>
                <w:lang w:eastAsia="en-AU"/>
              </w:rPr>
            </w:pPr>
          </w:p>
        </w:tc>
        <w:tc>
          <w:tcPr>
            <w:tcW w:w="1984" w:type="dxa"/>
          </w:tcPr>
          <w:p w14:paraId="11612132" w14:textId="77777777" w:rsidR="00530BA8" w:rsidRDefault="00530BA8" w:rsidP="00530BA8">
            <w:pPr>
              <w:spacing w:before="20" w:after="20"/>
              <w:rPr>
                <w:sz w:val="18"/>
                <w:szCs w:val="18"/>
                <w:lang w:eastAsia="en-AU"/>
              </w:rPr>
            </w:pPr>
            <w:r>
              <w:rPr>
                <w:sz w:val="18"/>
                <w:szCs w:val="18"/>
                <w:lang w:eastAsia="en-AU"/>
              </w:rPr>
              <w:t>Andri Gilang Nugraha</w:t>
            </w:r>
          </w:p>
        </w:tc>
        <w:tc>
          <w:tcPr>
            <w:tcW w:w="1276" w:type="dxa"/>
          </w:tcPr>
          <w:p w14:paraId="56433515" w14:textId="76949E76" w:rsidR="00530BA8" w:rsidRDefault="00DD6062" w:rsidP="00530BA8">
            <w:pPr>
              <w:spacing w:before="20" w:after="20"/>
              <w:rPr>
                <w:sz w:val="18"/>
                <w:szCs w:val="18"/>
                <w:lang w:eastAsia="en-AU"/>
              </w:rPr>
            </w:pPr>
            <w:r>
              <w:rPr>
                <w:sz w:val="18"/>
                <w:szCs w:val="18"/>
                <w:lang w:eastAsia="en-AU"/>
              </w:rPr>
              <w:t xml:space="preserve">Indonesia </w:t>
            </w:r>
            <w:r w:rsidR="00DD2898">
              <w:rPr>
                <w:sz w:val="18"/>
                <w:szCs w:val="18"/>
                <w:lang w:eastAsia="en-AU"/>
              </w:rPr>
              <w:t>Ministry</w:t>
            </w:r>
            <w:r w:rsidR="00530BA8">
              <w:rPr>
                <w:sz w:val="18"/>
                <w:szCs w:val="18"/>
                <w:lang w:eastAsia="en-AU"/>
              </w:rPr>
              <w:t xml:space="preserve"> of Trade</w:t>
            </w:r>
          </w:p>
        </w:tc>
        <w:tc>
          <w:tcPr>
            <w:tcW w:w="4820" w:type="dxa"/>
          </w:tcPr>
          <w:p w14:paraId="6B585020" w14:textId="77777777" w:rsidR="00530BA8" w:rsidRDefault="00530BA8" w:rsidP="00530BA8">
            <w:pPr>
              <w:spacing w:before="20" w:after="20"/>
              <w:rPr>
                <w:sz w:val="18"/>
                <w:szCs w:val="18"/>
                <w:lang w:eastAsia="en-AU"/>
              </w:rPr>
            </w:pPr>
            <w:r>
              <w:rPr>
                <w:sz w:val="18"/>
                <w:szCs w:val="18"/>
                <w:lang w:eastAsia="en-AU"/>
              </w:rPr>
              <w:t>Head of Section, ASEAN Cooperation</w:t>
            </w:r>
          </w:p>
        </w:tc>
      </w:tr>
      <w:tr w:rsidR="00DD2898" w:rsidRPr="002915C2" w14:paraId="417F1F18" w14:textId="77777777" w:rsidTr="00530BA8">
        <w:trPr>
          <w:trHeight w:val="207"/>
        </w:trPr>
        <w:tc>
          <w:tcPr>
            <w:tcW w:w="822" w:type="dxa"/>
          </w:tcPr>
          <w:p w14:paraId="477D0DB1" w14:textId="77777777" w:rsidR="00DD2898" w:rsidRDefault="00DD2898" w:rsidP="00530BA8">
            <w:pPr>
              <w:spacing w:before="20" w:after="20"/>
              <w:rPr>
                <w:sz w:val="18"/>
                <w:szCs w:val="18"/>
                <w:lang w:eastAsia="en-AU"/>
              </w:rPr>
            </w:pPr>
          </w:p>
        </w:tc>
        <w:tc>
          <w:tcPr>
            <w:tcW w:w="1984" w:type="dxa"/>
          </w:tcPr>
          <w:p w14:paraId="23832714" w14:textId="77777777" w:rsidR="00DD2898" w:rsidRDefault="00DD2898" w:rsidP="00530BA8">
            <w:pPr>
              <w:spacing w:before="20" w:after="20"/>
              <w:rPr>
                <w:sz w:val="18"/>
                <w:szCs w:val="18"/>
                <w:lang w:eastAsia="en-AU"/>
              </w:rPr>
            </w:pPr>
          </w:p>
        </w:tc>
        <w:tc>
          <w:tcPr>
            <w:tcW w:w="1276" w:type="dxa"/>
          </w:tcPr>
          <w:p w14:paraId="797EF3B1" w14:textId="77777777" w:rsidR="00DD2898" w:rsidRDefault="00DD2898" w:rsidP="00530BA8">
            <w:pPr>
              <w:spacing w:before="20" w:after="20"/>
              <w:rPr>
                <w:sz w:val="18"/>
                <w:szCs w:val="18"/>
                <w:lang w:eastAsia="en-AU"/>
              </w:rPr>
            </w:pPr>
          </w:p>
        </w:tc>
        <w:tc>
          <w:tcPr>
            <w:tcW w:w="4820" w:type="dxa"/>
          </w:tcPr>
          <w:p w14:paraId="1657CDCE" w14:textId="77777777" w:rsidR="00DD2898" w:rsidRDefault="00DD2898" w:rsidP="00530BA8">
            <w:pPr>
              <w:spacing w:before="20" w:after="20"/>
              <w:rPr>
                <w:sz w:val="18"/>
                <w:szCs w:val="18"/>
                <w:lang w:eastAsia="en-AU"/>
              </w:rPr>
            </w:pPr>
          </w:p>
        </w:tc>
      </w:tr>
      <w:tr w:rsidR="00530BA8" w:rsidRPr="002915C2" w14:paraId="7CBC8B9D" w14:textId="77777777" w:rsidTr="00530BA8">
        <w:trPr>
          <w:trHeight w:val="207"/>
        </w:trPr>
        <w:tc>
          <w:tcPr>
            <w:tcW w:w="822" w:type="dxa"/>
          </w:tcPr>
          <w:p w14:paraId="3EBC3651" w14:textId="77777777" w:rsidR="00530BA8" w:rsidRPr="008329D2" w:rsidRDefault="00530BA8" w:rsidP="00530BA8">
            <w:pPr>
              <w:spacing w:before="20" w:after="20"/>
              <w:rPr>
                <w:sz w:val="18"/>
                <w:szCs w:val="18"/>
                <w:lang w:eastAsia="en-AU"/>
              </w:rPr>
            </w:pPr>
            <w:r>
              <w:rPr>
                <w:sz w:val="18"/>
                <w:szCs w:val="18"/>
                <w:lang w:eastAsia="en-AU"/>
              </w:rPr>
              <w:t>19/2/13</w:t>
            </w:r>
          </w:p>
        </w:tc>
        <w:tc>
          <w:tcPr>
            <w:tcW w:w="1984" w:type="dxa"/>
          </w:tcPr>
          <w:p w14:paraId="557C9831" w14:textId="77777777" w:rsidR="00530BA8" w:rsidRPr="008329D2" w:rsidRDefault="00530BA8" w:rsidP="00530BA8">
            <w:pPr>
              <w:spacing w:before="20" w:after="20"/>
              <w:rPr>
                <w:sz w:val="18"/>
                <w:szCs w:val="18"/>
                <w:lang w:eastAsia="en-AU"/>
              </w:rPr>
            </w:pPr>
            <w:r>
              <w:rPr>
                <w:sz w:val="18"/>
                <w:szCs w:val="18"/>
                <w:lang w:eastAsia="en-AU"/>
              </w:rPr>
              <w:t>Pham Quynh Huong</w:t>
            </w:r>
          </w:p>
        </w:tc>
        <w:tc>
          <w:tcPr>
            <w:tcW w:w="1276" w:type="dxa"/>
          </w:tcPr>
          <w:p w14:paraId="27E776AE" w14:textId="77777777" w:rsidR="00530BA8" w:rsidRPr="008329D2" w:rsidRDefault="00530BA8" w:rsidP="00530BA8">
            <w:pPr>
              <w:spacing w:before="20" w:after="20"/>
              <w:rPr>
                <w:sz w:val="18"/>
                <w:szCs w:val="18"/>
                <w:lang w:eastAsia="en-AU"/>
              </w:rPr>
            </w:pPr>
            <w:r>
              <w:rPr>
                <w:sz w:val="18"/>
                <w:szCs w:val="18"/>
                <w:lang w:eastAsia="en-AU"/>
              </w:rPr>
              <w:t>World Bank</w:t>
            </w:r>
          </w:p>
        </w:tc>
        <w:tc>
          <w:tcPr>
            <w:tcW w:w="4820" w:type="dxa"/>
          </w:tcPr>
          <w:p w14:paraId="75C0B3BF" w14:textId="77777777" w:rsidR="00530BA8" w:rsidRPr="008329D2" w:rsidRDefault="00530BA8" w:rsidP="00530BA8">
            <w:pPr>
              <w:spacing w:before="20" w:after="20"/>
              <w:rPr>
                <w:sz w:val="18"/>
                <w:szCs w:val="18"/>
                <w:lang w:eastAsia="en-AU"/>
              </w:rPr>
            </w:pPr>
            <w:r>
              <w:rPr>
                <w:sz w:val="18"/>
                <w:szCs w:val="18"/>
                <w:lang w:eastAsia="en-AU"/>
              </w:rPr>
              <w:t>Senior ASEAN Liaison Officer</w:t>
            </w:r>
          </w:p>
        </w:tc>
      </w:tr>
      <w:tr w:rsidR="00530BA8" w:rsidRPr="002915C2" w14:paraId="2E1A240D" w14:textId="77777777" w:rsidTr="00530BA8">
        <w:trPr>
          <w:trHeight w:val="207"/>
        </w:trPr>
        <w:tc>
          <w:tcPr>
            <w:tcW w:w="822" w:type="dxa"/>
          </w:tcPr>
          <w:p w14:paraId="6844EF28" w14:textId="77777777" w:rsidR="00530BA8" w:rsidRPr="008329D2" w:rsidRDefault="00530BA8" w:rsidP="00530BA8">
            <w:pPr>
              <w:spacing w:before="20" w:after="20"/>
              <w:rPr>
                <w:sz w:val="18"/>
                <w:szCs w:val="18"/>
                <w:lang w:eastAsia="en-AU"/>
              </w:rPr>
            </w:pPr>
          </w:p>
        </w:tc>
        <w:tc>
          <w:tcPr>
            <w:tcW w:w="1984" w:type="dxa"/>
          </w:tcPr>
          <w:p w14:paraId="3797CBBD" w14:textId="77777777" w:rsidR="00530BA8" w:rsidRPr="008329D2" w:rsidRDefault="00530BA8" w:rsidP="00530BA8">
            <w:pPr>
              <w:spacing w:before="20" w:after="20"/>
              <w:rPr>
                <w:sz w:val="18"/>
                <w:szCs w:val="18"/>
                <w:lang w:eastAsia="en-AU"/>
              </w:rPr>
            </w:pPr>
            <w:r>
              <w:rPr>
                <w:sz w:val="18"/>
                <w:szCs w:val="18"/>
                <w:lang w:eastAsia="en-AU"/>
              </w:rPr>
              <w:t>Della Temenggung</w:t>
            </w:r>
          </w:p>
        </w:tc>
        <w:tc>
          <w:tcPr>
            <w:tcW w:w="1276" w:type="dxa"/>
          </w:tcPr>
          <w:p w14:paraId="556FF550" w14:textId="77777777" w:rsidR="00530BA8" w:rsidRPr="008329D2" w:rsidRDefault="00530BA8" w:rsidP="00530BA8">
            <w:pPr>
              <w:spacing w:before="20" w:after="20"/>
              <w:rPr>
                <w:sz w:val="18"/>
                <w:szCs w:val="18"/>
                <w:lang w:eastAsia="en-AU"/>
              </w:rPr>
            </w:pPr>
            <w:r>
              <w:rPr>
                <w:sz w:val="18"/>
                <w:szCs w:val="18"/>
                <w:lang w:eastAsia="en-AU"/>
              </w:rPr>
              <w:t>World Bank</w:t>
            </w:r>
          </w:p>
        </w:tc>
        <w:tc>
          <w:tcPr>
            <w:tcW w:w="4820" w:type="dxa"/>
          </w:tcPr>
          <w:p w14:paraId="4322EE3B" w14:textId="77777777" w:rsidR="00530BA8" w:rsidRPr="008329D2" w:rsidRDefault="00530BA8" w:rsidP="00530BA8">
            <w:pPr>
              <w:spacing w:before="20" w:after="20"/>
              <w:rPr>
                <w:sz w:val="18"/>
                <w:szCs w:val="18"/>
                <w:lang w:eastAsia="en-AU"/>
              </w:rPr>
            </w:pPr>
            <w:r>
              <w:rPr>
                <w:sz w:val="18"/>
                <w:szCs w:val="18"/>
                <w:lang w:eastAsia="en-AU"/>
              </w:rPr>
              <w:t>Consultant, Economist, MDF for Trade and Investment</w:t>
            </w:r>
          </w:p>
        </w:tc>
      </w:tr>
      <w:tr w:rsidR="00530BA8" w:rsidRPr="002915C2" w14:paraId="0ED35BB5" w14:textId="77777777" w:rsidTr="00530BA8">
        <w:trPr>
          <w:trHeight w:val="207"/>
        </w:trPr>
        <w:tc>
          <w:tcPr>
            <w:tcW w:w="822" w:type="dxa"/>
          </w:tcPr>
          <w:p w14:paraId="3BE5DFAA" w14:textId="77777777" w:rsidR="00530BA8" w:rsidRPr="008329D2" w:rsidRDefault="00530BA8" w:rsidP="00530BA8">
            <w:pPr>
              <w:spacing w:before="20" w:after="20"/>
              <w:rPr>
                <w:sz w:val="18"/>
                <w:szCs w:val="18"/>
                <w:lang w:eastAsia="en-AU"/>
              </w:rPr>
            </w:pPr>
          </w:p>
        </w:tc>
        <w:tc>
          <w:tcPr>
            <w:tcW w:w="1984" w:type="dxa"/>
          </w:tcPr>
          <w:p w14:paraId="7CC24788" w14:textId="77777777" w:rsidR="00530BA8" w:rsidRPr="008329D2" w:rsidRDefault="00530BA8" w:rsidP="00530BA8">
            <w:pPr>
              <w:spacing w:before="20" w:after="20"/>
              <w:rPr>
                <w:sz w:val="18"/>
                <w:szCs w:val="18"/>
                <w:lang w:eastAsia="en-AU"/>
              </w:rPr>
            </w:pPr>
            <w:r>
              <w:rPr>
                <w:sz w:val="18"/>
                <w:szCs w:val="18"/>
                <w:lang w:eastAsia="en-AU"/>
              </w:rPr>
              <w:t>Sjamsu Rahadja</w:t>
            </w:r>
          </w:p>
        </w:tc>
        <w:tc>
          <w:tcPr>
            <w:tcW w:w="1276" w:type="dxa"/>
          </w:tcPr>
          <w:p w14:paraId="443F3740" w14:textId="77777777" w:rsidR="00530BA8" w:rsidRPr="008329D2" w:rsidRDefault="00530BA8" w:rsidP="00530BA8">
            <w:pPr>
              <w:spacing w:before="20" w:after="20"/>
              <w:rPr>
                <w:sz w:val="18"/>
                <w:szCs w:val="18"/>
                <w:lang w:eastAsia="en-AU"/>
              </w:rPr>
            </w:pPr>
            <w:r>
              <w:rPr>
                <w:sz w:val="18"/>
                <w:szCs w:val="18"/>
                <w:lang w:eastAsia="en-AU"/>
              </w:rPr>
              <w:t>World Bank</w:t>
            </w:r>
          </w:p>
        </w:tc>
        <w:tc>
          <w:tcPr>
            <w:tcW w:w="4820" w:type="dxa"/>
          </w:tcPr>
          <w:p w14:paraId="48375C0E" w14:textId="77777777" w:rsidR="00530BA8" w:rsidRPr="008329D2" w:rsidRDefault="00530BA8" w:rsidP="00530BA8">
            <w:pPr>
              <w:spacing w:before="20" w:after="20"/>
              <w:rPr>
                <w:sz w:val="18"/>
                <w:szCs w:val="18"/>
                <w:lang w:eastAsia="en-AU"/>
              </w:rPr>
            </w:pPr>
            <w:r>
              <w:rPr>
                <w:sz w:val="18"/>
                <w:szCs w:val="18"/>
                <w:lang w:eastAsia="en-AU"/>
              </w:rPr>
              <w:t>Senior Economist</w:t>
            </w:r>
          </w:p>
        </w:tc>
      </w:tr>
      <w:tr w:rsidR="00530BA8" w:rsidRPr="002915C2" w14:paraId="59AC854F" w14:textId="77777777" w:rsidTr="00530BA8">
        <w:trPr>
          <w:trHeight w:val="207"/>
        </w:trPr>
        <w:tc>
          <w:tcPr>
            <w:tcW w:w="822" w:type="dxa"/>
          </w:tcPr>
          <w:p w14:paraId="5D71E154" w14:textId="77777777" w:rsidR="00530BA8" w:rsidRPr="008329D2" w:rsidRDefault="00530BA8" w:rsidP="00530BA8">
            <w:pPr>
              <w:spacing w:before="20" w:after="20"/>
              <w:rPr>
                <w:sz w:val="18"/>
                <w:szCs w:val="18"/>
                <w:lang w:eastAsia="en-AU"/>
              </w:rPr>
            </w:pPr>
          </w:p>
        </w:tc>
        <w:tc>
          <w:tcPr>
            <w:tcW w:w="1984" w:type="dxa"/>
          </w:tcPr>
          <w:p w14:paraId="74DE44A8" w14:textId="77777777" w:rsidR="00530BA8" w:rsidRPr="008329D2" w:rsidRDefault="00530BA8" w:rsidP="00530BA8">
            <w:pPr>
              <w:spacing w:before="20" w:after="20"/>
              <w:rPr>
                <w:sz w:val="18"/>
                <w:szCs w:val="18"/>
                <w:lang w:eastAsia="en-AU"/>
              </w:rPr>
            </w:pPr>
            <w:r>
              <w:rPr>
                <w:sz w:val="18"/>
                <w:szCs w:val="18"/>
                <w:lang w:eastAsia="en-AU"/>
              </w:rPr>
              <w:t>Paul Bartlett</w:t>
            </w:r>
          </w:p>
        </w:tc>
        <w:tc>
          <w:tcPr>
            <w:tcW w:w="1276" w:type="dxa"/>
          </w:tcPr>
          <w:p w14:paraId="0DFCC583" w14:textId="77777777" w:rsidR="00530BA8" w:rsidRPr="008329D2" w:rsidRDefault="00530BA8" w:rsidP="00530BA8">
            <w:pPr>
              <w:spacing w:before="20" w:after="20"/>
              <w:rPr>
                <w:sz w:val="18"/>
                <w:szCs w:val="18"/>
                <w:lang w:eastAsia="en-AU"/>
              </w:rPr>
            </w:pPr>
            <w:r>
              <w:rPr>
                <w:sz w:val="18"/>
                <w:szCs w:val="18"/>
                <w:lang w:eastAsia="en-AU"/>
              </w:rPr>
              <w:t>AIPEG</w:t>
            </w:r>
          </w:p>
        </w:tc>
        <w:tc>
          <w:tcPr>
            <w:tcW w:w="4820" w:type="dxa"/>
          </w:tcPr>
          <w:p w14:paraId="3531FC65" w14:textId="009E3275" w:rsidR="00530BA8" w:rsidRPr="008329D2" w:rsidRDefault="00530BA8">
            <w:pPr>
              <w:spacing w:before="20" w:after="20"/>
              <w:rPr>
                <w:sz w:val="18"/>
                <w:szCs w:val="18"/>
                <w:lang w:eastAsia="en-AU"/>
              </w:rPr>
            </w:pPr>
            <w:r>
              <w:rPr>
                <w:sz w:val="18"/>
                <w:szCs w:val="18"/>
                <w:lang w:eastAsia="en-AU"/>
              </w:rPr>
              <w:t xml:space="preserve">Lead </w:t>
            </w:r>
            <w:r w:rsidR="00DD2898">
              <w:rPr>
                <w:sz w:val="18"/>
                <w:szCs w:val="18"/>
                <w:lang w:eastAsia="en-AU"/>
              </w:rPr>
              <w:t>Advisor</w:t>
            </w:r>
          </w:p>
        </w:tc>
      </w:tr>
      <w:tr w:rsidR="00530BA8" w:rsidRPr="002915C2" w14:paraId="419CFDEF" w14:textId="77777777" w:rsidTr="00530BA8">
        <w:trPr>
          <w:trHeight w:val="207"/>
        </w:trPr>
        <w:tc>
          <w:tcPr>
            <w:tcW w:w="822" w:type="dxa"/>
          </w:tcPr>
          <w:p w14:paraId="4A8300A4" w14:textId="77777777" w:rsidR="00530BA8" w:rsidRPr="008329D2" w:rsidRDefault="00530BA8" w:rsidP="00530BA8">
            <w:pPr>
              <w:spacing w:before="20" w:after="20"/>
              <w:rPr>
                <w:sz w:val="18"/>
                <w:szCs w:val="18"/>
                <w:lang w:eastAsia="en-AU"/>
              </w:rPr>
            </w:pPr>
          </w:p>
        </w:tc>
        <w:tc>
          <w:tcPr>
            <w:tcW w:w="1984" w:type="dxa"/>
          </w:tcPr>
          <w:p w14:paraId="1EBC5E5C" w14:textId="77777777" w:rsidR="00530BA8" w:rsidRPr="008329D2" w:rsidRDefault="00530BA8" w:rsidP="00530BA8">
            <w:pPr>
              <w:spacing w:before="20" w:after="20"/>
              <w:rPr>
                <w:sz w:val="18"/>
                <w:szCs w:val="18"/>
                <w:lang w:eastAsia="en-AU"/>
              </w:rPr>
            </w:pPr>
            <w:r>
              <w:rPr>
                <w:sz w:val="18"/>
                <w:szCs w:val="18"/>
                <w:lang w:eastAsia="en-AU"/>
              </w:rPr>
              <w:t>Kirk Haywood</w:t>
            </w:r>
          </w:p>
        </w:tc>
        <w:tc>
          <w:tcPr>
            <w:tcW w:w="1276" w:type="dxa"/>
          </w:tcPr>
          <w:p w14:paraId="3B7CAD8A" w14:textId="50026C33" w:rsidR="00530BA8" w:rsidRPr="008329D2" w:rsidRDefault="00530BA8" w:rsidP="00097596">
            <w:pPr>
              <w:spacing w:before="20" w:after="20"/>
              <w:rPr>
                <w:sz w:val="18"/>
                <w:szCs w:val="18"/>
                <w:lang w:eastAsia="en-AU"/>
              </w:rPr>
            </w:pPr>
            <w:r>
              <w:rPr>
                <w:sz w:val="18"/>
                <w:szCs w:val="18"/>
                <w:lang w:eastAsia="en-AU"/>
              </w:rPr>
              <w:t>AIPEG</w:t>
            </w:r>
          </w:p>
        </w:tc>
        <w:tc>
          <w:tcPr>
            <w:tcW w:w="4820" w:type="dxa"/>
          </w:tcPr>
          <w:p w14:paraId="391A50DD" w14:textId="77777777" w:rsidR="00530BA8" w:rsidRPr="008329D2" w:rsidRDefault="00530BA8" w:rsidP="00530BA8">
            <w:pPr>
              <w:spacing w:before="20" w:after="20"/>
              <w:rPr>
                <w:sz w:val="18"/>
                <w:szCs w:val="18"/>
                <w:lang w:eastAsia="en-AU"/>
              </w:rPr>
            </w:pPr>
            <w:r>
              <w:rPr>
                <w:sz w:val="18"/>
                <w:szCs w:val="18"/>
                <w:lang w:eastAsia="en-AU"/>
              </w:rPr>
              <w:t>International Trade Law Advisor</w:t>
            </w:r>
          </w:p>
        </w:tc>
      </w:tr>
      <w:tr w:rsidR="00530BA8" w:rsidRPr="002915C2" w14:paraId="1D206F5B" w14:textId="77777777" w:rsidTr="00530BA8">
        <w:trPr>
          <w:trHeight w:val="207"/>
        </w:trPr>
        <w:tc>
          <w:tcPr>
            <w:tcW w:w="822" w:type="dxa"/>
          </w:tcPr>
          <w:p w14:paraId="3EC696E3" w14:textId="77777777" w:rsidR="00530BA8" w:rsidRPr="008329D2" w:rsidRDefault="00530BA8" w:rsidP="00530BA8">
            <w:pPr>
              <w:spacing w:before="20" w:after="20"/>
              <w:rPr>
                <w:sz w:val="18"/>
                <w:szCs w:val="18"/>
                <w:lang w:eastAsia="en-AU"/>
              </w:rPr>
            </w:pPr>
          </w:p>
        </w:tc>
        <w:tc>
          <w:tcPr>
            <w:tcW w:w="1984" w:type="dxa"/>
          </w:tcPr>
          <w:p w14:paraId="63974CDE" w14:textId="77777777" w:rsidR="00530BA8" w:rsidRPr="008329D2" w:rsidRDefault="00530BA8" w:rsidP="00530BA8">
            <w:pPr>
              <w:spacing w:before="20" w:after="20"/>
              <w:rPr>
                <w:sz w:val="18"/>
                <w:szCs w:val="18"/>
                <w:lang w:eastAsia="en-AU"/>
              </w:rPr>
            </w:pPr>
            <w:r>
              <w:rPr>
                <w:sz w:val="18"/>
                <w:szCs w:val="18"/>
                <w:lang w:eastAsia="en-AU"/>
              </w:rPr>
              <w:t>Roland Rajah</w:t>
            </w:r>
          </w:p>
        </w:tc>
        <w:tc>
          <w:tcPr>
            <w:tcW w:w="1276" w:type="dxa"/>
          </w:tcPr>
          <w:p w14:paraId="3E6CC8A6" w14:textId="77777777" w:rsidR="00530BA8" w:rsidRPr="008329D2" w:rsidRDefault="00530BA8" w:rsidP="00530BA8">
            <w:pPr>
              <w:spacing w:before="20" w:after="20"/>
              <w:rPr>
                <w:sz w:val="18"/>
                <w:szCs w:val="18"/>
                <w:lang w:eastAsia="en-AU"/>
              </w:rPr>
            </w:pPr>
            <w:r>
              <w:rPr>
                <w:sz w:val="18"/>
                <w:szCs w:val="18"/>
                <w:lang w:eastAsia="en-AU"/>
              </w:rPr>
              <w:t>AusAID</w:t>
            </w:r>
          </w:p>
        </w:tc>
        <w:tc>
          <w:tcPr>
            <w:tcW w:w="4820" w:type="dxa"/>
          </w:tcPr>
          <w:p w14:paraId="6E5A66A3" w14:textId="77777777" w:rsidR="00530BA8" w:rsidRPr="008329D2" w:rsidRDefault="00530BA8" w:rsidP="00530BA8">
            <w:pPr>
              <w:spacing w:before="20" w:after="20"/>
              <w:rPr>
                <w:sz w:val="18"/>
                <w:szCs w:val="18"/>
                <w:lang w:eastAsia="en-AU"/>
              </w:rPr>
            </w:pPr>
            <w:r>
              <w:rPr>
                <w:sz w:val="18"/>
                <w:szCs w:val="18"/>
                <w:lang w:eastAsia="en-AU"/>
              </w:rPr>
              <w:t>First Secretary, Economic Governance</w:t>
            </w:r>
          </w:p>
        </w:tc>
      </w:tr>
      <w:tr w:rsidR="00530BA8" w:rsidRPr="002915C2" w14:paraId="43E3CE8E" w14:textId="77777777" w:rsidTr="00530BA8">
        <w:trPr>
          <w:trHeight w:val="207"/>
        </w:trPr>
        <w:tc>
          <w:tcPr>
            <w:tcW w:w="822" w:type="dxa"/>
          </w:tcPr>
          <w:p w14:paraId="005CBE85" w14:textId="77777777" w:rsidR="00530BA8" w:rsidRPr="008329D2" w:rsidRDefault="00530BA8" w:rsidP="00530BA8">
            <w:pPr>
              <w:spacing w:before="20" w:after="20"/>
              <w:rPr>
                <w:sz w:val="18"/>
                <w:szCs w:val="18"/>
                <w:lang w:eastAsia="en-AU"/>
              </w:rPr>
            </w:pPr>
          </w:p>
        </w:tc>
        <w:tc>
          <w:tcPr>
            <w:tcW w:w="1984" w:type="dxa"/>
          </w:tcPr>
          <w:p w14:paraId="01059A3C" w14:textId="77777777" w:rsidR="00530BA8" w:rsidRPr="008329D2" w:rsidRDefault="00530BA8" w:rsidP="00530BA8">
            <w:pPr>
              <w:spacing w:before="20" w:after="20"/>
              <w:rPr>
                <w:sz w:val="18"/>
                <w:szCs w:val="18"/>
                <w:lang w:eastAsia="en-AU"/>
              </w:rPr>
            </w:pPr>
          </w:p>
        </w:tc>
        <w:tc>
          <w:tcPr>
            <w:tcW w:w="1276" w:type="dxa"/>
          </w:tcPr>
          <w:p w14:paraId="4EFA9FD4" w14:textId="77777777" w:rsidR="00530BA8" w:rsidRPr="008329D2" w:rsidRDefault="00530BA8" w:rsidP="00530BA8">
            <w:pPr>
              <w:spacing w:before="20" w:after="20"/>
              <w:rPr>
                <w:sz w:val="18"/>
                <w:szCs w:val="18"/>
                <w:lang w:eastAsia="en-AU"/>
              </w:rPr>
            </w:pPr>
          </w:p>
        </w:tc>
        <w:tc>
          <w:tcPr>
            <w:tcW w:w="4820" w:type="dxa"/>
          </w:tcPr>
          <w:p w14:paraId="7FD25A6C" w14:textId="77777777" w:rsidR="00530BA8" w:rsidRPr="008329D2" w:rsidRDefault="00530BA8" w:rsidP="00530BA8">
            <w:pPr>
              <w:spacing w:before="20" w:after="20"/>
              <w:rPr>
                <w:sz w:val="18"/>
                <w:szCs w:val="18"/>
                <w:lang w:eastAsia="en-AU"/>
              </w:rPr>
            </w:pPr>
          </w:p>
        </w:tc>
      </w:tr>
      <w:tr w:rsidR="00530BA8" w:rsidRPr="002915C2" w14:paraId="7CF8E4A2" w14:textId="77777777" w:rsidTr="00530BA8">
        <w:trPr>
          <w:trHeight w:val="207"/>
        </w:trPr>
        <w:tc>
          <w:tcPr>
            <w:tcW w:w="822" w:type="dxa"/>
          </w:tcPr>
          <w:p w14:paraId="1577F807" w14:textId="77777777" w:rsidR="00530BA8" w:rsidRPr="008329D2" w:rsidRDefault="00530BA8" w:rsidP="00530BA8">
            <w:pPr>
              <w:spacing w:before="20" w:after="20"/>
              <w:rPr>
                <w:sz w:val="18"/>
                <w:szCs w:val="18"/>
                <w:lang w:eastAsia="en-AU"/>
              </w:rPr>
            </w:pPr>
          </w:p>
        </w:tc>
        <w:tc>
          <w:tcPr>
            <w:tcW w:w="1984" w:type="dxa"/>
          </w:tcPr>
          <w:p w14:paraId="3672E13C" w14:textId="77777777" w:rsidR="00530BA8" w:rsidRPr="008329D2" w:rsidRDefault="00530BA8" w:rsidP="00530BA8">
            <w:pPr>
              <w:spacing w:before="20" w:after="20"/>
              <w:rPr>
                <w:sz w:val="18"/>
                <w:szCs w:val="18"/>
                <w:lang w:eastAsia="en-AU"/>
              </w:rPr>
            </w:pPr>
          </w:p>
        </w:tc>
        <w:tc>
          <w:tcPr>
            <w:tcW w:w="1276" w:type="dxa"/>
          </w:tcPr>
          <w:p w14:paraId="70379994" w14:textId="77777777" w:rsidR="00530BA8" w:rsidRPr="008329D2" w:rsidRDefault="00530BA8" w:rsidP="00530BA8">
            <w:pPr>
              <w:spacing w:before="20" w:after="20"/>
              <w:rPr>
                <w:sz w:val="18"/>
                <w:szCs w:val="18"/>
                <w:lang w:eastAsia="en-AU"/>
              </w:rPr>
            </w:pPr>
          </w:p>
        </w:tc>
        <w:tc>
          <w:tcPr>
            <w:tcW w:w="4820" w:type="dxa"/>
          </w:tcPr>
          <w:p w14:paraId="200BBA5A" w14:textId="77777777" w:rsidR="00530BA8" w:rsidRPr="008329D2" w:rsidRDefault="00530BA8" w:rsidP="00530BA8">
            <w:pPr>
              <w:spacing w:before="20" w:after="20"/>
              <w:rPr>
                <w:sz w:val="18"/>
                <w:szCs w:val="18"/>
                <w:lang w:eastAsia="en-AU"/>
              </w:rPr>
            </w:pPr>
          </w:p>
        </w:tc>
      </w:tr>
    </w:tbl>
    <w:p w14:paraId="27BED24E" w14:textId="77777777" w:rsidR="00530BA8" w:rsidRDefault="00530BA8" w:rsidP="00530BA8">
      <w:pPr>
        <w:pStyle w:val="Heading1"/>
        <w:sectPr w:rsidR="00530BA8" w:rsidSect="009E068C">
          <w:pgSz w:w="11900" w:h="16840" w:code="9"/>
          <w:pgMar w:top="1440" w:right="1797" w:bottom="1440" w:left="1797" w:header="567" w:footer="431" w:gutter="0"/>
          <w:cols w:space="708"/>
        </w:sectPr>
      </w:pPr>
    </w:p>
    <w:p w14:paraId="7E9D3A15" w14:textId="2D0EB191" w:rsidR="00530BA8" w:rsidRDefault="00530BA8" w:rsidP="00530BA8">
      <w:pPr>
        <w:pStyle w:val="Heading1"/>
      </w:pPr>
      <w:bookmarkStart w:id="9" w:name="_Toc229924886"/>
      <w:r>
        <w:lastRenderedPageBreak/>
        <w:t>Appendix 3: AANZFTA Chapter on Economic Cooperation</w:t>
      </w:r>
      <w:r>
        <w:rPr>
          <w:rStyle w:val="FootnoteReference"/>
        </w:rPr>
        <w:footnoteReference w:id="67"/>
      </w:r>
      <w:bookmarkEnd w:id="9"/>
    </w:p>
    <w:p w14:paraId="70CA2ADE" w14:textId="375472FF" w:rsidR="00530BA8" w:rsidRPr="00661ED8" w:rsidRDefault="00530BA8" w:rsidP="00530BA8">
      <w:pPr>
        <w:pStyle w:val="Heading4"/>
      </w:pPr>
      <w:r w:rsidRPr="00661ED8">
        <w:t xml:space="preserve">Chapter 12 </w:t>
      </w:r>
      <w:r w:rsidR="001E0C0C">
        <w:t>–</w:t>
      </w:r>
      <w:r w:rsidR="001E0C0C" w:rsidRPr="00661ED8">
        <w:t xml:space="preserve"> </w:t>
      </w:r>
      <w:r w:rsidRPr="00661ED8">
        <w:t xml:space="preserve">Economic </w:t>
      </w:r>
      <w:r w:rsidR="00DD6062">
        <w:t>C</w:t>
      </w:r>
      <w:r w:rsidRPr="00661ED8">
        <w:t>ooperation</w:t>
      </w:r>
    </w:p>
    <w:p w14:paraId="09102356" w14:textId="65F6E959" w:rsidR="005A6EAB" w:rsidRPr="00661ED8" w:rsidRDefault="005A6EAB" w:rsidP="005A6EAB">
      <w:pPr>
        <w:pStyle w:val="Heading4"/>
      </w:pPr>
      <w:r w:rsidRPr="00661ED8">
        <w:t xml:space="preserve">Article 1 </w:t>
      </w:r>
      <w:r w:rsidR="00B82778">
        <w:t>–</w:t>
      </w:r>
      <w:r w:rsidRPr="00661ED8">
        <w:t xml:space="preserve"> Scope and </w:t>
      </w:r>
      <w:r w:rsidR="00DD6062">
        <w:t>O</w:t>
      </w:r>
      <w:r w:rsidRPr="00661ED8">
        <w:t>bjectives</w:t>
      </w:r>
    </w:p>
    <w:p w14:paraId="4B286253" w14:textId="77777777" w:rsidR="005A6EAB" w:rsidRPr="00661ED8" w:rsidRDefault="005A6EAB" w:rsidP="005A6EAB">
      <w:pPr>
        <w:pStyle w:val="List2"/>
        <w:numPr>
          <w:ilvl w:val="0"/>
          <w:numId w:val="21"/>
        </w:numPr>
        <w:rPr>
          <w:lang w:val="en-US" w:eastAsia="en-AU"/>
        </w:rPr>
      </w:pPr>
      <w:r w:rsidRPr="00661ED8">
        <w:rPr>
          <w:lang w:val="en-US" w:eastAsia="en-AU"/>
        </w:rPr>
        <w:t>The Parties reaffirm the importance of ongoing economic co-operation initiatives between ASEAN, Australia and New Zealand, and agree to complement their existing economic partnership in areas where the Parties have mutual interests, taking into account the different levels of development of the Parties.</w:t>
      </w:r>
    </w:p>
    <w:p w14:paraId="6750D9F3" w14:textId="77777777" w:rsidR="005A6EAB" w:rsidRPr="00661ED8" w:rsidRDefault="005A6EAB" w:rsidP="005A6EAB">
      <w:pPr>
        <w:pStyle w:val="List2"/>
        <w:numPr>
          <w:ilvl w:val="0"/>
          <w:numId w:val="21"/>
        </w:numPr>
        <w:rPr>
          <w:lang w:val="en-US" w:eastAsia="en-AU"/>
        </w:rPr>
      </w:pPr>
      <w:r w:rsidRPr="00661ED8">
        <w:rPr>
          <w:lang w:val="en-US" w:eastAsia="en-AU"/>
        </w:rPr>
        <w:t>The Parties acknowledge the provisions to encourage and facilitate economic co-operation included in various Chapters of this Agreement.</w:t>
      </w:r>
    </w:p>
    <w:p w14:paraId="23C62A47" w14:textId="77777777" w:rsidR="005A6EAB" w:rsidRDefault="005A6EAB" w:rsidP="005A6EAB">
      <w:pPr>
        <w:pStyle w:val="List2"/>
        <w:numPr>
          <w:ilvl w:val="0"/>
          <w:numId w:val="21"/>
        </w:numPr>
        <w:rPr>
          <w:lang w:val="en-US" w:eastAsia="en-AU"/>
        </w:rPr>
      </w:pPr>
      <w:r w:rsidRPr="00661ED8">
        <w:rPr>
          <w:lang w:val="en-US" w:eastAsia="en-AU"/>
        </w:rPr>
        <w:t>Economic co-operation under this Chapter shall support implementation of this Agreement through economic co-operation activities which are trade or investment related as specified in the Work Programme.</w:t>
      </w:r>
    </w:p>
    <w:p w14:paraId="0450A7F5" w14:textId="6C9D923E" w:rsidR="005A6EAB" w:rsidRPr="00661ED8" w:rsidRDefault="005A6EAB" w:rsidP="005A6EAB">
      <w:pPr>
        <w:pStyle w:val="Heading4"/>
      </w:pPr>
      <w:r w:rsidRPr="00661ED8">
        <w:t xml:space="preserve">Article 2 </w:t>
      </w:r>
      <w:r w:rsidR="00B82778">
        <w:t>–</w:t>
      </w:r>
      <w:r w:rsidRPr="00661ED8">
        <w:t xml:space="preserve"> Definitions</w:t>
      </w:r>
    </w:p>
    <w:p w14:paraId="25482464" w14:textId="77777777" w:rsidR="005A6EAB" w:rsidRPr="00661ED8" w:rsidRDefault="005A6EAB" w:rsidP="005A6EAB">
      <w:pPr>
        <w:pStyle w:val="BodyText"/>
        <w:rPr>
          <w:lang w:val="en-US" w:eastAsia="en-AU"/>
        </w:rPr>
      </w:pPr>
      <w:r w:rsidRPr="00661ED8">
        <w:rPr>
          <w:lang w:val="en-US" w:eastAsia="en-AU"/>
        </w:rPr>
        <w:t>For the purposes of this Chapter:</w:t>
      </w:r>
    </w:p>
    <w:p w14:paraId="5BA8E79E" w14:textId="77777777" w:rsidR="005A6EAB" w:rsidRPr="00661ED8" w:rsidRDefault="005A6EAB" w:rsidP="005A6EAB">
      <w:pPr>
        <w:pStyle w:val="List2"/>
        <w:numPr>
          <w:ilvl w:val="0"/>
          <w:numId w:val="22"/>
        </w:numPr>
        <w:rPr>
          <w:lang w:val="en-US" w:eastAsia="en-AU"/>
        </w:rPr>
      </w:pPr>
      <w:r w:rsidRPr="00661ED8">
        <w:rPr>
          <w:b/>
          <w:bCs/>
          <w:lang w:val="en-US" w:eastAsia="en-AU"/>
        </w:rPr>
        <w:t>implementing Party</w:t>
      </w:r>
      <w:r w:rsidRPr="00661ED8">
        <w:rPr>
          <w:lang w:val="en-US" w:eastAsia="en-AU"/>
        </w:rPr>
        <w:t xml:space="preserve"> or </w:t>
      </w:r>
      <w:r w:rsidRPr="00661ED8">
        <w:rPr>
          <w:b/>
          <w:bCs/>
          <w:lang w:val="en-US" w:eastAsia="en-AU"/>
        </w:rPr>
        <w:t>implementing Parties</w:t>
      </w:r>
      <w:r w:rsidRPr="00661ED8">
        <w:rPr>
          <w:lang w:val="en-US" w:eastAsia="en-AU"/>
        </w:rPr>
        <w:t xml:space="preserve"> means, for each component of the Work Programme, the Party or Parties primarily responsible for the implementation of that component; and</w:t>
      </w:r>
    </w:p>
    <w:p w14:paraId="79CA89B0" w14:textId="77777777" w:rsidR="005A6EAB" w:rsidRPr="00470471" w:rsidRDefault="005A6EAB" w:rsidP="005A6EAB">
      <w:pPr>
        <w:pStyle w:val="List2"/>
        <w:numPr>
          <w:ilvl w:val="0"/>
          <w:numId w:val="22"/>
        </w:numPr>
        <w:rPr>
          <w:lang w:val="en-US" w:eastAsia="en-AU"/>
        </w:rPr>
      </w:pPr>
      <w:r w:rsidRPr="00661ED8">
        <w:rPr>
          <w:b/>
          <w:bCs/>
          <w:lang w:val="en-US" w:eastAsia="en-AU"/>
        </w:rPr>
        <w:t>Work Programme</w:t>
      </w:r>
      <w:r w:rsidRPr="00661ED8">
        <w:rPr>
          <w:lang w:val="en-US" w:eastAsia="en-AU"/>
        </w:rPr>
        <w:t xml:space="preserve"> means the programme of economic co-operation activities, organised into components, mutually determined by the Parties prior to the entry into force of this Agreement</w:t>
      </w:r>
    </w:p>
    <w:p w14:paraId="6A11175A" w14:textId="49131419" w:rsidR="005A6EAB" w:rsidRPr="00661ED8" w:rsidRDefault="005A6EAB" w:rsidP="005A6EAB">
      <w:pPr>
        <w:pStyle w:val="Heading4"/>
      </w:pPr>
      <w:r w:rsidRPr="00661ED8">
        <w:t xml:space="preserve">Article 3 </w:t>
      </w:r>
      <w:r w:rsidR="00B82778">
        <w:t>–</w:t>
      </w:r>
      <w:r w:rsidRPr="00661ED8">
        <w:t xml:space="preserve"> Resources</w:t>
      </w:r>
    </w:p>
    <w:p w14:paraId="2CB9BF9F" w14:textId="77777777" w:rsidR="005A6EAB" w:rsidRPr="00661ED8" w:rsidRDefault="005A6EAB" w:rsidP="005A6EAB">
      <w:pPr>
        <w:pStyle w:val="List2"/>
        <w:numPr>
          <w:ilvl w:val="0"/>
          <w:numId w:val="23"/>
        </w:numPr>
        <w:rPr>
          <w:lang w:val="en-US" w:eastAsia="en-AU"/>
        </w:rPr>
      </w:pPr>
      <w:r w:rsidRPr="00661ED8">
        <w:rPr>
          <w:lang w:val="en-US" w:eastAsia="en-AU"/>
        </w:rPr>
        <w:t>Recognising the development gaps among the ASEAN Member States and among the Parties, the Parties shall contribute appropriately to the implementation of the Work Programme.</w:t>
      </w:r>
    </w:p>
    <w:p w14:paraId="6CF90E20" w14:textId="77777777" w:rsidR="005A6EAB" w:rsidRPr="00661ED8" w:rsidRDefault="005A6EAB" w:rsidP="005A6EAB">
      <w:pPr>
        <w:pStyle w:val="List2"/>
        <w:numPr>
          <w:ilvl w:val="0"/>
          <w:numId w:val="23"/>
        </w:numPr>
        <w:rPr>
          <w:lang w:val="en-US" w:eastAsia="en-AU"/>
        </w:rPr>
      </w:pPr>
      <w:r w:rsidRPr="00661ED8">
        <w:rPr>
          <w:lang w:val="en-US" w:eastAsia="en-AU"/>
        </w:rPr>
        <w:t>In determining the appropriate level of contribution to the Work Programme, the Parties shall take into account:</w:t>
      </w:r>
    </w:p>
    <w:p w14:paraId="299FD9E3" w14:textId="77777777" w:rsidR="005A6EAB" w:rsidRPr="00661ED8" w:rsidRDefault="005A6EAB" w:rsidP="005A6EAB">
      <w:pPr>
        <w:pStyle w:val="List3"/>
        <w:numPr>
          <w:ilvl w:val="1"/>
          <w:numId w:val="23"/>
        </w:numPr>
        <w:rPr>
          <w:lang w:val="en-US" w:eastAsia="en-AU"/>
        </w:rPr>
      </w:pPr>
      <w:r w:rsidRPr="00661ED8">
        <w:rPr>
          <w:lang w:val="en-US" w:eastAsia="en-AU"/>
        </w:rPr>
        <w:t>the different levels of development and capacity of Parties;</w:t>
      </w:r>
    </w:p>
    <w:p w14:paraId="7476A178" w14:textId="77777777" w:rsidR="005A6EAB" w:rsidRPr="00661ED8" w:rsidRDefault="005A6EAB" w:rsidP="005A6EAB">
      <w:pPr>
        <w:pStyle w:val="List3"/>
        <w:numPr>
          <w:ilvl w:val="1"/>
          <w:numId w:val="23"/>
        </w:numPr>
        <w:rPr>
          <w:lang w:val="en-US" w:eastAsia="en-AU"/>
        </w:rPr>
      </w:pPr>
      <w:r w:rsidRPr="00661ED8">
        <w:rPr>
          <w:lang w:val="en-US" w:eastAsia="en-AU"/>
        </w:rPr>
        <w:t>any in-kind contributions able to be made to Work Programme components by Parties; and</w:t>
      </w:r>
    </w:p>
    <w:p w14:paraId="061D67CB" w14:textId="77777777" w:rsidR="005A6EAB" w:rsidRDefault="005A6EAB" w:rsidP="005A6EAB">
      <w:pPr>
        <w:pStyle w:val="List3"/>
        <w:numPr>
          <w:ilvl w:val="1"/>
          <w:numId w:val="23"/>
        </w:numPr>
        <w:rPr>
          <w:lang w:val="en-US" w:eastAsia="en-AU"/>
        </w:rPr>
      </w:pPr>
      <w:r w:rsidRPr="00661ED8">
        <w:rPr>
          <w:lang w:val="en-US" w:eastAsia="en-AU"/>
        </w:rPr>
        <w:t>that the appropriate level of contribution enhances the relevance and sustainability of co-operation, strengthens partnerships between Parties and builds Parties</w:t>
      </w:r>
      <w:r>
        <w:rPr>
          <w:lang w:val="en-US" w:eastAsia="en-AU"/>
        </w:rPr>
        <w:t>’</w:t>
      </w:r>
      <w:r w:rsidRPr="00661ED8">
        <w:rPr>
          <w:lang w:val="en-US" w:eastAsia="en-AU"/>
        </w:rPr>
        <w:t xml:space="preserve"> shared commitment to the effective implementation and oversight of Work Programme components.</w:t>
      </w:r>
    </w:p>
    <w:p w14:paraId="31237924" w14:textId="4704ECBC" w:rsidR="005A6EAB" w:rsidRPr="00661ED8" w:rsidRDefault="005A6EAB" w:rsidP="005A6EAB">
      <w:pPr>
        <w:pStyle w:val="Heading4"/>
      </w:pPr>
      <w:r w:rsidRPr="00661ED8">
        <w:t xml:space="preserve">Article 4 </w:t>
      </w:r>
      <w:r w:rsidR="00B82778">
        <w:t>–</w:t>
      </w:r>
      <w:r w:rsidRPr="00661ED8">
        <w:t xml:space="preserve"> Economic Co-operation Work Programme</w:t>
      </w:r>
    </w:p>
    <w:p w14:paraId="38EB1BDE" w14:textId="77777777" w:rsidR="005A6EAB" w:rsidRPr="00661ED8" w:rsidRDefault="005A6EAB" w:rsidP="005A6EAB">
      <w:pPr>
        <w:pStyle w:val="List2"/>
        <w:numPr>
          <w:ilvl w:val="0"/>
          <w:numId w:val="24"/>
        </w:numPr>
        <w:rPr>
          <w:lang w:val="en-US" w:eastAsia="en-AU"/>
        </w:rPr>
      </w:pPr>
      <w:r w:rsidRPr="00661ED8">
        <w:rPr>
          <w:lang w:val="en-US" w:eastAsia="en-AU"/>
        </w:rPr>
        <w:t xml:space="preserve">Each Work Programme component shall: </w:t>
      </w:r>
    </w:p>
    <w:p w14:paraId="2E98D98F" w14:textId="77777777" w:rsidR="005A6EAB" w:rsidRPr="00661ED8" w:rsidRDefault="005A6EAB" w:rsidP="005A6EAB">
      <w:pPr>
        <w:pStyle w:val="List3"/>
        <w:numPr>
          <w:ilvl w:val="1"/>
          <w:numId w:val="24"/>
        </w:numPr>
        <w:rPr>
          <w:lang w:val="en-US" w:eastAsia="en-AU"/>
        </w:rPr>
      </w:pPr>
      <w:r w:rsidRPr="00661ED8">
        <w:rPr>
          <w:lang w:val="en-US" w:eastAsia="en-AU"/>
        </w:rPr>
        <w:t>be trade or investment related and support this Agreement</w:t>
      </w:r>
      <w:r>
        <w:rPr>
          <w:lang w:val="en-US" w:eastAsia="en-AU"/>
        </w:rPr>
        <w:t>’</w:t>
      </w:r>
      <w:r w:rsidRPr="00661ED8">
        <w:rPr>
          <w:lang w:val="en-US" w:eastAsia="en-AU"/>
        </w:rPr>
        <w:t>s implementation;</w:t>
      </w:r>
    </w:p>
    <w:p w14:paraId="38DF087C" w14:textId="77777777" w:rsidR="005A6EAB" w:rsidRPr="00661ED8" w:rsidRDefault="005A6EAB" w:rsidP="005A6EAB">
      <w:pPr>
        <w:pStyle w:val="List3"/>
        <w:numPr>
          <w:ilvl w:val="1"/>
          <w:numId w:val="24"/>
        </w:numPr>
        <w:rPr>
          <w:lang w:val="en-US" w:eastAsia="en-AU"/>
        </w:rPr>
      </w:pPr>
      <w:r w:rsidRPr="00661ED8">
        <w:rPr>
          <w:lang w:val="en-US" w:eastAsia="en-AU"/>
        </w:rPr>
        <w:t>be specified in the Work Programme;</w:t>
      </w:r>
    </w:p>
    <w:p w14:paraId="5F55461A" w14:textId="77777777" w:rsidR="005A6EAB" w:rsidRPr="00661ED8" w:rsidRDefault="005A6EAB" w:rsidP="005A6EAB">
      <w:pPr>
        <w:pStyle w:val="List3"/>
        <w:numPr>
          <w:ilvl w:val="1"/>
          <w:numId w:val="24"/>
        </w:numPr>
        <w:rPr>
          <w:lang w:val="en-US" w:eastAsia="en-AU"/>
        </w:rPr>
      </w:pPr>
      <w:r w:rsidRPr="00661ED8">
        <w:rPr>
          <w:lang w:val="en-US" w:eastAsia="en-AU"/>
        </w:rPr>
        <w:t>involve a minimum of two ASEAN Member States, Australia and/or New Zealand;</w:t>
      </w:r>
    </w:p>
    <w:p w14:paraId="656F311B" w14:textId="77777777" w:rsidR="005A6EAB" w:rsidRPr="00661ED8" w:rsidRDefault="005A6EAB" w:rsidP="005A6EAB">
      <w:pPr>
        <w:pStyle w:val="List3"/>
        <w:numPr>
          <w:ilvl w:val="1"/>
          <w:numId w:val="24"/>
        </w:numPr>
        <w:rPr>
          <w:lang w:val="en-US" w:eastAsia="en-AU"/>
        </w:rPr>
      </w:pPr>
      <w:r w:rsidRPr="00661ED8">
        <w:rPr>
          <w:lang w:val="en-US" w:eastAsia="en-AU"/>
        </w:rPr>
        <w:t>address the mutual priorities of the participating Parties; and</w:t>
      </w:r>
    </w:p>
    <w:p w14:paraId="75BBB498" w14:textId="77777777" w:rsidR="005A6EAB" w:rsidRPr="00661ED8" w:rsidRDefault="005A6EAB" w:rsidP="005A6EAB">
      <w:pPr>
        <w:pStyle w:val="List3"/>
        <w:numPr>
          <w:ilvl w:val="1"/>
          <w:numId w:val="24"/>
        </w:numPr>
        <w:rPr>
          <w:lang w:val="en-US" w:eastAsia="en-AU"/>
        </w:rPr>
      </w:pPr>
      <w:r w:rsidRPr="00661ED8">
        <w:rPr>
          <w:lang w:val="en-US" w:eastAsia="en-AU"/>
        </w:rPr>
        <w:t>where possible, avoid duplicating existing economic co-operation activities.</w:t>
      </w:r>
    </w:p>
    <w:p w14:paraId="3D0C189D" w14:textId="77777777" w:rsidR="005A6EAB" w:rsidRPr="00661ED8" w:rsidRDefault="005A6EAB" w:rsidP="005A6EAB">
      <w:pPr>
        <w:pStyle w:val="List2"/>
        <w:numPr>
          <w:ilvl w:val="0"/>
          <w:numId w:val="24"/>
        </w:numPr>
        <w:rPr>
          <w:lang w:val="en-US" w:eastAsia="en-AU"/>
        </w:rPr>
      </w:pPr>
      <w:r w:rsidRPr="00661ED8">
        <w:rPr>
          <w:lang w:val="en-US" w:eastAsia="en-AU"/>
        </w:rPr>
        <w:t>The description of each Work Programme component shall specify the details necessary to provide clarity to the Parties regarding the scope and purpose of such component.</w:t>
      </w:r>
    </w:p>
    <w:p w14:paraId="1419205F" w14:textId="77777777" w:rsidR="005A6EAB" w:rsidRPr="00661ED8" w:rsidRDefault="00856CC8" w:rsidP="005A6EAB">
      <w:pPr>
        <w:rPr>
          <w:lang w:val="en-US" w:eastAsia="en-AU"/>
        </w:rPr>
      </w:pPr>
      <w:hyperlink r:id="rId20" w:anchor="Content" w:history="1">
        <w:r w:rsidR="005A6EAB">
          <w:rPr>
            <w:rStyle w:val="Hyperlink"/>
            <w:lang w:val="en-US" w:eastAsia="en-AU"/>
          </w:rPr>
          <w:t xml:space="preserve"> </w:t>
        </w:r>
      </w:hyperlink>
    </w:p>
    <w:p w14:paraId="22FB8E1E" w14:textId="0B29F10B" w:rsidR="005A6EAB" w:rsidRPr="00661ED8" w:rsidRDefault="005A6EAB" w:rsidP="005A6EAB">
      <w:pPr>
        <w:pStyle w:val="Heading4"/>
      </w:pPr>
      <w:r w:rsidRPr="00661ED8">
        <w:lastRenderedPageBreak/>
        <w:t xml:space="preserve">Article 5 </w:t>
      </w:r>
      <w:r w:rsidR="00B82778">
        <w:t>–</w:t>
      </w:r>
      <w:r w:rsidRPr="00661ED8">
        <w:t xml:space="preserve"> Focal Points for Implementation</w:t>
      </w:r>
    </w:p>
    <w:p w14:paraId="2787D1D1" w14:textId="77777777" w:rsidR="005A6EAB" w:rsidRPr="00661ED8" w:rsidRDefault="005A6EAB" w:rsidP="005A6EAB">
      <w:pPr>
        <w:pStyle w:val="List2"/>
        <w:numPr>
          <w:ilvl w:val="0"/>
          <w:numId w:val="25"/>
        </w:numPr>
        <w:rPr>
          <w:lang w:val="en-US" w:eastAsia="en-AU"/>
        </w:rPr>
      </w:pPr>
      <w:r w:rsidRPr="00661ED8">
        <w:rPr>
          <w:lang w:val="en-US" w:eastAsia="en-AU"/>
        </w:rPr>
        <w:t>Each Party shall designate a focal point for all matters relating to the implementation of the Work Programme and shall keep all Parties updated on its focal point</w:t>
      </w:r>
      <w:r>
        <w:rPr>
          <w:lang w:val="en-US" w:eastAsia="en-AU"/>
        </w:rPr>
        <w:t>’</w:t>
      </w:r>
      <w:r w:rsidRPr="00661ED8">
        <w:rPr>
          <w:lang w:val="en-US" w:eastAsia="en-AU"/>
        </w:rPr>
        <w:t>s details.</w:t>
      </w:r>
    </w:p>
    <w:p w14:paraId="20890C41" w14:textId="77777777" w:rsidR="005A6EAB" w:rsidRPr="00661ED8" w:rsidRDefault="005A6EAB" w:rsidP="005A6EAB">
      <w:pPr>
        <w:pStyle w:val="List2"/>
        <w:numPr>
          <w:ilvl w:val="0"/>
          <w:numId w:val="25"/>
        </w:numPr>
        <w:rPr>
          <w:lang w:val="en-US" w:eastAsia="en-AU"/>
        </w:rPr>
      </w:pPr>
      <w:r w:rsidRPr="00661ED8">
        <w:rPr>
          <w:lang w:val="en-US" w:eastAsia="en-AU"/>
        </w:rPr>
        <w:t xml:space="preserve">The focal points shall be responsible for overseeing and reporting on the implementation of the Work Programme in accordance with </w:t>
      </w:r>
      <w:hyperlink r:id="rId21" w:anchor="6" w:history="1">
        <w:r w:rsidRPr="00661ED8">
          <w:rPr>
            <w:rStyle w:val="Hyperlink"/>
            <w:lang w:val="en-US" w:eastAsia="en-AU"/>
          </w:rPr>
          <w:t>Article 6</w:t>
        </w:r>
      </w:hyperlink>
      <w:r w:rsidRPr="00661ED8">
        <w:rPr>
          <w:lang w:val="en-US" w:eastAsia="en-AU"/>
        </w:rPr>
        <w:t xml:space="preserve"> (Implementation and Evaluation of Work </w:t>
      </w:r>
      <w:proofErr w:type="spellStart"/>
      <w:r w:rsidRPr="00661ED8">
        <w:rPr>
          <w:lang w:val="en-US" w:eastAsia="en-AU"/>
        </w:rPr>
        <w:t>Programme</w:t>
      </w:r>
      <w:proofErr w:type="spellEnd"/>
      <w:r w:rsidRPr="00661ED8">
        <w:rPr>
          <w:lang w:val="en-US" w:eastAsia="en-AU"/>
        </w:rPr>
        <w:t xml:space="preserve"> Components) and </w:t>
      </w:r>
      <w:hyperlink r:id="rId22" w:anchor="7" w:history="1">
        <w:r w:rsidRPr="00661ED8">
          <w:rPr>
            <w:rStyle w:val="Hyperlink"/>
            <w:lang w:val="en-US" w:eastAsia="en-AU"/>
          </w:rPr>
          <w:t>Article 7</w:t>
        </w:r>
      </w:hyperlink>
      <w:r w:rsidRPr="00661ED8">
        <w:rPr>
          <w:lang w:val="en-US" w:eastAsia="en-AU"/>
        </w:rPr>
        <w:t xml:space="preserve"> (Review of Work Programme), and for responding to inquiries from any Party regarding the Work Programme.</w:t>
      </w:r>
    </w:p>
    <w:p w14:paraId="44A7DE79" w14:textId="77777777" w:rsidR="005A6EAB" w:rsidRPr="00661ED8" w:rsidRDefault="00856CC8" w:rsidP="005A6EAB">
      <w:pPr>
        <w:rPr>
          <w:lang w:val="en-US" w:eastAsia="en-AU"/>
        </w:rPr>
      </w:pPr>
      <w:hyperlink r:id="rId23" w:anchor="Content" w:history="1">
        <w:r w:rsidR="005A6EAB">
          <w:rPr>
            <w:rStyle w:val="Hyperlink"/>
            <w:lang w:val="en-US" w:eastAsia="en-AU"/>
          </w:rPr>
          <w:t xml:space="preserve"> </w:t>
        </w:r>
      </w:hyperlink>
    </w:p>
    <w:p w14:paraId="770E9F05" w14:textId="1A04C607" w:rsidR="005A6EAB" w:rsidRPr="00661ED8" w:rsidRDefault="005A6EAB" w:rsidP="005A6EAB">
      <w:pPr>
        <w:pStyle w:val="Heading4"/>
      </w:pPr>
      <w:r w:rsidRPr="00661ED8">
        <w:t xml:space="preserve">Article 6 </w:t>
      </w:r>
      <w:r w:rsidR="00B82778">
        <w:t>–</w:t>
      </w:r>
      <w:r w:rsidRPr="00661ED8">
        <w:t xml:space="preserve"> Implementation and Evaluation of Work Programme Components</w:t>
      </w:r>
    </w:p>
    <w:p w14:paraId="06F78592" w14:textId="77777777" w:rsidR="005A6EAB" w:rsidRPr="00661ED8" w:rsidRDefault="005A6EAB" w:rsidP="005A6EAB">
      <w:pPr>
        <w:pStyle w:val="List2"/>
        <w:numPr>
          <w:ilvl w:val="0"/>
          <w:numId w:val="26"/>
        </w:numPr>
        <w:rPr>
          <w:lang w:val="en-US" w:eastAsia="en-AU"/>
        </w:rPr>
      </w:pPr>
      <w:r w:rsidRPr="00661ED8">
        <w:rPr>
          <w:lang w:val="en-US" w:eastAsia="en-AU"/>
        </w:rPr>
        <w:t>Prior to the commencement of each Work Programme component, the implementing Party or Parties, in consultation with relevant participating Parties, shall develop an implementation plan for that Work Programme component and provide that plan to each Party.</w:t>
      </w:r>
    </w:p>
    <w:p w14:paraId="60CBE42A" w14:textId="77777777" w:rsidR="005A6EAB" w:rsidRPr="00661ED8" w:rsidRDefault="005A6EAB" w:rsidP="005A6EAB">
      <w:pPr>
        <w:pStyle w:val="List2"/>
        <w:numPr>
          <w:ilvl w:val="0"/>
          <w:numId w:val="26"/>
        </w:numPr>
        <w:rPr>
          <w:lang w:val="en-US" w:eastAsia="en-AU"/>
        </w:rPr>
      </w:pPr>
      <w:r w:rsidRPr="00661ED8">
        <w:rPr>
          <w:lang w:val="en-US" w:eastAsia="en-AU"/>
        </w:rPr>
        <w:t>The implementing Party or Parties for a Work Programme component may use existing mechanisms for the implementation of that component.</w:t>
      </w:r>
    </w:p>
    <w:p w14:paraId="08FD0CF5" w14:textId="77777777" w:rsidR="005A6EAB" w:rsidRPr="00661ED8" w:rsidRDefault="005A6EAB" w:rsidP="005A6EAB">
      <w:pPr>
        <w:pStyle w:val="List2"/>
        <w:numPr>
          <w:ilvl w:val="0"/>
          <w:numId w:val="26"/>
        </w:numPr>
        <w:rPr>
          <w:lang w:val="en-US" w:eastAsia="en-AU"/>
        </w:rPr>
      </w:pPr>
      <w:r w:rsidRPr="00661ED8">
        <w:rPr>
          <w:lang w:val="en-US" w:eastAsia="en-AU"/>
        </w:rPr>
        <w:t>Until the completion of a Work Programme component, the implementing Party or Parties shall regularly monitor and evaluate the relevant component and provide periodic reports to each Party including a final component completion report.</w:t>
      </w:r>
    </w:p>
    <w:p w14:paraId="6EE6C37B" w14:textId="77777777" w:rsidR="005A6EAB" w:rsidRPr="00661ED8" w:rsidRDefault="00856CC8" w:rsidP="005A6EAB">
      <w:pPr>
        <w:rPr>
          <w:lang w:val="en-US" w:eastAsia="en-AU"/>
        </w:rPr>
      </w:pPr>
      <w:hyperlink r:id="rId24" w:anchor="Content" w:history="1">
        <w:r w:rsidR="005A6EAB">
          <w:rPr>
            <w:rStyle w:val="Hyperlink"/>
            <w:lang w:val="en-US" w:eastAsia="en-AU"/>
          </w:rPr>
          <w:t xml:space="preserve"> </w:t>
        </w:r>
      </w:hyperlink>
    </w:p>
    <w:p w14:paraId="25E63388" w14:textId="2B289D12" w:rsidR="005A6EAB" w:rsidRPr="009E068C" w:rsidRDefault="005A6EAB" w:rsidP="005A6EAB">
      <w:pPr>
        <w:pStyle w:val="Heading4"/>
      </w:pPr>
      <w:r w:rsidRPr="009E068C">
        <w:t xml:space="preserve">Article 7 </w:t>
      </w:r>
      <w:r w:rsidR="00B82778">
        <w:t>–</w:t>
      </w:r>
      <w:r w:rsidRPr="009E068C">
        <w:t xml:space="preserve"> Review of Work Programme</w:t>
      </w:r>
    </w:p>
    <w:p w14:paraId="0B53A6FA" w14:textId="77777777" w:rsidR="005A6EAB" w:rsidRPr="00661ED8" w:rsidRDefault="005A6EAB" w:rsidP="005A6EAB">
      <w:pPr>
        <w:pStyle w:val="BodyText"/>
        <w:rPr>
          <w:lang w:val="en-US" w:eastAsia="en-AU"/>
        </w:rPr>
      </w:pPr>
      <w:r w:rsidRPr="00661ED8">
        <w:rPr>
          <w:lang w:val="en-US" w:eastAsia="en-AU"/>
        </w:rPr>
        <w:t>At the direction of the FTA Joint Committee, the Work Programme shall be reviewed to assess its overall effectiveness and recommendations may be made. The FTA Joint Committee</w:t>
      </w:r>
      <w:r w:rsidRPr="00661ED8">
        <w:rPr>
          <w:b/>
          <w:bCs/>
          <w:lang w:val="en-US" w:eastAsia="en-AU"/>
        </w:rPr>
        <w:t xml:space="preserve"> </w:t>
      </w:r>
      <w:r w:rsidRPr="00661ED8">
        <w:rPr>
          <w:lang w:val="en-US" w:eastAsia="en-AU"/>
        </w:rPr>
        <w:t>may make modifications to the Work Programme taking into account the review and available resources.</w:t>
      </w:r>
    </w:p>
    <w:p w14:paraId="23396BA3" w14:textId="77777777" w:rsidR="005A6EAB" w:rsidRPr="00661ED8" w:rsidRDefault="00856CC8" w:rsidP="005A6EAB">
      <w:pPr>
        <w:pStyle w:val="Heading4"/>
      </w:pPr>
      <w:hyperlink r:id="rId25" w:anchor="Content" w:history="1">
        <w:r w:rsidR="005A6EAB" w:rsidRPr="00530BA8">
          <w:rPr>
            <w:rStyle w:val="Hyperlink"/>
            <w:rFonts w:eastAsia="Times New Roman" w:cs="Times New Roman"/>
            <w:b w:val="0"/>
            <w:bCs w:val="0"/>
            <w:i w:val="0"/>
            <w:iCs w:val="0"/>
            <w:lang w:val="en-AU" w:eastAsia="en-US"/>
          </w:rPr>
          <w:t>http://www.asean.fta.govt.nz/chapter-12-economic-co-operation/ - Content</w:t>
        </w:r>
      </w:hyperlink>
      <w:r w:rsidR="005A6EAB" w:rsidRPr="00661ED8">
        <w:t>Article 8 - Non-Application of Chapter 17 (Consultations and Dispute Settlement)</w:t>
      </w:r>
    </w:p>
    <w:p w14:paraId="6CE30323" w14:textId="77777777" w:rsidR="005A6EAB" w:rsidRPr="00661ED8" w:rsidRDefault="00856CC8" w:rsidP="005A6EAB">
      <w:pPr>
        <w:pStyle w:val="BodyText"/>
        <w:rPr>
          <w:lang w:val="en-US" w:eastAsia="en-AU"/>
        </w:rPr>
      </w:pPr>
      <w:hyperlink r:id="rId26" w:history="1">
        <w:r w:rsidR="005A6EAB" w:rsidRPr="00661ED8">
          <w:rPr>
            <w:rStyle w:val="Hyperlink"/>
            <w:lang w:val="en-US" w:eastAsia="en-AU"/>
          </w:rPr>
          <w:t>Chapter 17</w:t>
        </w:r>
      </w:hyperlink>
      <w:r w:rsidR="005A6EAB" w:rsidRPr="00661ED8">
        <w:rPr>
          <w:lang w:val="en-US" w:eastAsia="en-AU"/>
        </w:rPr>
        <w:t xml:space="preserve"> (Consultations and Dispute Settlement) shall not apply to any matter arising under this Chapter.</w:t>
      </w:r>
    </w:p>
    <w:p w14:paraId="77AB3D96" w14:textId="77777777" w:rsidR="00530BA8" w:rsidRDefault="00530BA8" w:rsidP="00530BA8">
      <w:pPr>
        <w:pStyle w:val="BodyText"/>
        <w:rPr>
          <w:lang w:val="en-US" w:eastAsia="en-AU"/>
        </w:rPr>
        <w:sectPr w:rsidR="00530BA8" w:rsidSect="009E068C">
          <w:pgSz w:w="11900" w:h="16840" w:code="9"/>
          <w:pgMar w:top="1440" w:right="1797" w:bottom="1440" w:left="1797" w:header="567" w:footer="431" w:gutter="0"/>
          <w:cols w:space="708"/>
        </w:sectPr>
      </w:pPr>
    </w:p>
    <w:p w14:paraId="7F66A185" w14:textId="3E533434" w:rsidR="00530BA8" w:rsidRDefault="00530BA8" w:rsidP="00530BA8">
      <w:pPr>
        <w:pStyle w:val="Heading1"/>
      </w:pPr>
      <w:bookmarkStart w:id="10" w:name="_Toc229924887"/>
      <w:r w:rsidRPr="00CE042C">
        <w:lastRenderedPageBreak/>
        <w:t xml:space="preserve">Appendix 4: AECSP </w:t>
      </w:r>
      <w:r w:rsidR="001E0C0C" w:rsidRPr="00CE042C">
        <w:t>monitoring and evaluation observations</w:t>
      </w:r>
      <w:bookmarkEnd w:id="10"/>
    </w:p>
    <w:p w14:paraId="1F4F593D" w14:textId="77777777" w:rsidR="00530BA8" w:rsidRPr="00556268" w:rsidRDefault="00530BA8" w:rsidP="00530BA8">
      <w:pPr>
        <w:pStyle w:val="Heading4"/>
      </w:pPr>
      <w:r w:rsidRPr="00556268">
        <w:t>Background</w:t>
      </w:r>
    </w:p>
    <w:p w14:paraId="421F3E9E" w14:textId="2502285D" w:rsidR="00530BA8" w:rsidRDefault="00530BA8" w:rsidP="00530BA8">
      <w:pPr>
        <w:pStyle w:val="BodyText"/>
      </w:pPr>
      <w:r>
        <w:t xml:space="preserve">The development cooperation program supporting </w:t>
      </w:r>
      <w:r w:rsidR="008C41F0">
        <w:t xml:space="preserve">AANZFTA’s </w:t>
      </w:r>
      <w:r>
        <w:t>implementation is prescribed by the AECSP design document</w:t>
      </w:r>
      <w:r w:rsidR="008C41F0">
        <w:t>.</w:t>
      </w:r>
      <w:r>
        <w:rPr>
          <w:rStyle w:val="FootnoteReference"/>
        </w:rPr>
        <w:footnoteReference w:id="68"/>
      </w:r>
      <w:r>
        <w:t xml:space="preserve"> </w:t>
      </w:r>
      <w:r w:rsidR="008C41F0">
        <w:t xml:space="preserve">This </w:t>
      </w:r>
      <w:r>
        <w:t xml:space="preserve">clearly describes the monitoring and evaluation requirements for the </w:t>
      </w:r>
      <w:r w:rsidR="008C41F0">
        <w:t>program</w:t>
      </w:r>
      <w:r>
        <w:t>.</w:t>
      </w:r>
      <w:r w:rsidR="005856D4">
        <w:t xml:space="preserve"> </w:t>
      </w:r>
      <w:r>
        <w:t>The design document outlines a draft version of the monitoring and evaluation framework</w:t>
      </w:r>
      <w:r w:rsidR="001827E7">
        <w:t>,</w:t>
      </w:r>
      <w:r>
        <w:rPr>
          <w:rStyle w:val="FootnoteReference"/>
        </w:rPr>
        <w:footnoteReference w:id="69"/>
      </w:r>
      <w:r>
        <w:t xml:space="preserve"> </w:t>
      </w:r>
      <w:r w:rsidR="00CE042C">
        <w:t>that is</w:t>
      </w:r>
      <w:r w:rsidR="001827E7">
        <w:t xml:space="preserve"> </w:t>
      </w:r>
      <w:r>
        <w:t xml:space="preserve">it provides an overview of </w:t>
      </w:r>
      <w:r w:rsidR="001827E7">
        <w:t>monitoring and evaluation</w:t>
      </w:r>
      <w:r>
        <w:t xml:space="preserve"> expectations for the </w:t>
      </w:r>
      <w:r w:rsidR="0045046A">
        <w:t>program</w:t>
      </w:r>
      <w:r>
        <w:t>.</w:t>
      </w:r>
    </w:p>
    <w:p w14:paraId="43B21BD9" w14:textId="37573704" w:rsidR="00530BA8" w:rsidRDefault="00530BA8" w:rsidP="00530BA8">
      <w:pPr>
        <w:pStyle w:val="BodyText"/>
      </w:pPr>
      <w:r>
        <w:t xml:space="preserve">The design document clearly articulates the </w:t>
      </w:r>
      <w:r w:rsidR="0045046A">
        <w:t>program</w:t>
      </w:r>
      <w:r>
        <w:t xml:space="preserve">’s intended </w:t>
      </w:r>
      <w:r w:rsidR="001827E7">
        <w:t>monitoring and evaluation</w:t>
      </w:r>
      <w:r>
        <w:t xml:space="preserve"> system</w:t>
      </w:r>
      <w:r w:rsidR="001827E7">
        <w:t>. I</w:t>
      </w:r>
      <w:r>
        <w:t>n particular it highlights</w:t>
      </w:r>
      <w:r w:rsidR="001827E7">
        <w:t xml:space="preserve"> that</w:t>
      </w:r>
      <w:r>
        <w:t xml:space="preserve"> the AECSP </w:t>
      </w:r>
      <w:r w:rsidR="001827E7">
        <w:t>monitoring and evaluation</w:t>
      </w:r>
      <w:r>
        <w:t xml:space="preserve"> system will:</w:t>
      </w:r>
    </w:p>
    <w:p w14:paraId="22E3359E" w14:textId="6AEC8996" w:rsidR="00530BA8" w:rsidRDefault="001827E7" w:rsidP="00530BA8">
      <w:pPr>
        <w:pStyle w:val="ListParagraph"/>
        <w:numPr>
          <w:ilvl w:val="0"/>
          <w:numId w:val="30"/>
        </w:numPr>
        <w:spacing w:after="0"/>
      </w:pPr>
      <w:r>
        <w:t xml:space="preserve">be </w:t>
      </w:r>
      <w:r w:rsidR="00530BA8">
        <w:t>simple, relevant</w:t>
      </w:r>
      <w:r>
        <w:t>,</w:t>
      </w:r>
      <w:r w:rsidR="00530BA8">
        <w:t xml:space="preserve"> efficient and contextually feasible</w:t>
      </w:r>
    </w:p>
    <w:p w14:paraId="018CA374" w14:textId="2AD9B320" w:rsidR="00530BA8" w:rsidRDefault="001827E7" w:rsidP="00530BA8">
      <w:pPr>
        <w:pStyle w:val="ListParagraph"/>
        <w:numPr>
          <w:ilvl w:val="0"/>
          <w:numId w:val="30"/>
        </w:numPr>
        <w:spacing w:after="0"/>
      </w:pPr>
      <w:r>
        <w:t>g</w:t>
      </w:r>
      <w:r w:rsidRPr="00D57FD5">
        <w:t xml:space="preserve">enerate </w:t>
      </w:r>
      <w:r w:rsidR="00530BA8" w:rsidRPr="00D57FD5">
        <w:t xml:space="preserve">data and information that can motivate and guide </w:t>
      </w:r>
      <w:r>
        <w:t xml:space="preserve">the </w:t>
      </w:r>
      <w:r w:rsidR="00530BA8" w:rsidRPr="00D57FD5">
        <w:t xml:space="preserve">strategic thinking of the </w:t>
      </w:r>
      <w:r>
        <w:t>p</w:t>
      </w:r>
      <w:r w:rsidRPr="00D57FD5">
        <w:t xml:space="preserve">arties </w:t>
      </w:r>
      <w:r w:rsidR="00530BA8" w:rsidRPr="00D57FD5">
        <w:t xml:space="preserve">and the </w:t>
      </w:r>
      <w:r w:rsidR="00530BA8">
        <w:t xml:space="preserve">AECSP </w:t>
      </w:r>
      <w:r w:rsidR="00530BA8" w:rsidRPr="00D57FD5">
        <w:t>Support Unit</w:t>
      </w:r>
      <w:r w:rsidR="00530BA8">
        <w:t xml:space="preserve"> </w:t>
      </w:r>
      <w:r w:rsidR="00530BA8" w:rsidRPr="00D57FD5">
        <w:t>where successes and lessons learned are elicited for continuous improvement in effective AANZFTA implementation</w:t>
      </w:r>
    </w:p>
    <w:p w14:paraId="0B673D56" w14:textId="4F3F19B4" w:rsidR="00530BA8" w:rsidRDefault="008A5452" w:rsidP="00530BA8">
      <w:pPr>
        <w:pStyle w:val="ListParagraph"/>
        <w:numPr>
          <w:ilvl w:val="0"/>
          <w:numId w:val="30"/>
        </w:numPr>
        <w:spacing w:after="0"/>
      </w:pPr>
      <w:r>
        <w:t xml:space="preserve">be </w:t>
      </w:r>
      <w:r w:rsidR="00530BA8">
        <w:t>collaborative</w:t>
      </w:r>
      <w:r>
        <w:t>,</w:t>
      </w:r>
      <w:r w:rsidR="00530BA8">
        <w:t xml:space="preserve"> integrated and supportive of ASEAN Secretariat data and systems.</w:t>
      </w:r>
      <w:r w:rsidR="005856D4">
        <w:t xml:space="preserve"> </w:t>
      </w:r>
      <w:r w:rsidR="00530BA8">
        <w:t xml:space="preserve">In doing this the </w:t>
      </w:r>
      <w:r w:rsidR="001827E7">
        <w:t>monitoring and evaluation</w:t>
      </w:r>
      <w:r w:rsidR="00530BA8">
        <w:t xml:space="preserve"> system will also </w:t>
      </w:r>
      <w:r w:rsidR="00530BA8" w:rsidRPr="0072243F">
        <w:t xml:space="preserve">contribute to broader </w:t>
      </w:r>
      <w:r>
        <w:t>s</w:t>
      </w:r>
      <w:r w:rsidRPr="0072243F">
        <w:t>ecretariat</w:t>
      </w:r>
      <w:r w:rsidR="00530BA8" w:rsidRPr="0072243F">
        <w:t xml:space="preserve">-wide </w:t>
      </w:r>
      <w:r w:rsidR="001827E7">
        <w:t>monitoring and evaluation</w:t>
      </w:r>
      <w:r w:rsidR="00530BA8" w:rsidRPr="0072243F">
        <w:t xml:space="preserve"> systems over the coming years, including those developed with the support of </w:t>
      </w:r>
      <w:r w:rsidRPr="008A5452">
        <w:t>ASEAN Australia Development Cooperation Project</w:t>
      </w:r>
      <w:r>
        <w:t xml:space="preserve">: Phase </w:t>
      </w:r>
      <w:r w:rsidR="00530BA8" w:rsidRPr="0072243F">
        <w:t>II.</w:t>
      </w:r>
    </w:p>
    <w:p w14:paraId="12A8B575" w14:textId="5ED33227" w:rsidR="00530BA8" w:rsidRDefault="00530BA8" w:rsidP="00530BA8">
      <w:r>
        <w:t xml:space="preserve">Development of a comprehensive AECSP </w:t>
      </w:r>
      <w:r w:rsidR="001827E7">
        <w:t>monitoring and evaluation</w:t>
      </w:r>
      <w:r>
        <w:t xml:space="preserve"> framework was considered critical if stakeholders were to legitimately and accurately monitor and evaluate progress towards achieving the goals of AECSP.</w:t>
      </w:r>
      <w:r w:rsidR="005856D4">
        <w:t xml:space="preserve"> </w:t>
      </w:r>
      <w:r>
        <w:t xml:space="preserve">In support of </w:t>
      </w:r>
      <w:r w:rsidR="0045046A">
        <w:t>program</w:t>
      </w:r>
      <w:r>
        <w:t xml:space="preserve"> </w:t>
      </w:r>
      <w:r w:rsidR="001827E7">
        <w:t>monitoring and evaluation</w:t>
      </w:r>
      <w:r>
        <w:t>, specific resources were allocated in</w:t>
      </w:r>
      <w:r w:rsidR="008A5452">
        <w:t>cluding</w:t>
      </w:r>
      <w:r>
        <w:t xml:space="preserve"> an international specialist </w:t>
      </w:r>
      <w:r w:rsidR="008A5452">
        <w:t xml:space="preserve">who </w:t>
      </w:r>
      <w:r>
        <w:t xml:space="preserve">was to be recruited and deployed part-time to work with the </w:t>
      </w:r>
      <w:r w:rsidR="008A5452" w:rsidRPr="008A5452">
        <w:t xml:space="preserve">AANZFTA Support Unit </w:t>
      </w:r>
      <w:r w:rsidR="008A5452">
        <w:t>on</w:t>
      </w:r>
      <w:r>
        <w:t xml:space="preserve"> </w:t>
      </w:r>
      <w:r w:rsidR="001827E7">
        <w:t>monitoring and evaluation</w:t>
      </w:r>
      <w:r>
        <w:t xml:space="preserve"> activities for the life of AECSP.</w:t>
      </w:r>
      <w:r w:rsidR="005856D4">
        <w:t xml:space="preserve"> </w:t>
      </w:r>
    </w:p>
    <w:p w14:paraId="6D4604BB" w14:textId="60C4C42E" w:rsidR="00530BA8" w:rsidRDefault="008A5452" w:rsidP="00530BA8">
      <w:r>
        <w:t xml:space="preserve">This </w:t>
      </w:r>
      <w:r w:rsidR="00530BA8">
        <w:t xml:space="preserve">specialist </w:t>
      </w:r>
      <w:r>
        <w:t xml:space="preserve">role </w:t>
      </w:r>
      <w:r w:rsidR="00530BA8">
        <w:t xml:space="preserve">was deployed after mobilisation of the </w:t>
      </w:r>
      <w:r w:rsidR="0045046A">
        <w:t>program</w:t>
      </w:r>
      <w:r w:rsidR="00530BA8">
        <w:t xml:space="preserve">. The initial specialist was replaced in 2011. </w:t>
      </w:r>
      <w:r w:rsidR="00530BA8" w:rsidRPr="000D10B7">
        <w:t xml:space="preserve">The final AECSP </w:t>
      </w:r>
      <w:r w:rsidR="001827E7">
        <w:t>monitoring and evaluation</w:t>
      </w:r>
      <w:r w:rsidR="00530BA8" w:rsidRPr="000D10B7">
        <w:t xml:space="preserve"> </w:t>
      </w:r>
      <w:r>
        <w:t>f</w:t>
      </w:r>
      <w:r w:rsidRPr="000D10B7">
        <w:t xml:space="preserve">ramework </w:t>
      </w:r>
      <w:r w:rsidR="00530BA8" w:rsidRPr="000D10B7">
        <w:t xml:space="preserve">was completed by </w:t>
      </w:r>
      <w:r w:rsidR="00530BA8">
        <w:t>a</w:t>
      </w:r>
      <w:r w:rsidR="00530BA8" w:rsidRPr="000D10B7">
        <w:t xml:space="preserve"> second international specialist and the </w:t>
      </w:r>
      <w:r w:rsidRPr="008A5452">
        <w:t xml:space="preserve">AANZFTA Support Unit </w:t>
      </w:r>
      <w:r w:rsidR="00530BA8" w:rsidRPr="000D10B7">
        <w:t>team and endorsed by the program in November 2011. A third international</w:t>
      </w:r>
      <w:r w:rsidR="00AE2D46">
        <w:t xml:space="preserve"> </w:t>
      </w:r>
      <w:r w:rsidR="00530BA8" w:rsidRPr="000D10B7">
        <w:t>expert is now supporting efforts to operationali</w:t>
      </w:r>
      <w:r w:rsidR="00465C26">
        <w:t>s</w:t>
      </w:r>
      <w:r w:rsidR="00530BA8" w:rsidRPr="000D10B7">
        <w:t xml:space="preserve">e the </w:t>
      </w:r>
      <w:r w:rsidR="001827E7">
        <w:t>monitoring and evaluation</w:t>
      </w:r>
      <w:r w:rsidR="00530BA8" w:rsidRPr="000D10B7">
        <w:t xml:space="preserve"> system</w:t>
      </w:r>
      <w:r>
        <w:t>.</w:t>
      </w:r>
      <w:r w:rsidR="00530BA8" w:rsidRPr="000D10B7">
        <w:rPr>
          <w:szCs w:val="20"/>
          <w:vertAlign w:val="superscript"/>
        </w:rPr>
        <w:footnoteReference w:id="70"/>
      </w:r>
      <w:r w:rsidR="005856D4">
        <w:t xml:space="preserve"> </w:t>
      </w:r>
      <w:r>
        <w:t xml:space="preserve">This </w:t>
      </w:r>
      <w:r w:rsidR="00530BA8">
        <w:t>ever-</w:t>
      </w:r>
      <w:r w:rsidR="00530BA8" w:rsidRPr="000D10B7">
        <w:t>changing</w:t>
      </w:r>
      <w:r w:rsidR="001827E7">
        <w:t xml:space="preserve"> </w:t>
      </w:r>
      <w:r w:rsidR="00530BA8" w:rsidRPr="000D10B7">
        <w:t xml:space="preserve">support provided to the program has </w:t>
      </w:r>
      <w:r w:rsidR="00530BA8">
        <w:t xml:space="preserve">clearly </w:t>
      </w:r>
      <w:r w:rsidR="00530BA8" w:rsidRPr="000D10B7">
        <w:t xml:space="preserve">impacted upon AECSP’s ability to appropriately manage and implement the </w:t>
      </w:r>
      <w:r w:rsidR="001827E7">
        <w:t>monitoring and evaluation</w:t>
      </w:r>
      <w:r w:rsidR="00530BA8" w:rsidRPr="000D10B7">
        <w:t xml:space="preserve"> framework.</w:t>
      </w:r>
    </w:p>
    <w:p w14:paraId="32307D79" w14:textId="66A7440B" w:rsidR="00530BA8" w:rsidRPr="00556268" w:rsidRDefault="00530BA8" w:rsidP="00530BA8">
      <w:pPr>
        <w:pStyle w:val="Heading4"/>
      </w:pPr>
      <w:r>
        <w:t xml:space="preserve">Program </w:t>
      </w:r>
      <w:r w:rsidR="001827E7">
        <w:t xml:space="preserve">monitoring </w:t>
      </w:r>
      <w:r>
        <w:t xml:space="preserve">and </w:t>
      </w:r>
      <w:r w:rsidR="001827E7">
        <w:t>e</w:t>
      </w:r>
      <w:r>
        <w:t xml:space="preserve">valuation </w:t>
      </w:r>
    </w:p>
    <w:p w14:paraId="094A4CAC" w14:textId="67DD096B" w:rsidR="00530BA8" w:rsidRDefault="00530BA8" w:rsidP="00530BA8">
      <w:pPr>
        <w:pStyle w:val="BodyText"/>
      </w:pPr>
      <w:r>
        <w:t>It is clear AANZFTA/AECSP is operating in a complex operational, governance and implementation context.</w:t>
      </w:r>
      <w:r w:rsidR="005856D4">
        <w:t xml:space="preserve"> </w:t>
      </w:r>
      <w:r w:rsidR="008A5452">
        <w:t>M</w:t>
      </w:r>
      <w:r w:rsidR="001827E7">
        <w:t>onitoring and evaluation</w:t>
      </w:r>
      <w:r>
        <w:t xml:space="preserve"> demands are varied and stakeholders have very different perspectives and priorities </w:t>
      </w:r>
      <w:r w:rsidR="008A5452">
        <w:t>on</w:t>
      </w:r>
      <w:r>
        <w:t xml:space="preserve"> the use and application of performance data.</w:t>
      </w:r>
      <w:r w:rsidR="005856D4">
        <w:t xml:space="preserve"> </w:t>
      </w:r>
      <w:r>
        <w:t xml:space="preserve">These variables </w:t>
      </w:r>
      <w:r w:rsidR="00CE042C">
        <w:t xml:space="preserve">have had a significant impact </w:t>
      </w:r>
      <w:r>
        <w:t xml:space="preserve">on the way </w:t>
      </w:r>
      <w:r w:rsidR="001827E7">
        <w:t>monitoring and evaluation</w:t>
      </w:r>
      <w:r>
        <w:t xml:space="preserve"> has been managed, interpreted and applied within and across the </w:t>
      </w:r>
      <w:r w:rsidR="0045046A">
        <w:t>program</w:t>
      </w:r>
      <w:r>
        <w:t>.</w:t>
      </w:r>
    </w:p>
    <w:p w14:paraId="026C216E" w14:textId="68ED2573" w:rsidR="00530BA8" w:rsidRDefault="00530BA8" w:rsidP="00530BA8">
      <w:pPr>
        <w:pStyle w:val="BodyText"/>
      </w:pPr>
      <w:r>
        <w:t xml:space="preserve">Strengths of the AECSP </w:t>
      </w:r>
      <w:r w:rsidR="001827E7">
        <w:t>monitoring and evaluation</w:t>
      </w:r>
      <w:r>
        <w:t xml:space="preserve"> methodology include:</w:t>
      </w:r>
    </w:p>
    <w:p w14:paraId="094B1C41" w14:textId="0109D716" w:rsidR="00530BA8" w:rsidRDefault="00530BA8" w:rsidP="00530BA8">
      <w:pPr>
        <w:pStyle w:val="ListParagraph"/>
        <w:numPr>
          <w:ilvl w:val="0"/>
          <w:numId w:val="31"/>
        </w:numPr>
        <w:spacing w:after="0"/>
      </w:pPr>
      <w:r>
        <w:t xml:space="preserve">A collective understanding of the importance of being able to record and act upon data capable of monitoring and measuring results and impacts associated with the </w:t>
      </w:r>
      <w:r w:rsidR="0045046A">
        <w:t>program</w:t>
      </w:r>
      <w:r>
        <w:t>.</w:t>
      </w:r>
      <w:r w:rsidR="005856D4">
        <w:t xml:space="preserve"> </w:t>
      </w:r>
      <w:r>
        <w:t>All stakeholders are keen to have access to, and use reports which provide</w:t>
      </w:r>
      <w:r w:rsidR="008A5452">
        <w:t>,</w:t>
      </w:r>
      <w:r>
        <w:t xml:space="preserve"> an overview of </w:t>
      </w:r>
      <w:r w:rsidR="0045046A">
        <w:t>program</w:t>
      </w:r>
      <w:r>
        <w:t xml:space="preserve"> impacts and outcomes.</w:t>
      </w:r>
    </w:p>
    <w:p w14:paraId="2187B24C" w14:textId="718D2674" w:rsidR="00530BA8" w:rsidRDefault="00530BA8" w:rsidP="00530BA8">
      <w:pPr>
        <w:pStyle w:val="ListParagraph"/>
        <w:numPr>
          <w:ilvl w:val="0"/>
          <w:numId w:val="31"/>
        </w:numPr>
        <w:spacing w:after="0"/>
      </w:pPr>
      <w:r>
        <w:lastRenderedPageBreak/>
        <w:t xml:space="preserve">An evolving methodology which has adapted to stakeholder requirements and </w:t>
      </w:r>
      <w:r w:rsidR="00F8132C">
        <w:t xml:space="preserve">which </w:t>
      </w:r>
      <w:r>
        <w:t xml:space="preserve">allows information </w:t>
      </w:r>
      <w:r w:rsidR="00F8132C">
        <w:t xml:space="preserve">to be collected that is </w:t>
      </w:r>
      <w:r>
        <w:t>capable of providing verifiable effects aligned to:</w:t>
      </w:r>
    </w:p>
    <w:p w14:paraId="6DCFDF6B" w14:textId="4CF14C78" w:rsidR="00530BA8" w:rsidRDefault="008A5452" w:rsidP="00530BA8">
      <w:pPr>
        <w:pStyle w:val="ListParagraph"/>
        <w:numPr>
          <w:ilvl w:val="1"/>
          <w:numId w:val="31"/>
        </w:numPr>
        <w:spacing w:after="0"/>
      </w:pPr>
      <w:r>
        <w:t xml:space="preserve">capacity </w:t>
      </w:r>
      <w:r w:rsidR="00530BA8">
        <w:t>development initiatives, including the collection of sex disaggregated data</w:t>
      </w:r>
    </w:p>
    <w:p w14:paraId="5ABB0A50" w14:textId="4DCFA65B" w:rsidR="00530BA8" w:rsidRDefault="008A5452" w:rsidP="00530BA8">
      <w:pPr>
        <w:pStyle w:val="ListParagraph"/>
        <w:numPr>
          <w:ilvl w:val="1"/>
          <w:numId w:val="31"/>
        </w:numPr>
        <w:spacing w:after="0"/>
      </w:pPr>
      <w:r>
        <w:t>research</w:t>
      </w:r>
      <w:r w:rsidR="00530BA8">
        <w:t>/policy development initiatives</w:t>
      </w:r>
    </w:p>
    <w:p w14:paraId="548779A6" w14:textId="322DC581" w:rsidR="00530BA8" w:rsidRDefault="008A5452" w:rsidP="00530BA8">
      <w:pPr>
        <w:pStyle w:val="ListParagraph"/>
        <w:numPr>
          <w:ilvl w:val="1"/>
          <w:numId w:val="31"/>
        </w:numPr>
        <w:spacing w:after="0"/>
      </w:pPr>
      <w:r>
        <w:t xml:space="preserve">direct </w:t>
      </w:r>
      <w:r w:rsidR="00530BA8">
        <w:t>implementation initiatives.</w:t>
      </w:r>
    </w:p>
    <w:p w14:paraId="6C52C64B" w14:textId="29DECDA1" w:rsidR="00530BA8" w:rsidRDefault="008A5452" w:rsidP="00530BA8">
      <w:pPr>
        <w:pStyle w:val="ListParagraph"/>
        <w:numPr>
          <w:ilvl w:val="0"/>
          <w:numId w:val="31"/>
        </w:numPr>
        <w:spacing w:after="0"/>
      </w:pPr>
      <w:r>
        <w:t xml:space="preserve">The ability to </w:t>
      </w:r>
      <w:r w:rsidR="00530BA8">
        <w:t xml:space="preserve">map </w:t>
      </w:r>
      <w:r w:rsidRPr="008A5452">
        <w:t xml:space="preserve">AANZFTA Support Unit </w:t>
      </w:r>
      <w:r w:rsidR="00530BA8">
        <w:t>activities and ultimately track the Economic Cooperation Work Plan (</w:t>
      </w:r>
      <w:r w:rsidR="00546E38">
        <w:t xml:space="preserve">Economic Cooperation Work </w:t>
      </w:r>
      <w:r>
        <w:t>P</w:t>
      </w:r>
      <w:r w:rsidR="0045046A">
        <w:t>rogram</w:t>
      </w:r>
      <w:r w:rsidR="00530BA8">
        <w:t>).</w:t>
      </w:r>
    </w:p>
    <w:p w14:paraId="3E8E2827" w14:textId="447964D6" w:rsidR="00530BA8" w:rsidRDefault="008A5452" w:rsidP="00530BA8">
      <w:pPr>
        <w:pStyle w:val="ListParagraph"/>
        <w:numPr>
          <w:ilvl w:val="0"/>
          <w:numId w:val="31"/>
        </w:numPr>
        <w:spacing w:after="0"/>
      </w:pPr>
      <w:r>
        <w:t>The capacity to b</w:t>
      </w:r>
      <w:r w:rsidR="00530BA8">
        <w:t xml:space="preserve">uild on </w:t>
      </w:r>
      <w:r w:rsidR="00FA23AA">
        <w:t xml:space="preserve">ASEAN </w:t>
      </w:r>
      <w:r>
        <w:t xml:space="preserve">Secretariat </w:t>
      </w:r>
      <w:r w:rsidR="00530BA8">
        <w:t xml:space="preserve">and </w:t>
      </w:r>
      <w:r w:rsidRPr="008A5452">
        <w:t xml:space="preserve">AANZFTA Support Unit </w:t>
      </w:r>
      <w:r w:rsidR="00530BA8">
        <w:t xml:space="preserve">systems and tools to produce relevant </w:t>
      </w:r>
      <w:r w:rsidR="0045046A">
        <w:t>program</w:t>
      </w:r>
      <w:r w:rsidR="00530BA8">
        <w:t xml:space="preserve"> reports applicable to stakeholders</w:t>
      </w:r>
      <w:r>
        <w:t xml:space="preserve"> including</w:t>
      </w:r>
      <w:r w:rsidR="00530BA8">
        <w:t>:</w:t>
      </w:r>
    </w:p>
    <w:p w14:paraId="6EA73236" w14:textId="22B3B1BA" w:rsidR="00530BA8" w:rsidRDefault="008A5452" w:rsidP="00530BA8">
      <w:pPr>
        <w:pStyle w:val="ListParagraph"/>
        <w:numPr>
          <w:ilvl w:val="1"/>
          <w:numId w:val="31"/>
        </w:numPr>
        <w:spacing w:after="0"/>
      </w:pPr>
      <w:r>
        <w:t xml:space="preserve">economic ministers </w:t>
      </w:r>
      <w:r w:rsidR="00530BA8">
        <w:t>reports</w:t>
      </w:r>
    </w:p>
    <w:p w14:paraId="1F3E3DDA" w14:textId="737F1EB6" w:rsidR="00530BA8" w:rsidRDefault="00530BA8" w:rsidP="00530BA8">
      <w:pPr>
        <w:pStyle w:val="ListParagraph"/>
        <w:numPr>
          <w:ilvl w:val="1"/>
          <w:numId w:val="31"/>
        </w:numPr>
        <w:spacing w:after="0"/>
      </w:pPr>
      <w:r>
        <w:t>Free Trade Agreement Joint Committee reports</w:t>
      </w:r>
      <w:r w:rsidR="008A5452">
        <w:t xml:space="preserve"> </w:t>
      </w:r>
      <w:r>
        <w:t xml:space="preserve">to </w:t>
      </w:r>
      <w:r w:rsidR="008A5452">
        <w:t>economic ministers</w:t>
      </w:r>
    </w:p>
    <w:p w14:paraId="31D78DF7" w14:textId="59EB5BF3" w:rsidR="00530BA8" w:rsidRDefault="008A5452" w:rsidP="00530BA8">
      <w:pPr>
        <w:pStyle w:val="ListParagraph"/>
        <w:numPr>
          <w:ilvl w:val="1"/>
          <w:numId w:val="31"/>
        </w:numPr>
        <w:spacing w:after="0"/>
      </w:pPr>
      <w:r>
        <w:t xml:space="preserve">senior economic official meeting </w:t>
      </w:r>
      <w:r w:rsidR="00530BA8">
        <w:t>reports</w:t>
      </w:r>
    </w:p>
    <w:p w14:paraId="356E184B" w14:textId="353367CC" w:rsidR="00530BA8" w:rsidRDefault="00530BA8" w:rsidP="00530BA8">
      <w:pPr>
        <w:pStyle w:val="ListParagraph"/>
        <w:numPr>
          <w:ilvl w:val="1"/>
          <w:numId w:val="31"/>
        </w:numPr>
        <w:spacing w:after="0"/>
      </w:pPr>
      <w:r>
        <w:t>AECSP annual and biannual reports</w:t>
      </w:r>
    </w:p>
    <w:p w14:paraId="5BA6CDBC" w14:textId="7CCA1F40" w:rsidR="00530BA8" w:rsidRDefault="008A5452" w:rsidP="00530BA8">
      <w:pPr>
        <w:pStyle w:val="ListParagraph"/>
        <w:numPr>
          <w:ilvl w:val="1"/>
          <w:numId w:val="31"/>
        </w:numPr>
        <w:spacing w:after="0"/>
      </w:pPr>
      <w:r>
        <w:t>project</w:t>
      </w:r>
      <w:r w:rsidR="00530BA8">
        <w:t>/activity completion reports</w:t>
      </w:r>
    </w:p>
    <w:p w14:paraId="292F92FE" w14:textId="798E1207" w:rsidR="00530BA8" w:rsidRDefault="00530BA8" w:rsidP="00530BA8">
      <w:pPr>
        <w:pStyle w:val="ListParagraph"/>
        <w:numPr>
          <w:ilvl w:val="1"/>
          <w:numId w:val="31"/>
        </w:numPr>
        <w:spacing w:after="0"/>
      </w:pPr>
      <w:r>
        <w:t>AusAID/</w:t>
      </w:r>
      <w:r w:rsidR="00FA23AA">
        <w:t xml:space="preserve">ASEAN </w:t>
      </w:r>
      <w:r w:rsidR="008A5452">
        <w:t xml:space="preserve">Secretariat </w:t>
      </w:r>
      <w:r>
        <w:t>financial reports</w:t>
      </w:r>
    </w:p>
    <w:p w14:paraId="2126F11E" w14:textId="4477D8B0" w:rsidR="00530BA8" w:rsidRDefault="00530BA8" w:rsidP="00530BA8">
      <w:pPr>
        <w:pStyle w:val="ListParagraph"/>
        <w:numPr>
          <w:ilvl w:val="1"/>
          <w:numId w:val="31"/>
        </w:numPr>
        <w:spacing w:after="0"/>
      </w:pPr>
      <w:r>
        <w:t xml:space="preserve">AusAID </w:t>
      </w:r>
      <w:r w:rsidR="00F8132C">
        <w:t xml:space="preserve">quality </w:t>
      </w:r>
      <w:r>
        <w:t xml:space="preserve">at </w:t>
      </w:r>
      <w:r w:rsidR="00F8132C">
        <w:t>i</w:t>
      </w:r>
      <w:r>
        <w:t>mplementatio</w:t>
      </w:r>
      <w:r w:rsidR="008A5452">
        <w:t>n</w:t>
      </w:r>
      <w:r>
        <w:t xml:space="preserve"> reports.</w:t>
      </w:r>
      <w:r w:rsidR="005856D4">
        <w:t xml:space="preserve"> </w:t>
      </w:r>
    </w:p>
    <w:p w14:paraId="6DFCD361" w14:textId="7F61915E" w:rsidR="00530BA8" w:rsidRDefault="00530BA8" w:rsidP="00530BA8">
      <w:pPr>
        <w:pStyle w:val="ListParagraph"/>
        <w:numPr>
          <w:ilvl w:val="0"/>
          <w:numId w:val="31"/>
        </w:numPr>
        <w:spacing w:after="0"/>
      </w:pPr>
      <w:r>
        <w:t xml:space="preserve">In 2012 the </w:t>
      </w:r>
      <w:r w:rsidR="008A5452" w:rsidRPr="008A5452">
        <w:t xml:space="preserve">AANZFTA Support Unit </w:t>
      </w:r>
      <w:r>
        <w:t xml:space="preserve">team was strengthened with the recruitment and deployment of additional </w:t>
      </w:r>
      <w:r w:rsidR="008A5452">
        <w:t xml:space="preserve">people </w:t>
      </w:r>
      <w:r>
        <w:t>to manage and implement the performance framework. Since mid-2012, progress has been made in developing and applying practical tools to monitor and record verifiable outcomes which meet the needs of all stakeholders.</w:t>
      </w:r>
      <w:r w:rsidR="005856D4">
        <w:t xml:space="preserve"> </w:t>
      </w:r>
      <w:r>
        <w:t>These tools include:</w:t>
      </w:r>
    </w:p>
    <w:p w14:paraId="17461505" w14:textId="152ED7BF" w:rsidR="00530BA8" w:rsidRDefault="008A5452" w:rsidP="00530BA8">
      <w:pPr>
        <w:pStyle w:val="ListParagraph"/>
        <w:numPr>
          <w:ilvl w:val="1"/>
          <w:numId w:val="31"/>
        </w:numPr>
        <w:spacing w:after="0"/>
      </w:pPr>
      <w:r>
        <w:t xml:space="preserve">updating </w:t>
      </w:r>
      <w:r w:rsidR="00530BA8">
        <w:t xml:space="preserve">the </w:t>
      </w:r>
      <w:r>
        <w:t xml:space="preserve">project proposal templates </w:t>
      </w:r>
      <w:r w:rsidR="00530BA8">
        <w:t>to better align activity objectives and outputs to verifiable outputs for reporting purposes</w:t>
      </w:r>
    </w:p>
    <w:p w14:paraId="76A12021" w14:textId="583C456A" w:rsidR="00530BA8" w:rsidRDefault="008A5452" w:rsidP="00530BA8">
      <w:pPr>
        <w:pStyle w:val="ListParagraph"/>
        <w:numPr>
          <w:ilvl w:val="1"/>
          <w:numId w:val="31"/>
        </w:numPr>
        <w:spacing w:after="0"/>
      </w:pPr>
      <w:r>
        <w:t>enhanc</w:t>
      </w:r>
      <w:r w:rsidR="00CE042C">
        <w:t xml:space="preserve">ing </w:t>
      </w:r>
      <w:r w:rsidR="00530BA8">
        <w:t xml:space="preserve">(electronic) survey questionnaires and </w:t>
      </w:r>
      <w:r>
        <w:t>follow-</w:t>
      </w:r>
      <w:r w:rsidR="00530BA8">
        <w:t xml:space="preserve">up methodologies appropriate to targeted initiatives </w:t>
      </w:r>
      <w:r>
        <w:t>including</w:t>
      </w:r>
      <w:r w:rsidR="00530BA8">
        <w:t xml:space="preserve"> capacity development</w:t>
      </w:r>
      <w:r>
        <w:t xml:space="preserve">, </w:t>
      </w:r>
      <w:r w:rsidR="00530BA8">
        <w:t>research/policy and direct implementation</w:t>
      </w:r>
    </w:p>
    <w:p w14:paraId="1E5A7E7D" w14:textId="5849E5B7" w:rsidR="00530BA8" w:rsidRDefault="008A5452" w:rsidP="00530BA8">
      <w:pPr>
        <w:pStyle w:val="ListParagraph"/>
        <w:numPr>
          <w:ilvl w:val="1"/>
          <w:numId w:val="31"/>
        </w:numPr>
        <w:spacing w:after="0"/>
      </w:pPr>
      <w:r>
        <w:t xml:space="preserve">streamlining </w:t>
      </w:r>
      <w:r w:rsidR="00530BA8">
        <w:t>and simplif</w:t>
      </w:r>
      <w:r>
        <w:t xml:space="preserve">ying </w:t>
      </w:r>
      <w:r w:rsidR="00530BA8">
        <w:t xml:space="preserve">the electronic database (management information system) to manage data and activity outputs/outcomes </w:t>
      </w:r>
      <w:r>
        <w:t xml:space="preserve">and to enable </w:t>
      </w:r>
      <w:r w:rsidR="00530BA8">
        <w:t>usable and appropriate reports</w:t>
      </w:r>
      <w:r>
        <w:t xml:space="preserve"> to be produced</w:t>
      </w:r>
      <w:r w:rsidR="00530BA8">
        <w:t>.</w:t>
      </w:r>
      <w:r w:rsidR="005856D4">
        <w:t xml:space="preserve"> </w:t>
      </w:r>
      <w:r w:rsidR="00530BA8">
        <w:t>It should be noted that it is still too early to longitudinally assign results and impacts to activities being monitored by a revised (2012) management information system.</w:t>
      </w:r>
    </w:p>
    <w:p w14:paraId="10B3357D" w14:textId="0B03224B" w:rsidR="00530BA8" w:rsidRDefault="00530BA8" w:rsidP="00530BA8">
      <w:pPr>
        <w:pStyle w:val="ListParagraph"/>
        <w:numPr>
          <w:ilvl w:val="0"/>
          <w:numId w:val="31"/>
        </w:numPr>
        <w:spacing w:after="0"/>
      </w:pPr>
      <w:r>
        <w:t>Time has resulted in a maturity of the program methodology.</w:t>
      </w:r>
      <w:r w:rsidR="005856D4">
        <w:t xml:space="preserve"> </w:t>
      </w:r>
      <w:r>
        <w:t xml:space="preserve">There has been a move away from one-off activity specific initiatives towards </w:t>
      </w:r>
      <w:r w:rsidR="008A5452">
        <w:t>program-</w:t>
      </w:r>
      <w:r>
        <w:t>wide strategic and results focused projects</w:t>
      </w:r>
      <w:r w:rsidR="008A5452">
        <w:t xml:space="preserve"> and </w:t>
      </w:r>
      <w:r>
        <w:t>proposals.</w:t>
      </w:r>
      <w:r w:rsidR="005856D4">
        <w:t xml:space="preserve"> </w:t>
      </w:r>
      <w:r>
        <w:t>Strategic work streaming is more closely aligned to a ‘program approach’</w:t>
      </w:r>
      <w:r>
        <w:rPr>
          <w:rStyle w:val="FootnoteReference"/>
        </w:rPr>
        <w:footnoteReference w:id="71"/>
      </w:r>
      <w:r>
        <w:t xml:space="preserve"> and should result in better integration of program activities which align to higher level objectives of the </w:t>
      </w:r>
      <w:r w:rsidR="0045046A">
        <w:t>program</w:t>
      </w:r>
      <w:r>
        <w:t>.</w:t>
      </w:r>
      <w:r w:rsidR="005856D4">
        <w:t xml:space="preserve"> </w:t>
      </w:r>
      <w:r>
        <w:t xml:space="preserve">It also has the potential </w:t>
      </w:r>
      <w:r w:rsidR="008A5452">
        <w:t>to</w:t>
      </w:r>
      <w:r>
        <w:t xml:space="preserve"> achieve</w:t>
      </w:r>
      <w:r w:rsidR="008A5452">
        <w:t xml:space="preserve"> </w:t>
      </w:r>
      <w:r>
        <w:t xml:space="preserve">broader capacity development outcomes as it allows </w:t>
      </w:r>
      <w:r w:rsidR="00783EFB">
        <w:t xml:space="preserve">organisational and institutional (capacity) development to be </w:t>
      </w:r>
      <w:r>
        <w:t>target</w:t>
      </w:r>
      <w:r w:rsidR="00783EFB">
        <w:t xml:space="preserve">ed </w:t>
      </w:r>
      <w:r>
        <w:t>and support</w:t>
      </w:r>
      <w:r w:rsidR="00783EFB">
        <w:t>ed</w:t>
      </w:r>
      <w:r>
        <w:t xml:space="preserve"> as opposed to individual professional development </w:t>
      </w:r>
      <w:r w:rsidR="00783EFB">
        <w:t>or</w:t>
      </w:r>
      <w:r>
        <w:t xml:space="preserve"> a focus on training. Further enhancement of the program approach will occur if more robust ‘project’ design, implementation, evaluation and reporting procedures (front end and back end opportunities) are supported during the proposal phase of the project cycle.</w:t>
      </w:r>
      <w:r w:rsidR="005856D4">
        <w:t xml:space="preserve"> </w:t>
      </w:r>
    </w:p>
    <w:p w14:paraId="4617B91A" w14:textId="3DA06ED3" w:rsidR="00530BA8" w:rsidRDefault="00530BA8" w:rsidP="00530BA8">
      <w:pPr>
        <w:pStyle w:val="ListParagraph"/>
        <w:numPr>
          <w:ilvl w:val="0"/>
          <w:numId w:val="31"/>
        </w:numPr>
        <w:spacing w:after="0"/>
      </w:pPr>
      <w:r>
        <w:t xml:space="preserve">Clearly </w:t>
      </w:r>
      <w:r w:rsidR="00783EFB">
        <w:t>high-</w:t>
      </w:r>
      <w:r>
        <w:t xml:space="preserve">level information provided to </w:t>
      </w:r>
      <w:r w:rsidR="00783EFB">
        <w:t>economic ministers</w:t>
      </w:r>
      <w:r>
        <w:t>, the F</w:t>
      </w:r>
      <w:r w:rsidR="00783EFB">
        <w:t xml:space="preserve">ree </w:t>
      </w:r>
      <w:r>
        <w:t>T</w:t>
      </w:r>
      <w:r w:rsidR="00783EFB">
        <w:t xml:space="preserve">rade </w:t>
      </w:r>
      <w:r>
        <w:t>A</w:t>
      </w:r>
      <w:r w:rsidR="00783EFB">
        <w:t xml:space="preserve">greement </w:t>
      </w:r>
      <w:r>
        <w:t>J</w:t>
      </w:r>
      <w:r w:rsidR="00783EFB">
        <w:t xml:space="preserve">oint </w:t>
      </w:r>
      <w:r>
        <w:t>C</w:t>
      </w:r>
      <w:r w:rsidR="00783EFB">
        <w:t>ommittee</w:t>
      </w:r>
      <w:r>
        <w:t xml:space="preserve"> and </w:t>
      </w:r>
      <w:r w:rsidR="00783EFB" w:rsidRPr="00783EFB">
        <w:t xml:space="preserve">Senior Economic Officials Meeting </w:t>
      </w:r>
      <w:r>
        <w:t xml:space="preserve">is considered appropriate to </w:t>
      </w:r>
      <w:r w:rsidR="00783EFB">
        <w:t xml:space="preserve">their </w:t>
      </w:r>
      <w:r>
        <w:t>needs as evidenced by the numerous communications emanating from AANZFTA partners</w:t>
      </w:r>
      <w:r w:rsidR="00783EFB">
        <w:t>. These include:</w:t>
      </w:r>
      <w:r>
        <w:rPr>
          <w:rStyle w:val="FootnoteReference"/>
        </w:rPr>
        <w:footnoteReference w:id="72"/>
      </w:r>
    </w:p>
    <w:p w14:paraId="1724F93B" w14:textId="4A5E6FCB" w:rsidR="00530BA8" w:rsidRDefault="00783EFB" w:rsidP="00530BA8">
      <w:pPr>
        <w:pStyle w:val="ListParagraph"/>
        <w:numPr>
          <w:ilvl w:val="1"/>
          <w:numId w:val="32"/>
        </w:numPr>
        <w:spacing w:before="0" w:after="0"/>
        <w:contextualSpacing w:val="0"/>
      </w:pPr>
      <w:r w:rsidRPr="00AD2706">
        <w:t>statements from leaders and ministers meetings and related media rel</w:t>
      </w:r>
      <w:r w:rsidR="00530BA8" w:rsidRPr="00AD2706">
        <w:t>eases</w:t>
      </w:r>
    </w:p>
    <w:p w14:paraId="007A1DA9" w14:textId="0E6E0ACD" w:rsidR="00530BA8" w:rsidRDefault="00783EFB" w:rsidP="00530BA8">
      <w:pPr>
        <w:pStyle w:val="ListParagraph"/>
        <w:numPr>
          <w:ilvl w:val="1"/>
          <w:numId w:val="32"/>
        </w:numPr>
        <w:spacing w:before="0" w:after="0"/>
        <w:contextualSpacing w:val="0"/>
      </w:pPr>
      <w:r>
        <w:t>c</w:t>
      </w:r>
      <w:r w:rsidRPr="00AD2706">
        <w:t xml:space="preserve">abled </w:t>
      </w:r>
      <w:r w:rsidR="00530BA8" w:rsidRPr="00AD2706">
        <w:t xml:space="preserve">reporting on AANZFTA </w:t>
      </w:r>
      <w:r w:rsidR="00546E38">
        <w:t xml:space="preserve">Economic Cooperation Work </w:t>
      </w:r>
      <w:r>
        <w:t>P</w:t>
      </w:r>
      <w:r w:rsidR="0045046A">
        <w:t>rogram</w:t>
      </w:r>
      <w:r w:rsidR="005856D4">
        <w:t xml:space="preserve"> </w:t>
      </w:r>
      <w:r w:rsidR="00530BA8" w:rsidRPr="00AD2706">
        <w:t>meetings of officials and other stakeholders</w:t>
      </w:r>
    </w:p>
    <w:p w14:paraId="67D08BF9" w14:textId="20874BC3" w:rsidR="00530BA8" w:rsidRDefault="00783EFB" w:rsidP="00530BA8">
      <w:pPr>
        <w:pStyle w:val="ListParagraph"/>
        <w:numPr>
          <w:ilvl w:val="1"/>
          <w:numId w:val="32"/>
        </w:numPr>
        <w:spacing w:before="0" w:after="0"/>
        <w:contextualSpacing w:val="0"/>
      </w:pPr>
      <w:r>
        <w:t>an e</w:t>
      </w:r>
      <w:r w:rsidRPr="00AD2706">
        <w:t xml:space="preserve">xtract </w:t>
      </w:r>
      <w:r w:rsidR="00530BA8" w:rsidRPr="00AD2706">
        <w:t xml:space="preserve">from the </w:t>
      </w:r>
      <w:r w:rsidR="00530BA8">
        <w:t xml:space="preserve">2012 </w:t>
      </w:r>
      <w:r w:rsidR="00530BA8" w:rsidRPr="00AD2706">
        <w:t>Australia in the Asian Century</w:t>
      </w:r>
      <w:r w:rsidR="00530BA8">
        <w:t xml:space="preserve"> </w:t>
      </w:r>
      <w:r w:rsidR="00530BA8" w:rsidRPr="00AD2706">
        <w:t>White Paper</w:t>
      </w:r>
      <w:r w:rsidR="00530BA8">
        <w:t>.</w:t>
      </w:r>
    </w:p>
    <w:p w14:paraId="4696B669" w14:textId="13D215A7" w:rsidR="00530BA8" w:rsidRDefault="00530BA8" w:rsidP="00530BA8">
      <w:pPr>
        <w:pStyle w:val="BodyText"/>
      </w:pPr>
      <w:r>
        <w:lastRenderedPageBreak/>
        <w:t xml:space="preserve">Weaknesses of the AECSP </w:t>
      </w:r>
      <w:r w:rsidR="001827E7">
        <w:t>monitoring and evaluation</w:t>
      </w:r>
      <w:r>
        <w:t xml:space="preserve"> methodology </w:t>
      </w:r>
      <w:r w:rsidR="002F6A65">
        <w:t>are as follows</w:t>
      </w:r>
      <w:r>
        <w:t>:</w:t>
      </w:r>
    </w:p>
    <w:p w14:paraId="1EE0AF1E" w14:textId="05CE37A4" w:rsidR="00530BA8" w:rsidRDefault="00530BA8" w:rsidP="00530BA8">
      <w:pPr>
        <w:pStyle w:val="ListParagraph"/>
        <w:numPr>
          <w:ilvl w:val="0"/>
          <w:numId w:val="33"/>
        </w:numPr>
        <w:spacing w:after="0"/>
      </w:pPr>
      <w:r>
        <w:t xml:space="preserve">Uptake and traction of AECSP monitoring and evaluation was slow during the first two years of the </w:t>
      </w:r>
      <w:r w:rsidR="0045046A">
        <w:t>program</w:t>
      </w:r>
      <w:r>
        <w:t>.</w:t>
      </w:r>
      <w:r w:rsidR="005856D4">
        <w:t xml:space="preserve"> </w:t>
      </w:r>
      <w:r>
        <w:t xml:space="preserve">In many ways this reflected overall </w:t>
      </w:r>
      <w:r w:rsidR="0045046A">
        <w:t>program</w:t>
      </w:r>
      <w:r>
        <w:t xml:space="preserve"> progress during the initial phase of AECSP.</w:t>
      </w:r>
      <w:r w:rsidR="005856D4">
        <w:t xml:space="preserve"> </w:t>
      </w:r>
      <w:r>
        <w:t xml:space="preserve">Clearly it was important to mobilise technical and capacity development initiatives </w:t>
      </w:r>
      <w:r w:rsidR="002F6A65">
        <w:t>to help</w:t>
      </w:r>
      <w:r>
        <w:t xml:space="preserve"> operationalis</w:t>
      </w:r>
      <w:r w:rsidR="002F6A65">
        <w:t xml:space="preserve">e </w:t>
      </w:r>
      <w:r>
        <w:t>AANZFTA and stakeholders focused resources to achieve this.</w:t>
      </w:r>
      <w:r w:rsidR="005856D4">
        <w:t xml:space="preserve"> </w:t>
      </w:r>
      <w:r>
        <w:t>As a result, development and implementation of the AECSP management and evaluation framework suffered</w:t>
      </w:r>
      <w:r w:rsidR="002F6A65">
        <w:t>.</w:t>
      </w:r>
      <w:r>
        <w:rPr>
          <w:rStyle w:val="FootnoteReference"/>
        </w:rPr>
        <w:footnoteReference w:id="73"/>
      </w:r>
      <w:r>
        <w:t xml:space="preserve"> This slowed down the </w:t>
      </w:r>
      <w:r w:rsidR="0045046A">
        <w:t>program</w:t>
      </w:r>
      <w:r>
        <w:t>’s ability to monitor and report on impacts and results at the activity level.</w:t>
      </w:r>
    </w:p>
    <w:p w14:paraId="2CAAC4A0" w14:textId="6211D36D" w:rsidR="00530BA8" w:rsidRDefault="00530BA8" w:rsidP="00530BA8">
      <w:pPr>
        <w:pStyle w:val="ListParagraph"/>
        <w:numPr>
          <w:ilvl w:val="0"/>
          <w:numId w:val="33"/>
        </w:numPr>
        <w:spacing w:after="0"/>
      </w:pPr>
      <w:r>
        <w:t xml:space="preserve">The design (perhaps) assumed all partners and stakeholders had similar perceptions and assigned the same priority towards </w:t>
      </w:r>
      <w:r w:rsidR="001827E7">
        <w:t>monitoring and evaluation</w:t>
      </w:r>
      <w:r>
        <w:t xml:space="preserve"> methodologies and application.</w:t>
      </w:r>
      <w:r w:rsidR="005856D4">
        <w:t xml:space="preserve"> </w:t>
      </w:r>
      <w:r>
        <w:t xml:space="preserve">AusAID has a strong institutional and accountability obligation to ensure all funded activities are monitored and evaluated to a </w:t>
      </w:r>
      <w:r w:rsidR="002F6A65">
        <w:t>well-</w:t>
      </w:r>
      <w:r>
        <w:t>defined quality standard</w:t>
      </w:r>
      <w:r w:rsidR="002F6A65">
        <w:t>.</w:t>
      </w:r>
      <w:r>
        <w:rPr>
          <w:rStyle w:val="FootnoteReference"/>
        </w:rPr>
        <w:footnoteReference w:id="74"/>
      </w:r>
      <w:r>
        <w:t xml:space="preserve"> Discussions with numerous </w:t>
      </w:r>
      <w:r w:rsidR="0045046A">
        <w:t>program</w:t>
      </w:r>
      <w:r>
        <w:t xml:space="preserve"> partners indicated that not all stakeholders ascribed the same understanding and commitment to </w:t>
      </w:r>
      <w:r w:rsidR="001827E7">
        <w:t>monitoring and evaluation</w:t>
      </w:r>
      <w:r>
        <w:t xml:space="preserve"> methodologies as AusAID, particularly during the initial phase of implementation.</w:t>
      </w:r>
      <w:r w:rsidR="005856D4">
        <w:t xml:space="preserve"> </w:t>
      </w:r>
      <w:r>
        <w:t xml:space="preserve">This resulted in some tension </w:t>
      </w:r>
      <w:r w:rsidR="002F6A65">
        <w:t>around</w:t>
      </w:r>
      <w:r>
        <w:t xml:space="preserve"> the prioritisation, implementation and management of </w:t>
      </w:r>
      <w:r w:rsidR="001827E7">
        <w:t>monitoring and evaluation</w:t>
      </w:r>
      <w:r>
        <w:t xml:space="preserve"> activities within AECSP.</w:t>
      </w:r>
      <w:r w:rsidR="005856D4">
        <w:t xml:space="preserve"> </w:t>
      </w:r>
      <w:r>
        <w:t xml:space="preserve">This issue has been further exacerbated by stakeholder capacity and capability to pursue </w:t>
      </w:r>
      <w:r w:rsidR="001827E7">
        <w:t>monitoring and evaluation</w:t>
      </w:r>
      <w:r>
        <w:t xml:space="preserve"> priorities across the </w:t>
      </w:r>
      <w:r w:rsidR="0045046A">
        <w:t>program</w:t>
      </w:r>
      <w:r>
        <w:t xml:space="preserve">. As the </w:t>
      </w:r>
      <w:r w:rsidR="0045046A">
        <w:t>program</w:t>
      </w:r>
      <w:r>
        <w:t xml:space="preserve"> has bedded down</w:t>
      </w:r>
      <w:r w:rsidR="002F6A65">
        <w:t>,</w:t>
      </w:r>
      <w:r>
        <w:t xml:space="preserve"> all stakeholders are now making a greater effort to contribute towards support of </w:t>
      </w:r>
      <w:r w:rsidR="001827E7">
        <w:t>monitoring and evaluation</w:t>
      </w:r>
      <w:r>
        <w:t xml:space="preserve"> priorities as outlined in the management and evaluation framework</w:t>
      </w:r>
      <w:r w:rsidR="002F6A65">
        <w:t>.</w:t>
      </w:r>
      <w:r>
        <w:rPr>
          <w:rStyle w:val="FootnoteReference"/>
        </w:rPr>
        <w:footnoteReference w:id="75"/>
      </w:r>
      <w:r>
        <w:t xml:space="preserve"> </w:t>
      </w:r>
    </w:p>
    <w:p w14:paraId="2E4606D7" w14:textId="48864606" w:rsidR="00530BA8" w:rsidRDefault="00530BA8" w:rsidP="00530BA8">
      <w:pPr>
        <w:pStyle w:val="ListParagraph"/>
        <w:numPr>
          <w:ilvl w:val="0"/>
          <w:numId w:val="33"/>
        </w:numPr>
        <w:spacing w:after="0"/>
      </w:pPr>
      <w:r>
        <w:t>High</w:t>
      </w:r>
      <w:r w:rsidR="001016D1">
        <w:t>-</w:t>
      </w:r>
      <w:r>
        <w:t>level outcomes are regularly reported upon and clearly understood and appreciated at the F</w:t>
      </w:r>
      <w:r w:rsidR="002F6A65">
        <w:t xml:space="preserve">ree Trade Agreement </w:t>
      </w:r>
      <w:r>
        <w:t>J</w:t>
      </w:r>
      <w:r w:rsidR="002F6A65">
        <w:t xml:space="preserve">oint </w:t>
      </w:r>
      <w:r>
        <w:t>C</w:t>
      </w:r>
      <w:r w:rsidR="002F6A65">
        <w:t>ommittee</w:t>
      </w:r>
      <w:r>
        <w:t xml:space="preserve"> and </w:t>
      </w:r>
      <w:r w:rsidR="002F6A65" w:rsidRPr="002F6A65">
        <w:t xml:space="preserve">Senior Economic Officials Meeting </w:t>
      </w:r>
      <w:r>
        <w:t>level.</w:t>
      </w:r>
      <w:r w:rsidR="005856D4">
        <w:t xml:space="preserve"> </w:t>
      </w:r>
      <w:r>
        <w:t xml:space="preserve">However lower level (verifiable) results necessary to satisfy AusAID </w:t>
      </w:r>
      <w:r w:rsidR="00C66CE0">
        <w:t>q</w:t>
      </w:r>
      <w:r w:rsidR="002F6A65">
        <w:t xml:space="preserve">uality at </w:t>
      </w:r>
      <w:r w:rsidR="00C66CE0">
        <w:t>i</w:t>
      </w:r>
      <w:r w:rsidR="002F6A65">
        <w:t xml:space="preserve">mplementation </w:t>
      </w:r>
      <w:r>
        <w:t xml:space="preserve">and </w:t>
      </w:r>
      <w:r w:rsidR="00FA23AA">
        <w:t xml:space="preserve">ASEAN </w:t>
      </w:r>
      <w:r w:rsidR="002F6A65">
        <w:t xml:space="preserve">Secretariat </w:t>
      </w:r>
      <w:r>
        <w:t>line management requirements appear inadequate, incomplete or simply under-reported at the moment</w:t>
      </w:r>
      <w:r w:rsidR="002F6A65">
        <w:t>.</w:t>
      </w:r>
      <w:r>
        <w:rPr>
          <w:rStyle w:val="FootnoteReference"/>
        </w:rPr>
        <w:footnoteReference w:id="76"/>
      </w:r>
      <w:r w:rsidR="005856D4">
        <w:t xml:space="preserve"> </w:t>
      </w:r>
      <w:r>
        <w:t>This is particularly the case at the activity level.</w:t>
      </w:r>
      <w:r w:rsidR="005856D4">
        <w:t xml:space="preserve"> </w:t>
      </w:r>
      <w:r>
        <w:t>This gap in information has resulted in:</w:t>
      </w:r>
    </w:p>
    <w:p w14:paraId="4F814257" w14:textId="0E195100" w:rsidR="00530BA8" w:rsidRDefault="002F6A65" w:rsidP="00530BA8">
      <w:pPr>
        <w:pStyle w:val="ListParagraph"/>
        <w:numPr>
          <w:ilvl w:val="1"/>
          <w:numId w:val="33"/>
        </w:numPr>
        <w:spacing w:after="0"/>
      </w:pPr>
      <w:r>
        <w:t xml:space="preserve">a </w:t>
      </w:r>
      <w:r w:rsidR="00530BA8">
        <w:t xml:space="preserve">lack of ‘results’ evidence being available to allow AusAID </w:t>
      </w:r>
      <w:r w:rsidR="00C66CE0">
        <w:t>q</w:t>
      </w:r>
      <w:r>
        <w:t xml:space="preserve">uality at </w:t>
      </w:r>
      <w:r w:rsidR="00C66CE0">
        <w:t>i</w:t>
      </w:r>
      <w:r>
        <w:t xml:space="preserve">mplementation </w:t>
      </w:r>
      <w:r w:rsidR="00530BA8">
        <w:t>activities to be completed appropriately.</w:t>
      </w:r>
      <w:r w:rsidR="005856D4">
        <w:t xml:space="preserve"> </w:t>
      </w:r>
      <w:r w:rsidR="00530BA8">
        <w:t xml:space="preserve">Clearly evidence and </w:t>
      </w:r>
      <w:r>
        <w:t xml:space="preserve">examples of </w:t>
      </w:r>
      <w:r w:rsidR="00530BA8">
        <w:t xml:space="preserve">results are available within </w:t>
      </w:r>
      <w:r w:rsidR="00C66CE0">
        <w:t xml:space="preserve">the </w:t>
      </w:r>
      <w:r w:rsidRPr="002F6A65">
        <w:t xml:space="preserve">AANZFTA Support Unit </w:t>
      </w:r>
      <w:r>
        <w:t xml:space="preserve">and </w:t>
      </w:r>
      <w:r w:rsidR="00FA23AA">
        <w:t xml:space="preserve">ASEAN </w:t>
      </w:r>
      <w:r>
        <w:t>Secretariat,</w:t>
      </w:r>
      <w:r w:rsidR="001016D1">
        <w:t xml:space="preserve"> h</w:t>
      </w:r>
      <w:r w:rsidR="00530BA8">
        <w:t xml:space="preserve">owever the current reporting process does not adequately communicate or convey the information in a way </w:t>
      </w:r>
      <w:r w:rsidR="001872F3">
        <w:t xml:space="preserve">that </w:t>
      </w:r>
      <w:r w:rsidR="00530BA8">
        <w:t xml:space="preserve">allows the </w:t>
      </w:r>
      <w:r w:rsidR="00C66CE0">
        <w:t>q</w:t>
      </w:r>
      <w:r>
        <w:t xml:space="preserve">uality at </w:t>
      </w:r>
      <w:r w:rsidR="00C66CE0">
        <w:t>i</w:t>
      </w:r>
      <w:r>
        <w:t>mplementation</w:t>
      </w:r>
      <w:r w:rsidDel="002F6A65">
        <w:t xml:space="preserve"> </w:t>
      </w:r>
      <w:r w:rsidR="00530BA8">
        <w:t>process to be carried out appropriately in Canberra.</w:t>
      </w:r>
      <w:r w:rsidR="005856D4">
        <w:t xml:space="preserve"> </w:t>
      </w:r>
      <w:r w:rsidR="00530BA8">
        <w:t xml:space="preserve">This issue is (perhaps) further exacerbated by the fact that the AusAID </w:t>
      </w:r>
      <w:r w:rsidR="001872F3">
        <w:t>q</w:t>
      </w:r>
      <w:r>
        <w:t xml:space="preserve">uality at </w:t>
      </w:r>
      <w:r w:rsidR="001872F3">
        <w:t>i</w:t>
      </w:r>
      <w:r>
        <w:t>mplementation</w:t>
      </w:r>
      <w:r w:rsidDel="002F6A65">
        <w:t xml:space="preserve"> </w:t>
      </w:r>
      <w:r w:rsidR="00530BA8">
        <w:t xml:space="preserve">process is managed from Canberra, whereas </w:t>
      </w:r>
      <w:r w:rsidR="0045046A">
        <w:t>program</w:t>
      </w:r>
      <w:r w:rsidR="00530BA8">
        <w:t xml:space="preserve"> management and implementation is decentralised through </w:t>
      </w:r>
      <w:r>
        <w:t xml:space="preserve">the AANZFTA Support Unit and </w:t>
      </w:r>
      <w:r w:rsidR="00FA23AA">
        <w:t xml:space="preserve">ASEAN </w:t>
      </w:r>
      <w:r>
        <w:t xml:space="preserve">Secretariat </w:t>
      </w:r>
    </w:p>
    <w:p w14:paraId="2CDAF473" w14:textId="3FC7D080" w:rsidR="00530BA8" w:rsidRDefault="002F6A65" w:rsidP="00530BA8">
      <w:pPr>
        <w:pStyle w:val="ListParagraph"/>
        <w:numPr>
          <w:ilvl w:val="1"/>
          <w:numId w:val="33"/>
        </w:numPr>
        <w:spacing w:after="0"/>
      </w:pPr>
      <w:r>
        <w:t xml:space="preserve">some </w:t>
      </w:r>
      <w:r w:rsidR="00530BA8">
        <w:t xml:space="preserve">tension within </w:t>
      </w:r>
      <w:r w:rsidR="00FA23AA">
        <w:t xml:space="preserve">ASEAN </w:t>
      </w:r>
      <w:r>
        <w:t>Secretariat on</w:t>
      </w:r>
      <w:r w:rsidR="00530BA8">
        <w:t xml:space="preserve"> the roles and responsibilities of desk officers when contributing and reporting on </w:t>
      </w:r>
      <w:r w:rsidR="0045046A">
        <w:t>program</w:t>
      </w:r>
      <w:r w:rsidR="00530BA8">
        <w:t xml:space="preserve"> activities.</w:t>
      </w:r>
      <w:r w:rsidR="005856D4">
        <w:t xml:space="preserve"> </w:t>
      </w:r>
      <w:r w:rsidR="00530BA8">
        <w:t xml:space="preserve">AANZFTA governance ensures strong regional/country ownership, management and </w:t>
      </w:r>
      <w:r w:rsidR="00530BA8">
        <w:lastRenderedPageBreak/>
        <w:t>implementation of initiatives.</w:t>
      </w:r>
      <w:r w:rsidR="005856D4">
        <w:t xml:space="preserve"> </w:t>
      </w:r>
      <w:r w:rsidR="00530BA8" w:rsidRPr="00980DB4">
        <w:t>However</w:t>
      </w:r>
      <w:r w:rsidR="00830F95" w:rsidRPr="00980DB4">
        <w:t xml:space="preserve"> </w:t>
      </w:r>
      <w:r w:rsidR="00FA23AA" w:rsidRPr="00980DB4">
        <w:t xml:space="preserve">ASEAN </w:t>
      </w:r>
      <w:r w:rsidR="00830F95" w:rsidRPr="00980DB4">
        <w:t xml:space="preserve">Secretariat </w:t>
      </w:r>
      <w:r w:rsidR="00530BA8" w:rsidRPr="00980DB4">
        <w:t xml:space="preserve">leadership is often not as well informed of the </w:t>
      </w:r>
      <w:r w:rsidR="0045046A" w:rsidRPr="00980DB4">
        <w:t>program</w:t>
      </w:r>
      <w:r w:rsidR="00530BA8" w:rsidRPr="00980DB4">
        <w:t xml:space="preserve"> </w:t>
      </w:r>
      <w:r w:rsidR="00980DB4" w:rsidRPr="00714B4B">
        <w:t>or</w:t>
      </w:r>
      <w:r w:rsidR="00980DB4" w:rsidRPr="00980DB4">
        <w:t xml:space="preserve"> </w:t>
      </w:r>
      <w:r w:rsidR="00980DB4" w:rsidRPr="00714B4B">
        <w:t xml:space="preserve">its links </w:t>
      </w:r>
      <w:r w:rsidR="00530BA8" w:rsidRPr="00980DB4">
        <w:t xml:space="preserve">to </w:t>
      </w:r>
      <w:r w:rsidR="00830F95" w:rsidRPr="00980DB4">
        <w:t>the</w:t>
      </w:r>
      <w:r w:rsidR="00FA23AA" w:rsidRPr="00980DB4">
        <w:t xml:space="preserve"> </w:t>
      </w:r>
      <w:r w:rsidR="001872F3" w:rsidRPr="00980DB4">
        <w:t>s</w:t>
      </w:r>
      <w:r w:rsidR="00830F95" w:rsidRPr="00980DB4">
        <w:t xml:space="preserve">ecretariat’s </w:t>
      </w:r>
      <w:r w:rsidR="00530BA8" w:rsidRPr="00980DB4">
        <w:t>core responsibilities.</w:t>
      </w:r>
      <w:r w:rsidR="005856D4">
        <w:t xml:space="preserve"> </w:t>
      </w:r>
      <w:r w:rsidR="00530BA8">
        <w:t>Some of the tensions are also attributed to bureaucratic delays in reporting within</w:t>
      </w:r>
      <w:r w:rsidR="004404DE">
        <w:t xml:space="preserve"> the</w:t>
      </w:r>
      <w:r w:rsidR="00530BA8">
        <w:t xml:space="preserve"> </w:t>
      </w:r>
      <w:r w:rsidR="00FA23AA">
        <w:t xml:space="preserve">ASEAN </w:t>
      </w:r>
      <w:r w:rsidR="00830F95">
        <w:t xml:space="preserve">Secretariat, for example </w:t>
      </w:r>
      <w:r w:rsidR="00530BA8">
        <w:t>activity completion reports (including travel reports) not being completed in a timely manner.</w:t>
      </w:r>
      <w:r w:rsidR="005856D4">
        <w:t xml:space="preserve"> </w:t>
      </w:r>
    </w:p>
    <w:p w14:paraId="66E0A861" w14:textId="7D036E6F" w:rsidR="00530BA8" w:rsidRDefault="00530BA8" w:rsidP="00530BA8">
      <w:pPr>
        <w:pStyle w:val="ListParagraph"/>
        <w:numPr>
          <w:ilvl w:val="0"/>
          <w:numId w:val="33"/>
        </w:numPr>
        <w:spacing w:after="0"/>
      </w:pPr>
      <w:r>
        <w:t>The design, and to some degree partners and stakeholders</w:t>
      </w:r>
      <w:r w:rsidR="00830F95">
        <w:t>,</w:t>
      </w:r>
      <w:r>
        <w:t xml:space="preserve"> appear to overestimate the ability </w:t>
      </w:r>
      <w:r w:rsidR="004404DE">
        <w:t>of</w:t>
      </w:r>
      <w:r>
        <w:t xml:space="preserve"> a program’s monitoring and evaluation framework to accurately monitor, as well as attribute, program outcomes to supported activities.</w:t>
      </w:r>
      <w:r w:rsidR="005856D4">
        <w:t xml:space="preserve"> </w:t>
      </w:r>
      <w:r>
        <w:t>At best the monitoring and evaluation framework will likely only be able to monitor and evaluate qualitative impacts.</w:t>
      </w:r>
      <w:r w:rsidR="005856D4">
        <w:t xml:space="preserve"> </w:t>
      </w:r>
      <w:r>
        <w:t>The level to which beneficiary impacts of AANZFTA can be attributed to AECSP will be problematic for the short to medium term</w:t>
      </w:r>
      <w:r w:rsidR="00830F95">
        <w:t>,</w:t>
      </w:r>
      <w:r>
        <w:t xml:space="preserve"> assuming AANZFTA is a sustainable entity.</w:t>
      </w:r>
      <w:r w:rsidR="005856D4">
        <w:t xml:space="preserve"> </w:t>
      </w:r>
      <w:r>
        <w:t xml:space="preserve">There is a need to dampen down </w:t>
      </w:r>
      <w:r w:rsidR="001827E7">
        <w:t>monitoring and evaluation</w:t>
      </w:r>
      <w:r>
        <w:t xml:space="preserve"> expectations aligned to the </w:t>
      </w:r>
      <w:r w:rsidR="0045046A">
        <w:t>program</w:t>
      </w:r>
      <w:r>
        <w:t>.</w:t>
      </w:r>
    </w:p>
    <w:p w14:paraId="53A891D0" w14:textId="07B08726" w:rsidR="00530BA8" w:rsidRDefault="00830F95" w:rsidP="00530BA8">
      <w:pPr>
        <w:pStyle w:val="ListParagraph"/>
        <w:numPr>
          <w:ilvl w:val="0"/>
          <w:numId w:val="33"/>
        </w:numPr>
        <w:spacing w:after="0"/>
      </w:pPr>
      <w:r>
        <w:t xml:space="preserve">While </w:t>
      </w:r>
      <w:r w:rsidR="00530BA8">
        <w:t xml:space="preserve">substantial efforts have been made to strengthen resourcing and implementation of the </w:t>
      </w:r>
      <w:r w:rsidR="0045046A">
        <w:t>program</w:t>
      </w:r>
      <w:r w:rsidR="00530BA8">
        <w:t>’s monitoring and evaluation framework.</w:t>
      </w:r>
      <w:r w:rsidR="005856D4">
        <w:t xml:space="preserve"> </w:t>
      </w:r>
      <w:r w:rsidR="00530BA8">
        <w:t>There are a number of performance areas which are still lacking:</w:t>
      </w:r>
    </w:p>
    <w:p w14:paraId="04EECD14" w14:textId="1CF2C7A3" w:rsidR="00530BA8" w:rsidRDefault="00530BA8" w:rsidP="00530BA8">
      <w:pPr>
        <w:pStyle w:val="ListParagraph"/>
        <w:numPr>
          <w:ilvl w:val="1"/>
          <w:numId w:val="33"/>
        </w:numPr>
        <w:spacing w:after="0"/>
      </w:pPr>
      <w:r>
        <w:t>Gender priorities are not integrated into the monitoring and evaluation framework. A greater effort could be made to ensure gender concerns are mainstreamed and addressed by the monitoring and evaluation framework.</w:t>
      </w:r>
      <w:r w:rsidR="005856D4">
        <w:t xml:space="preserve"> </w:t>
      </w:r>
      <w:r>
        <w:t>Examples to achieve this include ensuring gender priorities and outcomes are included for support in the project proposal template</w:t>
      </w:r>
      <w:r w:rsidR="00830F95">
        <w:t xml:space="preserve">, </w:t>
      </w:r>
      <w:r>
        <w:t>sponsoring</w:t>
      </w:r>
      <w:r w:rsidR="00830F95">
        <w:t xml:space="preserve"> </w:t>
      </w:r>
      <w:r>
        <w:t xml:space="preserve">or prescribing research/policy initiatives in support of gender equity priorities, and using exception reporting to continually highlight the lack of progress </w:t>
      </w:r>
      <w:r w:rsidR="00830F95">
        <w:t>on</w:t>
      </w:r>
      <w:r>
        <w:t xml:space="preserve"> support for gender initiatives.</w:t>
      </w:r>
    </w:p>
    <w:p w14:paraId="583E3D0C" w14:textId="302A27CD" w:rsidR="00530BA8" w:rsidRDefault="00830F95" w:rsidP="00530BA8">
      <w:pPr>
        <w:pStyle w:val="ListParagraph"/>
        <w:numPr>
          <w:ilvl w:val="1"/>
          <w:numId w:val="33"/>
        </w:numPr>
        <w:spacing w:after="0"/>
      </w:pPr>
      <w:r>
        <w:t>M</w:t>
      </w:r>
      <w:r w:rsidR="001827E7">
        <w:t>onitoring and evaluation</w:t>
      </w:r>
      <w:r w:rsidR="00530BA8">
        <w:t xml:space="preserve"> is intimately linked to communication and the use and application of lessons learned.</w:t>
      </w:r>
      <w:r w:rsidR="005856D4">
        <w:t xml:space="preserve"> </w:t>
      </w:r>
      <w:r w:rsidR="00530BA8">
        <w:t>The current monitoring and evaluation framework appears to have been established as a tool to report results, outputs and outcomes. However it is not interfaced with a communication or lessons learned strategy.</w:t>
      </w:r>
      <w:r w:rsidR="005856D4">
        <w:t xml:space="preserve"> </w:t>
      </w:r>
      <w:r w:rsidR="00530BA8">
        <w:t xml:space="preserve">A </w:t>
      </w:r>
      <w:r w:rsidR="0045046A">
        <w:t>program</w:t>
      </w:r>
      <w:r w:rsidR="00530BA8">
        <w:t xml:space="preserve"> communication strategy should be immediately developed which builds upon the </w:t>
      </w:r>
      <w:r w:rsidR="001827E7">
        <w:t>monitoring and evaluation</w:t>
      </w:r>
      <w:r w:rsidR="00530BA8">
        <w:t xml:space="preserve"> platform</w:t>
      </w:r>
      <w:r>
        <w:t>,</w:t>
      </w:r>
      <w:r w:rsidR="00530BA8">
        <w:t xml:space="preserve"> supports the dissemination of information to all stakeholders</w:t>
      </w:r>
      <w:r>
        <w:t>,</w:t>
      </w:r>
      <w:r w:rsidR="00530BA8">
        <w:t xml:space="preserve"> and communicates results and lessons learned beyond AECSP stakeholder groups. This should include strengthening and updating the AANZFTA website so it is accurate and relevant to the needs of partners</w:t>
      </w:r>
      <w:r>
        <w:t xml:space="preserve"> and </w:t>
      </w:r>
      <w:r w:rsidR="00530BA8">
        <w:t>stakeholders.</w:t>
      </w:r>
    </w:p>
    <w:p w14:paraId="66B8EBD2" w14:textId="45404AF1" w:rsidR="00530BA8" w:rsidRDefault="00530BA8" w:rsidP="00530BA8">
      <w:pPr>
        <w:pStyle w:val="ListParagraph"/>
        <w:numPr>
          <w:ilvl w:val="1"/>
          <w:numId w:val="33"/>
        </w:numPr>
        <w:spacing w:after="0"/>
      </w:pPr>
      <w:r>
        <w:t xml:space="preserve">Materials produced by the </w:t>
      </w:r>
      <w:r w:rsidR="0045046A">
        <w:t>program</w:t>
      </w:r>
      <w:r>
        <w:t xml:space="preserve"> appear to be of a high standard, </w:t>
      </w:r>
      <w:r w:rsidR="00830F95">
        <w:t>for example</w:t>
      </w:r>
      <w:r>
        <w:t xml:space="preserve"> the training materials produced as a result of the workshops on rules of origin.</w:t>
      </w:r>
      <w:r w:rsidR="005856D4">
        <w:t xml:space="preserve"> </w:t>
      </w:r>
      <w:r>
        <w:t xml:space="preserve">However little qualitative or quantitative information </w:t>
      </w:r>
      <w:r w:rsidR="00830F95">
        <w:t>on</w:t>
      </w:r>
      <w:r>
        <w:t xml:space="preserve"> the development and production of these materials exists within the </w:t>
      </w:r>
      <w:r w:rsidR="0045046A">
        <w:t>program</w:t>
      </w:r>
      <w:r>
        <w:t>.</w:t>
      </w:r>
    </w:p>
    <w:p w14:paraId="5F3BB7CC" w14:textId="75AC6E3F" w:rsidR="00530BA8" w:rsidRDefault="00530BA8" w:rsidP="00530BA8">
      <w:pPr>
        <w:pStyle w:val="ListParagraph"/>
        <w:numPr>
          <w:ilvl w:val="1"/>
          <w:numId w:val="33"/>
        </w:numPr>
        <w:spacing w:after="0"/>
      </w:pPr>
      <w:r>
        <w:t xml:space="preserve">The monitoring and evaluation framework or </w:t>
      </w:r>
      <w:r w:rsidR="0045046A">
        <w:t>program</w:t>
      </w:r>
      <w:r>
        <w:t xml:space="preserve"> reporting does not adequately address the monitoring and evaluation of capacity development or financial management initiatives</w:t>
      </w:r>
      <w:r w:rsidR="00830F95">
        <w:t xml:space="preserve"> </w:t>
      </w:r>
      <w:r>
        <w:t xml:space="preserve">issues within and across </w:t>
      </w:r>
      <w:r w:rsidR="00830F95">
        <w:t xml:space="preserve">the </w:t>
      </w:r>
      <w:r w:rsidR="00FA23AA">
        <w:t xml:space="preserve">ASEAN </w:t>
      </w:r>
      <w:r w:rsidR="00830F95">
        <w:t>Secretariat</w:t>
      </w:r>
      <w:r>
        <w:t>.</w:t>
      </w:r>
      <w:r w:rsidR="005856D4">
        <w:t xml:space="preserve"> </w:t>
      </w:r>
      <w:r>
        <w:t xml:space="preserve">Additional efforts should be made to interpret and report upon the impact of internal </w:t>
      </w:r>
      <w:r w:rsidR="00FA23AA">
        <w:t xml:space="preserve">ASEAN </w:t>
      </w:r>
      <w:r w:rsidR="00830F95">
        <w:t>Secretariat</w:t>
      </w:r>
      <w:r>
        <w:t>/AANZFTA capacity development activities supported or sponsored by AECSP</w:t>
      </w:r>
      <w:r w:rsidR="00830F95">
        <w:t xml:space="preserve">. This includes </w:t>
      </w:r>
      <w:r>
        <w:t>the effectiveness</w:t>
      </w:r>
      <w:r w:rsidR="00830F95">
        <w:t xml:space="preserve"> and </w:t>
      </w:r>
      <w:r>
        <w:t xml:space="preserve">appropriateness of special service agreements, </w:t>
      </w:r>
      <w:r w:rsidR="00FA23AA">
        <w:t xml:space="preserve">ASEAN </w:t>
      </w:r>
      <w:r w:rsidR="00830F95">
        <w:t xml:space="preserve">Secretariat </w:t>
      </w:r>
      <w:r>
        <w:t>trust accounts, advisory</w:t>
      </w:r>
      <w:r w:rsidR="00830F95">
        <w:t xml:space="preserve"> </w:t>
      </w:r>
      <w:r>
        <w:t>services procurement processes, initiatives straddling across pillars</w:t>
      </w:r>
      <w:r w:rsidR="00830F95">
        <w:t xml:space="preserve">, </w:t>
      </w:r>
      <w:r>
        <w:t>outreach programs (including the AANZFTA website), and AANZFTA</w:t>
      </w:r>
      <w:r w:rsidR="005856D4">
        <w:t xml:space="preserve"> </w:t>
      </w:r>
      <w:r>
        <w:t>governance</w:t>
      </w:r>
      <w:r w:rsidR="00830F95">
        <w:t xml:space="preserve"> </w:t>
      </w:r>
      <w:r>
        <w:t>management systems.</w:t>
      </w:r>
    </w:p>
    <w:p w14:paraId="1106E527" w14:textId="14DF1455" w:rsidR="00530BA8" w:rsidRDefault="00530BA8" w:rsidP="00530BA8">
      <w:pPr>
        <w:pStyle w:val="ListParagraph"/>
        <w:numPr>
          <w:ilvl w:val="1"/>
          <w:numId w:val="33"/>
        </w:numPr>
        <w:spacing w:after="0"/>
      </w:pPr>
      <w:r>
        <w:t>Annual reporting.</w:t>
      </w:r>
      <w:r w:rsidR="005856D4">
        <w:t xml:space="preserve"> </w:t>
      </w:r>
      <w:r w:rsidR="00830F95">
        <w:t xml:space="preserve">While </w:t>
      </w:r>
      <w:r>
        <w:t>the program sponsors</w:t>
      </w:r>
      <w:r w:rsidR="00830F95">
        <w:t xml:space="preserve"> and </w:t>
      </w:r>
      <w:r>
        <w:t xml:space="preserve">supports substantial reporting practices, there is a need for a succinct and relevant annual report which summarises </w:t>
      </w:r>
      <w:r w:rsidR="0045046A">
        <w:t>program</w:t>
      </w:r>
      <w:r>
        <w:t xml:space="preserve"> results and </w:t>
      </w:r>
      <w:r w:rsidR="00830F95">
        <w:t>impacts</w:t>
      </w:r>
      <w:r>
        <w:t>.</w:t>
      </w:r>
      <w:r w:rsidR="005856D4">
        <w:t xml:space="preserve"> </w:t>
      </w:r>
      <w:r>
        <w:t>The annual report should be published and distributed or available to all stakeholders and beneficiaries.</w:t>
      </w:r>
    </w:p>
    <w:p w14:paraId="5091CD0D" w14:textId="0BBDB906" w:rsidR="00530BA8" w:rsidRDefault="00530BA8" w:rsidP="00530BA8">
      <w:pPr>
        <w:pStyle w:val="ListParagraph"/>
        <w:numPr>
          <w:ilvl w:val="1"/>
          <w:numId w:val="33"/>
        </w:numPr>
        <w:spacing w:after="0"/>
      </w:pPr>
      <w:r>
        <w:t xml:space="preserve">Even though variations to trade data amongst AANZFTA partners cannot be directly attributed to AECSP sponsored initiatives, it is important </w:t>
      </w:r>
      <w:r w:rsidR="00830F95">
        <w:t xml:space="preserve">that </w:t>
      </w:r>
      <w:r>
        <w:t>this data is collected and collated.</w:t>
      </w:r>
      <w:r w:rsidR="005856D4">
        <w:t xml:space="preserve"> </w:t>
      </w:r>
      <w:r>
        <w:t xml:space="preserve">The </w:t>
      </w:r>
      <w:r w:rsidR="0045046A">
        <w:t>program</w:t>
      </w:r>
      <w:r>
        <w:t xml:space="preserve"> should ensure resources and systems are in place to facilitate the collection and distribution of this data, particularly through AANZFTA outreach initiatives </w:t>
      </w:r>
      <w:r w:rsidR="00830F95">
        <w:t>such as</w:t>
      </w:r>
      <w:r>
        <w:t xml:space="preserve"> the website.</w:t>
      </w:r>
    </w:p>
    <w:p w14:paraId="04745B4B" w14:textId="428EC944" w:rsidR="00530BA8" w:rsidRPr="009155CD" w:rsidRDefault="00530BA8" w:rsidP="00530BA8">
      <w:pPr>
        <w:pStyle w:val="Heading4"/>
      </w:pPr>
      <w:r w:rsidRPr="009155CD">
        <w:lastRenderedPageBreak/>
        <w:t xml:space="preserve">The </w:t>
      </w:r>
      <w:r w:rsidR="00830F95">
        <w:t>f</w:t>
      </w:r>
      <w:r w:rsidRPr="009155CD">
        <w:t>uture</w:t>
      </w:r>
      <w:r w:rsidR="005856D4">
        <w:t xml:space="preserve"> </w:t>
      </w:r>
    </w:p>
    <w:p w14:paraId="7EDF117A" w14:textId="6C4EB53A" w:rsidR="00530BA8" w:rsidRDefault="00530BA8" w:rsidP="00530BA8">
      <w:pPr>
        <w:pStyle w:val="BodyText"/>
      </w:pPr>
      <w:r>
        <w:t xml:space="preserve">A </w:t>
      </w:r>
      <w:r w:rsidR="00230B67">
        <w:t xml:space="preserve">performance assessment framework </w:t>
      </w:r>
      <w:r>
        <w:t>facilitate</w:t>
      </w:r>
      <w:r w:rsidR="00230B67">
        <w:t>s</w:t>
      </w:r>
      <w:r>
        <w:t xml:space="preserve"> the collection of relevant data </w:t>
      </w:r>
      <w:r w:rsidR="00230B67">
        <w:t>and</w:t>
      </w:r>
      <w:r>
        <w:t xml:space="preserve"> </w:t>
      </w:r>
      <w:r w:rsidR="00230B67">
        <w:t xml:space="preserve">helps </w:t>
      </w:r>
      <w:r>
        <w:t>document and generat</w:t>
      </w:r>
      <w:r w:rsidR="00230B67">
        <w:t>e</w:t>
      </w:r>
      <w:r>
        <w:t xml:space="preserve"> information </w:t>
      </w:r>
      <w:r w:rsidR="00230B67">
        <w:t xml:space="preserve">and </w:t>
      </w:r>
      <w:r>
        <w:t>results of relevance to program stakeholders.</w:t>
      </w:r>
      <w:r w:rsidR="005856D4">
        <w:t xml:space="preserve"> </w:t>
      </w:r>
      <w:r>
        <w:t xml:space="preserve">The results will be used to evaluate outcomes and to monitor a program’s progress against </w:t>
      </w:r>
      <w:r w:rsidR="00230B67">
        <w:t>well-</w:t>
      </w:r>
      <w:r>
        <w:t>defined objectives.</w:t>
      </w:r>
      <w:r w:rsidR="005856D4">
        <w:t xml:space="preserve"> </w:t>
      </w:r>
      <w:r>
        <w:t>Results should also be used to expand our knowledge base and to learn for the future.</w:t>
      </w:r>
    </w:p>
    <w:p w14:paraId="4EAE6F3A" w14:textId="77777777" w:rsidR="00530BA8" w:rsidRDefault="00530BA8" w:rsidP="00530BA8">
      <w:pPr>
        <w:pStyle w:val="BodyText"/>
      </w:pPr>
      <w:r>
        <w:t>AANZFTA and AECSP will be further enhanced if its monitoring and evaluation framework is expanded to take into account the following:</w:t>
      </w:r>
    </w:p>
    <w:p w14:paraId="14EDF24B" w14:textId="25A94433" w:rsidR="00530BA8" w:rsidRDefault="00530BA8" w:rsidP="00530BA8">
      <w:pPr>
        <w:pStyle w:val="ListParagraph"/>
        <w:numPr>
          <w:ilvl w:val="0"/>
          <w:numId w:val="34"/>
        </w:numPr>
        <w:spacing w:after="0"/>
      </w:pPr>
      <w:r>
        <w:t>Active support of a program specific methodology</w:t>
      </w:r>
      <w:r w:rsidR="00230B67">
        <w:t>, that is</w:t>
      </w:r>
      <w:r>
        <w:t xml:space="preserve"> strategic work-</w:t>
      </w:r>
      <w:r w:rsidRPr="001872F3">
        <w:t>st</w:t>
      </w:r>
      <w:r w:rsidR="001872F3" w:rsidRPr="00714B4B">
        <w:t>r</w:t>
      </w:r>
      <w:r w:rsidRPr="001872F3">
        <w:t>eaming</w:t>
      </w:r>
      <w:r>
        <w:t xml:space="preserve"> which targets and supports organisational and institutional development within and across AANZFTA partners.</w:t>
      </w:r>
      <w:r w:rsidR="005856D4">
        <w:t xml:space="preserve"> </w:t>
      </w:r>
      <w:r>
        <w:t>To achieve this AECSP will need to develop and implement more enhanced methodologies for front and back end performance management strategies</w:t>
      </w:r>
      <w:r w:rsidR="00230B67">
        <w:t>––</w:t>
      </w:r>
      <w:r>
        <w:t>robust activity design and appraisal processes which fully integrate end of activity evaluation and reporting initiatives.</w:t>
      </w:r>
      <w:r w:rsidR="005856D4">
        <w:t xml:space="preserve"> </w:t>
      </w:r>
      <w:r>
        <w:t xml:space="preserve">Front end activities may require additional capacity development support for proponents and </w:t>
      </w:r>
      <w:r w:rsidR="00230B67">
        <w:t xml:space="preserve">the </w:t>
      </w:r>
      <w:r w:rsidR="00FA23AA">
        <w:t xml:space="preserve">ASEAN </w:t>
      </w:r>
      <w:r w:rsidR="00230B67">
        <w:t xml:space="preserve">Secretariat and </w:t>
      </w:r>
      <w:r w:rsidR="00230B67" w:rsidRPr="00230B67">
        <w:t>AANZFTA Support Unit</w:t>
      </w:r>
      <w:r>
        <w:t xml:space="preserve"> developing and assessing program/activity submissions. Strengthened back end performance management strategies will also result in enhanced lessons learned reporting, including the identification and publishing of appropriate case studies.</w:t>
      </w:r>
      <w:r w:rsidR="005856D4">
        <w:t xml:space="preserve"> </w:t>
      </w:r>
    </w:p>
    <w:p w14:paraId="0774E225" w14:textId="60ED140A" w:rsidR="00530BA8" w:rsidRDefault="00530BA8" w:rsidP="00530BA8">
      <w:pPr>
        <w:pStyle w:val="ListParagraph"/>
        <w:numPr>
          <w:ilvl w:val="0"/>
          <w:numId w:val="34"/>
        </w:numPr>
        <w:spacing w:after="0"/>
      </w:pPr>
      <w:r>
        <w:t>Enhanced communication methodologies have to be developed by AECSP</w:t>
      </w:r>
      <w:r w:rsidR="00230B67">
        <w:t xml:space="preserve"> and the </w:t>
      </w:r>
      <w:r w:rsidR="00230B67" w:rsidRPr="00230B67">
        <w:t>AANZFTA Support Unit</w:t>
      </w:r>
      <w:r>
        <w:t xml:space="preserve"> to ensure </w:t>
      </w:r>
      <w:r w:rsidR="001827E7">
        <w:t>monitoring and evaluation</w:t>
      </w:r>
      <w:r>
        <w:t xml:space="preserve"> results are better understood and appreciated by </w:t>
      </w:r>
      <w:r w:rsidR="0045046A">
        <w:t>program</w:t>
      </w:r>
      <w:r>
        <w:t xml:space="preserve"> stakeholders and beneficiaries.</w:t>
      </w:r>
      <w:r w:rsidR="005856D4">
        <w:t xml:space="preserve"> </w:t>
      </w:r>
      <w:r>
        <w:t>This will be addressed by developing a formal communication strategy as envisaged in the original design.</w:t>
      </w:r>
      <w:r w:rsidR="005856D4">
        <w:t xml:space="preserve"> </w:t>
      </w:r>
      <w:r>
        <w:t xml:space="preserve">Enhanced communication is particularly important to address issues associated with AusAID and </w:t>
      </w:r>
      <w:r w:rsidR="00FA23AA">
        <w:t xml:space="preserve">ASEAN </w:t>
      </w:r>
      <w:r w:rsidR="004A79BA">
        <w:t xml:space="preserve">Secretariat </w:t>
      </w:r>
      <w:r>
        <w:t>senior management requiring up-to-date and accurate results</w:t>
      </w:r>
      <w:r w:rsidR="004A79BA">
        <w:t xml:space="preserve"> and </w:t>
      </w:r>
      <w:r>
        <w:t xml:space="preserve">evidence based reporting on the </w:t>
      </w:r>
      <w:r w:rsidR="0045046A">
        <w:t>program</w:t>
      </w:r>
      <w:r>
        <w:t>’s progress.</w:t>
      </w:r>
      <w:r w:rsidR="005856D4">
        <w:t xml:space="preserve"> </w:t>
      </w:r>
      <w:r>
        <w:t xml:space="preserve">Communication and </w:t>
      </w:r>
      <w:r w:rsidR="0045046A">
        <w:t>program</w:t>
      </w:r>
      <w:r>
        <w:t xml:space="preserve"> monitoring will be further improved as a result of strengthening engagement with </w:t>
      </w:r>
      <w:r w:rsidR="00FA23AA">
        <w:t xml:space="preserve">ASEAN </w:t>
      </w:r>
      <w:r w:rsidR="004A79BA">
        <w:t xml:space="preserve">Secretariat </w:t>
      </w:r>
      <w:r>
        <w:t>leadership</w:t>
      </w:r>
      <w:r w:rsidR="004A79BA">
        <w:t xml:space="preserve">, which is </w:t>
      </w:r>
      <w:r>
        <w:t xml:space="preserve">likely </w:t>
      </w:r>
      <w:r w:rsidR="004A79BA">
        <w:t xml:space="preserve">to </w:t>
      </w:r>
      <w:r>
        <w:t xml:space="preserve">be enhanced if AusAID devolves </w:t>
      </w:r>
      <w:r w:rsidR="0045046A">
        <w:t>program</w:t>
      </w:r>
      <w:r>
        <w:t xml:space="preserve"> management to Jakarta.</w:t>
      </w:r>
    </w:p>
    <w:p w14:paraId="2A145014" w14:textId="6400EA9F" w:rsidR="00530BA8" w:rsidRDefault="00530BA8" w:rsidP="00530BA8">
      <w:pPr>
        <w:pStyle w:val="ListParagraph"/>
        <w:numPr>
          <w:ilvl w:val="0"/>
          <w:numId w:val="34"/>
        </w:numPr>
        <w:spacing w:after="0"/>
      </w:pPr>
      <w:r>
        <w:t>Program reporting and learning will be further enhanced if all AECSP’s reports are used to contribute towards the production of a consolidated, results focused annual review report.</w:t>
      </w:r>
      <w:r w:rsidR="005856D4">
        <w:t xml:space="preserve"> </w:t>
      </w:r>
      <w:r>
        <w:t xml:space="preserve">This should be a succinct document which focuses on </w:t>
      </w:r>
      <w:r w:rsidR="0045046A">
        <w:t>program</w:t>
      </w:r>
      <w:r>
        <w:t xml:space="preserve"> quality and results using evidence</w:t>
      </w:r>
      <w:r w:rsidR="004A79BA">
        <w:t xml:space="preserve"> and </w:t>
      </w:r>
      <w:r>
        <w:t xml:space="preserve">results based reporting aligned to </w:t>
      </w:r>
      <w:r w:rsidR="00546E38">
        <w:t xml:space="preserve">Economic Cooperation Work </w:t>
      </w:r>
      <w:r w:rsidR="004A79BA">
        <w:t>P</w:t>
      </w:r>
      <w:r w:rsidR="0045046A">
        <w:t>rogram</w:t>
      </w:r>
      <w:r w:rsidR="005856D4">
        <w:t xml:space="preserve"> </w:t>
      </w:r>
      <w:r>
        <w:t>targets.</w:t>
      </w:r>
      <w:r w:rsidR="005856D4">
        <w:t xml:space="preserve"> </w:t>
      </w:r>
      <w:r>
        <w:t>The report should be published and distributed to key partners, stakeholders and beneficiaries</w:t>
      </w:r>
      <w:r w:rsidR="004A79BA">
        <w:t xml:space="preserve">, and </w:t>
      </w:r>
      <w:r>
        <w:t>should also be available on the AANZFTA website. Case studies highlighted or identified by the annual reporting process should also be published on the AANZFTA website.</w:t>
      </w:r>
    </w:p>
    <w:p w14:paraId="6850D04D" w14:textId="215253B2" w:rsidR="00530BA8" w:rsidRDefault="00530BA8" w:rsidP="00530BA8">
      <w:pPr>
        <w:pStyle w:val="ListParagraph"/>
        <w:numPr>
          <w:ilvl w:val="0"/>
          <w:numId w:val="34"/>
        </w:numPr>
        <w:spacing w:after="0"/>
      </w:pPr>
      <w:r>
        <w:t>AECSP must continue to look for</w:t>
      </w:r>
      <w:r w:rsidR="004404DE">
        <w:t xml:space="preserve"> feasible and creditable </w:t>
      </w:r>
      <w:r>
        <w:t xml:space="preserve">opportunities to enhance gender equity awareness and </w:t>
      </w:r>
      <w:r w:rsidR="004A79BA">
        <w:t xml:space="preserve">reinforce this through </w:t>
      </w:r>
      <w:r w:rsidR="0045046A">
        <w:t>program</w:t>
      </w:r>
      <w:r w:rsidR="004A79BA">
        <w:t>-</w:t>
      </w:r>
      <w:r>
        <w:t>supported activities.</w:t>
      </w:r>
      <w:r w:rsidR="005856D4">
        <w:t xml:space="preserve"> </w:t>
      </w:r>
      <w:r w:rsidR="004A79BA">
        <w:t>T</w:t>
      </w:r>
      <w:r>
        <w:t>his is challenging in a demand driven ASEAN context</w:t>
      </w:r>
      <w:r w:rsidR="00A92B40">
        <w:t xml:space="preserve">. However </w:t>
      </w:r>
      <w:r>
        <w:t xml:space="preserve">proactive (supply driven) initiatives can be supported by prescribing gender considerations during activity design and analysis, </w:t>
      </w:r>
      <w:r w:rsidR="004A79BA">
        <w:t>that is</w:t>
      </w:r>
      <w:r>
        <w:t xml:space="preserve"> encouraging </w:t>
      </w:r>
      <w:r w:rsidR="004A79BA">
        <w:t xml:space="preserve">or </w:t>
      </w:r>
      <w:r>
        <w:t xml:space="preserve">requiring activity proponents to consider and account for gender considerations when seeking support and funding </w:t>
      </w:r>
      <w:r w:rsidR="004A79BA">
        <w:t xml:space="preserve">of </w:t>
      </w:r>
      <w:r>
        <w:t>program sponsored activities</w:t>
      </w:r>
      <w:r w:rsidR="004A79BA">
        <w:t xml:space="preserve"> and </w:t>
      </w:r>
      <w:r>
        <w:t>projects.</w:t>
      </w:r>
      <w:r w:rsidR="005856D4">
        <w:t xml:space="preserve"> </w:t>
      </w:r>
      <w:r w:rsidR="004A79BA">
        <w:t>T</w:t>
      </w:r>
      <w:r>
        <w:t>his will have increased traction if targeted through country and sector specific activities.</w:t>
      </w:r>
      <w:r w:rsidR="005856D4">
        <w:t xml:space="preserve"> </w:t>
      </w:r>
      <w:r>
        <w:t xml:space="preserve">The project proposal template should be adapted to take into account </w:t>
      </w:r>
      <w:r w:rsidR="0045046A">
        <w:t>program</w:t>
      </w:r>
      <w:r>
        <w:t xml:space="preserve"> specific gender opportunities and considerations.</w:t>
      </w:r>
      <w:r w:rsidR="005856D4">
        <w:t xml:space="preserve"> </w:t>
      </w:r>
      <w:r w:rsidR="004A79BA">
        <w:t xml:space="preserve">The </w:t>
      </w:r>
      <w:r w:rsidR="004A79BA" w:rsidRPr="00230B67">
        <w:t>AANZFTA Support Unit</w:t>
      </w:r>
      <w:r w:rsidR="004A79BA">
        <w:t xml:space="preserve"> and </w:t>
      </w:r>
      <w:r w:rsidR="00FA23AA">
        <w:t xml:space="preserve">ASEAN </w:t>
      </w:r>
      <w:r w:rsidR="004A79BA">
        <w:t xml:space="preserve">Secretariat </w:t>
      </w:r>
      <w:r>
        <w:t>may need additional support to enhance their capacity to progress this agenda.</w:t>
      </w:r>
    </w:p>
    <w:p w14:paraId="7F540D49" w14:textId="0461CE6A" w:rsidR="00530BA8" w:rsidRDefault="00530BA8" w:rsidP="00530BA8">
      <w:pPr>
        <w:pStyle w:val="ListParagraph"/>
        <w:numPr>
          <w:ilvl w:val="0"/>
          <w:numId w:val="34"/>
        </w:numPr>
        <w:spacing w:after="0"/>
      </w:pPr>
      <w:r>
        <w:t>AECSP is a parallel program to the AusAID supported ASEAN Australia Development Cooperation Program II.</w:t>
      </w:r>
      <w:r w:rsidR="005856D4">
        <w:t xml:space="preserve"> </w:t>
      </w:r>
      <w:r>
        <w:t xml:space="preserve">Significant </w:t>
      </w:r>
      <w:r w:rsidR="00A97D57">
        <w:t xml:space="preserve">synergies </w:t>
      </w:r>
      <w:r>
        <w:t xml:space="preserve">and </w:t>
      </w:r>
      <w:r w:rsidR="00A97D57">
        <w:t xml:space="preserve">opportunities </w:t>
      </w:r>
      <w:r>
        <w:t>exist for the two programs to interface with each other resulting in increased development effectiveness and efficiency.</w:t>
      </w:r>
      <w:r w:rsidR="005856D4">
        <w:t xml:space="preserve"> </w:t>
      </w:r>
      <w:r>
        <w:t>Both programs should continue to work together to ensure operational efficiencies are maximised by collaborative programming and targeted outcomes.</w:t>
      </w:r>
      <w:r w:rsidR="005856D4">
        <w:t xml:space="preserve"> </w:t>
      </w:r>
      <w:r>
        <w:t xml:space="preserve">Increased synergy and efficiency will likely result if AusAID devolves AECSP program management to Jakarta, as is the case for </w:t>
      </w:r>
      <w:r w:rsidR="004A79BA">
        <w:t xml:space="preserve">ASEAN Australia Development Cooperation Program </w:t>
      </w:r>
      <w:r>
        <w:t>II.</w:t>
      </w:r>
    </w:p>
    <w:p w14:paraId="568E9843" w14:textId="77777777" w:rsidR="00530BA8" w:rsidRPr="00034728" w:rsidRDefault="00530BA8" w:rsidP="00530BA8">
      <w:pPr>
        <w:pStyle w:val="Heading4"/>
      </w:pPr>
      <w:r w:rsidRPr="00034728">
        <w:lastRenderedPageBreak/>
        <w:t>Conclusion</w:t>
      </w:r>
    </w:p>
    <w:p w14:paraId="7C1FC0B5" w14:textId="0149278C" w:rsidR="001F0ECA" w:rsidRDefault="00530BA8" w:rsidP="00530BA8">
      <w:pPr>
        <w:pStyle w:val="BodyText"/>
      </w:pPr>
      <w:r>
        <w:t>Whil</w:t>
      </w:r>
      <w:r w:rsidR="004A79BA">
        <w:t xml:space="preserve">e </w:t>
      </w:r>
      <w:r>
        <w:t xml:space="preserve">initial AANZFTA </w:t>
      </w:r>
      <w:r w:rsidR="001827E7">
        <w:t>monitoring and evaluation</w:t>
      </w:r>
      <w:r>
        <w:t xml:space="preserve"> traction has been slow, AECSP has made progress in recent times </w:t>
      </w:r>
      <w:r w:rsidR="004A79BA">
        <w:t>on</w:t>
      </w:r>
      <w:r>
        <w:t xml:space="preserve"> the management and implementation of its monitoring and evaluation framework</w:t>
      </w:r>
      <w:r w:rsidR="004A79BA">
        <w:t>.</w:t>
      </w:r>
      <w:r>
        <w:rPr>
          <w:rStyle w:val="FootnoteReference"/>
        </w:rPr>
        <w:footnoteReference w:id="77"/>
      </w:r>
      <w:r w:rsidR="005856D4">
        <w:t xml:space="preserve"> </w:t>
      </w:r>
      <w:r>
        <w:t>All stakeholders must continue to work together to facilitate the input, collection, management and publication of creditable results</w:t>
      </w:r>
      <w:r w:rsidR="004A79BA">
        <w:t xml:space="preserve"> and </w:t>
      </w:r>
      <w:r>
        <w:t>evidence</w:t>
      </w:r>
      <w:r w:rsidR="004404DE">
        <w:t>-</w:t>
      </w:r>
      <w:r>
        <w:t>based reports.</w:t>
      </w:r>
    </w:p>
    <w:p w14:paraId="7F1BC357" w14:textId="77777777" w:rsidR="00530BA8" w:rsidRDefault="00530BA8" w:rsidP="00530BA8">
      <w:pPr>
        <w:pStyle w:val="Heading1"/>
        <w:sectPr w:rsidR="00530BA8" w:rsidSect="009E068C">
          <w:pgSz w:w="11900" w:h="16840" w:code="9"/>
          <w:pgMar w:top="1440" w:right="1797" w:bottom="1440" w:left="1701" w:header="567" w:footer="431" w:gutter="0"/>
          <w:cols w:space="708"/>
        </w:sectPr>
      </w:pPr>
    </w:p>
    <w:p w14:paraId="6721E8C0" w14:textId="78908700" w:rsidR="00530BA8" w:rsidRDefault="00530BA8" w:rsidP="00530BA8">
      <w:pPr>
        <w:pStyle w:val="Heading1"/>
      </w:pPr>
      <w:bookmarkStart w:id="11" w:name="_Toc229924888"/>
      <w:r w:rsidRPr="003C2B9F">
        <w:lastRenderedPageBreak/>
        <w:t xml:space="preserve">Appendix 5: AANZFTA </w:t>
      </w:r>
      <w:r w:rsidR="002608BF" w:rsidRPr="003C2B9F">
        <w:t xml:space="preserve">capacity </w:t>
      </w:r>
      <w:bookmarkEnd w:id="11"/>
      <w:r w:rsidR="002608BF" w:rsidRPr="003C2B9F">
        <w:t>development</w:t>
      </w:r>
    </w:p>
    <w:p w14:paraId="1AEAE93D" w14:textId="33581717" w:rsidR="00530BA8" w:rsidRPr="00D802CC" w:rsidRDefault="00530BA8" w:rsidP="00530BA8">
      <w:pPr>
        <w:pStyle w:val="Heading4"/>
      </w:pPr>
      <w:r>
        <w:t xml:space="preserve">A </w:t>
      </w:r>
      <w:r w:rsidR="002608BF">
        <w:t>definition and foundation principles</w:t>
      </w:r>
    </w:p>
    <w:p w14:paraId="41029AAF" w14:textId="07EAC81D" w:rsidR="00530BA8" w:rsidRDefault="00530BA8" w:rsidP="00530BA8">
      <w:pPr>
        <w:pStyle w:val="BodyText"/>
      </w:pPr>
      <w:r w:rsidRPr="00273270">
        <w:t>In recent times there has been growing recognition that capacity development</w:t>
      </w:r>
      <w:r>
        <w:rPr>
          <w:rStyle w:val="FootnoteReference"/>
        </w:rPr>
        <w:footnoteReference w:id="78"/>
      </w:r>
      <w:r w:rsidRPr="00273270">
        <w:t xml:space="preserve"> is a multi-dimensional process that goes far beyond knowledge and skills transfer at the individual level</w:t>
      </w:r>
      <w:r>
        <w:t>.</w:t>
      </w:r>
      <w:r w:rsidR="005856D4">
        <w:t xml:space="preserve"> </w:t>
      </w:r>
      <w:r>
        <w:t xml:space="preserve">Capacity development should </w:t>
      </w:r>
      <w:r w:rsidRPr="00273270">
        <w:t>embrace whole organisations, sectors and systems, and the culture and context in which they all exist.</w:t>
      </w:r>
      <w:r w:rsidR="005856D4">
        <w:t xml:space="preserve"> </w:t>
      </w:r>
    </w:p>
    <w:p w14:paraId="1BF4F708" w14:textId="550BBE33" w:rsidR="00530BA8" w:rsidRDefault="00530BA8" w:rsidP="00530BA8">
      <w:pPr>
        <w:pStyle w:val="BodyText"/>
      </w:pPr>
      <w:r>
        <w:t xml:space="preserve">AusAID’s accepted definition of capacity development is “the process of developing competencies and capabilities in individuals, groups, organisations, sectors or countries, which will lead to sustained and self-generating performance improvement”. This definition makes clear that capacity development is </w:t>
      </w:r>
      <w:r w:rsidRPr="009C56B9">
        <w:rPr>
          <w:b/>
        </w:rPr>
        <w:t>a process as well as an objective</w:t>
      </w:r>
      <w:r>
        <w:t xml:space="preserve"> – </w:t>
      </w:r>
      <w:r w:rsidRPr="00D8076A">
        <w:rPr>
          <w:i/>
        </w:rPr>
        <w:t>how</w:t>
      </w:r>
      <w:r>
        <w:t xml:space="preserve"> capacity development is undertaken will fundamentally influence how successful a program will be over time.</w:t>
      </w:r>
    </w:p>
    <w:p w14:paraId="1FB59E03" w14:textId="32905B5C" w:rsidR="00530BA8" w:rsidRDefault="00530BA8" w:rsidP="00530BA8">
      <w:pPr>
        <w:pStyle w:val="BodyText"/>
      </w:pPr>
      <w:r>
        <w:t>Good capacity development is premised upon a number of key principles</w:t>
      </w:r>
      <w:r w:rsidR="003C2B9F">
        <w:t>:</w:t>
      </w:r>
      <w:r>
        <w:rPr>
          <w:rStyle w:val="FootnoteReference"/>
        </w:rPr>
        <w:footnoteReference w:id="79"/>
      </w:r>
    </w:p>
    <w:p w14:paraId="157BA419" w14:textId="670DB33C" w:rsidR="00530BA8" w:rsidRPr="00437622" w:rsidRDefault="00530BA8" w:rsidP="00530BA8">
      <w:pPr>
        <w:pStyle w:val="List2"/>
        <w:numPr>
          <w:ilvl w:val="0"/>
          <w:numId w:val="42"/>
        </w:numPr>
      </w:pPr>
      <w:r>
        <w:t>Holistic framework – supported initiatives</w:t>
      </w:r>
      <w:r w:rsidRPr="00437622">
        <w:t xml:space="preserve"> must work within a multidimensional framework, </w:t>
      </w:r>
      <w:r w:rsidR="003C2B9F">
        <w:t>that is</w:t>
      </w:r>
      <w:r w:rsidRPr="00437622">
        <w:t xml:space="preserve"> all supported initiatives must take a multi-stakeholder approach to development.</w:t>
      </w:r>
    </w:p>
    <w:p w14:paraId="4352FFBD" w14:textId="13A1E455" w:rsidR="00530BA8" w:rsidRPr="00437622" w:rsidRDefault="00530BA8" w:rsidP="00530BA8">
      <w:pPr>
        <w:pStyle w:val="List2"/>
        <w:numPr>
          <w:ilvl w:val="0"/>
          <w:numId w:val="42"/>
        </w:numPr>
      </w:pPr>
      <w:r>
        <w:t>Participatory – initiatives</w:t>
      </w:r>
      <w:r w:rsidRPr="00437622">
        <w:t xml:space="preserve"> must be fully inclusive of all stakeholders. Stakeholders must own the process.</w:t>
      </w:r>
      <w:r w:rsidR="005856D4">
        <w:t xml:space="preserve"> </w:t>
      </w:r>
      <w:r>
        <w:t>Ideally supported initiatives should work within and use counterpart systems and personnel, and be fully transparent.</w:t>
      </w:r>
    </w:p>
    <w:p w14:paraId="6229D963" w14:textId="48CF218B" w:rsidR="00530BA8" w:rsidRPr="00437622" w:rsidRDefault="00530BA8" w:rsidP="00530BA8">
      <w:pPr>
        <w:pStyle w:val="List2"/>
        <w:numPr>
          <w:ilvl w:val="0"/>
          <w:numId w:val="42"/>
        </w:numPr>
      </w:pPr>
      <w:r w:rsidRPr="00437622">
        <w:rPr>
          <w:lang w:eastAsia="en-AU"/>
        </w:rPr>
        <w:t xml:space="preserve">Priorities </w:t>
      </w:r>
      <w:r w:rsidR="003C2B9F">
        <w:rPr>
          <w:lang w:eastAsia="en-AU"/>
        </w:rPr>
        <w:t>b</w:t>
      </w:r>
      <w:r w:rsidR="003C2B9F" w:rsidRPr="00437622">
        <w:rPr>
          <w:lang w:eastAsia="en-AU"/>
        </w:rPr>
        <w:t xml:space="preserve">ase </w:t>
      </w:r>
      <w:r w:rsidR="003C2B9F">
        <w:rPr>
          <w:lang w:eastAsia="en-AU"/>
        </w:rPr>
        <w:t>–</w:t>
      </w:r>
      <w:r w:rsidR="003C2B9F" w:rsidRPr="00437622">
        <w:rPr>
          <w:lang w:eastAsia="en-AU"/>
        </w:rPr>
        <w:t xml:space="preserve"> </w:t>
      </w:r>
      <w:r w:rsidRPr="00437622">
        <w:rPr>
          <w:lang w:eastAsia="en-AU"/>
        </w:rPr>
        <w:t>capacity development responds to local partners’ priorities and encourages</w:t>
      </w:r>
      <w:r>
        <w:rPr>
          <w:lang w:eastAsia="en-AU"/>
        </w:rPr>
        <w:t xml:space="preserve"> </w:t>
      </w:r>
      <w:r w:rsidRPr="00437622">
        <w:rPr>
          <w:lang w:eastAsia="en-AU"/>
        </w:rPr>
        <w:t xml:space="preserve">local ownership of development. </w:t>
      </w:r>
    </w:p>
    <w:p w14:paraId="7A85A219" w14:textId="77777777" w:rsidR="00530BA8" w:rsidRPr="00437622" w:rsidRDefault="00530BA8" w:rsidP="00530BA8">
      <w:pPr>
        <w:pStyle w:val="List2"/>
        <w:numPr>
          <w:ilvl w:val="0"/>
          <w:numId w:val="42"/>
        </w:numPr>
        <w:rPr>
          <w:lang w:eastAsia="en-AU"/>
        </w:rPr>
      </w:pPr>
      <w:r w:rsidRPr="00437622">
        <w:t xml:space="preserve">Result based – capacity development must encourage positive change that is articulated, planned and measurable. </w:t>
      </w:r>
    </w:p>
    <w:p w14:paraId="73A891F0" w14:textId="1DDCA2CD" w:rsidR="00530BA8" w:rsidRDefault="00530BA8" w:rsidP="00530BA8">
      <w:pPr>
        <w:pStyle w:val="List2"/>
        <w:numPr>
          <w:ilvl w:val="0"/>
          <w:numId w:val="42"/>
        </w:numPr>
        <w:rPr>
          <w:lang w:eastAsia="en-AU"/>
        </w:rPr>
      </w:pPr>
      <w:r w:rsidRPr="00437622">
        <w:t xml:space="preserve">Collaborative </w:t>
      </w:r>
      <w:r w:rsidR="003C2B9F">
        <w:t>–</w:t>
      </w:r>
      <w:r w:rsidR="003C2B9F" w:rsidRPr="00437622">
        <w:t xml:space="preserve"> </w:t>
      </w:r>
      <w:r w:rsidR="003C2B9F">
        <w:rPr>
          <w:lang w:eastAsia="en-AU"/>
        </w:rPr>
        <w:t>c</w:t>
      </w:r>
      <w:r w:rsidR="003C2B9F" w:rsidRPr="00437622">
        <w:rPr>
          <w:lang w:eastAsia="en-AU"/>
        </w:rPr>
        <w:t xml:space="preserve">apacity </w:t>
      </w:r>
      <w:r w:rsidRPr="00437622">
        <w:rPr>
          <w:lang w:eastAsia="en-AU"/>
        </w:rPr>
        <w:t xml:space="preserve">development requires the coordination of efforts by governments, </w:t>
      </w:r>
      <w:r w:rsidR="003C2B9F">
        <w:rPr>
          <w:lang w:eastAsia="en-AU"/>
        </w:rPr>
        <w:t>non-government organisations</w:t>
      </w:r>
      <w:r w:rsidRPr="00437622">
        <w:rPr>
          <w:lang w:eastAsia="en-AU"/>
        </w:rPr>
        <w:t>, the private sector and international agencies working in the sector.</w:t>
      </w:r>
    </w:p>
    <w:p w14:paraId="24F3A3F1" w14:textId="345E41E7" w:rsidR="00530BA8" w:rsidRPr="00437622" w:rsidRDefault="00530BA8" w:rsidP="00530BA8">
      <w:pPr>
        <w:pStyle w:val="List2"/>
        <w:numPr>
          <w:ilvl w:val="0"/>
          <w:numId w:val="42"/>
        </w:numPr>
      </w:pPr>
      <w:r w:rsidRPr="00437622">
        <w:t>Culturally situated – capacity development must respect the predominant values, cultures and incentive systems of the organi</w:t>
      </w:r>
      <w:r w:rsidR="00465C26">
        <w:t>s</w:t>
      </w:r>
      <w:r w:rsidRPr="00437622">
        <w:t>ations and people involved in the process.</w:t>
      </w:r>
    </w:p>
    <w:p w14:paraId="31E522DA" w14:textId="1F1313EF" w:rsidR="00530BA8" w:rsidRDefault="00530BA8" w:rsidP="00530BA8">
      <w:pPr>
        <w:pStyle w:val="List2"/>
        <w:numPr>
          <w:ilvl w:val="0"/>
          <w:numId w:val="42"/>
        </w:numPr>
        <w:rPr>
          <w:lang w:eastAsia="en-AU"/>
        </w:rPr>
      </w:pPr>
      <w:r w:rsidRPr="00437622">
        <w:rPr>
          <w:bCs/>
          <w:lang w:eastAsia="en-AU"/>
        </w:rPr>
        <w:t xml:space="preserve">Analytical </w:t>
      </w:r>
      <w:r w:rsidRPr="00437622">
        <w:rPr>
          <w:lang w:eastAsia="en-AU"/>
        </w:rPr>
        <w:t xml:space="preserve">– </w:t>
      </w:r>
      <w:r w:rsidR="003C2B9F">
        <w:rPr>
          <w:lang w:eastAsia="en-AU"/>
        </w:rPr>
        <w:t>c</w:t>
      </w:r>
      <w:r w:rsidR="003C2B9F" w:rsidRPr="00437622">
        <w:rPr>
          <w:lang w:eastAsia="en-AU"/>
        </w:rPr>
        <w:t xml:space="preserve">apacity </w:t>
      </w:r>
      <w:r w:rsidRPr="00437622">
        <w:rPr>
          <w:lang w:eastAsia="en-AU"/>
        </w:rPr>
        <w:t>development requires analytical thinking in the preparation of strategies for development.</w:t>
      </w:r>
    </w:p>
    <w:p w14:paraId="3E76D7EB" w14:textId="5BDA8665" w:rsidR="00530BA8" w:rsidRDefault="00530BA8" w:rsidP="00530BA8">
      <w:pPr>
        <w:pStyle w:val="List2"/>
        <w:numPr>
          <w:ilvl w:val="0"/>
          <w:numId w:val="42"/>
        </w:numPr>
        <w:rPr>
          <w:lang w:eastAsia="en-AU"/>
        </w:rPr>
      </w:pPr>
      <w:r w:rsidRPr="00437622">
        <w:rPr>
          <w:bCs/>
          <w:lang w:eastAsia="en-AU"/>
        </w:rPr>
        <w:t xml:space="preserve">Staged sequencing </w:t>
      </w:r>
      <w:r w:rsidRPr="00437622">
        <w:rPr>
          <w:lang w:eastAsia="en-AU"/>
        </w:rPr>
        <w:t xml:space="preserve">– </w:t>
      </w:r>
      <w:r w:rsidR="003C2B9F">
        <w:rPr>
          <w:lang w:eastAsia="en-AU"/>
        </w:rPr>
        <w:t>c</w:t>
      </w:r>
      <w:r w:rsidR="003C2B9F" w:rsidRPr="00437622">
        <w:rPr>
          <w:lang w:eastAsia="en-AU"/>
        </w:rPr>
        <w:t xml:space="preserve">apacity </w:t>
      </w:r>
      <w:r w:rsidRPr="00437622">
        <w:rPr>
          <w:lang w:eastAsia="en-AU"/>
        </w:rPr>
        <w:t>development supports an ongoing change and improvement process.</w:t>
      </w:r>
    </w:p>
    <w:p w14:paraId="70461A3A" w14:textId="0C990E06" w:rsidR="00530BA8" w:rsidRDefault="00530BA8" w:rsidP="00530BA8">
      <w:pPr>
        <w:pStyle w:val="List2"/>
        <w:numPr>
          <w:ilvl w:val="0"/>
          <w:numId w:val="42"/>
        </w:numPr>
      </w:pPr>
      <w:r w:rsidRPr="00437622">
        <w:rPr>
          <w:bCs/>
          <w:lang w:eastAsia="en-AU"/>
        </w:rPr>
        <w:t xml:space="preserve">Iterative </w:t>
      </w:r>
      <w:r w:rsidRPr="00437622">
        <w:rPr>
          <w:lang w:eastAsia="en-AU"/>
        </w:rPr>
        <w:t xml:space="preserve">– </w:t>
      </w:r>
      <w:r w:rsidR="003C2B9F">
        <w:rPr>
          <w:lang w:eastAsia="en-AU"/>
        </w:rPr>
        <w:t>c</w:t>
      </w:r>
      <w:r w:rsidR="003C2B9F" w:rsidRPr="00437622">
        <w:rPr>
          <w:lang w:eastAsia="en-AU"/>
        </w:rPr>
        <w:t xml:space="preserve">apacity </w:t>
      </w:r>
      <w:r w:rsidRPr="00437622">
        <w:rPr>
          <w:lang w:eastAsia="en-AU"/>
        </w:rPr>
        <w:t>development requires flexibility and creativity as well as allowance for trial and error to determine the best ways to achieve objectives.</w:t>
      </w:r>
    </w:p>
    <w:p w14:paraId="4C690454" w14:textId="66BBC4A2" w:rsidR="00530BA8" w:rsidRDefault="00530BA8" w:rsidP="00530BA8">
      <w:pPr>
        <w:pStyle w:val="List2"/>
        <w:numPr>
          <w:ilvl w:val="0"/>
          <w:numId w:val="42"/>
        </w:numPr>
      </w:pPr>
      <w:r w:rsidRPr="00437622">
        <w:rPr>
          <w:bCs/>
          <w:lang w:eastAsia="en-AU"/>
        </w:rPr>
        <w:t xml:space="preserve">Practical </w:t>
      </w:r>
      <w:r w:rsidRPr="00437622">
        <w:rPr>
          <w:lang w:eastAsia="en-AU"/>
        </w:rPr>
        <w:t xml:space="preserve">– </w:t>
      </w:r>
      <w:r w:rsidR="003C2B9F">
        <w:rPr>
          <w:lang w:eastAsia="en-AU"/>
        </w:rPr>
        <w:t>c</w:t>
      </w:r>
      <w:r w:rsidR="003C2B9F" w:rsidRPr="00437622">
        <w:rPr>
          <w:lang w:eastAsia="en-AU"/>
        </w:rPr>
        <w:t xml:space="preserve">apacity </w:t>
      </w:r>
      <w:r w:rsidRPr="00437622">
        <w:rPr>
          <w:lang w:eastAsia="en-AU"/>
        </w:rPr>
        <w:t>development initiatives need to be practical and modest.</w:t>
      </w:r>
    </w:p>
    <w:p w14:paraId="73D7DBA9" w14:textId="3C02A2A8" w:rsidR="00530BA8" w:rsidRDefault="00530BA8" w:rsidP="00530BA8">
      <w:pPr>
        <w:pStyle w:val="BodyText"/>
      </w:pPr>
      <w:r>
        <w:t xml:space="preserve">Where good capacity principles are employed in support of development initiatives, particularly within a </w:t>
      </w:r>
      <w:r w:rsidR="001427CC">
        <w:t>program</w:t>
      </w:r>
      <w:r>
        <w:t xml:space="preserve"> context, it is expected sustainable development outcomes will be achieved</w:t>
      </w:r>
      <w:r w:rsidR="003C2B9F">
        <w:t>.</w:t>
      </w:r>
      <w:r>
        <w:rPr>
          <w:rStyle w:val="FootnoteReference"/>
        </w:rPr>
        <w:footnoteReference w:id="80"/>
      </w:r>
    </w:p>
    <w:p w14:paraId="3B12D7BC" w14:textId="774C5332" w:rsidR="00530BA8" w:rsidRPr="004B74F3" w:rsidRDefault="00530BA8" w:rsidP="00530BA8">
      <w:pPr>
        <w:pStyle w:val="Heading4"/>
      </w:pPr>
      <w:r>
        <w:t xml:space="preserve">Capacity development and </w:t>
      </w:r>
      <w:r w:rsidR="00A97D57">
        <w:t>AANZFTA</w:t>
      </w:r>
      <w:r>
        <w:t>/</w:t>
      </w:r>
      <w:r w:rsidR="00A97D57" w:rsidRPr="004B74F3">
        <w:t>AECSP</w:t>
      </w:r>
    </w:p>
    <w:p w14:paraId="5CEB0C28" w14:textId="2C2CCEA2" w:rsidR="00530BA8" w:rsidRDefault="00530BA8" w:rsidP="00530BA8">
      <w:pPr>
        <w:pStyle w:val="BodyText"/>
      </w:pPr>
      <w:r>
        <w:t xml:space="preserve">AECSP was established as a direct result of ASEAN partners requesting </w:t>
      </w:r>
      <w:r w:rsidR="003C2B9F">
        <w:t xml:space="preserve">that </w:t>
      </w:r>
      <w:r>
        <w:t>Australia and New Zealand support development assistance during the implementation of AANZFTA.</w:t>
      </w:r>
      <w:r w:rsidR="005856D4">
        <w:t xml:space="preserve"> </w:t>
      </w:r>
      <w:r>
        <w:t xml:space="preserve">The </w:t>
      </w:r>
      <w:r>
        <w:lastRenderedPageBreak/>
        <w:t>AANZFTA/AECSP design is clearly founded upon many of the capacity development principles outlined above.</w:t>
      </w:r>
      <w:r w:rsidR="005856D4">
        <w:t xml:space="preserve"> </w:t>
      </w:r>
    </w:p>
    <w:p w14:paraId="403E3199" w14:textId="77777777" w:rsidR="00530BA8" w:rsidRDefault="00530BA8" w:rsidP="00530BA8">
      <w:pPr>
        <w:pStyle w:val="BodyText"/>
      </w:pPr>
      <w:r>
        <w:t>Good capacity development principles and practices supported by the AANZFTA/AECSP are clearly evidenced by:</w:t>
      </w:r>
    </w:p>
    <w:p w14:paraId="2D0196F8" w14:textId="5F589F49" w:rsidR="00530BA8" w:rsidRDefault="00DC1687" w:rsidP="00530BA8">
      <w:pPr>
        <w:pStyle w:val="ListParagraph"/>
        <w:numPr>
          <w:ilvl w:val="0"/>
          <w:numId w:val="43"/>
        </w:numPr>
        <w:spacing w:after="0"/>
      </w:pPr>
      <w:r>
        <w:t>a</w:t>
      </w:r>
      <w:r w:rsidR="00530BA8">
        <w:t xml:space="preserve"> multi-dimensional governance and management structure which is deeply embedded within the AANZFTA framework (Senior Economic Official Meeting – </w:t>
      </w:r>
      <w:r w:rsidR="003C2B9F" w:rsidRPr="003C2B9F">
        <w:t xml:space="preserve">Senior Economic Officials Meeting </w:t>
      </w:r>
      <w:r w:rsidR="00530BA8">
        <w:t>and F</w:t>
      </w:r>
      <w:r w:rsidR="003C2B9F">
        <w:t xml:space="preserve">ree Trade Agreement </w:t>
      </w:r>
      <w:r w:rsidR="00530BA8">
        <w:t>J</w:t>
      </w:r>
      <w:r w:rsidR="003C2B9F">
        <w:t xml:space="preserve">oint </w:t>
      </w:r>
      <w:r w:rsidR="00530BA8">
        <w:t>C</w:t>
      </w:r>
      <w:r w:rsidR="003C2B9F">
        <w:t>ommittee</w:t>
      </w:r>
      <w:r w:rsidR="00530BA8">
        <w:t xml:space="preserve">) ensures strong and active ownership of the </w:t>
      </w:r>
      <w:r w:rsidR="0045046A">
        <w:t>program</w:t>
      </w:r>
      <w:r w:rsidR="00530BA8">
        <w:t xml:space="preserve">. </w:t>
      </w:r>
    </w:p>
    <w:p w14:paraId="31098083" w14:textId="11173C5D" w:rsidR="00530BA8" w:rsidRDefault="00DC1687" w:rsidP="00DC1687">
      <w:pPr>
        <w:pStyle w:val="ListParagraph"/>
        <w:numPr>
          <w:ilvl w:val="0"/>
          <w:numId w:val="43"/>
        </w:numPr>
        <w:spacing w:after="0"/>
      </w:pPr>
      <w:r w:rsidRPr="00DC1687">
        <w:t xml:space="preserve">demand driven </w:t>
      </w:r>
      <w:r>
        <w:t>i</w:t>
      </w:r>
      <w:r w:rsidR="00530BA8">
        <w:t>nitiatives</w:t>
      </w:r>
      <w:r w:rsidR="008E0ED8">
        <w:t xml:space="preserve"> </w:t>
      </w:r>
      <w:r w:rsidR="003C2B9F">
        <w:t xml:space="preserve">that </w:t>
      </w:r>
      <w:r w:rsidR="008E0ED8">
        <w:t>are</w:t>
      </w:r>
      <w:r w:rsidR="00530BA8">
        <w:t xml:space="preserve"> fully participatory</w:t>
      </w:r>
      <w:r>
        <w:t>,</w:t>
      </w:r>
      <w:r w:rsidR="008E0ED8">
        <w:t xml:space="preserve"> </w:t>
      </w:r>
      <w:r w:rsidR="00530BA8">
        <w:t>aligned to partners’ priorities and needs</w:t>
      </w:r>
      <w:r>
        <w:t xml:space="preserve"> and </w:t>
      </w:r>
      <w:r w:rsidR="00530BA8">
        <w:t>direct</w:t>
      </w:r>
      <w:r>
        <w:t>ly</w:t>
      </w:r>
      <w:r w:rsidR="00530BA8">
        <w:t xml:space="preserve"> support AANZFTA implementation. </w:t>
      </w:r>
    </w:p>
    <w:p w14:paraId="5493E1F4" w14:textId="7E126583" w:rsidR="00530BA8" w:rsidRDefault="00530BA8" w:rsidP="00530BA8">
      <w:pPr>
        <w:pStyle w:val="ListParagraph"/>
        <w:numPr>
          <w:ilvl w:val="0"/>
          <w:numId w:val="43"/>
        </w:numPr>
        <w:spacing w:after="0"/>
      </w:pPr>
      <w:r>
        <w:t>AECSP respond</w:t>
      </w:r>
      <w:r w:rsidR="00445F64">
        <w:t>ing t</w:t>
      </w:r>
      <w:r>
        <w:t xml:space="preserve">o partners needs through the </w:t>
      </w:r>
      <w:r w:rsidR="003C2B9F" w:rsidRPr="003C2B9F">
        <w:t>AANZFTA Support Unit</w:t>
      </w:r>
      <w:r w:rsidR="008E0ED8">
        <w:t>,</w:t>
      </w:r>
      <w:r w:rsidR="003C2B9F" w:rsidRPr="003C2B9F">
        <w:t xml:space="preserve"> </w:t>
      </w:r>
      <w:r>
        <w:t xml:space="preserve">which is embedded within </w:t>
      </w:r>
      <w:r w:rsidR="00FA23AA">
        <w:t xml:space="preserve">ASEAN </w:t>
      </w:r>
      <w:r w:rsidR="003C2B9F">
        <w:t xml:space="preserve">Secretariat </w:t>
      </w:r>
      <w:r>
        <w:t xml:space="preserve">and accountable to AANZFTA partners through the </w:t>
      </w:r>
      <w:r w:rsidR="003C2B9F">
        <w:t>Free Trade Agreement Joint Committee</w:t>
      </w:r>
      <w:r>
        <w:t xml:space="preserve">. </w:t>
      </w:r>
    </w:p>
    <w:p w14:paraId="4850289A" w14:textId="2F96B09A" w:rsidR="00530BA8" w:rsidRDefault="00530BA8" w:rsidP="00530BA8">
      <w:pPr>
        <w:pStyle w:val="ListParagraph"/>
        <w:numPr>
          <w:ilvl w:val="0"/>
          <w:numId w:val="43"/>
        </w:numPr>
        <w:spacing w:after="0"/>
      </w:pPr>
      <w:r>
        <w:t xml:space="preserve">The </w:t>
      </w:r>
      <w:r w:rsidR="003C2B9F" w:rsidRPr="003C2B9F">
        <w:t xml:space="preserve">AANZFTA Support Unit </w:t>
      </w:r>
      <w:r>
        <w:t xml:space="preserve">also works within and reports to the </w:t>
      </w:r>
      <w:r w:rsidR="00FA23AA">
        <w:t xml:space="preserve">ASEAN </w:t>
      </w:r>
      <w:r w:rsidR="003C2B9F">
        <w:t xml:space="preserve">Secretariat </w:t>
      </w:r>
      <w:r>
        <w:t>hierarchy</w:t>
      </w:r>
      <w:r w:rsidR="003C2B9F">
        <w:t>,</w:t>
      </w:r>
      <w:r>
        <w:rPr>
          <w:rStyle w:val="FootnoteReference"/>
        </w:rPr>
        <w:footnoteReference w:id="81"/>
      </w:r>
      <w:r>
        <w:t xml:space="preserve"> working closely with desk officers and using </w:t>
      </w:r>
      <w:r w:rsidR="00A97D57">
        <w:t xml:space="preserve">the </w:t>
      </w:r>
      <w:r w:rsidR="003C2B9F">
        <w:t xml:space="preserve">secretariat’s </w:t>
      </w:r>
      <w:r>
        <w:t>financial and administrative systems.</w:t>
      </w:r>
      <w:r w:rsidR="005856D4">
        <w:t xml:space="preserve"> </w:t>
      </w:r>
      <w:r w:rsidR="003C2B9F" w:rsidRPr="003C2B9F">
        <w:t xml:space="preserve">AANZFTA Support Unit </w:t>
      </w:r>
      <w:r>
        <w:t xml:space="preserve">personnel and associated technical assistance is contracted through </w:t>
      </w:r>
      <w:r w:rsidR="003C2B9F">
        <w:t>the</w:t>
      </w:r>
      <w:r w:rsidR="00FA23AA">
        <w:t xml:space="preserve"> </w:t>
      </w:r>
      <w:r w:rsidR="00A97D57">
        <w:t>s</w:t>
      </w:r>
      <w:r w:rsidR="003C2B9F">
        <w:t>ecretariat</w:t>
      </w:r>
      <w:r>
        <w:t>.</w:t>
      </w:r>
    </w:p>
    <w:p w14:paraId="4632896A" w14:textId="77777777" w:rsidR="00530BA8" w:rsidRDefault="00530BA8" w:rsidP="00530BA8">
      <w:pPr>
        <w:pStyle w:val="ListParagraph"/>
        <w:numPr>
          <w:ilvl w:val="0"/>
          <w:numId w:val="43"/>
        </w:numPr>
        <w:spacing w:after="0"/>
      </w:pPr>
      <w:r>
        <w:t>Initiatives supported by AECSP are reflective of cultural and national priorities and supported within a horizontal (sector) and vertical (country) context.</w:t>
      </w:r>
    </w:p>
    <w:p w14:paraId="1BCE8FCF" w14:textId="654E0CF3" w:rsidR="00530BA8" w:rsidRDefault="00530BA8" w:rsidP="00530BA8">
      <w:pPr>
        <w:pStyle w:val="ListParagraph"/>
        <w:numPr>
          <w:ilvl w:val="0"/>
          <w:numId w:val="43"/>
        </w:numPr>
        <w:spacing w:after="0"/>
      </w:pPr>
      <w:r>
        <w:t>The AANZFTA/AECSP program was premised on providing a flexible and innovative design.</w:t>
      </w:r>
      <w:r w:rsidR="005856D4">
        <w:t xml:space="preserve"> </w:t>
      </w:r>
      <w:r>
        <w:t>The design is both iterative and practical</w:t>
      </w:r>
      <w:r w:rsidR="003C2B9F">
        <w:t>––</w:t>
      </w:r>
      <w:r>
        <w:t>it supports a variety of methodologies including research/policy support</w:t>
      </w:r>
      <w:r w:rsidR="003C2B9F">
        <w:t xml:space="preserve">, </w:t>
      </w:r>
      <w:r>
        <w:t>rapid response and direct implementation, and wide ranging capacity development initiatives</w:t>
      </w:r>
      <w:r w:rsidR="003C2B9F">
        <w:t>.</w:t>
      </w:r>
      <w:r>
        <w:rPr>
          <w:rStyle w:val="FootnoteReference"/>
        </w:rPr>
        <w:footnoteReference w:id="82"/>
      </w:r>
    </w:p>
    <w:p w14:paraId="5E6FCC0B" w14:textId="5314F794" w:rsidR="00530BA8" w:rsidRDefault="00530BA8" w:rsidP="00530BA8">
      <w:pPr>
        <w:pStyle w:val="ListParagraph"/>
        <w:numPr>
          <w:ilvl w:val="0"/>
          <w:numId w:val="43"/>
        </w:numPr>
        <w:spacing w:after="0"/>
      </w:pPr>
      <w:r>
        <w:t>All supported initiatives</w:t>
      </w:r>
      <w:r w:rsidR="003C2B9F">
        <w:t xml:space="preserve">, </w:t>
      </w:r>
      <w:r>
        <w:t>including design, procurement implementation and monitoring processes</w:t>
      </w:r>
      <w:r w:rsidR="003C2B9F">
        <w:t>,</w:t>
      </w:r>
      <w:r>
        <w:t xml:space="preserve"> are transparently managed and reported on by stakeholders and partners.</w:t>
      </w:r>
      <w:r w:rsidR="005856D4">
        <w:t xml:space="preserve"> </w:t>
      </w:r>
    </w:p>
    <w:p w14:paraId="7B26C178" w14:textId="62C7ADCE" w:rsidR="00530BA8" w:rsidRDefault="00530BA8" w:rsidP="00530BA8">
      <w:pPr>
        <w:pStyle w:val="BodyText"/>
      </w:pPr>
      <w:r>
        <w:t>Whil</w:t>
      </w:r>
      <w:r w:rsidR="003C2B9F">
        <w:t>e</w:t>
      </w:r>
      <w:r>
        <w:t xml:space="preserve"> the foundations for successful capacity development support by </w:t>
      </w:r>
      <w:r w:rsidR="00A97D57">
        <w:t>AANZFTA</w:t>
      </w:r>
      <w:r>
        <w:t>/</w:t>
      </w:r>
      <w:r w:rsidR="00A97D57">
        <w:t xml:space="preserve">AECSP </w:t>
      </w:r>
      <w:r>
        <w:t>appear well established</w:t>
      </w:r>
      <w:r w:rsidR="003C2B9F">
        <w:t>,</w:t>
      </w:r>
      <w:r w:rsidR="005856D4">
        <w:t xml:space="preserve"> </w:t>
      </w:r>
      <w:r w:rsidR="003C2B9F">
        <w:t>i</w:t>
      </w:r>
      <w:r>
        <w:t xml:space="preserve">t is clear the </w:t>
      </w:r>
      <w:r w:rsidR="0045046A">
        <w:t>program</w:t>
      </w:r>
      <w:r>
        <w:t xml:space="preserve"> is only just beginning to make inroads with institutional and organisational capacity development impacts.</w:t>
      </w:r>
      <w:r w:rsidR="005856D4">
        <w:t xml:space="preserve"> </w:t>
      </w:r>
    </w:p>
    <w:p w14:paraId="18D91594" w14:textId="6581FDF8" w:rsidR="00530BA8" w:rsidRDefault="00530BA8" w:rsidP="00530BA8">
      <w:pPr>
        <w:pStyle w:val="BodyText"/>
      </w:pPr>
      <w:r>
        <w:t>During the initial phase of AECSP, resources tended to be targeted towards activities which supported professional development of the individual through workshops and conferences.</w:t>
      </w:r>
      <w:r w:rsidR="005856D4">
        <w:t xml:space="preserve"> </w:t>
      </w:r>
      <w:r w:rsidR="003C2B9F">
        <w:t xml:space="preserve">While </w:t>
      </w:r>
      <w:r>
        <w:t>these activities are relevant to the development of personal growth</w:t>
      </w:r>
      <w:r w:rsidR="003C2B9F">
        <w:t>,</w:t>
      </w:r>
      <w:r>
        <w:t xml:space="preserve"> they do not necessarily have an impact upon organisational or institutional capacity, particularly when the partner agencies and systems are weak.</w:t>
      </w:r>
    </w:p>
    <w:p w14:paraId="5B1D986B" w14:textId="681766D3" w:rsidR="00530BA8" w:rsidRDefault="00530BA8" w:rsidP="00530BA8">
      <w:pPr>
        <w:pStyle w:val="BodyText"/>
      </w:pPr>
      <w:r>
        <w:t>When targeting the training of individuals, AECSP made every effort to ensure professional development impacts were sustainable within an organisational context.</w:t>
      </w:r>
      <w:r w:rsidR="005856D4">
        <w:t xml:space="preserve"> </w:t>
      </w:r>
      <w:r>
        <w:t>This was done by using and establishing train-the-trainer methodologies within a cascading training modality.</w:t>
      </w:r>
      <w:r w:rsidR="005856D4">
        <w:t xml:space="preserve"> </w:t>
      </w:r>
      <w:r>
        <w:t>In stable and mature organisations and institutions, this can work quite well where appropriate resources are allocated to ensure professional development programs are sustainable.</w:t>
      </w:r>
      <w:r w:rsidR="005856D4">
        <w:t xml:space="preserve"> </w:t>
      </w:r>
    </w:p>
    <w:p w14:paraId="196D2FEB" w14:textId="47811949" w:rsidR="00530BA8" w:rsidRDefault="00530BA8" w:rsidP="00530BA8">
      <w:pPr>
        <w:pStyle w:val="BodyText"/>
      </w:pPr>
      <w:r>
        <w:t>Training materials developed and used to support training initiatives are (anecdotally) considered very high quality</w:t>
      </w:r>
      <w:r w:rsidR="003C2B9F">
        <w:t>.</w:t>
      </w:r>
      <w:r>
        <w:rPr>
          <w:rStyle w:val="FootnoteReference"/>
        </w:rPr>
        <w:footnoteReference w:id="83"/>
      </w:r>
      <w:r w:rsidR="005856D4">
        <w:t xml:space="preserve"> </w:t>
      </w:r>
      <w:r>
        <w:t xml:space="preserve">These same resources are also considered very useful and sustainable </w:t>
      </w:r>
      <w:r w:rsidR="003C2B9F">
        <w:t>in that they can</w:t>
      </w:r>
      <w:r>
        <w:t xml:space="preserve"> be used for the medium to long term to support ongoing professional development activities in a variety of training contexts </w:t>
      </w:r>
      <w:r w:rsidR="003C2B9F">
        <w:t>such as</w:t>
      </w:r>
      <w:r>
        <w:t xml:space="preserve"> on-the-job training.</w:t>
      </w:r>
    </w:p>
    <w:p w14:paraId="0CD40531" w14:textId="0005C9A5" w:rsidR="00530BA8" w:rsidRDefault="00530BA8" w:rsidP="00530BA8">
      <w:pPr>
        <w:pStyle w:val="BodyText"/>
      </w:pPr>
      <w:r>
        <w:t xml:space="preserve">However there is little evidence at this point in time to suggest the early AECSP sponsored training activities have had an impact </w:t>
      </w:r>
      <w:r w:rsidR="003C2B9F">
        <w:t>on</w:t>
      </w:r>
      <w:r>
        <w:t xml:space="preserve"> sustainable organisational and institutional development of partner agencies.</w:t>
      </w:r>
      <w:r w:rsidR="005856D4">
        <w:t xml:space="preserve"> </w:t>
      </w:r>
      <w:r>
        <w:t>Nor is there objective</w:t>
      </w:r>
      <w:r w:rsidR="003C2B9F">
        <w:t xml:space="preserve"> or </w:t>
      </w:r>
      <w:r>
        <w:t xml:space="preserve">independent evidence to suggest the materials produced in support of training are of a high quality and sustainable within a developmental context. Evidence from elsewhere suggests that training alone will have little </w:t>
      </w:r>
      <w:r>
        <w:lastRenderedPageBreak/>
        <w:t>chance of developing sustainable organisational or institutional capacity</w:t>
      </w:r>
      <w:r w:rsidR="003C2B9F">
        <w:t>.</w:t>
      </w:r>
      <w:r>
        <w:rPr>
          <w:rStyle w:val="FootnoteReference"/>
        </w:rPr>
        <w:footnoteReference w:id="84"/>
      </w:r>
      <w:r w:rsidR="005856D4">
        <w:t xml:space="preserve"> </w:t>
      </w:r>
      <w:r>
        <w:t xml:space="preserve">As AECSP has developed and matured, there has been an increasing recognition of the importance of designing and implementing initiatives which are more holistic in structure </w:t>
      </w:r>
      <w:r w:rsidR="003C2B9F">
        <w:t>and that</w:t>
      </w:r>
      <w:r>
        <w:t xml:space="preserve"> encompass vertical (country) and horizontal (sectoral) development requirement</w:t>
      </w:r>
      <w:r w:rsidR="003C2B9F">
        <w:t>s</w:t>
      </w:r>
      <w:r>
        <w:t>.</w:t>
      </w:r>
      <w:r w:rsidR="005856D4">
        <w:t xml:space="preserve"> </w:t>
      </w:r>
      <w:r>
        <w:t>Recently supported initiatives are usually within a programming</w:t>
      </w:r>
      <w:r>
        <w:rPr>
          <w:rStyle w:val="FootnoteReference"/>
        </w:rPr>
        <w:footnoteReference w:id="85"/>
      </w:r>
      <w:r>
        <w:t xml:space="preserve"> context and </w:t>
      </w:r>
      <w:r w:rsidR="00A97D57">
        <w:t xml:space="preserve">are </w:t>
      </w:r>
      <w:r>
        <w:t>larger and more complex, often using sub-activities or projects which are linked together in a structured way.</w:t>
      </w:r>
      <w:r w:rsidR="005856D4">
        <w:t xml:space="preserve"> </w:t>
      </w:r>
      <w:r>
        <w:t>Examples of such initiatives sponsored by AECSP include the Comprehensive Patent Examination Training Project, and the ASEAN Regional Diagnostic Network.</w:t>
      </w:r>
    </w:p>
    <w:p w14:paraId="3CD7F2D5" w14:textId="4C70A014" w:rsidR="00530BA8" w:rsidRDefault="00530BA8" w:rsidP="00530BA8">
      <w:pPr>
        <w:pStyle w:val="BodyText"/>
      </w:pPr>
      <w:r>
        <w:t xml:space="preserve">There is a continuing recognition and increased effort by partners and stakeholders to pursue and support initiatives more likely to impact and result </w:t>
      </w:r>
      <w:r w:rsidR="003C2B9F">
        <w:t xml:space="preserve">in </w:t>
      </w:r>
      <w:r>
        <w:t>sustainable change within an organisational and institutional context – both vertically and horizontally.</w:t>
      </w:r>
      <w:r w:rsidR="005856D4">
        <w:t xml:space="preserve"> </w:t>
      </w:r>
      <w:r>
        <w:t>This is in itself an indicator that partner capacity and capabilities are developing under the sponsorship of AANZFTA/AECSP.</w:t>
      </w:r>
      <w:r w:rsidR="005856D4">
        <w:t xml:space="preserve"> </w:t>
      </w:r>
    </w:p>
    <w:p w14:paraId="438B9A8A" w14:textId="082AB12D" w:rsidR="00530BA8" w:rsidRDefault="00530BA8" w:rsidP="00530BA8">
      <w:pPr>
        <w:pStyle w:val="Heading4"/>
      </w:pPr>
      <w:r w:rsidRPr="009847A7">
        <w:t xml:space="preserve">Future </w:t>
      </w:r>
      <w:r w:rsidR="003C2B9F" w:rsidRPr="009847A7">
        <w:t>capacity development options</w:t>
      </w:r>
    </w:p>
    <w:p w14:paraId="5DB46CB5" w14:textId="691EBF7D" w:rsidR="00530BA8" w:rsidRDefault="00530BA8" w:rsidP="00530BA8">
      <w:pPr>
        <w:pStyle w:val="BodyText"/>
      </w:pPr>
      <w:r>
        <w:t>AANZFTA/AECSP has established a strong foundation (and capacity) to further support and enhance capacity development across AANZFTA partners.</w:t>
      </w:r>
      <w:r w:rsidR="003C2B9F">
        <w:t xml:space="preserve"> C</w:t>
      </w:r>
      <w:r>
        <w:t>apacity development opportunities which could be pursued in the future include:</w:t>
      </w:r>
    </w:p>
    <w:p w14:paraId="6DBB4E04" w14:textId="3BBFB28B" w:rsidR="00530BA8" w:rsidRDefault="00445F64" w:rsidP="00530BA8">
      <w:pPr>
        <w:pStyle w:val="ListParagraph"/>
        <w:numPr>
          <w:ilvl w:val="0"/>
          <w:numId w:val="44"/>
        </w:numPr>
        <w:spacing w:after="0"/>
      </w:pPr>
      <w:proofErr w:type="gramStart"/>
      <w:r>
        <w:t>c</w:t>
      </w:r>
      <w:r w:rsidR="00530BA8">
        <w:t>ontinue</w:t>
      </w:r>
      <w:proofErr w:type="gramEnd"/>
      <w:r w:rsidR="00530BA8">
        <w:t xml:space="preserve"> efforts to ensure sponsored activities are designed and implemented within a flexible programming context</w:t>
      </w:r>
      <w:r w:rsidR="003C2B9F">
        <w:t>, that is</w:t>
      </w:r>
      <w:r w:rsidR="00530BA8">
        <w:t xml:space="preserve"> within a structured design framework targeting a package of activities to enhance institutional/organisational capacity.</w:t>
      </w:r>
      <w:r w:rsidR="005856D4">
        <w:t xml:space="preserve"> </w:t>
      </w:r>
      <w:r w:rsidR="00530BA8">
        <w:t>Ideally the package should have staged sequencing and be in support of country or sectoral needs.</w:t>
      </w:r>
      <w:r w:rsidR="005856D4">
        <w:t xml:space="preserve"> </w:t>
      </w:r>
      <w:r w:rsidR="00530BA8">
        <w:t xml:space="preserve">It is important the </w:t>
      </w:r>
      <w:r w:rsidR="0045046A">
        <w:t>program</w:t>
      </w:r>
      <w:r w:rsidR="00530BA8">
        <w:t xml:space="preserve"> continue to move away from support of standalone training, workshops and conferences – supported initiatives must be within a structured and targeted framework.</w:t>
      </w:r>
    </w:p>
    <w:p w14:paraId="45ACEFBB" w14:textId="32C09C4E" w:rsidR="00530BA8" w:rsidRDefault="00445F64" w:rsidP="00530BA8">
      <w:pPr>
        <w:pStyle w:val="ListParagraph"/>
        <w:numPr>
          <w:ilvl w:val="0"/>
          <w:numId w:val="44"/>
        </w:numPr>
        <w:spacing w:after="0"/>
      </w:pPr>
      <w:proofErr w:type="gramStart"/>
      <w:r>
        <w:t>c</w:t>
      </w:r>
      <w:r w:rsidR="00530BA8">
        <w:t>ontinue</w:t>
      </w:r>
      <w:proofErr w:type="gramEnd"/>
      <w:r w:rsidR="00530BA8">
        <w:t xml:space="preserve"> to support opportunities which have the potential to establish and support long-term (bilateral and multilateral) institutional and organisational relationships (including twinning) which may be sustained beyond the constraint of AANZFTA</w:t>
      </w:r>
      <w:r w:rsidR="003C2B9F">
        <w:t>, that is</w:t>
      </w:r>
      <w:r w:rsidR="00530BA8">
        <w:t xml:space="preserve"> </w:t>
      </w:r>
      <w:r w:rsidR="003C2B9F">
        <w:t>those that</w:t>
      </w:r>
      <w:r w:rsidR="00530BA8">
        <w:t xml:space="preserve"> establish a sustainable relationship for the future. </w:t>
      </w:r>
    </w:p>
    <w:p w14:paraId="1675B194" w14:textId="068FDD28" w:rsidR="00530BA8" w:rsidRDefault="00445F64" w:rsidP="00530BA8">
      <w:pPr>
        <w:pStyle w:val="ListParagraph"/>
        <w:numPr>
          <w:ilvl w:val="0"/>
          <w:numId w:val="44"/>
        </w:numPr>
        <w:spacing w:after="0"/>
      </w:pPr>
      <w:proofErr w:type="gramStart"/>
      <w:r>
        <w:t>e</w:t>
      </w:r>
      <w:r w:rsidR="00530BA8">
        <w:t>nsur</w:t>
      </w:r>
      <w:r w:rsidR="003C2B9F">
        <w:t>e</w:t>
      </w:r>
      <w:proofErr w:type="gramEnd"/>
      <w:r w:rsidR="00530BA8">
        <w:t xml:space="preserve"> design frameworks include robust performance assessment methodologies capable of measuring activity impacts</w:t>
      </w:r>
      <w:r w:rsidR="003C2B9F">
        <w:t>. These include</w:t>
      </w:r>
      <w:r w:rsidR="00530BA8">
        <w:t xml:space="preserve"> tracking instruments, outcome surveys and independent assessments of materials developed.</w:t>
      </w:r>
    </w:p>
    <w:p w14:paraId="3C2A29AC" w14:textId="74D4CAC1" w:rsidR="00530BA8" w:rsidRDefault="00445F64" w:rsidP="00530BA8">
      <w:pPr>
        <w:pStyle w:val="ListParagraph"/>
        <w:numPr>
          <w:ilvl w:val="0"/>
          <w:numId w:val="44"/>
        </w:numPr>
        <w:spacing w:after="0"/>
      </w:pPr>
      <w:proofErr w:type="gramStart"/>
      <w:r>
        <w:t>e</w:t>
      </w:r>
      <w:r w:rsidR="00530BA8">
        <w:t>stablish</w:t>
      </w:r>
      <w:proofErr w:type="gramEnd"/>
      <w:r w:rsidR="00530BA8">
        <w:t xml:space="preserve"> active links and developmental interfaces to other regional and bilateral programs which are complementary to AANZFTA/AECSP.</w:t>
      </w:r>
      <w:r w:rsidR="005856D4">
        <w:t xml:space="preserve"> </w:t>
      </w:r>
      <w:r w:rsidR="00530BA8">
        <w:t>This is particularly important where parallel (AusAID) development initiatives are being supported in a bilateral context</w:t>
      </w:r>
      <w:r w:rsidR="003C2B9F">
        <w:t>.</w:t>
      </w:r>
      <w:r w:rsidR="00530BA8">
        <w:rPr>
          <w:rStyle w:val="FootnoteReference"/>
        </w:rPr>
        <w:footnoteReference w:id="86"/>
      </w:r>
    </w:p>
    <w:p w14:paraId="388D7A16" w14:textId="38F594C3" w:rsidR="00530BA8" w:rsidRDefault="00445F64" w:rsidP="00530BA8">
      <w:pPr>
        <w:pStyle w:val="ListParagraph"/>
        <w:numPr>
          <w:ilvl w:val="0"/>
          <w:numId w:val="44"/>
        </w:numPr>
        <w:spacing w:after="0"/>
      </w:pPr>
      <w:proofErr w:type="gramStart"/>
      <w:r>
        <w:t>c</w:t>
      </w:r>
      <w:r w:rsidR="00530BA8">
        <w:t>ontinue</w:t>
      </w:r>
      <w:proofErr w:type="gramEnd"/>
      <w:r w:rsidR="00530BA8">
        <w:t xml:space="preserve"> efforts to wo</w:t>
      </w:r>
      <w:r w:rsidR="008E0ED8">
        <w:t>rk with the AusAID funded ASEAN–</w:t>
      </w:r>
      <w:r w:rsidR="00530BA8">
        <w:t xml:space="preserve">Australia Development Cooperation Program II to ensure </w:t>
      </w:r>
      <w:r w:rsidR="00FA23AA">
        <w:t xml:space="preserve">ASEAN </w:t>
      </w:r>
      <w:r w:rsidR="003C2B9F">
        <w:t xml:space="preserve">Secretariat </w:t>
      </w:r>
      <w:r w:rsidR="00530BA8">
        <w:t>capacity continues to be enhanced.</w:t>
      </w:r>
      <w:r w:rsidR="005856D4">
        <w:t xml:space="preserve"> </w:t>
      </w:r>
      <w:r w:rsidR="00530BA8">
        <w:t xml:space="preserve">This may include enhancing </w:t>
      </w:r>
      <w:r w:rsidR="003C2B9F">
        <w:t xml:space="preserve">the </w:t>
      </w:r>
      <w:r w:rsidR="00FA23AA">
        <w:t xml:space="preserve">ASEAN </w:t>
      </w:r>
      <w:r w:rsidR="003C2B9F">
        <w:t>Secretariat</w:t>
      </w:r>
      <w:r w:rsidR="00530BA8">
        <w:t>’s ability to facilitate and assess proposal</w:t>
      </w:r>
      <w:r w:rsidR="003C2B9F">
        <w:t>s</w:t>
      </w:r>
      <w:r w:rsidR="00530BA8">
        <w:t xml:space="preserve"> prepared by AANZFTA partners</w:t>
      </w:r>
      <w:r w:rsidR="003C2B9F">
        <w:t xml:space="preserve">, </w:t>
      </w:r>
      <w:r w:rsidR="00530BA8">
        <w:t xml:space="preserve">supporting </w:t>
      </w:r>
      <w:r w:rsidR="00FA23AA">
        <w:t xml:space="preserve">ASEAN </w:t>
      </w:r>
      <w:r w:rsidR="003C2B9F">
        <w:t xml:space="preserve">Secretariat </w:t>
      </w:r>
      <w:r w:rsidR="00530BA8">
        <w:t xml:space="preserve">financial management and procurement practices </w:t>
      </w:r>
      <w:r w:rsidR="003C2B9F">
        <w:t>(including</w:t>
      </w:r>
      <w:r w:rsidR="00530BA8">
        <w:t xml:space="preserve"> streamlining trust account management</w:t>
      </w:r>
      <w:r w:rsidR="003C2B9F">
        <w:t>)</w:t>
      </w:r>
      <w:r w:rsidR="00530BA8">
        <w:t xml:space="preserve">, and </w:t>
      </w:r>
      <w:r w:rsidR="00503A41">
        <w:t xml:space="preserve">helping </w:t>
      </w:r>
      <w:r w:rsidR="003C2B9F">
        <w:t>the</w:t>
      </w:r>
      <w:r w:rsidR="00530BA8">
        <w:t xml:space="preserve"> </w:t>
      </w:r>
      <w:r w:rsidR="003C2B9F">
        <w:t xml:space="preserve">secretariat </w:t>
      </w:r>
      <w:r w:rsidR="00530BA8">
        <w:t xml:space="preserve">to better support gender and equity objectives </w:t>
      </w:r>
      <w:r w:rsidR="00503A41">
        <w:t xml:space="preserve">backed </w:t>
      </w:r>
      <w:r w:rsidR="00530BA8">
        <w:t>by the organisation.</w:t>
      </w:r>
      <w:r w:rsidR="005856D4">
        <w:t xml:space="preserve"> </w:t>
      </w:r>
    </w:p>
    <w:p w14:paraId="2691663A" w14:textId="2A3C4DE1" w:rsidR="00530BA8" w:rsidRDefault="00445F64" w:rsidP="00530BA8">
      <w:pPr>
        <w:pStyle w:val="ListParagraph"/>
        <w:numPr>
          <w:ilvl w:val="0"/>
          <w:numId w:val="44"/>
        </w:numPr>
        <w:spacing w:after="0"/>
      </w:pPr>
      <w:proofErr w:type="gramStart"/>
      <w:r>
        <w:t>e</w:t>
      </w:r>
      <w:r w:rsidR="00530BA8">
        <w:t>nsure</w:t>
      </w:r>
      <w:proofErr w:type="gramEnd"/>
      <w:r w:rsidR="00530BA8">
        <w:t xml:space="preserve"> design frameworks include sub-activities, research initiatives or tracking instruments which support or monitor the potential for the </w:t>
      </w:r>
      <w:r w:rsidR="0045046A">
        <w:t>program</w:t>
      </w:r>
      <w:r w:rsidR="00530BA8">
        <w:t xml:space="preserve"> to influence gender impacts associated with AANZFTA implementation.</w:t>
      </w:r>
      <w:r w:rsidR="005856D4">
        <w:t xml:space="preserve"> </w:t>
      </w:r>
    </w:p>
    <w:p w14:paraId="76245B1B" w14:textId="77777777" w:rsidR="00530BA8" w:rsidRDefault="00530BA8" w:rsidP="00530BA8">
      <w:pPr>
        <w:spacing w:after="0"/>
      </w:pPr>
    </w:p>
    <w:p w14:paraId="6BC822E0" w14:textId="77777777" w:rsidR="00530BA8" w:rsidRPr="00B8277F" w:rsidRDefault="00530BA8" w:rsidP="00530BA8">
      <w:pPr>
        <w:pStyle w:val="Heading4"/>
      </w:pPr>
      <w:r w:rsidRPr="00B8277F">
        <w:t>Conclusion</w:t>
      </w:r>
    </w:p>
    <w:p w14:paraId="77EEE62E" w14:textId="729A41D4" w:rsidR="00530BA8" w:rsidRDefault="00530BA8" w:rsidP="00530BA8">
      <w:pPr>
        <w:pStyle w:val="BodyText"/>
      </w:pPr>
      <w:r>
        <w:t>AANZFTA/AECSP has made good progress in supporting and pursuing capacity development objectives across partners and stakeholders.</w:t>
      </w:r>
      <w:r w:rsidR="005856D4">
        <w:t xml:space="preserve"> </w:t>
      </w:r>
      <w:r>
        <w:t xml:space="preserve">The </w:t>
      </w:r>
      <w:r w:rsidR="0045046A">
        <w:t>program</w:t>
      </w:r>
      <w:r>
        <w:t xml:space="preserve"> is founded upon sound capacity development principles.</w:t>
      </w:r>
      <w:r w:rsidR="005856D4">
        <w:t xml:space="preserve"> </w:t>
      </w:r>
      <w:r>
        <w:t xml:space="preserve">As the </w:t>
      </w:r>
      <w:r w:rsidR="0045046A">
        <w:t>program</w:t>
      </w:r>
      <w:r>
        <w:t xml:space="preserve"> has matured, capacity development support has become more structured and targeted within a </w:t>
      </w:r>
      <w:r w:rsidR="001427CC">
        <w:t>program</w:t>
      </w:r>
      <w:r>
        <w:t xml:space="preserve"> context.</w:t>
      </w:r>
      <w:r w:rsidR="005856D4">
        <w:t xml:space="preserve"> </w:t>
      </w:r>
      <w:r>
        <w:t>Partners must continue to focus on higher level capacity development objectives by targeting organisational and institutional development</w:t>
      </w:r>
      <w:r w:rsidR="00503A41">
        <w:t>,</w:t>
      </w:r>
      <w:r>
        <w:t xml:space="preserve"> and continue to move away from supporting standalone training activities.</w:t>
      </w:r>
      <w:r w:rsidR="005856D4">
        <w:t xml:space="preserve"> </w:t>
      </w:r>
    </w:p>
    <w:p w14:paraId="230167D3" w14:textId="77777777" w:rsidR="00530BA8" w:rsidRDefault="00530BA8" w:rsidP="00530BA8">
      <w:pPr>
        <w:spacing w:after="0"/>
      </w:pPr>
    </w:p>
    <w:p w14:paraId="07F8DFE6" w14:textId="77777777" w:rsidR="00530BA8" w:rsidRDefault="00530BA8" w:rsidP="00530BA8">
      <w:pPr>
        <w:pStyle w:val="BodyText"/>
        <w:sectPr w:rsidR="00530BA8" w:rsidSect="009E068C">
          <w:pgSz w:w="11900" w:h="16840" w:code="9"/>
          <w:pgMar w:top="1440" w:right="1797" w:bottom="1440" w:left="1797" w:header="567" w:footer="431" w:gutter="0"/>
          <w:cols w:space="708"/>
        </w:sectPr>
      </w:pPr>
    </w:p>
    <w:p w14:paraId="71B230A6" w14:textId="22DC6657" w:rsidR="00530BA8" w:rsidRDefault="00530BA8" w:rsidP="00530BA8">
      <w:pPr>
        <w:pStyle w:val="Heading1"/>
      </w:pPr>
      <w:bookmarkStart w:id="12" w:name="_Toc229924889"/>
      <w:r>
        <w:lastRenderedPageBreak/>
        <w:t xml:space="preserve">Appendix 6: AANZFTA </w:t>
      </w:r>
      <w:r w:rsidR="00F9647E">
        <w:t>gender and equality development</w:t>
      </w:r>
      <w:bookmarkEnd w:id="12"/>
    </w:p>
    <w:p w14:paraId="5C01560D" w14:textId="77777777" w:rsidR="00530BA8" w:rsidRPr="00D802CC" w:rsidRDefault="00530BA8" w:rsidP="00530BA8">
      <w:pPr>
        <w:pStyle w:val="Heading4"/>
      </w:pPr>
      <w:r>
        <w:t>Background</w:t>
      </w:r>
    </w:p>
    <w:p w14:paraId="3A4F1367" w14:textId="00B4BBC5" w:rsidR="00530BA8" w:rsidRDefault="00530BA8" w:rsidP="00530BA8">
      <w:pPr>
        <w:pStyle w:val="BodyText"/>
        <w:rPr>
          <w:sz w:val="19"/>
          <w:szCs w:val="19"/>
        </w:rPr>
      </w:pPr>
      <w:r>
        <w:t>Compared to many development designs supported by AusAID and New Zealand, AECSP is relatively silent on support for gender initiatives.</w:t>
      </w:r>
      <w:r w:rsidR="005856D4">
        <w:t xml:space="preserve"> </w:t>
      </w:r>
      <w:r>
        <w:t xml:space="preserve">The design acknowledges gender support is appropriate within the context of the </w:t>
      </w:r>
      <w:r w:rsidR="0045046A">
        <w:t>program</w:t>
      </w:r>
      <w:r w:rsidR="00445F64">
        <w:t>.</w:t>
      </w:r>
      <w:r w:rsidR="001C7814">
        <w:t xml:space="preserve"> </w:t>
      </w:r>
      <w:r w:rsidR="00DA2750">
        <w:t>H</w:t>
      </w:r>
      <w:r>
        <w:t>owever</w:t>
      </w:r>
      <w:r w:rsidR="001C7814">
        <w:t>, it</w:t>
      </w:r>
      <w:r>
        <w:t xml:space="preserve"> opts to manage gender opportunities by transferring accountability for gender programming to the monitoring and evaluation framework which was to be developed after mobilisation of the </w:t>
      </w:r>
      <w:r w:rsidR="0045046A">
        <w:t>program</w:t>
      </w:r>
      <w:r w:rsidR="001C7814">
        <w:t>. T</w:t>
      </w:r>
      <w:r w:rsidR="00103F4F">
        <w:t>hat is</w:t>
      </w:r>
      <w:r w:rsidR="001C7814">
        <w:t>,</w:t>
      </w:r>
      <w:r>
        <w:t xml:space="preserve"> the monitoring and evaluation framework ‘</w:t>
      </w:r>
      <w:r w:rsidRPr="000429B4">
        <w:t xml:space="preserve">will assist in the consideration of gender and other cross cutting issues as appropriate’ (page </w:t>
      </w:r>
      <w:r w:rsidRPr="00BF094F">
        <w:t>37</w:t>
      </w:r>
      <w:r w:rsidRPr="000429B4">
        <w:t>).</w:t>
      </w:r>
    </w:p>
    <w:p w14:paraId="06A838BA" w14:textId="677F951D" w:rsidR="00530BA8" w:rsidRDefault="00530BA8" w:rsidP="00530BA8">
      <w:pPr>
        <w:pStyle w:val="BodyText"/>
      </w:pPr>
      <w:r w:rsidRPr="00620F2F">
        <w:t xml:space="preserve">The design seems to be of the opinion that the prime gender consideration is the need and ability to </w:t>
      </w:r>
      <w:r>
        <w:t>‘gather</w:t>
      </w:r>
      <w:r w:rsidRPr="00620F2F">
        <w:t xml:space="preserve"> gender-disaggregated data’ (page</w:t>
      </w:r>
      <w:r>
        <w:t xml:space="preserve"> </w:t>
      </w:r>
      <w:r w:rsidRPr="00BF094F">
        <w:t>37</w:t>
      </w:r>
      <w:r>
        <w:t>)</w:t>
      </w:r>
      <w:r w:rsidRPr="00620F2F">
        <w:t>.</w:t>
      </w:r>
      <w:r w:rsidR="005856D4">
        <w:t xml:space="preserve"> </w:t>
      </w:r>
      <w:r>
        <w:t>Personnel terms of reference provided in the design outline the need for recruited staff to have an appreciation of gender and equity issues and that these issues are to be addressed in the monitoring and evaluation framework.</w:t>
      </w:r>
      <w:r w:rsidR="005856D4">
        <w:t xml:space="preserve"> </w:t>
      </w:r>
    </w:p>
    <w:p w14:paraId="7E94F708" w14:textId="3AAA2274" w:rsidR="00530BA8" w:rsidRDefault="00530BA8" w:rsidP="00530BA8">
      <w:pPr>
        <w:pStyle w:val="BodyText"/>
      </w:pPr>
      <w:r>
        <w:t xml:space="preserve">The </w:t>
      </w:r>
      <w:r w:rsidR="00103F4F">
        <w:t xml:space="preserve">scope of service </w:t>
      </w:r>
      <w:r>
        <w:t>for AECSP highlight</w:t>
      </w:r>
      <w:r w:rsidR="00103F4F">
        <w:t>s</w:t>
      </w:r>
      <w:r>
        <w:t xml:space="preserve"> that gender issues should be addressed: ‘</w:t>
      </w:r>
      <w:r w:rsidRPr="006E0E5E">
        <w:t>this may include</w:t>
      </w:r>
      <w:r w:rsidR="005856D4">
        <w:t xml:space="preserve"> </w:t>
      </w:r>
      <w:r w:rsidRPr="006E0E5E">
        <w:t xml:space="preserve">that </w:t>
      </w:r>
      <w:r>
        <w:t xml:space="preserve">Economic Work Cooperation </w:t>
      </w:r>
      <w:r w:rsidR="00C03479">
        <w:t>P</w:t>
      </w:r>
      <w:r w:rsidR="0045046A">
        <w:t>rogram</w:t>
      </w:r>
      <w:r>
        <w:t xml:space="preserve"> </w:t>
      </w:r>
      <w:r w:rsidRPr="006E0E5E">
        <w:t xml:space="preserve">evaluation studies include analysis of the situation for women (in relation to the particular </w:t>
      </w:r>
      <w:r w:rsidR="00546E38">
        <w:t xml:space="preserve">Economic Cooperation Work </w:t>
      </w:r>
      <w:r w:rsidR="00C03479">
        <w:t>P</w:t>
      </w:r>
      <w:r w:rsidR="0045046A">
        <w:t>rogram</w:t>
      </w:r>
      <w:r w:rsidR="005856D4">
        <w:t xml:space="preserve"> </w:t>
      </w:r>
      <w:r w:rsidRPr="006E0E5E">
        <w:t xml:space="preserve">component), that barriers to gender equality are identified and integrated into continuous improvement of AECSP and its </w:t>
      </w:r>
      <w:r>
        <w:t>monitoring and evaluation</w:t>
      </w:r>
      <w:r w:rsidR="00957670">
        <w:t>”</w:t>
      </w:r>
      <w:r w:rsidRPr="006E0E5E">
        <w:t xml:space="preserve"> (page </w:t>
      </w:r>
      <w:r w:rsidRPr="00BF094F">
        <w:t>101</w:t>
      </w:r>
      <w:r w:rsidRPr="006E0E5E">
        <w:t>).</w:t>
      </w:r>
      <w:r w:rsidR="005856D4">
        <w:t xml:space="preserve"> </w:t>
      </w:r>
      <w:r>
        <w:t xml:space="preserve">So clearly it was recognised that AECSP/AANZFTA had the potential to impact upon gender priorities through the </w:t>
      </w:r>
      <w:r w:rsidR="00546E38">
        <w:t xml:space="preserve">Economic Cooperation Work </w:t>
      </w:r>
      <w:r w:rsidR="00C03479">
        <w:t>P</w:t>
      </w:r>
      <w:r w:rsidR="0045046A">
        <w:t>rogram</w:t>
      </w:r>
      <w:r>
        <w:t>.</w:t>
      </w:r>
    </w:p>
    <w:p w14:paraId="33D5E857" w14:textId="2BF88F63" w:rsidR="00530BA8" w:rsidRPr="00617981" w:rsidRDefault="00530BA8" w:rsidP="00530BA8">
      <w:pPr>
        <w:pStyle w:val="Heading4"/>
      </w:pPr>
      <w:r w:rsidRPr="00617981">
        <w:t xml:space="preserve">Current </w:t>
      </w:r>
      <w:r w:rsidR="00C03479">
        <w:t>c</w:t>
      </w:r>
      <w:r w:rsidR="00C03479" w:rsidRPr="00617981">
        <w:t>ontext</w:t>
      </w:r>
    </w:p>
    <w:p w14:paraId="303F23F4" w14:textId="45A723FA" w:rsidR="00530BA8" w:rsidRDefault="00530BA8" w:rsidP="00530BA8">
      <w:pPr>
        <w:pStyle w:val="BodyText"/>
      </w:pPr>
      <w:r>
        <w:t xml:space="preserve">This </w:t>
      </w:r>
      <w:r w:rsidR="00C03479">
        <w:t xml:space="preserve">independent progress report </w:t>
      </w:r>
      <w:r>
        <w:t xml:space="preserve">confirms that AECSP has given limited attention to gender equality issues. Past AusAID quality at implementation reports have also confirmed limited and ad-hoc support for gender equality issues by the </w:t>
      </w:r>
      <w:r w:rsidR="0045046A">
        <w:t>program</w:t>
      </w:r>
      <w:r w:rsidR="00C03479">
        <w:t>.</w:t>
      </w:r>
      <w:r>
        <w:rPr>
          <w:rStyle w:val="FootnoteReference"/>
        </w:rPr>
        <w:footnoteReference w:id="87"/>
      </w:r>
      <w:r w:rsidR="005856D4">
        <w:t xml:space="preserve"> </w:t>
      </w:r>
      <w:r>
        <w:t xml:space="preserve">This indicates that a ‘less than adequate quality’ has been achieved and there is a need for additional </w:t>
      </w:r>
      <w:r w:rsidR="00957670">
        <w:t>“</w:t>
      </w:r>
      <w:r>
        <w:t xml:space="preserve">work to improve in core </w:t>
      </w:r>
      <w:r w:rsidR="00957670">
        <w:t>areas”</w:t>
      </w:r>
      <w:r w:rsidR="00C03479">
        <w:t>.</w:t>
      </w:r>
      <w:r>
        <w:rPr>
          <w:rStyle w:val="FootnoteReference"/>
        </w:rPr>
        <w:footnoteReference w:id="88"/>
      </w:r>
    </w:p>
    <w:p w14:paraId="01531306" w14:textId="2767242C" w:rsidR="00530BA8" w:rsidRDefault="00530BA8" w:rsidP="00530BA8">
      <w:pPr>
        <w:pStyle w:val="BodyText"/>
      </w:pPr>
      <w:r>
        <w:t>Partners and stakeholders will argue there are a number of extenuating circumstances which have impacted upon AECSP‘s inability to provide proactive support for gender and equality priorities</w:t>
      </w:r>
      <w:r w:rsidR="00957670">
        <w:t>. T</w:t>
      </w:r>
      <w:r>
        <w:t>hese include:</w:t>
      </w:r>
    </w:p>
    <w:p w14:paraId="6B0D7650" w14:textId="406D3C8E" w:rsidR="00530BA8" w:rsidRDefault="00530BA8" w:rsidP="00530BA8">
      <w:pPr>
        <w:pStyle w:val="ListParagraph"/>
        <w:numPr>
          <w:ilvl w:val="0"/>
          <w:numId w:val="45"/>
        </w:numPr>
        <w:spacing w:after="0"/>
      </w:pPr>
      <w:r>
        <w:t>AECSP is partner led, which limits avenues of influence to those largely within ASEAN structures, policies and systems.</w:t>
      </w:r>
      <w:r w:rsidR="005856D4">
        <w:t xml:space="preserve"> </w:t>
      </w:r>
      <w:r>
        <w:t xml:space="preserve">Planning and implementation of </w:t>
      </w:r>
      <w:r w:rsidR="0045046A">
        <w:t>program</w:t>
      </w:r>
      <w:r>
        <w:t xml:space="preserve"> activities are shaped by ASEAN priorities.</w:t>
      </w:r>
    </w:p>
    <w:p w14:paraId="7E80D08C" w14:textId="77777777" w:rsidR="00530BA8" w:rsidRDefault="00530BA8" w:rsidP="00530BA8">
      <w:pPr>
        <w:pStyle w:val="ListParagraph"/>
        <w:numPr>
          <w:ilvl w:val="0"/>
          <w:numId w:val="45"/>
        </w:numPr>
        <w:spacing w:after="0"/>
      </w:pPr>
      <w:r>
        <w:t>Sensitivities of ASEAN member states to any perception of encroachment on internal policies and approaches by external parties.</w:t>
      </w:r>
    </w:p>
    <w:p w14:paraId="2ECD8F69" w14:textId="39B8F49E" w:rsidR="00530BA8" w:rsidRDefault="00530BA8" w:rsidP="00530BA8">
      <w:pPr>
        <w:pStyle w:val="ListParagraph"/>
        <w:numPr>
          <w:ilvl w:val="0"/>
          <w:numId w:val="45"/>
        </w:numPr>
        <w:spacing w:after="0"/>
      </w:pPr>
      <w:r>
        <w:t>The varying attitudes and approaches to managing gender and equality across member states and Australia</w:t>
      </w:r>
      <w:r w:rsidR="00C03479">
        <w:t xml:space="preserve"> and </w:t>
      </w:r>
      <w:r>
        <w:t>N</w:t>
      </w:r>
      <w:r w:rsidR="00C03479">
        <w:t xml:space="preserve">ew </w:t>
      </w:r>
      <w:r>
        <w:t>Z</w:t>
      </w:r>
      <w:r w:rsidR="00C03479">
        <w:t>ealand</w:t>
      </w:r>
      <w:r>
        <w:t>.</w:t>
      </w:r>
    </w:p>
    <w:p w14:paraId="1F036F10" w14:textId="4F5AE602" w:rsidR="00530BA8" w:rsidRPr="00A37CB1" w:rsidRDefault="00530BA8" w:rsidP="00530BA8">
      <w:pPr>
        <w:pStyle w:val="BodyText"/>
      </w:pPr>
      <w:r w:rsidRPr="00A37CB1">
        <w:t xml:space="preserve">There is </w:t>
      </w:r>
      <w:r>
        <w:t xml:space="preserve">a </w:t>
      </w:r>
      <w:r w:rsidRPr="00A37CB1">
        <w:t>widespread assumption that trade policies and agreements are class, race and gender neutral.</w:t>
      </w:r>
      <w:r w:rsidR="005856D4">
        <w:t xml:space="preserve"> </w:t>
      </w:r>
      <w:r>
        <w:t>Substantial international research confirms</w:t>
      </w:r>
      <w:r w:rsidRPr="00A37CB1">
        <w:t xml:space="preserve"> gender and equality is a key factor in the complex relationship between trade, growth and development</w:t>
      </w:r>
      <w:r w:rsidR="00C03479">
        <w:t>.</w:t>
      </w:r>
      <w:r>
        <w:rPr>
          <w:rStyle w:val="FootnoteReference"/>
        </w:rPr>
        <w:footnoteReference w:id="89"/>
      </w:r>
      <w:r w:rsidR="005856D4">
        <w:t xml:space="preserve"> </w:t>
      </w:r>
      <w:r>
        <w:t>I</w:t>
      </w:r>
      <w:r w:rsidRPr="00A37CB1">
        <w:t>t is incumbent upon all AANZFTA/AECSP partners to ensure trade liberalisation does not undermine women’s rights and poor people’s livelihoods</w:t>
      </w:r>
      <w:r w:rsidR="00C03479">
        <w:t>. T</w:t>
      </w:r>
      <w:r w:rsidRPr="00A37CB1">
        <w:t xml:space="preserve">he </w:t>
      </w:r>
      <w:r w:rsidR="0045046A">
        <w:t>program</w:t>
      </w:r>
      <w:r w:rsidRPr="00A37CB1">
        <w:t xml:space="preserve"> should actively pursue the gender and equality agenda.</w:t>
      </w:r>
    </w:p>
    <w:p w14:paraId="61C869F7" w14:textId="27B38AD9" w:rsidR="00530BA8" w:rsidRDefault="00530BA8" w:rsidP="00530BA8">
      <w:pPr>
        <w:pStyle w:val="BodyText"/>
      </w:pPr>
      <w:r>
        <w:lastRenderedPageBreak/>
        <w:t>Nevertheless, it is also recognised that it can be quite difficult to actively incorporate gender and equality activities into technically focused and regionally managed programs. Clearly progress on gender and equality opportunities has been slow in the region and priorities by developmental partners has tended to focus on family violence and trafficking of women and children.</w:t>
      </w:r>
      <w:r w:rsidR="005856D4">
        <w:t xml:space="preserve"> </w:t>
      </w:r>
    </w:p>
    <w:p w14:paraId="60960890" w14:textId="55FE4D53" w:rsidR="00530BA8" w:rsidRDefault="00530BA8" w:rsidP="00530BA8">
      <w:pPr>
        <w:pStyle w:val="BodyText"/>
      </w:pPr>
      <w:r>
        <w:t>AECSP provides a fertile opportunity to act as an (active) entry point to support appropriate gender and equality programming in a unique context.</w:t>
      </w:r>
      <w:r w:rsidR="005856D4">
        <w:t xml:space="preserve"> </w:t>
      </w:r>
      <w:r>
        <w:t xml:space="preserve">Greater efforts need to be made by AECSP and the partners to pursue appropriate development opportunities in support of gender and equality across the </w:t>
      </w:r>
      <w:r w:rsidR="0045046A">
        <w:t>program</w:t>
      </w:r>
      <w:r>
        <w:t>.</w:t>
      </w:r>
      <w:r w:rsidR="005856D4">
        <w:t xml:space="preserve"> </w:t>
      </w:r>
      <w:r>
        <w:t>This will require collaboration with the ASEAN Secretariat which is currently taking a proactive role in facilitating a gender and equality agenda within the institution and ASEAN partners</w:t>
      </w:r>
      <w:r w:rsidR="00C03479">
        <w:t>.</w:t>
      </w:r>
      <w:r>
        <w:rPr>
          <w:rStyle w:val="FootnoteReference"/>
        </w:rPr>
        <w:footnoteReference w:id="90"/>
      </w:r>
      <w:r w:rsidR="005856D4">
        <w:t xml:space="preserve"> </w:t>
      </w:r>
      <w:r>
        <w:t>It will also require greater cooperation with the ASEAN</w:t>
      </w:r>
      <w:r w:rsidR="00445F64">
        <w:t xml:space="preserve"> </w:t>
      </w:r>
      <w:r>
        <w:t>Australia Development Cooperation Program</w:t>
      </w:r>
      <w:r w:rsidR="00445F64">
        <w:t xml:space="preserve">: Phase </w:t>
      </w:r>
      <w:r>
        <w:t>II which has a broader brief to support</w:t>
      </w:r>
      <w:r w:rsidR="00C03479">
        <w:t xml:space="preserve"> </w:t>
      </w:r>
      <w:r>
        <w:t xml:space="preserve">capacity development within </w:t>
      </w:r>
      <w:r w:rsidR="00C03479">
        <w:t xml:space="preserve">the </w:t>
      </w:r>
      <w:r w:rsidR="00FA23AA">
        <w:t xml:space="preserve">ASEAN </w:t>
      </w:r>
      <w:r w:rsidR="00C03479">
        <w:t xml:space="preserve">Secretariat </w:t>
      </w:r>
      <w:r>
        <w:t>and across ASEAN partners.</w:t>
      </w:r>
    </w:p>
    <w:p w14:paraId="76D3625D" w14:textId="18882972" w:rsidR="00530BA8" w:rsidRPr="000725E9" w:rsidRDefault="00530BA8" w:rsidP="00530BA8">
      <w:pPr>
        <w:pStyle w:val="Heading4"/>
      </w:pPr>
      <w:r w:rsidRPr="000725E9">
        <w:t xml:space="preserve">Future </w:t>
      </w:r>
      <w:r w:rsidR="00C03479" w:rsidRPr="000725E9">
        <w:t xml:space="preserve">opportunities for supporting gender and equality </w:t>
      </w:r>
      <w:r w:rsidRPr="000725E9">
        <w:t xml:space="preserve">within AECSP </w:t>
      </w:r>
    </w:p>
    <w:p w14:paraId="267172C3" w14:textId="39C07575" w:rsidR="00530BA8" w:rsidRDefault="00530BA8" w:rsidP="00530BA8">
      <w:pPr>
        <w:pStyle w:val="BodyText"/>
      </w:pPr>
      <w:r>
        <w:t xml:space="preserve">AECSP must consider gender and equality as a cross-cutting issue rather than a standalone activity which needs direct support by the </w:t>
      </w:r>
      <w:r w:rsidR="0045046A">
        <w:t>program</w:t>
      </w:r>
      <w:r>
        <w:t>.</w:t>
      </w:r>
      <w:r w:rsidR="005856D4">
        <w:t xml:space="preserve"> </w:t>
      </w:r>
      <w:r>
        <w:t xml:space="preserve">Gender and equality activities have to be integrated into all tenets of the </w:t>
      </w:r>
      <w:r w:rsidR="0045046A">
        <w:t>program</w:t>
      </w:r>
      <w:r>
        <w:t>.</w:t>
      </w:r>
      <w:r w:rsidR="005856D4">
        <w:t xml:space="preserve"> </w:t>
      </w:r>
      <w:r>
        <w:t>Efforts must be made to ensure opportunities are provided to support gender and equality across all potential and future opportunities.</w:t>
      </w:r>
      <w:r w:rsidR="005856D4">
        <w:t xml:space="preserve"> </w:t>
      </w:r>
      <w:r>
        <w:t>This can be achieved if AECSP is proactive in pursuing the following:</w:t>
      </w:r>
    </w:p>
    <w:p w14:paraId="694C68BF" w14:textId="54DAF15A" w:rsidR="00530BA8" w:rsidRDefault="00BF094F" w:rsidP="00530BA8">
      <w:pPr>
        <w:pStyle w:val="ListParagraph"/>
        <w:numPr>
          <w:ilvl w:val="0"/>
          <w:numId w:val="46"/>
        </w:numPr>
        <w:spacing w:after="0"/>
      </w:pPr>
      <w:r>
        <w:t>l</w:t>
      </w:r>
      <w:r w:rsidR="00530BA8">
        <w:t xml:space="preserve">iaising with </w:t>
      </w:r>
      <w:r>
        <w:t xml:space="preserve">the </w:t>
      </w:r>
      <w:r w:rsidR="00FA23AA">
        <w:t xml:space="preserve">ASEAN </w:t>
      </w:r>
      <w:r w:rsidR="00C03479">
        <w:t xml:space="preserve">Secretariat </w:t>
      </w:r>
      <w:r w:rsidR="00530BA8">
        <w:t xml:space="preserve">and </w:t>
      </w:r>
      <w:r w:rsidR="00C03479">
        <w:t xml:space="preserve">the ASEAN–Australia Development Cooperation Program II </w:t>
      </w:r>
      <w:r w:rsidR="00530BA8">
        <w:t>to determine and act upon common opportunities to support gender and equality within a common context.</w:t>
      </w:r>
      <w:r w:rsidR="005856D4">
        <w:t xml:space="preserve"> </w:t>
      </w:r>
      <w:r w:rsidR="00530BA8">
        <w:t>This may include:</w:t>
      </w:r>
    </w:p>
    <w:p w14:paraId="335B5349" w14:textId="57D53FBA" w:rsidR="00530BA8" w:rsidRDefault="00C03479" w:rsidP="00530BA8">
      <w:pPr>
        <w:pStyle w:val="ListParagraph"/>
        <w:numPr>
          <w:ilvl w:val="1"/>
          <w:numId w:val="46"/>
        </w:numPr>
        <w:spacing w:after="0"/>
      </w:pPr>
      <w:r>
        <w:t xml:space="preserve">drafting </w:t>
      </w:r>
      <w:r w:rsidR="00530BA8">
        <w:t>or adopting a gender and equality policy</w:t>
      </w:r>
      <w:r w:rsidR="00530BA8">
        <w:rPr>
          <w:rStyle w:val="FootnoteReference"/>
        </w:rPr>
        <w:footnoteReference w:id="91"/>
      </w:r>
      <w:r w:rsidR="00530BA8">
        <w:t xml:space="preserve"> appropriate to the development context the programs are working within</w:t>
      </w:r>
    </w:p>
    <w:p w14:paraId="5196E093" w14:textId="7355A1E2" w:rsidR="00530BA8" w:rsidRDefault="00C03479" w:rsidP="00530BA8">
      <w:pPr>
        <w:pStyle w:val="ListParagraph"/>
        <w:numPr>
          <w:ilvl w:val="1"/>
          <w:numId w:val="46"/>
        </w:numPr>
        <w:spacing w:after="0"/>
      </w:pPr>
      <w:r>
        <w:t xml:space="preserve">examining </w:t>
      </w:r>
      <w:r w:rsidR="00530BA8">
        <w:t>shared opportunities to pursue and support cross-programming support for gender and equality within an ASEAN context</w:t>
      </w:r>
      <w:r>
        <w:t>,</w:t>
      </w:r>
      <w:r w:rsidR="00530BA8">
        <w:t xml:space="preserve"> both</w:t>
      </w:r>
      <w:r w:rsidR="00BF094F">
        <w:t xml:space="preserve"> multilaterally and bilaterally</w:t>
      </w:r>
    </w:p>
    <w:p w14:paraId="24324511" w14:textId="51433E16" w:rsidR="00530BA8" w:rsidRDefault="00DA2750" w:rsidP="00530BA8">
      <w:pPr>
        <w:pStyle w:val="ListParagraph"/>
        <w:numPr>
          <w:ilvl w:val="0"/>
          <w:numId w:val="46"/>
        </w:numPr>
        <w:spacing w:after="0"/>
      </w:pPr>
      <w:r>
        <w:t>r</w:t>
      </w:r>
      <w:r w:rsidR="00530BA8">
        <w:t xml:space="preserve">evisiting existing reporting, operational and policy guidelines and templates to ensure gender and equality policy and opportunities are genuinely embedded within all </w:t>
      </w:r>
      <w:r w:rsidR="0045046A">
        <w:t>program</w:t>
      </w:r>
      <w:r w:rsidR="00530BA8">
        <w:t xml:space="preserve"> documents and reports.</w:t>
      </w:r>
      <w:r w:rsidR="005856D4">
        <w:t xml:space="preserve"> </w:t>
      </w:r>
      <w:r w:rsidR="00530BA8">
        <w:t>This should result in redrafting documents if appropriate, but certainly ensuring gender priorities and outcomes are included for support i</w:t>
      </w:r>
      <w:r w:rsidR="00BF094F">
        <w:t>n the project proposal template</w:t>
      </w:r>
    </w:p>
    <w:p w14:paraId="3790529A" w14:textId="0D475774" w:rsidR="00530BA8" w:rsidRDefault="00DA2750" w:rsidP="00530BA8">
      <w:pPr>
        <w:pStyle w:val="ListParagraph"/>
        <w:numPr>
          <w:ilvl w:val="0"/>
          <w:numId w:val="46"/>
        </w:numPr>
        <w:spacing w:after="0"/>
      </w:pPr>
      <w:r>
        <w:t>e</w:t>
      </w:r>
      <w:r w:rsidR="00530BA8">
        <w:t xml:space="preserve">nsuring gender priorities are genuinely integrated into the monitoring and evaluation framework. This means going beyond requiring the collection and distribution of </w:t>
      </w:r>
      <w:r w:rsidR="00BF094F">
        <w:t>gender-disaggregated</w:t>
      </w:r>
      <w:r w:rsidR="00530BA8">
        <w:t xml:space="preserve"> data for initiatives supported by the </w:t>
      </w:r>
      <w:r w:rsidR="0045046A">
        <w:t>program</w:t>
      </w:r>
      <w:r w:rsidR="00530BA8">
        <w:t>.</w:t>
      </w:r>
      <w:r w:rsidR="005856D4">
        <w:t xml:space="preserve"> </w:t>
      </w:r>
      <w:r w:rsidR="00530BA8">
        <w:t xml:space="preserve">At a minimum the </w:t>
      </w:r>
      <w:r w:rsidR="0045046A">
        <w:t>program</w:t>
      </w:r>
      <w:r w:rsidR="00530BA8">
        <w:t xml:space="preserve"> should</w:t>
      </w:r>
      <w:r w:rsidR="00C03479" w:rsidRPr="00C03479">
        <w:t xml:space="preserve"> </w:t>
      </w:r>
      <w:r w:rsidR="00C03479">
        <w:t>ensure all</w:t>
      </w:r>
      <w:r w:rsidR="00530BA8">
        <w:t>:</w:t>
      </w:r>
    </w:p>
    <w:p w14:paraId="36BDA4FA" w14:textId="13BCCFDA" w:rsidR="00530BA8" w:rsidRDefault="00530BA8" w:rsidP="00530BA8">
      <w:pPr>
        <w:pStyle w:val="ListParagraph"/>
        <w:numPr>
          <w:ilvl w:val="1"/>
          <w:numId w:val="46"/>
        </w:numPr>
        <w:spacing w:after="0"/>
      </w:pPr>
      <w:r>
        <w:t>project proposals include a requirement for supported activities to report upon actual or perceived impact upon gender and equality outcomes associated with the initiative</w:t>
      </w:r>
      <w:r>
        <w:rPr>
          <w:rStyle w:val="FootnoteReference"/>
        </w:rPr>
        <w:footnoteReference w:id="92"/>
      </w:r>
    </w:p>
    <w:p w14:paraId="246EEC27" w14:textId="69726004" w:rsidR="00530BA8" w:rsidRDefault="00530BA8" w:rsidP="00530BA8">
      <w:pPr>
        <w:pStyle w:val="ListParagraph"/>
        <w:numPr>
          <w:ilvl w:val="1"/>
          <w:numId w:val="46"/>
        </w:numPr>
        <w:spacing w:after="0"/>
      </w:pPr>
      <w:r>
        <w:t>AECSP reports include exception reporting if gender and equality activities are not bein</w:t>
      </w:r>
      <w:r w:rsidR="00BF094F">
        <w:t>g supported or impacts observed</w:t>
      </w:r>
    </w:p>
    <w:p w14:paraId="4E666C22" w14:textId="40881CE6" w:rsidR="00530BA8" w:rsidRDefault="00DA2750" w:rsidP="00530BA8">
      <w:pPr>
        <w:pStyle w:val="ListParagraph"/>
        <w:numPr>
          <w:ilvl w:val="0"/>
          <w:numId w:val="46"/>
        </w:numPr>
        <w:spacing w:after="0"/>
      </w:pPr>
      <w:r>
        <w:t>p</w:t>
      </w:r>
      <w:r w:rsidR="00530BA8">
        <w:t>ursu</w:t>
      </w:r>
      <w:r w:rsidR="006F03A4">
        <w:t>ing</w:t>
      </w:r>
      <w:r w:rsidR="00530BA8">
        <w:t xml:space="preserve"> innovative ways to support the gender and equality agenda within an AECSP/AANZFTA context, working through the </w:t>
      </w:r>
      <w:r w:rsidR="00546E38">
        <w:t xml:space="preserve">Economic Cooperation Work </w:t>
      </w:r>
      <w:r w:rsidR="00C03479">
        <w:t>P</w:t>
      </w:r>
      <w:r w:rsidR="0045046A">
        <w:t>rogram</w:t>
      </w:r>
      <w:r w:rsidR="00530BA8">
        <w:t>.</w:t>
      </w:r>
      <w:r w:rsidR="005856D4">
        <w:t xml:space="preserve"> </w:t>
      </w:r>
      <w:r w:rsidR="00530BA8">
        <w:t>This could include:</w:t>
      </w:r>
    </w:p>
    <w:p w14:paraId="4A4F37A2" w14:textId="5626AC77" w:rsidR="00530BA8" w:rsidRDefault="00C03479" w:rsidP="00530BA8">
      <w:pPr>
        <w:pStyle w:val="ListParagraph"/>
        <w:numPr>
          <w:ilvl w:val="1"/>
          <w:numId w:val="46"/>
        </w:numPr>
        <w:spacing w:after="0"/>
      </w:pPr>
      <w:r>
        <w:t xml:space="preserve">sponsoring </w:t>
      </w:r>
      <w:r w:rsidR="00530BA8">
        <w:t>or prescribing research/policy initiatives in support of gender equity priorities.</w:t>
      </w:r>
      <w:r w:rsidR="005856D4">
        <w:t xml:space="preserve"> </w:t>
      </w:r>
      <w:r w:rsidR="00530BA8">
        <w:t>Examples include value chain analysis, trade policy review mechanisms, sustainability impact assessment, engendering trade policies, poverty and social impact analysis, fair and ethical trade mechanisms</w:t>
      </w:r>
    </w:p>
    <w:p w14:paraId="5C160F2D" w14:textId="3063C63B" w:rsidR="00530BA8" w:rsidRDefault="00C03479" w:rsidP="00530BA8">
      <w:pPr>
        <w:pStyle w:val="ListParagraph"/>
        <w:numPr>
          <w:ilvl w:val="1"/>
          <w:numId w:val="46"/>
        </w:numPr>
        <w:spacing w:after="0"/>
      </w:pPr>
      <w:r>
        <w:lastRenderedPageBreak/>
        <w:t xml:space="preserve">ensuring </w:t>
      </w:r>
      <w:r w:rsidR="00530BA8">
        <w:t xml:space="preserve">all materials and activities supported by the </w:t>
      </w:r>
      <w:r w:rsidR="0045046A">
        <w:t>program</w:t>
      </w:r>
      <w:r w:rsidR="00530BA8">
        <w:t xml:space="preserve"> have a gender analysis completed to assess intended and unintended (gender) impacts derived from the activity</w:t>
      </w:r>
    </w:p>
    <w:p w14:paraId="55511C92" w14:textId="0063DCA5" w:rsidR="00530BA8" w:rsidRDefault="00C03479" w:rsidP="00530BA8">
      <w:pPr>
        <w:pStyle w:val="ListParagraph"/>
        <w:numPr>
          <w:ilvl w:val="1"/>
          <w:numId w:val="46"/>
        </w:numPr>
        <w:spacing w:after="0"/>
      </w:pPr>
      <w:r>
        <w:t xml:space="preserve">ensuring </w:t>
      </w:r>
      <w:r w:rsidR="00530BA8">
        <w:t>women</w:t>
      </w:r>
      <w:r>
        <w:t xml:space="preserve"> </w:t>
      </w:r>
      <w:r w:rsidR="00530BA8">
        <w:t xml:space="preserve">or gender experts are included in all discussions and activities sponsored by the </w:t>
      </w:r>
      <w:r w:rsidR="0045046A">
        <w:t>program</w:t>
      </w:r>
      <w:r w:rsidR="00530BA8">
        <w:t>.</w:t>
      </w:r>
      <w:r w:rsidR="005856D4">
        <w:t xml:space="preserve"> </w:t>
      </w:r>
      <w:r w:rsidR="00530BA8">
        <w:t xml:space="preserve">At a minimum ensure gender discussions take place during all consultations and decision making processes associated with the </w:t>
      </w:r>
      <w:r w:rsidR="0045046A">
        <w:t>program</w:t>
      </w:r>
    </w:p>
    <w:p w14:paraId="23C1E41C" w14:textId="677D2B3C" w:rsidR="00530BA8" w:rsidRDefault="00C03479" w:rsidP="00530BA8">
      <w:pPr>
        <w:pStyle w:val="ListParagraph"/>
        <w:numPr>
          <w:ilvl w:val="1"/>
          <w:numId w:val="46"/>
        </w:numPr>
        <w:spacing w:after="0"/>
      </w:pPr>
      <w:r>
        <w:t xml:space="preserve">encouraging </w:t>
      </w:r>
      <w:r w:rsidR="00530BA8">
        <w:t>proposals which are most likely to empower women in an international trade context</w:t>
      </w:r>
      <w:r>
        <w:t>, for example</w:t>
      </w:r>
      <w:r w:rsidR="00530BA8">
        <w:t xml:space="preserve"> opportunities to expand trade access for small and medium sized companies (traders) where women are more likely to be recipients of trade benefits.</w:t>
      </w:r>
      <w:r w:rsidR="005856D4">
        <w:t xml:space="preserve"> </w:t>
      </w:r>
      <w:r w:rsidR="00530BA8">
        <w:t>This could include strengthening support to the informal sector</w:t>
      </w:r>
    </w:p>
    <w:p w14:paraId="6058BC32" w14:textId="26949FDB" w:rsidR="00530BA8" w:rsidRDefault="00C03479" w:rsidP="00530BA8">
      <w:pPr>
        <w:pStyle w:val="ListParagraph"/>
        <w:numPr>
          <w:ilvl w:val="1"/>
          <w:numId w:val="46"/>
        </w:numPr>
        <w:spacing w:after="0"/>
      </w:pPr>
      <w:r>
        <w:t xml:space="preserve">expanding </w:t>
      </w:r>
      <w:r w:rsidR="00530BA8">
        <w:t>opportunities to ensure women are not disadvantaged as a result of revised patent and intellectual property rights</w:t>
      </w:r>
      <w:r w:rsidR="00530BA8">
        <w:rPr>
          <w:rStyle w:val="FootnoteReference"/>
        </w:rPr>
        <w:footnoteReference w:id="93"/>
      </w:r>
    </w:p>
    <w:p w14:paraId="4738A294" w14:textId="7125AEF8" w:rsidR="00530BA8" w:rsidRDefault="00C03479" w:rsidP="00530BA8">
      <w:pPr>
        <w:pStyle w:val="ListParagraph"/>
        <w:numPr>
          <w:ilvl w:val="1"/>
          <w:numId w:val="46"/>
        </w:numPr>
        <w:spacing w:after="0"/>
      </w:pPr>
      <w:r>
        <w:t xml:space="preserve">ensuring initiatives are in place to support opportunities for women in the services sector, as traditionally </w:t>
      </w:r>
      <w:r w:rsidR="00530BA8">
        <w:t>women have become more advantaged as trade in services have improved</w:t>
      </w:r>
      <w:r w:rsidR="00530BA8">
        <w:rPr>
          <w:rStyle w:val="FootnoteReference"/>
        </w:rPr>
        <w:footnoteReference w:id="94"/>
      </w:r>
    </w:p>
    <w:p w14:paraId="62C1EE7E" w14:textId="51EAFDE6" w:rsidR="00530BA8" w:rsidRDefault="00C03479" w:rsidP="00530BA8">
      <w:pPr>
        <w:pStyle w:val="ListParagraph"/>
        <w:numPr>
          <w:ilvl w:val="1"/>
          <w:numId w:val="46"/>
        </w:numPr>
        <w:spacing w:after="0"/>
      </w:pPr>
      <w:r>
        <w:t xml:space="preserve">focusing </w:t>
      </w:r>
      <w:r w:rsidR="00530BA8">
        <w:t>on capacity development initiatives which strengthen local know-how, particularly for women, within an institutional context.</w:t>
      </w:r>
      <w:r w:rsidR="005856D4">
        <w:t xml:space="preserve"> </w:t>
      </w:r>
      <w:r w:rsidR="00530BA8">
        <w:t>This should be linked t</w:t>
      </w:r>
      <w:r w:rsidR="00BF094F">
        <w:t>o opportunities to strengthen</w:t>
      </w:r>
      <w:r w:rsidR="00530BA8">
        <w:t xml:space="preserve"> capacity to meet export market requirements.</w:t>
      </w:r>
      <w:r w:rsidR="005856D4">
        <w:t xml:space="preserve"> </w:t>
      </w:r>
      <w:r w:rsidR="00530BA8">
        <w:t>This could be pursued in partnership with donors (including AusAID) in a bilateral context.</w:t>
      </w:r>
    </w:p>
    <w:p w14:paraId="44E732BD" w14:textId="77777777" w:rsidR="00530BA8" w:rsidRPr="00B8277F" w:rsidRDefault="00530BA8" w:rsidP="00530BA8">
      <w:pPr>
        <w:pStyle w:val="Heading4"/>
      </w:pPr>
      <w:r w:rsidRPr="00B8277F">
        <w:t>Conclusion</w:t>
      </w:r>
    </w:p>
    <w:p w14:paraId="749243C4" w14:textId="3BC8110A" w:rsidR="00530BA8" w:rsidRDefault="00530BA8" w:rsidP="00530BA8">
      <w:pPr>
        <w:pStyle w:val="BodyText"/>
      </w:pPr>
      <w:r>
        <w:t xml:space="preserve">AANZFTA/AECSP has made little progress in advancing the gender and equality agenda within the overall context of the </w:t>
      </w:r>
      <w:r w:rsidR="0045046A">
        <w:t>program</w:t>
      </w:r>
      <w:r>
        <w:t>.</w:t>
      </w:r>
      <w:r w:rsidR="005856D4">
        <w:t xml:space="preserve"> </w:t>
      </w:r>
      <w:r w:rsidR="00E3429C">
        <w:t xml:space="preserve">While it </w:t>
      </w:r>
      <w:r>
        <w:t>is developmentally challenging to pursue gender and equality opportunities in the ASEAN context</w:t>
      </w:r>
      <w:r w:rsidR="00E3429C">
        <w:t xml:space="preserve">, </w:t>
      </w:r>
      <w:r>
        <w:t xml:space="preserve">we are perhaps underestimating the opportunities that exist to work with our </w:t>
      </w:r>
      <w:r w:rsidR="00FA23AA">
        <w:t xml:space="preserve">ASEAN </w:t>
      </w:r>
      <w:r w:rsidR="00E3429C">
        <w:t>Secretariat</w:t>
      </w:r>
      <w:r>
        <w:t xml:space="preserve">/ASEAN partners in supporting gender and equality within the context of the </w:t>
      </w:r>
      <w:r w:rsidR="0045046A">
        <w:t>program</w:t>
      </w:r>
      <w:r>
        <w:t>.</w:t>
      </w:r>
    </w:p>
    <w:p w14:paraId="2A3E9E81" w14:textId="72F774B5" w:rsidR="00530BA8" w:rsidRDefault="00530BA8" w:rsidP="00530BA8">
      <w:pPr>
        <w:pStyle w:val="BodyText"/>
      </w:pPr>
      <w:r>
        <w:t>It is incumbent upon all partners</w:t>
      </w:r>
      <w:r w:rsidR="00E3429C">
        <w:t xml:space="preserve">, </w:t>
      </w:r>
      <w:r>
        <w:t>particularly Australia and New Zealand, to ensure legitimate and practical opportunities are pursued in support of the gender and equality agenda.</w:t>
      </w:r>
      <w:r w:rsidR="005856D4">
        <w:t xml:space="preserve"> </w:t>
      </w:r>
      <w:r>
        <w:t xml:space="preserve">This should be done within the holistic context of the </w:t>
      </w:r>
      <w:r w:rsidR="0045046A">
        <w:t>program</w:t>
      </w:r>
      <w:r>
        <w:t xml:space="preserve"> and in partnership with</w:t>
      </w:r>
      <w:r w:rsidR="00E3429C">
        <w:t xml:space="preserve"> the</w:t>
      </w:r>
      <w:r>
        <w:t xml:space="preserve"> </w:t>
      </w:r>
      <w:r w:rsidR="00FA23AA">
        <w:t xml:space="preserve">ASEAN </w:t>
      </w:r>
      <w:r w:rsidR="00E3429C">
        <w:t xml:space="preserve">Secretariat </w:t>
      </w:r>
      <w:r>
        <w:t xml:space="preserve">and </w:t>
      </w:r>
      <w:r w:rsidR="00E3429C">
        <w:t>the ASEAN</w:t>
      </w:r>
      <w:r w:rsidR="00445F64">
        <w:t xml:space="preserve"> A</w:t>
      </w:r>
      <w:r w:rsidR="00E3429C">
        <w:t>ustralia Development Cooperation Program</w:t>
      </w:r>
      <w:r w:rsidR="00445F64">
        <w:t>: Phase II</w:t>
      </w:r>
      <w:r w:rsidR="00E3429C">
        <w:t xml:space="preserve"> </w:t>
      </w:r>
      <w:proofErr w:type="spellStart"/>
      <w:r>
        <w:t>II</w:t>
      </w:r>
      <w:proofErr w:type="spellEnd"/>
      <w:r>
        <w:t>.</w:t>
      </w:r>
    </w:p>
    <w:p w14:paraId="3F538EB5" w14:textId="77777777" w:rsidR="00530BA8" w:rsidRDefault="00530BA8" w:rsidP="00530BA8">
      <w:pPr>
        <w:spacing w:after="0"/>
      </w:pPr>
    </w:p>
    <w:p w14:paraId="0396996A" w14:textId="77777777" w:rsidR="00530BA8" w:rsidRDefault="00530BA8" w:rsidP="00530BA8">
      <w:pPr>
        <w:pStyle w:val="Heading1"/>
        <w:sectPr w:rsidR="00530BA8" w:rsidSect="009E068C">
          <w:pgSz w:w="11900" w:h="16840" w:code="9"/>
          <w:pgMar w:top="1440" w:right="1797" w:bottom="1440" w:left="1797" w:header="567" w:footer="431" w:gutter="0"/>
          <w:cols w:space="708"/>
        </w:sectPr>
      </w:pPr>
    </w:p>
    <w:p w14:paraId="43881AF3" w14:textId="747CDEEB" w:rsidR="00530BA8" w:rsidRDefault="00530BA8" w:rsidP="00530BA8">
      <w:pPr>
        <w:pStyle w:val="Heading1"/>
      </w:pPr>
      <w:bookmarkStart w:id="13" w:name="_Toc229924890"/>
      <w:r>
        <w:lastRenderedPageBreak/>
        <w:t>Appendix 7:</w:t>
      </w:r>
      <w:r w:rsidRPr="00EC1BE4">
        <w:t xml:space="preserve"> </w:t>
      </w:r>
      <w:r>
        <w:t xml:space="preserve">Feedback to </w:t>
      </w:r>
      <w:r w:rsidR="00E3429C">
        <w:t xml:space="preserve">the </w:t>
      </w:r>
      <w:r>
        <w:t>D</w:t>
      </w:r>
      <w:r w:rsidR="00E3429C">
        <w:t xml:space="preserve">epartment of </w:t>
      </w:r>
      <w:r>
        <w:t>F</w:t>
      </w:r>
      <w:r w:rsidR="00E3429C">
        <w:t xml:space="preserve">oreign </w:t>
      </w:r>
      <w:r>
        <w:t>A</w:t>
      </w:r>
      <w:r w:rsidR="00E3429C">
        <w:t xml:space="preserve">ffairs and </w:t>
      </w:r>
      <w:r>
        <w:t>T</w:t>
      </w:r>
      <w:r w:rsidR="00E3429C">
        <w:t>rade</w:t>
      </w:r>
      <w:r>
        <w:t xml:space="preserve"> on AECSP</w:t>
      </w:r>
      <w:r>
        <w:rPr>
          <w:rStyle w:val="FootnoteReference"/>
        </w:rPr>
        <w:footnoteReference w:id="95"/>
      </w:r>
      <w:bookmarkEnd w:id="13"/>
      <w:r>
        <w:t xml:space="preserve"> </w:t>
      </w:r>
    </w:p>
    <w:p w14:paraId="577EB2E5" w14:textId="35A189DD" w:rsidR="00530BA8" w:rsidRDefault="00E3429C" w:rsidP="00530BA8">
      <w:r>
        <w:t xml:space="preserve">The Department of Foreign Affairs and Trade </w:t>
      </w:r>
      <w:r w:rsidR="00530BA8">
        <w:t xml:space="preserve">has had consistent excellent feedback </w:t>
      </w:r>
      <w:r>
        <w:t xml:space="preserve">from ASEAN countries </w:t>
      </w:r>
      <w:r w:rsidR="00530BA8">
        <w:t>on AECSP and Australia’s contribution to it.</w:t>
      </w:r>
      <w:r w:rsidR="005856D4">
        <w:t xml:space="preserve"> </w:t>
      </w:r>
      <w:r w:rsidR="00530BA8">
        <w:t xml:space="preserve">Much of this has been informal, in the course of conversation with ASEAN participants in AANZFTA Economic Cooperation Work </w:t>
      </w:r>
      <w:r>
        <w:t>P</w:t>
      </w:r>
      <w:r w:rsidR="0045046A">
        <w:t>rogram</w:t>
      </w:r>
      <w:r>
        <w:t xml:space="preserve"> </w:t>
      </w:r>
      <w:r w:rsidR="00530BA8">
        <w:t>activities.</w:t>
      </w:r>
      <w:r w:rsidR="005856D4">
        <w:t xml:space="preserve"> </w:t>
      </w:r>
      <w:r w:rsidR="00530BA8">
        <w:t>Numerous specific requests</w:t>
      </w:r>
      <w:r w:rsidR="005856D4">
        <w:t xml:space="preserve"> </w:t>
      </w:r>
      <w:r w:rsidR="00530BA8">
        <w:t xml:space="preserve">for particular Australian Government officials to participate in and run </w:t>
      </w:r>
      <w:r w:rsidR="0045046A">
        <w:t>program</w:t>
      </w:r>
      <w:r w:rsidR="005856D4">
        <w:t xml:space="preserve"> </w:t>
      </w:r>
      <w:r w:rsidR="00530BA8">
        <w:t>activities because of their expertise and negotiating experience are further evidence of the positive ASEAN attitude to the program, as well as their increasing familiarity with and confidence in it.</w:t>
      </w:r>
      <w:r w:rsidR="005856D4">
        <w:t xml:space="preserve"> </w:t>
      </w:r>
      <w:r w:rsidR="00530BA8">
        <w:t xml:space="preserve">There are increasing requests from ASEAN countries, including the least developed, for </w:t>
      </w:r>
      <w:r>
        <w:t>follow-</w:t>
      </w:r>
      <w:r w:rsidR="00530BA8">
        <w:t>up</w:t>
      </w:r>
      <w:r>
        <w:t>,</w:t>
      </w:r>
      <w:r w:rsidR="00530BA8">
        <w:t xml:space="preserve"> and second and third phases of </w:t>
      </w:r>
      <w:r w:rsidR="00546E38">
        <w:t xml:space="preserve">Economic Cooperation Work </w:t>
      </w:r>
      <w:r>
        <w:t>P</w:t>
      </w:r>
      <w:r w:rsidR="0045046A">
        <w:t>rogram</w:t>
      </w:r>
      <w:r w:rsidR="005856D4">
        <w:t xml:space="preserve"> </w:t>
      </w:r>
      <w:r w:rsidR="00530BA8">
        <w:t>activities.</w:t>
      </w:r>
      <w:r w:rsidR="005856D4">
        <w:t xml:space="preserve"> </w:t>
      </w:r>
      <w:r w:rsidR="00530BA8">
        <w:t>ASEAN countries are themselves initiating more projects (rather than responding to proposals from Australia, New Zealand and the ASEAN Secretariat), which augurs well for the sustainability of the work under AECSP.</w:t>
      </w:r>
      <w:r w:rsidR="005856D4">
        <w:t xml:space="preserve"> </w:t>
      </w:r>
    </w:p>
    <w:p w14:paraId="32A1D422" w14:textId="12096CF6" w:rsidR="00530BA8" w:rsidRDefault="00530BA8" w:rsidP="00530BA8">
      <w:r>
        <w:t>From Australia’s perspective, the 2012 Australia in the Asian Century White Paper includes a précis of economic cooperation under AECSP as an integral part of the vision of</w:t>
      </w:r>
      <w:r w:rsidR="00BF094F">
        <w:t xml:space="preserve"> a more open Australian economy</w:t>
      </w:r>
      <w:r>
        <w:t xml:space="preserve"> integrated with Asia.</w:t>
      </w:r>
      <w:r w:rsidR="005856D4">
        <w:t xml:space="preserve"> </w:t>
      </w:r>
    </w:p>
    <w:p w14:paraId="0553E722" w14:textId="6199E8F1" w:rsidR="00530BA8" w:rsidRDefault="00530BA8" w:rsidP="00530BA8">
      <w:r>
        <w:t>We have listed below formal feedback on AECSP, which is the tip of the iceberg, but gives a snapshot of ASEAN perceptions of the AECSP at all levels.</w:t>
      </w:r>
      <w:r w:rsidR="005856D4">
        <w:t xml:space="preserve"> </w:t>
      </w:r>
      <w:r>
        <w:t xml:space="preserve">The feedback comprises: </w:t>
      </w:r>
    </w:p>
    <w:p w14:paraId="7ED6C177" w14:textId="74230785" w:rsidR="00530BA8" w:rsidRPr="00AD2706" w:rsidRDefault="00E3429C" w:rsidP="00530BA8">
      <w:pPr>
        <w:pStyle w:val="ListParagraph"/>
        <w:numPr>
          <w:ilvl w:val="0"/>
          <w:numId w:val="27"/>
        </w:numPr>
        <w:spacing w:before="0" w:after="0"/>
        <w:contextualSpacing w:val="0"/>
      </w:pPr>
      <w:r>
        <w:t>e</w:t>
      </w:r>
      <w:r w:rsidRPr="00AD2706">
        <w:t xml:space="preserve">xcerpts </w:t>
      </w:r>
      <w:r w:rsidR="00530BA8" w:rsidRPr="00AD2706">
        <w:t xml:space="preserve">from </w:t>
      </w:r>
      <w:r w:rsidRPr="00AD2706">
        <w:t>statements from</w:t>
      </w:r>
      <w:r>
        <w:t xml:space="preserve"> </w:t>
      </w:r>
      <w:r w:rsidRPr="00AD2706">
        <w:t>leaders and ministers</w:t>
      </w:r>
      <w:r>
        <w:t xml:space="preserve"> </w:t>
      </w:r>
      <w:r w:rsidR="00530BA8" w:rsidRPr="00AD2706">
        <w:t xml:space="preserve">meetings and related media releases </w:t>
      </w:r>
    </w:p>
    <w:p w14:paraId="289F59CE" w14:textId="0C0F3D3B" w:rsidR="00530BA8" w:rsidRPr="00AD2706" w:rsidRDefault="00E3429C" w:rsidP="00714B4B">
      <w:pPr>
        <w:pStyle w:val="ListParagraph"/>
        <w:numPr>
          <w:ilvl w:val="0"/>
          <w:numId w:val="78"/>
        </w:numPr>
        <w:spacing w:before="0" w:after="0"/>
        <w:contextualSpacing w:val="0"/>
      </w:pPr>
      <w:r>
        <w:t>an e</w:t>
      </w:r>
      <w:r w:rsidRPr="00AD2706">
        <w:t xml:space="preserve">xtract </w:t>
      </w:r>
      <w:r w:rsidR="00530BA8" w:rsidRPr="00AD2706">
        <w:t>from the Australia in the Asian Century</w:t>
      </w:r>
      <w:r w:rsidR="005856D4">
        <w:t xml:space="preserve"> </w:t>
      </w:r>
      <w:r w:rsidR="00530BA8" w:rsidRPr="00AD2706">
        <w:t xml:space="preserve">White Paper </w:t>
      </w:r>
      <w:r>
        <w:t>.</w:t>
      </w:r>
    </w:p>
    <w:p w14:paraId="0444EA8A" w14:textId="77777777" w:rsidR="00530BA8" w:rsidRDefault="00530BA8" w:rsidP="00530BA8">
      <w:pPr>
        <w:pStyle w:val="ListParagraph"/>
      </w:pPr>
    </w:p>
    <w:p w14:paraId="04AA83E2" w14:textId="11797471" w:rsidR="00530BA8" w:rsidRPr="00714B4B" w:rsidRDefault="00530BA8" w:rsidP="00714B4B">
      <w:pPr>
        <w:pStyle w:val="ListParagraph"/>
        <w:numPr>
          <w:ilvl w:val="0"/>
          <w:numId w:val="28"/>
        </w:numPr>
        <w:spacing w:before="0" w:after="0"/>
        <w:ind w:left="284"/>
        <w:contextualSpacing w:val="0"/>
        <w:rPr>
          <w:b/>
        </w:rPr>
      </w:pPr>
      <w:r w:rsidRPr="00362DA7">
        <w:rPr>
          <w:b/>
          <w:i/>
        </w:rPr>
        <w:t xml:space="preserve">Excerpts from </w:t>
      </w:r>
      <w:r w:rsidR="00E3429C">
        <w:rPr>
          <w:b/>
          <w:i/>
        </w:rPr>
        <w:t xml:space="preserve">statements from leaders and ministers </w:t>
      </w:r>
      <w:r w:rsidRPr="00362DA7">
        <w:rPr>
          <w:b/>
          <w:i/>
        </w:rPr>
        <w:t xml:space="preserve">meetings and </w:t>
      </w:r>
      <w:r>
        <w:rPr>
          <w:b/>
          <w:i/>
        </w:rPr>
        <w:t xml:space="preserve">related </w:t>
      </w:r>
      <w:r w:rsidRPr="00362DA7">
        <w:rPr>
          <w:b/>
          <w:i/>
        </w:rPr>
        <w:t xml:space="preserve">media releases </w:t>
      </w:r>
    </w:p>
    <w:p w14:paraId="1C92170C" w14:textId="7B74C2DA" w:rsidR="00530BA8" w:rsidRPr="00B75A93" w:rsidRDefault="00530BA8" w:rsidP="00530BA8">
      <w:pPr>
        <w:pStyle w:val="BodyText"/>
        <w:rPr>
          <w:b/>
        </w:rPr>
      </w:pPr>
      <w:r w:rsidRPr="00B75A93">
        <w:rPr>
          <w:b/>
        </w:rPr>
        <w:t>17</w:t>
      </w:r>
      <w:r w:rsidRPr="00B75A93">
        <w:rPr>
          <w:b/>
          <w:vertAlign w:val="superscript"/>
        </w:rPr>
        <w:t>th</w:t>
      </w:r>
      <w:r w:rsidRPr="00B75A93">
        <w:rPr>
          <w:b/>
        </w:rPr>
        <w:t xml:space="preserve"> AEM-CER </w:t>
      </w:r>
      <w:r w:rsidR="00E24F00">
        <w:rPr>
          <w:b/>
        </w:rPr>
        <w:t>c</w:t>
      </w:r>
      <w:r w:rsidR="00E24F00" w:rsidRPr="00B75A93">
        <w:rPr>
          <w:b/>
        </w:rPr>
        <w:t xml:space="preserve">onsultations </w:t>
      </w:r>
      <w:r w:rsidRPr="00B75A93">
        <w:rPr>
          <w:b/>
        </w:rPr>
        <w:t>(31 August 2012)</w:t>
      </w:r>
    </w:p>
    <w:p w14:paraId="2B8AE5B4" w14:textId="77B136DA" w:rsidR="00530BA8" w:rsidRDefault="00530BA8" w:rsidP="00530BA8">
      <w:pPr>
        <w:pStyle w:val="Heading4"/>
      </w:pPr>
      <w:r w:rsidRPr="00CF7B81">
        <w:t xml:space="preserve">Summary of </w:t>
      </w:r>
      <w:r w:rsidR="00E3429C" w:rsidRPr="00CF7B81">
        <w:t>decisions</w:t>
      </w:r>
      <w:r w:rsidR="00E3429C">
        <w:t xml:space="preserve"> (and joint media statement</w:t>
      </w:r>
      <w:r>
        <w:t>)</w:t>
      </w:r>
    </w:p>
    <w:p w14:paraId="0A9AE2AA" w14:textId="4C67E4B9" w:rsidR="00530BA8" w:rsidRDefault="00530BA8" w:rsidP="00E3429C">
      <w:pPr>
        <w:ind w:left="426" w:hanging="426"/>
      </w:pPr>
      <w:r>
        <w:t xml:space="preserve">12. </w:t>
      </w:r>
      <w:r>
        <w:tab/>
        <w:t xml:space="preserve">Ministers were pleased with the good progress achieved in economic cooperation among the (AANZFTA) </w:t>
      </w:r>
      <w:r w:rsidR="00E3429C">
        <w:t>parties</w:t>
      </w:r>
      <w:r>
        <w:t xml:space="preserve">, particularly in implementation of the </w:t>
      </w:r>
      <w:r w:rsidR="00E3429C">
        <w:t>free trade agreement</w:t>
      </w:r>
      <w:r>
        <w:t xml:space="preserve"> in goods-related, intellectual property and competition policy areas. </w:t>
      </w:r>
    </w:p>
    <w:p w14:paraId="6F761F2E" w14:textId="50AE4927" w:rsidR="00530BA8" w:rsidRDefault="00530BA8" w:rsidP="00714B4B">
      <w:pPr>
        <w:ind w:left="426" w:hanging="426"/>
      </w:pPr>
      <w:r>
        <w:t>14.</w:t>
      </w:r>
      <w:r>
        <w:tab/>
        <w:t>ASEAN Economic Ministers expressed their appreciation to Australia and New Zealand for the continued technical and financial support given to ASEAN through the AECSP.</w:t>
      </w:r>
    </w:p>
    <w:p w14:paraId="21970DFE" w14:textId="39A4EDDF" w:rsidR="00530BA8" w:rsidRDefault="00530BA8" w:rsidP="00530BA8">
      <w:pPr>
        <w:pStyle w:val="Heading4"/>
      </w:pPr>
      <w:r>
        <w:t xml:space="preserve">Joint </w:t>
      </w:r>
      <w:r w:rsidR="00E3429C">
        <w:t>media statement</w:t>
      </w:r>
    </w:p>
    <w:p w14:paraId="3B007A81" w14:textId="0EA5DEC1" w:rsidR="00530BA8" w:rsidRDefault="00530BA8" w:rsidP="00530BA8">
      <w:pPr>
        <w:pStyle w:val="List"/>
      </w:pPr>
      <w:r>
        <w:t>9.</w:t>
      </w:r>
      <w:r>
        <w:tab/>
        <w:t xml:space="preserve">The Ministers noted the breadth and depth of the economic cooperation projects (under AECSP) and their increasing focus on achieving inclusive regional economic integration to complement the building of an ASEAN Economic Community as well as narrowing the development gap among the </w:t>
      </w:r>
      <w:r w:rsidR="00E3429C">
        <w:t>parties</w:t>
      </w:r>
      <w:r>
        <w:t>.</w:t>
      </w:r>
    </w:p>
    <w:p w14:paraId="39BF20D1" w14:textId="77777777" w:rsidR="00E3429C" w:rsidRDefault="00E3429C" w:rsidP="00530BA8"/>
    <w:p w14:paraId="2F122A87" w14:textId="670015CA" w:rsidR="00530BA8" w:rsidRPr="00B75A93" w:rsidRDefault="00530BA8" w:rsidP="00E3429C">
      <w:pPr>
        <w:pStyle w:val="ListContinue"/>
        <w:ind w:left="0"/>
        <w:rPr>
          <w:b/>
        </w:rPr>
      </w:pPr>
      <w:r w:rsidRPr="00B75A93">
        <w:rPr>
          <w:b/>
        </w:rPr>
        <w:t>16</w:t>
      </w:r>
      <w:r w:rsidRPr="00B75A93">
        <w:rPr>
          <w:b/>
          <w:vertAlign w:val="superscript"/>
        </w:rPr>
        <w:t>th</w:t>
      </w:r>
      <w:r w:rsidRPr="00B75A93">
        <w:rPr>
          <w:b/>
        </w:rPr>
        <w:t xml:space="preserve"> AEM-CER </w:t>
      </w:r>
      <w:r w:rsidR="00E24F00">
        <w:rPr>
          <w:b/>
        </w:rPr>
        <w:t>c</w:t>
      </w:r>
      <w:r w:rsidR="00E24F00" w:rsidRPr="00B75A93">
        <w:rPr>
          <w:b/>
        </w:rPr>
        <w:t xml:space="preserve">onsultations </w:t>
      </w:r>
      <w:r w:rsidRPr="00B75A93">
        <w:rPr>
          <w:b/>
        </w:rPr>
        <w:t>(13 August 2011)</w:t>
      </w:r>
    </w:p>
    <w:p w14:paraId="66F65B4D" w14:textId="0950D9B3" w:rsidR="00530BA8" w:rsidRPr="00EC1BE4" w:rsidRDefault="00530BA8" w:rsidP="00530BA8">
      <w:pPr>
        <w:pStyle w:val="Heading4"/>
      </w:pPr>
      <w:r>
        <w:t xml:space="preserve">Summary of </w:t>
      </w:r>
      <w:r w:rsidR="00E3429C">
        <w:t>decisions</w:t>
      </w:r>
    </w:p>
    <w:p w14:paraId="14198625" w14:textId="01D91591" w:rsidR="00530BA8" w:rsidRDefault="00530BA8" w:rsidP="00E3429C">
      <w:pPr>
        <w:pStyle w:val="List"/>
        <w:ind w:left="426" w:hanging="426"/>
      </w:pPr>
      <w:r>
        <w:t>11.</w:t>
      </w:r>
      <w:r>
        <w:tab/>
      </w:r>
      <w:r w:rsidRPr="00F61506">
        <w:t>Ministers noted the strategic approach of the AANZFTA Economic Cooperation Work Program. ASEAN expressed appreciation to Australia and New Zealand not only for their generous contribution in the AANZFTA Economic Cooperation Work Program, but also for extending assistance in sending expertise to conduct workshop as well as in-country trainings.</w:t>
      </w:r>
    </w:p>
    <w:p w14:paraId="323C05DF" w14:textId="78246415" w:rsidR="00530BA8" w:rsidRDefault="00530BA8" w:rsidP="00530BA8">
      <w:pPr>
        <w:pStyle w:val="Heading4"/>
      </w:pPr>
      <w:r>
        <w:lastRenderedPageBreak/>
        <w:t xml:space="preserve">Joint </w:t>
      </w:r>
      <w:r w:rsidR="00E3429C">
        <w:t>media statement</w:t>
      </w:r>
    </w:p>
    <w:p w14:paraId="43B9F9FA" w14:textId="4E0E7830" w:rsidR="00530BA8" w:rsidRPr="007F4BDD" w:rsidRDefault="00530BA8" w:rsidP="00E3429C">
      <w:pPr>
        <w:pStyle w:val="BodyText"/>
        <w:ind w:left="426" w:hanging="426"/>
      </w:pPr>
      <w:r w:rsidRPr="007F4BDD">
        <w:t>10.</w:t>
      </w:r>
      <w:r w:rsidRPr="007F4BDD">
        <w:tab/>
        <w:t xml:space="preserve">Ministers noted that concrete outcomes in support of </w:t>
      </w:r>
      <w:r>
        <w:t>…</w:t>
      </w:r>
      <w:r w:rsidRPr="007F4BDD">
        <w:t xml:space="preserve"> strategic objectives were achieved with the implementation of AANZFTA’s Economic Cooperation Support Program (AECSP)</w:t>
      </w:r>
      <w:r>
        <w:t xml:space="preserve">. </w:t>
      </w:r>
    </w:p>
    <w:p w14:paraId="50B7CDFA" w14:textId="77777777" w:rsidR="00530BA8" w:rsidRPr="007F4BDD" w:rsidRDefault="00530BA8" w:rsidP="00E3429C">
      <w:pPr>
        <w:pStyle w:val="List"/>
        <w:ind w:left="426" w:hanging="426"/>
      </w:pPr>
      <w:r w:rsidRPr="007F4BDD">
        <w:t>11.</w:t>
      </w:r>
      <w:r>
        <w:tab/>
      </w:r>
      <w:r w:rsidRPr="007F4BDD">
        <w:t xml:space="preserve">The Ministers acknowledged the wide range of economic cooperation projects completed or under implementation including: </w:t>
      </w:r>
    </w:p>
    <w:p w14:paraId="3665C7B6" w14:textId="3DEA598C" w:rsidR="00530BA8" w:rsidRPr="007F4BDD" w:rsidRDefault="00530BA8" w:rsidP="00E3429C">
      <w:pPr>
        <w:pStyle w:val="List2"/>
        <w:ind w:left="851"/>
      </w:pPr>
      <w:r w:rsidRPr="007F4BDD">
        <w:t>a.</w:t>
      </w:r>
      <w:r w:rsidRPr="007F4BDD">
        <w:tab/>
      </w:r>
      <w:r w:rsidRPr="007F4BDD">
        <w:rPr>
          <w:i/>
        </w:rPr>
        <w:t xml:space="preserve">in-country training on </w:t>
      </w:r>
      <w:r w:rsidR="00E3429C">
        <w:rPr>
          <w:i/>
        </w:rPr>
        <w:t>r</w:t>
      </w:r>
      <w:r w:rsidR="00E3429C" w:rsidRPr="007F4BDD">
        <w:rPr>
          <w:i/>
        </w:rPr>
        <w:t xml:space="preserve">ules </w:t>
      </w:r>
      <w:r w:rsidRPr="007F4BDD">
        <w:rPr>
          <w:i/>
        </w:rPr>
        <w:t xml:space="preserve">of </w:t>
      </w:r>
      <w:r w:rsidR="00E3429C">
        <w:rPr>
          <w:i/>
        </w:rPr>
        <w:t>o</w:t>
      </w:r>
      <w:r w:rsidR="00E3429C" w:rsidRPr="007F4BDD">
        <w:rPr>
          <w:i/>
        </w:rPr>
        <w:t xml:space="preserve">rigin </w:t>
      </w:r>
      <w:r w:rsidRPr="007F4BDD">
        <w:rPr>
          <w:i/>
        </w:rPr>
        <w:t>for Cambodia and Lao PDR</w:t>
      </w:r>
      <w:r w:rsidRPr="007F4BDD">
        <w:t xml:space="preserve"> to assist officials and businesses in the newer ASEAN </w:t>
      </w:r>
      <w:r w:rsidR="00E3429C">
        <w:t>m</w:t>
      </w:r>
      <w:r w:rsidR="00E3429C" w:rsidRPr="007F4BDD">
        <w:t xml:space="preserve">ember </w:t>
      </w:r>
      <w:r w:rsidR="00E3429C">
        <w:t>s</w:t>
      </w:r>
      <w:r w:rsidR="00E3429C" w:rsidRPr="007F4BDD">
        <w:t xml:space="preserve">tates </w:t>
      </w:r>
      <w:r w:rsidRPr="007F4BDD">
        <w:t xml:space="preserve">to make use of the </w:t>
      </w:r>
      <w:r w:rsidR="00E3429C">
        <w:t>a</w:t>
      </w:r>
      <w:r w:rsidR="00E3429C" w:rsidRPr="007F4BDD">
        <w:t>greement</w:t>
      </w:r>
    </w:p>
    <w:p w14:paraId="79AB6D6D" w14:textId="7E337744" w:rsidR="00530BA8" w:rsidRPr="007F4BDD" w:rsidRDefault="00530BA8" w:rsidP="00E3429C">
      <w:pPr>
        <w:pStyle w:val="List2"/>
        <w:ind w:left="851"/>
      </w:pPr>
      <w:r w:rsidRPr="007F4BDD">
        <w:t>b.</w:t>
      </w:r>
      <w:r>
        <w:tab/>
      </w:r>
      <w:r w:rsidRPr="007F4BDD">
        <w:rPr>
          <w:i/>
        </w:rPr>
        <w:t>the ASEAN Regional Diagnostics Network on Sanitary and Phytosanitary measures</w:t>
      </w:r>
      <w:r w:rsidRPr="007F4BDD">
        <w:t>, part of a wider long-term project to create an ASEAN-wide system for delivering credible plant pest and disease diagnostic services</w:t>
      </w:r>
    </w:p>
    <w:p w14:paraId="4091E669" w14:textId="177376B3" w:rsidR="00530BA8" w:rsidRPr="007F4BDD" w:rsidRDefault="00530BA8" w:rsidP="00E3429C">
      <w:pPr>
        <w:pStyle w:val="List2"/>
        <w:ind w:left="851"/>
      </w:pPr>
      <w:r w:rsidRPr="007F4BDD">
        <w:t>c.</w:t>
      </w:r>
      <w:r>
        <w:tab/>
      </w:r>
      <w:r w:rsidRPr="007F4BDD">
        <w:rPr>
          <w:i/>
        </w:rPr>
        <w:t>a forum on ASEAN Regional Qualifications Framework</w:t>
      </w:r>
      <w:r w:rsidRPr="007F4BDD">
        <w:t xml:space="preserve"> to support trade in education services and temporary movement of natural persons</w:t>
      </w:r>
    </w:p>
    <w:p w14:paraId="38410EB4" w14:textId="6151B0C3" w:rsidR="00530BA8" w:rsidRPr="007F4BDD" w:rsidRDefault="00530BA8" w:rsidP="00E3429C">
      <w:pPr>
        <w:pStyle w:val="List2"/>
        <w:ind w:left="851"/>
      </w:pPr>
      <w:r w:rsidRPr="007F4BDD">
        <w:t>d.</w:t>
      </w:r>
      <w:r>
        <w:tab/>
      </w:r>
      <w:r w:rsidRPr="007F4BDD">
        <w:rPr>
          <w:i/>
        </w:rPr>
        <w:t xml:space="preserve">a workshop on Accession to the </w:t>
      </w:r>
      <w:r w:rsidR="00E3429C" w:rsidRPr="00E3429C">
        <w:rPr>
          <w:i/>
        </w:rPr>
        <w:t>World Intellectual Property Organization</w:t>
      </w:r>
      <w:r w:rsidR="00E3429C" w:rsidRPr="00E3429C" w:rsidDel="00E3429C">
        <w:rPr>
          <w:i/>
        </w:rPr>
        <w:t xml:space="preserve"> </w:t>
      </w:r>
      <w:r w:rsidRPr="007F4BDD">
        <w:rPr>
          <w:i/>
        </w:rPr>
        <w:t>Madrid Protocol</w:t>
      </w:r>
      <w:r w:rsidRPr="007F4BDD">
        <w:t xml:space="preserve"> to build capacities among the ASEAN </w:t>
      </w:r>
      <w:r w:rsidR="00E3429C">
        <w:t>m</w:t>
      </w:r>
      <w:r w:rsidR="00E3429C" w:rsidRPr="007F4BDD">
        <w:t xml:space="preserve">ember </w:t>
      </w:r>
      <w:r w:rsidR="00E3429C">
        <w:t>s</w:t>
      </w:r>
      <w:r w:rsidR="00E3429C" w:rsidRPr="007F4BDD">
        <w:t xml:space="preserve">tates </w:t>
      </w:r>
      <w:r w:rsidRPr="007F4BDD">
        <w:t>in implementing their intellectual property commitments.</w:t>
      </w:r>
    </w:p>
    <w:p w14:paraId="32DDF0F3" w14:textId="536853C8" w:rsidR="00530BA8" w:rsidRPr="007F4BDD" w:rsidRDefault="00530BA8" w:rsidP="00E3429C">
      <w:pPr>
        <w:pStyle w:val="List"/>
        <w:ind w:left="426" w:hanging="426"/>
      </w:pPr>
      <w:r w:rsidRPr="007F4BDD">
        <w:t>12.</w:t>
      </w:r>
      <w:r>
        <w:tab/>
      </w:r>
      <w:r w:rsidRPr="007F4BDD">
        <w:t xml:space="preserve">The ASEAN Economic Ministers expressed their appreciation to Australia and New Zealand for the continued support given to ASEAN through the AECSP including making funds available for interested ASEAN </w:t>
      </w:r>
      <w:r w:rsidR="00E3429C">
        <w:t>m</w:t>
      </w:r>
      <w:r w:rsidR="00E3429C" w:rsidRPr="007F4BDD">
        <w:t xml:space="preserve">ember </w:t>
      </w:r>
      <w:r w:rsidR="00E3429C">
        <w:t>s</w:t>
      </w:r>
      <w:r w:rsidR="00E3429C" w:rsidRPr="007F4BDD">
        <w:t xml:space="preserve">tates </w:t>
      </w:r>
      <w:r w:rsidRPr="007F4BDD">
        <w:t>in undertaking an investment policy review under the OECD Policy Framework for Investment Process.</w:t>
      </w:r>
    </w:p>
    <w:p w14:paraId="077160CA" w14:textId="77777777" w:rsidR="00530BA8" w:rsidRDefault="00530BA8" w:rsidP="00530BA8">
      <w:pPr>
        <w:rPr>
          <w:b/>
        </w:rPr>
      </w:pPr>
    </w:p>
    <w:p w14:paraId="239AD5F0" w14:textId="6463039C" w:rsidR="00530BA8" w:rsidRDefault="00530BA8" w:rsidP="00530BA8">
      <w:pPr>
        <w:pStyle w:val="Heading4"/>
      </w:pPr>
      <w:r w:rsidRPr="00730155">
        <w:t xml:space="preserve">ASEAN Post Ministerial Conferences +1 </w:t>
      </w:r>
      <w:r>
        <w:t>Consultations (11 July 2012)</w:t>
      </w:r>
    </w:p>
    <w:p w14:paraId="060E26A4" w14:textId="458E5D59" w:rsidR="00530BA8" w:rsidRPr="00B75A93" w:rsidRDefault="00530BA8" w:rsidP="00530BA8">
      <w:pPr>
        <w:pStyle w:val="BodyText"/>
        <w:rPr>
          <w:i/>
        </w:rPr>
      </w:pPr>
      <w:r w:rsidRPr="00B75A93">
        <w:rPr>
          <w:i/>
        </w:rPr>
        <w:t xml:space="preserve">(Foreign </w:t>
      </w:r>
      <w:r w:rsidR="00E3429C">
        <w:rPr>
          <w:i/>
        </w:rPr>
        <w:t>m</w:t>
      </w:r>
      <w:r w:rsidR="00E3429C" w:rsidRPr="00B75A93">
        <w:rPr>
          <w:i/>
        </w:rPr>
        <w:t>inisters</w:t>
      </w:r>
      <w:r w:rsidRPr="00B75A93">
        <w:rPr>
          <w:i/>
        </w:rPr>
        <w:t>)</w:t>
      </w:r>
    </w:p>
    <w:p w14:paraId="67ED1BDF" w14:textId="01A00BD5" w:rsidR="00530BA8" w:rsidRPr="00EC1BE4" w:rsidRDefault="00530BA8" w:rsidP="00530BA8">
      <w:pPr>
        <w:pStyle w:val="Heading4"/>
      </w:pPr>
      <w:r>
        <w:t xml:space="preserve">Chairman’s </w:t>
      </w:r>
      <w:r w:rsidR="00E3429C">
        <w:t>statement</w:t>
      </w:r>
    </w:p>
    <w:p w14:paraId="0E531FFE" w14:textId="20DB9696" w:rsidR="00530BA8" w:rsidRDefault="00530BA8" w:rsidP="00E3429C">
      <w:pPr>
        <w:pStyle w:val="List2"/>
        <w:ind w:left="426" w:hanging="426"/>
      </w:pPr>
      <w:r w:rsidRPr="00730155">
        <w:t>5.</w:t>
      </w:r>
      <w:r>
        <w:tab/>
      </w:r>
      <w:r w:rsidRPr="00730155">
        <w:t>The ASEAN Ministers expressed appreciation for Australia’s contribution through the</w:t>
      </w:r>
      <w:r>
        <w:t>….</w:t>
      </w:r>
      <w:r w:rsidRPr="00730155">
        <w:t xml:space="preserve"> </w:t>
      </w:r>
      <w:r w:rsidR="00E24F00" w:rsidRPr="00730155">
        <w:t xml:space="preserve">Economic Cooperation Support Program </w:t>
      </w:r>
      <w:r w:rsidRPr="00730155">
        <w:t>for the ASEAN</w:t>
      </w:r>
      <w:r w:rsidR="00E24F00">
        <w:t>–</w:t>
      </w:r>
      <w:r w:rsidRPr="00730155">
        <w:t>Australia</w:t>
      </w:r>
      <w:r w:rsidR="00E24F00">
        <w:t>–</w:t>
      </w:r>
      <w:r w:rsidRPr="00730155">
        <w:t>New Zealand Free Trade Agreement (AANZFTA), in supporting ASEAN’s economic integration.</w:t>
      </w:r>
      <w:r>
        <w:t>”</w:t>
      </w:r>
    </w:p>
    <w:p w14:paraId="25FF0EEB" w14:textId="77777777" w:rsidR="00530BA8" w:rsidRDefault="00530BA8" w:rsidP="00530BA8"/>
    <w:p w14:paraId="44EC1753" w14:textId="232CB9C2" w:rsidR="00530BA8" w:rsidRPr="00EC1BE4" w:rsidRDefault="00530BA8" w:rsidP="00530BA8">
      <w:pPr>
        <w:pStyle w:val="Heading4"/>
      </w:pPr>
      <w:r w:rsidRPr="008E7212">
        <w:t>ASEAN</w:t>
      </w:r>
      <w:r w:rsidR="00E24F00">
        <w:t>–</w:t>
      </w:r>
      <w:r w:rsidRPr="008E7212">
        <w:t xml:space="preserve">Australia Summit </w:t>
      </w:r>
      <w:r>
        <w:t xml:space="preserve">(30 October </w:t>
      </w:r>
      <w:r w:rsidRPr="008E7212">
        <w:t>2010</w:t>
      </w:r>
      <w:r>
        <w:t>)</w:t>
      </w:r>
    </w:p>
    <w:p w14:paraId="3047AFB5" w14:textId="05DF02F9" w:rsidR="00530BA8" w:rsidRPr="00EC1BE4" w:rsidRDefault="00530BA8" w:rsidP="00530BA8">
      <w:pPr>
        <w:pStyle w:val="Heading4"/>
      </w:pPr>
      <w:r w:rsidRPr="008E7212">
        <w:t xml:space="preserve">Joint </w:t>
      </w:r>
      <w:r w:rsidR="00E24F00">
        <w:t>s</w:t>
      </w:r>
      <w:r w:rsidR="00E24F00" w:rsidRPr="008E7212">
        <w:t>tatement</w:t>
      </w:r>
    </w:p>
    <w:p w14:paraId="492C8374" w14:textId="2CF01A9A" w:rsidR="00530BA8" w:rsidRPr="008E7212" w:rsidRDefault="00530BA8" w:rsidP="00E24F00">
      <w:pPr>
        <w:pStyle w:val="List3"/>
        <w:ind w:left="426" w:hanging="426"/>
      </w:pPr>
      <w:r>
        <w:t>4.</w:t>
      </w:r>
      <w:r>
        <w:tab/>
        <w:t xml:space="preserve">ASEAN </w:t>
      </w:r>
      <w:r w:rsidR="00E24F00">
        <w:t xml:space="preserve">leaders </w:t>
      </w:r>
      <w:r>
        <w:t xml:space="preserve">noted Australia’s significant contribution to the AANZFTA Economic Cooperation Support Program, including the AANZFTA Support Unit in the ASEAN Secretariat. </w:t>
      </w:r>
      <w:r w:rsidRPr="008E7212">
        <w:rPr>
          <w:u w:val="single"/>
        </w:rPr>
        <w:t xml:space="preserve">These were unprecedented capacity building initiatives undertaken within the framework of an ASEAN-Plus </w:t>
      </w:r>
      <w:r w:rsidR="00E24F00">
        <w:rPr>
          <w:u w:val="single"/>
        </w:rPr>
        <w:t>free trade agreement</w:t>
      </w:r>
      <w:r w:rsidRPr="008E7212">
        <w:rPr>
          <w:u w:val="single"/>
        </w:rPr>
        <w:t>. We believe that the AANZFTA will be a cornerstone of the continued regional agenda for liberalisation of trade and investment and contribute to the building of a Comprehensive Economic Partnership in East Asia.</w:t>
      </w:r>
    </w:p>
    <w:p w14:paraId="4BBBC4AB" w14:textId="77777777" w:rsidR="00530BA8" w:rsidRDefault="00530BA8" w:rsidP="00530BA8">
      <w:pPr>
        <w:rPr>
          <w:b/>
        </w:rPr>
      </w:pPr>
    </w:p>
    <w:p w14:paraId="7D74B18E" w14:textId="12395632" w:rsidR="00530BA8" w:rsidRPr="00B75A93" w:rsidRDefault="00530BA8" w:rsidP="00530BA8">
      <w:pPr>
        <w:pStyle w:val="BodyText"/>
        <w:rPr>
          <w:b/>
        </w:rPr>
      </w:pPr>
      <w:r w:rsidRPr="00B75A93">
        <w:rPr>
          <w:b/>
        </w:rPr>
        <w:t>15</w:t>
      </w:r>
      <w:r w:rsidRPr="00B75A93">
        <w:rPr>
          <w:b/>
          <w:vertAlign w:val="superscript"/>
        </w:rPr>
        <w:t>th</w:t>
      </w:r>
      <w:r w:rsidRPr="00B75A93">
        <w:rPr>
          <w:b/>
        </w:rPr>
        <w:t xml:space="preserve"> AEM-CER </w:t>
      </w:r>
      <w:r w:rsidR="00E24F00">
        <w:rPr>
          <w:b/>
        </w:rPr>
        <w:t>c</w:t>
      </w:r>
      <w:r w:rsidR="00E24F00" w:rsidRPr="00B75A93">
        <w:rPr>
          <w:b/>
        </w:rPr>
        <w:t xml:space="preserve">onsultations </w:t>
      </w:r>
      <w:r w:rsidRPr="00B75A93">
        <w:rPr>
          <w:b/>
        </w:rPr>
        <w:t>(26 August 2010)</w:t>
      </w:r>
    </w:p>
    <w:p w14:paraId="00CC81D6" w14:textId="3CAC843F" w:rsidR="00530BA8" w:rsidRDefault="00530BA8" w:rsidP="00530BA8">
      <w:pPr>
        <w:pStyle w:val="Heading4"/>
      </w:pPr>
      <w:r>
        <w:t xml:space="preserve">Summary of </w:t>
      </w:r>
      <w:r w:rsidR="00E24F00">
        <w:t>decisions</w:t>
      </w:r>
    </w:p>
    <w:p w14:paraId="409D9BED" w14:textId="731C951D" w:rsidR="00530BA8" w:rsidRPr="00AD5ED5" w:rsidRDefault="00530BA8" w:rsidP="00E24F00">
      <w:pPr>
        <w:pStyle w:val="List"/>
        <w:ind w:left="426" w:hanging="426"/>
      </w:pPr>
      <w:r w:rsidRPr="00AD5ED5">
        <w:t>1</w:t>
      </w:r>
      <w:r>
        <w:t>3</w:t>
      </w:r>
      <w:r w:rsidRPr="00AD5ED5">
        <w:t>.</w:t>
      </w:r>
      <w:r w:rsidRPr="00AD5ED5">
        <w:tab/>
        <w:t xml:space="preserve">The </w:t>
      </w:r>
      <w:r w:rsidR="00E24F00">
        <w:t>m</w:t>
      </w:r>
      <w:r w:rsidR="00E24F00" w:rsidRPr="00AD5ED5">
        <w:t xml:space="preserve">eeting </w:t>
      </w:r>
      <w:r w:rsidRPr="00AD5ED5">
        <w:t xml:space="preserve">underlined the importance of the AECSP and the strategic approach being developed by </w:t>
      </w:r>
      <w:r w:rsidR="00E24F00">
        <w:t>p</w:t>
      </w:r>
      <w:r w:rsidR="00E24F00" w:rsidRPr="00AD5ED5">
        <w:t xml:space="preserve">arties </w:t>
      </w:r>
      <w:r w:rsidRPr="00AD5ED5">
        <w:t>in not only ensuring that AANZFTA commitments are implemented smoothly and in a timely manner</w:t>
      </w:r>
      <w:r w:rsidR="00E24F00">
        <w:t>,</w:t>
      </w:r>
      <w:r w:rsidRPr="00AD5ED5">
        <w:t xml:space="preserve"> but also in addressing regional development gaps to enable </w:t>
      </w:r>
      <w:r w:rsidR="00E24F00">
        <w:t>p</w:t>
      </w:r>
      <w:r w:rsidR="00E24F00" w:rsidRPr="00AD5ED5">
        <w:t>arties</w:t>
      </w:r>
      <w:r w:rsidRPr="00AD5ED5">
        <w:t xml:space="preserve">, especially the less developed ASEAN </w:t>
      </w:r>
      <w:r w:rsidR="00E24F00">
        <w:t>m</w:t>
      </w:r>
      <w:r w:rsidR="00E24F00" w:rsidRPr="00AD5ED5">
        <w:t xml:space="preserve">ember </w:t>
      </w:r>
      <w:r w:rsidR="00E24F00">
        <w:t>s</w:t>
      </w:r>
      <w:r w:rsidR="00E24F00" w:rsidRPr="00AD5ED5">
        <w:t>tates</w:t>
      </w:r>
      <w:r w:rsidR="006F03A4">
        <w:t>,</w:t>
      </w:r>
      <w:r w:rsidR="00E24F00" w:rsidRPr="00AD5ED5">
        <w:t xml:space="preserve"> </w:t>
      </w:r>
      <w:r w:rsidRPr="00AD5ED5">
        <w:t>take full advantage of the opportunities and benefits accruing from the AANZFTA.</w:t>
      </w:r>
    </w:p>
    <w:p w14:paraId="79739AE0" w14:textId="2A916103" w:rsidR="00530BA8" w:rsidRPr="00AD5ED5" w:rsidRDefault="00530BA8" w:rsidP="00E24F00">
      <w:pPr>
        <w:pStyle w:val="List"/>
        <w:ind w:left="426" w:hanging="426"/>
      </w:pPr>
      <w:r w:rsidRPr="00AD5ED5">
        <w:t>14.</w:t>
      </w:r>
      <w:r w:rsidRPr="00AD5ED5">
        <w:tab/>
        <w:t>ASEAN Economic Ministers thanked Australia and New Zealand for the continued support to ASEAN through the economic cooperation component of the AANZFTA.</w:t>
      </w:r>
    </w:p>
    <w:p w14:paraId="00D2A207" w14:textId="163B55AE" w:rsidR="00530BA8" w:rsidRDefault="00530BA8" w:rsidP="00530BA8">
      <w:pPr>
        <w:pStyle w:val="Heading4"/>
      </w:pPr>
      <w:r>
        <w:lastRenderedPageBreak/>
        <w:t xml:space="preserve">Joint </w:t>
      </w:r>
      <w:r w:rsidR="00E24F00">
        <w:t>media s</w:t>
      </w:r>
      <w:r>
        <w:t>tatement</w:t>
      </w:r>
    </w:p>
    <w:p w14:paraId="2B9EA46F" w14:textId="7E5FA568" w:rsidR="00530BA8" w:rsidRPr="003D3098" w:rsidRDefault="00530BA8" w:rsidP="00E24F00">
      <w:pPr>
        <w:pStyle w:val="List"/>
        <w:ind w:left="426" w:hanging="426"/>
      </w:pPr>
      <w:r w:rsidRPr="003D3098">
        <w:t>6.</w:t>
      </w:r>
      <w:r w:rsidRPr="003D3098">
        <w:tab/>
        <w:t>The Ministers were pleased to note the implementation of the AANZFTA Economic Cooperation Support Progra</w:t>
      </w:r>
      <w:r w:rsidR="00E24F00">
        <w:t>m</w:t>
      </w:r>
      <w:r w:rsidRPr="003D3098">
        <w:t xml:space="preserve"> (AECSP), especially the endorsement of </w:t>
      </w:r>
      <w:r w:rsidR="00E24F00">
        <w:t>10</w:t>
      </w:r>
      <w:r w:rsidR="00E24F00" w:rsidRPr="003D3098">
        <w:t xml:space="preserve"> </w:t>
      </w:r>
      <w:r w:rsidRPr="003D3098">
        <w:t xml:space="preserve">activities in several areas that include rules of origin, intellectual property, trade in services, investment and </w:t>
      </w:r>
      <w:r>
        <w:t>sanitary and phytosanitary measures</w:t>
      </w:r>
      <w:r w:rsidRPr="003D3098">
        <w:t>.</w:t>
      </w:r>
      <w:r w:rsidR="005856D4">
        <w:t xml:space="preserve"> </w:t>
      </w:r>
      <w:r w:rsidRPr="003D3098">
        <w:t xml:space="preserve">The </w:t>
      </w:r>
      <w:r w:rsidR="00E24F00">
        <w:t>m</w:t>
      </w:r>
      <w:r w:rsidR="00E24F00" w:rsidRPr="003D3098">
        <w:t xml:space="preserve">inisters </w:t>
      </w:r>
      <w:r w:rsidRPr="003D3098">
        <w:t xml:space="preserve">were confident that the AECSP and </w:t>
      </w:r>
      <w:r w:rsidR="00E24F00">
        <w:t>p</w:t>
      </w:r>
      <w:r w:rsidR="00E24F00" w:rsidRPr="003D3098">
        <w:t xml:space="preserve">arties’ </w:t>
      </w:r>
      <w:r w:rsidRPr="003D3098">
        <w:t xml:space="preserve">strategic approach to economic cooperation </w:t>
      </w:r>
      <w:r>
        <w:t xml:space="preserve">would help </w:t>
      </w:r>
      <w:r w:rsidRPr="003D3098">
        <w:t xml:space="preserve">not only to ensure the smooth implementation of AANZFTA commitments but also to address regional development gaps to enable all </w:t>
      </w:r>
      <w:r w:rsidR="00E24F00">
        <w:t>p</w:t>
      </w:r>
      <w:r w:rsidR="00E24F00" w:rsidRPr="003D3098">
        <w:t>arties</w:t>
      </w:r>
      <w:r w:rsidRPr="003D3098">
        <w:t xml:space="preserve">, especially the less developed ones, to </w:t>
      </w:r>
      <w:r>
        <w:t xml:space="preserve">take full advantage </w:t>
      </w:r>
      <w:r w:rsidRPr="003D3098">
        <w:t xml:space="preserve">of the opportunities </w:t>
      </w:r>
      <w:r>
        <w:t xml:space="preserve">and benefits of </w:t>
      </w:r>
      <w:r w:rsidRPr="003D3098">
        <w:t>AANZFTA. The ASEAN Economic Ministers expressed their appreciation to Australia and New Zealand for the continued support given to ASEAN through the AECSP.</w:t>
      </w:r>
    </w:p>
    <w:p w14:paraId="00171184" w14:textId="77777777" w:rsidR="00530BA8" w:rsidRDefault="00530BA8" w:rsidP="00530BA8">
      <w:pPr>
        <w:rPr>
          <w:b/>
        </w:rPr>
      </w:pPr>
    </w:p>
    <w:p w14:paraId="1007B61B" w14:textId="20D3635E" w:rsidR="00530BA8" w:rsidRPr="00B75A93" w:rsidRDefault="00530BA8" w:rsidP="00530BA8">
      <w:pPr>
        <w:pStyle w:val="BodyText"/>
        <w:rPr>
          <w:b/>
        </w:rPr>
      </w:pPr>
      <w:r w:rsidRPr="00B75A93">
        <w:rPr>
          <w:b/>
        </w:rPr>
        <w:t>14</w:t>
      </w:r>
      <w:r w:rsidRPr="00B75A93">
        <w:rPr>
          <w:b/>
          <w:vertAlign w:val="superscript"/>
        </w:rPr>
        <w:t>th</w:t>
      </w:r>
      <w:r w:rsidRPr="00B75A93">
        <w:rPr>
          <w:b/>
        </w:rPr>
        <w:t xml:space="preserve"> AEM-CER </w:t>
      </w:r>
      <w:r w:rsidR="00E24F00">
        <w:rPr>
          <w:b/>
        </w:rPr>
        <w:t>c</w:t>
      </w:r>
      <w:r w:rsidR="00E24F00" w:rsidRPr="00B75A93">
        <w:rPr>
          <w:b/>
        </w:rPr>
        <w:t xml:space="preserve">onsultations </w:t>
      </w:r>
      <w:r w:rsidRPr="00B75A93">
        <w:rPr>
          <w:b/>
        </w:rPr>
        <w:t>(15 August 2009)</w:t>
      </w:r>
    </w:p>
    <w:p w14:paraId="12E1EE09" w14:textId="55167512" w:rsidR="00530BA8" w:rsidRDefault="00530BA8" w:rsidP="00530BA8">
      <w:pPr>
        <w:pStyle w:val="Heading4"/>
      </w:pPr>
      <w:r>
        <w:t xml:space="preserve">Joint </w:t>
      </w:r>
      <w:r w:rsidR="00E24F00">
        <w:t>media statement</w:t>
      </w:r>
    </w:p>
    <w:p w14:paraId="00758BF2" w14:textId="19F67603" w:rsidR="00530BA8" w:rsidRDefault="00530BA8" w:rsidP="00E24F00">
      <w:pPr>
        <w:pStyle w:val="List"/>
        <w:ind w:left="426" w:hanging="426"/>
      </w:pPr>
      <w:r>
        <w:t>6.</w:t>
      </w:r>
      <w:r>
        <w:tab/>
        <w:t xml:space="preserve">The Ministers welcomed the support “capacity” for the implementation of the </w:t>
      </w:r>
      <w:r w:rsidR="00E24F00">
        <w:t xml:space="preserve">agreement </w:t>
      </w:r>
      <w:r>
        <w:t>through the Economic Cooperation Work Program (</w:t>
      </w:r>
      <w:r w:rsidR="00546E38">
        <w:t xml:space="preserve">Economic Cooperation Work </w:t>
      </w:r>
      <w:r w:rsidR="00C67836">
        <w:t>P</w:t>
      </w:r>
      <w:r w:rsidR="0045046A">
        <w:t>rogram</w:t>
      </w:r>
      <w:r>
        <w:t xml:space="preserve">) under which cooperation initiatives will be undertaken to assist in the implementation of the various components of the </w:t>
      </w:r>
      <w:r w:rsidR="00E24F00">
        <w:t>agreement</w:t>
      </w:r>
      <w:r>
        <w:t xml:space="preserve">. The ASEAN Ministers also thanked the Australian and New Zealand </w:t>
      </w:r>
      <w:r w:rsidR="00E24F00">
        <w:t xml:space="preserve">governments </w:t>
      </w:r>
      <w:r>
        <w:t xml:space="preserve">for the economic cooperation assistance that they have pledged to provide to ensure the effective implementation of the </w:t>
      </w:r>
      <w:r w:rsidR="00E24F00">
        <w:t xml:space="preserve">agreement </w:t>
      </w:r>
      <w:r>
        <w:t xml:space="preserve">as well as the ongoing assistance in the lead-up to the entry into force of the </w:t>
      </w:r>
      <w:r w:rsidR="00E24F00">
        <w:t>agreement</w:t>
      </w:r>
      <w:r>
        <w:t>.</w:t>
      </w:r>
    </w:p>
    <w:p w14:paraId="3886832F" w14:textId="0E8A5CF1" w:rsidR="00530BA8" w:rsidRDefault="00530BA8" w:rsidP="00E24F00">
      <w:pPr>
        <w:pStyle w:val="List"/>
        <w:ind w:left="426" w:hanging="426"/>
      </w:pPr>
      <w:r>
        <w:t>7.</w:t>
      </w:r>
      <w:r>
        <w:tab/>
        <w:t xml:space="preserve">The Ministers, noting the important role of the ASEAN Secretariat in the implementation of the </w:t>
      </w:r>
      <w:r w:rsidR="00E24F00">
        <w:t xml:space="preserve">agreement </w:t>
      </w:r>
      <w:r>
        <w:t xml:space="preserve">and the </w:t>
      </w:r>
      <w:r w:rsidR="00546E38">
        <w:t xml:space="preserve">Economic Cooperation Work </w:t>
      </w:r>
      <w:r w:rsidR="00E24F00">
        <w:t>P</w:t>
      </w:r>
      <w:r w:rsidR="0045046A">
        <w:t>rogram</w:t>
      </w:r>
      <w:r>
        <w:t xml:space="preserve">, welcomed the establishment of a support unit at the ASEAN Secretariat that will provide technical assistance and secretariat support to the AANZFTA Joint Committee and the </w:t>
      </w:r>
      <w:r w:rsidR="00E24F00">
        <w:t xml:space="preserve">parties </w:t>
      </w:r>
      <w:r>
        <w:t xml:space="preserve">in implementing the </w:t>
      </w:r>
      <w:r w:rsidR="00E24F00">
        <w:t>agreement</w:t>
      </w:r>
      <w:r>
        <w:t>.</w:t>
      </w:r>
    </w:p>
    <w:p w14:paraId="1B637DEC" w14:textId="75E05F26" w:rsidR="00CF086D" w:rsidRDefault="00CF086D">
      <w:pPr>
        <w:spacing w:before="0" w:after="0"/>
      </w:pPr>
      <w:r>
        <w:br w:type="page"/>
      </w:r>
    </w:p>
    <w:p w14:paraId="3BAF330F" w14:textId="77777777" w:rsidR="00530BA8" w:rsidRDefault="00530BA8" w:rsidP="00530BA8"/>
    <w:p w14:paraId="2F233A2A" w14:textId="0B285B8E" w:rsidR="00530BA8" w:rsidRPr="00D272F8" w:rsidRDefault="00530BA8" w:rsidP="00714B4B">
      <w:pPr>
        <w:pStyle w:val="ListParagraph"/>
        <w:numPr>
          <w:ilvl w:val="0"/>
          <w:numId w:val="28"/>
        </w:numPr>
        <w:spacing w:before="0" w:after="0"/>
        <w:contextualSpacing w:val="0"/>
        <w:rPr>
          <w:b/>
          <w:i/>
        </w:rPr>
      </w:pPr>
      <w:r w:rsidRPr="00D272F8">
        <w:rPr>
          <w:b/>
          <w:i/>
        </w:rPr>
        <w:t xml:space="preserve">Extract from the </w:t>
      </w:r>
      <w:r>
        <w:rPr>
          <w:b/>
          <w:i/>
        </w:rPr>
        <w:t xml:space="preserve">2012 Australia in the Asian Century </w:t>
      </w:r>
      <w:r w:rsidRPr="00D272F8">
        <w:rPr>
          <w:b/>
          <w:i/>
        </w:rPr>
        <w:t xml:space="preserve">White Paper </w:t>
      </w:r>
    </w:p>
    <w:p w14:paraId="757B3A64" w14:textId="77777777" w:rsidR="00530BA8" w:rsidRDefault="00530BA8" w:rsidP="00530BA8">
      <w:pPr>
        <w:ind w:firstLine="360"/>
        <w:rPr>
          <w:i/>
        </w:rPr>
      </w:pPr>
    </w:p>
    <w:p w14:paraId="137C0611" w14:textId="77777777" w:rsidR="00530BA8" w:rsidRPr="00714B4B" w:rsidRDefault="00530BA8" w:rsidP="00530BA8">
      <w:pPr>
        <w:pStyle w:val="Heading6"/>
        <w:rPr>
          <w:color w:val="auto"/>
        </w:rPr>
      </w:pPr>
      <w:r w:rsidRPr="00714B4B">
        <w:rPr>
          <w:color w:val="auto"/>
        </w:rPr>
        <w:t>Chapter 7: Operating in and connecting to growing Asian markets, page 212</w:t>
      </w:r>
    </w:p>
    <w:p w14:paraId="180177D8" w14:textId="77777777" w:rsidR="00530BA8" w:rsidRPr="006D1DF9" w:rsidRDefault="00530BA8" w:rsidP="00530BA8">
      <w:pPr>
        <w:jc w:val="center"/>
      </w:pPr>
      <w:bookmarkStart w:id="14" w:name="_GoBack"/>
      <w:r>
        <w:rPr>
          <w:noProof/>
          <w:lang w:eastAsia="en-AU"/>
        </w:rPr>
        <w:drawing>
          <wp:inline distT="0" distB="0" distL="0" distR="0" wp14:anchorId="5068A221" wp14:editId="403F9FCA">
            <wp:extent cx="4716930" cy="3667125"/>
            <wp:effectExtent l="0" t="0" r="7620" b="0"/>
            <wp:docPr id="77" name="Picture 77" descr="Extract from the 2012 Australia in the Asian Century White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24840" t="27778" r="22596" b="17735"/>
                    <a:stretch/>
                  </pic:blipFill>
                  <pic:spPr bwMode="auto">
                    <a:xfrm>
                      <a:off x="0" y="0"/>
                      <a:ext cx="4722675" cy="3671591"/>
                    </a:xfrm>
                    <a:prstGeom prst="rect">
                      <a:avLst/>
                    </a:prstGeom>
                    <a:ln>
                      <a:noFill/>
                    </a:ln>
                    <a:extLst>
                      <a:ext uri="{53640926-AAD7-44D8-BBD7-CCE9431645EC}">
                        <a14:shadowObscured xmlns:a14="http://schemas.microsoft.com/office/drawing/2010/main"/>
                      </a:ext>
                    </a:extLst>
                  </pic:spPr>
                </pic:pic>
              </a:graphicData>
            </a:graphic>
          </wp:inline>
        </w:drawing>
      </w:r>
      <w:bookmarkEnd w:id="14"/>
    </w:p>
    <w:p w14:paraId="0B5F5FC1" w14:textId="77777777" w:rsidR="00530BA8" w:rsidRDefault="00530BA8" w:rsidP="00530BA8">
      <w:pPr>
        <w:rPr>
          <w:lang w:eastAsia="en-AU"/>
        </w:rPr>
        <w:sectPr w:rsidR="00530BA8" w:rsidSect="009E068C">
          <w:pgSz w:w="11900" w:h="16840" w:code="9"/>
          <w:pgMar w:top="1440" w:right="1797" w:bottom="1440" w:left="1797" w:header="567" w:footer="431" w:gutter="0"/>
          <w:cols w:space="708"/>
        </w:sectPr>
      </w:pPr>
    </w:p>
    <w:p w14:paraId="64E93120" w14:textId="2EE9C9C0" w:rsidR="00530BA8" w:rsidRPr="001A2CD3" w:rsidRDefault="0082792B" w:rsidP="00530BA8">
      <w:pPr>
        <w:pStyle w:val="Heading1"/>
      </w:pPr>
      <w:bookmarkStart w:id="15" w:name="_Toc219952451"/>
      <w:bookmarkStart w:id="16" w:name="_Toc229924891"/>
      <w:r w:rsidRPr="00670B40">
        <w:lastRenderedPageBreak/>
        <w:t>Appendix</w:t>
      </w:r>
      <w:r w:rsidR="00530BA8" w:rsidRPr="00670B40">
        <w:t xml:space="preserve"> 8. </w:t>
      </w:r>
      <w:r w:rsidR="002C0808" w:rsidRPr="00670B40">
        <w:t xml:space="preserve">Agreement </w:t>
      </w:r>
      <w:r w:rsidR="00670B40">
        <w:t>e</w:t>
      </w:r>
      <w:r w:rsidR="002C0808" w:rsidRPr="00670B40">
        <w:t xml:space="preserve">stablishing </w:t>
      </w:r>
      <w:r w:rsidR="00670B40">
        <w:t xml:space="preserve">the </w:t>
      </w:r>
      <w:r w:rsidR="00670B40" w:rsidRPr="00E0216A">
        <w:t xml:space="preserve">AANZFTA </w:t>
      </w:r>
      <w:r w:rsidR="00530BA8" w:rsidRPr="00670B40">
        <w:t xml:space="preserve">Economic Cooperation Support Program: </w:t>
      </w:r>
      <w:r w:rsidR="00D30884" w:rsidRPr="00670B40">
        <w:t>evaluation plan</w:t>
      </w:r>
      <w:bookmarkEnd w:id="15"/>
      <w:r w:rsidR="00D30884" w:rsidRPr="00670B40">
        <w:t xml:space="preserve"> and methodology</w:t>
      </w:r>
      <w:r w:rsidR="00530BA8" w:rsidRPr="00670B40">
        <w:rPr>
          <w:rStyle w:val="FootnoteReference"/>
        </w:rPr>
        <w:footnoteReference w:id="96"/>
      </w:r>
      <w:bookmarkEnd w:id="16"/>
    </w:p>
    <w:p w14:paraId="610E7370" w14:textId="77777777" w:rsidR="00530BA8" w:rsidRDefault="00530BA8" w:rsidP="00530BA8">
      <w:pPr>
        <w:pStyle w:val="Heading2"/>
      </w:pPr>
      <w:bookmarkStart w:id="17" w:name="_Toc219952452"/>
      <w:r>
        <w:t>Introduction</w:t>
      </w:r>
      <w:bookmarkEnd w:id="17"/>
    </w:p>
    <w:p w14:paraId="026F6F3A" w14:textId="797C094E" w:rsidR="00530BA8" w:rsidRPr="00E03415" w:rsidRDefault="00530BA8" w:rsidP="00D30884">
      <w:pPr>
        <w:ind w:left="426" w:hanging="426"/>
        <w:rPr>
          <w:sz w:val="22"/>
          <w:szCs w:val="22"/>
          <w:lang w:val="en-US"/>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lang w:val="en-US"/>
        </w:rPr>
        <w:t>The agreement establishing AANZFTA was signed in February 2009</w:t>
      </w:r>
      <w:r w:rsidR="00D30884">
        <w:rPr>
          <w:sz w:val="22"/>
          <w:szCs w:val="22"/>
          <w:lang w:val="en-US"/>
        </w:rPr>
        <w:t xml:space="preserve"> and</w:t>
      </w:r>
      <w:r w:rsidRPr="00E03415">
        <w:rPr>
          <w:sz w:val="22"/>
          <w:szCs w:val="22"/>
          <w:lang w:val="en-US"/>
        </w:rPr>
        <w:t xml:space="preserve"> has been in force since 1 January 2010. The intent of the agreement is to “</w:t>
      </w:r>
      <w:r w:rsidRPr="00E03415">
        <w:rPr>
          <w:i/>
          <w:sz w:val="22"/>
          <w:szCs w:val="22"/>
          <w:lang w:val="en-US"/>
        </w:rPr>
        <w:t>liberali</w:t>
      </w:r>
      <w:r w:rsidR="00465C26">
        <w:rPr>
          <w:i/>
          <w:sz w:val="22"/>
          <w:szCs w:val="22"/>
          <w:lang w:val="en-US"/>
        </w:rPr>
        <w:t>s</w:t>
      </w:r>
      <w:r w:rsidRPr="00E03415">
        <w:rPr>
          <w:i/>
          <w:sz w:val="22"/>
          <w:szCs w:val="22"/>
          <w:lang w:val="en-US"/>
        </w:rPr>
        <w:t>e and facilitate trade and investment between ASEAN, Australia and New Zealand through commitments on goods, services, investment, temporary movement of natural persons, electronic commerce, intellectual property, and economic cooperation</w:t>
      </w:r>
      <w:r w:rsidR="00D30884">
        <w:rPr>
          <w:i/>
          <w:sz w:val="22"/>
          <w:szCs w:val="22"/>
          <w:lang w:val="en-US"/>
        </w:rPr>
        <w:t>’.</w:t>
      </w:r>
      <w:r w:rsidRPr="00E03415">
        <w:rPr>
          <w:rStyle w:val="FootnoteReference"/>
          <w:sz w:val="22"/>
          <w:szCs w:val="22"/>
          <w:lang w:val="en-US"/>
        </w:rPr>
        <w:footnoteReference w:id="97"/>
      </w:r>
      <w:r w:rsidRPr="00E03415">
        <w:rPr>
          <w:i/>
          <w:sz w:val="22"/>
          <w:szCs w:val="22"/>
          <w:lang w:val="en-US"/>
        </w:rPr>
        <w:t xml:space="preserve"> </w:t>
      </w:r>
      <w:r w:rsidRPr="00E03415">
        <w:rPr>
          <w:sz w:val="22"/>
          <w:szCs w:val="22"/>
          <w:lang w:val="en-US"/>
        </w:rPr>
        <w:t>The agreement includes provision for an economic cooperation program to support implementation of the agreement</w:t>
      </w:r>
      <w:r w:rsidR="00D30884">
        <w:rPr>
          <w:sz w:val="22"/>
          <w:szCs w:val="22"/>
          <w:lang w:val="en-US"/>
        </w:rPr>
        <w:t>.</w:t>
      </w:r>
      <w:r w:rsidRPr="00E03415">
        <w:rPr>
          <w:rStyle w:val="FootnoteReference"/>
          <w:sz w:val="22"/>
          <w:szCs w:val="22"/>
          <w:lang w:val="en-US"/>
        </w:rPr>
        <w:footnoteReference w:id="98"/>
      </w:r>
      <w:r w:rsidRPr="00E03415">
        <w:rPr>
          <w:sz w:val="22"/>
          <w:szCs w:val="22"/>
          <w:lang w:val="en-US"/>
        </w:rPr>
        <w:t xml:space="preserve"> Expected beneficiaries are producers, consumers and investors in the region.</w:t>
      </w:r>
    </w:p>
    <w:p w14:paraId="080AA7E4" w14:textId="1C06155E" w:rsidR="00530BA8" w:rsidRPr="00A460B1" w:rsidRDefault="00530BA8" w:rsidP="00D30884">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lang w:val="en-US"/>
        </w:rPr>
        <w:t>The AANZFTA AECSP was established to ensure that “the full benefits of AANZFTA are reali</w:t>
      </w:r>
      <w:r w:rsidR="00465C26">
        <w:rPr>
          <w:sz w:val="22"/>
          <w:szCs w:val="22"/>
          <w:lang w:val="en-US"/>
        </w:rPr>
        <w:t>s</w:t>
      </w:r>
      <w:r w:rsidRPr="00E03415">
        <w:rPr>
          <w:sz w:val="22"/>
          <w:szCs w:val="22"/>
          <w:lang w:val="en-US"/>
        </w:rPr>
        <w:t xml:space="preserve">ed”. AECSP funds two components: an AANZFTA Support Unit within the ASEAN Secretariat and an annual implementation of Economic Cooperation Work </w:t>
      </w:r>
      <w:r w:rsidR="00D30884">
        <w:rPr>
          <w:sz w:val="22"/>
          <w:szCs w:val="22"/>
          <w:lang w:val="en-US"/>
        </w:rPr>
        <w:t>P</w:t>
      </w:r>
      <w:r w:rsidR="0045046A">
        <w:rPr>
          <w:sz w:val="22"/>
          <w:szCs w:val="22"/>
          <w:lang w:val="en-US"/>
        </w:rPr>
        <w:t>rogram</w:t>
      </w:r>
      <w:r w:rsidRPr="00E03415">
        <w:rPr>
          <w:sz w:val="22"/>
          <w:szCs w:val="22"/>
          <w:lang w:val="en-US"/>
        </w:rPr>
        <w:t xml:space="preserve"> activities.</w:t>
      </w:r>
      <w:r w:rsidR="005856D4">
        <w:rPr>
          <w:sz w:val="22"/>
          <w:szCs w:val="22"/>
          <w:lang w:val="en-US"/>
        </w:rPr>
        <w:t xml:space="preserve"> </w:t>
      </w:r>
      <w:r w:rsidRPr="00E03415">
        <w:rPr>
          <w:sz w:val="22"/>
          <w:szCs w:val="22"/>
          <w:lang w:val="en-US"/>
        </w:rPr>
        <w:t xml:space="preserve">The </w:t>
      </w:r>
      <w:r w:rsidR="0045046A">
        <w:rPr>
          <w:sz w:val="22"/>
          <w:szCs w:val="22"/>
          <w:lang w:val="en-US"/>
        </w:rPr>
        <w:t>program</w:t>
      </w:r>
      <w:r w:rsidRPr="00E03415">
        <w:rPr>
          <w:sz w:val="22"/>
          <w:szCs w:val="22"/>
          <w:lang w:val="en-US"/>
        </w:rPr>
        <w:t xml:space="preserve"> is being delivered through a partnership between AusAID</w:t>
      </w:r>
      <w:r w:rsidRPr="00E03415">
        <w:rPr>
          <w:rStyle w:val="FootnoteReference"/>
          <w:sz w:val="22"/>
          <w:szCs w:val="22"/>
          <w:lang w:val="en-US"/>
        </w:rPr>
        <w:footnoteReference w:id="99"/>
      </w:r>
      <w:r w:rsidR="00D30884">
        <w:rPr>
          <w:sz w:val="22"/>
          <w:szCs w:val="22"/>
          <w:lang w:val="en-US"/>
        </w:rPr>
        <w:t xml:space="preserve"> and the </w:t>
      </w:r>
      <w:r w:rsidRPr="00E03415">
        <w:rPr>
          <w:sz w:val="22"/>
          <w:szCs w:val="22"/>
          <w:lang w:val="en-US"/>
        </w:rPr>
        <w:t>Department of Foreign Affairs and Trade, N</w:t>
      </w:r>
      <w:r w:rsidR="00D30884">
        <w:rPr>
          <w:sz w:val="22"/>
          <w:szCs w:val="22"/>
          <w:lang w:val="en-US"/>
        </w:rPr>
        <w:t xml:space="preserve">ew </w:t>
      </w:r>
      <w:r w:rsidRPr="00E03415">
        <w:rPr>
          <w:sz w:val="22"/>
          <w:szCs w:val="22"/>
          <w:lang w:val="en-US"/>
        </w:rPr>
        <w:t>Z</w:t>
      </w:r>
      <w:r w:rsidR="00D30884">
        <w:rPr>
          <w:sz w:val="22"/>
          <w:szCs w:val="22"/>
          <w:lang w:val="en-US"/>
        </w:rPr>
        <w:t>ealand</w:t>
      </w:r>
      <w:r w:rsidRPr="00E03415">
        <w:rPr>
          <w:sz w:val="22"/>
          <w:szCs w:val="22"/>
          <w:lang w:val="en-US"/>
        </w:rPr>
        <w:t xml:space="preserve">’s Ministry of Foreign Affairs and Trade, ASEAN and the </w:t>
      </w:r>
      <w:r w:rsidR="00FA23AA">
        <w:rPr>
          <w:sz w:val="22"/>
          <w:szCs w:val="22"/>
          <w:lang w:val="en-US"/>
        </w:rPr>
        <w:t xml:space="preserve">ASEAN </w:t>
      </w:r>
      <w:r w:rsidR="00D30884">
        <w:rPr>
          <w:sz w:val="22"/>
          <w:szCs w:val="22"/>
          <w:lang w:val="en-US"/>
        </w:rPr>
        <w:t>Secretariat</w:t>
      </w:r>
      <w:r w:rsidRPr="00E03415">
        <w:rPr>
          <w:sz w:val="22"/>
          <w:szCs w:val="22"/>
          <w:lang w:val="en-US"/>
        </w:rPr>
        <w:t>.</w:t>
      </w:r>
      <w:r w:rsidR="005856D4">
        <w:rPr>
          <w:sz w:val="22"/>
          <w:szCs w:val="22"/>
          <w:lang w:val="en-US"/>
        </w:rPr>
        <w:t xml:space="preserve"> </w:t>
      </w:r>
      <w:r w:rsidRPr="00E03415">
        <w:rPr>
          <w:sz w:val="22"/>
          <w:szCs w:val="22"/>
          <w:lang w:val="en-US"/>
        </w:rPr>
        <w:t xml:space="preserve">An independent </w:t>
      </w:r>
      <w:r w:rsidR="0045046A">
        <w:rPr>
          <w:sz w:val="22"/>
          <w:szCs w:val="22"/>
          <w:lang w:val="en-US"/>
        </w:rPr>
        <w:t>program</w:t>
      </w:r>
      <w:r w:rsidRPr="00E03415">
        <w:rPr>
          <w:sz w:val="22"/>
          <w:szCs w:val="22"/>
          <w:lang w:val="en-US"/>
        </w:rPr>
        <w:t xml:space="preserve"> review is scheduled for Year 3 of implementation.</w:t>
      </w:r>
    </w:p>
    <w:p w14:paraId="1BD78291" w14:textId="176DE0B5" w:rsidR="00530BA8" w:rsidRPr="00E03415" w:rsidRDefault="00530BA8" w:rsidP="00D30884">
      <w:pPr>
        <w:ind w:left="426" w:hanging="426"/>
        <w:rPr>
          <w:sz w:val="22"/>
          <w:szCs w:val="22"/>
          <w:lang w:val="en-US"/>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lang w:val="en-US"/>
        </w:rPr>
        <w:t>The original goal of AECSP was to “</w:t>
      </w:r>
      <w:r w:rsidRPr="00E03415">
        <w:rPr>
          <w:i/>
          <w:sz w:val="22"/>
          <w:szCs w:val="22"/>
          <w:lang w:val="en-US"/>
        </w:rPr>
        <w:t>support the ASEAN Secretariat servicing the F</w:t>
      </w:r>
      <w:r w:rsidR="00D30884">
        <w:rPr>
          <w:i/>
          <w:sz w:val="22"/>
          <w:szCs w:val="22"/>
          <w:lang w:val="en-US"/>
        </w:rPr>
        <w:t xml:space="preserve">ree </w:t>
      </w:r>
      <w:r w:rsidRPr="00E03415">
        <w:rPr>
          <w:i/>
          <w:sz w:val="22"/>
          <w:szCs w:val="22"/>
          <w:lang w:val="en-US"/>
        </w:rPr>
        <w:t>T</w:t>
      </w:r>
      <w:r w:rsidR="00D30884">
        <w:rPr>
          <w:i/>
          <w:sz w:val="22"/>
          <w:szCs w:val="22"/>
          <w:lang w:val="en-US"/>
        </w:rPr>
        <w:t xml:space="preserve">rade </w:t>
      </w:r>
      <w:r w:rsidRPr="00E03415">
        <w:rPr>
          <w:i/>
          <w:sz w:val="22"/>
          <w:szCs w:val="22"/>
          <w:lang w:val="en-US"/>
        </w:rPr>
        <w:t>A</w:t>
      </w:r>
      <w:r w:rsidR="00D30884">
        <w:rPr>
          <w:i/>
          <w:sz w:val="22"/>
          <w:szCs w:val="22"/>
          <w:lang w:val="en-US"/>
        </w:rPr>
        <w:t>greement</w:t>
      </w:r>
      <w:r w:rsidRPr="00E03415">
        <w:rPr>
          <w:i/>
          <w:sz w:val="22"/>
          <w:szCs w:val="22"/>
          <w:lang w:val="en-US"/>
        </w:rPr>
        <w:t xml:space="preserve"> Joint Committee and to assist </w:t>
      </w:r>
      <w:r w:rsidR="00D30884">
        <w:rPr>
          <w:i/>
          <w:sz w:val="22"/>
          <w:szCs w:val="22"/>
          <w:lang w:val="en-US"/>
        </w:rPr>
        <w:t>p</w:t>
      </w:r>
      <w:r w:rsidR="00D30884" w:rsidRPr="00E03415">
        <w:rPr>
          <w:i/>
          <w:sz w:val="22"/>
          <w:szCs w:val="22"/>
          <w:lang w:val="en-US"/>
        </w:rPr>
        <w:t xml:space="preserve">arties </w:t>
      </w:r>
      <w:r w:rsidRPr="00E03415">
        <w:rPr>
          <w:i/>
          <w:sz w:val="22"/>
          <w:szCs w:val="22"/>
          <w:lang w:val="en-US"/>
        </w:rPr>
        <w:t>in the implementation of the AANZFTA</w:t>
      </w:r>
      <w:r w:rsidRPr="00E03415">
        <w:rPr>
          <w:sz w:val="22"/>
          <w:szCs w:val="22"/>
          <w:lang w:val="en-US"/>
        </w:rPr>
        <w:t>”. This was revised when a</w:t>
      </w:r>
      <w:r w:rsidR="00D30884">
        <w:rPr>
          <w:sz w:val="22"/>
          <w:szCs w:val="22"/>
          <w:lang w:val="en-US"/>
        </w:rPr>
        <w:t>n</w:t>
      </w:r>
      <w:r w:rsidRPr="00E03415">
        <w:rPr>
          <w:sz w:val="22"/>
          <w:szCs w:val="22"/>
          <w:lang w:val="en-US"/>
        </w:rPr>
        <w:t xml:space="preserve"> AECSP </w:t>
      </w:r>
      <w:r w:rsidR="001827E7">
        <w:rPr>
          <w:sz w:val="22"/>
          <w:szCs w:val="22"/>
          <w:lang w:val="en-US"/>
        </w:rPr>
        <w:t>monitoring and evaluation</w:t>
      </w:r>
      <w:r w:rsidRPr="00E03415">
        <w:rPr>
          <w:sz w:val="22"/>
          <w:szCs w:val="22"/>
          <w:lang w:val="en-US"/>
        </w:rPr>
        <w:t xml:space="preserve"> framework was developed in late 2011 to “</w:t>
      </w:r>
      <w:r w:rsidR="00D30884">
        <w:rPr>
          <w:i/>
          <w:sz w:val="22"/>
          <w:szCs w:val="22"/>
        </w:rPr>
        <w:t>o</w:t>
      </w:r>
      <w:r w:rsidRPr="00E03415">
        <w:rPr>
          <w:i/>
          <w:sz w:val="22"/>
          <w:szCs w:val="22"/>
        </w:rPr>
        <w:t xml:space="preserve">perationalise and implement the AANZFTA (including enhancing ASEAN Secretariat capacity to support ASEAN </w:t>
      </w:r>
      <w:r w:rsidR="00D30884" w:rsidRPr="00E03415">
        <w:rPr>
          <w:i/>
          <w:sz w:val="22"/>
          <w:szCs w:val="22"/>
        </w:rPr>
        <w:t xml:space="preserve">free trade agreement </w:t>
      </w:r>
      <w:r w:rsidRPr="00E03415">
        <w:rPr>
          <w:i/>
          <w:sz w:val="22"/>
          <w:szCs w:val="22"/>
        </w:rPr>
        <w:t xml:space="preserve">implementation); progress AANZFTA’s built-in agenda; promote business utilisation of AANZFTA opportunities; and advance economic integration amongst the </w:t>
      </w:r>
      <w:r w:rsidR="00D30884">
        <w:rPr>
          <w:i/>
          <w:sz w:val="22"/>
          <w:szCs w:val="22"/>
        </w:rPr>
        <w:t>p</w:t>
      </w:r>
      <w:r w:rsidR="00D30884" w:rsidRPr="00E03415">
        <w:rPr>
          <w:i/>
          <w:sz w:val="22"/>
          <w:szCs w:val="22"/>
        </w:rPr>
        <w:t>arties</w:t>
      </w:r>
      <w:r w:rsidRPr="00E03415">
        <w:rPr>
          <w:i/>
          <w:sz w:val="22"/>
          <w:szCs w:val="22"/>
        </w:rPr>
        <w:t xml:space="preserve">.’ </w:t>
      </w:r>
      <w:r w:rsidRPr="00E03415">
        <w:rPr>
          <w:sz w:val="22"/>
          <w:szCs w:val="22"/>
          <w:lang w:val="en-US"/>
        </w:rPr>
        <w:t>AECSP components</w:t>
      </w:r>
      <w:r>
        <w:rPr>
          <w:sz w:val="22"/>
          <w:szCs w:val="22"/>
          <w:lang w:val="en-US"/>
        </w:rPr>
        <w:t xml:space="preserve"> are</w:t>
      </w:r>
      <w:r w:rsidRPr="00E03415">
        <w:rPr>
          <w:sz w:val="22"/>
          <w:szCs w:val="22"/>
          <w:lang w:val="en-US"/>
        </w:rPr>
        <w:t>:</w:t>
      </w:r>
    </w:p>
    <w:p w14:paraId="35B8A9A4" w14:textId="45189D26" w:rsidR="00530BA8" w:rsidRPr="00E03415" w:rsidRDefault="00D30884" w:rsidP="00530BA8">
      <w:pPr>
        <w:numPr>
          <w:ilvl w:val="0"/>
          <w:numId w:val="74"/>
        </w:numPr>
        <w:spacing w:before="0" w:after="0"/>
        <w:rPr>
          <w:sz w:val="22"/>
          <w:szCs w:val="22"/>
          <w:lang w:val="en-US"/>
        </w:rPr>
      </w:pPr>
      <w:r>
        <w:rPr>
          <w:sz w:val="22"/>
          <w:szCs w:val="22"/>
          <w:lang w:val="en-US"/>
        </w:rPr>
        <w:t>f</w:t>
      </w:r>
      <w:r w:rsidRPr="00E03415">
        <w:rPr>
          <w:sz w:val="22"/>
          <w:szCs w:val="22"/>
          <w:lang w:val="en-US"/>
        </w:rPr>
        <w:t xml:space="preserve">unding </w:t>
      </w:r>
      <w:r w:rsidR="00530BA8" w:rsidRPr="00E03415">
        <w:rPr>
          <w:sz w:val="22"/>
          <w:szCs w:val="22"/>
          <w:lang w:val="en-US"/>
        </w:rPr>
        <w:t>for an AANZFTA Support Unit within the ASEAN Secretariat to oversee and implement activities that promote the take up of AANZFTA</w:t>
      </w:r>
    </w:p>
    <w:p w14:paraId="0850D348" w14:textId="211128C6" w:rsidR="00530BA8" w:rsidRPr="00A460B1" w:rsidRDefault="00D30884" w:rsidP="00530BA8">
      <w:pPr>
        <w:pStyle w:val="ListParagraph"/>
        <w:numPr>
          <w:ilvl w:val="0"/>
          <w:numId w:val="74"/>
        </w:numPr>
        <w:spacing w:before="0" w:after="0"/>
        <w:rPr>
          <w:sz w:val="22"/>
          <w:szCs w:val="22"/>
        </w:rPr>
      </w:pPr>
      <w:r>
        <w:rPr>
          <w:sz w:val="22"/>
          <w:szCs w:val="22"/>
          <w:lang w:val="en-US"/>
        </w:rPr>
        <w:t>f</w:t>
      </w:r>
      <w:r w:rsidRPr="00E03415">
        <w:rPr>
          <w:sz w:val="22"/>
          <w:szCs w:val="22"/>
          <w:lang w:val="en-US"/>
        </w:rPr>
        <w:t xml:space="preserve">unding </w:t>
      </w:r>
      <w:r w:rsidR="00530BA8" w:rsidRPr="00E03415">
        <w:rPr>
          <w:sz w:val="22"/>
          <w:szCs w:val="22"/>
          <w:lang w:val="en-US"/>
        </w:rPr>
        <w:t xml:space="preserve">for the Economic Cooperation Work </w:t>
      </w:r>
      <w:r>
        <w:rPr>
          <w:sz w:val="22"/>
          <w:szCs w:val="22"/>
          <w:lang w:val="en-US"/>
        </w:rPr>
        <w:t>P</w:t>
      </w:r>
      <w:r w:rsidR="0045046A">
        <w:rPr>
          <w:sz w:val="22"/>
          <w:szCs w:val="22"/>
          <w:lang w:val="en-US"/>
        </w:rPr>
        <w:t>rogram</w:t>
      </w:r>
      <w:r w:rsidR="00530BA8" w:rsidRPr="00E03415">
        <w:rPr>
          <w:sz w:val="22"/>
          <w:szCs w:val="22"/>
          <w:lang w:val="en-US"/>
        </w:rPr>
        <w:t>, which is a set of agreed annual activities that help build the capacity of developing ASEAN co</w:t>
      </w:r>
      <w:r w:rsidR="00530BA8">
        <w:rPr>
          <w:sz w:val="22"/>
          <w:szCs w:val="22"/>
          <w:lang w:val="en-US"/>
        </w:rPr>
        <w:t>untries to implement AANZFTA.</w:t>
      </w:r>
    </w:p>
    <w:p w14:paraId="1FC63318" w14:textId="77777777" w:rsidR="00530BA8" w:rsidRPr="00E03415" w:rsidRDefault="00530BA8" w:rsidP="00530BA8">
      <w:pPr>
        <w:pStyle w:val="ListParagraph"/>
        <w:spacing w:before="0" w:after="0"/>
        <w:rPr>
          <w:sz w:val="22"/>
          <w:szCs w:val="22"/>
        </w:rPr>
      </w:pPr>
    </w:p>
    <w:p w14:paraId="11A2F391" w14:textId="406406DF" w:rsidR="00530BA8" w:rsidRPr="00E03415" w:rsidRDefault="00530BA8" w:rsidP="00D30884">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00546E38">
        <w:rPr>
          <w:sz w:val="22"/>
          <w:szCs w:val="22"/>
        </w:rPr>
        <w:t xml:space="preserve">Economic Cooperation Work </w:t>
      </w:r>
      <w:r w:rsidR="00D30884">
        <w:rPr>
          <w:sz w:val="22"/>
          <w:szCs w:val="22"/>
        </w:rPr>
        <w:t>P</w:t>
      </w:r>
      <w:r w:rsidR="0045046A">
        <w:rPr>
          <w:sz w:val="22"/>
          <w:szCs w:val="22"/>
        </w:rPr>
        <w:t>rogram</w:t>
      </w:r>
      <w:r w:rsidR="005856D4">
        <w:rPr>
          <w:sz w:val="22"/>
          <w:szCs w:val="22"/>
        </w:rPr>
        <w:t xml:space="preserve"> </w:t>
      </w:r>
      <w:r w:rsidRPr="00E03415">
        <w:rPr>
          <w:sz w:val="22"/>
          <w:szCs w:val="22"/>
        </w:rPr>
        <w:t>component objectives are:</w:t>
      </w:r>
    </w:p>
    <w:p w14:paraId="3366BEF8" w14:textId="38D194F7" w:rsidR="00530BA8" w:rsidRPr="00E03415" w:rsidRDefault="00D30884" w:rsidP="00530BA8">
      <w:pPr>
        <w:numPr>
          <w:ilvl w:val="0"/>
          <w:numId w:val="73"/>
        </w:numPr>
        <w:spacing w:before="0" w:after="0"/>
        <w:ind w:left="714" w:hanging="357"/>
        <w:rPr>
          <w:rFonts w:eastAsia="Calibri" w:cs="Arial"/>
          <w:sz w:val="22"/>
          <w:szCs w:val="22"/>
        </w:rPr>
      </w:pPr>
      <w:bookmarkStart w:id="18" w:name="_Toc219952453"/>
      <w:r w:rsidRPr="00E03415">
        <w:rPr>
          <w:rFonts w:eastAsia="Calibri" w:cs="Arial"/>
          <w:sz w:val="22"/>
          <w:szCs w:val="22"/>
        </w:rPr>
        <w:t xml:space="preserve">rules of </w:t>
      </w:r>
      <w:r>
        <w:rPr>
          <w:rFonts w:eastAsia="Calibri" w:cs="Arial"/>
          <w:sz w:val="22"/>
          <w:szCs w:val="22"/>
        </w:rPr>
        <w:t>o</w:t>
      </w:r>
      <w:r w:rsidRPr="00E03415">
        <w:rPr>
          <w:rFonts w:eastAsia="Calibri" w:cs="Arial"/>
          <w:sz w:val="22"/>
          <w:szCs w:val="22"/>
        </w:rPr>
        <w:t>rigin and other aspects of implementation of tariff commitments</w:t>
      </w:r>
    </w:p>
    <w:p w14:paraId="07B8F9E7" w14:textId="5B4C95F4" w:rsidR="00530BA8" w:rsidRPr="00E03415" w:rsidRDefault="00D30884" w:rsidP="00530BA8">
      <w:pPr>
        <w:numPr>
          <w:ilvl w:val="0"/>
          <w:numId w:val="73"/>
        </w:numPr>
        <w:spacing w:before="0" w:after="0"/>
        <w:ind w:left="714" w:hanging="357"/>
        <w:rPr>
          <w:rFonts w:eastAsia="Calibri" w:cs="Arial"/>
          <w:sz w:val="22"/>
          <w:szCs w:val="22"/>
        </w:rPr>
      </w:pPr>
      <w:r w:rsidRPr="00E03415">
        <w:rPr>
          <w:rFonts w:eastAsia="Calibri" w:cs="Arial"/>
          <w:sz w:val="22"/>
          <w:szCs w:val="22"/>
        </w:rPr>
        <w:t xml:space="preserve">sanitary and phytosanitary measures </w:t>
      </w:r>
    </w:p>
    <w:p w14:paraId="5E57C32C" w14:textId="2421A3C2" w:rsidR="00530BA8" w:rsidRPr="00E03415" w:rsidRDefault="00D30884" w:rsidP="00530BA8">
      <w:pPr>
        <w:numPr>
          <w:ilvl w:val="0"/>
          <w:numId w:val="73"/>
        </w:numPr>
        <w:spacing w:before="0" w:after="0"/>
        <w:ind w:left="714" w:hanging="357"/>
        <w:rPr>
          <w:rFonts w:eastAsia="Calibri" w:cs="Arial"/>
          <w:sz w:val="22"/>
          <w:szCs w:val="22"/>
        </w:rPr>
      </w:pPr>
      <w:r w:rsidRPr="00E03415">
        <w:rPr>
          <w:rFonts w:eastAsia="Calibri" w:cs="Arial"/>
          <w:sz w:val="22"/>
          <w:szCs w:val="22"/>
        </w:rPr>
        <w:t xml:space="preserve">standards, technical regulations and conformity assessment procedures </w:t>
      </w:r>
    </w:p>
    <w:p w14:paraId="67E747EC" w14:textId="0107E407" w:rsidR="00530BA8" w:rsidRPr="00E03415" w:rsidRDefault="00D30884" w:rsidP="00530BA8">
      <w:pPr>
        <w:numPr>
          <w:ilvl w:val="0"/>
          <w:numId w:val="73"/>
        </w:numPr>
        <w:spacing w:before="0" w:after="0"/>
        <w:ind w:left="714" w:hanging="357"/>
        <w:rPr>
          <w:rFonts w:eastAsia="Calibri" w:cs="Arial"/>
          <w:sz w:val="22"/>
          <w:szCs w:val="22"/>
        </w:rPr>
      </w:pPr>
      <w:r>
        <w:rPr>
          <w:rFonts w:eastAsia="Calibri" w:cs="Arial"/>
          <w:sz w:val="22"/>
          <w:szCs w:val="22"/>
        </w:rPr>
        <w:t>s</w:t>
      </w:r>
      <w:r w:rsidR="00530BA8" w:rsidRPr="00E03415">
        <w:rPr>
          <w:rFonts w:eastAsia="Calibri" w:cs="Arial"/>
          <w:sz w:val="22"/>
          <w:szCs w:val="22"/>
        </w:rPr>
        <w:t xml:space="preserve">ervices </w:t>
      </w:r>
    </w:p>
    <w:p w14:paraId="2EBF19E1" w14:textId="26C38EB3" w:rsidR="00530BA8" w:rsidRPr="00E03415" w:rsidRDefault="00D30884" w:rsidP="00530BA8">
      <w:pPr>
        <w:numPr>
          <w:ilvl w:val="0"/>
          <w:numId w:val="73"/>
        </w:numPr>
        <w:spacing w:before="0" w:after="0"/>
        <w:ind w:left="714" w:hanging="357"/>
        <w:rPr>
          <w:rFonts w:eastAsia="Calibri" w:cs="Arial"/>
          <w:sz w:val="22"/>
          <w:szCs w:val="22"/>
        </w:rPr>
      </w:pPr>
      <w:r>
        <w:rPr>
          <w:rFonts w:eastAsia="Calibri" w:cs="Arial"/>
          <w:sz w:val="22"/>
          <w:szCs w:val="22"/>
        </w:rPr>
        <w:t>i</w:t>
      </w:r>
      <w:r w:rsidRPr="00E03415">
        <w:rPr>
          <w:rFonts w:eastAsia="Calibri" w:cs="Arial"/>
          <w:sz w:val="22"/>
          <w:szCs w:val="22"/>
        </w:rPr>
        <w:t>nvestment</w:t>
      </w:r>
    </w:p>
    <w:p w14:paraId="74508ADA" w14:textId="1CDF2311" w:rsidR="00530BA8" w:rsidRPr="00E03415" w:rsidRDefault="00D30884" w:rsidP="00530BA8">
      <w:pPr>
        <w:numPr>
          <w:ilvl w:val="0"/>
          <w:numId w:val="73"/>
        </w:numPr>
        <w:spacing w:before="0" w:after="0"/>
        <w:ind w:left="714" w:hanging="357"/>
        <w:jc w:val="both"/>
        <w:rPr>
          <w:rFonts w:eastAsia="Calibri" w:cs="Arial"/>
          <w:sz w:val="22"/>
          <w:szCs w:val="22"/>
        </w:rPr>
      </w:pPr>
      <w:r>
        <w:rPr>
          <w:rFonts w:eastAsia="Calibri" w:cs="Arial"/>
          <w:sz w:val="22"/>
          <w:szCs w:val="22"/>
        </w:rPr>
        <w:lastRenderedPageBreak/>
        <w:t>i</w:t>
      </w:r>
      <w:r w:rsidRPr="00E03415">
        <w:rPr>
          <w:rFonts w:eastAsia="Calibri" w:cs="Arial"/>
          <w:sz w:val="22"/>
          <w:szCs w:val="22"/>
        </w:rPr>
        <w:t xml:space="preserve">ntellectual </w:t>
      </w:r>
      <w:r>
        <w:rPr>
          <w:rFonts w:eastAsia="Calibri" w:cs="Arial"/>
          <w:sz w:val="22"/>
          <w:szCs w:val="22"/>
        </w:rPr>
        <w:t>p</w:t>
      </w:r>
      <w:r w:rsidRPr="00E03415">
        <w:rPr>
          <w:rFonts w:eastAsia="Calibri" w:cs="Arial"/>
          <w:sz w:val="22"/>
          <w:szCs w:val="22"/>
        </w:rPr>
        <w:t>roperty</w:t>
      </w:r>
      <w:r w:rsidR="00530BA8" w:rsidRPr="00E03415">
        <w:rPr>
          <w:rFonts w:eastAsia="Calibri" w:cs="Arial"/>
          <w:sz w:val="22"/>
          <w:szCs w:val="22"/>
        </w:rPr>
        <w:t>.</w:t>
      </w:r>
    </w:p>
    <w:p w14:paraId="50EBBD4A" w14:textId="3751056A" w:rsidR="00530BA8" w:rsidRPr="00E03415" w:rsidRDefault="00D30884" w:rsidP="00530BA8">
      <w:pPr>
        <w:numPr>
          <w:ilvl w:val="0"/>
          <w:numId w:val="73"/>
        </w:numPr>
        <w:spacing w:before="0" w:after="0"/>
        <w:ind w:left="714" w:hanging="357"/>
        <w:jc w:val="both"/>
        <w:rPr>
          <w:rFonts w:eastAsia="Calibri" w:cs="Arial"/>
          <w:sz w:val="22"/>
          <w:szCs w:val="22"/>
        </w:rPr>
      </w:pPr>
      <w:r w:rsidRPr="00E03415">
        <w:rPr>
          <w:rFonts w:eastAsia="Calibri" w:cs="Arial"/>
          <w:sz w:val="22"/>
          <w:szCs w:val="22"/>
        </w:rPr>
        <w:t>sectoral integration</w:t>
      </w:r>
    </w:p>
    <w:p w14:paraId="7EC98F87" w14:textId="3A497CDD" w:rsidR="00530BA8" w:rsidRPr="00E03415" w:rsidRDefault="00D30884" w:rsidP="00530BA8">
      <w:pPr>
        <w:numPr>
          <w:ilvl w:val="0"/>
          <w:numId w:val="73"/>
        </w:numPr>
        <w:spacing w:before="0" w:after="0"/>
        <w:ind w:left="714" w:hanging="357"/>
        <w:jc w:val="both"/>
        <w:rPr>
          <w:rFonts w:eastAsia="Calibri" w:cs="Arial"/>
          <w:sz w:val="22"/>
          <w:szCs w:val="22"/>
        </w:rPr>
      </w:pPr>
      <w:r w:rsidRPr="00E03415">
        <w:rPr>
          <w:rFonts w:eastAsia="Calibri" w:cs="Arial"/>
          <w:sz w:val="22"/>
          <w:szCs w:val="22"/>
        </w:rPr>
        <w:t>customs</w:t>
      </w:r>
    </w:p>
    <w:p w14:paraId="15943178" w14:textId="7E00A5CF" w:rsidR="00530BA8" w:rsidRPr="00E03415" w:rsidRDefault="00D30884" w:rsidP="00530BA8">
      <w:pPr>
        <w:numPr>
          <w:ilvl w:val="0"/>
          <w:numId w:val="73"/>
        </w:numPr>
        <w:spacing w:before="0" w:after="0"/>
        <w:ind w:left="714" w:hanging="357"/>
        <w:jc w:val="both"/>
        <w:rPr>
          <w:rFonts w:eastAsia="Calibri" w:cs="Arial"/>
          <w:sz w:val="22"/>
          <w:szCs w:val="22"/>
        </w:rPr>
      </w:pPr>
      <w:r w:rsidRPr="00E03415">
        <w:rPr>
          <w:rFonts w:eastAsia="Calibri" w:cs="Arial"/>
          <w:sz w:val="22"/>
          <w:szCs w:val="22"/>
        </w:rPr>
        <w:t>competition policy</w:t>
      </w:r>
      <w:r w:rsidR="00530BA8" w:rsidRPr="00E03415">
        <w:rPr>
          <w:rFonts w:eastAsia="Calibri" w:cs="Arial"/>
          <w:sz w:val="22"/>
          <w:szCs w:val="22"/>
        </w:rPr>
        <w:t>.</w:t>
      </w:r>
    </w:p>
    <w:p w14:paraId="713A9325" w14:textId="3047FD75" w:rsidR="00530BA8" w:rsidRDefault="00530BA8" w:rsidP="00530BA8">
      <w:pPr>
        <w:pStyle w:val="Heading2"/>
      </w:pPr>
      <w:r>
        <w:t xml:space="preserve">Objectives of the </w:t>
      </w:r>
      <w:bookmarkEnd w:id="18"/>
      <w:r w:rsidR="00D30884">
        <w:t>evaluation</w:t>
      </w:r>
    </w:p>
    <w:p w14:paraId="6F2BE860" w14:textId="409EA1A0" w:rsidR="00530BA8" w:rsidRPr="00E03415" w:rsidRDefault="00530BA8" w:rsidP="00771C63">
      <w:pPr>
        <w:ind w:left="567" w:hanging="567"/>
        <w:rPr>
          <w:sz w:val="22"/>
          <w:szCs w:val="22"/>
          <w:lang w:val="en-US"/>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lang w:val="en-US"/>
        </w:rPr>
        <w:t xml:space="preserve">The </w:t>
      </w:r>
      <w:r w:rsidR="00771C63">
        <w:rPr>
          <w:sz w:val="22"/>
          <w:szCs w:val="22"/>
          <w:lang w:val="en-US"/>
        </w:rPr>
        <w:t>independent progress report</w:t>
      </w:r>
      <w:r w:rsidR="00771C63" w:rsidRPr="00E03415">
        <w:rPr>
          <w:sz w:val="22"/>
          <w:szCs w:val="22"/>
          <w:lang w:val="en-US"/>
        </w:rPr>
        <w:t xml:space="preserve"> </w:t>
      </w:r>
      <w:r w:rsidRPr="00E03415">
        <w:rPr>
          <w:sz w:val="22"/>
          <w:szCs w:val="22"/>
          <w:lang w:val="en-US"/>
        </w:rPr>
        <w:t xml:space="preserve">will formulate recommendations for the remainder of the </w:t>
      </w:r>
      <w:r w:rsidR="0045046A">
        <w:rPr>
          <w:sz w:val="22"/>
          <w:szCs w:val="22"/>
          <w:lang w:val="en-US"/>
        </w:rPr>
        <w:t>program</w:t>
      </w:r>
      <w:r w:rsidRPr="00E03415">
        <w:rPr>
          <w:sz w:val="22"/>
          <w:szCs w:val="22"/>
          <w:lang w:val="en-US"/>
        </w:rPr>
        <w:t xml:space="preserve"> and propose appropriate changes to budgets, resources and timeframes as required. Importantly the </w:t>
      </w:r>
      <w:r w:rsidR="00771C63">
        <w:rPr>
          <w:sz w:val="22"/>
          <w:szCs w:val="22"/>
          <w:lang w:val="en-US"/>
        </w:rPr>
        <w:t>report</w:t>
      </w:r>
      <w:r w:rsidR="00771C63" w:rsidRPr="00E03415">
        <w:rPr>
          <w:sz w:val="22"/>
          <w:szCs w:val="22"/>
          <w:lang w:val="en-US"/>
        </w:rPr>
        <w:t xml:space="preserve"> </w:t>
      </w:r>
      <w:r w:rsidRPr="00E03415">
        <w:rPr>
          <w:sz w:val="22"/>
          <w:szCs w:val="22"/>
          <w:lang w:val="en-US"/>
        </w:rPr>
        <w:t xml:space="preserve">will put forward options to ensure the optimal sustainable outcomes from the </w:t>
      </w:r>
      <w:r w:rsidR="0045046A">
        <w:rPr>
          <w:sz w:val="22"/>
          <w:szCs w:val="22"/>
          <w:lang w:val="en-US"/>
        </w:rPr>
        <w:t>program</w:t>
      </w:r>
      <w:r w:rsidRPr="00E03415">
        <w:rPr>
          <w:sz w:val="22"/>
          <w:szCs w:val="22"/>
          <w:lang w:val="en-US"/>
        </w:rPr>
        <w:t xml:space="preserve">, taking into account the time and resources available. The </w:t>
      </w:r>
      <w:r w:rsidR="00771C63">
        <w:rPr>
          <w:sz w:val="22"/>
          <w:szCs w:val="22"/>
          <w:lang w:val="en-US"/>
        </w:rPr>
        <w:t>report</w:t>
      </w:r>
      <w:r w:rsidR="00771C63" w:rsidRPr="00E03415">
        <w:rPr>
          <w:sz w:val="22"/>
          <w:szCs w:val="22"/>
          <w:lang w:val="en-US"/>
        </w:rPr>
        <w:t xml:space="preserve"> </w:t>
      </w:r>
      <w:r w:rsidRPr="00E03415">
        <w:rPr>
          <w:sz w:val="22"/>
          <w:szCs w:val="22"/>
          <w:lang w:val="en-US"/>
        </w:rPr>
        <w:t xml:space="preserve">will also examine AECSP governance arrangements to ascertain if they remain appropriate and relevant. The </w:t>
      </w:r>
      <w:r w:rsidR="00771C63">
        <w:rPr>
          <w:sz w:val="22"/>
          <w:szCs w:val="22"/>
          <w:lang w:val="en-US"/>
        </w:rPr>
        <w:t>report’s</w:t>
      </w:r>
      <w:r w:rsidR="00771C63" w:rsidRPr="00E03415">
        <w:rPr>
          <w:sz w:val="22"/>
          <w:szCs w:val="22"/>
          <w:lang w:val="en-US"/>
        </w:rPr>
        <w:t xml:space="preserve"> </w:t>
      </w:r>
      <w:r w:rsidRPr="00E03415">
        <w:rPr>
          <w:sz w:val="22"/>
          <w:szCs w:val="22"/>
          <w:lang w:val="en-US"/>
        </w:rPr>
        <w:t xml:space="preserve">objectives are to: </w:t>
      </w:r>
    </w:p>
    <w:p w14:paraId="027EA77C" w14:textId="65A4788A" w:rsidR="00530BA8" w:rsidRPr="00E03415" w:rsidRDefault="00771C63" w:rsidP="00530BA8">
      <w:pPr>
        <w:numPr>
          <w:ilvl w:val="0"/>
          <w:numId w:val="70"/>
        </w:numPr>
        <w:spacing w:before="0" w:after="0"/>
        <w:rPr>
          <w:sz w:val="22"/>
          <w:szCs w:val="22"/>
          <w:lang w:val="en-US"/>
        </w:rPr>
      </w:pPr>
      <w:r>
        <w:rPr>
          <w:sz w:val="22"/>
          <w:szCs w:val="22"/>
          <w:lang w:val="en-US"/>
        </w:rPr>
        <w:t>a</w:t>
      </w:r>
      <w:r w:rsidRPr="00E03415">
        <w:rPr>
          <w:sz w:val="22"/>
          <w:szCs w:val="22"/>
          <w:lang w:val="en-US"/>
        </w:rPr>
        <w:t xml:space="preserve">ssess </w:t>
      </w:r>
      <w:r w:rsidR="00530BA8" w:rsidRPr="00E03415">
        <w:rPr>
          <w:sz w:val="22"/>
          <w:szCs w:val="22"/>
          <w:lang w:val="en-US"/>
        </w:rPr>
        <w:t>the performance of AECSP against the Development Assistance Committee evaluation criteria of relevance, efficiency, effectiveness, impact and sustainability</w:t>
      </w:r>
      <w:r>
        <w:rPr>
          <w:sz w:val="22"/>
          <w:szCs w:val="22"/>
          <w:lang w:val="en-US"/>
        </w:rPr>
        <w:t>,</w:t>
      </w:r>
      <w:r w:rsidRPr="00E03415">
        <w:rPr>
          <w:sz w:val="22"/>
          <w:szCs w:val="22"/>
          <w:lang w:val="en-US"/>
        </w:rPr>
        <w:t xml:space="preserve"> </w:t>
      </w:r>
      <w:r w:rsidR="00530BA8" w:rsidRPr="00E03415">
        <w:rPr>
          <w:sz w:val="22"/>
          <w:szCs w:val="22"/>
          <w:lang w:val="en-US"/>
        </w:rPr>
        <w:t xml:space="preserve">and the AusAID criteria of monitoring and evaluation and gender equality </w:t>
      </w:r>
    </w:p>
    <w:p w14:paraId="4FEBF638" w14:textId="0B6A120D" w:rsidR="00530BA8" w:rsidRPr="00E03415" w:rsidRDefault="00771C63" w:rsidP="00530BA8">
      <w:pPr>
        <w:numPr>
          <w:ilvl w:val="0"/>
          <w:numId w:val="70"/>
        </w:numPr>
        <w:spacing w:before="0" w:after="0"/>
        <w:rPr>
          <w:sz w:val="22"/>
          <w:szCs w:val="22"/>
          <w:lang w:val="en-US"/>
        </w:rPr>
      </w:pPr>
      <w:r>
        <w:rPr>
          <w:sz w:val="22"/>
          <w:szCs w:val="22"/>
          <w:lang w:val="en-US"/>
        </w:rPr>
        <w:t>a</w:t>
      </w:r>
      <w:r w:rsidRPr="00E03415">
        <w:rPr>
          <w:sz w:val="22"/>
          <w:szCs w:val="22"/>
          <w:lang w:val="en-US"/>
        </w:rPr>
        <w:t xml:space="preserve">ssess </w:t>
      </w:r>
      <w:r w:rsidR="00530BA8" w:rsidRPr="00E03415">
        <w:rPr>
          <w:sz w:val="22"/>
          <w:szCs w:val="22"/>
          <w:lang w:val="en-US"/>
        </w:rPr>
        <w:t>AECSP’s success in addressing overall performance, including adequately promoting gender equality, establishing and operationali</w:t>
      </w:r>
      <w:r w:rsidR="00465C26">
        <w:rPr>
          <w:sz w:val="22"/>
          <w:szCs w:val="22"/>
          <w:lang w:val="en-US"/>
        </w:rPr>
        <w:t>s</w:t>
      </w:r>
      <w:r w:rsidR="00530BA8" w:rsidRPr="00E03415">
        <w:rPr>
          <w:sz w:val="22"/>
          <w:szCs w:val="22"/>
          <w:lang w:val="en-US"/>
        </w:rPr>
        <w:t xml:space="preserve">ing a robust monitoring and evaluation system, and undertaking ongoing analysis of the operation of the </w:t>
      </w:r>
      <w:r w:rsidR="0045046A">
        <w:rPr>
          <w:sz w:val="22"/>
          <w:szCs w:val="22"/>
          <w:lang w:val="en-US"/>
        </w:rPr>
        <w:t>program</w:t>
      </w:r>
      <w:r w:rsidR="00530BA8" w:rsidRPr="00E03415">
        <w:rPr>
          <w:sz w:val="22"/>
          <w:szCs w:val="22"/>
          <w:lang w:val="en-US"/>
        </w:rPr>
        <w:t xml:space="preserve">, drawing out major lessons learned and taking remedial action to ensure continuous improvement </w:t>
      </w:r>
    </w:p>
    <w:p w14:paraId="2A51A8B3" w14:textId="7C176F88" w:rsidR="00530BA8" w:rsidRPr="00E03415" w:rsidRDefault="00771C63" w:rsidP="00530BA8">
      <w:pPr>
        <w:numPr>
          <w:ilvl w:val="0"/>
          <w:numId w:val="70"/>
        </w:numPr>
        <w:spacing w:before="0" w:after="0"/>
        <w:rPr>
          <w:sz w:val="22"/>
          <w:szCs w:val="22"/>
          <w:lang w:val="en-US"/>
        </w:rPr>
      </w:pPr>
      <w:r>
        <w:rPr>
          <w:sz w:val="22"/>
          <w:szCs w:val="22"/>
          <w:lang w:val="en-US"/>
        </w:rPr>
        <w:t>d</w:t>
      </w:r>
      <w:r w:rsidRPr="00E03415">
        <w:rPr>
          <w:sz w:val="22"/>
          <w:szCs w:val="22"/>
          <w:lang w:val="en-US"/>
        </w:rPr>
        <w:t xml:space="preserve">etermine </w:t>
      </w:r>
      <w:r w:rsidR="00530BA8" w:rsidRPr="00E03415">
        <w:rPr>
          <w:sz w:val="22"/>
          <w:szCs w:val="22"/>
          <w:lang w:val="en-US"/>
        </w:rPr>
        <w:t>if there are issues affecting AECSP’s performance and if so, propose solutions, for example assessing the effectiveness of the partnership delivery mechanism</w:t>
      </w:r>
      <w:r>
        <w:rPr>
          <w:sz w:val="22"/>
          <w:szCs w:val="22"/>
          <w:lang w:val="en-US"/>
        </w:rPr>
        <w:t>,</w:t>
      </w:r>
      <w:r w:rsidRPr="00E03415">
        <w:rPr>
          <w:sz w:val="22"/>
          <w:szCs w:val="22"/>
          <w:lang w:val="en-US"/>
        </w:rPr>
        <w:t xml:space="preserve"> </w:t>
      </w:r>
      <w:r w:rsidR="00530BA8" w:rsidRPr="00E03415">
        <w:rPr>
          <w:sz w:val="22"/>
          <w:szCs w:val="22"/>
          <w:lang w:val="en-US"/>
        </w:rPr>
        <w:t xml:space="preserve">and </w:t>
      </w:r>
      <w:r w:rsidR="00FA23AA">
        <w:rPr>
          <w:sz w:val="22"/>
          <w:szCs w:val="22"/>
          <w:lang w:val="en-US"/>
        </w:rPr>
        <w:t xml:space="preserve">ASEAN </w:t>
      </w:r>
      <w:r>
        <w:rPr>
          <w:sz w:val="22"/>
          <w:szCs w:val="22"/>
          <w:lang w:val="en-US"/>
        </w:rPr>
        <w:t xml:space="preserve">Secretariat </w:t>
      </w:r>
      <w:r w:rsidR="00530BA8" w:rsidRPr="00E03415">
        <w:rPr>
          <w:sz w:val="22"/>
          <w:szCs w:val="22"/>
          <w:lang w:val="en-US"/>
        </w:rPr>
        <w:t>processes and capacity limitations. Particular attention should be paid to identifying lessons learned and practices to draw on for designing future programs of ASEAN</w:t>
      </w:r>
      <w:r>
        <w:rPr>
          <w:sz w:val="22"/>
          <w:szCs w:val="22"/>
          <w:lang w:val="en-US"/>
        </w:rPr>
        <w:t>–</w:t>
      </w:r>
      <w:r w:rsidR="00530BA8" w:rsidRPr="00E03415">
        <w:rPr>
          <w:sz w:val="22"/>
          <w:szCs w:val="22"/>
          <w:lang w:val="en-US"/>
        </w:rPr>
        <w:t>Australian development cooperation</w:t>
      </w:r>
    </w:p>
    <w:p w14:paraId="19C1AA27" w14:textId="2A1EB3C9" w:rsidR="00530BA8" w:rsidRPr="00E03415" w:rsidRDefault="00771C63" w:rsidP="00530BA8">
      <w:pPr>
        <w:numPr>
          <w:ilvl w:val="0"/>
          <w:numId w:val="70"/>
        </w:numPr>
        <w:spacing w:before="0" w:after="0"/>
        <w:rPr>
          <w:sz w:val="22"/>
          <w:szCs w:val="22"/>
          <w:lang w:val="en-US"/>
        </w:rPr>
      </w:pPr>
      <w:r>
        <w:rPr>
          <w:sz w:val="22"/>
          <w:szCs w:val="22"/>
          <w:lang w:val="en-US"/>
        </w:rPr>
        <w:t>e</w:t>
      </w:r>
      <w:r w:rsidRPr="00E03415">
        <w:rPr>
          <w:sz w:val="22"/>
          <w:szCs w:val="22"/>
          <w:lang w:val="en-US"/>
        </w:rPr>
        <w:t xml:space="preserve">xamine </w:t>
      </w:r>
      <w:r w:rsidR="00530BA8" w:rsidRPr="00E03415">
        <w:rPr>
          <w:sz w:val="22"/>
          <w:szCs w:val="22"/>
          <w:lang w:val="en-US"/>
        </w:rPr>
        <w:t xml:space="preserve">the existing management arrangements with a view to devolving AusAID Canberra’s management of the program to AusAID’s East Asia regional team in Jakarta </w:t>
      </w:r>
    </w:p>
    <w:p w14:paraId="35A96CD1" w14:textId="22A4FA90" w:rsidR="00530BA8" w:rsidRPr="00E03415" w:rsidRDefault="00771C63" w:rsidP="00530BA8">
      <w:pPr>
        <w:numPr>
          <w:ilvl w:val="0"/>
          <w:numId w:val="70"/>
        </w:numPr>
        <w:spacing w:before="0" w:after="0"/>
        <w:rPr>
          <w:sz w:val="22"/>
          <w:szCs w:val="22"/>
          <w:lang w:val="en-US"/>
        </w:rPr>
      </w:pPr>
      <w:r>
        <w:rPr>
          <w:sz w:val="22"/>
          <w:szCs w:val="22"/>
          <w:lang w:val="en-US"/>
        </w:rPr>
        <w:t>r</w:t>
      </w:r>
      <w:r w:rsidRPr="00E03415">
        <w:rPr>
          <w:sz w:val="22"/>
          <w:szCs w:val="22"/>
          <w:lang w:val="en-US"/>
        </w:rPr>
        <w:t xml:space="preserve">eview </w:t>
      </w:r>
      <w:r w:rsidR="00530BA8" w:rsidRPr="00E03415">
        <w:rPr>
          <w:sz w:val="22"/>
          <w:szCs w:val="22"/>
          <w:lang w:val="en-US"/>
        </w:rPr>
        <w:t xml:space="preserve">the accountability and governance arrangements for the </w:t>
      </w:r>
      <w:r w:rsidR="0045046A">
        <w:rPr>
          <w:sz w:val="22"/>
          <w:szCs w:val="22"/>
          <w:lang w:val="en-US"/>
        </w:rPr>
        <w:t>program</w:t>
      </w:r>
    </w:p>
    <w:p w14:paraId="3FC04ED0" w14:textId="16AD04BE" w:rsidR="00530BA8" w:rsidRPr="00E03415" w:rsidRDefault="00771C63" w:rsidP="00530BA8">
      <w:pPr>
        <w:numPr>
          <w:ilvl w:val="0"/>
          <w:numId w:val="70"/>
        </w:numPr>
        <w:spacing w:before="0" w:after="0"/>
        <w:rPr>
          <w:sz w:val="22"/>
          <w:szCs w:val="22"/>
          <w:lang w:val="en-US"/>
        </w:rPr>
      </w:pPr>
      <w:r>
        <w:rPr>
          <w:sz w:val="22"/>
          <w:szCs w:val="22"/>
          <w:lang w:val="en-US"/>
        </w:rPr>
        <w:t>d</w:t>
      </w:r>
      <w:r w:rsidRPr="00E03415">
        <w:rPr>
          <w:sz w:val="22"/>
          <w:szCs w:val="22"/>
          <w:lang w:val="en-US"/>
        </w:rPr>
        <w:t xml:space="preserve">etermine </w:t>
      </w:r>
      <w:r w:rsidR="00530BA8" w:rsidRPr="00E03415">
        <w:rPr>
          <w:sz w:val="22"/>
          <w:szCs w:val="22"/>
          <w:lang w:val="en-US"/>
        </w:rPr>
        <w:t xml:space="preserve">whether there is a demonstrated development need to extend the </w:t>
      </w:r>
      <w:r w:rsidR="0045046A">
        <w:rPr>
          <w:sz w:val="22"/>
          <w:szCs w:val="22"/>
          <w:lang w:val="en-US"/>
        </w:rPr>
        <w:t>program</w:t>
      </w:r>
      <w:r w:rsidR="00530BA8" w:rsidRPr="00E03415">
        <w:rPr>
          <w:sz w:val="22"/>
          <w:szCs w:val="22"/>
          <w:lang w:val="en-US"/>
        </w:rPr>
        <w:t xml:space="preserve"> beyond the current end date </w:t>
      </w:r>
    </w:p>
    <w:p w14:paraId="4F9C66F1" w14:textId="06C8A093" w:rsidR="00530BA8" w:rsidRPr="00E03415" w:rsidRDefault="00771C63" w:rsidP="00530BA8">
      <w:pPr>
        <w:numPr>
          <w:ilvl w:val="0"/>
          <w:numId w:val="70"/>
        </w:numPr>
        <w:spacing w:before="0" w:after="0"/>
        <w:rPr>
          <w:sz w:val="22"/>
          <w:szCs w:val="22"/>
          <w:lang w:val="en-US"/>
        </w:rPr>
      </w:pPr>
      <w:r>
        <w:rPr>
          <w:sz w:val="22"/>
          <w:szCs w:val="22"/>
          <w:lang w:val="en-US"/>
        </w:rPr>
        <w:t>a</w:t>
      </w:r>
      <w:r w:rsidRPr="00E03415">
        <w:rPr>
          <w:sz w:val="22"/>
          <w:szCs w:val="22"/>
          <w:lang w:val="en-US"/>
        </w:rPr>
        <w:t xml:space="preserve">ddress </w:t>
      </w:r>
      <w:r w:rsidR="00530BA8" w:rsidRPr="00E03415">
        <w:rPr>
          <w:sz w:val="22"/>
          <w:szCs w:val="22"/>
          <w:lang w:val="en-US"/>
        </w:rPr>
        <w:t xml:space="preserve">any other issues that the </w:t>
      </w:r>
      <w:r>
        <w:rPr>
          <w:sz w:val="22"/>
          <w:szCs w:val="22"/>
          <w:lang w:val="en-US"/>
        </w:rPr>
        <w:t>independent progress report</w:t>
      </w:r>
      <w:r w:rsidRPr="00E03415">
        <w:rPr>
          <w:sz w:val="22"/>
          <w:szCs w:val="22"/>
          <w:lang w:val="en-US"/>
        </w:rPr>
        <w:t xml:space="preserve"> </w:t>
      </w:r>
      <w:r w:rsidR="00530BA8" w:rsidRPr="00E03415">
        <w:rPr>
          <w:sz w:val="22"/>
          <w:szCs w:val="22"/>
          <w:lang w:val="en-US"/>
        </w:rPr>
        <w:t xml:space="preserve">team considers necessary for the successful completion of the </w:t>
      </w:r>
      <w:r>
        <w:rPr>
          <w:sz w:val="22"/>
          <w:szCs w:val="22"/>
          <w:lang w:val="en-US"/>
        </w:rPr>
        <w:t>report</w:t>
      </w:r>
    </w:p>
    <w:p w14:paraId="3E25FC2D" w14:textId="61B54F00" w:rsidR="00530BA8" w:rsidRPr="00E03415" w:rsidRDefault="00771C63" w:rsidP="00530BA8">
      <w:pPr>
        <w:numPr>
          <w:ilvl w:val="0"/>
          <w:numId w:val="70"/>
        </w:numPr>
        <w:spacing w:before="0" w:after="0"/>
        <w:rPr>
          <w:sz w:val="22"/>
          <w:szCs w:val="22"/>
          <w:lang w:val="en-US"/>
        </w:rPr>
      </w:pPr>
      <w:r>
        <w:rPr>
          <w:sz w:val="22"/>
          <w:szCs w:val="22"/>
          <w:lang w:val="en-US"/>
        </w:rPr>
        <w:t>m</w:t>
      </w:r>
      <w:r w:rsidR="00530BA8" w:rsidRPr="00E03415">
        <w:rPr>
          <w:sz w:val="22"/>
          <w:szCs w:val="22"/>
          <w:lang w:val="en-US"/>
        </w:rPr>
        <w:t xml:space="preserve">ake recommendations </w:t>
      </w:r>
      <w:r>
        <w:rPr>
          <w:sz w:val="22"/>
          <w:szCs w:val="22"/>
          <w:lang w:val="en-US"/>
        </w:rPr>
        <w:t>on</w:t>
      </w:r>
      <w:r w:rsidRPr="00E03415">
        <w:rPr>
          <w:sz w:val="22"/>
          <w:szCs w:val="22"/>
          <w:lang w:val="en-US"/>
        </w:rPr>
        <w:t xml:space="preserve"> </w:t>
      </w:r>
      <w:r w:rsidR="00530BA8" w:rsidRPr="00E03415">
        <w:rPr>
          <w:sz w:val="22"/>
          <w:szCs w:val="22"/>
          <w:lang w:val="en-US"/>
        </w:rPr>
        <w:t>future directions of AECSP in relation to available budget and resources to promote improvements in effectiveness and efficiency.</w:t>
      </w:r>
    </w:p>
    <w:p w14:paraId="52480EE8" w14:textId="03A4ACEA" w:rsidR="00530BA8" w:rsidRDefault="00530BA8" w:rsidP="00530BA8">
      <w:pPr>
        <w:pStyle w:val="Heading2"/>
      </w:pPr>
      <w:bookmarkStart w:id="19" w:name="_Toc219952455"/>
      <w:r>
        <w:t xml:space="preserve">Key </w:t>
      </w:r>
      <w:bookmarkEnd w:id="19"/>
      <w:r w:rsidR="00771C63">
        <w:t>issues</w:t>
      </w:r>
    </w:p>
    <w:p w14:paraId="3170BBD7" w14:textId="119DDD29" w:rsidR="00530BA8" w:rsidRPr="00E03415" w:rsidRDefault="00530BA8" w:rsidP="00771C63">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 xml:space="preserve">The </w:t>
      </w:r>
      <w:r w:rsidR="00771C63">
        <w:rPr>
          <w:sz w:val="22"/>
          <w:szCs w:val="22"/>
        </w:rPr>
        <w:t>terms of reference</w:t>
      </w:r>
      <w:r w:rsidR="00771C63" w:rsidRPr="00E03415">
        <w:rPr>
          <w:sz w:val="22"/>
          <w:szCs w:val="22"/>
        </w:rPr>
        <w:t xml:space="preserve"> </w:t>
      </w:r>
      <w:r w:rsidRPr="00E03415">
        <w:rPr>
          <w:sz w:val="22"/>
          <w:szCs w:val="22"/>
        </w:rPr>
        <w:t>for this evaluation highlight a range of issues that go beyond a standard evaluation of AECSP performance using OECD D</w:t>
      </w:r>
      <w:r w:rsidR="00771C63">
        <w:rPr>
          <w:sz w:val="22"/>
          <w:szCs w:val="22"/>
        </w:rPr>
        <w:t xml:space="preserve">evelopment </w:t>
      </w:r>
      <w:r w:rsidRPr="00E03415">
        <w:rPr>
          <w:sz w:val="22"/>
          <w:szCs w:val="22"/>
        </w:rPr>
        <w:t>A</w:t>
      </w:r>
      <w:r w:rsidR="00771C63">
        <w:rPr>
          <w:sz w:val="22"/>
          <w:szCs w:val="22"/>
        </w:rPr>
        <w:t xml:space="preserve">ssistance </w:t>
      </w:r>
      <w:r w:rsidRPr="00E03415">
        <w:rPr>
          <w:sz w:val="22"/>
          <w:szCs w:val="22"/>
        </w:rPr>
        <w:t>C</w:t>
      </w:r>
      <w:r w:rsidR="00771C63">
        <w:rPr>
          <w:sz w:val="22"/>
          <w:szCs w:val="22"/>
        </w:rPr>
        <w:t>ommittee</w:t>
      </w:r>
      <w:r w:rsidRPr="00E03415">
        <w:rPr>
          <w:rStyle w:val="FootnoteReference"/>
          <w:sz w:val="22"/>
          <w:szCs w:val="22"/>
        </w:rPr>
        <w:footnoteReference w:id="100"/>
      </w:r>
      <w:r w:rsidRPr="00E03415">
        <w:rPr>
          <w:sz w:val="22"/>
          <w:szCs w:val="22"/>
        </w:rPr>
        <w:t xml:space="preserve"> and AusAID</w:t>
      </w:r>
      <w:r w:rsidRPr="00E03415">
        <w:rPr>
          <w:rStyle w:val="FootnoteReference"/>
          <w:sz w:val="22"/>
          <w:szCs w:val="22"/>
        </w:rPr>
        <w:footnoteReference w:id="101"/>
      </w:r>
      <w:r w:rsidRPr="00E03415">
        <w:rPr>
          <w:sz w:val="22"/>
          <w:szCs w:val="22"/>
        </w:rPr>
        <w:t xml:space="preserve">evaluation criteria. In addition to the standard evaluation, the </w:t>
      </w:r>
      <w:r w:rsidR="00771C63">
        <w:rPr>
          <w:sz w:val="22"/>
          <w:szCs w:val="22"/>
        </w:rPr>
        <w:t>terms of reference</w:t>
      </w:r>
      <w:r w:rsidR="00771C63" w:rsidRPr="00E03415">
        <w:rPr>
          <w:sz w:val="22"/>
          <w:szCs w:val="22"/>
        </w:rPr>
        <w:t xml:space="preserve"> </w:t>
      </w:r>
      <w:r w:rsidRPr="00E03415">
        <w:rPr>
          <w:sz w:val="22"/>
          <w:szCs w:val="22"/>
        </w:rPr>
        <w:t xml:space="preserve">ask the team to also: </w:t>
      </w:r>
    </w:p>
    <w:p w14:paraId="4CE2ED9D" w14:textId="4A6ED10E" w:rsidR="00530BA8" w:rsidRPr="00E03415" w:rsidRDefault="00771C63" w:rsidP="00530BA8">
      <w:pPr>
        <w:numPr>
          <w:ilvl w:val="0"/>
          <w:numId w:val="75"/>
        </w:numPr>
        <w:spacing w:before="0" w:after="0"/>
        <w:rPr>
          <w:sz w:val="22"/>
          <w:szCs w:val="22"/>
        </w:rPr>
      </w:pPr>
      <w:r>
        <w:rPr>
          <w:sz w:val="22"/>
          <w:szCs w:val="22"/>
        </w:rPr>
        <w:lastRenderedPageBreak/>
        <w:t>r</w:t>
      </w:r>
      <w:r w:rsidRPr="00E03415">
        <w:rPr>
          <w:sz w:val="22"/>
          <w:szCs w:val="22"/>
        </w:rPr>
        <w:t xml:space="preserve">eview </w:t>
      </w:r>
      <w:r w:rsidR="00530BA8" w:rsidRPr="00E03415">
        <w:rPr>
          <w:sz w:val="22"/>
          <w:szCs w:val="22"/>
        </w:rPr>
        <w:t>and suggest changes to work</w:t>
      </w:r>
      <w:r>
        <w:rPr>
          <w:sz w:val="22"/>
          <w:szCs w:val="22"/>
        </w:rPr>
        <w:t xml:space="preserve"> </w:t>
      </w:r>
      <w:r w:rsidR="00530BA8" w:rsidRPr="00E03415">
        <w:rPr>
          <w:sz w:val="22"/>
          <w:szCs w:val="22"/>
        </w:rPr>
        <w:t xml:space="preserve">plans and budgets for the remainder of the program, and assess whether there is a development need to extend the </w:t>
      </w:r>
      <w:r w:rsidR="0045046A">
        <w:rPr>
          <w:sz w:val="22"/>
          <w:szCs w:val="22"/>
        </w:rPr>
        <w:t>program</w:t>
      </w:r>
      <w:r w:rsidR="00530BA8" w:rsidRPr="00E03415">
        <w:rPr>
          <w:sz w:val="22"/>
          <w:szCs w:val="22"/>
        </w:rPr>
        <w:t xml:space="preserve"> beyond the current end date</w:t>
      </w:r>
    </w:p>
    <w:p w14:paraId="38C276F4" w14:textId="58E4ACBE" w:rsidR="00530BA8" w:rsidRPr="00E03415" w:rsidRDefault="00771C63" w:rsidP="00530BA8">
      <w:pPr>
        <w:numPr>
          <w:ilvl w:val="0"/>
          <w:numId w:val="75"/>
        </w:numPr>
        <w:spacing w:before="0" w:after="0"/>
        <w:rPr>
          <w:sz w:val="22"/>
          <w:szCs w:val="22"/>
        </w:rPr>
      </w:pPr>
      <w:r>
        <w:rPr>
          <w:sz w:val="22"/>
          <w:szCs w:val="22"/>
        </w:rPr>
        <w:t>r</w:t>
      </w:r>
      <w:r w:rsidRPr="00E03415">
        <w:rPr>
          <w:sz w:val="22"/>
          <w:szCs w:val="22"/>
        </w:rPr>
        <w:t xml:space="preserve">eview </w:t>
      </w:r>
      <w:r w:rsidR="00530BA8" w:rsidRPr="00E03415">
        <w:rPr>
          <w:sz w:val="22"/>
          <w:szCs w:val="22"/>
        </w:rPr>
        <w:t>and comment on the governance arrangements for the program</w:t>
      </w:r>
    </w:p>
    <w:p w14:paraId="175A3D18" w14:textId="07E7B782" w:rsidR="00530BA8" w:rsidRPr="00E03415" w:rsidRDefault="00771C63" w:rsidP="00530BA8">
      <w:pPr>
        <w:numPr>
          <w:ilvl w:val="0"/>
          <w:numId w:val="75"/>
        </w:numPr>
        <w:spacing w:before="0" w:after="0"/>
        <w:rPr>
          <w:sz w:val="22"/>
          <w:szCs w:val="22"/>
        </w:rPr>
      </w:pPr>
      <w:r>
        <w:rPr>
          <w:sz w:val="22"/>
          <w:szCs w:val="22"/>
        </w:rPr>
        <w:t>r</w:t>
      </w:r>
      <w:r w:rsidRPr="00E03415">
        <w:rPr>
          <w:sz w:val="22"/>
          <w:szCs w:val="22"/>
        </w:rPr>
        <w:t xml:space="preserve">eview </w:t>
      </w:r>
      <w:r w:rsidR="00530BA8" w:rsidRPr="00E03415">
        <w:rPr>
          <w:sz w:val="22"/>
          <w:szCs w:val="22"/>
        </w:rPr>
        <w:t xml:space="preserve">program management including the extent to which ongoing </w:t>
      </w:r>
      <w:r w:rsidR="001827E7">
        <w:rPr>
          <w:sz w:val="22"/>
          <w:szCs w:val="22"/>
        </w:rPr>
        <w:t>monitoring and evaluation</w:t>
      </w:r>
      <w:r w:rsidR="00530BA8" w:rsidRPr="00E03415">
        <w:rPr>
          <w:sz w:val="22"/>
          <w:szCs w:val="22"/>
        </w:rPr>
        <w:t xml:space="preserve"> systems were used to improve program implementation and performance and suggest opportunities for improvement (including scope to devolve management to AusAID’s Jakarta office)</w:t>
      </w:r>
    </w:p>
    <w:p w14:paraId="7BE67C02" w14:textId="0AEA44C2" w:rsidR="00530BA8" w:rsidRPr="00E03415" w:rsidRDefault="00771C63" w:rsidP="00530BA8">
      <w:pPr>
        <w:numPr>
          <w:ilvl w:val="0"/>
          <w:numId w:val="75"/>
        </w:numPr>
        <w:spacing w:before="0" w:after="0"/>
        <w:rPr>
          <w:sz w:val="22"/>
          <w:szCs w:val="22"/>
        </w:rPr>
      </w:pPr>
      <w:r>
        <w:rPr>
          <w:sz w:val="22"/>
          <w:szCs w:val="22"/>
        </w:rPr>
        <w:t>h</w:t>
      </w:r>
      <w:r w:rsidRPr="00E03415">
        <w:rPr>
          <w:sz w:val="22"/>
          <w:szCs w:val="22"/>
        </w:rPr>
        <w:t xml:space="preserve">ighlight </w:t>
      </w:r>
      <w:r w:rsidR="00530BA8" w:rsidRPr="00E03415">
        <w:rPr>
          <w:sz w:val="22"/>
          <w:szCs w:val="22"/>
        </w:rPr>
        <w:t>any other issues that affect AECSP performance, including an assessment of partnership delivery mechanisms</w:t>
      </w:r>
    </w:p>
    <w:p w14:paraId="54306511" w14:textId="6FC20BAC" w:rsidR="00530BA8" w:rsidRPr="001A2CD3" w:rsidRDefault="00771C63" w:rsidP="00530BA8">
      <w:pPr>
        <w:numPr>
          <w:ilvl w:val="0"/>
          <w:numId w:val="75"/>
        </w:numPr>
        <w:spacing w:before="0" w:after="0"/>
        <w:rPr>
          <w:sz w:val="22"/>
          <w:szCs w:val="22"/>
        </w:rPr>
      </w:pPr>
      <w:r>
        <w:rPr>
          <w:sz w:val="22"/>
          <w:szCs w:val="22"/>
        </w:rPr>
        <w:t>d</w:t>
      </w:r>
      <w:r w:rsidRPr="00E03415">
        <w:rPr>
          <w:sz w:val="22"/>
          <w:szCs w:val="22"/>
        </w:rPr>
        <w:t xml:space="preserve">raw </w:t>
      </w:r>
      <w:r w:rsidR="00530BA8" w:rsidRPr="00E03415">
        <w:rPr>
          <w:sz w:val="22"/>
          <w:szCs w:val="22"/>
        </w:rPr>
        <w:t>lessons learned for future ASEAN</w:t>
      </w:r>
      <w:r>
        <w:rPr>
          <w:sz w:val="22"/>
          <w:szCs w:val="22"/>
        </w:rPr>
        <w:t>–</w:t>
      </w:r>
      <w:r w:rsidR="00530BA8" w:rsidRPr="00E03415">
        <w:rPr>
          <w:sz w:val="22"/>
          <w:szCs w:val="22"/>
        </w:rPr>
        <w:t>Australian cooperation</w:t>
      </w:r>
    </w:p>
    <w:p w14:paraId="5FA21F41" w14:textId="54088168" w:rsidR="00530BA8" w:rsidRPr="00E03415" w:rsidRDefault="00530BA8" w:rsidP="00771C63">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 xml:space="preserve">The team will need to explore the complex institutional environment in which AECSP operates, including challenges relating to the institutional roles, capacity, and authority of the </w:t>
      </w:r>
      <w:r w:rsidR="00FA23AA">
        <w:rPr>
          <w:sz w:val="22"/>
          <w:szCs w:val="22"/>
        </w:rPr>
        <w:t xml:space="preserve">ASEAN </w:t>
      </w:r>
      <w:r w:rsidR="00771C63">
        <w:rPr>
          <w:sz w:val="22"/>
          <w:szCs w:val="22"/>
        </w:rPr>
        <w:t xml:space="preserve">Secretariat </w:t>
      </w:r>
      <w:r w:rsidRPr="00E03415">
        <w:rPr>
          <w:sz w:val="22"/>
          <w:szCs w:val="22"/>
        </w:rPr>
        <w:t>(including its linkages with the F</w:t>
      </w:r>
      <w:r w:rsidR="00771C63">
        <w:rPr>
          <w:sz w:val="22"/>
          <w:szCs w:val="22"/>
        </w:rPr>
        <w:t xml:space="preserve">ree </w:t>
      </w:r>
      <w:r w:rsidRPr="00E03415">
        <w:rPr>
          <w:sz w:val="22"/>
          <w:szCs w:val="22"/>
        </w:rPr>
        <w:t>T</w:t>
      </w:r>
      <w:r w:rsidR="00771C63">
        <w:rPr>
          <w:sz w:val="22"/>
          <w:szCs w:val="22"/>
        </w:rPr>
        <w:t xml:space="preserve">rade </w:t>
      </w:r>
      <w:r w:rsidRPr="00E03415">
        <w:rPr>
          <w:sz w:val="22"/>
          <w:szCs w:val="22"/>
        </w:rPr>
        <w:t>A</w:t>
      </w:r>
      <w:r w:rsidR="00771C63">
        <w:rPr>
          <w:sz w:val="22"/>
          <w:szCs w:val="22"/>
        </w:rPr>
        <w:t>greement</w:t>
      </w:r>
      <w:r w:rsidRPr="00E03415">
        <w:rPr>
          <w:sz w:val="22"/>
          <w:szCs w:val="22"/>
        </w:rPr>
        <w:t xml:space="preserve"> Joint Committee) and the </w:t>
      </w:r>
      <w:r w:rsidR="00771C63" w:rsidRPr="00771C63">
        <w:rPr>
          <w:sz w:val="22"/>
          <w:szCs w:val="22"/>
        </w:rPr>
        <w:t xml:space="preserve">AANZFTA Support Unit </w:t>
      </w:r>
      <w:r w:rsidRPr="00E03415">
        <w:rPr>
          <w:sz w:val="22"/>
          <w:szCs w:val="22"/>
        </w:rPr>
        <w:t xml:space="preserve">within </w:t>
      </w:r>
      <w:r w:rsidR="003943B9">
        <w:rPr>
          <w:sz w:val="22"/>
          <w:szCs w:val="22"/>
        </w:rPr>
        <w:t xml:space="preserve">the </w:t>
      </w:r>
      <w:r w:rsidR="00FA23AA">
        <w:rPr>
          <w:sz w:val="22"/>
          <w:szCs w:val="22"/>
        </w:rPr>
        <w:t xml:space="preserve">ASEAN </w:t>
      </w:r>
      <w:r w:rsidR="00771C63">
        <w:rPr>
          <w:sz w:val="22"/>
          <w:szCs w:val="22"/>
        </w:rPr>
        <w:t>Secretariat</w:t>
      </w:r>
      <w:r w:rsidRPr="00E03415">
        <w:rPr>
          <w:sz w:val="22"/>
          <w:szCs w:val="22"/>
        </w:rPr>
        <w:t xml:space="preserve">. In particular, the team will need to assess whether the initial assumptions regarding the mandates of </w:t>
      </w:r>
      <w:r w:rsidR="00FA23AA">
        <w:rPr>
          <w:sz w:val="22"/>
          <w:szCs w:val="22"/>
        </w:rPr>
        <w:t xml:space="preserve">ASEAN </w:t>
      </w:r>
      <w:r w:rsidR="00771C63">
        <w:rPr>
          <w:sz w:val="22"/>
          <w:szCs w:val="22"/>
        </w:rPr>
        <w:t xml:space="preserve">Secretariat </w:t>
      </w:r>
      <w:r w:rsidRPr="00E03415">
        <w:rPr>
          <w:sz w:val="22"/>
          <w:szCs w:val="22"/>
        </w:rPr>
        <w:t xml:space="preserve">and </w:t>
      </w:r>
      <w:r w:rsidR="00771C63" w:rsidRPr="00771C63">
        <w:rPr>
          <w:sz w:val="22"/>
          <w:szCs w:val="22"/>
        </w:rPr>
        <w:t xml:space="preserve">AANZFTA Support Unit </w:t>
      </w:r>
      <w:r w:rsidRPr="00E03415">
        <w:rPr>
          <w:sz w:val="22"/>
          <w:szCs w:val="22"/>
        </w:rPr>
        <w:t>remain valid, and to assess whether any modifications in the program design are needed. This suggests a need for pragmatism and flexibility in the approach to the evaluation.</w:t>
      </w:r>
    </w:p>
    <w:p w14:paraId="6995F7E6" w14:textId="65596293" w:rsidR="00530BA8" w:rsidRPr="00E03415" w:rsidRDefault="00530BA8" w:rsidP="00771C63">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Given the nature of the program, and the limited scope to consult ultimate beneficiaries, it will not be possible to attribute any impacts to program supported activities. It will also be difficult to assess the likely sustainability of program</w:t>
      </w:r>
      <w:r w:rsidR="00771C63">
        <w:rPr>
          <w:sz w:val="22"/>
          <w:szCs w:val="22"/>
        </w:rPr>
        <w:t xml:space="preserve"> </w:t>
      </w:r>
      <w:r w:rsidRPr="00E03415">
        <w:rPr>
          <w:sz w:val="22"/>
          <w:szCs w:val="22"/>
        </w:rPr>
        <w:t>supported activities. The evaluation will need to focus more on the continuing validity of the core logical assumptions linking program funded activities, outputs and intended outcomes.</w:t>
      </w:r>
    </w:p>
    <w:p w14:paraId="395412FD" w14:textId="77777777" w:rsidR="00530BA8" w:rsidRPr="00E03415" w:rsidRDefault="00530BA8" w:rsidP="00771C63">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The slow start-up of program activities will further complicate analysis. The team will assess what impact a potentially substantial shortfall in spending might have on potential program results.</w:t>
      </w:r>
    </w:p>
    <w:p w14:paraId="696944FB" w14:textId="77777777" w:rsidR="00530BA8" w:rsidRDefault="00530BA8" w:rsidP="00530BA8">
      <w:pPr>
        <w:pStyle w:val="Heading2"/>
      </w:pPr>
      <w:bookmarkStart w:id="20" w:name="_Toc219952456"/>
      <w:r>
        <w:t>Approach</w:t>
      </w:r>
      <w:bookmarkEnd w:id="20"/>
    </w:p>
    <w:p w14:paraId="06883F8F" w14:textId="31277B8B" w:rsidR="00530BA8" w:rsidRPr="00E03415" w:rsidRDefault="00530BA8" w:rsidP="00771C63">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The first step will be to review project related documentation, including documents produced with program funding. The second step will be structured interviews</w:t>
      </w:r>
      <w:r w:rsidR="00771C63">
        <w:rPr>
          <w:sz w:val="22"/>
          <w:szCs w:val="22"/>
        </w:rPr>
        <w:t xml:space="preserve"> and </w:t>
      </w:r>
      <w:r w:rsidRPr="00E03415">
        <w:rPr>
          <w:sz w:val="22"/>
          <w:szCs w:val="22"/>
        </w:rPr>
        <w:t xml:space="preserve">consultations with selected program stakeholders and other relevant persons with program related knowledge. </w:t>
      </w:r>
    </w:p>
    <w:p w14:paraId="33FAF36B" w14:textId="52BB4AAD" w:rsidR="00530BA8" w:rsidRPr="00F7736C" w:rsidRDefault="00530BA8" w:rsidP="00530BA8">
      <w:pPr>
        <w:pStyle w:val="Heading3"/>
      </w:pPr>
      <w:bookmarkStart w:id="21" w:name="_Toc219952457"/>
      <w:r w:rsidRPr="00F7736C">
        <w:t xml:space="preserve">Review </w:t>
      </w:r>
      <w:bookmarkEnd w:id="21"/>
      <w:r w:rsidR="00771C63">
        <w:t>d</w:t>
      </w:r>
      <w:r w:rsidR="00771C63" w:rsidRPr="00F7736C">
        <w:t>ocumentation</w:t>
      </w:r>
    </w:p>
    <w:p w14:paraId="3D5918A1" w14:textId="77777777" w:rsidR="00530BA8" w:rsidRPr="00E03415" w:rsidRDefault="00530BA8" w:rsidP="00771C63">
      <w:pPr>
        <w:ind w:left="426" w:hanging="426"/>
        <w:rPr>
          <w:sz w:val="22"/>
          <w:szCs w:val="22"/>
          <w:lang w:val="en-US"/>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 xml:space="preserve">The team has been provided with </w:t>
      </w:r>
      <w:r w:rsidRPr="00E03415">
        <w:rPr>
          <w:sz w:val="22"/>
          <w:szCs w:val="22"/>
          <w:lang w:val="en-US"/>
        </w:rPr>
        <w:t xml:space="preserve">the following core documents: </w:t>
      </w:r>
    </w:p>
    <w:p w14:paraId="1E129A47" w14:textId="77777777" w:rsidR="00530BA8" w:rsidRPr="00E03415" w:rsidRDefault="00530BA8" w:rsidP="00530BA8">
      <w:pPr>
        <w:numPr>
          <w:ilvl w:val="0"/>
          <w:numId w:val="68"/>
        </w:numPr>
        <w:spacing w:before="0" w:after="0"/>
        <w:rPr>
          <w:sz w:val="22"/>
          <w:szCs w:val="22"/>
          <w:lang w:val="en-US"/>
        </w:rPr>
      </w:pPr>
      <w:r w:rsidRPr="00E03415">
        <w:rPr>
          <w:sz w:val="22"/>
          <w:szCs w:val="22"/>
          <w:lang w:val="en-US"/>
        </w:rPr>
        <w:t xml:space="preserve">AECSP design document </w:t>
      </w:r>
    </w:p>
    <w:p w14:paraId="4AB55BB3" w14:textId="0EB8DEAF" w:rsidR="00530BA8" w:rsidRPr="00E03415" w:rsidRDefault="00530BA8" w:rsidP="00530BA8">
      <w:pPr>
        <w:numPr>
          <w:ilvl w:val="0"/>
          <w:numId w:val="68"/>
        </w:numPr>
        <w:spacing w:before="0" w:after="0"/>
        <w:rPr>
          <w:sz w:val="22"/>
          <w:szCs w:val="22"/>
          <w:lang w:val="en-US"/>
        </w:rPr>
      </w:pPr>
      <w:r w:rsidRPr="00E03415">
        <w:rPr>
          <w:sz w:val="22"/>
          <w:szCs w:val="22"/>
          <w:lang w:val="en-US"/>
        </w:rPr>
        <w:t xml:space="preserve">AECSP </w:t>
      </w:r>
      <w:r w:rsidR="00771C63" w:rsidRPr="00E03415">
        <w:rPr>
          <w:sz w:val="22"/>
          <w:szCs w:val="22"/>
          <w:lang w:val="en-US"/>
        </w:rPr>
        <w:t>strategic o</w:t>
      </w:r>
      <w:r w:rsidRPr="00E03415">
        <w:rPr>
          <w:sz w:val="22"/>
          <w:szCs w:val="22"/>
          <w:lang w:val="en-US"/>
        </w:rPr>
        <w:t xml:space="preserve">verview (August 2011) </w:t>
      </w:r>
    </w:p>
    <w:p w14:paraId="2A8BCDED" w14:textId="6F754879" w:rsidR="00530BA8" w:rsidRPr="00E03415" w:rsidRDefault="00530BA8" w:rsidP="00530BA8">
      <w:pPr>
        <w:numPr>
          <w:ilvl w:val="0"/>
          <w:numId w:val="68"/>
        </w:numPr>
        <w:spacing w:before="0" w:after="0"/>
        <w:rPr>
          <w:sz w:val="22"/>
          <w:szCs w:val="22"/>
          <w:lang w:val="en-US"/>
        </w:rPr>
      </w:pPr>
      <w:r w:rsidRPr="00E03415">
        <w:rPr>
          <w:sz w:val="22"/>
          <w:szCs w:val="22"/>
          <w:lang w:val="en-US"/>
        </w:rPr>
        <w:t xml:space="preserve">AECSP </w:t>
      </w:r>
      <w:r w:rsidR="00771C63" w:rsidRPr="00E03415">
        <w:rPr>
          <w:sz w:val="22"/>
          <w:szCs w:val="22"/>
          <w:lang w:val="en-US"/>
        </w:rPr>
        <w:t xml:space="preserve">mid-term review </w:t>
      </w:r>
      <w:r w:rsidRPr="00E03415">
        <w:rPr>
          <w:sz w:val="22"/>
          <w:szCs w:val="22"/>
          <w:lang w:val="en-US"/>
        </w:rPr>
        <w:t>(August 2012)</w:t>
      </w:r>
    </w:p>
    <w:p w14:paraId="5067C627" w14:textId="2D8654A0" w:rsidR="00530BA8" w:rsidRPr="00E03415" w:rsidRDefault="00771C63" w:rsidP="00530BA8">
      <w:pPr>
        <w:numPr>
          <w:ilvl w:val="0"/>
          <w:numId w:val="68"/>
        </w:numPr>
        <w:spacing w:before="0" w:after="0"/>
        <w:rPr>
          <w:sz w:val="22"/>
          <w:szCs w:val="22"/>
          <w:lang w:val="en-US"/>
        </w:rPr>
      </w:pPr>
      <w:r>
        <w:rPr>
          <w:sz w:val="22"/>
          <w:szCs w:val="22"/>
          <w:lang w:val="en-US"/>
        </w:rPr>
        <w:t>q</w:t>
      </w:r>
      <w:r w:rsidRPr="00E03415">
        <w:rPr>
          <w:sz w:val="22"/>
          <w:szCs w:val="22"/>
          <w:lang w:val="en-US"/>
        </w:rPr>
        <w:t xml:space="preserve">uality </w:t>
      </w:r>
      <w:r w:rsidR="00530BA8" w:rsidRPr="00E03415">
        <w:rPr>
          <w:sz w:val="22"/>
          <w:szCs w:val="22"/>
          <w:lang w:val="en-US"/>
        </w:rPr>
        <w:t xml:space="preserve">at </w:t>
      </w:r>
      <w:r>
        <w:rPr>
          <w:sz w:val="22"/>
          <w:szCs w:val="22"/>
          <w:lang w:val="en-US"/>
        </w:rPr>
        <w:t>i</w:t>
      </w:r>
      <w:r w:rsidRPr="00E03415">
        <w:rPr>
          <w:sz w:val="22"/>
          <w:szCs w:val="22"/>
          <w:lang w:val="en-US"/>
        </w:rPr>
        <w:t xml:space="preserve">mplementation </w:t>
      </w:r>
      <w:r w:rsidR="00530BA8" w:rsidRPr="00E03415">
        <w:rPr>
          <w:sz w:val="22"/>
          <w:szCs w:val="22"/>
          <w:lang w:val="en-US"/>
        </w:rPr>
        <w:t xml:space="preserve">reports </w:t>
      </w:r>
    </w:p>
    <w:p w14:paraId="3829A3D4" w14:textId="40A1EFE8" w:rsidR="00530BA8" w:rsidRPr="00E03415" w:rsidRDefault="00530BA8" w:rsidP="00530BA8">
      <w:pPr>
        <w:numPr>
          <w:ilvl w:val="0"/>
          <w:numId w:val="68"/>
        </w:numPr>
        <w:spacing w:before="0" w:after="0"/>
        <w:rPr>
          <w:sz w:val="22"/>
          <w:szCs w:val="22"/>
          <w:lang w:val="en-US"/>
        </w:rPr>
      </w:pPr>
      <w:r w:rsidRPr="00E03415">
        <w:rPr>
          <w:sz w:val="22"/>
          <w:szCs w:val="22"/>
          <w:lang w:val="en-US"/>
        </w:rPr>
        <w:t>F</w:t>
      </w:r>
      <w:r w:rsidR="00771C63">
        <w:rPr>
          <w:sz w:val="22"/>
          <w:szCs w:val="22"/>
          <w:lang w:val="en-US"/>
        </w:rPr>
        <w:t xml:space="preserve">ree </w:t>
      </w:r>
      <w:r w:rsidRPr="00E03415">
        <w:rPr>
          <w:sz w:val="22"/>
          <w:szCs w:val="22"/>
          <w:lang w:val="en-US"/>
        </w:rPr>
        <w:t>T</w:t>
      </w:r>
      <w:r w:rsidR="00771C63">
        <w:rPr>
          <w:sz w:val="22"/>
          <w:szCs w:val="22"/>
          <w:lang w:val="en-US"/>
        </w:rPr>
        <w:t xml:space="preserve">rade </w:t>
      </w:r>
      <w:r w:rsidRPr="00E03415">
        <w:rPr>
          <w:sz w:val="22"/>
          <w:szCs w:val="22"/>
          <w:lang w:val="en-US"/>
        </w:rPr>
        <w:t>A</w:t>
      </w:r>
      <w:r w:rsidR="00771C63">
        <w:rPr>
          <w:sz w:val="22"/>
          <w:szCs w:val="22"/>
          <w:lang w:val="en-US"/>
        </w:rPr>
        <w:t>greement</w:t>
      </w:r>
      <w:r w:rsidRPr="00E03415">
        <w:rPr>
          <w:sz w:val="22"/>
          <w:szCs w:val="22"/>
          <w:lang w:val="en-US"/>
        </w:rPr>
        <w:t xml:space="preserve"> Joint Committee summary of decisions </w:t>
      </w:r>
    </w:p>
    <w:p w14:paraId="307ED7CE" w14:textId="2B15FC2D" w:rsidR="00530BA8" w:rsidRPr="00E03415" w:rsidRDefault="00771C63" w:rsidP="00530BA8">
      <w:pPr>
        <w:numPr>
          <w:ilvl w:val="0"/>
          <w:numId w:val="68"/>
        </w:numPr>
        <w:spacing w:before="0" w:after="0"/>
        <w:rPr>
          <w:sz w:val="22"/>
          <w:szCs w:val="22"/>
          <w:lang w:val="en-US"/>
        </w:rPr>
      </w:pPr>
      <w:r w:rsidRPr="00E03415">
        <w:rPr>
          <w:sz w:val="22"/>
          <w:szCs w:val="22"/>
          <w:lang w:val="en-US"/>
        </w:rPr>
        <w:t xml:space="preserve">monitoring and evaluation framework </w:t>
      </w:r>
    </w:p>
    <w:p w14:paraId="0D29C0DF" w14:textId="0127A108" w:rsidR="00530BA8" w:rsidRPr="00E03415" w:rsidRDefault="00530BA8" w:rsidP="00530BA8">
      <w:pPr>
        <w:numPr>
          <w:ilvl w:val="0"/>
          <w:numId w:val="68"/>
        </w:numPr>
        <w:spacing w:before="0" w:after="0"/>
        <w:rPr>
          <w:sz w:val="22"/>
          <w:szCs w:val="22"/>
          <w:lang w:val="en-US"/>
        </w:rPr>
      </w:pPr>
      <w:r w:rsidRPr="00E03415">
        <w:rPr>
          <w:sz w:val="22"/>
          <w:szCs w:val="22"/>
          <w:lang w:val="en-US"/>
        </w:rPr>
        <w:t xml:space="preserve">AECSP matrix of approved </w:t>
      </w:r>
      <w:r w:rsidR="00546E38">
        <w:rPr>
          <w:sz w:val="22"/>
          <w:szCs w:val="22"/>
          <w:lang w:val="en-US"/>
        </w:rPr>
        <w:t xml:space="preserve">Economic Cooperation Work </w:t>
      </w:r>
      <w:r w:rsidR="00771C63">
        <w:rPr>
          <w:sz w:val="22"/>
          <w:szCs w:val="22"/>
          <w:lang w:val="en-US"/>
        </w:rPr>
        <w:t>P</w:t>
      </w:r>
      <w:r w:rsidR="0045046A">
        <w:rPr>
          <w:sz w:val="22"/>
          <w:szCs w:val="22"/>
          <w:lang w:val="en-US"/>
        </w:rPr>
        <w:t>rogram</w:t>
      </w:r>
      <w:r w:rsidR="005856D4">
        <w:rPr>
          <w:sz w:val="22"/>
          <w:szCs w:val="22"/>
          <w:lang w:val="en-US"/>
        </w:rPr>
        <w:t xml:space="preserve"> </w:t>
      </w:r>
      <w:r w:rsidRPr="00E03415">
        <w:rPr>
          <w:sz w:val="22"/>
          <w:szCs w:val="22"/>
          <w:lang w:val="en-US"/>
        </w:rPr>
        <w:t xml:space="preserve">projects </w:t>
      </w:r>
    </w:p>
    <w:p w14:paraId="15D8E5FC" w14:textId="4A741F2F" w:rsidR="00530BA8" w:rsidRPr="00E03415" w:rsidRDefault="00546E38" w:rsidP="00530BA8">
      <w:pPr>
        <w:numPr>
          <w:ilvl w:val="0"/>
          <w:numId w:val="68"/>
        </w:numPr>
        <w:spacing w:before="0" w:after="0"/>
        <w:rPr>
          <w:sz w:val="22"/>
          <w:szCs w:val="22"/>
          <w:lang w:val="en-US"/>
        </w:rPr>
      </w:pPr>
      <w:r>
        <w:rPr>
          <w:sz w:val="22"/>
          <w:szCs w:val="22"/>
          <w:lang w:val="en-US"/>
        </w:rPr>
        <w:t xml:space="preserve">Economic Cooperation Work </w:t>
      </w:r>
      <w:r w:rsidR="00771C63">
        <w:rPr>
          <w:sz w:val="22"/>
          <w:szCs w:val="22"/>
          <w:lang w:val="en-US"/>
        </w:rPr>
        <w:t>P</w:t>
      </w:r>
      <w:r w:rsidR="0045046A">
        <w:rPr>
          <w:sz w:val="22"/>
          <w:szCs w:val="22"/>
          <w:lang w:val="en-US"/>
        </w:rPr>
        <w:t>rogram</w:t>
      </w:r>
      <w:r w:rsidR="005856D4">
        <w:rPr>
          <w:sz w:val="22"/>
          <w:szCs w:val="22"/>
          <w:lang w:val="en-US"/>
        </w:rPr>
        <w:t xml:space="preserve"> </w:t>
      </w:r>
      <w:r w:rsidR="00530BA8" w:rsidRPr="00E03415">
        <w:rPr>
          <w:sz w:val="22"/>
          <w:szCs w:val="22"/>
          <w:lang w:val="en-US"/>
        </w:rPr>
        <w:t xml:space="preserve">component implementation plans </w:t>
      </w:r>
    </w:p>
    <w:p w14:paraId="3CFBA626" w14:textId="03835E91" w:rsidR="00530BA8" w:rsidRPr="00E03415" w:rsidRDefault="00771C63" w:rsidP="00530BA8">
      <w:pPr>
        <w:numPr>
          <w:ilvl w:val="0"/>
          <w:numId w:val="68"/>
        </w:numPr>
        <w:spacing w:before="0" w:after="0"/>
        <w:rPr>
          <w:sz w:val="22"/>
          <w:szCs w:val="22"/>
          <w:lang w:val="en-US"/>
        </w:rPr>
      </w:pPr>
      <w:r>
        <w:rPr>
          <w:sz w:val="22"/>
          <w:szCs w:val="22"/>
          <w:lang w:val="en-US"/>
        </w:rPr>
        <w:t>a</w:t>
      </w:r>
      <w:r w:rsidRPr="00E03415">
        <w:rPr>
          <w:sz w:val="22"/>
          <w:szCs w:val="22"/>
          <w:lang w:val="en-US"/>
        </w:rPr>
        <w:t xml:space="preserve">vailable </w:t>
      </w:r>
      <w:r w:rsidR="00546E38">
        <w:rPr>
          <w:sz w:val="22"/>
          <w:szCs w:val="22"/>
          <w:lang w:val="en-US"/>
        </w:rPr>
        <w:t xml:space="preserve">Economic Cooperation Work </w:t>
      </w:r>
      <w:r>
        <w:rPr>
          <w:sz w:val="22"/>
          <w:szCs w:val="22"/>
          <w:lang w:val="en-US"/>
        </w:rPr>
        <w:t>P</w:t>
      </w:r>
      <w:r w:rsidR="0045046A">
        <w:rPr>
          <w:sz w:val="22"/>
          <w:szCs w:val="22"/>
          <w:lang w:val="en-US"/>
        </w:rPr>
        <w:t>rogram</w:t>
      </w:r>
      <w:r w:rsidR="005856D4">
        <w:rPr>
          <w:sz w:val="22"/>
          <w:szCs w:val="22"/>
          <w:lang w:val="en-US"/>
        </w:rPr>
        <w:t xml:space="preserve"> </w:t>
      </w:r>
      <w:r w:rsidR="00530BA8" w:rsidRPr="00E03415">
        <w:rPr>
          <w:sz w:val="22"/>
          <w:szCs w:val="22"/>
          <w:lang w:val="en-US"/>
        </w:rPr>
        <w:t xml:space="preserve">project completion reports </w:t>
      </w:r>
    </w:p>
    <w:p w14:paraId="1D21E316" w14:textId="08EF9A37" w:rsidR="00530BA8" w:rsidRPr="00E03415" w:rsidRDefault="00771C63" w:rsidP="00530BA8">
      <w:pPr>
        <w:numPr>
          <w:ilvl w:val="0"/>
          <w:numId w:val="68"/>
        </w:numPr>
        <w:spacing w:before="0" w:after="0"/>
        <w:rPr>
          <w:sz w:val="22"/>
          <w:szCs w:val="22"/>
          <w:lang w:val="en-US"/>
        </w:rPr>
      </w:pPr>
      <w:r>
        <w:rPr>
          <w:sz w:val="22"/>
          <w:szCs w:val="22"/>
          <w:lang w:val="en-US"/>
        </w:rPr>
        <w:t>o</w:t>
      </w:r>
      <w:r w:rsidRPr="00E03415">
        <w:rPr>
          <w:sz w:val="22"/>
          <w:szCs w:val="22"/>
          <w:lang w:val="en-US"/>
        </w:rPr>
        <w:t xml:space="preserve">utput </w:t>
      </w:r>
      <w:r w:rsidR="00530BA8" w:rsidRPr="00E03415">
        <w:rPr>
          <w:sz w:val="22"/>
          <w:szCs w:val="22"/>
          <w:lang w:val="en-US"/>
        </w:rPr>
        <w:t xml:space="preserve">and outcome level data and analysis of </w:t>
      </w:r>
      <w:r w:rsidR="00546E38">
        <w:rPr>
          <w:sz w:val="22"/>
          <w:szCs w:val="22"/>
          <w:lang w:val="en-US"/>
        </w:rPr>
        <w:t xml:space="preserve">Economic Cooperation Work </w:t>
      </w:r>
      <w:r>
        <w:rPr>
          <w:sz w:val="22"/>
          <w:szCs w:val="22"/>
          <w:lang w:val="en-US"/>
        </w:rPr>
        <w:t>P</w:t>
      </w:r>
      <w:r w:rsidR="0045046A">
        <w:rPr>
          <w:sz w:val="22"/>
          <w:szCs w:val="22"/>
          <w:lang w:val="en-US"/>
        </w:rPr>
        <w:t>rogram</w:t>
      </w:r>
      <w:r w:rsidR="005856D4">
        <w:rPr>
          <w:sz w:val="22"/>
          <w:szCs w:val="22"/>
          <w:lang w:val="en-US"/>
        </w:rPr>
        <w:t xml:space="preserve"> </w:t>
      </w:r>
      <w:r w:rsidR="00530BA8" w:rsidRPr="00E03415">
        <w:rPr>
          <w:sz w:val="22"/>
          <w:szCs w:val="22"/>
          <w:lang w:val="en-US"/>
        </w:rPr>
        <w:t xml:space="preserve">projects </w:t>
      </w:r>
    </w:p>
    <w:p w14:paraId="38119052" w14:textId="5E6E38DC" w:rsidR="00530BA8" w:rsidRPr="00E03415" w:rsidRDefault="00530BA8" w:rsidP="00530BA8">
      <w:pPr>
        <w:numPr>
          <w:ilvl w:val="0"/>
          <w:numId w:val="68"/>
        </w:numPr>
        <w:spacing w:before="0" w:after="0"/>
        <w:rPr>
          <w:sz w:val="22"/>
          <w:szCs w:val="22"/>
          <w:lang w:val="en-US"/>
        </w:rPr>
      </w:pPr>
      <w:r w:rsidRPr="00E03415">
        <w:rPr>
          <w:sz w:val="22"/>
          <w:szCs w:val="22"/>
          <w:lang w:val="en-US"/>
        </w:rPr>
        <w:lastRenderedPageBreak/>
        <w:t>Cooperation Arrangement Between the ASEAN Secretariat and the Commonwealth of Australia represented by the AusAID on AECSP</w:t>
      </w:r>
    </w:p>
    <w:p w14:paraId="14DA5EA7" w14:textId="45884855" w:rsidR="00530BA8" w:rsidRPr="00E03415" w:rsidRDefault="00771C63" w:rsidP="00530BA8">
      <w:pPr>
        <w:numPr>
          <w:ilvl w:val="0"/>
          <w:numId w:val="68"/>
        </w:numPr>
        <w:spacing w:before="0" w:after="0"/>
        <w:rPr>
          <w:sz w:val="22"/>
          <w:szCs w:val="22"/>
          <w:lang w:val="en-US"/>
        </w:rPr>
      </w:pPr>
      <w:r>
        <w:rPr>
          <w:sz w:val="22"/>
          <w:szCs w:val="22"/>
          <w:lang w:val="en-US"/>
        </w:rPr>
        <w:t>a</w:t>
      </w:r>
      <w:r w:rsidRPr="00E03415">
        <w:rPr>
          <w:sz w:val="22"/>
          <w:szCs w:val="22"/>
          <w:lang w:val="en-US"/>
        </w:rPr>
        <w:t xml:space="preserve">ctivity </w:t>
      </w:r>
      <w:r w:rsidR="00530BA8" w:rsidRPr="00E03415">
        <w:rPr>
          <w:sz w:val="22"/>
          <w:szCs w:val="22"/>
          <w:lang w:val="en-US"/>
        </w:rPr>
        <w:t>reports, including participant evaluations.</w:t>
      </w:r>
    </w:p>
    <w:p w14:paraId="49D261E6" w14:textId="77777777" w:rsidR="00530BA8" w:rsidRDefault="00530BA8" w:rsidP="00530BA8">
      <w:pPr>
        <w:pStyle w:val="Heading3"/>
      </w:pPr>
      <w:bookmarkStart w:id="22" w:name="_Toc219952458"/>
      <w:r>
        <w:t>Consultation</w:t>
      </w:r>
      <w:bookmarkEnd w:id="22"/>
    </w:p>
    <w:p w14:paraId="27028CF9" w14:textId="184BBAC0" w:rsidR="00530BA8" w:rsidRPr="00E03415" w:rsidRDefault="00530BA8" w:rsidP="00771C63">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Diverse groups of stakeholders have a potential interest in the work and outcomes of the AECSP and AANZFTA, including</w:t>
      </w:r>
      <w:r w:rsidR="00771C63">
        <w:rPr>
          <w:sz w:val="22"/>
          <w:szCs w:val="22"/>
        </w:rPr>
        <w:t>:</w:t>
      </w:r>
    </w:p>
    <w:p w14:paraId="27E6ECD2" w14:textId="63CF3723" w:rsidR="00530BA8" w:rsidRPr="00E03415" w:rsidRDefault="00771C63" w:rsidP="00530BA8">
      <w:pPr>
        <w:numPr>
          <w:ilvl w:val="0"/>
          <w:numId w:val="71"/>
        </w:numPr>
        <w:spacing w:before="0" w:after="0"/>
        <w:rPr>
          <w:sz w:val="22"/>
          <w:szCs w:val="22"/>
        </w:rPr>
      </w:pPr>
      <w:r>
        <w:rPr>
          <w:sz w:val="22"/>
          <w:szCs w:val="22"/>
        </w:rPr>
        <w:t>o</w:t>
      </w:r>
      <w:r w:rsidRPr="00E03415">
        <w:rPr>
          <w:sz w:val="22"/>
          <w:szCs w:val="22"/>
        </w:rPr>
        <w:t xml:space="preserve">fficials </w:t>
      </w:r>
      <w:r w:rsidR="00530BA8" w:rsidRPr="00E03415">
        <w:rPr>
          <w:sz w:val="22"/>
          <w:szCs w:val="22"/>
        </w:rPr>
        <w:t>from ASEAN, Australia and New Zealand working on AANZFTA issues, including members of the F</w:t>
      </w:r>
      <w:r>
        <w:rPr>
          <w:sz w:val="22"/>
          <w:szCs w:val="22"/>
        </w:rPr>
        <w:t xml:space="preserve">ree </w:t>
      </w:r>
      <w:r w:rsidR="00530BA8" w:rsidRPr="00E03415">
        <w:rPr>
          <w:sz w:val="22"/>
          <w:szCs w:val="22"/>
        </w:rPr>
        <w:t>T</w:t>
      </w:r>
      <w:r>
        <w:rPr>
          <w:sz w:val="22"/>
          <w:szCs w:val="22"/>
        </w:rPr>
        <w:t xml:space="preserve">rade </w:t>
      </w:r>
      <w:r w:rsidR="00530BA8" w:rsidRPr="00E03415">
        <w:rPr>
          <w:sz w:val="22"/>
          <w:szCs w:val="22"/>
        </w:rPr>
        <w:t>A</w:t>
      </w:r>
      <w:r>
        <w:rPr>
          <w:sz w:val="22"/>
          <w:szCs w:val="22"/>
        </w:rPr>
        <w:t>greement</w:t>
      </w:r>
      <w:r w:rsidR="00530BA8" w:rsidRPr="00E03415">
        <w:rPr>
          <w:sz w:val="22"/>
          <w:szCs w:val="22"/>
        </w:rPr>
        <w:t xml:space="preserve"> Joint Committee</w:t>
      </w:r>
    </w:p>
    <w:p w14:paraId="61180F40" w14:textId="039A745D" w:rsidR="00530BA8" w:rsidRPr="00E03415" w:rsidRDefault="00530BA8" w:rsidP="00530BA8">
      <w:pPr>
        <w:numPr>
          <w:ilvl w:val="0"/>
          <w:numId w:val="71"/>
        </w:numPr>
        <w:spacing w:before="0" w:after="0"/>
        <w:rPr>
          <w:sz w:val="22"/>
          <w:szCs w:val="22"/>
        </w:rPr>
      </w:pPr>
      <w:r w:rsidRPr="00E03415">
        <w:rPr>
          <w:sz w:val="22"/>
          <w:szCs w:val="22"/>
        </w:rPr>
        <w:t>ASEAN Secretariat management, senior officials and other staff</w:t>
      </w:r>
    </w:p>
    <w:p w14:paraId="730DF7B8" w14:textId="576ECB4E" w:rsidR="00530BA8" w:rsidRPr="00E03415" w:rsidRDefault="00771C63" w:rsidP="00530BA8">
      <w:pPr>
        <w:numPr>
          <w:ilvl w:val="0"/>
          <w:numId w:val="71"/>
        </w:numPr>
        <w:spacing w:before="0" w:after="0"/>
        <w:rPr>
          <w:sz w:val="22"/>
          <w:szCs w:val="22"/>
        </w:rPr>
      </w:pPr>
      <w:r>
        <w:rPr>
          <w:sz w:val="22"/>
          <w:szCs w:val="22"/>
        </w:rPr>
        <w:t>g</w:t>
      </w:r>
      <w:r w:rsidRPr="00E03415">
        <w:rPr>
          <w:sz w:val="22"/>
          <w:szCs w:val="22"/>
        </w:rPr>
        <w:t>overnments</w:t>
      </w:r>
      <w:r w:rsidR="00530BA8" w:rsidRPr="00E03415">
        <w:rPr>
          <w:sz w:val="22"/>
          <w:szCs w:val="22"/>
        </w:rPr>
        <w:t>, policy and research institutes, businesses, employees, and consumers from ASEAN countries, Australia and New Zealand.</w:t>
      </w:r>
    </w:p>
    <w:p w14:paraId="79E53624" w14:textId="295562DC" w:rsidR="00530BA8" w:rsidRPr="00E03415" w:rsidRDefault="00771C63" w:rsidP="00530BA8">
      <w:pPr>
        <w:numPr>
          <w:ilvl w:val="0"/>
          <w:numId w:val="71"/>
        </w:numPr>
        <w:spacing w:before="0" w:after="0"/>
        <w:rPr>
          <w:sz w:val="22"/>
          <w:szCs w:val="22"/>
        </w:rPr>
      </w:pPr>
      <w:r>
        <w:rPr>
          <w:sz w:val="22"/>
          <w:szCs w:val="22"/>
        </w:rPr>
        <w:t>e</w:t>
      </w:r>
      <w:r w:rsidRPr="00E03415">
        <w:rPr>
          <w:sz w:val="22"/>
          <w:szCs w:val="22"/>
        </w:rPr>
        <w:t>xperts</w:t>
      </w:r>
      <w:r w:rsidR="00530BA8" w:rsidRPr="00E03415">
        <w:rPr>
          <w:sz w:val="22"/>
          <w:szCs w:val="22"/>
        </w:rPr>
        <w:t>, staff, contractors and other partners responsible for implementation of AECSP activities</w:t>
      </w:r>
    </w:p>
    <w:p w14:paraId="695AFD49" w14:textId="4BBE5F53" w:rsidR="00530BA8" w:rsidRPr="001A2CD3" w:rsidRDefault="00771C63" w:rsidP="00530BA8">
      <w:pPr>
        <w:numPr>
          <w:ilvl w:val="0"/>
          <w:numId w:val="71"/>
        </w:numPr>
        <w:spacing w:before="0" w:after="0"/>
        <w:rPr>
          <w:sz w:val="22"/>
          <w:szCs w:val="22"/>
        </w:rPr>
      </w:pPr>
      <w:r>
        <w:rPr>
          <w:sz w:val="22"/>
          <w:szCs w:val="22"/>
        </w:rPr>
        <w:t>d</w:t>
      </w:r>
      <w:r w:rsidRPr="00E03415">
        <w:rPr>
          <w:sz w:val="22"/>
          <w:szCs w:val="22"/>
        </w:rPr>
        <w:t xml:space="preserve">irect </w:t>
      </w:r>
      <w:r w:rsidR="00530BA8" w:rsidRPr="00E03415">
        <w:rPr>
          <w:sz w:val="22"/>
          <w:szCs w:val="22"/>
        </w:rPr>
        <w:t>beneficiaries of activities and studies supported from AECSP resources.</w:t>
      </w:r>
    </w:p>
    <w:p w14:paraId="62B3BD3F" w14:textId="77777777" w:rsidR="00530BA8" w:rsidRPr="00E03415" w:rsidRDefault="00530BA8" w:rsidP="00771C63">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Given the limited time and resources available for evaluation of a complex program, it will not be possible to consult with all these groups. Given that it will not be feasible to meet with individual ASEAN government representatives, or to meet with representatives of most of the individual activities funded under the program, the team will need to rely on activity reports, participant evaluation reports and other documentation to supplement central level consultations.</w:t>
      </w:r>
    </w:p>
    <w:p w14:paraId="24701106" w14:textId="77777777" w:rsidR="00530BA8" w:rsidRDefault="00530BA8" w:rsidP="00530BA8">
      <w:pPr>
        <w:rPr>
          <w:b/>
          <w:sz w:val="22"/>
          <w:szCs w:val="22"/>
        </w:rPr>
        <w:sectPr w:rsidR="00530BA8" w:rsidSect="00712646">
          <w:pgSz w:w="11900" w:h="16840"/>
          <w:pgMar w:top="1440" w:right="1800" w:bottom="1440" w:left="1800" w:header="708" w:footer="708" w:gutter="0"/>
          <w:cols w:space="708"/>
          <w:docGrid w:linePitch="360"/>
        </w:sectPr>
      </w:pPr>
    </w:p>
    <w:p w14:paraId="7A49E5AC" w14:textId="77777777" w:rsidR="00530BA8" w:rsidRPr="00E03415" w:rsidRDefault="00530BA8" w:rsidP="00530BA8">
      <w:pPr>
        <w:rPr>
          <w:b/>
          <w:sz w:val="22"/>
          <w:szCs w:val="22"/>
        </w:rPr>
      </w:pPr>
    </w:p>
    <w:tbl>
      <w:tblPr>
        <w:tblStyle w:val="MediumList1-Accent5"/>
        <w:tblW w:w="0" w:type="auto"/>
        <w:tblLook w:val="04A0" w:firstRow="1" w:lastRow="0" w:firstColumn="1" w:lastColumn="0" w:noHBand="0" w:noVBand="1"/>
        <w:tblDescription w:val="Stakeholders to be consulted and issues to be discussed"/>
      </w:tblPr>
      <w:tblGrid>
        <w:gridCol w:w="2660"/>
        <w:gridCol w:w="5856"/>
      </w:tblGrid>
      <w:tr w:rsidR="00530BA8" w:rsidRPr="00DD104C" w14:paraId="26A2CD84" w14:textId="77777777" w:rsidTr="00856C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6" w:type="dxa"/>
            <w:gridSpan w:val="2"/>
          </w:tcPr>
          <w:p w14:paraId="7FFCF729" w14:textId="77777777" w:rsidR="00530BA8" w:rsidRPr="003A7180" w:rsidRDefault="00530BA8" w:rsidP="00530BA8">
            <w:pPr>
              <w:pStyle w:val="tableheading"/>
              <w:spacing w:before="80" w:after="80"/>
              <w:rPr>
                <w:b/>
                <w:sz w:val="22"/>
                <w:szCs w:val="22"/>
              </w:rPr>
            </w:pPr>
            <w:r w:rsidRPr="005258CE">
              <w:rPr>
                <w:sz w:val="22"/>
                <w:szCs w:val="22"/>
              </w:rPr>
              <w:t>Table 1: Stakeholders to be consulted and issues to be discussed</w:t>
            </w:r>
          </w:p>
        </w:tc>
      </w:tr>
      <w:tr w:rsidR="00530BA8" w:rsidRPr="00DD104C" w14:paraId="7362DBB1" w14:textId="77777777" w:rsidTr="005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EB310E7" w14:textId="77777777" w:rsidR="00530BA8" w:rsidRPr="009D51B4" w:rsidRDefault="00530BA8" w:rsidP="00530BA8">
            <w:pPr>
              <w:spacing w:before="80" w:after="80"/>
              <w:rPr>
                <w:sz w:val="22"/>
                <w:szCs w:val="22"/>
              </w:rPr>
            </w:pPr>
            <w:r w:rsidRPr="009D51B4">
              <w:rPr>
                <w:sz w:val="22"/>
                <w:szCs w:val="22"/>
              </w:rPr>
              <w:t>Stakeholders</w:t>
            </w:r>
          </w:p>
        </w:tc>
        <w:tc>
          <w:tcPr>
            <w:tcW w:w="5856" w:type="dxa"/>
          </w:tcPr>
          <w:p w14:paraId="469C407D" w14:textId="77777777" w:rsidR="00530BA8" w:rsidRPr="009D51B4"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sz w:val="22"/>
                <w:szCs w:val="22"/>
              </w:rPr>
            </w:pPr>
            <w:r w:rsidRPr="009D51B4">
              <w:rPr>
                <w:sz w:val="22"/>
                <w:szCs w:val="22"/>
              </w:rPr>
              <w:t>Issues to be discussed</w:t>
            </w:r>
          </w:p>
        </w:tc>
      </w:tr>
      <w:tr w:rsidR="00530BA8" w14:paraId="60F668C7" w14:textId="77777777" w:rsidTr="00530BA8">
        <w:tc>
          <w:tcPr>
            <w:cnfStyle w:val="001000000000" w:firstRow="0" w:lastRow="0" w:firstColumn="1" w:lastColumn="0" w:oddVBand="0" w:evenVBand="0" w:oddHBand="0" w:evenHBand="0" w:firstRowFirstColumn="0" w:firstRowLastColumn="0" w:lastRowFirstColumn="0" w:lastRowLastColumn="0"/>
            <w:tcW w:w="2660" w:type="dxa"/>
          </w:tcPr>
          <w:p w14:paraId="3292FECD" w14:textId="615BD5FB" w:rsidR="00530BA8" w:rsidRPr="006F1036" w:rsidRDefault="00530BA8" w:rsidP="00530BA8">
            <w:pPr>
              <w:spacing w:before="80" w:after="80"/>
              <w:rPr>
                <w:rFonts w:ascii="Cambria" w:hAnsi="Cambria"/>
                <w:szCs w:val="20"/>
              </w:rPr>
            </w:pPr>
            <w:r w:rsidRPr="006F1036">
              <w:rPr>
                <w:rFonts w:ascii="Cambria" w:hAnsi="Cambria"/>
                <w:szCs w:val="20"/>
              </w:rPr>
              <w:t>ASEAN/D</w:t>
            </w:r>
            <w:r w:rsidR="00F9647E">
              <w:rPr>
                <w:rFonts w:ascii="Cambria" w:hAnsi="Cambria"/>
                <w:szCs w:val="20"/>
              </w:rPr>
              <w:t xml:space="preserve">epartment of </w:t>
            </w:r>
            <w:r w:rsidRPr="006F1036">
              <w:rPr>
                <w:rFonts w:ascii="Cambria" w:hAnsi="Cambria"/>
                <w:szCs w:val="20"/>
              </w:rPr>
              <w:t>F</w:t>
            </w:r>
            <w:r w:rsidR="00F9647E">
              <w:rPr>
                <w:rFonts w:ascii="Cambria" w:hAnsi="Cambria"/>
                <w:szCs w:val="20"/>
              </w:rPr>
              <w:t xml:space="preserve">oreign </w:t>
            </w:r>
            <w:r w:rsidRPr="006F1036">
              <w:rPr>
                <w:rFonts w:ascii="Cambria" w:hAnsi="Cambria"/>
                <w:szCs w:val="20"/>
              </w:rPr>
              <w:t>A</w:t>
            </w:r>
            <w:r w:rsidR="00F9647E">
              <w:rPr>
                <w:rFonts w:ascii="Cambria" w:hAnsi="Cambria"/>
                <w:szCs w:val="20"/>
              </w:rPr>
              <w:t xml:space="preserve">ffairs and </w:t>
            </w:r>
            <w:r w:rsidRPr="006F1036">
              <w:rPr>
                <w:rFonts w:ascii="Cambria" w:hAnsi="Cambria"/>
                <w:szCs w:val="20"/>
              </w:rPr>
              <w:t>T</w:t>
            </w:r>
            <w:r w:rsidR="00F9647E">
              <w:rPr>
                <w:rFonts w:ascii="Cambria" w:hAnsi="Cambria"/>
                <w:szCs w:val="20"/>
              </w:rPr>
              <w:t>rade</w:t>
            </w:r>
            <w:r w:rsidRPr="006F1036">
              <w:rPr>
                <w:rFonts w:ascii="Cambria" w:hAnsi="Cambria"/>
                <w:szCs w:val="20"/>
              </w:rPr>
              <w:t>/</w:t>
            </w:r>
            <w:r w:rsidR="00F9647E">
              <w:rPr>
                <w:rFonts w:ascii="Cambria" w:hAnsi="Cambria"/>
                <w:szCs w:val="20"/>
              </w:rPr>
              <w:t xml:space="preserve">New Zealand </w:t>
            </w:r>
            <w:r w:rsidRPr="006F1036">
              <w:rPr>
                <w:rFonts w:ascii="Cambria" w:hAnsi="Cambria"/>
                <w:szCs w:val="20"/>
              </w:rPr>
              <w:t>M</w:t>
            </w:r>
            <w:r w:rsidR="00F9647E">
              <w:rPr>
                <w:rFonts w:ascii="Cambria" w:hAnsi="Cambria"/>
                <w:szCs w:val="20"/>
              </w:rPr>
              <w:t xml:space="preserve">inistry of </w:t>
            </w:r>
            <w:r w:rsidR="00F9647E" w:rsidRPr="006F1036">
              <w:rPr>
                <w:rFonts w:ascii="Cambria" w:hAnsi="Cambria"/>
                <w:szCs w:val="20"/>
              </w:rPr>
              <w:t>F</w:t>
            </w:r>
            <w:r w:rsidR="00F9647E">
              <w:rPr>
                <w:rFonts w:ascii="Cambria" w:hAnsi="Cambria"/>
                <w:szCs w:val="20"/>
              </w:rPr>
              <w:t xml:space="preserve">oreign </w:t>
            </w:r>
            <w:r w:rsidR="00F9647E" w:rsidRPr="006F1036">
              <w:rPr>
                <w:rFonts w:ascii="Cambria" w:hAnsi="Cambria"/>
                <w:szCs w:val="20"/>
              </w:rPr>
              <w:t>A</w:t>
            </w:r>
            <w:r w:rsidR="00F9647E">
              <w:rPr>
                <w:rFonts w:ascii="Cambria" w:hAnsi="Cambria"/>
                <w:szCs w:val="20"/>
              </w:rPr>
              <w:t xml:space="preserve">ffairs and </w:t>
            </w:r>
            <w:r w:rsidR="00F9647E" w:rsidRPr="006F1036">
              <w:rPr>
                <w:rFonts w:ascii="Cambria" w:hAnsi="Cambria"/>
                <w:szCs w:val="20"/>
              </w:rPr>
              <w:t>T</w:t>
            </w:r>
            <w:r w:rsidR="00F9647E">
              <w:rPr>
                <w:rFonts w:ascii="Cambria" w:hAnsi="Cambria"/>
                <w:szCs w:val="20"/>
              </w:rPr>
              <w:t>rade</w:t>
            </w:r>
            <w:r w:rsidR="00F9647E" w:rsidRPr="006F1036" w:rsidDel="00F9647E">
              <w:rPr>
                <w:rFonts w:ascii="Cambria" w:hAnsi="Cambria"/>
                <w:szCs w:val="20"/>
              </w:rPr>
              <w:t xml:space="preserve"> </w:t>
            </w:r>
            <w:r w:rsidRPr="006F1036">
              <w:rPr>
                <w:rFonts w:ascii="Cambria" w:hAnsi="Cambria"/>
                <w:szCs w:val="20"/>
              </w:rPr>
              <w:t>officials responsible for AANZFTA</w:t>
            </w:r>
          </w:p>
        </w:tc>
        <w:tc>
          <w:tcPr>
            <w:tcW w:w="5856" w:type="dxa"/>
          </w:tcPr>
          <w:p w14:paraId="4C45CEB8" w14:textId="25C3A92F"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What are the key drivers for and constraints to AANZFTA implementation? Comments on commitment of parties to AANZFTA implementation?</w:t>
            </w:r>
          </w:p>
          <w:p w14:paraId="2D18574A" w14:textId="15E5D059"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 xml:space="preserve">How effectively </w:t>
            </w:r>
            <w:r w:rsidR="00F9647E" w:rsidRPr="006F1036">
              <w:rPr>
                <w:rFonts w:ascii="Cambria" w:hAnsi="Cambria"/>
                <w:szCs w:val="20"/>
              </w:rPr>
              <w:t xml:space="preserve">has </w:t>
            </w:r>
            <w:r w:rsidRPr="006F1036">
              <w:rPr>
                <w:rFonts w:ascii="Cambria" w:hAnsi="Cambria"/>
                <w:szCs w:val="20"/>
              </w:rPr>
              <w:t xml:space="preserve">the AECSP supported national and regional interests; views on major remaining bottlenecks to AANZFTA implementation? How significant is </w:t>
            </w:r>
            <w:r w:rsidR="00F9647E">
              <w:rPr>
                <w:rFonts w:ascii="Cambria" w:hAnsi="Cambria"/>
                <w:szCs w:val="20"/>
              </w:rPr>
              <w:t xml:space="preserve">the </w:t>
            </w:r>
            <w:r w:rsidRPr="006F1036">
              <w:rPr>
                <w:rFonts w:ascii="Cambria" w:hAnsi="Cambria"/>
                <w:szCs w:val="20"/>
              </w:rPr>
              <w:t>AECSP contribution to the ASEAN</w:t>
            </w:r>
            <w:r w:rsidR="00F9647E">
              <w:rPr>
                <w:rFonts w:ascii="Cambria" w:hAnsi="Cambria"/>
                <w:szCs w:val="20"/>
              </w:rPr>
              <w:t>–</w:t>
            </w:r>
            <w:r w:rsidRPr="006F1036">
              <w:rPr>
                <w:rFonts w:ascii="Cambria" w:hAnsi="Cambria"/>
                <w:szCs w:val="20"/>
              </w:rPr>
              <w:t>Australia Comprehensive Partnership (signed 2007)</w:t>
            </w:r>
          </w:p>
          <w:p w14:paraId="19D981AF" w14:textId="04CED824" w:rsidR="00530BA8" w:rsidRPr="003A7180"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Comments on</w:t>
            </w:r>
            <w:r>
              <w:rPr>
                <w:rFonts w:ascii="Cambria" w:hAnsi="Cambria"/>
                <w:szCs w:val="20"/>
              </w:rPr>
              <w:t xml:space="preserve"> </w:t>
            </w:r>
            <w:r w:rsidRPr="006F1036">
              <w:rPr>
                <w:rFonts w:ascii="Cambria" w:hAnsi="Cambria"/>
                <w:szCs w:val="20"/>
              </w:rPr>
              <w:t xml:space="preserve">synergies with </w:t>
            </w:r>
            <w:r w:rsidR="00F9647E" w:rsidRPr="00F9647E">
              <w:rPr>
                <w:rFonts w:ascii="Cambria" w:hAnsi="Cambria"/>
                <w:szCs w:val="20"/>
              </w:rPr>
              <w:t>ASEAN Australia Development Cooperation Pro</w:t>
            </w:r>
            <w:r w:rsidR="00577E2A">
              <w:rPr>
                <w:rFonts w:ascii="Cambria" w:hAnsi="Cambria"/>
                <w:szCs w:val="20"/>
              </w:rPr>
              <w:t>gram</w:t>
            </w:r>
            <w:r w:rsidR="00F9647E" w:rsidRPr="00F9647E">
              <w:rPr>
                <w:rFonts w:ascii="Cambria" w:hAnsi="Cambria"/>
                <w:szCs w:val="20"/>
              </w:rPr>
              <w:t xml:space="preserve">: Phase </w:t>
            </w:r>
            <w:r w:rsidRPr="006F1036">
              <w:rPr>
                <w:rFonts w:ascii="Cambria" w:hAnsi="Cambria"/>
                <w:szCs w:val="20"/>
              </w:rPr>
              <w:t>II and or other development cooperation initiatives?</w:t>
            </w:r>
            <w:r>
              <w:rPr>
                <w:rFonts w:ascii="Cambria" w:hAnsi="Cambria"/>
                <w:szCs w:val="20"/>
              </w:rPr>
              <w:t xml:space="preserve"> </w:t>
            </w:r>
            <w:r>
              <w:rPr>
                <w:rFonts w:ascii="Cambria" w:hAnsi="Cambria"/>
                <w:szCs w:val="20"/>
                <w:lang w:val="en-US"/>
              </w:rPr>
              <w:t>H</w:t>
            </w:r>
            <w:r w:rsidRPr="003A7180">
              <w:rPr>
                <w:rFonts w:ascii="Cambria" w:hAnsi="Cambria"/>
                <w:szCs w:val="20"/>
                <w:lang w:val="en-US"/>
              </w:rPr>
              <w:t>ow (i</w:t>
            </w:r>
            <w:r>
              <w:rPr>
                <w:rFonts w:ascii="Cambria" w:hAnsi="Cambria"/>
                <w:szCs w:val="20"/>
                <w:lang w:val="en-US"/>
              </w:rPr>
              <w:t>f</w:t>
            </w:r>
            <w:r w:rsidRPr="003A7180">
              <w:rPr>
                <w:rFonts w:ascii="Cambria" w:hAnsi="Cambria"/>
                <w:szCs w:val="20"/>
                <w:lang w:val="en-US"/>
              </w:rPr>
              <w:t xml:space="preserve"> at all) could the partnership (</w:t>
            </w:r>
            <w:r w:rsidR="00FA23AA">
              <w:rPr>
                <w:rFonts w:ascii="Cambria" w:hAnsi="Cambria"/>
                <w:szCs w:val="20"/>
                <w:lang w:val="en-US"/>
              </w:rPr>
              <w:t xml:space="preserve">ASEAN </w:t>
            </w:r>
            <w:r w:rsidR="00F9647E">
              <w:rPr>
                <w:rFonts w:ascii="Cambria" w:hAnsi="Cambria"/>
                <w:szCs w:val="20"/>
                <w:lang w:val="en-US"/>
              </w:rPr>
              <w:t>Secretariat</w:t>
            </w:r>
            <w:r>
              <w:rPr>
                <w:rFonts w:ascii="Cambria" w:hAnsi="Cambria"/>
                <w:szCs w:val="20"/>
                <w:lang w:val="en-US"/>
              </w:rPr>
              <w:t xml:space="preserve">/Australia) delivery model </w:t>
            </w:r>
            <w:r w:rsidRPr="003A7180">
              <w:rPr>
                <w:rFonts w:ascii="Cambria" w:hAnsi="Cambria"/>
                <w:szCs w:val="20"/>
                <w:lang w:val="en-US"/>
              </w:rPr>
              <w:t>be improved</w:t>
            </w:r>
            <w:r>
              <w:rPr>
                <w:rFonts w:ascii="Cambria" w:hAnsi="Cambria"/>
                <w:szCs w:val="20"/>
                <w:lang w:val="en-US"/>
              </w:rPr>
              <w:t>?</w:t>
            </w:r>
          </w:p>
          <w:p w14:paraId="4850DB35" w14:textId="07136F05"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Pr>
                <w:rFonts w:ascii="Cambria" w:hAnsi="Cambria"/>
                <w:szCs w:val="20"/>
                <w:lang w:val="en-US"/>
              </w:rPr>
              <w:t xml:space="preserve">Views on </w:t>
            </w:r>
            <w:r w:rsidRPr="003A7180">
              <w:rPr>
                <w:rFonts w:ascii="Cambria" w:hAnsi="Cambria"/>
                <w:szCs w:val="20"/>
                <w:lang w:val="en-US"/>
              </w:rPr>
              <w:t>possible AusAID funding support to ASEAN for the Regional Comprehensive Economic Partnership.</w:t>
            </w:r>
          </w:p>
        </w:tc>
      </w:tr>
      <w:tr w:rsidR="00530BA8" w14:paraId="2FF35E4E" w14:textId="77777777" w:rsidTr="005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81E830A" w14:textId="699E8C22" w:rsidR="00530BA8" w:rsidRPr="006F1036" w:rsidRDefault="00530BA8">
            <w:pPr>
              <w:spacing w:before="80" w:after="80"/>
              <w:rPr>
                <w:rFonts w:ascii="Cambria" w:hAnsi="Cambria"/>
                <w:b w:val="0"/>
                <w:bCs w:val="0"/>
                <w:szCs w:val="20"/>
              </w:rPr>
            </w:pPr>
            <w:r w:rsidRPr="006F1036">
              <w:rPr>
                <w:rFonts w:ascii="Cambria" w:hAnsi="Cambria"/>
                <w:szCs w:val="20"/>
              </w:rPr>
              <w:t xml:space="preserve">Applied researchers </w:t>
            </w:r>
            <w:r>
              <w:rPr>
                <w:rFonts w:ascii="Cambria" w:hAnsi="Cambria"/>
                <w:szCs w:val="20"/>
              </w:rPr>
              <w:t>at universities, think-tanks labour organi</w:t>
            </w:r>
            <w:r w:rsidR="00465C26">
              <w:rPr>
                <w:rFonts w:ascii="Cambria" w:hAnsi="Cambria"/>
                <w:szCs w:val="20"/>
              </w:rPr>
              <w:t>s</w:t>
            </w:r>
            <w:r>
              <w:rPr>
                <w:rFonts w:ascii="Cambria" w:hAnsi="Cambria"/>
                <w:szCs w:val="20"/>
              </w:rPr>
              <w:t xml:space="preserve">ations etc. </w:t>
            </w:r>
            <w:r w:rsidRPr="006F1036">
              <w:rPr>
                <w:rFonts w:ascii="Cambria" w:hAnsi="Cambria"/>
                <w:szCs w:val="20"/>
              </w:rPr>
              <w:t>working on ASEAN</w:t>
            </w:r>
            <w:r w:rsidR="00C41971">
              <w:rPr>
                <w:rFonts w:ascii="Cambria" w:hAnsi="Cambria"/>
                <w:szCs w:val="20"/>
              </w:rPr>
              <w:t>–</w:t>
            </w:r>
            <w:r w:rsidRPr="006F1036">
              <w:rPr>
                <w:rFonts w:ascii="Cambria" w:hAnsi="Cambria"/>
                <w:szCs w:val="20"/>
              </w:rPr>
              <w:t>Australian economic cooperation</w:t>
            </w:r>
          </w:p>
        </w:tc>
        <w:tc>
          <w:tcPr>
            <w:tcW w:w="5856" w:type="dxa"/>
          </w:tcPr>
          <w:p w14:paraId="75961449" w14:textId="0272D816" w:rsidR="00530BA8"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Pr>
                <w:rFonts w:ascii="Cambria" w:hAnsi="Cambria"/>
                <w:szCs w:val="20"/>
              </w:rPr>
              <w:t xml:space="preserve">AANZFTA: substantive or strategic </w:t>
            </w:r>
            <w:r w:rsidR="00F9647E">
              <w:rPr>
                <w:rFonts w:ascii="Cambria" w:hAnsi="Cambria"/>
                <w:szCs w:val="20"/>
              </w:rPr>
              <w:t>free trade agreement</w:t>
            </w:r>
            <w:r>
              <w:rPr>
                <w:rFonts w:ascii="Cambria" w:hAnsi="Cambria"/>
                <w:szCs w:val="20"/>
              </w:rPr>
              <w:t>? Implications for AECSP?</w:t>
            </w:r>
          </w:p>
          <w:p w14:paraId="199525D0" w14:textId="2C1037EB" w:rsidR="00530BA8"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Pr>
                <w:rFonts w:ascii="Cambria" w:hAnsi="Cambria"/>
                <w:szCs w:val="20"/>
              </w:rPr>
              <w:t>AANZFTA “underutili</w:t>
            </w:r>
            <w:r w:rsidR="00465C26">
              <w:rPr>
                <w:rFonts w:ascii="Cambria" w:hAnsi="Cambria"/>
                <w:szCs w:val="20"/>
              </w:rPr>
              <w:t>s</w:t>
            </w:r>
            <w:r>
              <w:rPr>
                <w:rFonts w:ascii="Cambria" w:hAnsi="Cambria"/>
                <w:szCs w:val="20"/>
              </w:rPr>
              <w:t xml:space="preserve">ed”? Is there a disconnect between officials and business with respect to impact of </w:t>
            </w:r>
            <w:r w:rsidR="00F9647E">
              <w:rPr>
                <w:rFonts w:ascii="Cambria" w:hAnsi="Cambria"/>
                <w:szCs w:val="20"/>
              </w:rPr>
              <w:t>free trade agreements</w:t>
            </w:r>
            <w:r>
              <w:rPr>
                <w:rFonts w:ascii="Cambria" w:hAnsi="Cambria"/>
                <w:szCs w:val="20"/>
              </w:rPr>
              <w:t>? Views on v</w:t>
            </w:r>
            <w:r w:rsidRPr="006F1036">
              <w:rPr>
                <w:rFonts w:ascii="Cambria" w:hAnsi="Cambria"/>
                <w:szCs w:val="20"/>
              </w:rPr>
              <w:t xml:space="preserve">isibility of </w:t>
            </w:r>
            <w:r>
              <w:rPr>
                <w:rFonts w:ascii="Cambria" w:hAnsi="Cambria"/>
                <w:szCs w:val="20"/>
              </w:rPr>
              <w:t>AANZFTA/</w:t>
            </w:r>
            <w:r w:rsidRPr="006F1036">
              <w:rPr>
                <w:rFonts w:ascii="Cambria" w:hAnsi="Cambria"/>
                <w:szCs w:val="20"/>
              </w:rPr>
              <w:t xml:space="preserve">AECSP in the </w:t>
            </w:r>
            <w:r>
              <w:rPr>
                <w:rFonts w:ascii="Cambria" w:hAnsi="Cambria"/>
                <w:szCs w:val="20"/>
              </w:rPr>
              <w:t xml:space="preserve">research and business community? </w:t>
            </w:r>
          </w:p>
          <w:p w14:paraId="09D8689E" w14:textId="049C80D9" w:rsidR="00530BA8"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sidRPr="006F1036">
              <w:rPr>
                <w:rFonts w:ascii="Cambria" w:hAnsi="Cambria"/>
                <w:szCs w:val="20"/>
              </w:rPr>
              <w:t>How effective is AECSP in strengthening ASEAN</w:t>
            </w:r>
            <w:r w:rsidR="00F9647E">
              <w:rPr>
                <w:rFonts w:ascii="Cambria" w:hAnsi="Cambria"/>
                <w:szCs w:val="20"/>
              </w:rPr>
              <w:t>–</w:t>
            </w:r>
            <w:r>
              <w:rPr>
                <w:rFonts w:ascii="Cambria" w:hAnsi="Cambria"/>
                <w:szCs w:val="20"/>
              </w:rPr>
              <w:t>A</w:t>
            </w:r>
            <w:r w:rsidR="00F9647E">
              <w:rPr>
                <w:rFonts w:ascii="Cambria" w:hAnsi="Cambria"/>
                <w:szCs w:val="20"/>
              </w:rPr>
              <w:t>ustralia–</w:t>
            </w:r>
            <w:r>
              <w:rPr>
                <w:rFonts w:ascii="Cambria" w:hAnsi="Cambria"/>
                <w:szCs w:val="20"/>
              </w:rPr>
              <w:t>N</w:t>
            </w:r>
            <w:r w:rsidR="00F9647E">
              <w:rPr>
                <w:rFonts w:ascii="Cambria" w:hAnsi="Cambria"/>
                <w:szCs w:val="20"/>
              </w:rPr>
              <w:t xml:space="preserve">ew </w:t>
            </w:r>
            <w:r>
              <w:rPr>
                <w:rFonts w:ascii="Cambria" w:hAnsi="Cambria"/>
                <w:szCs w:val="20"/>
              </w:rPr>
              <w:t>Z</w:t>
            </w:r>
            <w:r w:rsidR="00F9647E">
              <w:rPr>
                <w:rFonts w:ascii="Cambria" w:hAnsi="Cambria"/>
                <w:szCs w:val="20"/>
              </w:rPr>
              <w:t>ealand</w:t>
            </w:r>
            <w:r w:rsidRPr="006F1036">
              <w:rPr>
                <w:rFonts w:ascii="Cambria" w:hAnsi="Cambria"/>
                <w:szCs w:val="20"/>
              </w:rPr>
              <w:t xml:space="preserve"> relatio</w:t>
            </w:r>
            <w:r>
              <w:rPr>
                <w:rFonts w:ascii="Cambria" w:hAnsi="Cambria"/>
                <w:szCs w:val="20"/>
              </w:rPr>
              <w:t xml:space="preserve">ns? </w:t>
            </w:r>
            <w:r w:rsidRPr="006F1036">
              <w:rPr>
                <w:rFonts w:ascii="Cambria" w:hAnsi="Cambria"/>
                <w:szCs w:val="20"/>
              </w:rPr>
              <w:t xml:space="preserve">What could AECSP do better to help strengthen </w:t>
            </w:r>
            <w:r>
              <w:rPr>
                <w:rFonts w:ascii="Cambria" w:hAnsi="Cambria"/>
                <w:szCs w:val="20"/>
              </w:rPr>
              <w:t xml:space="preserve">and build the profile of </w:t>
            </w:r>
            <w:r w:rsidR="00F9647E" w:rsidRPr="006F1036">
              <w:rPr>
                <w:rFonts w:ascii="Cambria" w:hAnsi="Cambria"/>
                <w:szCs w:val="20"/>
              </w:rPr>
              <w:t>ASEAN</w:t>
            </w:r>
            <w:r w:rsidR="00F9647E">
              <w:rPr>
                <w:rFonts w:ascii="Cambria" w:hAnsi="Cambria"/>
                <w:szCs w:val="20"/>
              </w:rPr>
              <w:t>–Australia–New Zealand</w:t>
            </w:r>
            <w:r w:rsidR="00F9647E" w:rsidRPr="006F1036">
              <w:rPr>
                <w:rFonts w:ascii="Cambria" w:hAnsi="Cambria"/>
                <w:szCs w:val="20"/>
              </w:rPr>
              <w:t xml:space="preserve"> </w:t>
            </w:r>
            <w:r>
              <w:rPr>
                <w:rFonts w:ascii="Cambria" w:hAnsi="Cambria"/>
                <w:szCs w:val="20"/>
              </w:rPr>
              <w:t>relations</w:t>
            </w:r>
            <w:r w:rsidRPr="006F1036">
              <w:rPr>
                <w:rFonts w:ascii="Cambria" w:hAnsi="Cambria"/>
                <w:szCs w:val="20"/>
              </w:rPr>
              <w:t>?</w:t>
            </w:r>
            <w:r>
              <w:rPr>
                <w:rFonts w:ascii="Cambria" w:hAnsi="Cambria"/>
                <w:szCs w:val="20"/>
              </w:rPr>
              <w:t xml:space="preserve"> (</w:t>
            </w:r>
            <w:r w:rsidR="000207A3">
              <w:rPr>
                <w:rFonts w:ascii="Cambria" w:hAnsi="Cambria"/>
                <w:szCs w:val="20"/>
              </w:rPr>
              <w:t>that is a</w:t>
            </w:r>
            <w:r w:rsidR="00C41971">
              <w:rPr>
                <w:rFonts w:ascii="Cambria" w:hAnsi="Cambria"/>
                <w:szCs w:val="20"/>
              </w:rPr>
              <w:t xml:space="preserve">way </w:t>
            </w:r>
            <w:r>
              <w:rPr>
                <w:rFonts w:ascii="Cambria" w:hAnsi="Cambria"/>
                <w:szCs w:val="20"/>
              </w:rPr>
              <w:t>from being akin to “a long dependable marriage” noted in the “Our Place in the Asian Century”</w:t>
            </w:r>
            <w:r w:rsidR="004402F9">
              <w:rPr>
                <w:rStyle w:val="FootnoteReference"/>
                <w:rFonts w:ascii="Cambria" w:hAnsi="Cambria"/>
                <w:szCs w:val="20"/>
              </w:rPr>
              <w:footnoteReference w:id="102"/>
            </w:r>
            <w:r>
              <w:rPr>
                <w:rFonts w:ascii="Cambria" w:hAnsi="Cambria"/>
                <w:szCs w:val="20"/>
              </w:rPr>
              <w:t xml:space="preserve"> report).</w:t>
            </w:r>
          </w:p>
          <w:p w14:paraId="4E3236E3" w14:textId="576DA071" w:rsidR="00530BA8"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Pr>
                <w:rFonts w:ascii="Cambria" w:hAnsi="Cambria"/>
                <w:szCs w:val="20"/>
              </w:rPr>
              <w:t xml:space="preserve">What more could/should Australia be doing (if anything) to support </w:t>
            </w:r>
            <w:r w:rsidR="00C41971">
              <w:rPr>
                <w:rFonts w:ascii="Cambria" w:hAnsi="Cambria"/>
                <w:szCs w:val="20"/>
              </w:rPr>
              <w:t xml:space="preserve">the </w:t>
            </w:r>
            <w:r w:rsidR="00C41971" w:rsidRPr="00C41971">
              <w:rPr>
                <w:rFonts w:ascii="Cambria" w:hAnsi="Cambria"/>
                <w:szCs w:val="20"/>
              </w:rPr>
              <w:t>Regional Comprehensive Economic Partnership</w:t>
            </w:r>
            <w:r w:rsidR="00C41971">
              <w:rPr>
                <w:rFonts w:ascii="Cambria" w:hAnsi="Cambria"/>
                <w:szCs w:val="20"/>
              </w:rPr>
              <w:t xml:space="preserve"> </w:t>
            </w:r>
            <w:r>
              <w:rPr>
                <w:rFonts w:ascii="Cambria" w:hAnsi="Cambria"/>
                <w:szCs w:val="20"/>
              </w:rPr>
              <w:t>and other economic regional cooperation initiatives?</w:t>
            </w:r>
          </w:p>
          <w:p w14:paraId="777072DC" w14:textId="23B10105" w:rsidR="00530BA8" w:rsidRPr="009D51B4"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lang w:val="en-US"/>
              </w:rPr>
            </w:pPr>
            <w:r>
              <w:rPr>
                <w:rFonts w:ascii="Cambria" w:hAnsi="Cambria"/>
                <w:szCs w:val="20"/>
                <w:lang w:val="en-US"/>
              </w:rPr>
              <w:t>H</w:t>
            </w:r>
            <w:r w:rsidRPr="003A7180">
              <w:rPr>
                <w:rFonts w:ascii="Cambria" w:hAnsi="Cambria"/>
                <w:szCs w:val="20"/>
                <w:lang w:val="en-US"/>
              </w:rPr>
              <w:t>ow (i</w:t>
            </w:r>
            <w:r>
              <w:rPr>
                <w:rFonts w:ascii="Cambria" w:hAnsi="Cambria"/>
                <w:szCs w:val="20"/>
                <w:lang w:val="en-US"/>
              </w:rPr>
              <w:t>f</w:t>
            </w:r>
            <w:r w:rsidRPr="003A7180">
              <w:rPr>
                <w:rFonts w:ascii="Cambria" w:hAnsi="Cambria"/>
                <w:szCs w:val="20"/>
                <w:lang w:val="en-US"/>
              </w:rPr>
              <w:t xml:space="preserve"> at all) could the partnership (</w:t>
            </w:r>
            <w:r w:rsidR="00FA23AA">
              <w:rPr>
                <w:rFonts w:ascii="Cambria" w:hAnsi="Cambria"/>
                <w:szCs w:val="20"/>
                <w:lang w:val="en-US"/>
              </w:rPr>
              <w:t xml:space="preserve">ASEAN </w:t>
            </w:r>
            <w:r w:rsidR="00C41971">
              <w:rPr>
                <w:rFonts w:ascii="Cambria" w:hAnsi="Cambria"/>
                <w:szCs w:val="20"/>
                <w:lang w:val="en-US"/>
              </w:rPr>
              <w:t>Secretariat</w:t>
            </w:r>
            <w:r>
              <w:rPr>
                <w:rFonts w:ascii="Cambria" w:hAnsi="Cambria"/>
                <w:szCs w:val="20"/>
                <w:lang w:val="en-US"/>
              </w:rPr>
              <w:t xml:space="preserve">/Australia) delivery model </w:t>
            </w:r>
            <w:r w:rsidRPr="003A7180">
              <w:rPr>
                <w:rFonts w:ascii="Cambria" w:hAnsi="Cambria"/>
                <w:szCs w:val="20"/>
                <w:lang w:val="en-US"/>
              </w:rPr>
              <w:t>be improved</w:t>
            </w:r>
            <w:r>
              <w:rPr>
                <w:rFonts w:ascii="Cambria" w:hAnsi="Cambria"/>
                <w:szCs w:val="20"/>
                <w:lang w:val="en-US"/>
              </w:rPr>
              <w:t xml:space="preserve">? </w:t>
            </w:r>
          </w:p>
        </w:tc>
      </w:tr>
      <w:tr w:rsidR="00530BA8" w14:paraId="631DF866" w14:textId="77777777" w:rsidTr="00530BA8">
        <w:tc>
          <w:tcPr>
            <w:cnfStyle w:val="001000000000" w:firstRow="0" w:lastRow="0" w:firstColumn="1" w:lastColumn="0" w:oddVBand="0" w:evenVBand="0" w:oddHBand="0" w:evenHBand="0" w:firstRowFirstColumn="0" w:firstRowLastColumn="0" w:lastRowFirstColumn="0" w:lastRowLastColumn="0"/>
            <w:tcW w:w="2660" w:type="dxa"/>
          </w:tcPr>
          <w:p w14:paraId="26759DE5" w14:textId="65CB64FA" w:rsidR="00530BA8" w:rsidRPr="006F1036" w:rsidRDefault="00530BA8" w:rsidP="00530BA8">
            <w:pPr>
              <w:spacing w:before="80" w:after="80"/>
              <w:rPr>
                <w:rFonts w:ascii="Cambria" w:hAnsi="Cambria"/>
                <w:szCs w:val="20"/>
              </w:rPr>
            </w:pPr>
            <w:r w:rsidRPr="006F1036">
              <w:rPr>
                <w:rFonts w:ascii="Cambria" w:hAnsi="Cambria"/>
                <w:szCs w:val="20"/>
              </w:rPr>
              <w:t>Business association representatives in Australia and Jakarta</w:t>
            </w:r>
          </w:p>
        </w:tc>
        <w:tc>
          <w:tcPr>
            <w:tcW w:w="5856" w:type="dxa"/>
          </w:tcPr>
          <w:p w14:paraId="09371F94" w14:textId="05A56E3E"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727C79">
              <w:rPr>
                <w:rFonts w:ascii="Cambria" w:hAnsi="Cambria"/>
                <w:szCs w:val="20"/>
                <w:lang w:val="en-US"/>
              </w:rPr>
              <w:t xml:space="preserve">"What do you see as the key new opportunities (or challenges) resulting </w:t>
            </w:r>
            <w:r w:rsidR="000207A3" w:rsidRPr="00727C79">
              <w:rPr>
                <w:rFonts w:ascii="Cambria" w:hAnsi="Cambria"/>
                <w:szCs w:val="20"/>
                <w:lang w:val="en-US"/>
              </w:rPr>
              <w:t>from</w:t>
            </w:r>
            <w:r w:rsidRPr="00727C79">
              <w:rPr>
                <w:rFonts w:ascii="Cambria" w:hAnsi="Cambria"/>
                <w:szCs w:val="20"/>
                <w:lang w:val="en-US"/>
              </w:rPr>
              <w:t xml:space="preserve"> the AANZFTA?"</w:t>
            </w:r>
            <w:r>
              <w:rPr>
                <w:rFonts w:ascii="Cambria" w:hAnsi="Cambria"/>
                <w:szCs w:val="20"/>
                <w:lang w:val="en-US"/>
              </w:rPr>
              <w:t xml:space="preserve"> </w:t>
            </w:r>
            <w:r w:rsidRPr="006F1036">
              <w:rPr>
                <w:rFonts w:ascii="Cambria" w:hAnsi="Cambria"/>
                <w:szCs w:val="20"/>
              </w:rPr>
              <w:t xml:space="preserve">How effectively </w:t>
            </w:r>
            <w:r>
              <w:rPr>
                <w:rFonts w:ascii="Cambria" w:hAnsi="Cambria"/>
                <w:szCs w:val="20"/>
              </w:rPr>
              <w:t>has</w:t>
            </w:r>
            <w:r w:rsidRPr="006F1036">
              <w:rPr>
                <w:rFonts w:ascii="Cambria" w:hAnsi="Cambria"/>
                <w:szCs w:val="20"/>
              </w:rPr>
              <w:t xml:space="preserve"> AECSP </w:t>
            </w:r>
            <w:r>
              <w:rPr>
                <w:rFonts w:ascii="Cambria" w:hAnsi="Cambria"/>
                <w:szCs w:val="20"/>
              </w:rPr>
              <w:t>been in supporting</w:t>
            </w:r>
            <w:r w:rsidRPr="006F1036">
              <w:rPr>
                <w:rFonts w:ascii="Cambria" w:hAnsi="Cambria"/>
                <w:szCs w:val="20"/>
              </w:rPr>
              <w:t xml:space="preserve"> </w:t>
            </w:r>
            <w:r>
              <w:rPr>
                <w:rFonts w:ascii="Cambria" w:hAnsi="Cambria"/>
                <w:szCs w:val="20"/>
              </w:rPr>
              <w:t>business interests and raising</w:t>
            </w:r>
            <w:r w:rsidRPr="006F1036">
              <w:rPr>
                <w:rFonts w:ascii="Cambria" w:hAnsi="Cambria"/>
                <w:szCs w:val="20"/>
              </w:rPr>
              <w:t xml:space="preserve"> awareness of new opportunities? </w:t>
            </w:r>
            <w:r>
              <w:rPr>
                <w:rFonts w:ascii="Cambria" w:hAnsi="Cambria"/>
                <w:szCs w:val="20"/>
              </w:rPr>
              <w:t xml:space="preserve">Do you see any disconnect between officials and business with respect to impact of </w:t>
            </w:r>
            <w:r w:rsidR="00C41971">
              <w:rPr>
                <w:rFonts w:ascii="Cambria" w:hAnsi="Cambria"/>
                <w:szCs w:val="20"/>
              </w:rPr>
              <w:t xml:space="preserve">free trade agreements </w:t>
            </w:r>
            <w:r>
              <w:rPr>
                <w:rFonts w:ascii="Cambria" w:hAnsi="Cambria"/>
                <w:szCs w:val="20"/>
              </w:rPr>
              <w:t>such as AANZFTA? V</w:t>
            </w:r>
            <w:r w:rsidRPr="006F1036">
              <w:rPr>
                <w:rFonts w:ascii="Cambria" w:hAnsi="Cambria"/>
                <w:szCs w:val="20"/>
              </w:rPr>
              <w:t xml:space="preserve">isibility of AECSP in the </w:t>
            </w:r>
            <w:r>
              <w:rPr>
                <w:rFonts w:ascii="Cambria" w:hAnsi="Cambria"/>
                <w:szCs w:val="20"/>
              </w:rPr>
              <w:t xml:space="preserve">research and business community? </w:t>
            </w:r>
          </w:p>
          <w:p w14:paraId="22C32BE3" w14:textId="3682F486" w:rsidR="00530BA8"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Views on major remaining bottlenecks to AANZFTA implementation?</w:t>
            </w:r>
            <w:r>
              <w:rPr>
                <w:rFonts w:ascii="Cambria" w:hAnsi="Cambria"/>
                <w:szCs w:val="20"/>
              </w:rPr>
              <w:t xml:space="preserve"> </w:t>
            </w:r>
            <w:r>
              <w:rPr>
                <w:rFonts w:ascii="Cambria" w:hAnsi="Cambria"/>
                <w:szCs w:val="20"/>
                <w:lang w:val="en-US"/>
              </w:rPr>
              <w:t>H</w:t>
            </w:r>
            <w:r w:rsidRPr="003A7180">
              <w:rPr>
                <w:rFonts w:ascii="Cambria" w:hAnsi="Cambria"/>
                <w:szCs w:val="20"/>
                <w:lang w:val="en-US"/>
              </w:rPr>
              <w:t>ow (i</w:t>
            </w:r>
            <w:r>
              <w:rPr>
                <w:rFonts w:ascii="Cambria" w:hAnsi="Cambria"/>
                <w:szCs w:val="20"/>
                <w:lang w:val="en-US"/>
              </w:rPr>
              <w:t>f</w:t>
            </w:r>
            <w:r w:rsidRPr="003A7180">
              <w:rPr>
                <w:rFonts w:ascii="Cambria" w:hAnsi="Cambria"/>
                <w:szCs w:val="20"/>
                <w:lang w:val="en-US"/>
              </w:rPr>
              <w:t xml:space="preserve"> at all) could the partnership (</w:t>
            </w:r>
            <w:r w:rsidR="00FA23AA">
              <w:rPr>
                <w:rFonts w:ascii="Cambria" w:hAnsi="Cambria"/>
                <w:szCs w:val="20"/>
                <w:lang w:val="en-US"/>
              </w:rPr>
              <w:t xml:space="preserve">ASEAN </w:t>
            </w:r>
            <w:r w:rsidR="00C41971">
              <w:rPr>
                <w:rFonts w:ascii="Cambria" w:hAnsi="Cambria"/>
                <w:szCs w:val="20"/>
                <w:lang w:val="en-US"/>
              </w:rPr>
              <w:t>Secretariat</w:t>
            </w:r>
            <w:r>
              <w:rPr>
                <w:rFonts w:ascii="Cambria" w:hAnsi="Cambria"/>
                <w:szCs w:val="20"/>
                <w:lang w:val="en-US"/>
              </w:rPr>
              <w:t xml:space="preserve">/Australia) delivery model </w:t>
            </w:r>
            <w:r w:rsidRPr="003A7180">
              <w:rPr>
                <w:rFonts w:ascii="Cambria" w:hAnsi="Cambria"/>
                <w:szCs w:val="20"/>
                <w:lang w:val="en-US"/>
              </w:rPr>
              <w:t>be improved</w:t>
            </w:r>
            <w:r>
              <w:rPr>
                <w:rFonts w:ascii="Cambria" w:hAnsi="Cambria"/>
                <w:szCs w:val="20"/>
                <w:lang w:val="en-US"/>
              </w:rPr>
              <w:t>?</w:t>
            </w:r>
          </w:p>
          <w:p w14:paraId="34776301" w14:textId="77777777"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Pr>
                <w:rFonts w:ascii="Cambria" w:hAnsi="Cambria"/>
                <w:szCs w:val="20"/>
              </w:rPr>
              <w:t>Comments on bilateral versus multilateral approaches to trade and investment cooperation?</w:t>
            </w:r>
          </w:p>
        </w:tc>
      </w:tr>
      <w:tr w:rsidR="00530BA8" w14:paraId="1384B2DD" w14:textId="77777777" w:rsidTr="005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FCF557F" w14:textId="1903586E" w:rsidR="00530BA8" w:rsidRPr="006F1036" w:rsidRDefault="00530BA8" w:rsidP="00530BA8">
            <w:pPr>
              <w:spacing w:before="80" w:after="80"/>
              <w:rPr>
                <w:rFonts w:ascii="Cambria" w:hAnsi="Cambria"/>
                <w:szCs w:val="20"/>
              </w:rPr>
            </w:pPr>
            <w:r w:rsidRPr="006F1036">
              <w:rPr>
                <w:rFonts w:ascii="Cambria" w:hAnsi="Cambria"/>
                <w:szCs w:val="20"/>
              </w:rPr>
              <w:t>Other donors (e.g. E</w:t>
            </w:r>
            <w:r w:rsidR="00C41971">
              <w:rPr>
                <w:rFonts w:ascii="Cambria" w:hAnsi="Cambria"/>
                <w:szCs w:val="20"/>
              </w:rPr>
              <w:t xml:space="preserve">uropean </w:t>
            </w:r>
            <w:r w:rsidRPr="006F1036">
              <w:rPr>
                <w:rFonts w:ascii="Cambria" w:hAnsi="Cambria"/>
                <w:szCs w:val="20"/>
              </w:rPr>
              <w:t>U</w:t>
            </w:r>
            <w:r w:rsidR="00C41971">
              <w:rPr>
                <w:rFonts w:ascii="Cambria" w:hAnsi="Cambria"/>
                <w:szCs w:val="20"/>
              </w:rPr>
              <w:t>nion</w:t>
            </w:r>
            <w:r w:rsidRPr="006F1036">
              <w:rPr>
                <w:rFonts w:ascii="Cambria" w:hAnsi="Cambria"/>
                <w:szCs w:val="20"/>
              </w:rPr>
              <w:t xml:space="preserve">) supporting the ASEAN </w:t>
            </w:r>
            <w:r w:rsidRPr="006F1036">
              <w:rPr>
                <w:rFonts w:ascii="Cambria" w:hAnsi="Cambria"/>
                <w:szCs w:val="20"/>
              </w:rPr>
              <w:lastRenderedPageBreak/>
              <w:t>secretariat</w:t>
            </w:r>
          </w:p>
        </w:tc>
        <w:tc>
          <w:tcPr>
            <w:tcW w:w="5856" w:type="dxa"/>
          </w:tcPr>
          <w:p w14:paraId="49920C95" w14:textId="58EB94C4" w:rsidR="00530BA8"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sidRPr="006F1036">
              <w:rPr>
                <w:rFonts w:ascii="Cambria" w:hAnsi="Cambria"/>
                <w:szCs w:val="20"/>
              </w:rPr>
              <w:lastRenderedPageBreak/>
              <w:t>What are strengths and weaknesses of the AECSP? How does this contrast with</w:t>
            </w:r>
            <w:r>
              <w:rPr>
                <w:rFonts w:ascii="Cambria" w:hAnsi="Cambria"/>
                <w:szCs w:val="20"/>
              </w:rPr>
              <w:t xml:space="preserve"> </w:t>
            </w:r>
            <w:r w:rsidRPr="006F1036">
              <w:rPr>
                <w:rFonts w:ascii="Cambria" w:hAnsi="Cambria"/>
                <w:szCs w:val="20"/>
              </w:rPr>
              <w:t xml:space="preserve">the strengths and weaknesses of other donors programs? </w:t>
            </w:r>
            <w:r>
              <w:rPr>
                <w:rFonts w:ascii="Cambria" w:hAnsi="Cambria"/>
                <w:szCs w:val="20"/>
                <w:lang w:val="en-US"/>
              </w:rPr>
              <w:t>H</w:t>
            </w:r>
            <w:r w:rsidRPr="003A7180">
              <w:rPr>
                <w:rFonts w:ascii="Cambria" w:hAnsi="Cambria"/>
                <w:szCs w:val="20"/>
                <w:lang w:val="en-US"/>
              </w:rPr>
              <w:t>ow (i</w:t>
            </w:r>
            <w:r>
              <w:rPr>
                <w:rFonts w:ascii="Cambria" w:hAnsi="Cambria"/>
                <w:szCs w:val="20"/>
                <w:lang w:val="en-US"/>
              </w:rPr>
              <w:t>f</w:t>
            </w:r>
            <w:r w:rsidRPr="003A7180">
              <w:rPr>
                <w:rFonts w:ascii="Cambria" w:hAnsi="Cambria"/>
                <w:szCs w:val="20"/>
                <w:lang w:val="en-US"/>
              </w:rPr>
              <w:t xml:space="preserve"> at all) could the partnership (</w:t>
            </w:r>
            <w:r w:rsidR="00FA23AA">
              <w:rPr>
                <w:rFonts w:ascii="Cambria" w:hAnsi="Cambria"/>
                <w:szCs w:val="20"/>
                <w:lang w:val="en-US"/>
              </w:rPr>
              <w:t xml:space="preserve">ASEAN </w:t>
            </w:r>
            <w:r w:rsidR="00C41971">
              <w:rPr>
                <w:rFonts w:ascii="Cambria" w:hAnsi="Cambria"/>
                <w:szCs w:val="20"/>
                <w:lang w:val="en-US"/>
              </w:rPr>
              <w:lastRenderedPageBreak/>
              <w:t>Secretariat</w:t>
            </w:r>
            <w:r>
              <w:rPr>
                <w:rFonts w:ascii="Cambria" w:hAnsi="Cambria"/>
                <w:szCs w:val="20"/>
                <w:lang w:val="en-US"/>
              </w:rPr>
              <w:t xml:space="preserve">/Australia) delivery model </w:t>
            </w:r>
            <w:r w:rsidRPr="003A7180">
              <w:rPr>
                <w:rFonts w:ascii="Cambria" w:hAnsi="Cambria"/>
                <w:szCs w:val="20"/>
                <w:lang w:val="en-US"/>
              </w:rPr>
              <w:t>be improved</w:t>
            </w:r>
            <w:r>
              <w:rPr>
                <w:rFonts w:ascii="Cambria" w:hAnsi="Cambria"/>
                <w:szCs w:val="20"/>
                <w:lang w:val="en-US"/>
              </w:rPr>
              <w:t xml:space="preserve">? </w:t>
            </w:r>
            <w:r w:rsidRPr="006F1036">
              <w:rPr>
                <w:rFonts w:ascii="Cambria" w:hAnsi="Cambria"/>
                <w:szCs w:val="20"/>
              </w:rPr>
              <w:t>Are</w:t>
            </w:r>
            <w:r>
              <w:rPr>
                <w:rFonts w:ascii="Cambria" w:hAnsi="Cambria"/>
                <w:szCs w:val="20"/>
              </w:rPr>
              <w:t xml:space="preserve"> </w:t>
            </w:r>
            <w:r w:rsidRPr="006F1036">
              <w:rPr>
                <w:rFonts w:ascii="Cambria" w:hAnsi="Cambria"/>
                <w:szCs w:val="20"/>
              </w:rPr>
              <w:t>there any lessons to be drawn in terms of future support?</w:t>
            </w:r>
            <w:r>
              <w:rPr>
                <w:rFonts w:ascii="Cambria" w:hAnsi="Cambria"/>
                <w:szCs w:val="20"/>
              </w:rPr>
              <w:t xml:space="preserve"> </w:t>
            </w:r>
          </w:p>
          <w:p w14:paraId="200FA6F4" w14:textId="1D0AFCD4" w:rsidR="00C41971" w:rsidRPr="006F1036" w:rsidRDefault="00C41971"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p>
        </w:tc>
      </w:tr>
      <w:tr w:rsidR="00530BA8" w14:paraId="5BA99B43" w14:textId="77777777" w:rsidTr="00530BA8">
        <w:tc>
          <w:tcPr>
            <w:cnfStyle w:val="001000000000" w:firstRow="0" w:lastRow="0" w:firstColumn="1" w:lastColumn="0" w:oddVBand="0" w:evenVBand="0" w:oddHBand="0" w:evenHBand="0" w:firstRowFirstColumn="0" w:firstRowLastColumn="0" w:lastRowFirstColumn="0" w:lastRowLastColumn="0"/>
            <w:tcW w:w="2660" w:type="dxa"/>
          </w:tcPr>
          <w:p w14:paraId="64CE820E" w14:textId="77777777" w:rsidR="00530BA8" w:rsidRPr="006F1036" w:rsidRDefault="00530BA8" w:rsidP="00530BA8">
            <w:pPr>
              <w:spacing w:before="80" w:after="80"/>
              <w:rPr>
                <w:rFonts w:ascii="Cambria" w:hAnsi="Cambria"/>
                <w:szCs w:val="20"/>
              </w:rPr>
            </w:pPr>
            <w:r w:rsidRPr="006F1036">
              <w:rPr>
                <w:rFonts w:ascii="Cambria" w:hAnsi="Cambria"/>
                <w:szCs w:val="20"/>
              </w:rPr>
              <w:lastRenderedPageBreak/>
              <w:t>Senior ASEAN Secretariat staff exposed to AECSP programs.</w:t>
            </w:r>
          </w:p>
        </w:tc>
        <w:tc>
          <w:tcPr>
            <w:tcW w:w="5856" w:type="dxa"/>
          </w:tcPr>
          <w:p w14:paraId="61602EA6" w14:textId="77777777"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Key outcomes from program?</w:t>
            </w:r>
          </w:p>
          <w:p w14:paraId="41EA6ECC" w14:textId="77777777"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Perspectives on program efficiency and quality of partnership model?</w:t>
            </w:r>
          </w:p>
          <w:p w14:paraId="59A94F71" w14:textId="7FCF6647"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 xml:space="preserve">Impacts on capacity building and comparisons with other capacity building initiatives? Does </w:t>
            </w:r>
            <w:r w:rsidR="00FA23AA">
              <w:rPr>
                <w:rFonts w:ascii="Cambria" w:hAnsi="Cambria"/>
                <w:szCs w:val="20"/>
              </w:rPr>
              <w:t xml:space="preserve">ASEAN </w:t>
            </w:r>
            <w:r w:rsidR="00C41971">
              <w:rPr>
                <w:rFonts w:ascii="Cambria" w:hAnsi="Cambria"/>
                <w:szCs w:val="20"/>
              </w:rPr>
              <w:t xml:space="preserve">Secretariat </w:t>
            </w:r>
            <w:r w:rsidRPr="006F1036">
              <w:rPr>
                <w:rFonts w:ascii="Cambria" w:hAnsi="Cambria"/>
                <w:szCs w:val="20"/>
              </w:rPr>
              <w:t>have medium-term strategy for capacity building?</w:t>
            </w:r>
            <w:r w:rsidR="005856D4">
              <w:rPr>
                <w:rFonts w:ascii="Cambria" w:hAnsi="Cambria"/>
                <w:szCs w:val="20"/>
              </w:rPr>
              <w:t xml:space="preserve"> </w:t>
            </w:r>
            <w:r w:rsidRPr="006F1036">
              <w:rPr>
                <w:rFonts w:ascii="Cambria" w:hAnsi="Cambria"/>
                <w:szCs w:val="20"/>
              </w:rPr>
              <w:t>What are expectations for development support?</w:t>
            </w:r>
          </w:p>
          <w:p w14:paraId="4F5978E4" w14:textId="77777777" w:rsidR="00530BA8"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Comment on governance and priority setting processes?</w:t>
            </w:r>
          </w:p>
          <w:p w14:paraId="367FB0AD" w14:textId="5293AD59"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Pr>
                <w:rFonts w:ascii="Cambria" w:hAnsi="Cambria"/>
                <w:szCs w:val="20"/>
                <w:lang w:val="en-US"/>
              </w:rPr>
              <w:t>H</w:t>
            </w:r>
            <w:r w:rsidRPr="003A7180">
              <w:rPr>
                <w:rFonts w:ascii="Cambria" w:hAnsi="Cambria"/>
                <w:szCs w:val="20"/>
                <w:lang w:val="en-US"/>
              </w:rPr>
              <w:t>ow (i</w:t>
            </w:r>
            <w:r>
              <w:rPr>
                <w:rFonts w:ascii="Cambria" w:hAnsi="Cambria"/>
                <w:szCs w:val="20"/>
                <w:lang w:val="en-US"/>
              </w:rPr>
              <w:t>f</w:t>
            </w:r>
            <w:r w:rsidRPr="003A7180">
              <w:rPr>
                <w:rFonts w:ascii="Cambria" w:hAnsi="Cambria"/>
                <w:szCs w:val="20"/>
                <w:lang w:val="en-US"/>
              </w:rPr>
              <w:t xml:space="preserve"> at all) could the partnership (</w:t>
            </w:r>
            <w:r w:rsidR="00FA23AA">
              <w:rPr>
                <w:rFonts w:ascii="Cambria" w:hAnsi="Cambria"/>
                <w:szCs w:val="20"/>
                <w:lang w:val="en-US"/>
              </w:rPr>
              <w:t xml:space="preserve">ASEAN </w:t>
            </w:r>
            <w:r w:rsidR="00C41971">
              <w:rPr>
                <w:rFonts w:ascii="Cambria" w:hAnsi="Cambria"/>
                <w:szCs w:val="20"/>
                <w:lang w:val="en-US"/>
              </w:rPr>
              <w:t>Secretariat</w:t>
            </w:r>
            <w:r>
              <w:rPr>
                <w:rFonts w:ascii="Cambria" w:hAnsi="Cambria"/>
                <w:szCs w:val="20"/>
                <w:lang w:val="en-US"/>
              </w:rPr>
              <w:t xml:space="preserve">/Australia) delivery model </w:t>
            </w:r>
            <w:r w:rsidRPr="003A7180">
              <w:rPr>
                <w:rFonts w:ascii="Cambria" w:hAnsi="Cambria"/>
                <w:szCs w:val="20"/>
                <w:lang w:val="en-US"/>
              </w:rPr>
              <w:t>be improved</w:t>
            </w:r>
            <w:r>
              <w:rPr>
                <w:rFonts w:ascii="Cambria" w:hAnsi="Cambria"/>
                <w:szCs w:val="20"/>
                <w:lang w:val="en-US"/>
              </w:rPr>
              <w:t>?</w:t>
            </w:r>
          </w:p>
        </w:tc>
      </w:tr>
      <w:tr w:rsidR="00530BA8" w14:paraId="532CA2D3" w14:textId="77777777" w:rsidTr="005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4B63EF2" w14:textId="073E6036" w:rsidR="00530BA8" w:rsidRPr="006F1036" w:rsidRDefault="00FA23AA" w:rsidP="004402F9">
            <w:pPr>
              <w:spacing w:before="80" w:after="80"/>
              <w:rPr>
                <w:rFonts w:ascii="Cambria" w:hAnsi="Cambria"/>
                <w:szCs w:val="20"/>
              </w:rPr>
            </w:pPr>
            <w:r>
              <w:rPr>
                <w:rFonts w:ascii="Cambria" w:hAnsi="Cambria"/>
                <w:szCs w:val="20"/>
              </w:rPr>
              <w:t xml:space="preserve">ASEAN </w:t>
            </w:r>
            <w:r w:rsidR="00C41971">
              <w:rPr>
                <w:rFonts w:ascii="Cambria" w:hAnsi="Cambria"/>
                <w:szCs w:val="20"/>
              </w:rPr>
              <w:t xml:space="preserve">Secretariat </w:t>
            </w:r>
            <w:r w:rsidR="0045046A">
              <w:rPr>
                <w:rFonts w:ascii="Cambria" w:hAnsi="Cambria"/>
                <w:szCs w:val="20"/>
              </w:rPr>
              <w:t>program</w:t>
            </w:r>
            <w:r w:rsidR="00530BA8" w:rsidRPr="006F1036">
              <w:rPr>
                <w:rFonts w:ascii="Cambria" w:hAnsi="Cambria"/>
                <w:szCs w:val="20"/>
              </w:rPr>
              <w:t xml:space="preserve"> </w:t>
            </w:r>
            <w:r w:rsidR="004402F9">
              <w:rPr>
                <w:rFonts w:ascii="Cambria" w:hAnsi="Cambria"/>
                <w:szCs w:val="20"/>
              </w:rPr>
              <w:t>o</w:t>
            </w:r>
            <w:r w:rsidR="00530BA8" w:rsidRPr="006F1036">
              <w:rPr>
                <w:rFonts w:ascii="Cambria" w:hAnsi="Cambria"/>
                <w:szCs w:val="20"/>
              </w:rPr>
              <w:t>fficers</w:t>
            </w:r>
          </w:p>
        </w:tc>
        <w:tc>
          <w:tcPr>
            <w:tcW w:w="5856" w:type="dxa"/>
          </w:tcPr>
          <w:p w14:paraId="2E998914" w14:textId="77777777" w:rsidR="00530BA8" w:rsidRPr="006F1036"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sidRPr="006F1036">
              <w:rPr>
                <w:rFonts w:ascii="Cambria" w:hAnsi="Cambria"/>
                <w:szCs w:val="20"/>
              </w:rPr>
              <w:t>Key outcomes from program, and perspectives on program efficiency?</w:t>
            </w:r>
            <w:r>
              <w:rPr>
                <w:rFonts w:ascii="Cambria" w:hAnsi="Cambria"/>
                <w:szCs w:val="20"/>
              </w:rPr>
              <w:t xml:space="preserve"> </w:t>
            </w:r>
            <w:r w:rsidRPr="006F1036">
              <w:rPr>
                <w:rFonts w:ascii="Cambria" w:hAnsi="Cambria"/>
                <w:szCs w:val="20"/>
              </w:rPr>
              <w:t>Comments on impact on capacity building; governance and priority setting processes; quality of sub-contractor work and outputs; and future needs?</w:t>
            </w:r>
          </w:p>
        </w:tc>
      </w:tr>
      <w:tr w:rsidR="00530BA8" w14:paraId="7DC6B2AF" w14:textId="77777777" w:rsidTr="00530BA8">
        <w:tc>
          <w:tcPr>
            <w:cnfStyle w:val="001000000000" w:firstRow="0" w:lastRow="0" w:firstColumn="1" w:lastColumn="0" w:oddVBand="0" w:evenVBand="0" w:oddHBand="0" w:evenHBand="0" w:firstRowFirstColumn="0" w:firstRowLastColumn="0" w:lastRowFirstColumn="0" w:lastRowLastColumn="0"/>
            <w:tcW w:w="2660" w:type="dxa"/>
          </w:tcPr>
          <w:p w14:paraId="726F5B55" w14:textId="586460FC" w:rsidR="00530BA8" w:rsidRPr="006F1036" w:rsidRDefault="00530BA8" w:rsidP="00530BA8">
            <w:pPr>
              <w:spacing w:before="80" w:after="80"/>
              <w:rPr>
                <w:rFonts w:ascii="Cambria" w:hAnsi="Cambria"/>
                <w:szCs w:val="20"/>
              </w:rPr>
            </w:pPr>
            <w:r w:rsidRPr="006F1036">
              <w:rPr>
                <w:rFonts w:ascii="Cambria" w:hAnsi="Cambria"/>
                <w:szCs w:val="20"/>
              </w:rPr>
              <w:t>ASEAN, AusAID,</w:t>
            </w:r>
            <w:r>
              <w:rPr>
                <w:rFonts w:ascii="Cambria" w:hAnsi="Cambria"/>
                <w:szCs w:val="20"/>
              </w:rPr>
              <w:t xml:space="preserve"> N</w:t>
            </w:r>
            <w:r w:rsidR="00C41971">
              <w:rPr>
                <w:rFonts w:ascii="Cambria" w:hAnsi="Cambria"/>
                <w:szCs w:val="20"/>
              </w:rPr>
              <w:t xml:space="preserve">ew </w:t>
            </w:r>
            <w:r>
              <w:rPr>
                <w:rFonts w:ascii="Cambria" w:hAnsi="Cambria"/>
                <w:szCs w:val="20"/>
              </w:rPr>
              <w:t>Z</w:t>
            </w:r>
            <w:r w:rsidR="00C41971">
              <w:rPr>
                <w:rFonts w:ascii="Cambria" w:hAnsi="Cambria"/>
                <w:szCs w:val="20"/>
              </w:rPr>
              <w:t>ealand</w:t>
            </w:r>
            <w:r>
              <w:rPr>
                <w:rFonts w:ascii="Cambria" w:hAnsi="Cambria"/>
                <w:szCs w:val="20"/>
              </w:rPr>
              <w:t xml:space="preserve"> officials</w:t>
            </w:r>
            <w:r w:rsidRPr="006F1036">
              <w:rPr>
                <w:rFonts w:ascii="Cambria" w:hAnsi="Cambria"/>
                <w:szCs w:val="20"/>
              </w:rPr>
              <w:t xml:space="preserve"> overseeing AECSP implementation</w:t>
            </w:r>
          </w:p>
        </w:tc>
        <w:tc>
          <w:tcPr>
            <w:tcW w:w="5856" w:type="dxa"/>
          </w:tcPr>
          <w:p w14:paraId="350FAE30" w14:textId="57C4573F" w:rsidR="00530BA8"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Views on program efficiency; comments on governance structure and program management</w:t>
            </w:r>
            <w:r>
              <w:rPr>
                <w:rFonts w:ascii="Cambria" w:hAnsi="Cambria"/>
                <w:szCs w:val="20"/>
              </w:rPr>
              <w:t xml:space="preserve"> </w:t>
            </w:r>
            <w:r w:rsidR="00C41971">
              <w:rPr>
                <w:rFonts w:ascii="Cambria" w:hAnsi="Cambria"/>
                <w:szCs w:val="20"/>
              </w:rPr>
              <w:t xml:space="preserve">and </w:t>
            </w:r>
            <w:r>
              <w:rPr>
                <w:rFonts w:ascii="Cambria" w:hAnsi="Cambria"/>
                <w:szCs w:val="20"/>
              </w:rPr>
              <w:t>delivery</w:t>
            </w:r>
            <w:r w:rsidRPr="006F1036">
              <w:rPr>
                <w:rFonts w:ascii="Cambria" w:hAnsi="Cambria"/>
                <w:szCs w:val="20"/>
              </w:rPr>
              <w:t xml:space="preserve"> systems</w:t>
            </w:r>
            <w:r>
              <w:rPr>
                <w:rFonts w:ascii="Cambria" w:hAnsi="Cambria"/>
                <w:szCs w:val="20"/>
              </w:rPr>
              <w:t xml:space="preserve">, including role </w:t>
            </w:r>
            <w:r w:rsidR="00C41971">
              <w:rPr>
                <w:rFonts w:ascii="Cambria" w:hAnsi="Cambria"/>
                <w:szCs w:val="20"/>
              </w:rPr>
              <w:t xml:space="preserve">and </w:t>
            </w:r>
            <w:r>
              <w:rPr>
                <w:rFonts w:ascii="Cambria" w:hAnsi="Cambria"/>
                <w:szCs w:val="20"/>
              </w:rPr>
              <w:t xml:space="preserve">effectiveness of </w:t>
            </w:r>
            <w:r w:rsidR="00C41971">
              <w:rPr>
                <w:rFonts w:ascii="Cambria" w:hAnsi="Cambria"/>
                <w:szCs w:val="20"/>
              </w:rPr>
              <w:t xml:space="preserve">the </w:t>
            </w:r>
            <w:r w:rsidR="00C41971" w:rsidRPr="00C41971">
              <w:rPr>
                <w:rFonts w:ascii="Cambria" w:hAnsi="Cambria"/>
                <w:szCs w:val="20"/>
              </w:rPr>
              <w:t>AANZFTA Support Unit</w:t>
            </w:r>
            <w:r w:rsidRPr="006F1036">
              <w:rPr>
                <w:rFonts w:ascii="Cambria" w:hAnsi="Cambria"/>
                <w:szCs w:val="20"/>
              </w:rPr>
              <w:t>; quality of sub-contractor work and outputs?</w:t>
            </w:r>
          </w:p>
          <w:p w14:paraId="359A26E7" w14:textId="07420684"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 xml:space="preserve">Key outcomes from each </w:t>
            </w:r>
            <w:r w:rsidR="00546E38">
              <w:rPr>
                <w:rFonts w:ascii="Cambria" w:hAnsi="Cambria"/>
                <w:szCs w:val="20"/>
              </w:rPr>
              <w:t xml:space="preserve">Economic Cooperation Work </w:t>
            </w:r>
            <w:r w:rsidR="00C41971">
              <w:rPr>
                <w:rFonts w:ascii="Cambria" w:hAnsi="Cambria"/>
                <w:szCs w:val="20"/>
              </w:rPr>
              <w:t>P</w:t>
            </w:r>
            <w:r w:rsidR="0045046A">
              <w:rPr>
                <w:rFonts w:ascii="Cambria" w:hAnsi="Cambria"/>
                <w:szCs w:val="20"/>
              </w:rPr>
              <w:t>rogram</w:t>
            </w:r>
            <w:r w:rsidR="005856D4">
              <w:rPr>
                <w:rFonts w:ascii="Cambria" w:hAnsi="Cambria"/>
                <w:szCs w:val="20"/>
              </w:rPr>
              <w:t xml:space="preserve"> </w:t>
            </w:r>
            <w:r w:rsidRPr="006F1036">
              <w:rPr>
                <w:rFonts w:ascii="Cambria" w:hAnsi="Cambria"/>
                <w:szCs w:val="20"/>
              </w:rPr>
              <w:t>components; provide examples of most important impacts from program interventions?</w:t>
            </w:r>
          </w:p>
          <w:p w14:paraId="75D33FFC" w14:textId="77777777"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Future demands for AECSP support?</w:t>
            </w:r>
          </w:p>
          <w:p w14:paraId="444A9F1B" w14:textId="11C4EE60" w:rsidR="00530BA8" w:rsidRPr="006F1036" w:rsidRDefault="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Comparisons with other related donor programs?</w:t>
            </w:r>
            <w:r>
              <w:rPr>
                <w:rFonts w:ascii="Cambria" w:hAnsi="Cambria"/>
                <w:szCs w:val="20"/>
              </w:rPr>
              <w:t xml:space="preserve"> </w:t>
            </w:r>
            <w:r>
              <w:rPr>
                <w:rFonts w:ascii="Cambria" w:hAnsi="Cambria"/>
                <w:szCs w:val="20"/>
                <w:lang w:val="en-US"/>
              </w:rPr>
              <w:t>H</w:t>
            </w:r>
            <w:r w:rsidRPr="003A7180">
              <w:rPr>
                <w:rFonts w:ascii="Cambria" w:hAnsi="Cambria"/>
                <w:szCs w:val="20"/>
                <w:lang w:val="en-US"/>
              </w:rPr>
              <w:t xml:space="preserve">ow could the partnership </w:t>
            </w:r>
            <w:r>
              <w:rPr>
                <w:rFonts w:ascii="Cambria" w:hAnsi="Cambria"/>
                <w:szCs w:val="20"/>
                <w:lang w:val="en-US"/>
              </w:rPr>
              <w:t xml:space="preserve">delivery model </w:t>
            </w:r>
            <w:r w:rsidRPr="003A7180">
              <w:rPr>
                <w:rFonts w:ascii="Cambria" w:hAnsi="Cambria"/>
                <w:szCs w:val="20"/>
                <w:lang w:val="en-US"/>
              </w:rPr>
              <w:t>be improved</w:t>
            </w:r>
            <w:r>
              <w:rPr>
                <w:rFonts w:ascii="Cambria" w:hAnsi="Cambria"/>
                <w:szCs w:val="20"/>
                <w:lang w:val="en-US"/>
              </w:rPr>
              <w:t>?</w:t>
            </w:r>
          </w:p>
        </w:tc>
      </w:tr>
      <w:tr w:rsidR="00530BA8" w14:paraId="01943204" w14:textId="77777777" w:rsidTr="005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C1E8A6" w14:textId="77777777" w:rsidR="00530BA8" w:rsidRPr="006F1036" w:rsidRDefault="00530BA8" w:rsidP="00530BA8">
            <w:pPr>
              <w:spacing w:before="80" w:after="80"/>
              <w:rPr>
                <w:rFonts w:ascii="Cambria" w:hAnsi="Cambria"/>
                <w:szCs w:val="20"/>
              </w:rPr>
            </w:pPr>
            <w:r w:rsidRPr="006F1036">
              <w:rPr>
                <w:rFonts w:ascii="Cambria" w:hAnsi="Cambria"/>
                <w:szCs w:val="20"/>
              </w:rPr>
              <w:t>AECSP Support Unit members</w:t>
            </w:r>
          </w:p>
        </w:tc>
        <w:tc>
          <w:tcPr>
            <w:tcW w:w="5856" w:type="dxa"/>
          </w:tcPr>
          <w:p w14:paraId="0C06F290" w14:textId="64A0D250" w:rsidR="00530BA8" w:rsidRPr="006F1036"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sidRPr="006F1036">
              <w:rPr>
                <w:rFonts w:ascii="Cambria" w:hAnsi="Cambria"/>
                <w:szCs w:val="20"/>
              </w:rPr>
              <w:t>How have the program systems worked, and how efficiently? What have been the program strengths and weaknesses? Comments on governance and implementation arrangements? Comment on project prioriti</w:t>
            </w:r>
            <w:r w:rsidR="00465C26">
              <w:rPr>
                <w:rFonts w:ascii="Cambria" w:hAnsi="Cambria"/>
                <w:szCs w:val="20"/>
              </w:rPr>
              <w:t>s</w:t>
            </w:r>
            <w:r w:rsidRPr="006F1036">
              <w:rPr>
                <w:rFonts w:ascii="Cambria" w:hAnsi="Cambria"/>
                <w:szCs w:val="20"/>
              </w:rPr>
              <w:t xml:space="preserve">ation, selection, design, quality assurance, </w:t>
            </w:r>
            <w:r w:rsidR="001827E7">
              <w:rPr>
                <w:rFonts w:ascii="Cambria" w:hAnsi="Cambria"/>
                <w:szCs w:val="20"/>
              </w:rPr>
              <w:t>monitoring and evaluation</w:t>
            </w:r>
            <w:r w:rsidRPr="006F1036">
              <w:rPr>
                <w:rFonts w:ascii="Cambria" w:hAnsi="Cambria"/>
                <w:szCs w:val="20"/>
              </w:rPr>
              <w:t xml:space="preserve"> processes? Provide examples of most important impacts from program interventions</w:t>
            </w:r>
            <w:r>
              <w:rPr>
                <w:rFonts w:ascii="Cambria" w:hAnsi="Cambria"/>
                <w:szCs w:val="20"/>
              </w:rPr>
              <w:t>.</w:t>
            </w:r>
          </w:p>
        </w:tc>
      </w:tr>
      <w:tr w:rsidR="00530BA8" w14:paraId="305B00A8" w14:textId="77777777" w:rsidTr="00530BA8">
        <w:tc>
          <w:tcPr>
            <w:cnfStyle w:val="001000000000" w:firstRow="0" w:lastRow="0" w:firstColumn="1" w:lastColumn="0" w:oddVBand="0" w:evenVBand="0" w:oddHBand="0" w:evenHBand="0" w:firstRowFirstColumn="0" w:firstRowLastColumn="0" w:lastRowFirstColumn="0" w:lastRowLastColumn="0"/>
            <w:tcW w:w="2660" w:type="dxa"/>
          </w:tcPr>
          <w:p w14:paraId="2D4F83AB" w14:textId="36A494CF" w:rsidR="00530BA8" w:rsidRPr="006F1036" w:rsidRDefault="00546E38" w:rsidP="00714B4B">
            <w:pPr>
              <w:spacing w:before="80" w:after="80"/>
              <w:rPr>
                <w:rFonts w:ascii="Cambria" w:eastAsia="SimSun" w:hAnsi="Cambria"/>
                <w:b w:val="0"/>
                <w:bCs w:val="0"/>
                <w:color w:val="auto"/>
                <w:sz w:val="18"/>
                <w:szCs w:val="20"/>
                <w:lang w:val="en-US"/>
              </w:rPr>
            </w:pPr>
            <w:r>
              <w:rPr>
                <w:rFonts w:ascii="Cambria" w:hAnsi="Cambria"/>
                <w:szCs w:val="20"/>
              </w:rPr>
              <w:t xml:space="preserve">Economic Cooperation Work </w:t>
            </w:r>
            <w:r w:rsidR="00C41971">
              <w:rPr>
                <w:rFonts w:ascii="Cambria" w:hAnsi="Cambria"/>
                <w:szCs w:val="20"/>
              </w:rPr>
              <w:t>P</w:t>
            </w:r>
            <w:r w:rsidR="0045046A">
              <w:rPr>
                <w:rFonts w:ascii="Cambria" w:hAnsi="Cambria"/>
                <w:szCs w:val="20"/>
              </w:rPr>
              <w:t>rogram</w:t>
            </w:r>
            <w:r w:rsidR="00530BA8" w:rsidRPr="006F1036">
              <w:rPr>
                <w:rFonts w:ascii="Cambria" w:hAnsi="Cambria"/>
                <w:szCs w:val="20"/>
              </w:rPr>
              <w:t xml:space="preserve">: representatives from AANZFTA committee overseeing each </w:t>
            </w:r>
            <w:r>
              <w:rPr>
                <w:rFonts w:ascii="Cambria" w:hAnsi="Cambria"/>
                <w:szCs w:val="20"/>
              </w:rPr>
              <w:t xml:space="preserve">Economic Cooperation Work </w:t>
            </w:r>
            <w:r w:rsidR="00C41971">
              <w:rPr>
                <w:rFonts w:ascii="Cambria" w:hAnsi="Cambria"/>
                <w:szCs w:val="20"/>
              </w:rPr>
              <w:t>P</w:t>
            </w:r>
            <w:r w:rsidR="0045046A">
              <w:rPr>
                <w:rFonts w:ascii="Cambria" w:hAnsi="Cambria"/>
                <w:szCs w:val="20"/>
              </w:rPr>
              <w:t>rogram</w:t>
            </w:r>
            <w:r w:rsidR="005856D4">
              <w:rPr>
                <w:rFonts w:ascii="Cambria" w:hAnsi="Cambria"/>
                <w:szCs w:val="20"/>
              </w:rPr>
              <w:t xml:space="preserve"> </w:t>
            </w:r>
            <w:r w:rsidR="00530BA8" w:rsidRPr="006F1036">
              <w:rPr>
                <w:rFonts w:ascii="Cambria" w:hAnsi="Cambria"/>
                <w:szCs w:val="20"/>
              </w:rPr>
              <w:t>component</w:t>
            </w:r>
          </w:p>
        </w:tc>
        <w:tc>
          <w:tcPr>
            <w:tcW w:w="5856" w:type="dxa"/>
          </w:tcPr>
          <w:p w14:paraId="5E7B0426" w14:textId="62ED98EC"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 xml:space="preserve">Discuss: examples of most important results/outcomes from program interventions for each component; strengths and weaknesses in identifying and implementing projects; </w:t>
            </w:r>
            <w:r>
              <w:rPr>
                <w:rFonts w:ascii="Cambria" w:hAnsi="Cambria"/>
                <w:szCs w:val="20"/>
              </w:rPr>
              <w:t xml:space="preserve">capacity building; role and effectiveness of </w:t>
            </w:r>
            <w:r w:rsidR="00C41971" w:rsidRPr="00C41971">
              <w:rPr>
                <w:rFonts w:ascii="Cambria" w:hAnsi="Cambria"/>
                <w:szCs w:val="20"/>
              </w:rPr>
              <w:t>AANZFTA Support Unit</w:t>
            </w:r>
            <w:r>
              <w:rPr>
                <w:rFonts w:ascii="Cambria" w:hAnsi="Cambria"/>
                <w:szCs w:val="20"/>
              </w:rPr>
              <w:t xml:space="preserve">; </w:t>
            </w:r>
            <w:r w:rsidRPr="006F1036">
              <w:rPr>
                <w:rFonts w:ascii="Cambria" w:hAnsi="Cambria"/>
                <w:szCs w:val="20"/>
              </w:rPr>
              <w:t>institutional and other changes need to ensure better outcomes for each component.</w:t>
            </w:r>
          </w:p>
        </w:tc>
      </w:tr>
      <w:tr w:rsidR="00530BA8" w14:paraId="7132BFC1" w14:textId="77777777" w:rsidTr="00530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E34FCE8" w14:textId="501079C3" w:rsidR="00530BA8" w:rsidRPr="006F1036" w:rsidRDefault="00530BA8" w:rsidP="00530BA8">
            <w:pPr>
              <w:spacing w:before="80" w:after="80"/>
              <w:rPr>
                <w:rFonts w:ascii="Cambria" w:hAnsi="Cambria"/>
                <w:szCs w:val="20"/>
              </w:rPr>
            </w:pPr>
            <w:r w:rsidRPr="006F1036">
              <w:rPr>
                <w:rFonts w:ascii="Cambria" w:hAnsi="Cambria"/>
                <w:szCs w:val="20"/>
              </w:rPr>
              <w:t xml:space="preserve">AECSP consultants and/or contractors, especially </w:t>
            </w:r>
            <w:r w:rsidR="001827E7">
              <w:rPr>
                <w:rFonts w:ascii="Cambria" w:hAnsi="Cambria"/>
                <w:szCs w:val="20"/>
              </w:rPr>
              <w:t>monitoring and evaluation</w:t>
            </w:r>
            <w:r w:rsidRPr="006F1036">
              <w:rPr>
                <w:rFonts w:ascii="Cambria" w:hAnsi="Cambria"/>
                <w:szCs w:val="20"/>
              </w:rPr>
              <w:t xml:space="preserve"> advisers (i.e. Peter van Diermen and Colin Reynolds)</w:t>
            </w:r>
          </w:p>
        </w:tc>
        <w:tc>
          <w:tcPr>
            <w:tcW w:w="5856" w:type="dxa"/>
          </w:tcPr>
          <w:p w14:paraId="41D71BE2" w14:textId="0830EF6D" w:rsidR="00530BA8"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sidRPr="006F1036">
              <w:rPr>
                <w:rFonts w:ascii="Cambria" w:hAnsi="Cambria"/>
                <w:szCs w:val="20"/>
              </w:rPr>
              <w:t>How have the program systems worked, and how efficiently? What have been the program strengths and weaknesses? Comment on project prioriti</w:t>
            </w:r>
            <w:r w:rsidR="00465C26">
              <w:rPr>
                <w:rFonts w:ascii="Cambria" w:hAnsi="Cambria"/>
                <w:szCs w:val="20"/>
              </w:rPr>
              <w:t>s</w:t>
            </w:r>
            <w:r w:rsidRPr="006F1036">
              <w:rPr>
                <w:rFonts w:ascii="Cambria" w:hAnsi="Cambria"/>
                <w:szCs w:val="20"/>
              </w:rPr>
              <w:t xml:space="preserve">ation, selection, design, quality assurance, </w:t>
            </w:r>
            <w:r w:rsidR="001827E7">
              <w:rPr>
                <w:rFonts w:ascii="Cambria" w:hAnsi="Cambria"/>
                <w:szCs w:val="20"/>
              </w:rPr>
              <w:t>monitoring and evaluation</w:t>
            </w:r>
            <w:r w:rsidRPr="006F1036">
              <w:rPr>
                <w:rFonts w:ascii="Cambria" w:hAnsi="Cambria"/>
                <w:szCs w:val="20"/>
              </w:rPr>
              <w:t xml:space="preserve"> processes? </w:t>
            </w:r>
          </w:p>
          <w:p w14:paraId="74559181" w14:textId="23F5F4E5" w:rsidR="00530BA8" w:rsidRDefault="00530BA8" w:rsidP="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sidRPr="006F1036">
              <w:rPr>
                <w:rFonts w:ascii="Cambria" w:hAnsi="Cambria"/>
                <w:szCs w:val="20"/>
              </w:rPr>
              <w:t>Comments on governance and implementation arrangements</w:t>
            </w:r>
            <w:r>
              <w:rPr>
                <w:rFonts w:ascii="Cambria" w:hAnsi="Cambria"/>
                <w:szCs w:val="20"/>
              </w:rPr>
              <w:t xml:space="preserve">, including role </w:t>
            </w:r>
            <w:r w:rsidR="00C41971">
              <w:rPr>
                <w:rFonts w:ascii="Cambria" w:hAnsi="Cambria"/>
                <w:szCs w:val="20"/>
              </w:rPr>
              <w:t xml:space="preserve">and </w:t>
            </w:r>
            <w:r>
              <w:rPr>
                <w:rFonts w:ascii="Cambria" w:hAnsi="Cambria"/>
                <w:szCs w:val="20"/>
              </w:rPr>
              <w:t xml:space="preserve">effectiveness of </w:t>
            </w:r>
            <w:r w:rsidR="00C41971" w:rsidRPr="00C41971">
              <w:rPr>
                <w:rFonts w:ascii="Cambria" w:hAnsi="Cambria"/>
                <w:szCs w:val="20"/>
              </w:rPr>
              <w:t>AANZFTA Support Unit</w:t>
            </w:r>
            <w:r w:rsidRPr="006F1036">
              <w:rPr>
                <w:rFonts w:ascii="Cambria" w:hAnsi="Cambria"/>
                <w:szCs w:val="20"/>
              </w:rPr>
              <w:t>? Provide examples of most important impacts from program interventions</w:t>
            </w:r>
            <w:r>
              <w:rPr>
                <w:rFonts w:ascii="Cambria" w:hAnsi="Cambria"/>
                <w:szCs w:val="20"/>
              </w:rPr>
              <w:t>.</w:t>
            </w:r>
          </w:p>
          <w:p w14:paraId="11BBEAFE" w14:textId="567A729B" w:rsidR="00530BA8" w:rsidRPr="006F1036" w:rsidRDefault="00530BA8">
            <w:pPr>
              <w:spacing w:before="80" w:after="80"/>
              <w:cnfStyle w:val="000000100000" w:firstRow="0" w:lastRow="0" w:firstColumn="0" w:lastColumn="0" w:oddVBand="0" w:evenVBand="0" w:oddHBand="1" w:evenHBand="0" w:firstRowFirstColumn="0" w:firstRowLastColumn="0" w:lastRowFirstColumn="0" w:lastRowLastColumn="0"/>
              <w:rPr>
                <w:rFonts w:ascii="Cambria" w:hAnsi="Cambria"/>
                <w:szCs w:val="20"/>
              </w:rPr>
            </w:pPr>
            <w:r>
              <w:rPr>
                <w:rFonts w:ascii="Cambria" w:hAnsi="Cambria"/>
                <w:szCs w:val="20"/>
                <w:lang w:val="en-US"/>
              </w:rPr>
              <w:t>H</w:t>
            </w:r>
            <w:r w:rsidRPr="003A7180">
              <w:rPr>
                <w:rFonts w:ascii="Cambria" w:hAnsi="Cambria"/>
                <w:szCs w:val="20"/>
                <w:lang w:val="en-US"/>
              </w:rPr>
              <w:t>ow (</w:t>
            </w:r>
            <w:r w:rsidR="00C41971" w:rsidRPr="003A7180">
              <w:rPr>
                <w:rFonts w:ascii="Cambria" w:hAnsi="Cambria"/>
                <w:szCs w:val="20"/>
                <w:lang w:val="en-US"/>
              </w:rPr>
              <w:t>i</w:t>
            </w:r>
            <w:r w:rsidR="00C41971">
              <w:rPr>
                <w:rFonts w:ascii="Cambria" w:hAnsi="Cambria"/>
                <w:szCs w:val="20"/>
                <w:lang w:val="en-US"/>
              </w:rPr>
              <w:t>f</w:t>
            </w:r>
            <w:r w:rsidR="00C41971" w:rsidRPr="003A7180">
              <w:rPr>
                <w:rFonts w:ascii="Cambria" w:hAnsi="Cambria"/>
                <w:szCs w:val="20"/>
                <w:lang w:val="en-US"/>
              </w:rPr>
              <w:t xml:space="preserve"> </w:t>
            </w:r>
            <w:r w:rsidRPr="003A7180">
              <w:rPr>
                <w:rFonts w:ascii="Cambria" w:hAnsi="Cambria"/>
                <w:szCs w:val="20"/>
                <w:lang w:val="en-US"/>
              </w:rPr>
              <w:t>at all) could the partnership (</w:t>
            </w:r>
            <w:r w:rsidR="00FA23AA">
              <w:rPr>
                <w:rFonts w:ascii="Cambria" w:hAnsi="Cambria"/>
                <w:szCs w:val="20"/>
                <w:lang w:val="en-US"/>
              </w:rPr>
              <w:t xml:space="preserve">ASEAN </w:t>
            </w:r>
            <w:r w:rsidR="00C41971">
              <w:rPr>
                <w:rFonts w:ascii="Cambria" w:hAnsi="Cambria"/>
                <w:szCs w:val="20"/>
                <w:lang w:val="en-US"/>
              </w:rPr>
              <w:lastRenderedPageBreak/>
              <w:t>Secretariat</w:t>
            </w:r>
            <w:r>
              <w:rPr>
                <w:rFonts w:ascii="Cambria" w:hAnsi="Cambria"/>
                <w:szCs w:val="20"/>
                <w:lang w:val="en-US"/>
              </w:rPr>
              <w:t xml:space="preserve">/Australia) delivery model </w:t>
            </w:r>
            <w:r w:rsidRPr="003A7180">
              <w:rPr>
                <w:rFonts w:ascii="Cambria" w:hAnsi="Cambria"/>
                <w:szCs w:val="20"/>
                <w:lang w:val="en-US"/>
              </w:rPr>
              <w:t>be improved</w:t>
            </w:r>
            <w:r>
              <w:rPr>
                <w:rFonts w:ascii="Cambria" w:hAnsi="Cambria"/>
                <w:szCs w:val="20"/>
                <w:lang w:val="en-US"/>
              </w:rPr>
              <w:t>?</w:t>
            </w:r>
          </w:p>
        </w:tc>
      </w:tr>
      <w:tr w:rsidR="00530BA8" w14:paraId="2C15C7DF" w14:textId="77777777" w:rsidTr="00530BA8">
        <w:tc>
          <w:tcPr>
            <w:cnfStyle w:val="001000000000" w:firstRow="0" w:lastRow="0" w:firstColumn="1" w:lastColumn="0" w:oddVBand="0" w:evenVBand="0" w:oddHBand="0" w:evenHBand="0" w:firstRowFirstColumn="0" w:firstRowLastColumn="0" w:lastRowFirstColumn="0" w:lastRowLastColumn="0"/>
            <w:tcW w:w="2660" w:type="dxa"/>
          </w:tcPr>
          <w:p w14:paraId="42F332C5" w14:textId="2857B3FB" w:rsidR="00530BA8" w:rsidRPr="006F1036" w:rsidRDefault="00530BA8" w:rsidP="00577E2A">
            <w:pPr>
              <w:spacing w:before="80" w:after="80"/>
              <w:rPr>
                <w:rFonts w:ascii="Cambria" w:hAnsi="Cambria"/>
                <w:b w:val="0"/>
                <w:bCs w:val="0"/>
                <w:szCs w:val="20"/>
              </w:rPr>
            </w:pPr>
            <w:r w:rsidRPr="006F1036">
              <w:rPr>
                <w:rFonts w:ascii="Cambria" w:hAnsi="Cambria"/>
                <w:szCs w:val="20"/>
              </w:rPr>
              <w:lastRenderedPageBreak/>
              <w:t xml:space="preserve">AADCP II </w:t>
            </w:r>
            <w:proofErr w:type="spellStart"/>
            <w:r w:rsidRPr="006F1036">
              <w:rPr>
                <w:rFonts w:ascii="Cambria" w:hAnsi="Cambria"/>
                <w:szCs w:val="20"/>
              </w:rPr>
              <w:t>eam</w:t>
            </w:r>
            <w:proofErr w:type="spellEnd"/>
          </w:p>
        </w:tc>
        <w:tc>
          <w:tcPr>
            <w:tcW w:w="5856" w:type="dxa"/>
          </w:tcPr>
          <w:p w14:paraId="06EF7986" w14:textId="2EFA0C61" w:rsidR="00530BA8" w:rsidRPr="006F1036" w:rsidRDefault="00530BA8" w:rsidP="00530BA8">
            <w:pPr>
              <w:spacing w:before="80" w:after="80"/>
              <w:cnfStyle w:val="000000000000" w:firstRow="0" w:lastRow="0" w:firstColumn="0" w:lastColumn="0" w:oddVBand="0" w:evenVBand="0" w:oddHBand="0" w:evenHBand="0" w:firstRowFirstColumn="0" w:firstRowLastColumn="0" w:lastRowFirstColumn="0" w:lastRowLastColumn="0"/>
              <w:rPr>
                <w:rFonts w:ascii="Cambria" w:hAnsi="Cambria"/>
                <w:szCs w:val="20"/>
              </w:rPr>
            </w:pPr>
            <w:r w:rsidRPr="006F1036">
              <w:rPr>
                <w:rFonts w:ascii="Cambria" w:hAnsi="Cambria"/>
                <w:szCs w:val="20"/>
              </w:rPr>
              <w:t>Linkages and synergy with AECSP project; comparative strengths and weaknesses of two programs; lessons learned; need for ongoing support</w:t>
            </w:r>
            <w:r>
              <w:rPr>
                <w:rFonts w:ascii="Cambria" w:hAnsi="Cambria"/>
                <w:szCs w:val="20"/>
              </w:rPr>
              <w:t xml:space="preserve">. </w:t>
            </w:r>
            <w:r>
              <w:rPr>
                <w:rFonts w:ascii="Cambria" w:hAnsi="Cambria"/>
                <w:szCs w:val="20"/>
                <w:lang w:val="en-US"/>
              </w:rPr>
              <w:t>H</w:t>
            </w:r>
            <w:r w:rsidRPr="003A7180">
              <w:rPr>
                <w:rFonts w:ascii="Cambria" w:hAnsi="Cambria"/>
                <w:szCs w:val="20"/>
                <w:lang w:val="en-US"/>
              </w:rPr>
              <w:t>ow (it at all) could the partnership (</w:t>
            </w:r>
            <w:r w:rsidR="00FA23AA">
              <w:rPr>
                <w:rFonts w:ascii="Cambria" w:hAnsi="Cambria"/>
                <w:szCs w:val="20"/>
                <w:lang w:val="en-US"/>
              </w:rPr>
              <w:t xml:space="preserve">ASEAN </w:t>
            </w:r>
            <w:r w:rsidR="00C41971">
              <w:rPr>
                <w:rFonts w:ascii="Cambria" w:hAnsi="Cambria"/>
                <w:szCs w:val="20"/>
                <w:lang w:val="en-US"/>
              </w:rPr>
              <w:t>Secretariat</w:t>
            </w:r>
            <w:r>
              <w:rPr>
                <w:rFonts w:ascii="Cambria" w:hAnsi="Cambria"/>
                <w:szCs w:val="20"/>
                <w:lang w:val="en-US"/>
              </w:rPr>
              <w:t xml:space="preserve">/Australia) delivery model </w:t>
            </w:r>
            <w:r w:rsidRPr="003A7180">
              <w:rPr>
                <w:rFonts w:ascii="Cambria" w:hAnsi="Cambria"/>
                <w:szCs w:val="20"/>
                <w:lang w:val="en-US"/>
              </w:rPr>
              <w:t>be improved</w:t>
            </w:r>
            <w:r>
              <w:rPr>
                <w:rFonts w:ascii="Cambria" w:hAnsi="Cambria"/>
                <w:szCs w:val="20"/>
                <w:lang w:val="en-US"/>
              </w:rPr>
              <w:t>?</w:t>
            </w:r>
          </w:p>
        </w:tc>
      </w:tr>
    </w:tbl>
    <w:p w14:paraId="0A072220" w14:textId="74D8DFF6" w:rsidR="00530BA8" w:rsidRPr="00E03415" w:rsidRDefault="00530BA8" w:rsidP="00C41971">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 xml:space="preserve">Draft questions to be considered by the team in preparing the report are presented as Appendix A to this plan. These questions draw from, and build on, the suggestions made in the </w:t>
      </w:r>
      <w:r w:rsidR="00C41971" w:rsidRPr="00E03415">
        <w:rPr>
          <w:sz w:val="22"/>
          <w:szCs w:val="22"/>
        </w:rPr>
        <w:t>terms of reference</w:t>
      </w:r>
      <w:r w:rsidRPr="00E03415">
        <w:rPr>
          <w:sz w:val="22"/>
          <w:szCs w:val="22"/>
        </w:rPr>
        <w:t xml:space="preserve">. </w:t>
      </w:r>
      <w:r w:rsidR="00C41971" w:rsidRPr="00E03415">
        <w:rPr>
          <w:sz w:val="22"/>
          <w:szCs w:val="22"/>
        </w:rPr>
        <w:t>The</w:t>
      </w:r>
      <w:r w:rsidR="00C41971">
        <w:rPr>
          <w:sz w:val="22"/>
          <w:szCs w:val="22"/>
        </w:rPr>
        <w:t>y</w:t>
      </w:r>
      <w:r w:rsidR="00C41971" w:rsidRPr="00E03415">
        <w:rPr>
          <w:sz w:val="22"/>
          <w:szCs w:val="22"/>
        </w:rPr>
        <w:t xml:space="preserve"> </w:t>
      </w:r>
      <w:r w:rsidRPr="00E03415">
        <w:rPr>
          <w:sz w:val="22"/>
          <w:szCs w:val="22"/>
        </w:rPr>
        <w:t xml:space="preserve">will be further revised following more detailed review of documentation and discussions with AusAID in Canberra. </w:t>
      </w:r>
    </w:p>
    <w:p w14:paraId="4EB4E9A9" w14:textId="3F14DFBF" w:rsidR="00530BA8" w:rsidRDefault="00530BA8" w:rsidP="00530BA8">
      <w:pPr>
        <w:pStyle w:val="Heading3"/>
      </w:pPr>
      <w:bookmarkStart w:id="23" w:name="_Toc219952459"/>
      <w:r>
        <w:t xml:space="preserve">Work </w:t>
      </w:r>
      <w:bookmarkEnd w:id="23"/>
      <w:r w:rsidR="00C41971">
        <w:t>plan</w:t>
      </w:r>
    </w:p>
    <w:p w14:paraId="0D74CF8A" w14:textId="77777777" w:rsidR="00530BA8" w:rsidRDefault="00530BA8" w:rsidP="00C41971">
      <w:pPr>
        <w:ind w:left="426" w:hanging="426"/>
        <w:rPr>
          <w:sz w:val="22"/>
          <w:szCs w:val="22"/>
        </w:rPr>
      </w:pPr>
      <w:r w:rsidRPr="00D4669B">
        <w:rPr>
          <w:rFonts w:cs="Arial"/>
          <w:sz w:val="22"/>
          <w:szCs w:val="22"/>
        </w:rPr>
        <w:fldChar w:fldCharType="begin"/>
      </w:r>
      <w:r w:rsidRPr="00D4669B">
        <w:rPr>
          <w:rFonts w:cs="Arial"/>
          <w:sz w:val="22"/>
          <w:szCs w:val="22"/>
        </w:rPr>
        <w:instrText xml:space="preserve"> AUTONUM </w:instrText>
      </w:r>
      <w:r w:rsidRPr="00D4669B">
        <w:rPr>
          <w:rFonts w:cs="Arial"/>
          <w:sz w:val="22"/>
          <w:szCs w:val="22"/>
        </w:rPr>
        <w:fldChar w:fldCharType="end"/>
      </w:r>
      <w:r w:rsidRPr="00D4669B">
        <w:rPr>
          <w:rFonts w:cs="Arial"/>
          <w:sz w:val="22"/>
          <w:szCs w:val="22"/>
        </w:rPr>
        <w:tab/>
      </w:r>
      <w:r w:rsidRPr="00E03415">
        <w:rPr>
          <w:sz w:val="22"/>
          <w:szCs w:val="22"/>
        </w:rPr>
        <w:t xml:space="preserve">The work plan for the evaluation is presented in the following table. This will be reviewed following initial discussions with AusAID staff in Canberra. </w:t>
      </w:r>
    </w:p>
    <w:p w14:paraId="554A9E20" w14:textId="77777777" w:rsidR="00530BA8" w:rsidRDefault="00530BA8" w:rsidP="00530BA8"/>
    <w:tbl>
      <w:tblPr>
        <w:tblStyle w:val="LightShading-Accent1"/>
        <w:tblW w:w="8647" w:type="dxa"/>
        <w:tblLayout w:type="fixed"/>
        <w:tblLook w:val="04A0" w:firstRow="1" w:lastRow="0" w:firstColumn="1" w:lastColumn="0" w:noHBand="0" w:noVBand="1"/>
        <w:tblDescription w:val="Table 2: Work plan for evaluation"/>
      </w:tblPr>
      <w:tblGrid>
        <w:gridCol w:w="1668"/>
        <w:gridCol w:w="1134"/>
        <w:gridCol w:w="1134"/>
        <w:gridCol w:w="850"/>
        <w:gridCol w:w="1134"/>
        <w:gridCol w:w="2727"/>
      </w:tblGrid>
      <w:tr w:rsidR="00530BA8" w:rsidRPr="00A460B1" w14:paraId="7E6CEF78" w14:textId="77777777" w:rsidTr="00856CC8">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8647" w:type="dxa"/>
            <w:gridSpan w:val="6"/>
          </w:tcPr>
          <w:p w14:paraId="2AA105EC" w14:textId="61FE3A41" w:rsidR="00530BA8" w:rsidRPr="00714B4B" w:rsidRDefault="00530BA8" w:rsidP="00530BA8">
            <w:pPr>
              <w:pStyle w:val="tableheading"/>
              <w:spacing w:before="120" w:after="120"/>
              <w:rPr>
                <w:rFonts w:asciiTheme="minorHAnsi" w:hAnsiTheme="minorHAnsi"/>
                <w:b/>
                <w:color w:val="000000" w:themeColor="text1"/>
                <w:sz w:val="22"/>
                <w:szCs w:val="22"/>
              </w:rPr>
            </w:pPr>
            <w:r w:rsidRPr="00714B4B">
              <w:rPr>
                <w:rFonts w:asciiTheme="minorHAnsi" w:hAnsiTheme="minorHAnsi"/>
                <w:color w:val="000000" w:themeColor="text1"/>
                <w:sz w:val="22"/>
                <w:szCs w:val="22"/>
              </w:rPr>
              <w:t xml:space="preserve">Table 2: Work </w:t>
            </w:r>
            <w:r w:rsidR="00C41971" w:rsidRPr="00714B4B">
              <w:rPr>
                <w:rFonts w:asciiTheme="minorHAnsi" w:hAnsiTheme="minorHAnsi"/>
                <w:color w:val="000000" w:themeColor="text1"/>
                <w:sz w:val="22"/>
                <w:szCs w:val="22"/>
              </w:rPr>
              <w:t>plan for evaluation</w:t>
            </w:r>
          </w:p>
        </w:tc>
      </w:tr>
      <w:tr w:rsidR="00530BA8" w:rsidRPr="00A460B1" w14:paraId="41EA3822" w14:textId="77777777" w:rsidTr="00714B4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668" w:type="dxa"/>
            <w:hideMark/>
          </w:tcPr>
          <w:p w14:paraId="342BCC66" w14:textId="77777777" w:rsidR="00530BA8" w:rsidRPr="00714B4B" w:rsidRDefault="00530BA8" w:rsidP="00530BA8">
            <w:pPr>
              <w:rPr>
                <w:rFonts w:asciiTheme="minorHAnsi" w:hAnsiTheme="minorHAnsi"/>
                <w:bCs w:val="0"/>
                <w:color w:val="000000" w:themeColor="text1"/>
                <w:sz w:val="22"/>
                <w:szCs w:val="22"/>
              </w:rPr>
            </w:pPr>
            <w:r w:rsidRPr="00714B4B">
              <w:rPr>
                <w:rFonts w:asciiTheme="minorHAnsi" w:hAnsiTheme="minorHAnsi"/>
                <w:color w:val="000000" w:themeColor="text1"/>
                <w:sz w:val="22"/>
                <w:szCs w:val="22"/>
              </w:rPr>
              <w:t>Task</w:t>
            </w:r>
          </w:p>
        </w:tc>
        <w:tc>
          <w:tcPr>
            <w:tcW w:w="1134" w:type="dxa"/>
            <w:hideMark/>
          </w:tcPr>
          <w:p w14:paraId="0F4D3DFF"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 w:val="22"/>
                <w:szCs w:val="22"/>
              </w:rPr>
            </w:pPr>
            <w:r w:rsidRPr="00714B4B">
              <w:rPr>
                <w:rFonts w:asciiTheme="minorHAnsi" w:hAnsiTheme="minorHAnsi"/>
                <w:bCs/>
                <w:color w:val="000000" w:themeColor="text1"/>
                <w:sz w:val="22"/>
                <w:szCs w:val="22"/>
              </w:rPr>
              <w:t>Start</w:t>
            </w:r>
          </w:p>
        </w:tc>
        <w:tc>
          <w:tcPr>
            <w:tcW w:w="1134" w:type="dxa"/>
            <w:hideMark/>
          </w:tcPr>
          <w:p w14:paraId="21502A6B"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 w:val="22"/>
                <w:szCs w:val="22"/>
              </w:rPr>
            </w:pPr>
            <w:r w:rsidRPr="00714B4B">
              <w:rPr>
                <w:rFonts w:asciiTheme="minorHAnsi" w:hAnsiTheme="minorHAnsi"/>
                <w:bCs/>
                <w:color w:val="000000" w:themeColor="text1"/>
                <w:sz w:val="22"/>
                <w:szCs w:val="22"/>
              </w:rPr>
              <w:t>Finish</w:t>
            </w:r>
          </w:p>
        </w:tc>
        <w:tc>
          <w:tcPr>
            <w:tcW w:w="850" w:type="dxa"/>
            <w:hideMark/>
          </w:tcPr>
          <w:p w14:paraId="1B7808FD"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 w:val="22"/>
                <w:szCs w:val="22"/>
              </w:rPr>
            </w:pPr>
            <w:r w:rsidRPr="00714B4B">
              <w:rPr>
                <w:rFonts w:asciiTheme="minorHAnsi" w:hAnsiTheme="minorHAnsi"/>
                <w:bCs/>
                <w:color w:val="000000" w:themeColor="text1"/>
                <w:sz w:val="22"/>
                <w:szCs w:val="22"/>
              </w:rPr>
              <w:t>Input (days)</w:t>
            </w:r>
          </w:p>
        </w:tc>
        <w:tc>
          <w:tcPr>
            <w:tcW w:w="1134" w:type="dxa"/>
            <w:hideMark/>
          </w:tcPr>
          <w:p w14:paraId="66FD9BA3"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 w:val="22"/>
                <w:szCs w:val="22"/>
              </w:rPr>
            </w:pPr>
            <w:r w:rsidRPr="00714B4B">
              <w:rPr>
                <w:rFonts w:asciiTheme="minorHAnsi" w:hAnsiTheme="minorHAnsi"/>
                <w:bCs/>
                <w:color w:val="000000" w:themeColor="text1"/>
                <w:sz w:val="22"/>
                <w:szCs w:val="22"/>
              </w:rPr>
              <w:t>Location</w:t>
            </w:r>
          </w:p>
        </w:tc>
        <w:tc>
          <w:tcPr>
            <w:tcW w:w="2727" w:type="dxa"/>
            <w:hideMark/>
          </w:tcPr>
          <w:p w14:paraId="2A48B23B"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 w:val="22"/>
                <w:szCs w:val="22"/>
              </w:rPr>
            </w:pPr>
            <w:r w:rsidRPr="00714B4B">
              <w:rPr>
                <w:rFonts w:asciiTheme="minorHAnsi" w:hAnsiTheme="minorHAnsi"/>
                <w:bCs/>
                <w:color w:val="000000" w:themeColor="text1"/>
                <w:sz w:val="22"/>
                <w:szCs w:val="22"/>
              </w:rPr>
              <w:t>Output</w:t>
            </w:r>
          </w:p>
        </w:tc>
      </w:tr>
      <w:tr w:rsidR="00530BA8" w:rsidRPr="00A460B1" w14:paraId="699C7736" w14:textId="77777777" w:rsidTr="00714B4B">
        <w:trPr>
          <w:trHeight w:val="520"/>
        </w:trPr>
        <w:tc>
          <w:tcPr>
            <w:cnfStyle w:val="001000000000" w:firstRow="0" w:lastRow="0" w:firstColumn="1" w:lastColumn="0" w:oddVBand="0" w:evenVBand="0" w:oddHBand="0" w:evenHBand="0" w:firstRowFirstColumn="0" w:firstRowLastColumn="0" w:lastRowFirstColumn="0" w:lastRowLastColumn="0"/>
            <w:tcW w:w="1668" w:type="dxa"/>
            <w:hideMark/>
          </w:tcPr>
          <w:p w14:paraId="51783AC1" w14:textId="1ED87423" w:rsidR="00530BA8" w:rsidRPr="00714B4B" w:rsidRDefault="00530BA8">
            <w:pPr>
              <w:rPr>
                <w:rFonts w:asciiTheme="minorHAnsi" w:hAnsiTheme="minorHAnsi"/>
                <w:b w:val="0"/>
                <w:bCs w:val="0"/>
                <w:color w:val="000000" w:themeColor="text1"/>
                <w:sz w:val="22"/>
                <w:szCs w:val="22"/>
              </w:rPr>
            </w:pPr>
            <w:r w:rsidRPr="00714B4B">
              <w:rPr>
                <w:rFonts w:asciiTheme="minorHAnsi" w:hAnsiTheme="minorHAnsi"/>
                <w:color w:val="000000" w:themeColor="text1"/>
                <w:sz w:val="22"/>
                <w:szCs w:val="22"/>
              </w:rPr>
              <w:t xml:space="preserve">Evaluation </w:t>
            </w:r>
            <w:r w:rsidR="00C41971" w:rsidRPr="00714B4B">
              <w:rPr>
                <w:rFonts w:asciiTheme="minorHAnsi" w:hAnsiTheme="minorHAnsi"/>
                <w:color w:val="000000" w:themeColor="text1"/>
                <w:sz w:val="22"/>
                <w:szCs w:val="22"/>
              </w:rPr>
              <w:t>plan</w:t>
            </w:r>
          </w:p>
        </w:tc>
        <w:tc>
          <w:tcPr>
            <w:tcW w:w="1134" w:type="dxa"/>
            <w:hideMark/>
          </w:tcPr>
          <w:p w14:paraId="0C72E61E" w14:textId="70EC1CB5" w:rsidR="00530BA8" w:rsidRPr="00714B4B" w:rsidRDefault="00530BA8" w:rsidP="007421B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28/1/13</w:t>
            </w:r>
          </w:p>
        </w:tc>
        <w:tc>
          <w:tcPr>
            <w:tcW w:w="1134" w:type="dxa"/>
            <w:hideMark/>
          </w:tcPr>
          <w:p w14:paraId="2EF2C4DF" w14:textId="2D163C39" w:rsidR="00530BA8" w:rsidRPr="00714B4B" w:rsidRDefault="00530BA8" w:rsidP="004B214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29/1/13</w:t>
            </w:r>
          </w:p>
        </w:tc>
        <w:tc>
          <w:tcPr>
            <w:tcW w:w="850" w:type="dxa"/>
            <w:hideMark/>
          </w:tcPr>
          <w:p w14:paraId="32776CCA"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w:t>
            </w:r>
          </w:p>
        </w:tc>
        <w:tc>
          <w:tcPr>
            <w:tcW w:w="1134" w:type="dxa"/>
            <w:hideMark/>
          </w:tcPr>
          <w:p w14:paraId="2A9549B1"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Hanoi</w:t>
            </w:r>
          </w:p>
        </w:tc>
        <w:tc>
          <w:tcPr>
            <w:tcW w:w="2727" w:type="dxa"/>
            <w:hideMark/>
          </w:tcPr>
          <w:p w14:paraId="3C38C9A4" w14:textId="491122E9" w:rsidR="00530BA8" w:rsidRPr="00714B4B" w:rsidRDefault="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 xml:space="preserve">Evaluation methodology and </w:t>
            </w:r>
            <w:r w:rsidR="00C41971" w:rsidRPr="00714B4B">
              <w:rPr>
                <w:rFonts w:asciiTheme="minorHAnsi" w:hAnsiTheme="minorHAnsi"/>
                <w:color w:val="000000" w:themeColor="text1"/>
                <w:sz w:val="22"/>
                <w:szCs w:val="22"/>
              </w:rPr>
              <w:t xml:space="preserve">plan </w:t>
            </w:r>
            <w:r w:rsidRPr="00714B4B">
              <w:rPr>
                <w:rFonts w:asciiTheme="minorHAnsi" w:hAnsiTheme="minorHAnsi"/>
                <w:color w:val="000000" w:themeColor="text1"/>
                <w:sz w:val="22"/>
                <w:szCs w:val="22"/>
              </w:rPr>
              <w:t>submitted to AusAID by 31 January</w:t>
            </w:r>
            <w:r w:rsidR="00C41971" w:rsidRPr="00714B4B">
              <w:rPr>
                <w:rFonts w:asciiTheme="minorHAnsi" w:hAnsiTheme="minorHAnsi"/>
                <w:color w:val="000000" w:themeColor="text1"/>
                <w:sz w:val="22"/>
                <w:szCs w:val="22"/>
              </w:rPr>
              <w:t>.</w:t>
            </w:r>
          </w:p>
        </w:tc>
      </w:tr>
      <w:tr w:rsidR="00530BA8" w:rsidRPr="00A460B1" w14:paraId="67859000" w14:textId="77777777" w:rsidTr="00714B4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668" w:type="dxa"/>
            <w:hideMark/>
          </w:tcPr>
          <w:p w14:paraId="32963C44" w14:textId="6C93896E" w:rsidR="00530BA8" w:rsidRPr="00714B4B" w:rsidRDefault="00530BA8">
            <w:pPr>
              <w:rPr>
                <w:rFonts w:asciiTheme="minorHAnsi" w:hAnsiTheme="minorHAnsi"/>
                <w:b w:val="0"/>
                <w:bCs w:val="0"/>
                <w:color w:val="000000" w:themeColor="text1"/>
                <w:sz w:val="22"/>
                <w:szCs w:val="22"/>
              </w:rPr>
            </w:pPr>
            <w:r w:rsidRPr="00714B4B">
              <w:rPr>
                <w:rFonts w:asciiTheme="minorHAnsi" w:hAnsiTheme="minorHAnsi"/>
                <w:color w:val="000000" w:themeColor="text1"/>
                <w:sz w:val="22"/>
                <w:szCs w:val="22"/>
              </w:rPr>
              <w:t xml:space="preserve">Preparation </w:t>
            </w:r>
            <w:r w:rsidR="00C41971" w:rsidRPr="00714B4B">
              <w:rPr>
                <w:rFonts w:asciiTheme="minorHAnsi" w:hAnsiTheme="minorHAnsi"/>
                <w:color w:val="000000" w:themeColor="text1"/>
                <w:sz w:val="22"/>
                <w:szCs w:val="22"/>
              </w:rPr>
              <w:t>and desk review</w:t>
            </w:r>
          </w:p>
        </w:tc>
        <w:tc>
          <w:tcPr>
            <w:tcW w:w="1134" w:type="dxa"/>
            <w:hideMark/>
          </w:tcPr>
          <w:p w14:paraId="4892DAE3" w14:textId="730C27FC" w:rsidR="00530BA8" w:rsidRPr="00714B4B" w:rsidRDefault="00530BA8" w:rsidP="007421B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4/2/13</w:t>
            </w:r>
          </w:p>
        </w:tc>
        <w:tc>
          <w:tcPr>
            <w:tcW w:w="1134" w:type="dxa"/>
            <w:hideMark/>
          </w:tcPr>
          <w:p w14:paraId="44E41CAB" w14:textId="3466E576" w:rsidR="00530BA8" w:rsidRPr="00714B4B" w:rsidRDefault="00530BA8" w:rsidP="004B214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7/2/13</w:t>
            </w:r>
          </w:p>
        </w:tc>
        <w:tc>
          <w:tcPr>
            <w:tcW w:w="850" w:type="dxa"/>
            <w:hideMark/>
          </w:tcPr>
          <w:p w14:paraId="7E2C9CAA"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4</w:t>
            </w:r>
          </w:p>
        </w:tc>
        <w:tc>
          <w:tcPr>
            <w:tcW w:w="1134" w:type="dxa"/>
            <w:hideMark/>
          </w:tcPr>
          <w:p w14:paraId="10833014"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Canberra</w:t>
            </w:r>
          </w:p>
        </w:tc>
        <w:tc>
          <w:tcPr>
            <w:tcW w:w="2727" w:type="dxa"/>
            <w:hideMark/>
          </w:tcPr>
          <w:p w14:paraId="13D82EBC" w14:textId="6A7D9D88" w:rsidR="00530BA8" w:rsidRPr="00714B4B" w:rsidRDefault="00530B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 xml:space="preserve">Including team briefing on 6 February </w:t>
            </w:r>
            <w:r w:rsidR="00C41971" w:rsidRPr="00714B4B">
              <w:rPr>
                <w:rFonts w:asciiTheme="minorHAnsi" w:hAnsiTheme="minorHAnsi"/>
                <w:color w:val="000000" w:themeColor="text1"/>
                <w:sz w:val="22"/>
                <w:szCs w:val="22"/>
              </w:rPr>
              <w:t xml:space="preserve">at </w:t>
            </w:r>
            <w:r w:rsidRPr="00714B4B">
              <w:rPr>
                <w:rFonts w:asciiTheme="minorHAnsi" w:hAnsiTheme="minorHAnsi"/>
                <w:color w:val="000000" w:themeColor="text1"/>
                <w:sz w:val="22"/>
                <w:szCs w:val="22"/>
              </w:rPr>
              <w:t>AusAID, Canberra.</w:t>
            </w:r>
          </w:p>
        </w:tc>
      </w:tr>
      <w:tr w:rsidR="00530BA8" w:rsidRPr="00A460B1" w14:paraId="72F36159" w14:textId="77777777" w:rsidTr="00714B4B">
        <w:trPr>
          <w:trHeight w:val="1820"/>
        </w:trPr>
        <w:tc>
          <w:tcPr>
            <w:cnfStyle w:val="001000000000" w:firstRow="0" w:lastRow="0" w:firstColumn="1" w:lastColumn="0" w:oddVBand="0" w:evenVBand="0" w:oddHBand="0" w:evenHBand="0" w:firstRowFirstColumn="0" w:firstRowLastColumn="0" w:lastRowFirstColumn="0" w:lastRowLastColumn="0"/>
            <w:tcW w:w="1668" w:type="dxa"/>
            <w:hideMark/>
          </w:tcPr>
          <w:p w14:paraId="09F24890" w14:textId="7011570D" w:rsidR="00530BA8" w:rsidRPr="00714B4B" w:rsidRDefault="008B28A5" w:rsidP="00530BA8">
            <w:pPr>
              <w:rPr>
                <w:rFonts w:asciiTheme="minorHAnsi" w:hAnsiTheme="minorHAnsi"/>
                <w:color w:val="000000" w:themeColor="text1"/>
                <w:sz w:val="22"/>
                <w:szCs w:val="22"/>
              </w:rPr>
            </w:pPr>
            <w:r w:rsidRPr="00714B4B">
              <w:rPr>
                <w:rFonts w:asciiTheme="minorHAnsi" w:hAnsiTheme="minorHAnsi"/>
                <w:color w:val="000000" w:themeColor="text1"/>
                <w:sz w:val="22"/>
                <w:szCs w:val="22"/>
              </w:rPr>
              <w:t>Independent</w:t>
            </w:r>
            <w:r w:rsidR="00C41971" w:rsidRPr="00714B4B">
              <w:rPr>
                <w:rFonts w:asciiTheme="minorHAnsi" w:hAnsiTheme="minorHAnsi"/>
                <w:color w:val="000000" w:themeColor="text1"/>
                <w:sz w:val="22"/>
                <w:szCs w:val="22"/>
              </w:rPr>
              <w:t xml:space="preserve"> progress report </w:t>
            </w:r>
            <w:r w:rsidR="00530BA8" w:rsidRPr="00714B4B">
              <w:rPr>
                <w:rFonts w:asciiTheme="minorHAnsi" w:hAnsiTheme="minorHAnsi"/>
                <w:color w:val="000000" w:themeColor="text1"/>
                <w:sz w:val="22"/>
                <w:szCs w:val="22"/>
              </w:rPr>
              <w:t>meetings</w:t>
            </w:r>
          </w:p>
        </w:tc>
        <w:tc>
          <w:tcPr>
            <w:tcW w:w="1134" w:type="dxa"/>
            <w:hideMark/>
          </w:tcPr>
          <w:p w14:paraId="2ED679C1" w14:textId="64457619" w:rsidR="00530BA8" w:rsidRPr="00714B4B" w:rsidRDefault="00530BA8" w:rsidP="007421B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10/2/13</w:t>
            </w:r>
          </w:p>
        </w:tc>
        <w:tc>
          <w:tcPr>
            <w:tcW w:w="1134" w:type="dxa"/>
            <w:hideMark/>
          </w:tcPr>
          <w:p w14:paraId="7509B8DA" w14:textId="57D077F8" w:rsidR="00530BA8" w:rsidRPr="00714B4B" w:rsidRDefault="00530BA8" w:rsidP="004B214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17/2/13</w:t>
            </w:r>
          </w:p>
        </w:tc>
        <w:tc>
          <w:tcPr>
            <w:tcW w:w="850" w:type="dxa"/>
            <w:hideMark/>
          </w:tcPr>
          <w:p w14:paraId="110577F0"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8</w:t>
            </w:r>
          </w:p>
        </w:tc>
        <w:tc>
          <w:tcPr>
            <w:tcW w:w="1134" w:type="dxa"/>
            <w:hideMark/>
          </w:tcPr>
          <w:p w14:paraId="19D6E5AA"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Jakarta</w:t>
            </w:r>
          </w:p>
        </w:tc>
        <w:tc>
          <w:tcPr>
            <w:tcW w:w="2727" w:type="dxa"/>
            <w:hideMark/>
          </w:tcPr>
          <w:p w14:paraId="64357C6E" w14:textId="36D937A9" w:rsidR="00530BA8" w:rsidRPr="00714B4B" w:rsidRDefault="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 xml:space="preserve">Discussions with relevant stakeholders including personnel from ASEAN, </w:t>
            </w:r>
            <w:r w:rsidR="00C41971" w:rsidRPr="00714B4B">
              <w:rPr>
                <w:rFonts w:asciiTheme="minorHAnsi" w:hAnsiTheme="minorHAnsi"/>
                <w:color w:val="000000" w:themeColor="text1"/>
                <w:sz w:val="22"/>
                <w:szCs w:val="22"/>
              </w:rPr>
              <w:t xml:space="preserve">the </w:t>
            </w:r>
            <w:r w:rsidR="00FA23AA" w:rsidRPr="00714B4B">
              <w:rPr>
                <w:rFonts w:asciiTheme="minorHAnsi" w:hAnsiTheme="minorHAnsi"/>
                <w:color w:val="000000" w:themeColor="text1"/>
                <w:sz w:val="22"/>
                <w:szCs w:val="22"/>
              </w:rPr>
              <w:t xml:space="preserve">ASEAN </w:t>
            </w:r>
            <w:r w:rsidR="00C41971" w:rsidRPr="00714B4B">
              <w:rPr>
                <w:rFonts w:asciiTheme="minorHAnsi" w:hAnsiTheme="minorHAnsi"/>
                <w:color w:val="000000" w:themeColor="text1"/>
                <w:sz w:val="22"/>
                <w:szCs w:val="22"/>
              </w:rPr>
              <w:t xml:space="preserve">Secretariat </w:t>
            </w:r>
            <w:r w:rsidRPr="00714B4B">
              <w:rPr>
                <w:rFonts w:asciiTheme="minorHAnsi" w:hAnsiTheme="minorHAnsi"/>
                <w:color w:val="000000" w:themeColor="text1"/>
                <w:sz w:val="22"/>
                <w:szCs w:val="22"/>
              </w:rPr>
              <w:t>and AusAID</w:t>
            </w:r>
            <w:r w:rsidR="00C41971" w:rsidRPr="00714B4B">
              <w:rPr>
                <w:rFonts w:asciiTheme="minorHAnsi" w:hAnsiTheme="minorHAnsi"/>
                <w:color w:val="000000" w:themeColor="text1"/>
                <w:sz w:val="22"/>
                <w:szCs w:val="22"/>
              </w:rPr>
              <w:t>.</w:t>
            </w:r>
            <w:r w:rsidRPr="00714B4B">
              <w:rPr>
                <w:rFonts w:asciiTheme="minorHAnsi" w:hAnsiTheme="minorHAnsi"/>
                <w:color w:val="000000" w:themeColor="text1"/>
                <w:sz w:val="22"/>
                <w:szCs w:val="22"/>
              </w:rPr>
              <w:t xml:space="preserve"> </w:t>
            </w:r>
            <w:r w:rsidR="00C41971" w:rsidRPr="00714B4B">
              <w:rPr>
                <w:rFonts w:asciiTheme="minorHAnsi" w:hAnsiTheme="minorHAnsi"/>
                <w:color w:val="000000" w:themeColor="text1"/>
                <w:sz w:val="22"/>
                <w:szCs w:val="22"/>
              </w:rPr>
              <w:t xml:space="preserve">Collect </w:t>
            </w:r>
            <w:r w:rsidRPr="00714B4B">
              <w:rPr>
                <w:rFonts w:asciiTheme="minorHAnsi" w:hAnsiTheme="minorHAnsi"/>
                <w:color w:val="000000" w:themeColor="text1"/>
                <w:sz w:val="22"/>
                <w:szCs w:val="22"/>
              </w:rPr>
              <w:t xml:space="preserve">relevant data, prepare </w:t>
            </w:r>
            <w:r w:rsidR="00C41971" w:rsidRPr="00714B4B">
              <w:rPr>
                <w:rFonts w:asciiTheme="minorHAnsi" w:hAnsiTheme="minorHAnsi"/>
                <w:color w:val="000000" w:themeColor="text1"/>
                <w:sz w:val="22"/>
                <w:szCs w:val="22"/>
              </w:rPr>
              <w:t xml:space="preserve">aide memoire </w:t>
            </w:r>
            <w:r w:rsidRPr="00714B4B">
              <w:rPr>
                <w:rFonts w:asciiTheme="minorHAnsi" w:hAnsiTheme="minorHAnsi"/>
                <w:color w:val="000000" w:themeColor="text1"/>
                <w:sz w:val="22"/>
                <w:szCs w:val="22"/>
              </w:rPr>
              <w:t>for presentation at stakeholder workshop on 18 February</w:t>
            </w:r>
            <w:r w:rsidR="00C41971" w:rsidRPr="00714B4B">
              <w:rPr>
                <w:rFonts w:asciiTheme="minorHAnsi" w:hAnsiTheme="minorHAnsi"/>
                <w:color w:val="000000" w:themeColor="text1"/>
                <w:sz w:val="22"/>
                <w:szCs w:val="22"/>
              </w:rPr>
              <w:t>.</w:t>
            </w:r>
          </w:p>
        </w:tc>
      </w:tr>
      <w:tr w:rsidR="00530BA8" w:rsidRPr="00A460B1" w14:paraId="62D8400D" w14:textId="77777777" w:rsidTr="00714B4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668" w:type="dxa"/>
            <w:hideMark/>
          </w:tcPr>
          <w:p w14:paraId="7DEA87EB" w14:textId="46392610" w:rsidR="00530BA8" w:rsidRPr="00714B4B" w:rsidRDefault="00530BA8">
            <w:pPr>
              <w:rPr>
                <w:rFonts w:asciiTheme="minorHAnsi" w:hAnsiTheme="minorHAnsi"/>
                <w:b w:val="0"/>
                <w:bCs w:val="0"/>
                <w:color w:val="000000" w:themeColor="text1"/>
                <w:sz w:val="22"/>
                <w:szCs w:val="22"/>
              </w:rPr>
            </w:pPr>
            <w:r w:rsidRPr="00714B4B">
              <w:rPr>
                <w:rFonts w:asciiTheme="minorHAnsi" w:hAnsiTheme="minorHAnsi"/>
                <w:color w:val="000000" w:themeColor="text1"/>
                <w:sz w:val="22"/>
                <w:szCs w:val="22"/>
              </w:rPr>
              <w:t xml:space="preserve">Stakeholder </w:t>
            </w:r>
            <w:r w:rsidR="00C41971" w:rsidRPr="00714B4B">
              <w:rPr>
                <w:rFonts w:asciiTheme="minorHAnsi" w:hAnsiTheme="minorHAnsi"/>
                <w:color w:val="000000" w:themeColor="text1"/>
                <w:sz w:val="22"/>
                <w:szCs w:val="22"/>
              </w:rPr>
              <w:t>workshop</w:t>
            </w:r>
          </w:p>
        </w:tc>
        <w:tc>
          <w:tcPr>
            <w:tcW w:w="1134" w:type="dxa"/>
            <w:hideMark/>
          </w:tcPr>
          <w:p w14:paraId="296D347D" w14:textId="1975FB39" w:rsidR="00530BA8" w:rsidRPr="00714B4B" w:rsidRDefault="00530BA8" w:rsidP="004B214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18/2/13</w:t>
            </w:r>
          </w:p>
        </w:tc>
        <w:tc>
          <w:tcPr>
            <w:tcW w:w="1134" w:type="dxa"/>
            <w:hideMark/>
          </w:tcPr>
          <w:p w14:paraId="5D836B76" w14:textId="5E337127" w:rsidR="00530BA8" w:rsidRPr="00714B4B" w:rsidRDefault="00530BA8" w:rsidP="004B214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18/2/13</w:t>
            </w:r>
          </w:p>
        </w:tc>
        <w:tc>
          <w:tcPr>
            <w:tcW w:w="850" w:type="dxa"/>
            <w:hideMark/>
          </w:tcPr>
          <w:p w14:paraId="15BE75B9"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1</w:t>
            </w:r>
          </w:p>
        </w:tc>
        <w:tc>
          <w:tcPr>
            <w:tcW w:w="1134" w:type="dxa"/>
            <w:hideMark/>
          </w:tcPr>
          <w:p w14:paraId="46B6E43E"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Jakarta</w:t>
            </w:r>
          </w:p>
        </w:tc>
        <w:tc>
          <w:tcPr>
            <w:tcW w:w="2727" w:type="dxa"/>
            <w:hideMark/>
          </w:tcPr>
          <w:p w14:paraId="715EF48A" w14:textId="0D31E41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Discussion of preliminary findings and issues with relevant stakeholders</w:t>
            </w:r>
            <w:r w:rsidR="00C41971" w:rsidRPr="00714B4B">
              <w:rPr>
                <w:rFonts w:asciiTheme="minorHAnsi" w:hAnsiTheme="minorHAnsi"/>
                <w:color w:val="000000" w:themeColor="text1"/>
                <w:sz w:val="22"/>
                <w:szCs w:val="22"/>
              </w:rPr>
              <w:t>.</w:t>
            </w:r>
          </w:p>
        </w:tc>
      </w:tr>
      <w:tr w:rsidR="00530BA8" w:rsidRPr="00A460B1" w14:paraId="183B6761" w14:textId="77777777" w:rsidTr="00714B4B">
        <w:trPr>
          <w:trHeight w:val="780"/>
        </w:trPr>
        <w:tc>
          <w:tcPr>
            <w:cnfStyle w:val="001000000000" w:firstRow="0" w:lastRow="0" w:firstColumn="1" w:lastColumn="0" w:oddVBand="0" w:evenVBand="0" w:oddHBand="0" w:evenHBand="0" w:firstRowFirstColumn="0" w:firstRowLastColumn="0" w:lastRowFirstColumn="0" w:lastRowLastColumn="0"/>
            <w:tcW w:w="1668" w:type="dxa"/>
            <w:hideMark/>
          </w:tcPr>
          <w:p w14:paraId="1D1E1E8C" w14:textId="7688CEE4" w:rsidR="00530BA8" w:rsidRPr="00714B4B" w:rsidRDefault="00530BA8">
            <w:pPr>
              <w:rPr>
                <w:rFonts w:asciiTheme="minorHAnsi" w:hAnsiTheme="minorHAnsi"/>
                <w:b w:val="0"/>
                <w:bCs w:val="0"/>
                <w:color w:val="000000" w:themeColor="text1"/>
                <w:sz w:val="22"/>
                <w:szCs w:val="22"/>
              </w:rPr>
            </w:pPr>
            <w:r w:rsidRPr="00714B4B">
              <w:rPr>
                <w:rFonts w:asciiTheme="minorHAnsi" w:hAnsiTheme="minorHAnsi"/>
                <w:color w:val="000000" w:themeColor="text1"/>
                <w:sz w:val="22"/>
                <w:szCs w:val="22"/>
              </w:rPr>
              <w:t xml:space="preserve">Draft </w:t>
            </w:r>
            <w:r w:rsidR="00C41971" w:rsidRPr="00714B4B">
              <w:rPr>
                <w:rFonts w:asciiTheme="minorHAnsi" w:hAnsiTheme="minorHAnsi"/>
                <w:color w:val="000000" w:themeColor="text1"/>
                <w:sz w:val="22"/>
                <w:szCs w:val="22"/>
              </w:rPr>
              <w:t>report</w:t>
            </w:r>
          </w:p>
        </w:tc>
        <w:tc>
          <w:tcPr>
            <w:tcW w:w="1134" w:type="dxa"/>
            <w:hideMark/>
          </w:tcPr>
          <w:p w14:paraId="2786A2F3" w14:textId="7975E5FA" w:rsidR="00530BA8" w:rsidRPr="00714B4B" w:rsidRDefault="00530BA8" w:rsidP="004B214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28/2/13</w:t>
            </w:r>
          </w:p>
        </w:tc>
        <w:tc>
          <w:tcPr>
            <w:tcW w:w="1134" w:type="dxa"/>
            <w:hideMark/>
          </w:tcPr>
          <w:p w14:paraId="7325FFB1" w14:textId="3B04B06A" w:rsidR="00530BA8" w:rsidRPr="00714B4B" w:rsidRDefault="00530BA8" w:rsidP="004B214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4/3/13</w:t>
            </w:r>
          </w:p>
        </w:tc>
        <w:tc>
          <w:tcPr>
            <w:tcW w:w="850" w:type="dxa"/>
            <w:hideMark/>
          </w:tcPr>
          <w:p w14:paraId="13CF2B14"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5</w:t>
            </w:r>
          </w:p>
        </w:tc>
        <w:tc>
          <w:tcPr>
            <w:tcW w:w="1134" w:type="dxa"/>
            <w:hideMark/>
          </w:tcPr>
          <w:p w14:paraId="0DB468D3"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Hanoi</w:t>
            </w:r>
          </w:p>
        </w:tc>
        <w:tc>
          <w:tcPr>
            <w:tcW w:w="2727" w:type="dxa"/>
            <w:hideMark/>
          </w:tcPr>
          <w:p w14:paraId="5D260FDD" w14:textId="3DF0B171" w:rsidR="00530BA8" w:rsidRPr="00714B4B" w:rsidRDefault="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 xml:space="preserve">Draft </w:t>
            </w:r>
            <w:r w:rsidR="00C41971" w:rsidRPr="00714B4B">
              <w:rPr>
                <w:rFonts w:asciiTheme="minorHAnsi" w:hAnsiTheme="minorHAnsi"/>
                <w:color w:val="000000" w:themeColor="text1"/>
                <w:sz w:val="22"/>
                <w:szCs w:val="22"/>
              </w:rPr>
              <w:t xml:space="preserve">report </w:t>
            </w:r>
            <w:r w:rsidRPr="00714B4B">
              <w:rPr>
                <w:rFonts w:asciiTheme="minorHAnsi" w:hAnsiTheme="minorHAnsi"/>
                <w:color w:val="000000" w:themeColor="text1"/>
                <w:sz w:val="22"/>
                <w:szCs w:val="22"/>
              </w:rPr>
              <w:t>to AusAID by 4 March incorporating presentation to AusAID Canberra on 5 March</w:t>
            </w:r>
            <w:r w:rsidR="00C41971" w:rsidRPr="00714B4B">
              <w:rPr>
                <w:rFonts w:asciiTheme="minorHAnsi" w:hAnsiTheme="minorHAnsi"/>
                <w:color w:val="000000" w:themeColor="text1"/>
                <w:sz w:val="22"/>
                <w:szCs w:val="22"/>
              </w:rPr>
              <w:t>.</w:t>
            </w:r>
          </w:p>
        </w:tc>
      </w:tr>
      <w:tr w:rsidR="00530BA8" w:rsidRPr="00A460B1" w14:paraId="33CF10E0" w14:textId="77777777" w:rsidTr="00714B4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668" w:type="dxa"/>
            <w:hideMark/>
          </w:tcPr>
          <w:p w14:paraId="39F9C2C4" w14:textId="77777777" w:rsidR="00530BA8" w:rsidRPr="00714B4B" w:rsidRDefault="00530BA8" w:rsidP="00530BA8">
            <w:pPr>
              <w:rPr>
                <w:rFonts w:asciiTheme="minorHAnsi" w:hAnsiTheme="minorHAnsi"/>
                <w:i/>
                <w:iCs/>
                <w:color w:val="000000" w:themeColor="text1"/>
                <w:sz w:val="22"/>
                <w:szCs w:val="22"/>
              </w:rPr>
            </w:pPr>
            <w:r w:rsidRPr="00714B4B">
              <w:rPr>
                <w:rFonts w:asciiTheme="minorHAnsi" w:hAnsiTheme="minorHAnsi"/>
                <w:i/>
                <w:iCs/>
                <w:color w:val="000000" w:themeColor="text1"/>
                <w:sz w:val="22"/>
                <w:szCs w:val="22"/>
              </w:rPr>
              <w:t xml:space="preserve">Stakeholder </w:t>
            </w:r>
            <w:r w:rsidRPr="00714B4B">
              <w:rPr>
                <w:rFonts w:asciiTheme="minorHAnsi" w:hAnsiTheme="minorHAnsi"/>
                <w:i/>
                <w:iCs/>
                <w:color w:val="000000" w:themeColor="text1"/>
                <w:sz w:val="22"/>
                <w:szCs w:val="22"/>
              </w:rPr>
              <w:lastRenderedPageBreak/>
              <w:t>comments</w:t>
            </w:r>
          </w:p>
        </w:tc>
        <w:tc>
          <w:tcPr>
            <w:tcW w:w="1134" w:type="dxa"/>
            <w:hideMark/>
          </w:tcPr>
          <w:p w14:paraId="3DB19A77" w14:textId="55D41B35" w:rsidR="00530BA8" w:rsidRPr="00714B4B" w:rsidRDefault="00530BA8" w:rsidP="004B214E">
            <w:pPr>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000000" w:themeColor="text1"/>
                <w:sz w:val="22"/>
                <w:szCs w:val="22"/>
              </w:rPr>
            </w:pPr>
            <w:r w:rsidRPr="00714B4B">
              <w:rPr>
                <w:rFonts w:asciiTheme="minorHAnsi" w:hAnsiTheme="minorHAnsi"/>
                <w:i/>
                <w:iCs/>
                <w:color w:val="000000" w:themeColor="text1"/>
                <w:sz w:val="22"/>
                <w:szCs w:val="22"/>
              </w:rPr>
              <w:lastRenderedPageBreak/>
              <w:t>7/3/13</w:t>
            </w:r>
          </w:p>
        </w:tc>
        <w:tc>
          <w:tcPr>
            <w:tcW w:w="1134" w:type="dxa"/>
            <w:hideMark/>
          </w:tcPr>
          <w:p w14:paraId="617FA916" w14:textId="4524B451" w:rsidR="00530BA8" w:rsidRPr="00714B4B" w:rsidRDefault="00530BA8" w:rsidP="004B214E">
            <w:pPr>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000000" w:themeColor="text1"/>
                <w:sz w:val="22"/>
                <w:szCs w:val="22"/>
              </w:rPr>
            </w:pPr>
            <w:r w:rsidRPr="00714B4B">
              <w:rPr>
                <w:rFonts w:asciiTheme="minorHAnsi" w:hAnsiTheme="minorHAnsi"/>
                <w:i/>
                <w:iCs/>
                <w:color w:val="000000" w:themeColor="text1"/>
                <w:sz w:val="22"/>
                <w:szCs w:val="22"/>
              </w:rPr>
              <w:t>20/3/13</w:t>
            </w:r>
          </w:p>
        </w:tc>
        <w:tc>
          <w:tcPr>
            <w:tcW w:w="850" w:type="dxa"/>
            <w:hideMark/>
          </w:tcPr>
          <w:p w14:paraId="7986935F"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000000" w:themeColor="text1"/>
                <w:sz w:val="22"/>
                <w:szCs w:val="22"/>
              </w:rPr>
            </w:pPr>
          </w:p>
        </w:tc>
        <w:tc>
          <w:tcPr>
            <w:tcW w:w="1134" w:type="dxa"/>
            <w:hideMark/>
          </w:tcPr>
          <w:p w14:paraId="3AD0904F"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r w:rsidRPr="00714B4B">
              <w:rPr>
                <w:rFonts w:asciiTheme="minorHAnsi" w:hAnsiTheme="minorHAnsi"/>
                <w:iCs/>
                <w:color w:val="000000" w:themeColor="text1"/>
                <w:sz w:val="22"/>
                <w:szCs w:val="22"/>
              </w:rPr>
              <w:t>Hanoi</w:t>
            </w:r>
          </w:p>
        </w:tc>
        <w:tc>
          <w:tcPr>
            <w:tcW w:w="2727" w:type="dxa"/>
            <w:hideMark/>
          </w:tcPr>
          <w:p w14:paraId="6E3CF6A5" w14:textId="472773F9"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i/>
                <w:iCs/>
                <w:color w:val="000000" w:themeColor="text1"/>
                <w:sz w:val="22"/>
                <w:szCs w:val="22"/>
              </w:rPr>
            </w:pPr>
            <w:r w:rsidRPr="00714B4B">
              <w:rPr>
                <w:rFonts w:asciiTheme="minorHAnsi" w:hAnsiTheme="minorHAnsi"/>
                <w:i/>
                <w:iCs/>
                <w:color w:val="000000" w:themeColor="text1"/>
                <w:sz w:val="22"/>
                <w:szCs w:val="22"/>
              </w:rPr>
              <w:t xml:space="preserve">Comments to </w:t>
            </w:r>
            <w:r w:rsidR="00C41971" w:rsidRPr="00714B4B">
              <w:rPr>
                <w:rFonts w:asciiTheme="minorHAnsi" w:hAnsiTheme="minorHAnsi"/>
                <w:i/>
                <w:iCs/>
                <w:color w:val="000000" w:themeColor="text1"/>
                <w:sz w:val="22"/>
                <w:szCs w:val="22"/>
              </w:rPr>
              <w:t xml:space="preserve">team leader </w:t>
            </w:r>
            <w:r w:rsidRPr="00714B4B">
              <w:rPr>
                <w:rFonts w:asciiTheme="minorHAnsi" w:hAnsiTheme="minorHAnsi"/>
                <w:i/>
                <w:iCs/>
                <w:color w:val="000000" w:themeColor="text1"/>
                <w:sz w:val="22"/>
                <w:szCs w:val="22"/>
              </w:rPr>
              <w:lastRenderedPageBreak/>
              <w:t>by 20 March</w:t>
            </w:r>
            <w:r w:rsidR="00C41971" w:rsidRPr="00714B4B">
              <w:rPr>
                <w:rFonts w:asciiTheme="minorHAnsi" w:hAnsiTheme="minorHAnsi"/>
                <w:i/>
                <w:iCs/>
                <w:color w:val="000000" w:themeColor="text1"/>
                <w:sz w:val="22"/>
                <w:szCs w:val="22"/>
              </w:rPr>
              <w:t>.</w:t>
            </w:r>
          </w:p>
        </w:tc>
      </w:tr>
      <w:tr w:rsidR="00530BA8" w:rsidRPr="00A460B1" w14:paraId="07198E36" w14:textId="77777777" w:rsidTr="00714B4B">
        <w:trPr>
          <w:trHeight w:val="520"/>
        </w:trPr>
        <w:tc>
          <w:tcPr>
            <w:cnfStyle w:val="001000000000" w:firstRow="0" w:lastRow="0" w:firstColumn="1" w:lastColumn="0" w:oddVBand="0" w:evenVBand="0" w:oddHBand="0" w:evenHBand="0" w:firstRowFirstColumn="0" w:firstRowLastColumn="0" w:lastRowFirstColumn="0" w:lastRowLastColumn="0"/>
            <w:tcW w:w="1668" w:type="dxa"/>
            <w:hideMark/>
          </w:tcPr>
          <w:p w14:paraId="29C741CF" w14:textId="59820773" w:rsidR="00530BA8" w:rsidRPr="00714B4B" w:rsidRDefault="00530BA8">
            <w:pPr>
              <w:rPr>
                <w:rFonts w:asciiTheme="minorHAnsi" w:hAnsiTheme="minorHAnsi"/>
                <w:b w:val="0"/>
                <w:bCs w:val="0"/>
                <w:color w:val="000000" w:themeColor="text1"/>
                <w:sz w:val="22"/>
                <w:szCs w:val="22"/>
              </w:rPr>
            </w:pPr>
            <w:r w:rsidRPr="00714B4B">
              <w:rPr>
                <w:rFonts w:asciiTheme="minorHAnsi" w:hAnsiTheme="minorHAnsi"/>
                <w:color w:val="000000" w:themeColor="text1"/>
                <w:sz w:val="22"/>
                <w:szCs w:val="22"/>
              </w:rPr>
              <w:lastRenderedPageBreak/>
              <w:t xml:space="preserve">Revise </w:t>
            </w:r>
            <w:r w:rsidR="00C41971" w:rsidRPr="00714B4B">
              <w:rPr>
                <w:rFonts w:asciiTheme="minorHAnsi" w:hAnsiTheme="minorHAnsi"/>
                <w:color w:val="000000" w:themeColor="text1"/>
                <w:sz w:val="22"/>
                <w:szCs w:val="22"/>
              </w:rPr>
              <w:t>draft report</w:t>
            </w:r>
          </w:p>
        </w:tc>
        <w:tc>
          <w:tcPr>
            <w:tcW w:w="1134" w:type="dxa"/>
            <w:hideMark/>
          </w:tcPr>
          <w:p w14:paraId="5C347345" w14:textId="6C64A509" w:rsidR="00530BA8" w:rsidRPr="00714B4B" w:rsidRDefault="00530BA8" w:rsidP="004B214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26/3/13</w:t>
            </w:r>
          </w:p>
        </w:tc>
        <w:tc>
          <w:tcPr>
            <w:tcW w:w="1134" w:type="dxa"/>
            <w:hideMark/>
          </w:tcPr>
          <w:p w14:paraId="63370C6F" w14:textId="6C1C3770" w:rsidR="00530BA8" w:rsidRPr="00714B4B" w:rsidRDefault="00530BA8" w:rsidP="004B214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27/3/13</w:t>
            </w:r>
          </w:p>
        </w:tc>
        <w:tc>
          <w:tcPr>
            <w:tcW w:w="850" w:type="dxa"/>
            <w:hideMark/>
          </w:tcPr>
          <w:p w14:paraId="51E4ED84"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w:t>
            </w:r>
          </w:p>
        </w:tc>
        <w:tc>
          <w:tcPr>
            <w:tcW w:w="1134" w:type="dxa"/>
            <w:hideMark/>
          </w:tcPr>
          <w:p w14:paraId="5678D012"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c>
          <w:tcPr>
            <w:tcW w:w="2727" w:type="dxa"/>
            <w:hideMark/>
          </w:tcPr>
          <w:p w14:paraId="73D32AB0" w14:textId="16F9B26F"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 xml:space="preserve">Revised </w:t>
            </w:r>
            <w:r w:rsidR="00C41971" w:rsidRPr="00714B4B">
              <w:rPr>
                <w:rFonts w:asciiTheme="minorHAnsi" w:hAnsiTheme="minorHAnsi"/>
                <w:color w:val="000000" w:themeColor="text1"/>
                <w:sz w:val="22"/>
                <w:szCs w:val="22"/>
              </w:rPr>
              <w:t xml:space="preserve">draft report </w:t>
            </w:r>
            <w:r w:rsidRPr="00714B4B">
              <w:rPr>
                <w:rFonts w:asciiTheme="minorHAnsi" w:hAnsiTheme="minorHAnsi"/>
                <w:color w:val="000000" w:themeColor="text1"/>
                <w:sz w:val="22"/>
                <w:szCs w:val="22"/>
              </w:rPr>
              <w:t>to AusAID by 28 March</w:t>
            </w:r>
            <w:r w:rsidR="00C41971" w:rsidRPr="00714B4B">
              <w:rPr>
                <w:rFonts w:asciiTheme="minorHAnsi" w:hAnsiTheme="minorHAnsi"/>
                <w:color w:val="000000" w:themeColor="text1"/>
                <w:sz w:val="22"/>
                <w:szCs w:val="22"/>
              </w:rPr>
              <w:t>.</w:t>
            </w:r>
          </w:p>
        </w:tc>
      </w:tr>
      <w:tr w:rsidR="00530BA8" w:rsidRPr="00A460B1" w14:paraId="2E2AF92C" w14:textId="77777777" w:rsidTr="00714B4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668" w:type="dxa"/>
            <w:hideMark/>
          </w:tcPr>
          <w:p w14:paraId="7A717339" w14:textId="1E732A99" w:rsidR="00530BA8" w:rsidRPr="00714B4B" w:rsidRDefault="00530BA8">
            <w:pPr>
              <w:rPr>
                <w:rFonts w:asciiTheme="minorHAnsi" w:hAnsiTheme="minorHAnsi"/>
                <w:b w:val="0"/>
                <w:bCs w:val="0"/>
                <w:iCs/>
                <w:color w:val="000000" w:themeColor="text1"/>
                <w:sz w:val="22"/>
                <w:szCs w:val="22"/>
              </w:rPr>
            </w:pPr>
            <w:r w:rsidRPr="00714B4B">
              <w:rPr>
                <w:rFonts w:asciiTheme="minorHAnsi" w:hAnsiTheme="minorHAnsi"/>
                <w:iCs/>
                <w:color w:val="000000" w:themeColor="text1"/>
                <w:sz w:val="22"/>
                <w:szCs w:val="22"/>
              </w:rPr>
              <w:t xml:space="preserve">Independent </w:t>
            </w:r>
            <w:r w:rsidR="00C41971" w:rsidRPr="00714B4B">
              <w:rPr>
                <w:rFonts w:asciiTheme="minorHAnsi" w:hAnsiTheme="minorHAnsi"/>
                <w:iCs/>
                <w:color w:val="000000" w:themeColor="text1"/>
                <w:sz w:val="22"/>
                <w:szCs w:val="22"/>
              </w:rPr>
              <w:t xml:space="preserve">peer review </w:t>
            </w:r>
          </w:p>
        </w:tc>
        <w:tc>
          <w:tcPr>
            <w:tcW w:w="1134" w:type="dxa"/>
            <w:hideMark/>
          </w:tcPr>
          <w:p w14:paraId="6D5E4817"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p>
        </w:tc>
        <w:tc>
          <w:tcPr>
            <w:tcW w:w="1134" w:type="dxa"/>
            <w:hideMark/>
          </w:tcPr>
          <w:p w14:paraId="55009A42" w14:textId="4335EE39" w:rsidR="00530BA8" w:rsidRPr="00714B4B" w:rsidRDefault="00530BA8" w:rsidP="004B214E">
            <w:pPr>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r w:rsidRPr="00714B4B">
              <w:rPr>
                <w:rFonts w:asciiTheme="minorHAnsi" w:hAnsiTheme="minorHAnsi"/>
                <w:iCs/>
                <w:color w:val="000000" w:themeColor="text1"/>
                <w:sz w:val="22"/>
                <w:szCs w:val="22"/>
              </w:rPr>
              <w:t>15/4/13</w:t>
            </w:r>
          </w:p>
        </w:tc>
        <w:tc>
          <w:tcPr>
            <w:tcW w:w="850" w:type="dxa"/>
            <w:hideMark/>
          </w:tcPr>
          <w:p w14:paraId="132AB237"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p>
        </w:tc>
        <w:tc>
          <w:tcPr>
            <w:tcW w:w="1134" w:type="dxa"/>
            <w:hideMark/>
          </w:tcPr>
          <w:p w14:paraId="6803B275"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p>
        </w:tc>
        <w:tc>
          <w:tcPr>
            <w:tcW w:w="2727" w:type="dxa"/>
            <w:hideMark/>
          </w:tcPr>
          <w:p w14:paraId="70E22178" w14:textId="77777777" w:rsidR="00530BA8" w:rsidRPr="00714B4B" w:rsidRDefault="00530BA8" w:rsidP="00530BA8">
            <w:pPr>
              <w:cnfStyle w:val="000000100000" w:firstRow="0" w:lastRow="0" w:firstColumn="0" w:lastColumn="0" w:oddVBand="0" w:evenVBand="0" w:oddHBand="1" w:evenHBand="0" w:firstRowFirstColumn="0" w:firstRowLastColumn="0" w:lastRowFirstColumn="0" w:lastRowLastColumn="0"/>
              <w:rPr>
                <w:rFonts w:asciiTheme="minorHAnsi" w:hAnsiTheme="minorHAnsi"/>
                <w:iCs/>
                <w:color w:val="000000" w:themeColor="text1"/>
                <w:sz w:val="22"/>
                <w:szCs w:val="22"/>
              </w:rPr>
            </w:pPr>
          </w:p>
        </w:tc>
      </w:tr>
      <w:tr w:rsidR="00530BA8" w:rsidRPr="00A460B1" w14:paraId="719FB2E7" w14:textId="77777777" w:rsidTr="00714B4B">
        <w:trPr>
          <w:trHeight w:val="520"/>
        </w:trPr>
        <w:tc>
          <w:tcPr>
            <w:cnfStyle w:val="001000000000" w:firstRow="0" w:lastRow="0" w:firstColumn="1" w:lastColumn="0" w:oddVBand="0" w:evenVBand="0" w:oddHBand="0" w:evenHBand="0" w:firstRowFirstColumn="0" w:firstRowLastColumn="0" w:lastRowFirstColumn="0" w:lastRowLastColumn="0"/>
            <w:tcW w:w="1668" w:type="dxa"/>
            <w:hideMark/>
          </w:tcPr>
          <w:p w14:paraId="41A5DB23" w14:textId="0700D4DB" w:rsidR="00530BA8" w:rsidRPr="00714B4B" w:rsidRDefault="00530BA8" w:rsidP="00530BA8">
            <w:pPr>
              <w:rPr>
                <w:rFonts w:asciiTheme="minorHAnsi" w:hAnsiTheme="minorHAnsi"/>
                <w:color w:val="000000" w:themeColor="text1"/>
                <w:sz w:val="22"/>
                <w:szCs w:val="22"/>
              </w:rPr>
            </w:pPr>
            <w:r w:rsidRPr="00714B4B">
              <w:rPr>
                <w:rFonts w:asciiTheme="minorHAnsi" w:hAnsiTheme="minorHAnsi"/>
                <w:color w:val="000000" w:themeColor="text1"/>
                <w:sz w:val="22"/>
                <w:szCs w:val="22"/>
              </w:rPr>
              <w:t>Finali</w:t>
            </w:r>
            <w:r w:rsidR="00465C26" w:rsidRPr="00714B4B">
              <w:rPr>
                <w:rFonts w:asciiTheme="minorHAnsi" w:hAnsiTheme="minorHAnsi"/>
                <w:color w:val="000000" w:themeColor="text1"/>
                <w:sz w:val="22"/>
                <w:szCs w:val="22"/>
              </w:rPr>
              <w:t>s</w:t>
            </w:r>
            <w:r w:rsidRPr="00714B4B">
              <w:rPr>
                <w:rFonts w:asciiTheme="minorHAnsi" w:hAnsiTheme="minorHAnsi"/>
                <w:color w:val="000000" w:themeColor="text1"/>
                <w:sz w:val="22"/>
                <w:szCs w:val="22"/>
              </w:rPr>
              <w:t>e report</w:t>
            </w:r>
          </w:p>
        </w:tc>
        <w:tc>
          <w:tcPr>
            <w:tcW w:w="1134" w:type="dxa"/>
            <w:hideMark/>
          </w:tcPr>
          <w:p w14:paraId="12D49281" w14:textId="45F2885C" w:rsidR="00530BA8" w:rsidRPr="00714B4B" w:rsidRDefault="00530BA8" w:rsidP="004B214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24/4/13</w:t>
            </w:r>
          </w:p>
        </w:tc>
        <w:tc>
          <w:tcPr>
            <w:tcW w:w="1134" w:type="dxa"/>
            <w:hideMark/>
          </w:tcPr>
          <w:p w14:paraId="0005089A" w14:textId="0466111C" w:rsidR="00530BA8" w:rsidRPr="00714B4B" w:rsidRDefault="00530BA8" w:rsidP="004B214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25/4/13</w:t>
            </w:r>
          </w:p>
        </w:tc>
        <w:tc>
          <w:tcPr>
            <w:tcW w:w="850" w:type="dxa"/>
            <w:hideMark/>
          </w:tcPr>
          <w:p w14:paraId="5C27B617"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2</w:t>
            </w:r>
          </w:p>
        </w:tc>
        <w:tc>
          <w:tcPr>
            <w:tcW w:w="1134" w:type="dxa"/>
            <w:hideMark/>
          </w:tcPr>
          <w:p w14:paraId="7A816865" w14:textId="77777777" w:rsidR="00530BA8" w:rsidRPr="00714B4B" w:rsidRDefault="00530BA8" w:rsidP="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Hanoi</w:t>
            </w:r>
          </w:p>
        </w:tc>
        <w:tc>
          <w:tcPr>
            <w:tcW w:w="2727" w:type="dxa"/>
            <w:hideMark/>
          </w:tcPr>
          <w:p w14:paraId="518EE2CD" w14:textId="5AAB10EC" w:rsidR="00530BA8" w:rsidRPr="00714B4B" w:rsidRDefault="00530BA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r w:rsidRPr="00714B4B">
              <w:rPr>
                <w:rFonts w:asciiTheme="minorHAnsi" w:hAnsiTheme="minorHAnsi"/>
                <w:color w:val="000000" w:themeColor="text1"/>
                <w:sz w:val="22"/>
                <w:szCs w:val="22"/>
              </w:rPr>
              <w:t xml:space="preserve">Final </w:t>
            </w:r>
            <w:r w:rsidR="00C41971" w:rsidRPr="00714B4B">
              <w:rPr>
                <w:rFonts w:asciiTheme="minorHAnsi" w:hAnsiTheme="minorHAnsi"/>
                <w:color w:val="000000" w:themeColor="text1"/>
                <w:sz w:val="22"/>
                <w:szCs w:val="22"/>
              </w:rPr>
              <w:t xml:space="preserve">independent progress report </w:t>
            </w:r>
            <w:r w:rsidRPr="00714B4B">
              <w:rPr>
                <w:rFonts w:asciiTheme="minorHAnsi" w:hAnsiTheme="minorHAnsi"/>
                <w:color w:val="000000" w:themeColor="text1"/>
                <w:sz w:val="22"/>
                <w:szCs w:val="22"/>
              </w:rPr>
              <w:t>to AusAID by 26 April 2013</w:t>
            </w:r>
            <w:r w:rsidR="00C41971" w:rsidRPr="00714B4B">
              <w:rPr>
                <w:rFonts w:asciiTheme="minorHAnsi" w:hAnsiTheme="minorHAnsi"/>
                <w:color w:val="000000" w:themeColor="text1"/>
                <w:sz w:val="22"/>
                <w:szCs w:val="22"/>
              </w:rPr>
              <w:t>.</w:t>
            </w:r>
          </w:p>
        </w:tc>
      </w:tr>
    </w:tbl>
    <w:p w14:paraId="169F3F5B" w14:textId="77777777" w:rsidR="00530BA8" w:rsidRDefault="00530BA8" w:rsidP="00530BA8"/>
    <w:p w14:paraId="764E4E36" w14:textId="77777777" w:rsidR="00530BA8" w:rsidRDefault="00530BA8" w:rsidP="00530BA8">
      <w:pPr>
        <w:pStyle w:val="Heading1"/>
        <w:sectPr w:rsidR="00530BA8" w:rsidSect="00712646">
          <w:pgSz w:w="11900" w:h="16840"/>
          <w:pgMar w:top="1440" w:right="1800" w:bottom="1440" w:left="1800" w:header="708" w:footer="708" w:gutter="0"/>
          <w:cols w:space="708"/>
          <w:docGrid w:linePitch="360"/>
        </w:sectPr>
      </w:pPr>
      <w:bookmarkStart w:id="24" w:name="_Toc219952460"/>
    </w:p>
    <w:p w14:paraId="351B6AC0" w14:textId="19D1B87A" w:rsidR="00530BA8" w:rsidRDefault="00530BA8" w:rsidP="00530BA8">
      <w:pPr>
        <w:pStyle w:val="Heading3"/>
      </w:pPr>
      <w:r>
        <w:lastRenderedPageBreak/>
        <w:t>Annex A.</w:t>
      </w:r>
      <w:r w:rsidR="005856D4">
        <w:t xml:space="preserve"> </w:t>
      </w:r>
      <w:r>
        <w:t xml:space="preserve">Proposed </w:t>
      </w:r>
      <w:r w:rsidR="003943B9">
        <w:t xml:space="preserve">questions </w:t>
      </w:r>
      <w:r>
        <w:t xml:space="preserve">for </w:t>
      </w:r>
      <w:bookmarkEnd w:id="24"/>
      <w:r w:rsidR="005258CE">
        <w:t>independent progress report t</w:t>
      </w:r>
      <w:r>
        <w:t xml:space="preserve">eam </w:t>
      </w:r>
    </w:p>
    <w:p w14:paraId="77DB0869" w14:textId="1D9EF19F" w:rsidR="00530BA8" w:rsidRDefault="00530BA8" w:rsidP="00530BA8">
      <w:pPr>
        <w:pStyle w:val="Heading2"/>
      </w:pPr>
      <w:bookmarkStart w:id="25" w:name="_Toc219952461"/>
      <w:r>
        <w:t xml:space="preserve">Evaluation </w:t>
      </w:r>
      <w:bookmarkEnd w:id="25"/>
      <w:r w:rsidR="005258CE">
        <w:t>criteria</w:t>
      </w:r>
    </w:p>
    <w:p w14:paraId="28DE9AFC" w14:textId="77777777" w:rsidR="00530BA8" w:rsidRPr="00A460B1" w:rsidRDefault="00530BA8" w:rsidP="00530BA8">
      <w:pPr>
        <w:pStyle w:val="Heading3"/>
        <w:rPr>
          <w:b w:val="0"/>
        </w:rPr>
      </w:pPr>
      <w:bookmarkStart w:id="26" w:name="_Toc219952462"/>
      <w:r w:rsidRPr="00A460B1">
        <w:rPr>
          <w:b w:val="0"/>
        </w:rPr>
        <w:t>Relevance</w:t>
      </w:r>
      <w:bookmarkEnd w:id="26"/>
    </w:p>
    <w:p w14:paraId="7EEC6C51" w14:textId="75A8174E" w:rsidR="00530BA8" w:rsidRPr="00A460B1" w:rsidRDefault="00530BA8" w:rsidP="00530BA8">
      <w:pPr>
        <w:pStyle w:val="bullet"/>
        <w:keepNext w:val="0"/>
        <w:keepLines w:val="0"/>
        <w:numPr>
          <w:ilvl w:val="0"/>
          <w:numId w:val="72"/>
        </w:numPr>
        <w:spacing w:before="0"/>
        <w:outlineLvl w:val="9"/>
        <w:rPr>
          <w:b w:val="0"/>
        </w:rPr>
      </w:pPr>
      <w:r w:rsidRPr="00A460B1">
        <w:rPr>
          <w:b w:val="0"/>
        </w:rPr>
        <w:t xml:space="preserve">Are the objectives relevant to Australian Government and partner (ASEAN and </w:t>
      </w:r>
      <w:r w:rsidR="00FA23AA">
        <w:rPr>
          <w:b w:val="0"/>
        </w:rPr>
        <w:t xml:space="preserve">ASEAN </w:t>
      </w:r>
      <w:r w:rsidR="005258CE">
        <w:rPr>
          <w:b w:val="0"/>
        </w:rPr>
        <w:t>Secretariat</w:t>
      </w:r>
      <w:r w:rsidRPr="00A460B1">
        <w:rPr>
          <w:b w:val="0"/>
        </w:rPr>
        <w:t>) priorities?</w:t>
      </w:r>
    </w:p>
    <w:p w14:paraId="4F045729"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If not, what changes should be made to ensure relevance?</w:t>
      </w:r>
    </w:p>
    <w:p w14:paraId="7490A3EC"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Are the objectives relevant to the context and needs of beneficiaries?</w:t>
      </w:r>
    </w:p>
    <w:p w14:paraId="6BED8161"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If not, what changes need to be made to the activity or its objectives to ensure continued relevance to the needs of beneficiaries?</w:t>
      </w:r>
    </w:p>
    <w:p w14:paraId="11894EC4" w14:textId="03C800FB" w:rsidR="00530BA8" w:rsidRPr="00A460B1" w:rsidRDefault="00530BA8" w:rsidP="00530BA8">
      <w:pPr>
        <w:pStyle w:val="bullet"/>
        <w:keepNext w:val="0"/>
        <w:keepLines w:val="0"/>
        <w:numPr>
          <w:ilvl w:val="0"/>
          <w:numId w:val="72"/>
        </w:numPr>
        <w:spacing w:before="0"/>
        <w:outlineLvl w:val="9"/>
        <w:rPr>
          <w:b w:val="0"/>
        </w:rPr>
      </w:pPr>
      <w:r w:rsidRPr="00A460B1">
        <w:rPr>
          <w:b w:val="0"/>
        </w:rPr>
        <w:t>Were the institutional arrangements for prioriti</w:t>
      </w:r>
      <w:r w:rsidR="00465C26">
        <w:rPr>
          <w:b w:val="0"/>
        </w:rPr>
        <w:t>s</w:t>
      </w:r>
      <w:r w:rsidRPr="00A460B1">
        <w:rPr>
          <w:b w:val="0"/>
        </w:rPr>
        <w:t xml:space="preserve">ation and implementation relevant to the way </w:t>
      </w:r>
      <w:r w:rsidR="005258CE">
        <w:rPr>
          <w:b w:val="0"/>
        </w:rPr>
        <w:t xml:space="preserve">the </w:t>
      </w:r>
      <w:r w:rsidR="00FA23AA">
        <w:rPr>
          <w:b w:val="0"/>
        </w:rPr>
        <w:t xml:space="preserve">ASEAN </w:t>
      </w:r>
      <w:r w:rsidR="005258CE">
        <w:rPr>
          <w:b w:val="0"/>
        </w:rPr>
        <w:t xml:space="preserve">Secretariat </w:t>
      </w:r>
      <w:r w:rsidRPr="00A460B1">
        <w:rPr>
          <w:b w:val="0"/>
        </w:rPr>
        <w:t>operates?</w:t>
      </w:r>
    </w:p>
    <w:p w14:paraId="5B9F77AA"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Was adequate account taken in the design of the different capacity of ASEAN members?</w:t>
      </w:r>
    </w:p>
    <w:p w14:paraId="0FBE9305" w14:textId="5D33DC84" w:rsidR="00530BA8" w:rsidRPr="00A460B1" w:rsidRDefault="00530BA8" w:rsidP="00530BA8">
      <w:pPr>
        <w:pStyle w:val="bullet"/>
        <w:keepNext w:val="0"/>
        <w:keepLines w:val="0"/>
        <w:numPr>
          <w:ilvl w:val="0"/>
          <w:numId w:val="72"/>
        </w:numPr>
        <w:spacing w:before="0"/>
        <w:outlineLvl w:val="9"/>
        <w:rPr>
          <w:b w:val="0"/>
        </w:rPr>
      </w:pPr>
      <w:r w:rsidRPr="00A460B1">
        <w:rPr>
          <w:b w:val="0"/>
        </w:rPr>
        <w:t xml:space="preserve">Did the design adequately reflect lessons learned from AusAID support to </w:t>
      </w:r>
      <w:r w:rsidR="005258CE" w:rsidRPr="005258CE">
        <w:rPr>
          <w:b w:val="0"/>
          <w:lang w:val="en-AU"/>
        </w:rPr>
        <w:t>ASEAN</w:t>
      </w:r>
      <w:r w:rsidR="00577E2A">
        <w:rPr>
          <w:b w:val="0"/>
          <w:lang w:val="en-AU"/>
        </w:rPr>
        <w:t xml:space="preserve"> </w:t>
      </w:r>
      <w:r w:rsidR="005258CE" w:rsidRPr="005258CE">
        <w:rPr>
          <w:b w:val="0"/>
          <w:lang w:val="en-AU"/>
        </w:rPr>
        <w:t>Australia Development Cooperation Pro</w:t>
      </w:r>
      <w:r w:rsidR="00577E2A">
        <w:rPr>
          <w:b w:val="0"/>
          <w:lang w:val="en-AU"/>
        </w:rPr>
        <w:t xml:space="preserve">gram: Phase II </w:t>
      </w:r>
      <w:r w:rsidRPr="00A460B1">
        <w:rPr>
          <w:b w:val="0"/>
        </w:rPr>
        <w:t xml:space="preserve">and other donor support to </w:t>
      </w:r>
      <w:r w:rsidR="005258CE">
        <w:rPr>
          <w:b w:val="0"/>
        </w:rPr>
        <w:t xml:space="preserve">the </w:t>
      </w:r>
      <w:r w:rsidR="00FA23AA">
        <w:rPr>
          <w:b w:val="0"/>
        </w:rPr>
        <w:t xml:space="preserve">ASEAN </w:t>
      </w:r>
      <w:r w:rsidR="005258CE">
        <w:rPr>
          <w:b w:val="0"/>
        </w:rPr>
        <w:t>Secretariat</w:t>
      </w:r>
      <w:r w:rsidRPr="00A460B1">
        <w:rPr>
          <w:b w:val="0"/>
        </w:rPr>
        <w:t>?</w:t>
      </w:r>
    </w:p>
    <w:p w14:paraId="1D1AEDA0" w14:textId="77777777" w:rsidR="00530BA8" w:rsidRPr="00A460B1" w:rsidRDefault="00530BA8" w:rsidP="00530BA8">
      <w:pPr>
        <w:pStyle w:val="Heading3"/>
        <w:rPr>
          <w:b w:val="0"/>
        </w:rPr>
      </w:pPr>
      <w:bookmarkStart w:id="27" w:name="_Toc219952463"/>
      <w:r w:rsidRPr="00A460B1">
        <w:rPr>
          <w:b w:val="0"/>
        </w:rPr>
        <w:t>Effectiveness</w:t>
      </w:r>
      <w:bookmarkEnd w:id="27"/>
    </w:p>
    <w:p w14:paraId="2D1ADF8E"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 xml:space="preserve">Are the component objectives (see Appendix B) on track to being achieved? </w:t>
      </w:r>
    </w:p>
    <w:p w14:paraId="7AFF088C" w14:textId="16532FE8" w:rsidR="00530BA8" w:rsidRPr="00A460B1" w:rsidRDefault="00530BA8" w:rsidP="00530BA8">
      <w:pPr>
        <w:pStyle w:val="bullet"/>
        <w:keepNext w:val="0"/>
        <w:keepLines w:val="0"/>
        <w:numPr>
          <w:ilvl w:val="0"/>
          <w:numId w:val="72"/>
        </w:numPr>
        <w:spacing w:before="0"/>
        <w:outlineLvl w:val="9"/>
        <w:rPr>
          <w:b w:val="0"/>
        </w:rPr>
      </w:pPr>
      <w:r w:rsidRPr="00A460B1">
        <w:rPr>
          <w:b w:val="0"/>
        </w:rPr>
        <w:t>Please provide concrete examples of how program activities have contributed (or are expected to contribute) to achievement of each of the component objectives?</w:t>
      </w:r>
    </w:p>
    <w:p w14:paraId="24F7EB61"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If not, what changes to the program are needed to help better achieve each of the component objectives?</w:t>
      </w:r>
    </w:p>
    <w:p w14:paraId="560DC047" w14:textId="77777777" w:rsidR="00530BA8" w:rsidRPr="00A460B1" w:rsidRDefault="00530BA8" w:rsidP="00530BA8">
      <w:pPr>
        <w:pStyle w:val="Heading3"/>
        <w:rPr>
          <w:b w:val="0"/>
        </w:rPr>
      </w:pPr>
      <w:bookmarkStart w:id="28" w:name="_Toc219952464"/>
      <w:r w:rsidRPr="00A460B1">
        <w:rPr>
          <w:b w:val="0"/>
        </w:rPr>
        <w:t>Efficiency</w:t>
      </w:r>
      <w:bookmarkEnd w:id="28"/>
    </w:p>
    <w:p w14:paraId="68964E0A"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Has the implementation of the activity made effective use of time and resources to achieve the outcomes?</w:t>
      </w:r>
    </w:p>
    <w:p w14:paraId="693CC533"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Have there been any financial variations to the activity? If so, was value for money considered in making these amendments?</w:t>
      </w:r>
    </w:p>
    <w:p w14:paraId="5B66211F"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Has management of the activity been responsive to changing needs? If not, why not?</w:t>
      </w:r>
    </w:p>
    <w:p w14:paraId="78119C2B"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Has the activity suffered from delays in implementation? If so, why and what was done about it?</w:t>
      </w:r>
    </w:p>
    <w:p w14:paraId="56A10BC4"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Has the activity had sufficient and appropriate staffing resources? If not, what are the key constraints?</w:t>
      </w:r>
    </w:p>
    <w:p w14:paraId="7B4D38A3" w14:textId="0BFD84A8" w:rsidR="00530BA8" w:rsidRPr="00A460B1" w:rsidRDefault="00530BA8" w:rsidP="00530BA8">
      <w:pPr>
        <w:pStyle w:val="bullet"/>
        <w:keepNext w:val="0"/>
        <w:keepLines w:val="0"/>
        <w:numPr>
          <w:ilvl w:val="0"/>
          <w:numId w:val="72"/>
        </w:numPr>
        <w:spacing w:before="0"/>
        <w:outlineLvl w:val="9"/>
        <w:rPr>
          <w:b w:val="0"/>
        </w:rPr>
      </w:pPr>
      <w:r w:rsidRPr="00A460B1">
        <w:rPr>
          <w:b w:val="0"/>
        </w:rPr>
        <w:t xml:space="preserve">Do management arrangements provide for adequate information sharing and synergy between individual projects and components? </w:t>
      </w:r>
      <w:r w:rsidR="005258CE">
        <w:rPr>
          <w:b w:val="0"/>
        </w:rPr>
        <w:t>H</w:t>
      </w:r>
      <w:r w:rsidR="005258CE" w:rsidRPr="00A460B1">
        <w:rPr>
          <w:b w:val="0"/>
        </w:rPr>
        <w:t xml:space="preserve">ow </w:t>
      </w:r>
      <w:r w:rsidRPr="00A460B1">
        <w:rPr>
          <w:b w:val="0"/>
        </w:rPr>
        <w:t>is this knowledge stored and accessed – publicly and across stakeholders?</w:t>
      </w:r>
    </w:p>
    <w:p w14:paraId="5C82CEA2"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Was a risk management approach applied to management of the activity (including anti-corruption)?</w:t>
      </w:r>
    </w:p>
    <w:p w14:paraId="213DFBCA"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What are the risks to achievement of objectives? Have the risks been managed appropriately?</w:t>
      </w:r>
    </w:p>
    <w:p w14:paraId="61F12D2D" w14:textId="3BC6705D" w:rsidR="00530BA8" w:rsidRPr="00A460B1" w:rsidRDefault="00530BA8" w:rsidP="00530BA8">
      <w:pPr>
        <w:pStyle w:val="bullet"/>
        <w:keepNext w:val="0"/>
        <w:keepLines w:val="0"/>
        <w:numPr>
          <w:ilvl w:val="0"/>
          <w:numId w:val="72"/>
        </w:numPr>
        <w:spacing w:before="0"/>
        <w:outlineLvl w:val="9"/>
        <w:rPr>
          <w:b w:val="0"/>
        </w:rPr>
      </w:pPr>
      <w:r w:rsidRPr="00A460B1">
        <w:rPr>
          <w:b w:val="0"/>
        </w:rPr>
        <w:t>Are the governance arrangements appropriate? What changes (if any) are need</w:t>
      </w:r>
      <w:r w:rsidR="005258CE">
        <w:rPr>
          <w:b w:val="0"/>
        </w:rPr>
        <w:t>ed</w:t>
      </w:r>
      <w:r w:rsidRPr="00A460B1">
        <w:rPr>
          <w:b w:val="0"/>
        </w:rPr>
        <w:t xml:space="preserve"> to improve program governance?</w:t>
      </w:r>
    </w:p>
    <w:p w14:paraId="7C5F0B69" w14:textId="77777777" w:rsidR="00530BA8" w:rsidRPr="00A460B1" w:rsidRDefault="00530BA8" w:rsidP="00530BA8">
      <w:pPr>
        <w:pStyle w:val="Heading3"/>
        <w:rPr>
          <w:b w:val="0"/>
        </w:rPr>
      </w:pPr>
      <w:bookmarkStart w:id="29" w:name="_Toc219952465"/>
      <w:r w:rsidRPr="00A460B1">
        <w:rPr>
          <w:b w:val="0"/>
        </w:rPr>
        <w:t>Impact (if feasible)</w:t>
      </w:r>
      <w:bookmarkEnd w:id="29"/>
    </w:p>
    <w:p w14:paraId="6545A2D8" w14:textId="17D6DAE1" w:rsidR="00530BA8" w:rsidRPr="00A460B1" w:rsidRDefault="00530BA8" w:rsidP="00530BA8">
      <w:pPr>
        <w:pStyle w:val="bullet"/>
        <w:keepNext w:val="0"/>
        <w:keepLines w:val="0"/>
        <w:numPr>
          <w:ilvl w:val="0"/>
          <w:numId w:val="72"/>
        </w:numPr>
        <w:spacing w:before="0"/>
        <w:outlineLvl w:val="9"/>
        <w:rPr>
          <w:b w:val="0"/>
        </w:rPr>
      </w:pPr>
      <w:r w:rsidRPr="00A460B1">
        <w:rPr>
          <w:b w:val="0"/>
        </w:rPr>
        <w:t>Is it possible to assess whether program supported activities have produced intended or unintended changes in the lives of beneficiaries and their environment, directly or indirectly?</w:t>
      </w:r>
    </w:p>
    <w:p w14:paraId="3B85214B" w14:textId="2897A5E8" w:rsidR="00530BA8" w:rsidRPr="00A460B1" w:rsidRDefault="00530BA8" w:rsidP="00530BA8">
      <w:pPr>
        <w:pStyle w:val="bullet"/>
        <w:keepNext w:val="0"/>
        <w:keepLines w:val="0"/>
        <w:numPr>
          <w:ilvl w:val="1"/>
          <w:numId w:val="72"/>
        </w:numPr>
        <w:spacing w:before="0"/>
        <w:outlineLvl w:val="9"/>
        <w:rPr>
          <w:b w:val="0"/>
        </w:rPr>
      </w:pPr>
      <w:r w:rsidRPr="00A460B1">
        <w:rPr>
          <w:b w:val="0"/>
        </w:rPr>
        <w:t>If so, provide examples</w:t>
      </w:r>
      <w:r w:rsidR="005258CE">
        <w:rPr>
          <w:b w:val="0"/>
        </w:rPr>
        <w:t>.</w:t>
      </w:r>
    </w:p>
    <w:p w14:paraId="7D5B1881"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If not, does the program logic continue to provide a plausible link between program activities and potential development outcomes?</w:t>
      </w:r>
    </w:p>
    <w:p w14:paraId="2AC7FA09" w14:textId="7AE1935F" w:rsidR="00530BA8" w:rsidRPr="00A460B1" w:rsidRDefault="00530BA8" w:rsidP="00530BA8">
      <w:pPr>
        <w:pStyle w:val="bullet"/>
        <w:keepNext w:val="0"/>
        <w:keepLines w:val="0"/>
        <w:numPr>
          <w:ilvl w:val="0"/>
          <w:numId w:val="72"/>
        </w:numPr>
        <w:spacing w:before="0"/>
        <w:outlineLvl w:val="9"/>
        <w:rPr>
          <w:b w:val="0"/>
        </w:rPr>
      </w:pPr>
      <w:r w:rsidRPr="00A460B1">
        <w:rPr>
          <w:b w:val="0"/>
        </w:rPr>
        <w:lastRenderedPageBreak/>
        <w:t xml:space="preserve">Is it possible to provide examples of positive or negative impacts from external factors? </w:t>
      </w:r>
    </w:p>
    <w:p w14:paraId="54CFF7C5" w14:textId="77777777" w:rsidR="00530BA8" w:rsidRPr="00A460B1" w:rsidRDefault="00530BA8" w:rsidP="00530BA8">
      <w:pPr>
        <w:pStyle w:val="Heading3"/>
        <w:rPr>
          <w:b w:val="0"/>
        </w:rPr>
      </w:pPr>
      <w:bookmarkStart w:id="30" w:name="_Toc219952466"/>
      <w:r w:rsidRPr="00A460B1">
        <w:rPr>
          <w:b w:val="0"/>
        </w:rPr>
        <w:t>Sustainability</w:t>
      </w:r>
      <w:bookmarkEnd w:id="30"/>
    </w:p>
    <w:p w14:paraId="49612BDD"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Do beneficiaries and/or partner country stakeholders have sufficient ownership, capacity and resources to maintain the activity outcomes after Australian Government funding has ceased?</w:t>
      </w:r>
    </w:p>
    <w:p w14:paraId="2FDC9B52"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Are there concrete examples of where program supported activities have resulted in beyond program uptake and/or replication of activities and/or findings?</w:t>
      </w:r>
    </w:p>
    <w:p w14:paraId="3D3F710E"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How durable are program outcomes with respect to capacity building?</w:t>
      </w:r>
    </w:p>
    <w:p w14:paraId="45E0FEE0"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Are there any actions that can be taken now that will increase the likelihood that the activity will be sustainable? Are there any areas of the activity that are clearly not sustainable? What actions should be taken to address this?</w:t>
      </w:r>
    </w:p>
    <w:p w14:paraId="639EBA94" w14:textId="3ADF9D32" w:rsidR="00530BA8" w:rsidRPr="00A460B1" w:rsidRDefault="00530BA8" w:rsidP="00530BA8">
      <w:pPr>
        <w:pStyle w:val="Heading3"/>
        <w:rPr>
          <w:b w:val="0"/>
        </w:rPr>
      </w:pPr>
      <w:bookmarkStart w:id="31" w:name="_Toc219952467"/>
      <w:r w:rsidRPr="00A460B1">
        <w:rPr>
          <w:b w:val="0"/>
        </w:rPr>
        <w:t xml:space="preserve">Gender </w:t>
      </w:r>
      <w:bookmarkEnd w:id="31"/>
      <w:r w:rsidR="005258CE">
        <w:rPr>
          <w:b w:val="0"/>
        </w:rPr>
        <w:t>e</w:t>
      </w:r>
      <w:r w:rsidR="005258CE" w:rsidRPr="00A460B1">
        <w:rPr>
          <w:b w:val="0"/>
        </w:rPr>
        <w:t>quality</w:t>
      </w:r>
    </w:p>
    <w:p w14:paraId="5B68AC7C"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Is the activity promoting equal participation and benefits for women and men?</w:t>
      </w:r>
    </w:p>
    <w:p w14:paraId="59AE0064"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Is the activity promoting and targeting more equal access by women and men to the benefits of the activity, and more broadly to resources, services and skills?</w:t>
      </w:r>
    </w:p>
    <w:p w14:paraId="0351D306"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Is the activity promoting equality of decision-making between women and men?</w:t>
      </w:r>
    </w:p>
    <w:p w14:paraId="751946B9"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Is the initiative helping to promote women’s rights?</w:t>
      </w:r>
    </w:p>
    <w:p w14:paraId="65BB143A" w14:textId="4A4110DA" w:rsidR="00530BA8" w:rsidRPr="00A460B1" w:rsidRDefault="00530BA8" w:rsidP="00530BA8">
      <w:pPr>
        <w:pStyle w:val="bullet"/>
        <w:keepNext w:val="0"/>
        <w:keepLines w:val="0"/>
        <w:numPr>
          <w:ilvl w:val="1"/>
          <w:numId w:val="72"/>
        </w:numPr>
        <w:spacing w:before="0"/>
        <w:outlineLvl w:val="9"/>
        <w:rPr>
          <w:b w:val="0"/>
        </w:rPr>
      </w:pPr>
      <w:r w:rsidRPr="00A460B1">
        <w:rPr>
          <w:b w:val="0"/>
        </w:rPr>
        <w:t>Is the initiative helping to develop capacity (donors, partner government, civil society, etc</w:t>
      </w:r>
      <w:r w:rsidR="00AE2D46">
        <w:rPr>
          <w:b w:val="0"/>
        </w:rPr>
        <w:t>.</w:t>
      </w:r>
      <w:r w:rsidRPr="00A460B1">
        <w:rPr>
          <w:b w:val="0"/>
        </w:rPr>
        <w:t>) to understand and promote gender equality?</w:t>
      </w:r>
    </w:p>
    <w:p w14:paraId="5503F0ED" w14:textId="2F9E6068" w:rsidR="00530BA8" w:rsidRPr="00A460B1" w:rsidRDefault="00530BA8" w:rsidP="00530BA8">
      <w:pPr>
        <w:pStyle w:val="Heading3"/>
        <w:rPr>
          <w:b w:val="0"/>
        </w:rPr>
      </w:pPr>
      <w:bookmarkStart w:id="32" w:name="_Toc219952468"/>
      <w:r w:rsidRPr="00A460B1">
        <w:rPr>
          <w:b w:val="0"/>
        </w:rPr>
        <w:t xml:space="preserve">Monitoring and </w:t>
      </w:r>
      <w:bookmarkEnd w:id="32"/>
      <w:r w:rsidR="005258CE">
        <w:rPr>
          <w:b w:val="0"/>
        </w:rPr>
        <w:t>e</w:t>
      </w:r>
      <w:r w:rsidR="005258CE" w:rsidRPr="00A460B1">
        <w:rPr>
          <w:b w:val="0"/>
        </w:rPr>
        <w:t>valuation</w:t>
      </w:r>
    </w:p>
    <w:p w14:paraId="133E979B"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Does evidence exist to show that objectives are on track to being achieved?</w:t>
      </w:r>
    </w:p>
    <w:p w14:paraId="634AD12D" w14:textId="69E53611" w:rsidR="00530BA8" w:rsidRPr="00A460B1" w:rsidRDefault="00530BA8" w:rsidP="00530BA8">
      <w:pPr>
        <w:pStyle w:val="bullet"/>
        <w:keepNext w:val="0"/>
        <w:keepLines w:val="0"/>
        <w:numPr>
          <w:ilvl w:val="0"/>
          <w:numId w:val="72"/>
        </w:numPr>
        <w:spacing w:before="0"/>
        <w:outlineLvl w:val="9"/>
        <w:rPr>
          <w:b w:val="0"/>
        </w:rPr>
      </w:pPr>
      <w:r w:rsidRPr="00A460B1">
        <w:rPr>
          <w:b w:val="0"/>
        </w:rPr>
        <w:t xml:space="preserve">Is the </w:t>
      </w:r>
      <w:r w:rsidR="001827E7">
        <w:rPr>
          <w:b w:val="0"/>
        </w:rPr>
        <w:t>monitoring and evaluation</w:t>
      </w:r>
      <w:r w:rsidRPr="00A460B1">
        <w:rPr>
          <w:b w:val="0"/>
        </w:rPr>
        <w:t xml:space="preserve"> system collecting the right information to allow judgment to be made about meeting objectives and sustainability at the next evaluation point?</w:t>
      </w:r>
    </w:p>
    <w:p w14:paraId="48478A35"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Is data gender-disaggregated to measure the outcomes of the activity on men and women?</w:t>
      </w:r>
    </w:p>
    <w:p w14:paraId="7B8DEB71" w14:textId="19582489" w:rsidR="00530BA8" w:rsidRPr="00A460B1" w:rsidRDefault="00530BA8" w:rsidP="00530BA8">
      <w:pPr>
        <w:pStyle w:val="bullet"/>
        <w:keepNext w:val="0"/>
        <w:keepLines w:val="0"/>
        <w:numPr>
          <w:ilvl w:val="0"/>
          <w:numId w:val="72"/>
        </w:numPr>
        <w:spacing w:before="0"/>
        <w:outlineLvl w:val="9"/>
        <w:rPr>
          <w:b w:val="0"/>
        </w:rPr>
      </w:pPr>
      <w:r w:rsidRPr="00A460B1">
        <w:rPr>
          <w:b w:val="0"/>
        </w:rPr>
        <w:t xml:space="preserve">Is the </w:t>
      </w:r>
      <w:r w:rsidR="001827E7">
        <w:rPr>
          <w:b w:val="0"/>
        </w:rPr>
        <w:t>monitoring and evaluation</w:t>
      </w:r>
      <w:r w:rsidRPr="00A460B1">
        <w:rPr>
          <w:b w:val="0"/>
        </w:rPr>
        <w:t xml:space="preserve"> system collecting useful information on cross-cutting issues?</w:t>
      </w:r>
    </w:p>
    <w:p w14:paraId="0E8E463D" w14:textId="3D422C90" w:rsidR="00530BA8" w:rsidRPr="00A460B1" w:rsidRDefault="00530BA8" w:rsidP="00530BA8">
      <w:pPr>
        <w:pStyle w:val="Heading3"/>
        <w:rPr>
          <w:b w:val="0"/>
        </w:rPr>
      </w:pPr>
      <w:bookmarkStart w:id="33" w:name="_Toc219952469"/>
      <w:r w:rsidRPr="00A460B1">
        <w:rPr>
          <w:b w:val="0"/>
        </w:rPr>
        <w:t xml:space="preserve">Analysis </w:t>
      </w:r>
      <w:r w:rsidR="005258CE">
        <w:rPr>
          <w:b w:val="0"/>
        </w:rPr>
        <w:t>and</w:t>
      </w:r>
      <w:r w:rsidR="005258CE" w:rsidRPr="00A460B1">
        <w:rPr>
          <w:b w:val="0"/>
        </w:rPr>
        <w:t xml:space="preserve"> </w:t>
      </w:r>
      <w:bookmarkEnd w:id="33"/>
      <w:r w:rsidR="005258CE">
        <w:rPr>
          <w:b w:val="0"/>
        </w:rPr>
        <w:t>l</w:t>
      </w:r>
      <w:r w:rsidR="005258CE" w:rsidRPr="00A460B1">
        <w:rPr>
          <w:b w:val="0"/>
        </w:rPr>
        <w:t>earning</w:t>
      </w:r>
    </w:p>
    <w:p w14:paraId="03295321"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How well was the design based on previous learning and analysis?</w:t>
      </w:r>
    </w:p>
    <w:p w14:paraId="6366B89B"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How well has learning from implementation and previous reviews (self-assessment and independent) been integrated into the activity?</w:t>
      </w:r>
    </w:p>
    <w:p w14:paraId="76C5052C" w14:textId="2EB467AE" w:rsidR="00530BA8" w:rsidRPr="00A460B1" w:rsidRDefault="00530BA8" w:rsidP="00530BA8">
      <w:pPr>
        <w:pStyle w:val="bullet"/>
        <w:keepNext w:val="0"/>
        <w:keepLines w:val="0"/>
        <w:numPr>
          <w:ilvl w:val="0"/>
          <w:numId w:val="72"/>
        </w:numPr>
        <w:spacing w:before="0"/>
        <w:outlineLvl w:val="9"/>
        <w:rPr>
          <w:b w:val="0"/>
        </w:rPr>
      </w:pPr>
      <w:r w:rsidRPr="00A460B1">
        <w:rPr>
          <w:b w:val="0"/>
        </w:rPr>
        <w:t>What project case studies could be developed to best illustrate potential benefits of the program?</w:t>
      </w:r>
      <w:r w:rsidR="005856D4">
        <w:rPr>
          <w:b w:val="0"/>
        </w:rPr>
        <w:t xml:space="preserve"> </w:t>
      </w:r>
      <w:r w:rsidRPr="00A460B1">
        <w:rPr>
          <w:b w:val="0"/>
        </w:rPr>
        <w:t>How can these case studies be used by stakeholders to further promote program objectives?</w:t>
      </w:r>
    </w:p>
    <w:p w14:paraId="7F646B48" w14:textId="77777777" w:rsidR="00530BA8" w:rsidRPr="00A460B1" w:rsidRDefault="00530BA8" w:rsidP="00530BA8">
      <w:pPr>
        <w:pStyle w:val="Heading2"/>
        <w:rPr>
          <w:b w:val="0"/>
        </w:rPr>
      </w:pPr>
      <w:bookmarkStart w:id="34" w:name="_Toc219952470"/>
      <w:r w:rsidRPr="00A460B1">
        <w:rPr>
          <w:b w:val="0"/>
        </w:rPr>
        <w:t>Lessons</w:t>
      </w:r>
      <w:bookmarkEnd w:id="34"/>
    </w:p>
    <w:p w14:paraId="4A74A490" w14:textId="59FA501B" w:rsidR="00530BA8" w:rsidRPr="00A460B1" w:rsidRDefault="00530BA8" w:rsidP="00530BA8">
      <w:pPr>
        <w:pStyle w:val="bullet"/>
        <w:keepNext w:val="0"/>
        <w:keepLines w:val="0"/>
        <w:numPr>
          <w:ilvl w:val="0"/>
          <w:numId w:val="72"/>
        </w:numPr>
        <w:spacing w:before="0"/>
        <w:outlineLvl w:val="9"/>
        <w:rPr>
          <w:b w:val="0"/>
        </w:rPr>
      </w:pPr>
      <w:r w:rsidRPr="00A460B1">
        <w:rPr>
          <w:b w:val="0"/>
        </w:rPr>
        <w:t>What lessons from the activity, (e.g. working in partner systems), can be applied to an extension or further phase of the program (if applicable), or to designing future activities.</w:t>
      </w:r>
    </w:p>
    <w:p w14:paraId="77DA0871" w14:textId="17F06FAC" w:rsidR="00530BA8" w:rsidRPr="00A460B1" w:rsidRDefault="00530BA8" w:rsidP="00530BA8">
      <w:pPr>
        <w:pStyle w:val="Heading2"/>
        <w:rPr>
          <w:b w:val="0"/>
        </w:rPr>
      </w:pPr>
      <w:bookmarkStart w:id="35" w:name="_Toc219952471"/>
      <w:r w:rsidRPr="00A460B1">
        <w:rPr>
          <w:b w:val="0"/>
        </w:rPr>
        <w:t xml:space="preserve">Looking </w:t>
      </w:r>
      <w:bookmarkEnd w:id="35"/>
      <w:r w:rsidR="005258CE">
        <w:rPr>
          <w:b w:val="0"/>
        </w:rPr>
        <w:t>f</w:t>
      </w:r>
      <w:r w:rsidR="005258CE" w:rsidRPr="00A460B1">
        <w:rPr>
          <w:b w:val="0"/>
        </w:rPr>
        <w:t>orward</w:t>
      </w:r>
    </w:p>
    <w:p w14:paraId="0282D8FB" w14:textId="7DF8E66F" w:rsidR="00530BA8" w:rsidRPr="00A460B1" w:rsidRDefault="00530BA8" w:rsidP="00530BA8">
      <w:pPr>
        <w:pStyle w:val="bullet"/>
        <w:keepNext w:val="0"/>
        <w:keepLines w:val="0"/>
        <w:numPr>
          <w:ilvl w:val="0"/>
          <w:numId w:val="72"/>
        </w:numPr>
        <w:spacing w:before="0"/>
        <w:outlineLvl w:val="9"/>
        <w:rPr>
          <w:b w:val="0"/>
        </w:rPr>
      </w:pPr>
      <w:r w:rsidRPr="00A460B1">
        <w:rPr>
          <w:b w:val="0"/>
        </w:rPr>
        <w:t>Is there need for an extension of the current program completion date? Why and what are the priority outcomes to be achieved during any extension?</w:t>
      </w:r>
    </w:p>
    <w:p w14:paraId="70CAC775"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What level of support exists for continuing program beyond the current timetable?</w:t>
      </w:r>
    </w:p>
    <w:p w14:paraId="2E52CF24"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t>If so, what are the key priorities for the future?</w:t>
      </w:r>
    </w:p>
    <w:p w14:paraId="39E15765" w14:textId="77777777" w:rsidR="00530BA8" w:rsidRPr="00A460B1" w:rsidRDefault="00530BA8" w:rsidP="00530BA8">
      <w:pPr>
        <w:pStyle w:val="bullet"/>
        <w:keepNext w:val="0"/>
        <w:keepLines w:val="0"/>
        <w:numPr>
          <w:ilvl w:val="1"/>
          <w:numId w:val="72"/>
        </w:numPr>
        <w:spacing w:before="0"/>
        <w:outlineLvl w:val="9"/>
        <w:rPr>
          <w:b w:val="0"/>
        </w:rPr>
      </w:pPr>
      <w:r w:rsidRPr="00A460B1">
        <w:rPr>
          <w:b w:val="0"/>
        </w:rPr>
        <w:lastRenderedPageBreak/>
        <w:t>Would support for these priorities contribute to a sustainable institutional building agenda?</w:t>
      </w:r>
    </w:p>
    <w:p w14:paraId="14E283D4" w14:textId="1C8DBB00" w:rsidR="00530BA8" w:rsidRPr="00A460B1" w:rsidRDefault="00530BA8" w:rsidP="00530BA8">
      <w:pPr>
        <w:pStyle w:val="bullet"/>
        <w:keepNext w:val="0"/>
        <w:keepLines w:val="0"/>
        <w:numPr>
          <w:ilvl w:val="1"/>
          <w:numId w:val="72"/>
        </w:numPr>
        <w:spacing w:before="0"/>
        <w:outlineLvl w:val="9"/>
        <w:rPr>
          <w:b w:val="0"/>
        </w:rPr>
      </w:pPr>
      <w:r w:rsidRPr="00A460B1">
        <w:rPr>
          <w:b w:val="0"/>
        </w:rPr>
        <w:t>What changes would be required to organi</w:t>
      </w:r>
      <w:r w:rsidR="00465C26">
        <w:rPr>
          <w:b w:val="0"/>
        </w:rPr>
        <w:t>s</w:t>
      </w:r>
      <w:r w:rsidRPr="00A460B1">
        <w:rPr>
          <w:b w:val="0"/>
        </w:rPr>
        <w:t>ational, governance, priority setting and/or implementation arrangements?</w:t>
      </w:r>
      <w:r w:rsidR="005856D4">
        <w:rPr>
          <w:b w:val="0"/>
        </w:rPr>
        <w:t xml:space="preserve"> </w:t>
      </w:r>
      <w:r w:rsidRPr="00A460B1">
        <w:rPr>
          <w:b w:val="0"/>
        </w:rPr>
        <w:t xml:space="preserve">Are there design efficiencies which can be applied to enhance opportunities for the future? </w:t>
      </w:r>
    </w:p>
    <w:p w14:paraId="50E81017" w14:textId="77777777" w:rsidR="00530BA8" w:rsidRPr="00A460B1" w:rsidRDefault="00530BA8" w:rsidP="00530BA8">
      <w:pPr>
        <w:pStyle w:val="bullet"/>
        <w:keepNext w:val="0"/>
        <w:keepLines w:val="0"/>
        <w:numPr>
          <w:ilvl w:val="0"/>
          <w:numId w:val="72"/>
        </w:numPr>
        <w:spacing w:before="0"/>
        <w:outlineLvl w:val="9"/>
        <w:rPr>
          <w:b w:val="0"/>
        </w:rPr>
      </w:pPr>
      <w:r w:rsidRPr="00A460B1">
        <w:rPr>
          <w:b w:val="0"/>
        </w:rPr>
        <w:t>Are there case studies that could be prepared that would help demonstrate the potential value for money from extending program support? Provide concrete examples.</w:t>
      </w:r>
    </w:p>
    <w:p w14:paraId="71BE2568" w14:textId="77777777" w:rsidR="00530BA8" w:rsidRDefault="00530BA8" w:rsidP="00530BA8">
      <w:pPr>
        <w:jc w:val="center"/>
        <w:rPr>
          <w:rFonts w:eastAsia="Calibri" w:cs="Arial"/>
          <w:b/>
          <w:szCs w:val="16"/>
        </w:rPr>
        <w:sectPr w:rsidR="00530BA8" w:rsidSect="00712646">
          <w:pgSz w:w="11900" w:h="16840"/>
          <w:pgMar w:top="1440" w:right="1800" w:bottom="1440" w:left="1800" w:header="708" w:footer="708" w:gutter="0"/>
          <w:cols w:space="708"/>
          <w:docGrid w:linePitch="360"/>
        </w:sectPr>
      </w:pPr>
    </w:p>
    <w:p w14:paraId="26AE0BEE" w14:textId="2845CF86" w:rsidR="00530BA8" w:rsidRPr="0013085F" w:rsidRDefault="00530BA8" w:rsidP="00530BA8">
      <w:pPr>
        <w:pStyle w:val="Heading3"/>
      </w:pPr>
      <w:r w:rsidRPr="001A2CD3">
        <w:lastRenderedPageBreak/>
        <w:t>Annex</w:t>
      </w:r>
      <w:r w:rsidRPr="0013085F">
        <w:t xml:space="preserve"> B. </w:t>
      </w:r>
      <w:r w:rsidR="00546E38">
        <w:t xml:space="preserve">Economic Cooperation Work </w:t>
      </w:r>
      <w:r w:rsidR="005258CE">
        <w:t>P</w:t>
      </w:r>
      <w:r w:rsidR="0045046A">
        <w:t>rogram</w:t>
      </w:r>
      <w:r w:rsidR="005856D4">
        <w:t xml:space="preserve"> </w:t>
      </w:r>
      <w:r w:rsidR="005258CE">
        <w:t>c</w:t>
      </w:r>
      <w:r w:rsidR="005258CE" w:rsidRPr="0013085F">
        <w:t xml:space="preserve">omponent </w:t>
      </w:r>
      <w:r w:rsidR="005258CE">
        <w:t>o</w:t>
      </w:r>
      <w:r w:rsidR="005258CE" w:rsidRPr="0013085F">
        <w:t>bjectives</w:t>
      </w:r>
    </w:p>
    <w:p w14:paraId="3FCE4163" w14:textId="77777777" w:rsidR="00530BA8" w:rsidRPr="0034629B" w:rsidRDefault="00530BA8" w:rsidP="00530BA8">
      <w:pPr>
        <w:rPr>
          <w:rFonts w:eastAsia="Calibri" w:cs="Arial"/>
          <w:b/>
          <w:szCs w:val="16"/>
        </w:rPr>
      </w:pPr>
    </w:p>
    <w:p w14:paraId="66AF55CB" w14:textId="19371742" w:rsidR="00530BA8" w:rsidRPr="00E03415" w:rsidRDefault="00530BA8">
      <w:pPr>
        <w:rPr>
          <w:rFonts w:eastAsia="Calibri" w:cs="Arial"/>
          <w:sz w:val="22"/>
          <w:szCs w:val="22"/>
        </w:rPr>
      </w:pPr>
      <w:r w:rsidRPr="00E03415">
        <w:rPr>
          <w:rFonts w:eastAsia="Calibri" w:cs="Arial"/>
          <w:b/>
          <w:sz w:val="22"/>
          <w:szCs w:val="22"/>
        </w:rPr>
        <w:t xml:space="preserve">Component 1 Objective – </w:t>
      </w:r>
      <w:r w:rsidR="005258CE" w:rsidRPr="00E03415">
        <w:rPr>
          <w:rFonts w:eastAsia="Calibri" w:cs="Arial"/>
          <w:b/>
          <w:sz w:val="22"/>
          <w:szCs w:val="22"/>
        </w:rPr>
        <w:t>rules of origin and other aspects of implementation of tariff commitme</w:t>
      </w:r>
      <w:r w:rsidRPr="00E03415">
        <w:rPr>
          <w:rFonts w:eastAsia="Calibri" w:cs="Arial"/>
          <w:b/>
          <w:sz w:val="22"/>
          <w:szCs w:val="22"/>
        </w:rPr>
        <w:t>nts:</w:t>
      </w:r>
      <w:r w:rsidRPr="00E03415">
        <w:rPr>
          <w:rFonts w:eastAsia="Calibri" w:cs="Arial"/>
          <w:sz w:val="22"/>
          <w:szCs w:val="22"/>
        </w:rPr>
        <w:t xml:space="preserve"> To facilitate effective utilisation of the AANZFTA commitments through efficient and transparent administration of </w:t>
      </w:r>
      <w:r w:rsidR="005258CE" w:rsidRPr="00E03415">
        <w:rPr>
          <w:rFonts w:eastAsia="Calibri" w:cs="Arial"/>
          <w:sz w:val="22"/>
          <w:szCs w:val="22"/>
        </w:rPr>
        <w:t xml:space="preserve">rules of origin </w:t>
      </w:r>
      <w:r w:rsidRPr="00E03415">
        <w:rPr>
          <w:rFonts w:eastAsia="Calibri" w:cs="Arial"/>
          <w:sz w:val="22"/>
          <w:szCs w:val="22"/>
        </w:rPr>
        <w:t xml:space="preserve">requirements and other aspects of implementation of tariff commitments. </w:t>
      </w:r>
    </w:p>
    <w:p w14:paraId="65DF937E" w14:textId="227ED236" w:rsidR="00530BA8" w:rsidRPr="00E03415" w:rsidRDefault="00530BA8" w:rsidP="00714B4B">
      <w:pPr>
        <w:spacing w:after="200"/>
        <w:rPr>
          <w:rFonts w:eastAsia="Calibri" w:cs="Arial"/>
          <w:sz w:val="22"/>
          <w:szCs w:val="22"/>
        </w:rPr>
      </w:pPr>
      <w:r w:rsidRPr="00E03415">
        <w:rPr>
          <w:rFonts w:eastAsia="Calibri" w:cs="Arial"/>
          <w:b/>
          <w:sz w:val="22"/>
          <w:szCs w:val="22"/>
        </w:rPr>
        <w:t xml:space="preserve">Component 2 Objective – </w:t>
      </w:r>
      <w:r w:rsidR="005258CE" w:rsidRPr="00E03415">
        <w:rPr>
          <w:rFonts w:eastAsia="Calibri" w:cs="Arial"/>
          <w:b/>
          <w:sz w:val="22"/>
          <w:szCs w:val="22"/>
        </w:rPr>
        <w:t>sanitary and phytosanitary measures</w:t>
      </w:r>
      <w:r w:rsidRPr="00E03415">
        <w:rPr>
          <w:rFonts w:eastAsia="Calibri" w:cs="Arial"/>
          <w:b/>
          <w:sz w:val="22"/>
          <w:szCs w:val="22"/>
        </w:rPr>
        <w:t xml:space="preserve">: </w:t>
      </w:r>
      <w:r w:rsidRPr="00E03415">
        <w:rPr>
          <w:rFonts w:eastAsia="Calibri" w:cs="Arial"/>
          <w:sz w:val="22"/>
          <w:szCs w:val="22"/>
        </w:rPr>
        <w:t xml:space="preserve">To support implementation of the AANZFTA chapter on </w:t>
      </w:r>
      <w:r w:rsidR="005258CE" w:rsidRPr="00E03415">
        <w:rPr>
          <w:rFonts w:eastAsia="Calibri" w:cs="Arial"/>
          <w:sz w:val="22"/>
          <w:szCs w:val="22"/>
        </w:rPr>
        <w:t xml:space="preserve">sanitary and phytosanitary </w:t>
      </w:r>
      <w:r w:rsidRPr="00E03415">
        <w:rPr>
          <w:rFonts w:eastAsia="Calibri" w:cs="Arial"/>
          <w:sz w:val="22"/>
          <w:szCs w:val="22"/>
        </w:rPr>
        <w:t xml:space="preserve">measures by helping to build the capacity of agencies responsible for implementation of </w:t>
      </w:r>
      <w:r w:rsidR="005258CE" w:rsidRPr="00E03415">
        <w:rPr>
          <w:rFonts w:eastAsia="Calibri" w:cs="Arial"/>
          <w:sz w:val="22"/>
          <w:szCs w:val="22"/>
        </w:rPr>
        <w:t xml:space="preserve">sanitary and phytosanitary </w:t>
      </w:r>
      <w:r w:rsidRPr="00E03415">
        <w:rPr>
          <w:rFonts w:eastAsia="Calibri" w:cs="Arial"/>
          <w:sz w:val="22"/>
          <w:szCs w:val="22"/>
        </w:rPr>
        <w:t>policies and procedures</w:t>
      </w:r>
      <w:r w:rsidR="005258CE">
        <w:rPr>
          <w:rFonts w:eastAsia="Calibri" w:cs="Arial"/>
          <w:sz w:val="22"/>
          <w:szCs w:val="22"/>
        </w:rPr>
        <w:t>,</w:t>
      </w:r>
      <w:r w:rsidR="005258CE" w:rsidRPr="00E03415">
        <w:rPr>
          <w:rFonts w:eastAsia="Calibri" w:cs="Arial"/>
          <w:sz w:val="22"/>
          <w:szCs w:val="22"/>
        </w:rPr>
        <w:t xml:space="preserve"> </w:t>
      </w:r>
      <w:r w:rsidRPr="00E03415">
        <w:rPr>
          <w:rFonts w:eastAsia="Calibri" w:cs="Arial"/>
          <w:sz w:val="22"/>
          <w:szCs w:val="22"/>
        </w:rPr>
        <w:t xml:space="preserve">build business awareness of the application of </w:t>
      </w:r>
      <w:r w:rsidR="005258CE" w:rsidRPr="00E03415">
        <w:rPr>
          <w:rFonts w:eastAsia="Calibri" w:cs="Arial"/>
          <w:sz w:val="22"/>
          <w:szCs w:val="22"/>
        </w:rPr>
        <w:t xml:space="preserve">sanitary and phytosanitary </w:t>
      </w:r>
      <w:r w:rsidRPr="00E03415">
        <w:rPr>
          <w:rFonts w:eastAsia="Calibri" w:cs="Arial"/>
          <w:sz w:val="22"/>
          <w:szCs w:val="22"/>
        </w:rPr>
        <w:t xml:space="preserve">measures consistent with the principles in the </w:t>
      </w:r>
      <w:r w:rsidR="005258CE" w:rsidRPr="00E03415">
        <w:rPr>
          <w:rFonts w:eastAsia="Calibri" w:cs="Arial"/>
          <w:sz w:val="22"/>
          <w:szCs w:val="22"/>
        </w:rPr>
        <w:t xml:space="preserve">sanitary and phytosanitary </w:t>
      </w:r>
      <w:r w:rsidRPr="00E03415">
        <w:rPr>
          <w:rFonts w:eastAsia="Calibri" w:cs="Arial"/>
          <w:sz w:val="22"/>
          <w:szCs w:val="22"/>
        </w:rPr>
        <w:t>chapter</w:t>
      </w:r>
      <w:r w:rsidR="005258CE">
        <w:rPr>
          <w:rFonts w:eastAsia="Calibri" w:cs="Arial"/>
          <w:sz w:val="22"/>
          <w:szCs w:val="22"/>
        </w:rPr>
        <w:t>,</w:t>
      </w:r>
      <w:r w:rsidR="005258CE" w:rsidRPr="00E03415">
        <w:rPr>
          <w:rFonts w:eastAsia="Calibri" w:cs="Arial"/>
          <w:sz w:val="22"/>
          <w:szCs w:val="22"/>
        </w:rPr>
        <w:t xml:space="preserve"> </w:t>
      </w:r>
      <w:r w:rsidRPr="00E03415">
        <w:rPr>
          <w:rFonts w:eastAsia="Calibri" w:cs="Arial"/>
          <w:sz w:val="22"/>
          <w:szCs w:val="22"/>
        </w:rPr>
        <w:t xml:space="preserve">and support strengthened cooperation between authorities responsible for dealing with the matters covered by that chapter. </w:t>
      </w:r>
    </w:p>
    <w:p w14:paraId="4D2A4408" w14:textId="6F8AC173" w:rsidR="00530BA8" w:rsidRPr="00E03415" w:rsidRDefault="00530BA8" w:rsidP="00714B4B">
      <w:pPr>
        <w:spacing w:after="200"/>
        <w:rPr>
          <w:rFonts w:eastAsia="Calibri" w:cs="Arial"/>
          <w:sz w:val="22"/>
          <w:szCs w:val="22"/>
        </w:rPr>
      </w:pPr>
      <w:r w:rsidRPr="00E03415">
        <w:rPr>
          <w:rFonts w:eastAsia="Calibri" w:cs="Arial"/>
          <w:b/>
          <w:sz w:val="22"/>
          <w:szCs w:val="22"/>
        </w:rPr>
        <w:t xml:space="preserve">Component 3 Objective – </w:t>
      </w:r>
      <w:r w:rsidR="005258CE" w:rsidRPr="00E03415">
        <w:rPr>
          <w:rFonts w:eastAsia="Calibri" w:cs="Arial"/>
          <w:b/>
          <w:sz w:val="22"/>
          <w:szCs w:val="22"/>
        </w:rPr>
        <w:t>standards, technical regulations and conformity assessment procedur</w:t>
      </w:r>
      <w:r w:rsidRPr="00E03415">
        <w:rPr>
          <w:rFonts w:eastAsia="Calibri" w:cs="Arial"/>
          <w:b/>
          <w:sz w:val="22"/>
          <w:szCs w:val="22"/>
        </w:rPr>
        <w:t>es:</w:t>
      </w:r>
      <w:r w:rsidRPr="00E03415">
        <w:rPr>
          <w:rFonts w:eastAsia="Calibri" w:cs="Arial"/>
          <w:sz w:val="22"/>
          <w:szCs w:val="22"/>
        </w:rPr>
        <w:t xml:space="preserve"> T</w:t>
      </w:r>
      <w:r w:rsidR="004B214E">
        <w:rPr>
          <w:rFonts w:eastAsia="Calibri" w:cs="Arial"/>
          <w:sz w:val="22"/>
          <w:szCs w:val="22"/>
        </w:rPr>
        <w:t>o</w:t>
      </w:r>
      <w:r w:rsidR="00B10D1C">
        <w:rPr>
          <w:rFonts w:eastAsia="Calibri" w:cs="Arial"/>
          <w:sz w:val="22"/>
          <w:szCs w:val="22"/>
        </w:rPr>
        <w:t xml:space="preserve"> </w:t>
      </w:r>
      <w:r w:rsidRPr="00E03415">
        <w:rPr>
          <w:rFonts w:eastAsia="Calibri" w:cs="Arial"/>
          <w:sz w:val="22"/>
          <w:szCs w:val="22"/>
        </w:rPr>
        <w:t>support joint efforts in the fields of standards, technical regulations and conformity assessment procedures,</w:t>
      </w:r>
      <w:r w:rsidR="005856D4">
        <w:rPr>
          <w:rFonts w:eastAsia="Calibri" w:cs="Arial"/>
          <w:sz w:val="22"/>
          <w:szCs w:val="22"/>
        </w:rPr>
        <w:t xml:space="preserve"> </w:t>
      </w:r>
      <w:r w:rsidRPr="00E03415">
        <w:rPr>
          <w:rFonts w:eastAsia="Calibri" w:cs="Arial"/>
          <w:sz w:val="22"/>
          <w:szCs w:val="22"/>
        </w:rPr>
        <w:t xml:space="preserve">assist in promoting mutual understanding of each </w:t>
      </w:r>
      <w:r w:rsidR="004F2711">
        <w:rPr>
          <w:rFonts w:eastAsia="Calibri" w:cs="Arial"/>
          <w:sz w:val="22"/>
          <w:szCs w:val="22"/>
        </w:rPr>
        <w:t>p</w:t>
      </w:r>
      <w:r w:rsidR="004F2711" w:rsidRPr="00E03415">
        <w:rPr>
          <w:rFonts w:eastAsia="Calibri" w:cs="Arial"/>
          <w:sz w:val="22"/>
          <w:szCs w:val="22"/>
        </w:rPr>
        <w:t xml:space="preserve">arty’s </w:t>
      </w:r>
      <w:r w:rsidRPr="00E03415">
        <w:rPr>
          <w:rFonts w:eastAsia="Calibri" w:cs="Arial"/>
          <w:sz w:val="22"/>
          <w:szCs w:val="22"/>
        </w:rPr>
        <w:t xml:space="preserve">measures, and strengthen information exchange and cooperation among the </w:t>
      </w:r>
      <w:r w:rsidR="004F2711">
        <w:rPr>
          <w:rFonts w:eastAsia="Calibri" w:cs="Arial"/>
          <w:sz w:val="22"/>
          <w:szCs w:val="22"/>
        </w:rPr>
        <w:t>p</w:t>
      </w:r>
      <w:r w:rsidR="004F2711" w:rsidRPr="00E03415">
        <w:rPr>
          <w:rFonts w:eastAsia="Calibri" w:cs="Arial"/>
          <w:sz w:val="22"/>
          <w:szCs w:val="22"/>
        </w:rPr>
        <w:t>arties</w:t>
      </w:r>
      <w:r w:rsidRPr="00E03415">
        <w:rPr>
          <w:rFonts w:eastAsia="Calibri" w:cs="Arial"/>
          <w:sz w:val="22"/>
          <w:szCs w:val="22"/>
        </w:rPr>
        <w:t xml:space="preserve">. </w:t>
      </w:r>
    </w:p>
    <w:p w14:paraId="6980B907" w14:textId="6F0E2ACE" w:rsidR="00530BA8" w:rsidRPr="00E03415" w:rsidRDefault="00530BA8" w:rsidP="00530BA8">
      <w:pPr>
        <w:spacing w:after="200"/>
        <w:jc w:val="both"/>
        <w:rPr>
          <w:rFonts w:eastAsia="Calibri" w:cs="Arial"/>
          <w:sz w:val="22"/>
          <w:szCs w:val="22"/>
        </w:rPr>
      </w:pPr>
      <w:r w:rsidRPr="00E03415">
        <w:rPr>
          <w:rFonts w:eastAsia="Calibri" w:cs="Arial"/>
          <w:b/>
          <w:sz w:val="22"/>
          <w:szCs w:val="22"/>
        </w:rPr>
        <w:t xml:space="preserve">Component 4 Objective – </w:t>
      </w:r>
      <w:r w:rsidR="003943B9">
        <w:rPr>
          <w:rFonts w:eastAsia="Calibri" w:cs="Arial"/>
          <w:b/>
          <w:sz w:val="22"/>
          <w:szCs w:val="22"/>
        </w:rPr>
        <w:t>s</w:t>
      </w:r>
      <w:r w:rsidR="003943B9" w:rsidRPr="00E03415">
        <w:rPr>
          <w:rFonts w:eastAsia="Calibri" w:cs="Arial"/>
          <w:b/>
          <w:sz w:val="22"/>
          <w:szCs w:val="22"/>
        </w:rPr>
        <w:t>ervices</w:t>
      </w:r>
      <w:r w:rsidRPr="00E03415">
        <w:rPr>
          <w:rFonts w:eastAsia="Calibri" w:cs="Arial"/>
          <w:b/>
          <w:sz w:val="22"/>
          <w:szCs w:val="22"/>
        </w:rPr>
        <w:t>:</w:t>
      </w:r>
      <w:r w:rsidRPr="00E03415">
        <w:rPr>
          <w:rFonts w:eastAsia="Calibri" w:cs="Arial"/>
          <w:sz w:val="22"/>
          <w:szCs w:val="22"/>
        </w:rPr>
        <w:t xml:space="preserve"> To facilitate increased cross-border flows of services among the </w:t>
      </w:r>
      <w:r w:rsidR="003943B9">
        <w:rPr>
          <w:rFonts w:eastAsia="Calibri" w:cs="Arial"/>
          <w:sz w:val="22"/>
          <w:szCs w:val="22"/>
        </w:rPr>
        <w:t>p</w:t>
      </w:r>
      <w:r w:rsidR="003943B9" w:rsidRPr="00E03415">
        <w:rPr>
          <w:rFonts w:eastAsia="Calibri" w:cs="Arial"/>
          <w:sz w:val="22"/>
          <w:szCs w:val="22"/>
        </w:rPr>
        <w:t>arties</w:t>
      </w:r>
      <w:r w:rsidRPr="00E03415">
        <w:rPr>
          <w:rFonts w:eastAsia="Calibri" w:cs="Arial"/>
          <w:sz w:val="22"/>
          <w:szCs w:val="22"/>
        </w:rPr>
        <w:t xml:space="preserve">, by assisting them to adapt regulations affecting services trade and to build on the reductions in barriers to trade in services embodied in the AANZFTA. </w:t>
      </w:r>
    </w:p>
    <w:p w14:paraId="0A471E62" w14:textId="11E27C6A" w:rsidR="00530BA8" w:rsidRPr="00E03415" w:rsidRDefault="00530BA8" w:rsidP="00714B4B">
      <w:pPr>
        <w:spacing w:after="200"/>
        <w:rPr>
          <w:rFonts w:eastAsia="Calibri" w:cs="Arial"/>
          <w:sz w:val="22"/>
          <w:szCs w:val="22"/>
        </w:rPr>
      </w:pPr>
      <w:r w:rsidRPr="00E03415">
        <w:rPr>
          <w:rFonts w:eastAsia="Calibri" w:cs="Arial"/>
          <w:b/>
          <w:sz w:val="22"/>
          <w:szCs w:val="22"/>
        </w:rPr>
        <w:t>Component 5 Objective –</w:t>
      </w:r>
      <w:r w:rsidR="005856D4">
        <w:rPr>
          <w:rFonts w:eastAsia="Calibri" w:cs="Arial"/>
          <w:b/>
          <w:sz w:val="22"/>
          <w:szCs w:val="22"/>
        </w:rPr>
        <w:t xml:space="preserve"> </w:t>
      </w:r>
      <w:r w:rsidR="004F2711">
        <w:rPr>
          <w:rFonts w:eastAsia="Calibri" w:cs="Arial"/>
          <w:b/>
          <w:sz w:val="22"/>
          <w:szCs w:val="22"/>
        </w:rPr>
        <w:t>i</w:t>
      </w:r>
      <w:r w:rsidR="004F2711" w:rsidRPr="00E03415">
        <w:rPr>
          <w:rFonts w:eastAsia="Calibri" w:cs="Arial"/>
          <w:b/>
          <w:sz w:val="22"/>
          <w:szCs w:val="22"/>
        </w:rPr>
        <w:t>nvestment</w:t>
      </w:r>
      <w:r w:rsidRPr="00E03415">
        <w:rPr>
          <w:rFonts w:eastAsia="Calibri" w:cs="Arial"/>
          <w:b/>
          <w:sz w:val="22"/>
          <w:szCs w:val="22"/>
        </w:rPr>
        <w:t>:</w:t>
      </w:r>
      <w:r w:rsidRPr="00E03415">
        <w:rPr>
          <w:rFonts w:eastAsia="Calibri" w:cs="Arial"/>
          <w:sz w:val="22"/>
          <w:szCs w:val="22"/>
        </w:rPr>
        <w:t xml:space="preserve"> To facilitate the flow of investment across the </w:t>
      </w:r>
      <w:r w:rsidR="004F2711">
        <w:rPr>
          <w:rFonts w:eastAsia="Calibri" w:cs="Arial"/>
          <w:sz w:val="22"/>
          <w:szCs w:val="22"/>
        </w:rPr>
        <w:t>p</w:t>
      </w:r>
      <w:r w:rsidR="004F2711" w:rsidRPr="00E03415">
        <w:rPr>
          <w:rFonts w:eastAsia="Calibri" w:cs="Arial"/>
          <w:sz w:val="22"/>
          <w:szCs w:val="22"/>
        </w:rPr>
        <w:t>arties</w:t>
      </w:r>
      <w:r w:rsidRPr="00E03415">
        <w:rPr>
          <w:rFonts w:eastAsia="Calibri" w:cs="Arial"/>
          <w:sz w:val="22"/>
          <w:szCs w:val="22"/>
        </w:rPr>
        <w:t xml:space="preserve"> by deepening and broadening linkages and assisting </w:t>
      </w:r>
      <w:r w:rsidR="004F2711">
        <w:rPr>
          <w:rFonts w:eastAsia="Calibri" w:cs="Arial"/>
          <w:sz w:val="22"/>
          <w:szCs w:val="22"/>
        </w:rPr>
        <w:t>p</w:t>
      </w:r>
      <w:r w:rsidR="004F2711" w:rsidRPr="00E03415">
        <w:rPr>
          <w:rFonts w:eastAsia="Calibri" w:cs="Arial"/>
          <w:sz w:val="22"/>
          <w:szCs w:val="22"/>
        </w:rPr>
        <w:t xml:space="preserve">arties </w:t>
      </w:r>
      <w:r w:rsidRPr="00E03415">
        <w:rPr>
          <w:rFonts w:eastAsia="Calibri" w:cs="Arial"/>
          <w:sz w:val="22"/>
          <w:szCs w:val="22"/>
        </w:rPr>
        <w:t>to address impediments to expanding investment in response to the opportunities created by the AANZFTA.</w:t>
      </w:r>
    </w:p>
    <w:p w14:paraId="65654B19" w14:textId="38CBBAB6" w:rsidR="00530BA8" w:rsidRPr="00E03415" w:rsidRDefault="00530BA8" w:rsidP="00714B4B">
      <w:pPr>
        <w:spacing w:after="200"/>
        <w:rPr>
          <w:rFonts w:eastAsia="Calibri" w:cs="Arial"/>
          <w:sz w:val="22"/>
          <w:szCs w:val="22"/>
        </w:rPr>
      </w:pPr>
      <w:r w:rsidRPr="00E03415">
        <w:rPr>
          <w:rFonts w:eastAsia="Calibri" w:cs="Arial"/>
          <w:b/>
          <w:sz w:val="22"/>
          <w:szCs w:val="22"/>
        </w:rPr>
        <w:t xml:space="preserve">Component 6 Objective – </w:t>
      </w:r>
      <w:r w:rsidR="004F2711" w:rsidRPr="00E03415">
        <w:rPr>
          <w:rFonts w:eastAsia="Calibri" w:cs="Arial"/>
          <w:b/>
          <w:sz w:val="22"/>
          <w:szCs w:val="22"/>
        </w:rPr>
        <w:t>intellectual p</w:t>
      </w:r>
      <w:r w:rsidRPr="00E03415">
        <w:rPr>
          <w:rFonts w:eastAsia="Calibri" w:cs="Arial"/>
          <w:b/>
          <w:sz w:val="22"/>
          <w:szCs w:val="22"/>
        </w:rPr>
        <w:t>roperty:</w:t>
      </w:r>
      <w:r w:rsidRPr="00E03415">
        <w:rPr>
          <w:rFonts w:eastAsia="Calibri" w:cs="Arial"/>
          <w:sz w:val="22"/>
          <w:szCs w:val="22"/>
        </w:rPr>
        <w:t xml:space="preserve"> To provide comprehensive support for the development of sound and balanced </w:t>
      </w:r>
      <w:r w:rsidR="004F2711" w:rsidRPr="00E03415">
        <w:rPr>
          <w:rFonts w:eastAsia="Calibri" w:cs="Arial"/>
          <w:sz w:val="22"/>
          <w:szCs w:val="22"/>
        </w:rPr>
        <w:t>intellectual p</w:t>
      </w:r>
      <w:r w:rsidRPr="00E03415">
        <w:rPr>
          <w:rFonts w:eastAsia="Calibri" w:cs="Arial"/>
          <w:sz w:val="22"/>
          <w:szCs w:val="22"/>
        </w:rPr>
        <w:t>roperty systems in the AANZFTA region.</w:t>
      </w:r>
    </w:p>
    <w:p w14:paraId="79FEF271" w14:textId="1BC7A883" w:rsidR="00530BA8" w:rsidRPr="00E03415" w:rsidRDefault="00530BA8" w:rsidP="00714B4B">
      <w:pPr>
        <w:spacing w:after="200"/>
        <w:rPr>
          <w:rFonts w:eastAsia="Calibri" w:cs="Arial"/>
          <w:sz w:val="22"/>
          <w:szCs w:val="22"/>
        </w:rPr>
      </w:pPr>
      <w:r w:rsidRPr="00E03415">
        <w:rPr>
          <w:rFonts w:eastAsia="Calibri" w:cs="Arial"/>
          <w:b/>
          <w:sz w:val="22"/>
          <w:szCs w:val="22"/>
        </w:rPr>
        <w:t xml:space="preserve">Component 7 Objective – </w:t>
      </w:r>
      <w:r w:rsidR="004F2711">
        <w:rPr>
          <w:rFonts w:eastAsia="Calibri" w:cs="Arial"/>
          <w:b/>
          <w:sz w:val="22"/>
          <w:szCs w:val="22"/>
        </w:rPr>
        <w:t>s</w:t>
      </w:r>
      <w:r w:rsidR="004F2711" w:rsidRPr="00E03415">
        <w:rPr>
          <w:rFonts w:eastAsia="Calibri" w:cs="Arial"/>
          <w:b/>
          <w:sz w:val="22"/>
          <w:szCs w:val="22"/>
        </w:rPr>
        <w:t xml:space="preserve">ectoral </w:t>
      </w:r>
      <w:r w:rsidR="004F2711">
        <w:rPr>
          <w:rFonts w:eastAsia="Calibri" w:cs="Arial"/>
          <w:b/>
          <w:sz w:val="22"/>
          <w:szCs w:val="22"/>
        </w:rPr>
        <w:t>i</w:t>
      </w:r>
      <w:r w:rsidR="004F2711" w:rsidRPr="00E03415">
        <w:rPr>
          <w:rFonts w:eastAsia="Calibri" w:cs="Arial"/>
          <w:b/>
          <w:sz w:val="22"/>
          <w:szCs w:val="22"/>
        </w:rPr>
        <w:t>ntegration</w:t>
      </w:r>
      <w:r w:rsidRPr="00E03415">
        <w:rPr>
          <w:rFonts w:eastAsia="Calibri" w:cs="Arial"/>
          <w:b/>
          <w:sz w:val="22"/>
          <w:szCs w:val="22"/>
        </w:rPr>
        <w:t xml:space="preserve">: </w:t>
      </w:r>
      <w:r w:rsidRPr="00E03415">
        <w:rPr>
          <w:rFonts w:eastAsia="Calibri" w:cs="Arial"/>
          <w:sz w:val="22"/>
          <w:szCs w:val="22"/>
        </w:rPr>
        <w:t xml:space="preserve">To provide for technical assistance and training that helps the </w:t>
      </w:r>
      <w:r w:rsidR="004F2711">
        <w:rPr>
          <w:rFonts w:eastAsia="Calibri" w:cs="Arial"/>
          <w:sz w:val="22"/>
          <w:szCs w:val="22"/>
        </w:rPr>
        <w:t>p</w:t>
      </w:r>
      <w:r w:rsidR="004F2711" w:rsidRPr="00E03415">
        <w:rPr>
          <w:rFonts w:eastAsia="Calibri" w:cs="Arial"/>
          <w:sz w:val="22"/>
          <w:szCs w:val="22"/>
        </w:rPr>
        <w:t xml:space="preserve">arties </w:t>
      </w:r>
      <w:r w:rsidRPr="00E03415">
        <w:rPr>
          <w:rFonts w:eastAsia="Calibri" w:cs="Arial"/>
          <w:sz w:val="22"/>
          <w:szCs w:val="22"/>
        </w:rPr>
        <w:t>to address residual impediments to integration by working on the problems faced by particular sectors.</w:t>
      </w:r>
    </w:p>
    <w:p w14:paraId="44A7DCA0" w14:textId="7C76FB11" w:rsidR="00530BA8" w:rsidRPr="00E03415" w:rsidRDefault="00530BA8" w:rsidP="00714B4B">
      <w:pPr>
        <w:spacing w:after="200"/>
        <w:rPr>
          <w:rFonts w:eastAsia="Calibri" w:cs="Arial"/>
          <w:b/>
          <w:sz w:val="22"/>
          <w:szCs w:val="22"/>
        </w:rPr>
      </w:pPr>
      <w:r w:rsidRPr="00E03415">
        <w:rPr>
          <w:rFonts w:eastAsia="Calibri" w:cs="Arial"/>
          <w:b/>
          <w:sz w:val="22"/>
          <w:szCs w:val="22"/>
        </w:rPr>
        <w:t xml:space="preserve">Component 8 Objective – </w:t>
      </w:r>
      <w:r w:rsidR="004F2711">
        <w:rPr>
          <w:rFonts w:eastAsia="Calibri" w:cs="Arial"/>
          <w:b/>
          <w:sz w:val="22"/>
          <w:szCs w:val="22"/>
        </w:rPr>
        <w:t>c</w:t>
      </w:r>
      <w:r w:rsidR="004F2711" w:rsidRPr="00E03415">
        <w:rPr>
          <w:rFonts w:eastAsia="Calibri" w:cs="Arial"/>
          <w:b/>
          <w:sz w:val="22"/>
          <w:szCs w:val="22"/>
        </w:rPr>
        <w:t>ustoms</w:t>
      </w:r>
      <w:r w:rsidRPr="00E03415">
        <w:rPr>
          <w:rFonts w:eastAsia="Calibri" w:cs="Arial"/>
          <w:b/>
          <w:sz w:val="22"/>
          <w:szCs w:val="22"/>
        </w:rPr>
        <w:t>:</w:t>
      </w:r>
      <w:r w:rsidRPr="00E03415">
        <w:rPr>
          <w:rFonts w:eastAsia="Calibri" w:cs="Arial"/>
          <w:sz w:val="22"/>
          <w:szCs w:val="22"/>
        </w:rPr>
        <w:t xml:space="preserve"> To support </w:t>
      </w:r>
      <w:r w:rsidR="004F2711">
        <w:rPr>
          <w:rFonts w:eastAsia="Calibri" w:cs="Arial"/>
          <w:sz w:val="22"/>
          <w:szCs w:val="22"/>
        </w:rPr>
        <w:t>c</w:t>
      </w:r>
      <w:r w:rsidR="004F2711" w:rsidRPr="00E03415">
        <w:rPr>
          <w:rFonts w:eastAsia="Calibri" w:cs="Arial"/>
          <w:sz w:val="22"/>
          <w:szCs w:val="22"/>
        </w:rPr>
        <w:t xml:space="preserve">ustoms </w:t>
      </w:r>
      <w:r w:rsidRPr="00E03415">
        <w:rPr>
          <w:rFonts w:eastAsia="Calibri" w:cs="Arial"/>
          <w:sz w:val="22"/>
          <w:szCs w:val="22"/>
        </w:rPr>
        <w:t>cooperation activities related to implementation of AANZFTA.</w:t>
      </w:r>
    </w:p>
    <w:p w14:paraId="76C7BE76" w14:textId="17D117F7" w:rsidR="00530BA8" w:rsidRPr="00E03415" w:rsidRDefault="00530BA8" w:rsidP="00714B4B">
      <w:pPr>
        <w:spacing w:after="200"/>
        <w:rPr>
          <w:rFonts w:eastAsia="Calibri" w:cs="Arial"/>
          <w:sz w:val="22"/>
          <w:szCs w:val="22"/>
        </w:rPr>
      </w:pPr>
      <w:r w:rsidRPr="00E03415">
        <w:rPr>
          <w:rFonts w:eastAsia="Calibri" w:cs="Arial"/>
          <w:b/>
          <w:sz w:val="22"/>
          <w:szCs w:val="22"/>
        </w:rPr>
        <w:t xml:space="preserve">Component 9 Objective – </w:t>
      </w:r>
      <w:r w:rsidR="004F2711" w:rsidRPr="00E03415">
        <w:rPr>
          <w:rFonts w:eastAsia="Calibri" w:cs="Arial"/>
          <w:b/>
          <w:sz w:val="22"/>
          <w:szCs w:val="22"/>
        </w:rPr>
        <w:t>competition policy</w:t>
      </w:r>
      <w:r w:rsidRPr="00E03415">
        <w:rPr>
          <w:rFonts w:eastAsia="Calibri" w:cs="Arial"/>
          <w:b/>
          <w:sz w:val="22"/>
          <w:szCs w:val="22"/>
        </w:rPr>
        <w:t>:</w:t>
      </w:r>
      <w:r w:rsidRPr="00E03415">
        <w:rPr>
          <w:rFonts w:eastAsia="Calibri" w:cs="Arial"/>
          <w:sz w:val="22"/>
          <w:szCs w:val="22"/>
        </w:rPr>
        <w:t xml:space="preserve"> Support the implementation of the AANZFTA </w:t>
      </w:r>
      <w:r w:rsidR="004F2711" w:rsidRPr="00E03415">
        <w:rPr>
          <w:rFonts w:eastAsia="Calibri" w:cs="Arial"/>
          <w:sz w:val="22"/>
          <w:szCs w:val="22"/>
        </w:rPr>
        <w:t>chapter on competition</w:t>
      </w:r>
      <w:r w:rsidRPr="00E03415">
        <w:rPr>
          <w:rFonts w:eastAsia="Calibri" w:cs="Arial"/>
          <w:sz w:val="22"/>
          <w:szCs w:val="22"/>
        </w:rPr>
        <w:t xml:space="preserve"> by helping to support the development of competition policies, laws and institutions in the </w:t>
      </w:r>
      <w:r w:rsidR="004F2711">
        <w:rPr>
          <w:rFonts w:eastAsia="Calibri" w:cs="Arial"/>
          <w:sz w:val="22"/>
          <w:szCs w:val="22"/>
        </w:rPr>
        <w:t>p</w:t>
      </w:r>
      <w:r w:rsidR="004F2711" w:rsidRPr="00E03415">
        <w:rPr>
          <w:rFonts w:eastAsia="Calibri" w:cs="Arial"/>
          <w:sz w:val="22"/>
          <w:szCs w:val="22"/>
        </w:rPr>
        <w:t>arties</w:t>
      </w:r>
      <w:r w:rsidRPr="00E03415">
        <w:rPr>
          <w:rFonts w:eastAsia="Calibri" w:cs="Arial"/>
          <w:sz w:val="22"/>
          <w:szCs w:val="22"/>
        </w:rPr>
        <w:t>, and encourage the exchange of related information.</w:t>
      </w:r>
    </w:p>
    <w:p w14:paraId="67E2BAFD" w14:textId="77777777" w:rsidR="00530BA8" w:rsidRDefault="00530BA8" w:rsidP="00530BA8">
      <w:pPr>
        <w:pStyle w:val="Heading1"/>
        <w:sectPr w:rsidR="00530BA8" w:rsidSect="00712646">
          <w:pgSz w:w="11900" w:h="16840"/>
          <w:pgMar w:top="1440" w:right="1800" w:bottom="1440" w:left="1800" w:header="708" w:footer="708" w:gutter="0"/>
          <w:cols w:space="708"/>
          <w:docGrid w:linePitch="360"/>
        </w:sectPr>
      </w:pPr>
      <w:bookmarkStart w:id="36" w:name="_Toc219952472"/>
    </w:p>
    <w:p w14:paraId="002C5B26" w14:textId="6A76FEF5" w:rsidR="00530BA8" w:rsidRDefault="00530BA8" w:rsidP="00530BA8">
      <w:pPr>
        <w:pStyle w:val="Heading3"/>
      </w:pPr>
      <w:r>
        <w:lastRenderedPageBreak/>
        <w:t xml:space="preserve">Annex C. Initial </w:t>
      </w:r>
      <w:r w:rsidR="004F2711">
        <w:t>indicative list of proposed meetings</w:t>
      </w:r>
      <w:bookmarkEnd w:id="36"/>
    </w:p>
    <w:p w14:paraId="40B16F1C" w14:textId="77777777" w:rsidR="00530BA8" w:rsidRDefault="00530BA8" w:rsidP="00530BA8">
      <w:pPr>
        <w:pStyle w:val="bullet"/>
        <w:numPr>
          <w:ilvl w:val="0"/>
          <w:numId w:val="0"/>
        </w:numPr>
      </w:pPr>
    </w:p>
    <w:tbl>
      <w:tblPr>
        <w:tblStyle w:val="LightShading-Accent1"/>
        <w:tblW w:w="0" w:type="auto"/>
        <w:tblLook w:val="04A0" w:firstRow="1" w:lastRow="0" w:firstColumn="1" w:lastColumn="0" w:noHBand="0" w:noVBand="1"/>
        <w:tblDescription w:val="Annex C. Initial indicative list of proposed meetings"/>
      </w:tblPr>
      <w:tblGrid>
        <w:gridCol w:w="1629"/>
        <w:gridCol w:w="6518"/>
      </w:tblGrid>
      <w:tr w:rsidR="00530BA8" w14:paraId="126B0A30" w14:textId="77777777" w:rsidTr="00856C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29" w:type="dxa"/>
          </w:tcPr>
          <w:p w14:paraId="720068C0" w14:textId="77777777" w:rsidR="00530BA8" w:rsidRPr="00A460B1" w:rsidRDefault="00530BA8" w:rsidP="00530BA8">
            <w:pPr>
              <w:pStyle w:val="bullet"/>
              <w:numPr>
                <w:ilvl w:val="0"/>
                <w:numId w:val="0"/>
              </w:numPr>
              <w:spacing w:before="60"/>
              <w:rPr>
                <w:sz w:val="22"/>
                <w:szCs w:val="22"/>
              </w:rPr>
            </w:pPr>
            <w:r w:rsidRPr="00A460B1">
              <w:rPr>
                <w:sz w:val="22"/>
                <w:szCs w:val="22"/>
              </w:rPr>
              <w:t>Location</w:t>
            </w:r>
          </w:p>
        </w:tc>
        <w:tc>
          <w:tcPr>
            <w:tcW w:w="6518" w:type="dxa"/>
          </w:tcPr>
          <w:p w14:paraId="14BF8557" w14:textId="4B911CEC" w:rsidR="00530BA8" w:rsidRPr="00A460B1" w:rsidRDefault="004F2711" w:rsidP="00530BA8">
            <w:pPr>
              <w:pStyle w:val="bullet"/>
              <w:numPr>
                <w:ilvl w:val="0"/>
                <w:numId w:val="0"/>
              </w:numPr>
              <w:spacing w:before="6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People</w:t>
            </w:r>
          </w:p>
        </w:tc>
      </w:tr>
      <w:tr w:rsidR="00530BA8" w14:paraId="28D981A8"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2F729407" w14:textId="77777777" w:rsidR="00530BA8" w:rsidRPr="00A460B1" w:rsidRDefault="00530BA8" w:rsidP="00530BA8">
            <w:pPr>
              <w:pStyle w:val="bullet"/>
              <w:numPr>
                <w:ilvl w:val="0"/>
                <w:numId w:val="0"/>
              </w:numPr>
              <w:spacing w:before="60"/>
              <w:rPr>
                <w:sz w:val="22"/>
                <w:szCs w:val="22"/>
              </w:rPr>
            </w:pPr>
            <w:r w:rsidRPr="00A460B1">
              <w:rPr>
                <w:sz w:val="22"/>
                <w:szCs w:val="22"/>
              </w:rPr>
              <w:t>Canberra, Australia</w:t>
            </w:r>
          </w:p>
          <w:p w14:paraId="59A59A0C" w14:textId="77777777" w:rsidR="00530BA8" w:rsidRPr="00A460B1" w:rsidRDefault="00530BA8" w:rsidP="00530BA8">
            <w:pPr>
              <w:pStyle w:val="bullet"/>
              <w:numPr>
                <w:ilvl w:val="0"/>
                <w:numId w:val="0"/>
              </w:numPr>
              <w:spacing w:before="60"/>
              <w:rPr>
                <w:sz w:val="22"/>
                <w:szCs w:val="22"/>
              </w:rPr>
            </w:pPr>
          </w:p>
        </w:tc>
        <w:tc>
          <w:tcPr>
            <w:tcW w:w="6518" w:type="dxa"/>
          </w:tcPr>
          <w:p w14:paraId="41139F77" w14:textId="7D0D1FD9" w:rsidR="00530BA8" w:rsidRPr="00A460B1" w:rsidRDefault="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sidRPr="00A460B1">
              <w:rPr>
                <w:b w:val="0"/>
                <w:sz w:val="22"/>
                <w:szCs w:val="22"/>
              </w:rPr>
              <w:t>Relevant AusAID staff at different levels, including: Director, East Asia; Manager, ASEAN program</w:t>
            </w:r>
            <w:r w:rsidR="004F2711">
              <w:rPr>
                <w:b w:val="0"/>
                <w:sz w:val="22"/>
                <w:szCs w:val="22"/>
              </w:rPr>
              <w:t>;</w:t>
            </w:r>
            <w:r w:rsidR="004F2711" w:rsidRPr="00A460B1">
              <w:rPr>
                <w:b w:val="0"/>
                <w:sz w:val="22"/>
                <w:szCs w:val="22"/>
              </w:rPr>
              <w:t xml:space="preserve"> </w:t>
            </w:r>
            <w:r w:rsidRPr="00A460B1">
              <w:rPr>
                <w:b w:val="0"/>
                <w:sz w:val="22"/>
                <w:szCs w:val="22"/>
              </w:rPr>
              <w:t>and relevant program officers</w:t>
            </w:r>
          </w:p>
        </w:tc>
      </w:tr>
      <w:tr w:rsidR="00530BA8" w14:paraId="0E61B021"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3B4FD350" w14:textId="77777777" w:rsidR="00530BA8" w:rsidRPr="00A460B1" w:rsidRDefault="00530BA8" w:rsidP="00530BA8">
            <w:pPr>
              <w:pStyle w:val="bullet"/>
              <w:numPr>
                <w:ilvl w:val="0"/>
                <w:numId w:val="0"/>
              </w:numPr>
              <w:spacing w:before="60"/>
              <w:rPr>
                <w:sz w:val="22"/>
                <w:szCs w:val="22"/>
              </w:rPr>
            </w:pPr>
          </w:p>
        </w:tc>
        <w:tc>
          <w:tcPr>
            <w:tcW w:w="6518" w:type="dxa"/>
          </w:tcPr>
          <w:p w14:paraId="006A7045" w14:textId="40E2746B" w:rsidR="00530BA8" w:rsidRPr="00A460B1" w:rsidRDefault="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sidRPr="00A460B1">
              <w:rPr>
                <w:b w:val="0"/>
                <w:sz w:val="22"/>
                <w:szCs w:val="22"/>
              </w:rPr>
              <w:t xml:space="preserve">Relevant </w:t>
            </w:r>
            <w:r w:rsidR="004F2711">
              <w:rPr>
                <w:b w:val="0"/>
                <w:sz w:val="22"/>
                <w:szCs w:val="22"/>
              </w:rPr>
              <w:t>Department of Foreign Affairs and Trade</w:t>
            </w:r>
            <w:r w:rsidR="004F2711" w:rsidRPr="00A460B1">
              <w:rPr>
                <w:b w:val="0"/>
                <w:sz w:val="22"/>
                <w:szCs w:val="22"/>
              </w:rPr>
              <w:t xml:space="preserve"> </w:t>
            </w:r>
            <w:r w:rsidRPr="00A460B1">
              <w:rPr>
                <w:b w:val="0"/>
                <w:sz w:val="22"/>
                <w:szCs w:val="22"/>
              </w:rPr>
              <w:t xml:space="preserve">and other Australian </w:t>
            </w:r>
            <w:r w:rsidR="004F2711">
              <w:rPr>
                <w:b w:val="0"/>
                <w:sz w:val="22"/>
                <w:szCs w:val="22"/>
              </w:rPr>
              <w:t>G</w:t>
            </w:r>
            <w:r w:rsidR="004F2711" w:rsidRPr="00A460B1">
              <w:rPr>
                <w:b w:val="0"/>
                <w:sz w:val="22"/>
                <w:szCs w:val="22"/>
              </w:rPr>
              <w:t xml:space="preserve">overnment </w:t>
            </w:r>
            <w:r w:rsidRPr="00A460B1">
              <w:rPr>
                <w:b w:val="0"/>
                <w:sz w:val="22"/>
                <w:szCs w:val="22"/>
              </w:rPr>
              <w:t xml:space="preserve">department staff responsible for AANZFTA matters, </w:t>
            </w:r>
            <w:r w:rsidR="004F2711">
              <w:rPr>
                <w:b w:val="0"/>
                <w:sz w:val="22"/>
                <w:szCs w:val="22"/>
              </w:rPr>
              <w:t>including the</w:t>
            </w:r>
            <w:r w:rsidR="004F2711" w:rsidRPr="00A460B1">
              <w:rPr>
                <w:b w:val="0"/>
                <w:sz w:val="22"/>
                <w:szCs w:val="22"/>
              </w:rPr>
              <w:t xml:space="preserve"> </w:t>
            </w:r>
            <w:r w:rsidRPr="00A460B1">
              <w:rPr>
                <w:b w:val="0"/>
                <w:sz w:val="22"/>
                <w:szCs w:val="22"/>
              </w:rPr>
              <w:t xml:space="preserve">Australian </w:t>
            </w:r>
            <w:r w:rsidR="004F2711">
              <w:rPr>
                <w:b w:val="0"/>
                <w:sz w:val="22"/>
                <w:szCs w:val="22"/>
              </w:rPr>
              <w:t>free trade agreement</w:t>
            </w:r>
            <w:r w:rsidR="004F2711" w:rsidRPr="00A460B1">
              <w:rPr>
                <w:b w:val="0"/>
                <w:sz w:val="22"/>
                <w:szCs w:val="22"/>
              </w:rPr>
              <w:t xml:space="preserve"> </w:t>
            </w:r>
            <w:r w:rsidRPr="00A460B1">
              <w:rPr>
                <w:b w:val="0"/>
                <w:sz w:val="22"/>
                <w:szCs w:val="22"/>
              </w:rPr>
              <w:t xml:space="preserve">co-chair; </w:t>
            </w:r>
            <w:r w:rsidR="004F2711">
              <w:rPr>
                <w:b w:val="0"/>
                <w:sz w:val="22"/>
                <w:szCs w:val="22"/>
              </w:rPr>
              <w:t>Department of Agriculture, Fisheries and Forestry</w:t>
            </w:r>
            <w:r w:rsidRPr="00A460B1">
              <w:rPr>
                <w:b w:val="0"/>
                <w:sz w:val="22"/>
                <w:szCs w:val="22"/>
              </w:rPr>
              <w:t>; Treasury; IP Australia; A</w:t>
            </w:r>
            <w:r w:rsidR="004F2711">
              <w:rPr>
                <w:b w:val="0"/>
                <w:sz w:val="22"/>
                <w:szCs w:val="22"/>
              </w:rPr>
              <w:t xml:space="preserve">ustralian </w:t>
            </w:r>
            <w:r w:rsidRPr="00A460B1">
              <w:rPr>
                <w:b w:val="0"/>
                <w:sz w:val="22"/>
                <w:szCs w:val="22"/>
              </w:rPr>
              <w:t>C</w:t>
            </w:r>
            <w:r w:rsidR="004F2711">
              <w:rPr>
                <w:b w:val="0"/>
                <w:sz w:val="22"/>
                <w:szCs w:val="22"/>
              </w:rPr>
              <w:t xml:space="preserve">ompetition and </w:t>
            </w:r>
            <w:r w:rsidRPr="00A460B1">
              <w:rPr>
                <w:b w:val="0"/>
                <w:sz w:val="22"/>
                <w:szCs w:val="22"/>
              </w:rPr>
              <w:t>C</w:t>
            </w:r>
            <w:r w:rsidR="004F2711">
              <w:rPr>
                <w:b w:val="0"/>
                <w:sz w:val="22"/>
                <w:szCs w:val="22"/>
              </w:rPr>
              <w:t xml:space="preserve">onsumer </w:t>
            </w:r>
            <w:r w:rsidRPr="00A460B1">
              <w:rPr>
                <w:b w:val="0"/>
                <w:sz w:val="22"/>
                <w:szCs w:val="22"/>
              </w:rPr>
              <w:t>C</w:t>
            </w:r>
            <w:r w:rsidR="004F2711">
              <w:rPr>
                <w:b w:val="0"/>
                <w:sz w:val="22"/>
                <w:szCs w:val="22"/>
              </w:rPr>
              <w:t>ommission</w:t>
            </w:r>
          </w:p>
        </w:tc>
      </w:tr>
      <w:tr w:rsidR="00530BA8" w14:paraId="73AD283D"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54AEAA25" w14:textId="77777777" w:rsidR="00530BA8" w:rsidRPr="00A460B1" w:rsidRDefault="00530BA8" w:rsidP="00530BA8">
            <w:pPr>
              <w:pStyle w:val="bullet"/>
              <w:numPr>
                <w:ilvl w:val="0"/>
                <w:numId w:val="0"/>
              </w:numPr>
              <w:spacing w:before="60"/>
              <w:rPr>
                <w:sz w:val="22"/>
                <w:szCs w:val="22"/>
              </w:rPr>
            </w:pPr>
          </w:p>
        </w:tc>
        <w:tc>
          <w:tcPr>
            <w:tcW w:w="6518" w:type="dxa"/>
          </w:tcPr>
          <w:p w14:paraId="4BC22FB6" w14:textId="6B0DCC83" w:rsidR="00530BA8" w:rsidRPr="00A460B1" w:rsidRDefault="00530BA8" w:rsidP="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sidRPr="00A460B1">
              <w:rPr>
                <w:b w:val="0"/>
                <w:sz w:val="22"/>
                <w:szCs w:val="22"/>
              </w:rPr>
              <w:t>Canberra based contractors, consultants or researchers familiar with program and AANZFTA implementation</w:t>
            </w:r>
          </w:p>
        </w:tc>
      </w:tr>
      <w:tr w:rsidR="00530BA8" w14:paraId="0CAFB544"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54EDA52B" w14:textId="77777777" w:rsidR="00530BA8" w:rsidRPr="00A460B1" w:rsidRDefault="00530BA8" w:rsidP="00530BA8">
            <w:pPr>
              <w:pStyle w:val="bullet"/>
              <w:numPr>
                <w:ilvl w:val="0"/>
                <w:numId w:val="0"/>
              </w:numPr>
              <w:spacing w:before="60"/>
              <w:rPr>
                <w:sz w:val="22"/>
                <w:szCs w:val="22"/>
              </w:rPr>
            </w:pPr>
          </w:p>
        </w:tc>
        <w:tc>
          <w:tcPr>
            <w:tcW w:w="6518" w:type="dxa"/>
          </w:tcPr>
          <w:p w14:paraId="3BE649F3" w14:textId="0B6BAD76" w:rsidR="00530BA8" w:rsidRPr="00A460B1" w:rsidRDefault="00530BA8" w:rsidP="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sidRPr="00A460B1">
              <w:rPr>
                <w:b w:val="0"/>
                <w:sz w:val="22"/>
                <w:szCs w:val="22"/>
              </w:rPr>
              <w:t>Telephone meetings with N</w:t>
            </w:r>
            <w:r w:rsidR="004F2711">
              <w:rPr>
                <w:b w:val="0"/>
                <w:sz w:val="22"/>
                <w:szCs w:val="22"/>
              </w:rPr>
              <w:t xml:space="preserve">ew </w:t>
            </w:r>
            <w:r w:rsidRPr="00A460B1">
              <w:rPr>
                <w:b w:val="0"/>
                <w:sz w:val="22"/>
                <w:szCs w:val="22"/>
              </w:rPr>
              <w:t>Z</w:t>
            </w:r>
            <w:r w:rsidR="004F2711">
              <w:rPr>
                <w:b w:val="0"/>
                <w:sz w:val="22"/>
                <w:szCs w:val="22"/>
              </w:rPr>
              <w:t>ealand</w:t>
            </w:r>
            <w:r w:rsidRPr="00A460B1">
              <w:rPr>
                <w:b w:val="0"/>
                <w:sz w:val="22"/>
                <w:szCs w:val="22"/>
              </w:rPr>
              <w:t xml:space="preserve"> officials, including N</w:t>
            </w:r>
            <w:r w:rsidR="004F2711">
              <w:rPr>
                <w:b w:val="0"/>
                <w:sz w:val="22"/>
                <w:szCs w:val="22"/>
              </w:rPr>
              <w:t xml:space="preserve">ew </w:t>
            </w:r>
            <w:r w:rsidRPr="00A460B1">
              <w:rPr>
                <w:b w:val="0"/>
                <w:sz w:val="22"/>
                <w:szCs w:val="22"/>
              </w:rPr>
              <w:t>Z</w:t>
            </w:r>
            <w:r w:rsidR="004F2711">
              <w:rPr>
                <w:b w:val="0"/>
                <w:sz w:val="22"/>
                <w:szCs w:val="22"/>
              </w:rPr>
              <w:t>ealand</w:t>
            </w:r>
            <w:r w:rsidRPr="00A460B1">
              <w:rPr>
                <w:b w:val="0"/>
                <w:sz w:val="22"/>
                <w:szCs w:val="22"/>
              </w:rPr>
              <w:t xml:space="preserve"> </w:t>
            </w:r>
            <w:r w:rsidR="004F2711">
              <w:rPr>
                <w:b w:val="0"/>
                <w:sz w:val="22"/>
                <w:szCs w:val="22"/>
              </w:rPr>
              <w:t>free trade agreement</w:t>
            </w:r>
            <w:r w:rsidRPr="00A460B1">
              <w:rPr>
                <w:b w:val="0"/>
                <w:sz w:val="22"/>
                <w:szCs w:val="22"/>
              </w:rPr>
              <w:t xml:space="preserve"> co-chair</w:t>
            </w:r>
          </w:p>
        </w:tc>
      </w:tr>
      <w:tr w:rsidR="00530BA8" w14:paraId="2C769374"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4BC997D7" w14:textId="77777777" w:rsidR="00530BA8" w:rsidRPr="00A460B1" w:rsidRDefault="00530BA8" w:rsidP="00530BA8">
            <w:pPr>
              <w:pStyle w:val="bullet"/>
              <w:numPr>
                <w:ilvl w:val="0"/>
                <w:numId w:val="0"/>
              </w:numPr>
              <w:spacing w:before="60"/>
              <w:rPr>
                <w:sz w:val="22"/>
                <w:szCs w:val="22"/>
              </w:rPr>
            </w:pPr>
          </w:p>
        </w:tc>
        <w:tc>
          <w:tcPr>
            <w:tcW w:w="6518" w:type="dxa"/>
          </w:tcPr>
          <w:p w14:paraId="0FD2FE68" w14:textId="3CEA42B0" w:rsidR="00530BA8" w:rsidRPr="00A460B1" w:rsidRDefault="00530BA8" w:rsidP="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sidRPr="00A460B1">
              <w:rPr>
                <w:b w:val="0"/>
                <w:sz w:val="22"/>
                <w:szCs w:val="22"/>
              </w:rPr>
              <w:t>Research, business and labour representatives with interest in AANZFTA</w:t>
            </w:r>
          </w:p>
        </w:tc>
      </w:tr>
      <w:tr w:rsidR="00530BA8" w14:paraId="3881233F"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5C03A168" w14:textId="77777777" w:rsidR="00530BA8" w:rsidRPr="00A460B1" w:rsidRDefault="00530BA8" w:rsidP="00530BA8">
            <w:pPr>
              <w:pStyle w:val="bullet"/>
              <w:numPr>
                <w:ilvl w:val="0"/>
                <w:numId w:val="0"/>
              </w:numPr>
              <w:spacing w:before="60"/>
              <w:rPr>
                <w:sz w:val="22"/>
                <w:szCs w:val="22"/>
              </w:rPr>
            </w:pPr>
            <w:r w:rsidRPr="00A460B1">
              <w:rPr>
                <w:sz w:val="22"/>
                <w:szCs w:val="22"/>
              </w:rPr>
              <w:t>Jakarta, Indonesia</w:t>
            </w:r>
          </w:p>
        </w:tc>
        <w:tc>
          <w:tcPr>
            <w:tcW w:w="6518" w:type="dxa"/>
          </w:tcPr>
          <w:p w14:paraId="1253EB93" w14:textId="4D29A641" w:rsidR="00530BA8" w:rsidRPr="00A460B1" w:rsidRDefault="00FA23AA" w:rsidP="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Pr>
                <w:b w:val="0"/>
                <w:sz w:val="22"/>
                <w:szCs w:val="22"/>
              </w:rPr>
              <w:t xml:space="preserve">ASEAN </w:t>
            </w:r>
            <w:r w:rsidR="004F2711">
              <w:rPr>
                <w:b w:val="0"/>
                <w:sz w:val="22"/>
                <w:szCs w:val="22"/>
              </w:rPr>
              <w:t>Secretariat</w:t>
            </w:r>
            <w:r w:rsidR="00530BA8" w:rsidRPr="00A460B1">
              <w:rPr>
                <w:b w:val="0"/>
                <w:sz w:val="22"/>
                <w:szCs w:val="22"/>
              </w:rPr>
              <w:t>, relevant senior staff responsible for AANZFTA negotiations and implementation</w:t>
            </w:r>
          </w:p>
        </w:tc>
      </w:tr>
      <w:tr w:rsidR="00530BA8" w14:paraId="49A0AE57"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4D31EE3E" w14:textId="77777777" w:rsidR="00530BA8" w:rsidRPr="00A460B1" w:rsidRDefault="00530BA8" w:rsidP="00530BA8">
            <w:pPr>
              <w:pStyle w:val="bullet"/>
              <w:numPr>
                <w:ilvl w:val="0"/>
                <w:numId w:val="0"/>
              </w:numPr>
              <w:spacing w:before="60"/>
              <w:rPr>
                <w:sz w:val="22"/>
                <w:szCs w:val="22"/>
              </w:rPr>
            </w:pPr>
          </w:p>
        </w:tc>
        <w:tc>
          <w:tcPr>
            <w:tcW w:w="6518" w:type="dxa"/>
          </w:tcPr>
          <w:p w14:paraId="0F8DAFDF" w14:textId="7A01B2B4" w:rsidR="00530BA8" w:rsidRPr="00A460B1" w:rsidRDefault="00FA23AA" w:rsidP="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Pr>
                <w:b w:val="0"/>
                <w:sz w:val="22"/>
                <w:szCs w:val="22"/>
              </w:rPr>
              <w:t xml:space="preserve">ASEAN </w:t>
            </w:r>
            <w:r w:rsidR="004F2711">
              <w:rPr>
                <w:b w:val="0"/>
                <w:sz w:val="22"/>
                <w:szCs w:val="22"/>
              </w:rPr>
              <w:t>Secretariat</w:t>
            </w:r>
            <w:r w:rsidR="004F2711" w:rsidRPr="00A460B1" w:rsidDel="005856D4">
              <w:rPr>
                <w:b w:val="0"/>
                <w:sz w:val="22"/>
                <w:szCs w:val="22"/>
              </w:rPr>
              <w:t xml:space="preserve"> </w:t>
            </w:r>
            <w:r w:rsidR="00530BA8" w:rsidRPr="00A460B1">
              <w:rPr>
                <w:b w:val="0"/>
                <w:sz w:val="22"/>
                <w:szCs w:val="22"/>
              </w:rPr>
              <w:t>officers exposed to program supported projects</w:t>
            </w:r>
          </w:p>
        </w:tc>
      </w:tr>
      <w:tr w:rsidR="00530BA8" w14:paraId="6C7C3286"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344D1F84" w14:textId="77777777" w:rsidR="00530BA8" w:rsidRPr="00A460B1" w:rsidRDefault="00530BA8" w:rsidP="00530BA8">
            <w:pPr>
              <w:pStyle w:val="bullet"/>
              <w:numPr>
                <w:ilvl w:val="0"/>
                <w:numId w:val="0"/>
              </w:numPr>
              <w:spacing w:before="60"/>
              <w:rPr>
                <w:sz w:val="22"/>
                <w:szCs w:val="22"/>
              </w:rPr>
            </w:pPr>
          </w:p>
        </w:tc>
        <w:tc>
          <w:tcPr>
            <w:tcW w:w="6518" w:type="dxa"/>
          </w:tcPr>
          <w:p w14:paraId="0DBED19D" w14:textId="15FE7436" w:rsidR="00530BA8" w:rsidRPr="00A460B1" w:rsidRDefault="00FA23AA" w:rsidP="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Pr>
                <w:b w:val="0"/>
                <w:sz w:val="22"/>
                <w:szCs w:val="22"/>
              </w:rPr>
              <w:t xml:space="preserve">ASEAN </w:t>
            </w:r>
            <w:r w:rsidR="004F2711">
              <w:rPr>
                <w:b w:val="0"/>
                <w:sz w:val="22"/>
                <w:szCs w:val="22"/>
              </w:rPr>
              <w:t>Secretariat</w:t>
            </w:r>
            <w:r w:rsidR="004F2711" w:rsidRPr="00A460B1" w:rsidDel="005856D4">
              <w:rPr>
                <w:b w:val="0"/>
                <w:sz w:val="22"/>
                <w:szCs w:val="22"/>
              </w:rPr>
              <w:t xml:space="preserve"> </w:t>
            </w:r>
            <w:r w:rsidR="00530BA8" w:rsidRPr="00A460B1">
              <w:rPr>
                <w:b w:val="0"/>
                <w:sz w:val="22"/>
                <w:szCs w:val="22"/>
              </w:rPr>
              <w:t>staff responsible for development cooperation programs</w:t>
            </w:r>
          </w:p>
        </w:tc>
      </w:tr>
      <w:tr w:rsidR="00530BA8" w14:paraId="0D4646EA"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73AB2B3F" w14:textId="77777777" w:rsidR="00530BA8" w:rsidRPr="00A460B1" w:rsidRDefault="00530BA8" w:rsidP="00530BA8">
            <w:pPr>
              <w:pStyle w:val="bullet"/>
              <w:numPr>
                <w:ilvl w:val="0"/>
                <w:numId w:val="0"/>
              </w:numPr>
              <w:spacing w:before="60"/>
              <w:rPr>
                <w:sz w:val="22"/>
                <w:szCs w:val="22"/>
              </w:rPr>
            </w:pPr>
          </w:p>
        </w:tc>
        <w:tc>
          <w:tcPr>
            <w:tcW w:w="6518" w:type="dxa"/>
          </w:tcPr>
          <w:p w14:paraId="08A717BC" w14:textId="369461B7" w:rsidR="00530BA8" w:rsidRPr="00A460B1" w:rsidRDefault="00530BA8" w:rsidP="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sidRPr="00A460B1">
              <w:rPr>
                <w:b w:val="0"/>
                <w:sz w:val="22"/>
                <w:szCs w:val="22"/>
              </w:rPr>
              <w:t xml:space="preserve">Members of the </w:t>
            </w:r>
            <w:r w:rsidR="004F2711" w:rsidRPr="00A460B1">
              <w:rPr>
                <w:b w:val="0"/>
                <w:sz w:val="22"/>
                <w:szCs w:val="22"/>
              </w:rPr>
              <w:t>AANZFTA</w:t>
            </w:r>
            <w:r w:rsidR="004F2711">
              <w:rPr>
                <w:b w:val="0"/>
                <w:sz w:val="22"/>
                <w:szCs w:val="22"/>
              </w:rPr>
              <w:t xml:space="preserve"> Support Unit</w:t>
            </w:r>
            <w:r w:rsidRPr="00A460B1">
              <w:rPr>
                <w:b w:val="0"/>
                <w:sz w:val="22"/>
                <w:szCs w:val="22"/>
              </w:rPr>
              <w:t xml:space="preserve">, including all component program officers, </w:t>
            </w:r>
            <w:r w:rsidR="001827E7">
              <w:rPr>
                <w:b w:val="0"/>
                <w:sz w:val="22"/>
                <w:szCs w:val="22"/>
              </w:rPr>
              <w:t>monitoring and evaluation</w:t>
            </w:r>
            <w:r w:rsidRPr="00A460B1">
              <w:rPr>
                <w:b w:val="0"/>
                <w:sz w:val="22"/>
                <w:szCs w:val="22"/>
              </w:rPr>
              <w:t xml:space="preserve"> officer, etc.</w:t>
            </w:r>
          </w:p>
        </w:tc>
      </w:tr>
      <w:tr w:rsidR="00530BA8" w14:paraId="45F3D251"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5C1B3AA6" w14:textId="77777777" w:rsidR="00530BA8" w:rsidRPr="00A460B1" w:rsidRDefault="00530BA8" w:rsidP="00530BA8">
            <w:pPr>
              <w:pStyle w:val="bullet"/>
              <w:numPr>
                <w:ilvl w:val="0"/>
                <w:numId w:val="0"/>
              </w:numPr>
              <w:spacing w:before="60"/>
              <w:rPr>
                <w:sz w:val="22"/>
                <w:szCs w:val="22"/>
              </w:rPr>
            </w:pPr>
          </w:p>
        </w:tc>
        <w:tc>
          <w:tcPr>
            <w:tcW w:w="6518" w:type="dxa"/>
          </w:tcPr>
          <w:p w14:paraId="1BA5E2A0" w14:textId="75758351" w:rsidR="00530BA8" w:rsidRPr="00A460B1" w:rsidRDefault="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sidRPr="00A460B1">
              <w:rPr>
                <w:b w:val="0"/>
                <w:sz w:val="22"/>
                <w:szCs w:val="22"/>
              </w:rPr>
              <w:t>Committee of Permanent Representatives members (Singapore</w:t>
            </w:r>
            <w:r w:rsidR="00BC49E2">
              <w:rPr>
                <w:b w:val="0"/>
                <w:sz w:val="22"/>
                <w:szCs w:val="22"/>
              </w:rPr>
              <w:t>,</w:t>
            </w:r>
            <w:r w:rsidR="00BC49E2" w:rsidRPr="00A460B1">
              <w:rPr>
                <w:b w:val="0"/>
                <w:sz w:val="22"/>
                <w:szCs w:val="22"/>
              </w:rPr>
              <w:t xml:space="preserve"> </w:t>
            </w:r>
            <w:r w:rsidRPr="00A460B1">
              <w:rPr>
                <w:b w:val="0"/>
                <w:sz w:val="22"/>
                <w:szCs w:val="22"/>
              </w:rPr>
              <w:t>Philippines (latter Australia’s current country coordinator)</w:t>
            </w:r>
            <w:r w:rsidR="004F2711">
              <w:rPr>
                <w:b w:val="0"/>
                <w:sz w:val="22"/>
                <w:szCs w:val="22"/>
              </w:rPr>
              <w:t>)</w:t>
            </w:r>
            <w:r w:rsidRPr="00A460B1">
              <w:rPr>
                <w:b w:val="0"/>
                <w:sz w:val="22"/>
                <w:szCs w:val="22"/>
              </w:rPr>
              <w:t xml:space="preserve"> </w:t>
            </w:r>
          </w:p>
        </w:tc>
      </w:tr>
      <w:tr w:rsidR="00530BA8" w14:paraId="3B6F3E9B"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35D83E20" w14:textId="77777777" w:rsidR="00530BA8" w:rsidRPr="00A460B1" w:rsidRDefault="00530BA8" w:rsidP="00530BA8">
            <w:pPr>
              <w:pStyle w:val="bullet"/>
              <w:numPr>
                <w:ilvl w:val="0"/>
                <w:numId w:val="0"/>
              </w:numPr>
              <w:spacing w:before="60"/>
              <w:rPr>
                <w:sz w:val="22"/>
                <w:szCs w:val="22"/>
              </w:rPr>
            </w:pPr>
          </w:p>
        </w:tc>
        <w:tc>
          <w:tcPr>
            <w:tcW w:w="6518" w:type="dxa"/>
          </w:tcPr>
          <w:p w14:paraId="43D41D27" w14:textId="653A3268" w:rsidR="00530BA8" w:rsidRPr="00A460B1" w:rsidRDefault="004F2711" w:rsidP="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Pr>
                <w:b w:val="0"/>
                <w:sz w:val="22"/>
                <w:szCs w:val="22"/>
              </w:rPr>
              <w:t>P</w:t>
            </w:r>
            <w:r w:rsidR="0045046A">
              <w:rPr>
                <w:b w:val="0"/>
                <w:sz w:val="22"/>
                <w:szCs w:val="22"/>
              </w:rPr>
              <w:t>rogram</w:t>
            </w:r>
            <w:r w:rsidR="00530BA8" w:rsidRPr="00A460B1">
              <w:rPr>
                <w:b w:val="0"/>
                <w:sz w:val="22"/>
                <w:szCs w:val="22"/>
              </w:rPr>
              <w:t xml:space="preserve"> consultants and contractors </w:t>
            </w:r>
          </w:p>
        </w:tc>
      </w:tr>
      <w:tr w:rsidR="00530BA8" w14:paraId="3E67FC5F"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35C18731" w14:textId="77777777" w:rsidR="00530BA8" w:rsidRPr="00A460B1" w:rsidRDefault="00530BA8" w:rsidP="00530BA8">
            <w:pPr>
              <w:pStyle w:val="bullet"/>
              <w:numPr>
                <w:ilvl w:val="0"/>
                <w:numId w:val="0"/>
              </w:numPr>
              <w:spacing w:before="60"/>
              <w:rPr>
                <w:sz w:val="22"/>
                <w:szCs w:val="22"/>
              </w:rPr>
            </w:pPr>
          </w:p>
        </w:tc>
        <w:tc>
          <w:tcPr>
            <w:tcW w:w="6518" w:type="dxa"/>
          </w:tcPr>
          <w:p w14:paraId="5C6C3632" w14:textId="6E58D4E2" w:rsidR="00530BA8" w:rsidRPr="00A460B1" w:rsidRDefault="00530BA8" w:rsidP="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sidRPr="00A460B1">
              <w:rPr>
                <w:b w:val="0"/>
                <w:sz w:val="22"/>
                <w:szCs w:val="22"/>
              </w:rPr>
              <w:t>Members of the F</w:t>
            </w:r>
            <w:r w:rsidR="004F2711">
              <w:rPr>
                <w:b w:val="0"/>
                <w:sz w:val="22"/>
                <w:szCs w:val="22"/>
              </w:rPr>
              <w:t xml:space="preserve">ree </w:t>
            </w:r>
            <w:r w:rsidRPr="00A460B1">
              <w:rPr>
                <w:b w:val="0"/>
                <w:sz w:val="22"/>
                <w:szCs w:val="22"/>
              </w:rPr>
              <w:t>T</w:t>
            </w:r>
            <w:r w:rsidR="004F2711">
              <w:rPr>
                <w:b w:val="0"/>
                <w:sz w:val="22"/>
                <w:szCs w:val="22"/>
              </w:rPr>
              <w:t xml:space="preserve">rade </w:t>
            </w:r>
            <w:r w:rsidRPr="00A460B1">
              <w:rPr>
                <w:b w:val="0"/>
                <w:sz w:val="22"/>
                <w:szCs w:val="22"/>
              </w:rPr>
              <w:t>A</w:t>
            </w:r>
            <w:r w:rsidR="004F2711">
              <w:rPr>
                <w:b w:val="0"/>
                <w:sz w:val="22"/>
                <w:szCs w:val="22"/>
              </w:rPr>
              <w:t>greement</w:t>
            </w:r>
            <w:r w:rsidRPr="00A460B1">
              <w:rPr>
                <w:b w:val="0"/>
                <w:sz w:val="22"/>
                <w:szCs w:val="22"/>
              </w:rPr>
              <w:t xml:space="preserve"> Joint Committee (mostly by email or phone)</w:t>
            </w:r>
          </w:p>
        </w:tc>
      </w:tr>
      <w:tr w:rsidR="00530BA8" w14:paraId="2D8F72DB"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3649AB0B" w14:textId="77777777" w:rsidR="00530BA8" w:rsidRPr="00A460B1" w:rsidRDefault="00530BA8" w:rsidP="00530BA8">
            <w:pPr>
              <w:pStyle w:val="bullet"/>
              <w:numPr>
                <w:ilvl w:val="0"/>
                <w:numId w:val="0"/>
              </w:numPr>
              <w:spacing w:before="60"/>
              <w:rPr>
                <w:sz w:val="22"/>
                <w:szCs w:val="22"/>
              </w:rPr>
            </w:pPr>
          </w:p>
        </w:tc>
        <w:tc>
          <w:tcPr>
            <w:tcW w:w="6518" w:type="dxa"/>
          </w:tcPr>
          <w:p w14:paraId="4333995E" w14:textId="6CE7566C" w:rsidR="00530BA8" w:rsidRPr="00A460B1" w:rsidRDefault="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sidRPr="00A460B1">
              <w:rPr>
                <w:b w:val="0"/>
                <w:sz w:val="22"/>
                <w:szCs w:val="22"/>
              </w:rPr>
              <w:t>Representative</w:t>
            </w:r>
            <w:r w:rsidR="004F2711">
              <w:rPr>
                <w:b w:val="0"/>
                <w:sz w:val="22"/>
                <w:szCs w:val="22"/>
              </w:rPr>
              <w:t>s</w:t>
            </w:r>
            <w:r w:rsidRPr="00A460B1">
              <w:rPr>
                <w:b w:val="0"/>
                <w:sz w:val="22"/>
                <w:szCs w:val="22"/>
              </w:rPr>
              <w:t xml:space="preserve"> of Indonesian, ASEAN, Australian and N</w:t>
            </w:r>
            <w:r w:rsidR="004F2711">
              <w:rPr>
                <w:b w:val="0"/>
                <w:sz w:val="22"/>
                <w:szCs w:val="22"/>
              </w:rPr>
              <w:t xml:space="preserve">ew </w:t>
            </w:r>
            <w:r w:rsidRPr="00A460B1">
              <w:rPr>
                <w:b w:val="0"/>
                <w:sz w:val="22"/>
                <w:szCs w:val="22"/>
              </w:rPr>
              <w:t>Z</w:t>
            </w:r>
            <w:r w:rsidR="004F2711">
              <w:rPr>
                <w:b w:val="0"/>
                <w:sz w:val="22"/>
                <w:szCs w:val="22"/>
              </w:rPr>
              <w:t>ealand</w:t>
            </w:r>
            <w:r w:rsidRPr="00A460B1">
              <w:rPr>
                <w:b w:val="0"/>
                <w:sz w:val="22"/>
                <w:szCs w:val="22"/>
              </w:rPr>
              <w:t xml:space="preserve"> </w:t>
            </w:r>
            <w:r w:rsidR="004F2711">
              <w:rPr>
                <w:b w:val="0"/>
                <w:sz w:val="22"/>
                <w:szCs w:val="22"/>
              </w:rPr>
              <w:t>b</w:t>
            </w:r>
            <w:r w:rsidR="004F2711" w:rsidRPr="00A460B1">
              <w:rPr>
                <w:b w:val="0"/>
                <w:sz w:val="22"/>
                <w:szCs w:val="22"/>
              </w:rPr>
              <w:t xml:space="preserve">usiness </w:t>
            </w:r>
            <w:r w:rsidR="004F2711">
              <w:rPr>
                <w:b w:val="0"/>
                <w:sz w:val="22"/>
                <w:szCs w:val="22"/>
              </w:rPr>
              <w:t>a</w:t>
            </w:r>
            <w:r w:rsidR="004F2711" w:rsidRPr="00A460B1">
              <w:rPr>
                <w:b w:val="0"/>
                <w:sz w:val="22"/>
                <w:szCs w:val="22"/>
              </w:rPr>
              <w:t>ssociations</w:t>
            </w:r>
          </w:p>
        </w:tc>
      </w:tr>
      <w:tr w:rsidR="00530BA8" w14:paraId="3443AB8C"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73360EE0" w14:textId="77777777" w:rsidR="00530BA8" w:rsidRPr="00A460B1" w:rsidRDefault="00530BA8" w:rsidP="00530BA8">
            <w:pPr>
              <w:pStyle w:val="bullet"/>
              <w:numPr>
                <w:ilvl w:val="0"/>
                <w:numId w:val="0"/>
              </w:numPr>
              <w:spacing w:before="60"/>
              <w:rPr>
                <w:sz w:val="22"/>
                <w:szCs w:val="22"/>
              </w:rPr>
            </w:pPr>
          </w:p>
        </w:tc>
        <w:tc>
          <w:tcPr>
            <w:tcW w:w="6518" w:type="dxa"/>
          </w:tcPr>
          <w:p w14:paraId="7BE5A6F9" w14:textId="66A52BC7" w:rsidR="00530BA8" w:rsidRPr="00A460B1" w:rsidRDefault="00530BA8" w:rsidP="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sidRPr="00A460B1">
              <w:rPr>
                <w:b w:val="0"/>
                <w:sz w:val="22"/>
                <w:szCs w:val="22"/>
              </w:rPr>
              <w:t>Edimon Ginting, A</w:t>
            </w:r>
            <w:r w:rsidR="004F2711">
              <w:rPr>
                <w:b w:val="0"/>
                <w:sz w:val="22"/>
                <w:szCs w:val="22"/>
              </w:rPr>
              <w:t xml:space="preserve">sian </w:t>
            </w:r>
            <w:r w:rsidRPr="00A460B1">
              <w:rPr>
                <w:b w:val="0"/>
                <w:sz w:val="22"/>
                <w:szCs w:val="22"/>
              </w:rPr>
              <w:t>D</w:t>
            </w:r>
            <w:r w:rsidR="004F2711">
              <w:rPr>
                <w:b w:val="0"/>
                <w:sz w:val="22"/>
                <w:szCs w:val="22"/>
              </w:rPr>
              <w:t xml:space="preserve">evelopment </w:t>
            </w:r>
            <w:r w:rsidRPr="00A460B1">
              <w:rPr>
                <w:b w:val="0"/>
                <w:sz w:val="22"/>
                <w:szCs w:val="22"/>
              </w:rPr>
              <w:t>B</w:t>
            </w:r>
            <w:r w:rsidR="004F2711">
              <w:rPr>
                <w:b w:val="0"/>
                <w:sz w:val="22"/>
                <w:szCs w:val="22"/>
              </w:rPr>
              <w:t>ank</w:t>
            </w:r>
            <w:r w:rsidRPr="00A460B1">
              <w:rPr>
                <w:b w:val="0"/>
                <w:sz w:val="22"/>
                <w:szCs w:val="22"/>
              </w:rPr>
              <w:t xml:space="preserve"> Deputy Country Director</w:t>
            </w:r>
          </w:p>
        </w:tc>
      </w:tr>
      <w:tr w:rsidR="00530BA8" w14:paraId="064AA9AC"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2318F4E6" w14:textId="77777777" w:rsidR="00530BA8" w:rsidRPr="00A460B1" w:rsidRDefault="00530BA8" w:rsidP="00530BA8">
            <w:pPr>
              <w:pStyle w:val="bullet"/>
              <w:numPr>
                <w:ilvl w:val="0"/>
                <w:numId w:val="0"/>
              </w:numPr>
              <w:spacing w:before="60"/>
              <w:rPr>
                <w:sz w:val="22"/>
                <w:szCs w:val="22"/>
              </w:rPr>
            </w:pPr>
          </w:p>
        </w:tc>
        <w:tc>
          <w:tcPr>
            <w:tcW w:w="6518" w:type="dxa"/>
          </w:tcPr>
          <w:p w14:paraId="0F77E9A2" w14:textId="77777777" w:rsidR="00530BA8" w:rsidRPr="00A460B1" w:rsidRDefault="00530BA8" w:rsidP="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sidRPr="00A460B1">
              <w:rPr>
                <w:b w:val="0"/>
                <w:sz w:val="22"/>
                <w:szCs w:val="22"/>
              </w:rPr>
              <w:t>AusAID, Jakarta staff</w:t>
            </w:r>
          </w:p>
        </w:tc>
      </w:tr>
      <w:tr w:rsidR="00530BA8" w14:paraId="4B7B344C"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795BD956" w14:textId="77777777" w:rsidR="00530BA8" w:rsidRPr="00A460B1" w:rsidRDefault="00530BA8" w:rsidP="00530BA8">
            <w:pPr>
              <w:pStyle w:val="bullet"/>
              <w:numPr>
                <w:ilvl w:val="0"/>
                <w:numId w:val="0"/>
              </w:numPr>
              <w:spacing w:before="60"/>
              <w:rPr>
                <w:sz w:val="22"/>
                <w:szCs w:val="22"/>
              </w:rPr>
            </w:pPr>
          </w:p>
        </w:tc>
        <w:tc>
          <w:tcPr>
            <w:tcW w:w="6518" w:type="dxa"/>
          </w:tcPr>
          <w:p w14:paraId="53ADBEBD" w14:textId="700EC06A" w:rsidR="00530BA8" w:rsidRPr="00A460B1" w:rsidRDefault="00530BA8" w:rsidP="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sidRPr="00A460B1">
              <w:rPr>
                <w:b w:val="0"/>
                <w:sz w:val="22"/>
                <w:szCs w:val="22"/>
              </w:rPr>
              <w:t>Researchers familiar with program and/or AANZFTA implementation i</w:t>
            </w:r>
            <w:r w:rsidR="004F2711">
              <w:rPr>
                <w:b w:val="0"/>
                <w:sz w:val="22"/>
                <w:szCs w:val="22"/>
              </w:rPr>
              <w:t>.</w:t>
            </w:r>
            <w:r w:rsidRPr="00A460B1">
              <w:rPr>
                <w:b w:val="0"/>
                <w:sz w:val="22"/>
                <w:szCs w:val="22"/>
              </w:rPr>
              <w:t>e</w:t>
            </w:r>
            <w:r w:rsidR="004F2711">
              <w:rPr>
                <w:b w:val="0"/>
                <w:sz w:val="22"/>
                <w:szCs w:val="22"/>
              </w:rPr>
              <w:t>.</w:t>
            </w:r>
            <w:r w:rsidRPr="00A460B1">
              <w:rPr>
                <w:b w:val="0"/>
                <w:sz w:val="22"/>
                <w:szCs w:val="22"/>
              </w:rPr>
              <w:t xml:space="preserve"> ERIA.</w:t>
            </w:r>
          </w:p>
        </w:tc>
      </w:tr>
      <w:tr w:rsidR="00530BA8" w14:paraId="7DB0BCF7"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50922711" w14:textId="77777777" w:rsidR="00530BA8" w:rsidRPr="00A460B1" w:rsidRDefault="00530BA8" w:rsidP="00530BA8">
            <w:pPr>
              <w:pStyle w:val="bullet"/>
              <w:numPr>
                <w:ilvl w:val="0"/>
                <w:numId w:val="0"/>
              </w:numPr>
              <w:spacing w:before="60"/>
              <w:rPr>
                <w:sz w:val="22"/>
                <w:szCs w:val="22"/>
              </w:rPr>
            </w:pPr>
          </w:p>
        </w:tc>
        <w:tc>
          <w:tcPr>
            <w:tcW w:w="6518" w:type="dxa"/>
          </w:tcPr>
          <w:p w14:paraId="11F1A0C1" w14:textId="01EB6054" w:rsidR="00530BA8" w:rsidRPr="00A460B1" w:rsidRDefault="00530BA8">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sidRPr="00A460B1">
              <w:rPr>
                <w:b w:val="0"/>
                <w:sz w:val="22"/>
                <w:szCs w:val="22"/>
              </w:rPr>
              <w:t>N</w:t>
            </w:r>
            <w:r w:rsidR="004F2711">
              <w:rPr>
                <w:b w:val="0"/>
                <w:sz w:val="22"/>
                <w:szCs w:val="22"/>
              </w:rPr>
              <w:t xml:space="preserve">ew </w:t>
            </w:r>
            <w:r w:rsidRPr="00A460B1">
              <w:rPr>
                <w:b w:val="0"/>
                <w:sz w:val="22"/>
                <w:szCs w:val="22"/>
              </w:rPr>
              <w:t>Z</w:t>
            </w:r>
            <w:r w:rsidR="004F2711">
              <w:rPr>
                <w:b w:val="0"/>
                <w:sz w:val="22"/>
                <w:szCs w:val="22"/>
              </w:rPr>
              <w:t>ealand</w:t>
            </w:r>
            <w:r w:rsidRPr="00A460B1">
              <w:rPr>
                <w:b w:val="0"/>
                <w:sz w:val="22"/>
                <w:szCs w:val="22"/>
              </w:rPr>
              <w:t xml:space="preserve"> </w:t>
            </w:r>
            <w:r w:rsidR="004F2711">
              <w:rPr>
                <w:b w:val="0"/>
                <w:sz w:val="22"/>
                <w:szCs w:val="22"/>
              </w:rPr>
              <w:t>e</w:t>
            </w:r>
            <w:r w:rsidR="004F2711" w:rsidRPr="00A460B1">
              <w:rPr>
                <w:b w:val="0"/>
                <w:sz w:val="22"/>
                <w:szCs w:val="22"/>
              </w:rPr>
              <w:t xml:space="preserve">mbassy </w:t>
            </w:r>
            <w:r w:rsidRPr="00A460B1">
              <w:rPr>
                <w:b w:val="0"/>
                <w:sz w:val="22"/>
                <w:szCs w:val="22"/>
              </w:rPr>
              <w:t>staff</w:t>
            </w:r>
          </w:p>
        </w:tc>
      </w:tr>
      <w:tr w:rsidR="00530BA8" w14:paraId="6A57DA53" w14:textId="77777777" w:rsidTr="00B10D1C">
        <w:tc>
          <w:tcPr>
            <w:cnfStyle w:val="001000000000" w:firstRow="0" w:lastRow="0" w:firstColumn="1" w:lastColumn="0" w:oddVBand="0" w:evenVBand="0" w:oddHBand="0" w:evenHBand="0" w:firstRowFirstColumn="0" w:firstRowLastColumn="0" w:lastRowFirstColumn="0" w:lastRowLastColumn="0"/>
            <w:tcW w:w="1629" w:type="dxa"/>
          </w:tcPr>
          <w:p w14:paraId="004E3A0F" w14:textId="77777777" w:rsidR="00530BA8" w:rsidRPr="00A460B1" w:rsidRDefault="00530BA8" w:rsidP="00530BA8">
            <w:pPr>
              <w:pStyle w:val="bullet"/>
              <w:numPr>
                <w:ilvl w:val="0"/>
                <w:numId w:val="0"/>
              </w:numPr>
              <w:spacing w:before="60"/>
              <w:rPr>
                <w:sz w:val="22"/>
                <w:szCs w:val="22"/>
              </w:rPr>
            </w:pPr>
          </w:p>
        </w:tc>
        <w:tc>
          <w:tcPr>
            <w:tcW w:w="6518" w:type="dxa"/>
          </w:tcPr>
          <w:p w14:paraId="5415FB55" w14:textId="1BE6C6F3" w:rsidR="00530BA8" w:rsidRPr="00A460B1" w:rsidRDefault="00530BA8">
            <w:pPr>
              <w:pStyle w:val="bullet"/>
              <w:numPr>
                <w:ilvl w:val="0"/>
                <w:numId w:val="0"/>
              </w:numPr>
              <w:spacing w:before="60"/>
              <w:cnfStyle w:val="000000000000" w:firstRow="0" w:lastRow="0" w:firstColumn="0" w:lastColumn="0" w:oddVBand="0" w:evenVBand="0" w:oddHBand="0" w:evenHBand="0" w:firstRowFirstColumn="0" w:firstRowLastColumn="0" w:lastRowFirstColumn="0" w:lastRowLastColumn="0"/>
              <w:rPr>
                <w:b w:val="0"/>
                <w:sz w:val="22"/>
                <w:szCs w:val="22"/>
              </w:rPr>
            </w:pPr>
            <w:r w:rsidRPr="00A460B1">
              <w:rPr>
                <w:b w:val="0"/>
                <w:sz w:val="22"/>
                <w:szCs w:val="22"/>
              </w:rPr>
              <w:t xml:space="preserve">Other </w:t>
            </w:r>
            <w:r w:rsidR="004F2711" w:rsidRPr="00A460B1">
              <w:rPr>
                <w:b w:val="0"/>
                <w:sz w:val="22"/>
                <w:szCs w:val="22"/>
              </w:rPr>
              <w:t xml:space="preserve">development partners </w:t>
            </w:r>
            <w:r w:rsidRPr="00A460B1">
              <w:rPr>
                <w:b w:val="0"/>
                <w:sz w:val="22"/>
                <w:szCs w:val="22"/>
              </w:rPr>
              <w:t>working with ASEAN (e.g. E</w:t>
            </w:r>
            <w:r w:rsidR="004F2711">
              <w:rPr>
                <w:b w:val="0"/>
                <w:sz w:val="22"/>
                <w:szCs w:val="22"/>
              </w:rPr>
              <w:t xml:space="preserve">uropean </w:t>
            </w:r>
            <w:r w:rsidRPr="00A460B1">
              <w:rPr>
                <w:b w:val="0"/>
                <w:sz w:val="22"/>
                <w:szCs w:val="22"/>
              </w:rPr>
              <w:t>U</w:t>
            </w:r>
            <w:r w:rsidR="004F2711">
              <w:rPr>
                <w:b w:val="0"/>
                <w:sz w:val="22"/>
                <w:szCs w:val="22"/>
              </w:rPr>
              <w:t>nion</w:t>
            </w:r>
            <w:r w:rsidRPr="00A460B1">
              <w:rPr>
                <w:b w:val="0"/>
                <w:sz w:val="22"/>
                <w:szCs w:val="22"/>
              </w:rPr>
              <w:t>, Japan, New Zealand</w:t>
            </w:r>
            <w:r w:rsidR="004F2711">
              <w:rPr>
                <w:b w:val="0"/>
                <w:sz w:val="22"/>
                <w:szCs w:val="22"/>
              </w:rPr>
              <w:t xml:space="preserve"> </w:t>
            </w:r>
            <w:r w:rsidRPr="00A460B1">
              <w:rPr>
                <w:b w:val="0"/>
                <w:sz w:val="22"/>
                <w:szCs w:val="22"/>
              </w:rPr>
              <w:t>Canada</w:t>
            </w:r>
            <w:r w:rsidR="004F2711">
              <w:rPr>
                <w:b w:val="0"/>
                <w:sz w:val="22"/>
                <w:szCs w:val="22"/>
              </w:rPr>
              <w:t xml:space="preserve"> and the</w:t>
            </w:r>
            <w:r w:rsidR="004F2711" w:rsidRPr="00A460B1">
              <w:rPr>
                <w:b w:val="0"/>
                <w:sz w:val="22"/>
                <w:szCs w:val="22"/>
              </w:rPr>
              <w:t xml:space="preserve"> </w:t>
            </w:r>
            <w:r w:rsidRPr="00A460B1">
              <w:rPr>
                <w:b w:val="0"/>
                <w:sz w:val="22"/>
                <w:szCs w:val="22"/>
              </w:rPr>
              <w:t>USA)</w:t>
            </w:r>
          </w:p>
        </w:tc>
      </w:tr>
      <w:tr w:rsidR="00530BA8" w14:paraId="52CD6AF6" w14:textId="77777777" w:rsidTr="00B10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14:paraId="475F8056" w14:textId="77777777" w:rsidR="00530BA8" w:rsidRPr="00A460B1" w:rsidRDefault="00530BA8" w:rsidP="00530BA8">
            <w:pPr>
              <w:pStyle w:val="bullet"/>
              <w:numPr>
                <w:ilvl w:val="0"/>
                <w:numId w:val="0"/>
              </w:numPr>
              <w:spacing w:before="60"/>
              <w:rPr>
                <w:sz w:val="22"/>
                <w:szCs w:val="22"/>
              </w:rPr>
            </w:pPr>
          </w:p>
        </w:tc>
        <w:tc>
          <w:tcPr>
            <w:tcW w:w="6518" w:type="dxa"/>
          </w:tcPr>
          <w:p w14:paraId="35CB4972" w14:textId="06008551" w:rsidR="00530BA8" w:rsidRPr="00A460B1" w:rsidRDefault="004F2711" w:rsidP="00577E2A">
            <w:pPr>
              <w:pStyle w:val="bullet"/>
              <w:numPr>
                <w:ilvl w:val="0"/>
                <w:numId w:val="0"/>
              </w:numPr>
              <w:spacing w:before="60"/>
              <w:cnfStyle w:val="000000100000" w:firstRow="0" w:lastRow="0" w:firstColumn="0" w:lastColumn="0" w:oddVBand="0" w:evenVBand="0" w:oddHBand="1" w:evenHBand="0" w:firstRowFirstColumn="0" w:firstRowLastColumn="0" w:lastRowFirstColumn="0" w:lastRowLastColumn="0"/>
              <w:rPr>
                <w:b w:val="0"/>
                <w:sz w:val="22"/>
                <w:szCs w:val="22"/>
              </w:rPr>
            </w:pPr>
            <w:r w:rsidRPr="004F2711">
              <w:rPr>
                <w:b w:val="0"/>
                <w:sz w:val="22"/>
                <w:szCs w:val="22"/>
                <w:lang w:val="en-AU"/>
              </w:rPr>
              <w:t>ASEAN Australia Development Cooperation Pro</w:t>
            </w:r>
            <w:r w:rsidR="00577E2A">
              <w:rPr>
                <w:b w:val="0"/>
                <w:sz w:val="22"/>
                <w:szCs w:val="22"/>
                <w:lang w:val="en-AU"/>
              </w:rPr>
              <w:t>gram: P</w:t>
            </w:r>
            <w:r w:rsidR="004B214E">
              <w:rPr>
                <w:b w:val="0"/>
                <w:sz w:val="22"/>
                <w:szCs w:val="22"/>
                <w:lang w:val="en-AU"/>
              </w:rPr>
              <w:t xml:space="preserve">hase II </w:t>
            </w:r>
            <w:r w:rsidR="00530BA8" w:rsidRPr="00A460B1">
              <w:rPr>
                <w:b w:val="0"/>
                <w:sz w:val="22"/>
                <w:szCs w:val="22"/>
              </w:rPr>
              <w:t>leadership</w:t>
            </w:r>
          </w:p>
        </w:tc>
      </w:tr>
    </w:tbl>
    <w:p w14:paraId="619CF8EE" w14:textId="05B8E161" w:rsidR="00EC1BE4" w:rsidRPr="00BD268E" w:rsidRDefault="00EC1BE4" w:rsidP="00B10D1C">
      <w:pPr>
        <w:pStyle w:val="Heading1"/>
        <w:spacing w:before="0"/>
      </w:pPr>
    </w:p>
    <w:sectPr w:rsidR="00EC1BE4" w:rsidRPr="00BD268E" w:rsidSect="00470471">
      <w:headerReference w:type="even" r:id="rId28"/>
      <w:headerReference w:type="default" r:id="rId29"/>
      <w:footerReference w:type="default" r:id="rId30"/>
      <w:headerReference w:type="first" r:id="rId31"/>
      <w:footerReference w:type="first" r:id="rId32"/>
      <w:pgSz w:w="11900" w:h="16840" w:code="9"/>
      <w:pgMar w:top="2268" w:right="1701" w:bottom="1418" w:left="2268" w:header="680"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76DFA" w14:textId="77777777" w:rsidR="005B0DF4" w:rsidRDefault="005B0DF4">
      <w:pPr>
        <w:pStyle w:val="Table-list-number"/>
      </w:pPr>
      <w:r>
        <w:separator/>
      </w:r>
    </w:p>
  </w:endnote>
  <w:endnote w:type="continuationSeparator" w:id="0">
    <w:p w14:paraId="6EB017D4" w14:textId="77777777" w:rsidR="005B0DF4" w:rsidRDefault="005B0DF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F9056" w14:textId="634894F0" w:rsidR="005B0DF4" w:rsidRDefault="005B0DF4">
    <w:pPr>
      <w:pStyle w:val="Footer"/>
    </w:pPr>
    <w:r>
      <w:t>Independent Progress Report</w:t>
    </w:r>
    <w:r>
      <w:tab/>
    </w:r>
    <w:r>
      <w:rPr>
        <w:szCs w:val="16"/>
      </w:rPr>
      <w:t>May 2013</w:t>
    </w:r>
    <w:r>
      <w:tab/>
    </w:r>
    <w:r>
      <w:rPr>
        <w:rStyle w:val="PageNumber"/>
      </w:rPr>
      <w:fldChar w:fldCharType="begin"/>
    </w:r>
    <w:r>
      <w:rPr>
        <w:rStyle w:val="PageNumber"/>
      </w:rPr>
      <w:instrText xml:space="preserve"> PAGE </w:instrText>
    </w:r>
    <w:r>
      <w:rPr>
        <w:rStyle w:val="PageNumber"/>
      </w:rPr>
      <w:fldChar w:fldCharType="separate"/>
    </w:r>
    <w:r w:rsidR="00856CC8">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4D6F7" w14:textId="0E14170B" w:rsidR="005B0DF4" w:rsidRDefault="005B0DF4" w:rsidP="00A05CC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034E" w14:textId="16D51F48" w:rsidR="005B0DF4" w:rsidRPr="004033CC" w:rsidRDefault="005B0DF4" w:rsidP="002F0814">
    <w:pPr>
      <w:pStyle w:val="Footer"/>
    </w:pPr>
    <w:r>
      <w:t>Independent Progress Report</w:t>
    </w:r>
    <w:r>
      <w:tab/>
      <w:t>May 2013</w:t>
    </w:r>
    <w:r>
      <w:tab/>
      <w:t xml:space="preserve">page </w:t>
    </w:r>
    <w:r>
      <w:rPr>
        <w:rStyle w:val="PageNumber"/>
      </w:rPr>
      <w:fldChar w:fldCharType="begin"/>
    </w:r>
    <w:r>
      <w:rPr>
        <w:rStyle w:val="PageNumber"/>
      </w:rPr>
      <w:instrText xml:space="preserve"> PAGE </w:instrText>
    </w:r>
    <w:r>
      <w:rPr>
        <w:rStyle w:val="PageNumber"/>
      </w:rPr>
      <w:fldChar w:fldCharType="separate"/>
    </w:r>
    <w:r w:rsidR="00856CC8">
      <w:rPr>
        <w:rStyle w:val="PageNumber"/>
        <w:noProof/>
      </w:rPr>
      <w:t>57</w:t>
    </w:r>
    <w:r>
      <w:rPr>
        <w:rStyle w:val="PageNumber"/>
      </w:rPr>
      <w:fldChar w:fldCharType="end"/>
    </w:r>
  </w:p>
  <w:p w14:paraId="23DCB482" w14:textId="77777777" w:rsidR="005B0DF4" w:rsidRDefault="005B0D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60CA3" w14:textId="77777777" w:rsidR="005B0DF4" w:rsidRDefault="005B0DF4" w:rsidP="00BC62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079FA588" w14:textId="77777777" w:rsidR="005B0DF4" w:rsidRDefault="005B0DF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88F5F" w14:textId="66B91717" w:rsidR="005B0DF4" w:rsidRPr="004033CC" w:rsidRDefault="005B0DF4" w:rsidP="004033CC">
    <w:pPr>
      <w:pStyle w:val="Footer"/>
    </w:pPr>
    <w:r>
      <w:t>Independent Progress Report</w:t>
    </w:r>
    <w:r>
      <w:tab/>
      <w:t>12 April 2013</w:t>
    </w:r>
    <w:r>
      <w:tab/>
      <w:t xml:space="preserve">page </w:t>
    </w:r>
    <w:r>
      <w:rPr>
        <w:rStyle w:val="PageNumber"/>
      </w:rPr>
      <w:fldChar w:fldCharType="begin"/>
    </w:r>
    <w:r>
      <w:rPr>
        <w:rStyle w:val="PageNumber"/>
      </w:rPr>
      <w:instrText xml:space="preserve"> PAGE </w:instrText>
    </w:r>
    <w:r>
      <w:rPr>
        <w:rStyle w:val="PageNumber"/>
      </w:rPr>
      <w:fldChar w:fldCharType="separate"/>
    </w:r>
    <w:r w:rsidR="00856CC8">
      <w:rPr>
        <w:rStyle w:val="PageNumber"/>
        <w:noProof/>
      </w:rPr>
      <w:t>1</w:t>
    </w:r>
    <w:r>
      <w:rPr>
        <w:rStyle w:val="PageNumber"/>
      </w:rPr>
      <w:fldChar w:fldCharType="end"/>
    </w:r>
  </w:p>
  <w:p w14:paraId="548B9ED8" w14:textId="77777777" w:rsidR="005B0DF4" w:rsidRDefault="005B0DF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50FA2" w14:textId="77777777" w:rsidR="005B0DF4" w:rsidRDefault="005B0DF4" w:rsidP="00BC62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72B77095" w14:textId="77777777" w:rsidR="005B0DF4" w:rsidRDefault="005B0D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A6F67" w14:textId="77777777" w:rsidR="005B0DF4" w:rsidRPr="00F656D9" w:rsidRDefault="005B0DF4" w:rsidP="00F656D9">
      <w:pPr>
        <w:pStyle w:val="Footer"/>
      </w:pPr>
    </w:p>
  </w:footnote>
  <w:footnote w:type="continuationSeparator" w:id="0">
    <w:p w14:paraId="78A5FD10" w14:textId="77777777" w:rsidR="005B0DF4" w:rsidRDefault="005B0DF4">
      <w:pPr>
        <w:pStyle w:val="Table-list-number"/>
      </w:pPr>
      <w:r>
        <w:continuationSeparator/>
      </w:r>
    </w:p>
  </w:footnote>
  <w:footnote w:id="1">
    <w:p w14:paraId="11284D7B" w14:textId="3B1F25FA" w:rsidR="005B0DF4" w:rsidRPr="00250E86" w:rsidRDefault="005B0DF4" w:rsidP="00530BA8">
      <w:pPr>
        <w:pStyle w:val="FootnoteText"/>
      </w:pPr>
      <w:r>
        <w:rPr>
          <w:rStyle w:val="FootnoteReference"/>
        </w:rPr>
        <w:footnoteRef/>
      </w:r>
      <w:r>
        <w:tab/>
      </w:r>
      <w:r w:rsidRPr="00806368">
        <w:t>AANZFTA liberali</w:t>
      </w:r>
      <w:r>
        <w:t>s</w:t>
      </w:r>
      <w:r w:rsidRPr="00806368">
        <w:t>es and facilitates trade in goods, services and investment between ASEAN</w:t>
      </w:r>
      <w:r>
        <w:t>,</w:t>
      </w:r>
      <w:r w:rsidRPr="00806368">
        <w:t xml:space="preserve"> Australia </w:t>
      </w:r>
      <w:r>
        <w:t xml:space="preserve">and </w:t>
      </w:r>
      <w:r w:rsidRPr="00806368">
        <w:t>New Zealand</w:t>
      </w:r>
      <w:r>
        <w:t xml:space="preserve"> with </w:t>
      </w:r>
      <w:r w:rsidRPr="00806368">
        <w:t>commitments and obligations on: (i) trade in goods including rules of origin and customs procedures (ii) standards</w:t>
      </w:r>
      <w:r>
        <w:t>,</w:t>
      </w:r>
      <w:r w:rsidRPr="00806368">
        <w:t xml:space="preserve"> and sanitary and phytosanitary measures (iii) trade in services (iv) movement of natural/business persons (v) investments (vi) electronic commerce (vii) competition</w:t>
      </w:r>
      <w:r>
        <w:t>,</w:t>
      </w:r>
      <w:r w:rsidRPr="00806368">
        <w:t xml:space="preserve"> and (viii) intellectual property. </w:t>
      </w:r>
      <w:r>
        <w:t>AANZFTA came</w:t>
      </w:r>
      <w:r w:rsidRPr="00806368">
        <w:t xml:space="preserve"> into force on 1 January 2010 for Australia, Brunei, Malaysia, Myanmar, New Zeal</w:t>
      </w:r>
      <w:r>
        <w:t>and, Singapore, the Philippines</w:t>
      </w:r>
      <w:r w:rsidRPr="00806368">
        <w:t xml:space="preserve"> and Viet</w:t>
      </w:r>
      <w:r>
        <w:t>n</w:t>
      </w:r>
      <w:r w:rsidRPr="00806368">
        <w:t>am. It entered into force for Thailand on 12 March 2010</w:t>
      </w:r>
      <w:r>
        <w:t>,</w:t>
      </w:r>
      <w:r w:rsidRPr="00806368">
        <w:t xml:space="preserve"> for Laos and Cambodia on 1 and 4 January 2011 respectively</w:t>
      </w:r>
      <w:r>
        <w:t>,</w:t>
      </w:r>
      <w:r w:rsidRPr="00806368">
        <w:t xml:space="preserve"> and for Indonesia on 10 January 2012. An economic cooperation component </w:t>
      </w:r>
      <w:r>
        <w:t>was</w:t>
      </w:r>
      <w:r w:rsidRPr="00806368">
        <w:t xml:space="preserve"> included to support AANZFTA implementation.</w:t>
      </w:r>
      <w:r>
        <w:t xml:space="preserve"> </w:t>
      </w:r>
      <w:hyperlink r:id="rId1" w:history="1">
        <w:r w:rsidRPr="00806368">
          <w:t>http://www.asean.fta.govt.nz/what-is-the-asean-fta/</w:t>
        </w:r>
      </w:hyperlink>
    </w:p>
  </w:footnote>
  <w:footnote w:id="2">
    <w:p w14:paraId="52312EDD" w14:textId="0A5626D3" w:rsidR="005B0DF4" w:rsidRPr="00E03415" w:rsidRDefault="005B0DF4" w:rsidP="00530BA8">
      <w:pPr>
        <w:pStyle w:val="FootnoteText"/>
      </w:pPr>
      <w:r w:rsidRPr="00E03415">
        <w:rPr>
          <w:rStyle w:val="FootnoteReference"/>
        </w:rPr>
        <w:footnoteRef/>
      </w:r>
      <w:r>
        <w:tab/>
      </w:r>
      <w:r w:rsidRPr="00E03415">
        <w:t>AECSP program design document, November 2009, p.18.</w:t>
      </w:r>
    </w:p>
  </w:footnote>
  <w:footnote w:id="3">
    <w:p w14:paraId="43DFC38E" w14:textId="261C1DBB" w:rsidR="005B0DF4" w:rsidRPr="00E03415" w:rsidRDefault="005B0DF4" w:rsidP="00530BA8">
      <w:pPr>
        <w:pStyle w:val="FootnoteText"/>
      </w:pPr>
      <w:r w:rsidRPr="00E03415">
        <w:rPr>
          <w:rStyle w:val="FootnoteReference"/>
        </w:rPr>
        <w:footnoteRef/>
      </w:r>
      <w:r>
        <w:tab/>
      </w:r>
      <w:r w:rsidRPr="00E03415">
        <w:t>AECSP program design document, November 2009, p.10.</w:t>
      </w:r>
    </w:p>
  </w:footnote>
  <w:footnote w:id="4">
    <w:p w14:paraId="7A5DEE4E" w14:textId="5A73E748" w:rsidR="005B0DF4" w:rsidRPr="00E03415" w:rsidRDefault="005B0DF4" w:rsidP="00530BA8">
      <w:pPr>
        <w:pStyle w:val="FootnoteText"/>
      </w:pPr>
      <w:r w:rsidRPr="00E03415">
        <w:rPr>
          <w:rStyle w:val="FootnoteReference"/>
        </w:rPr>
        <w:footnoteRef/>
      </w:r>
      <w:r>
        <w:tab/>
      </w:r>
      <w:r w:rsidRPr="00E03415">
        <w:t xml:space="preserve">AusAID has committed up to </w:t>
      </w:r>
      <w:r>
        <w:t>$</w:t>
      </w:r>
      <w:r w:rsidRPr="00E03415">
        <w:t xml:space="preserve">20 million over </w:t>
      </w:r>
      <w:r>
        <w:t>five</w:t>
      </w:r>
      <w:r w:rsidRPr="00E03415">
        <w:t xml:space="preserve"> years.</w:t>
      </w:r>
    </w:p>
  </w:footnote>
  <w:footnote w:id="5">
    <w:p w14:paraId="008C30BC" w14:textId="66BCE4D4" w:rsidR="005B0DF4" w:rsidRPr="003D33C4" w:rsidRDefault="005B0DF4" w:rsidP="00530BA8">
      <w:pPr>
        <w:pStyle w:val="FootnoteText"/>
      </w:pPr>
      <w:r>
        <w:rPr>
          <w:rStyle w:val="FootnoteReference"/>
        </w:rPr>
        <w:footnoteRef/>
      </w:r>
      <w:r>
        <w:tab/>
        <w:t xml:space="preserve">Revised goal as stated in the monitoring and evaluation framework (November 2011). </w:t>
      </w:r>
    </w:p>
  </w:footnote>
  <w:footnote w:id="6">
    <w:p w14:paraId="1D363C4B" w14:textId="77777777" w:rsidR="005B0DF4" w:rsidRPr="00A179E8" w:rsidRDefault="005B0DF4" w:rsidP="00530BA8">
      <w:pPr>
        <w:pStyle w:val="FootnoteText"/>
      </w:pPr>
      <w:r>
        <w:rPr>
          <w:rStyle w:val="FootnoteReference"/>
        </w:rPr>
        <w:footnoteRef/>
      </w:r>
      <w:r>
        <w:t xml:space="preserve"> </w:t>
      </w:r>
      <w:r>
        <w:tab/>
        <w:t>Relevance, efficiency, effectiveness, impact and sustainability.</w:t>
      </w:r>
    </w:p>
  </w:footnote>
  <w:footnote w:id="7">
    <w:p w14:paraId="44B3D23A" w14:textId="77777777" w:rsidR="005B0DF4" w:rsidRPr="00A179E8" w:rsidRDefault="005B0DF4" w:rsidP="00530BA8">
      <w:pPr>
        <w:pStyle w:val="FootnoteText"/>
      </w:pPr>
      <w:r>
        <w:rPr>
          <w:rStyle w:val="FootnoteReference"/>
        </w:rPr>
        <w:footnoteRef/>
      </w:r>
      <w:r>
        <w:t xml:space="preserve"> </w:t>
      </w:r>
      <w:r>
        <w:tab/>
        <w:t>Monitoring and evaluation and gender equality.</w:t>
      </w:r>
    </w:p>
  </w:footnote>
  <w:footnote w:id="8">
    <w:p w14:paraId="4194DD44" w14:textId="44791CA9" w:rsidR="005B0DF4" w:rsidRDefault="005B0DF4">
      <w:pPr>
        <w:pStyle w:val="FootnoteText"/>
      </w:pPr>
      <w:r>
        <w:rPr>
          <w:rStyle w:val="FootnoteReference"/>
        </w:rPr>
        <w:footnoteRef/>
      </w:r>
      <w:r>
        <w:tab/>
      </w:r>
      <w:r w:rsidRPr="00F504C0">
        <w:t xml:space="preserve">Including the AECSP design document; AECSP strategic overview (August 2011); mid-term review (August 2012); </w:t>
      </w:r>
      <w:r>
        <w:t>quality at implementation</w:t>
      </w:r>
      <w:r w:rsidRPr="00F504C0">
        <w:t xml:space="preserve"> reports; </w:t>
      </w:r>
      <w:r>
        <w:t>Free Trade Agreement Joint Committee</w:t>
      </w:r>
      <w:r w:rsidRPr="00F504C0">
        <w:t xml:space="preserve"> summary of decisions; </w:t>
      </w:r>
      <w:r>
        <w:t>monitoring and evaluation f</w:t>
      </w:r>
      <w:r w:rsidRPr="00F504C0">
        <w:t xml:space="preserve">ramework; matrix of approved </w:t>
      </w:r>
      <w:r>
        <w:rPr>
          <w:rFonts w:cs="Arial"/>
        </w:rPr>
        <w:t xml:space="preserve">Economic Cooperation Work Program </w:t>
      </w:r>
      <w:r w:rsidRPr="00F504C0">
        <w:t xml:space="preserve">projects; </w:t>
      </w:r>
      <w:r>
        <w:rPr>
          <w:rFonts w:cs="Arial"/>
        </w:rPr>
        <w:t xml:space="preserve">Economic Cooperation Work Program </w:t>
      </w:r>
      <w:r w:rsidRPr="00F504C0">
        <w:t xml:space="preserve">component implementation plans; </w:t>
      </w:r>
      <w:r>
        <w:t xml:space="preserve">Economic Cooperation Work Program </w:t>
      </w:r>
      <w:r w:rsidRPr="00F504C0">
        <w:t xml:space="preserve">project completion reports; and basic output and outcome level data and analysis of </w:t>
      </w:r>
      <w:r>
        <w:rPr>
          <w:rFonts w:cs="Arial"/>
        </w:rPr>
        <w:t xml:space="preserve">Economic Cooperation Work Program </w:t>
      </w:r>
      <w:r w:rsidRPr="00F504C0">
        <w:t>projects and activity reports, including participant evaluations.</w:t>
      </w:r>
    </w:p>
  </w:footnote>
  <w:footnote w:id="9">
    <w:p w14:paraId="06F941F0" w14:textId="754D6585" w:rsidR="005B0DF4" w:rsidRDefault="005B0DF4" w:rsidP="00530BA8">
      <w:pPr>
        <w:pStyle w:val="FootnoteText"/>
      </w:pPr>
      <w:r>
        <w:rPr>
          <w:rStyle w:val="FootnoteReference"/>
        </w:rPr>
        <w:footnoteRef/>
      </w:r>
      <w:r>
        <w:t xml:space="preserve"> </w:t>
      </w:r>
      <w:r>
        <w:tab/>
        <w:t>See Appendix 8.</w:t>
      </w:r>
    </w:p>
  </w:footnote>
  <w:footnote w:id="10">
    <w:p w14:paraId="23634B90" w14:textId="77777777" w:rsidR="005B0DF4" w:rsidRPr="00727624" w:rsidRDefault="005B0DF4" w:rsidP="00530BA8">
      <w:pPr>
        <w:pStyle w:val="FootnoteText"/>
      </w:pPr>
      <w:r>
        <w:rPr>
          <w:rStyle w:val="FootnoteReference"/>
        </w:rPr>
        <w:footnoteRef/>
      </w:r>
      <w:r>
        <w:t xml:space="preserve"> </w:t>
      </w:r>
      <w:r>
        <w:tab/>
      </w:r>
      <w:r w:rsidRPr="00727624">
        <w:t>http://www.dfat.gov.au/geo/fs/asean.pdf</w:t>
      </w:r>
    </w:p>
  </w:footnote>
  <w:footnote w:id="11">
    <w:p w14:paraId="33568FB5" w14:textId="74385496" w:rsidR="005B0DF4" w:rsidRPr="0038543B" w:rsidRDefault="005B0DF4" w:rsidP="00530BA8">
      <w:pPr>
        <w:pStyle w:val="FootnoteText"/>
      </w:pPr>
      <w:r>
        <w:rPr>
          <w:rStyle w:val="FootnoteReference"/>
        </w:rPr>
        <w:footnoteRef/>
      </w:r>
      <w:r>
        <w:t xml:space="preserve"> </w:t>
      </w:r>
      <w:r>
        <w:tab/>
        <w:t xml:space="preserve">Source World Bank. World Development Indicators (downloaded 22 February 2013, PPP, current prices). </w:t>
      </w:r>
    </w:p>
  </w:footnote>
  <w:footnote w:id="12">
    <w:p w14:paraId="1AD3D5AB" w14:textId="3ABE62EF" w:rsidR="005B0DF4" w:rsidRPr="00C4434B" w:rsidRDefault="005B0DF4" w:rsidP="00530BA8">
      <w:pPr>
        <w:pStyle w:val="FootnoteText"/>
      </w:pPr>
      <w:r>
        <w:rPr>
          <w:rStyle w:val="FootnoteReference"/>
        </w:rPr>
        <w:footnoteRef/>
      </w:r>
      <w:r>
        <w:tab/>
      </w:r>
      <w:r w:rsidRPr="00714B4B">
        <w:t>https://www.dfat.gov.au/fta/rcep/</w:t>
      </w:r>
    </w:p>
  </w:footnote>
  <w:footnote w:id="13">
    <w:p w14:paraId="4BB8BC77" w14:textId="07C3FAC5" w:rsidR="005B0DF4" w:rsidRPr="00B70F0E" w:rsidRDefault="005B0DF4" w:rsidP="00530BA8">
      <w:pPr>
        <w:pStyle w:val="FootnoteText"/>
      </w:pPr>
      <w:r>
        <w:rPr>
          <w:rStyle w:val="FootnoteReference"/>
        </w:rPr>
        <w:footnoteRef/>
      </w:r>
      <w:r>
        <w:t xml:space="preserve"> </w:t>
      </w:r>
      <w:r>
        <w:tab/>
        <w:t>Email from representative of Chair of Free Trade Agreement Joint Committee to the independent progress report team on 14 February 2013.</w:t>
      </w:r>
    </w:p>
  </w:footnote>
  <w:footnote w:id="14">
    <w:p w14:paraId="0922F5AE" w14:textId="4C11989B" w:rsidR="005B0DF4" w:rsidRDefault="005B0DF4" w:rsidP="00530BA8">
      <w:pPr>
        <w:pStyle w:val="FootnoteText"/>
      </w:pPr>
      <w:r>
        <w:rPr>
          <w:rStyle w:val="FootnoteReference"/>
        </w:rPr>
        <w:footnoteRef/>
      </w:r>
      <w:r>
        <w:t xml:space="preserve"> </w:t>
      </w:r>
      <w:r>
        <w:tab/>
      </w:r>
      <w:r w:rsidRPr="00714B4B">
        <w:t>http://www.ausaid.gov.au/about/Documents/capf.pdf</w:t>
      </w:r>
      <w:r>
        <w:t xml:space="preserve"> </w:t>
      </w:r>
    </w:p>
  </w:footnote>
  <w:footnote w:id="15">
    <w:p w14:paraId="1D37BC86" w14:textId="5FC4E90C" w:rsidR="005B0DF4" w:rsidRPr="00B3554F" w:rsidRDefault="005B0DF4" w:rsidP="00530BA8">
      <w:pPr>
        <w:pStyle w:val="FootnoteText"/>
      </w:pPr>
      <w:r>
        <w:rPr>
          <w:rStyle w:val="FootnoteReference"/>
        </w:rPr>
        <w:footnoteRef/>
      </w:r>
      <w:r>
        <w:tab/>
        <w:t>In a joint communiqué following an ASEAN–Australia Leaders Summit in Hanoi in October 2010, “</w:t>
      </w:r>
      <w:r w:rsidRPr="004922EB">
        <w:rPr>
          <w:i/>
        </w:rPr>
        <w:t xml:space="preserve">ASEAN expressed appreciation for Australia’s support and assistance to ASEAN’s efforts toward community building, enhancing regional integration and narrowing </w:t>
      </w:r>
      <w:r>
        <w:rPr>
          <w:i/>
        </w:rPr>
        <w:t xml:space="preserve">the </w:t>
      </w:r>
      <w:r w:rsidRPr="004922EB">
        <w:rPr>
          <w:i/>
        </w:rPr>
        <w:t>development gap which was reali</w:t>
      </w:r>
      <w:r>
        <w:rPr>
          <w:i/>
        </w:rPr>
        <w:t>s</w:t>
      </w:r>
      <w:r w:rsidRPr="004922EB">
        <w:rPr>
          <w:i/>
        </w:rPr>
        <w:t xml:space="preserve">ed in various concrete programs, especially the Australia Development Cooperation Program </w:t>
      </w:r>
      <w:r>
        <w:rPr>
          <w:i/>
        </w:rPr>
        <w:t>II</w:t>
      </w:r>
      <w:r w:rsidRPr="004922EB">
        <w:rPr>
          <w:i/>
        </w:rPr>
        <w:t xml:space="preserve"> and the AANZFTA Economic Cooperation Support Program”</w:t>
      </w:r>
      <w:r w:rsidRPr="00B3554F">
        <w:t>.</w:t>
      </w:r>
    </w:p>
  </w:footnote>
  <w:footnote w:id="16">
    <w:p w14:paraId="7E482FE0" w14:textId="16E6C056" w:rsidR="005B0DF4" w:rsidRPr="002339E3" w:rsidRDefault="005B0DF4" w:rsidP="00530BA8">
      <w:pPr>
        <w:pStyle w:val="FootnoteText"/>
      </w:pPr>
      <w:r>
        <w:rPr>
          <w:rStyle w:val="FootnoteReference"/>
        </w:rPr>
        <w:footnoteRef/>
      </w:r>
      <w:r>
        <w:tab/>
      </w:r>
      <w:r w:rsidRPr="00EF6CDE">
        <w:rPr>
          <w:lang w:val="en-AU"/>
        </w:rPr>
        <w:t xml:space="preserve">Australian Government departments engaged under </w:t>
      </w:r>
      <w:r w:rsidRPr="00375816">
        <w:rPr>
          <w:rFonts w:cs="Arial"/>
        </w:rPr>
        <w:t xml:space="preserve">Economic </w:t>
      </w:r>
      <w:r>
        <w:rPr>
          <w:rFonts w:cs="Arial"/>
        </w:rPr>
        <w:t>Cooperation Work Program</w:t>
      </w:r>
      <w:r w:rsidRPr="00EF6CDE" w:rsidDel="00546E38">
        <w:rPr>
          <w:lang w:val="en-AU"/>
        </w:rPr>
        <w:t xml:space="preserve"> </w:t>
      </w:r>
      <w:r w:rsidRPr="00EF6CDE">
        <w:rPr>
          <w:lang w:val="en-AU"/>
        </w:rPr>
        <w:t xml:space="preserve">projects include </w:t>
      </w:r>
      <w:r>
        <w:rPr>
          <w:lang w:val="en-AU"/>
        </w:rPr>
        <w:t xml:space="preserve">the </w:t>
      </w:r>
      <w:r w:rsidRPr="00EF6CDE">
        <w:rPr>
          <w:lang w:val="en-AU"/>
        </w:rPr>
        <w:t>D</w:t>
      </w:r>
      <w:r>
        <w:rPr>
          <w:lang w:val="en-AU"/>
        </w:rPr>
        <w:t xml:space="preserve">epartment of </w:t>
      </w:r>
      <w:r w:rsidRPr="00EF6CDE">
        <w:rPr>
          <w:lang w:val="en-AU"/>
        </w:rPr>
        <w:t>A</w:t>
      </w:r>
      <w:r>
        <w:rPr>
          <w:lang w:val="en-AU"/>
        </w:rPr>
        <w:t xml:space="preserve">griculture, </w:t>
      </w:r>
      <w:r w:rsidRPr="00EF6CDE">
        <w:rPr>
          <w:lang w:val="en-AU"/>
        </w:rPr>
        <w:t>F</w:t>
      </w:r>
      <w:r>
        <w:rPr>
          <w:lang w:val="en-AU"/>
        </w:rPr>
        <w:t xml:space="preserve">isheries and </w:t>
      </w:r>
      <w:r w:rsidRPr="00EF6CDE">
        <w:rPr>
          <w:lang w:val="en-AU"/>
        </w:rPr>
        <w:t>F</w:t>
      </w:r>
      <w:r>
        <w:rPr>
          <w:lang w:val="en-AU"/>
        </w:rPr>
        <w:t>orestry</w:t>
      </w:r>
      <w:r w:rsidRPr="00EF6CDE">
        <w:rPr>
          <w:lang w:val="en-AU"/>
        </w:rPr>
        <w:t>, Australian Bureau of Statistics, Australian Customs and Border Protection Service, Attorney-General’s</w:t>
      </w:r>
      <w:r>
        <w:rPr>
          <w:lang w:val="en-AU"/>
        </w:rPr>
        <w:t xml:space="preserve"> Department</w:t>
      </w:r>
      <w:r w:rsidRPr="00EF6CDE">
        <w:rPr>
          <w:lang w:val="en-AU"/>
        </w:rPr>
        <w:t>, A</w:t>
      </w:r>
      <w:r>
        <w:rPr>
          <w:lang w:val="en-AU"/>
        </w:rPr>
        <w:t xml:space="preserve">ustralian </w:t>
      </w:r>
      <w:r w:rsidRPr="00EF6CDE">
        <w:rPr>
          <w:lang w:val="en-AU"/>
        </w:rPr>
        <w:t>C</w:t>
      </w:r>
      <w:r>
        <w:rPr>
          <w:lang w:val="en-AU"/>
        </w:rPr>
        <w:t xml:space="preserve">ompetition and Consumer </w:t>
      </w:r>
      <w:r w:rsidRPr="00EF6CDE">
        <w:rPr>
          <w:lang w:val="en-AU"/>
        </w:rPr>
        <w:t>C</w:t>
      </w:r>
      <w:r>
        <w:rPr>
          <w:lang w:val="en-AU"/>
        </w:rPr>
        <w:t>ommission</w:t>
      </w:r>
      <w:r w:rsidRPr="00EF6CDE">
        <w:rPr>
          <w:lang w:val="en-AU"/>
        </w:rPr>
        <w:t xml:space="preserve">, IP Australia, </w:t>
      </w:r>
      <w:r>
        <w:rPr>
          <w:lang w:val="en-AU"/>
        </w:rPr>
        <w:t xml:space="preserve">the </w:t>
      </w:r>
      <w:r w:rsidRPr="00EF6CDE">
        <w:rPr>
          <w:lang w:val="en-AU"/>
        </w:rPr>
        <w:t>D</w:t>
      </w:r>
      <w:r>
        <w:rPr>
          <w:lang w:val="en-AU"/>
        </w:rPr>
        <w:t>epartment of Industry, Innovation, Climate Change, Science, Research and Tertiary Education</w:t>
      </w:r>
      <w:r w:rsidRPr="00EF6CDE">
        <w:rPr>
          <w:lang w:val="en-AU"/>
        </w:rPr>
        <w:t xml:space="preserve">, </w:t>
      </w:r>
      <w:r>
        <w:rPr>
          <w:lang w:val="en-AU"/>
        </w:rPr>
        <w:t xml:space="preserve">the </w:t>
      </w:r>
      <w:r w:rsidRPr="00EF6CDE">
        <w:rPr>
          <w:lang w:val="en-AU"/>
        </w:rPr>
        <w:t>D</w:t>
      </w:r>
      <w:r>
        <w:rPr>
          <w:lang w:val="en-AU"/>
        </w:rPr>
        <w:t xml:space="preserve">epartment of Foreign Affairs and Trade </w:t>
      </w:r>
      <w:r w:rsidRPr="00EF6CDE">
        <w:rPr>
          <w:lang w:val="en-AU"/>
        </w:rPr>
        <w:t>and Treasury.</w:t>
      </w:r>
    </w:p>
  </w:footnote>
  <w:footnote w:id="17">
    <w:p w14:paraId="3261A45B" w14:textId="55982F3F" w:rsidR="005B0DF4" w:rsidRPr="009C56B9" w:rsidRDefault="005B0DF4" w:rsidP="00530BA8">
      <w:pPr>
        <w:pStyle w:val="FootnoteText"/>
      </w:pPr>
      <w:r>
        <w:rPr>
          <w:rStyle w:val="FootnoteReference"/>
        </w:rPr>
        <w:footnoteRef/>
      </w:r>
      <w:r>
        <w:t xml:space="preserve"> </w:t>
      </w:r>
      <w:r>
        <w:tab/>
      </w:r>
      <w:r w:rsidRPr="00714B4B">
        <w:t>http://www.asean.org/archive/5187-10.pdf</w:t>
      </w:r>
      <w:r>
        <w:t xml:space="preserve"> </w:t>
      </w:r>
    </w:p>
  </w:footnote>
  <w:footnote w:id="18">
    <w:p w14:paraId="66EAF3D3" w14:textId="2D6D6A6D" w:rsidR="005B0DF4" w:rsidRDefault="005B0DF4" w:rsidP="00530BA8">
      <w:pPr>
        <w:pStyle w:val="FootnoteText"/>
      </w:pPr>
      <w:r>
        <w:rPr>
          <w:rStyle w:val="FootnoteReference"/>
        </w:rPr>
        <w:footnoteRef/>
      </w:r>
      <w:r>
        <w:t xml:space="preserve"> </w:t>
      </w:r>
      <w:r>
        <w:tab/>
        <w:t xml:space="preserve">For example, </w:t>
      </w:r>
      <w:r>
        <w:rPr>
          <w:lang w:eastAsia="en-AU"/>
        </w:rPr>
        <w:t>as defined in</w:t>
      </w:r>
      <w:r w:rsidRPr="008400CB">
        <w:rPr>
          <w:lang w:eastAsia="en-AU"/>
        </w:rPr>
        <w:t xml:space="preserve"> the Paris Declaration </w:t>
      </w:r>
      <w:r>
        <w:rPr>
          <w:lang w:eastAsia="en-AU"/>
        </w:rPr>
        <w:t xml:space="preserve">on Aid Effectiveness </w:t>
      </w:r>
      <w:r w:rsidRPr="008400CB">
        <w:rPr>
          <w:lang w:eastAsia="en-AU"/>
        </w:rPr>
        <w:t>and the Accra Accord</w:t>
      </w:r>
      <w:r>
        <w:rPr>
          <w:lang w:eastAsia="en-AU"/>
        </w:rPr>
        <w:t xml:space="preserve">. </w:t>
      </w:r>
      <w:r w:rsidRPr="00714B4B">
        <w:t>http://www.oecd.org/dac/effectiveness/parisdeclarationandaccraagendaforaction.htm</w:t>
      </w:r>
      <w:r>
        <w:rPr>
          <w:lang w:eastAsia="en-AU"/>
        </w:rPr>
        <w:t xml:space="preserve"> </w:t>
      </w:r>
    </w:p>
  </w:footnote>
  <w:footnote w:id="19">
    <w:p w14:paraId="5E98CB67" w14:textId="416319BE" w:rsidR="005B0DF4" w:rsidRPr="005E51AC" w:rsidRDefault="005B0DF4" w:rsidP="00530BA8">
      <w:pPr>
        <w:pStyle w:val="FootnoteText"/>
      </w:pPr>
      <w:r>
        <w:rPr>
          <w:rStyle w:val="FootnoteReference"/>
        </w:rPr>
        <w:footnoteRef/>
      </w:r>
      <w:r>
        <w:t xml:space="preserve"> </w:t>
      </w:r>
      <w:r>
        <w:tab/>
        <w:t>Monitoring and evaluation data indicates that the quality of</w:t>
      </w:r>
      <w:r w:rsidRPr="005E51AC">
        <w:t xml:space="preserve"> program outputs is encouraging, with </w:t>
      </w:r>
      <w:r>
        <w:t xml:space="preserve">most </w:t>
      </w:r>
      <w:r w:rsidRPr="005E51AC">
        <w:t xml:space="preserve">participants rating </w:t>
      </w:r>
      <w:r>
        <w:t xml:space="preserve">Economic Cooperation Work Program </w:t>
      </w:r>
      <w:r w:rsidRPr="005E51AC">
        <w:t>activities as successful to highly successful.</w:t>
      </w:r>
      <w:r>
        <w:t xml:space="preserve"> </w:t>
      </w:r>
    </w:p>
  </w:footnote>
  <w:footnote w:id="20">
    <w:p w14:paraId="26C021E2" w14:textId="42C89926" w:rsidR="005B0DF4" w:rsidRPr="00BD1D6E" w:rsidRDefault="005B0DF4" w:rsidP="00530BA8">
      <w:pPr>
        <w:pStyle w:val="FootnoteText"/>
      </w:pPr>
      <w:r>
        <w:rPr>
          <w:rStyle w:val="FootnoteReference"/>
        </w:rPr>
        <w:footnoteRef/>
      </w:r>
      <w:r>
        <w:t xml:space="preserve"> </w:t>
      </w:r>
      <w:r>
        <w:tab/>
        <w:t>Email to team from representative of Chair of the Free Trade Agreement Joint Committee dated 14 February 2013.</w:t>
      </w:r>
    </w:p>
  </w:footnote>
  <w:footnote w:id="21">
    <w:p w14:paraId="33E0B16C" w14:textId="59950276" w:rsidR="005B0DF4" w:rsidRPr="003D66A2" w:rsidRDefault="005B0DF4" w:rsidP="00530BA8">
      <w:pPr>
        <w:pStyle w:val="FootnoteText"/>
      </w:pPr>
      <w:r>
        <w:rPr>
          <w:rStyle w:val="FootnoteReference"/>
        </w:rPr>
        <w:footnoteRef/>
      </w:r>
      <w:r>
        <w:t xml:space="preserve"> </w:t>
      </w:r>
      <w:r>
        <w:tab/>
        <w:t xml:space="preserve">Including support for </w:t>
      </w:r>
      <w:r w:rsidRPr="003D66A2">
        <w:t>OECD investment policy reviews being undertaken by Malays</w:t>
      </w:r>
      <w:r>
        <w:t>ia, the Philippines and Myanmar.</w:t>
      </w:r>
    </w:p>
  </w:footnote>
  <w:footnote w:id="22">
    <w:p w14:paraId="4E03394D" w14:textId="196DCC4B" w:rsidR="005B0DF4" w:rsidRPr="003D66A2" w:rsidRDefault="005B0DF4" w:rsidP="00530BA8">
      <w:pPr>
        <w:pStyle w:val="FootnoteText"/>
      </w:pPr>
      <w:r>
        <w:rPr>
          <w:rStyle w:val="FootnoteReference"/>
        </w:rPr>
        <w:footnoteRef/>
      </w:r>
      <w:r>
        <w:tab/>
        <w:t xml:space="preserve">Support for </w:t>
      </w:r>
      <w:r w:rsidRPr="003D66A2">
        <w:t xml:space="preserve">the </w:t>
      </w:r>
      <w:r>
        <w:t>r</w:t>
      </w:r>
      <w:r w:rsidRPr="003D66A2">
        <w:t xml:space="preserve">ules of </w:t>
      </w:r>
      <w:r>
        <w:t>o</w:t>
      </w:r>
      <w:r w:rsidRPr="003D66A2">
        <w:t>rigin and tariff transpos</w:t>
      </w:r>
      <w:r>
        <w:t>ition</w:t>
      </w:r>
      <w:r w:rsidRPr="003D66A2">
        <w:t xml:space="preserve"> workshops requested by Myanmar, Cambodia, Laos and the Philippines </w:t>
      </w:r>
      <w:r>
        <w:t>are indicative of AECSP</w:t>
      </w:r>
      <w:r w:rsidRPr="003D66A2">
        <w:t xml:space="preserve"> responsiveness to individual </w:t>
      </w:r>
      <w:r>
        <w:rPr>
          <w:rFonts w:cs="Arial"/>
        </w:rPr>
        <w:t>ASEAN member state</w:t>
      </w:r>
      <w:r w:rsidRPr="003D66A2" w:rsidDel="00721EEA">
        <w:t xml:space="preserve"> </w:t>
      </w:r>
      <w:r w:rsidRPr="003D66A2">
        <w:t xml:space="preserve">capacity building requirements. </w:t>
      </w:r>
    </w:p>
  </w:footnote>
  <w:footnote w:id="23">
    <w:p w14:paraId="6CBA1A3C" w14:textId="1523723F" w:rsidR="005B0DF4" w:rsidRPr="00B70F0E" w:rsidRDefault="005B0DF4" w:rsidP="00530BA8">
      <w:pPr>
        <w:pStyle w:val="FootnoteText"/>
      </w:pPr>
      <w:r>
        <w:rPr>
          <w:rStyle w:val="FootnoteReference"/>
        </w:rPr>
        <w:footnoteRef/>
      </w:r>
      <w:r>
        <w:t xml:space="preserve"> </w:t>
      </w:r>
      <w:r>
        <w:tab/>
      </w:r>
      <w:r>
        <w:rPr>
          <w:lang w:eastAsia="en-AU"/>
        </w:rPr>
        <w:t xml:space="preserve">The representative of the </w:t>
      </w:r>
      <w:r>
        <w:t xml:space="preserve">Free Trade Agreement Joint Committee </w:t>
      </w:r>
      <w:r>
        <w:rPr>
          <w:lang w:eastAsia="en-AU"/>
        </w:rPr>
        <w:t>Chair also noted their concern</w:t>
      </w:r>
      <w:r w:rsidRPr="00B70F0E">
        <w:rPr>
          <w:lang w:eastAsia="en-AU"/>
        </w:rPr>
        <w:t xml:space="preserve"> </w:t>
      </w:r>
      <w:r>
        <w:rPr>
          <w:lang w:eastAsia="en-AU"/>
        </w:rPr>
        <w:t>“</w:t>
      </w:r>
      <w:r w:rsidRPr="00B70F0E">
        <w:rPr>
          <w:i/>
          <w:lang w:eastAsia="en-AU"/>
        </w:rPr>
        <w:t xml:space="preserve">that </w:t>
      </w:r>
      <w:r>
        <w:rPr>
          <w:i/>
          <w:lang w:eastAsia="en-AU"/>
        </w:rPr>
        <w:t>official development assistance</w:t>
      </w:r>
      <w:r w:rsidRPr="00B70F0E">
        <w:rPr>
          <w:i/>
          <w:lang w:eastAsia="en-AU"/>
        </w:rPr>
        <w:t xml:space="preserve"> limitations restrict such activities from being carried out in both Brunei Darussalam and Singapore, which therefore, denies t</w:t>
      </w:r>
      <w:r>
        <w:rPr>
          <w:i/>
          <w:lang w:eastAsia="en-AU"/>
        </w:rPr>
        <w:t>he full benefit of the program</w:t>
      </w:r>
      <w:r w:rsidRPr="00B70F0E">
        <w:rPr>
          <w:i/>
          <w:lang w:eastAsia="en-AU"/>
        </w:rPr>
        <w:t xml:space="preserve"> from being enjoyed by all </w:t>
      </w:r>
      <w:r>
        <w:rPr>
          <w:i/>
          <w:lang w:eastAsia="en-AU"/>
        </w:rPr>
        <w:t>p</w:t>
      </w:r>
      <w:r w:rsidRPr="00B70F0E">
        <w:rPr>
          <w:i/>
          <w:lang w:eastAsia="en-AU"/>
        </w:rPr>
        <w:t>arties</w:t>
      </w:r>
      <w:r>
        <w:rPr>
          <w:lang w:eastAsia="en-AU"/>
        </w:rPr>
        <w:t>”.</w:t>
      </w:r>
    </w:p>
  </w:footnote>
  <w:footnote w:id="24">
    <w:p w14:paraId="3A8D52C7" w14:textId="0BE28992" w:rsidR="005B0DF4" w:rsidRDefault="005B0DF4" w:rsidP="00530BA8">
      <w:pPr>
        <w:pStyle w:val="FootnoteText"/>
      </w:pPr>
      <w:r>
        <w:rPr>
          <w:rStyle w:val="FootnoteReference"/>
        </w:rPr>
        <w:footnoteRef/>
      </w:r>
      <w:r>
        <w:t xml:space="preserve"> </w:t>
      </w:r>
      <w:r>
        <w:tab/>
      </w:r>
      <w:r w:rsidRPr="00D84D07">
        <w:rPr>
          <w:lang w:val="en-AU"/>
        </w:rPr>
        <w:t xml:space="preserve">Email to team from </w:t>
      </w:r>
      <w:r>
        <w:rPr>
          <w:lang w:val="en-AU"/>
        </w:rPr>
        <w:t xml:space="preserve">Lao PDR </w:t>
      </w:r>
      <w:r>
        <w:t xml:space="preserve">Free Trade Agreement Joint Committee </w:t>
      </w:r>
      <w:r>
        <w:rPr>
          <w:lang w:val="en-AU"/>
        </w:rPr>
        <w:t>representative dated 15</w:t>
      </w:r>
      <w:r w:rsidRPr="00D84D07">
        <w:rPr>
          <w:lang w:val="en-AU"/>
        </w:rPr>
        <w:t xml:space="preserve"> February 2013.</w:t>
      </w:r>
    </w:p>
  </w:footnote>
  <w:footnote w:id="25">
    <w:p w14:paraId="5AAD742F" w14:textId="0CC45FBD" w:rsidR="005B0DF4" w:rsidRDefault="005B0DF4" w:rsidP="00530BA8">
      <w:pPr>
        <w:pStyle w:val="FootnoteText"/>
      </w:pPr>
      <w:r>
        <w:rPr>
          <w:rStyle w:val="FootnoteReference"/>
        </w:rPr>
        <w:footnoteRef/>
      </w:r>
      <w:r>
        <w:t xml:space="preserve"> </w:t>
      </w:r>
      <w:r>
        <w:tab/>
        <w:t xml:space="preserve">Including the AusAID funded </w:t>
      </w:r>
      <w:r w:rsidRPr="00375816">
        <w:rPr>
          <w:rFonts w:cs="Arial"/>
        </w:rPr>
        <w:t>ASEAN Australia Development Cooperation Project</w:t>
      </w:r>
      <w:r>
        <w:rPr>
          <w:rFonts w:cs="Arial"/>
        </w:rPr>
        <w:t>: Phase II</w:t>
      </w:r>
      <w:r>
        <w:t>.</w:t>
      </w:r>
    </w:p>
  </w:footnote>
  <w:footnote w:id="26">
    <w:p w14:paraId="4B4F0B63" w14:textId="723FE782" w:rsidR="005B0DF4" w:rsidRPr="00BD1D6E" w:rsidRDefault="005B0DF4" w:rsidP="00530BA8">
      <w:pPr>
        <w:pStyle w:val="FootnoteText"/>
      </w:pPr>
      <w:r>
        <w:rPr>
          <w:rStyle w:val="FootnoteReference"/>
        </w:rPr>
        <w:footnoteRef/>
      </w:r>
      <w:r>
        <w:t xml:space="preserve"> </w:t>
      </w:r>
      <w:r>
        <w:tab/>
        <w:t>Email to team from the Free Trade Agreement Joint Committee Chair dated 14 February 2013.</w:t>
      </w:r>
    </w:p>
  </w:footnote>
  <w:footnote w:id="27">
    <w:p w14:paraId="3274A66A" w14:textId="7B4FBCD8" w:rsidR="005B0DF4" w:rsidRPr="005E51AC" w:rsidRDefault="005B0DF4" w:rsidP="00530BA8">
      <w:pPr>
        <w:pStyle w:val="FootnoteText"/>
      </w:pPr>
      <w:r>
        <w:rPr>
          <w:rStyle w:val="FootnoteReference"/>
        </w:rPr>
        <w:footnoteRef/>
      </w:r>
      <w:r>
        <w:tab/>
        <w:t>AECSP supported r</w:t>
      </w:r>
      <w:r w:rsidRPr="005E51AC">
        <w:t xml:space="preserve">oadshows </w:t>
      </w:r>
      <w:r>
        <w:t>are planned for</w:t>
      </w:r>
      <w:r w:rsidRPr="005E51AC">
        <w:t xml:space="preserve"> 2013 in </w:t>
      </w:r>
      <w:r>
        <w:t>ASEAN member states,</w:t>
      </w:r>
      <w:r w:rsidRPr="005E51AC">
        <w:t xml:space="preserve"> Australia and New Zealand to promote AANZFTA </w:t>
      </w:r>
      <w:r>
        <w:t>and</w:t>
      </w:r>
      <w:r w:rsidRPr="005E51AC">
        <w:t xml:space="preserve"> highlight specific </w:t>
      </w:r>
      <w:r>
        <w:t>investment opportunities</w:t>
      </w:r>
      <w:r w:rsidRPr="005E51AC">
        <w:t xml:space="preserve">. </w:t>
      </w:r>
    </w:p>
  </w:footnote>
  <w:footnote w:id="28">
    <w:p w14:paraId="4020F4FE" w14:textId="0DA7CEEC" w:rsidR="005B0DF4" w:rsidRPr="008A2C72" w:rsidRDefault="005B0DF4" w:rsidP="00530BA8">
      <w:pPr>
        <w:pStyle w:val="FootnoteText"/>
      </w:pPr>
      <w:r>
        <w:rPr>
          <w:rStyle w:val="FootnoteReference"/>
        </w:rPr>
        <w:footnoteRef/>
      </w:r>
      <w:r>
        <w:tab/>
      </w:r>
      <w:r w:rsidRPr="00714B4B">
        <w:t>http://aanzfta.asean.org</w:t>
      </w:r>
    </w:p>
  </w:footnote>
  <w:footnote w:id="29">
    <w:p w14:paraId="4B638EDD" w14:textId="3D0CA20E" w:rsidR="005B0DF4" w:rsidRDefault="005B0DF4" w:rsidP="00530BA8">
      <w:pPr>
        <w:pStyle w:val="FootnoteText"/>
      </w:pPr>
      <w:r>
        <w:rPr>
          <w:rStyle w:val="FootnoteReference"/>
        </w:rPr>
        <w:footnoteRef/>
      </w:r>
      <w:r>
        <w:t xml:space="preserve"> </w:t>
      </w:r>
      <w:r>
        <w:tab/>
        <w:t>Email to team from Baldeep Singh Bhullar from the Brunei Free Trade Agreement Joint Committee team dated 14 February 2013.</w:t>
      </w:r>
    </w:p>
  </w:footnote>
  <w:footnote w:id="30">
    <w:p w14:paraId="456C7EEA" w14:textId="745F3AB9" w:rsidR="005B0DF4" w:rsidRPr="00180036" w:rsidRDefault="005B0DF4" w:rsidP="00530BA8">
      <w:pPr>
        <w:pStyle w:val="FootnoteText"/>
      </w:pPr>
      <w:r>
        <w:rPr>
          <w:rStyle w:val="FootnoteReference"/>
        </w:rPr>
        <w:footnoteRef/>
      </w:r>
      <w:r>
        <w:t xml:space="preserve"> </w:t>
      </w:r>
      <w:r>
        <w:tab/>
      </w:r>
      <w:r w:rsidRPr="00375816">
        <w:rPr>
          <w:rFonts w:cs="Arial"/>
        </w:rPr>
        <w:t xml:space="preserve">AANZFTA Support Unit </w:t>
      </w:r>
      <w:r>
        <w:t>work plans included target activities to collect and analyse data on the business use of AANZFTA. The Department of Foreign Affairs and Trade reported (email dated 10 April 2013) increasing levels of use: “</w:t>
      </w:r>
      <w:r w:rsidRPr="007B0D61">
        <w:rPr>
          <w:i/>
          <w:lang w:val="en-AU"/>
        </w:rPr>
        <w:t xml:space="preserve">for 2010, the AANZFTA </w:t>
      </w:r>
      <w:r>
        <w:rPr>
          <w:i/>
          <w:lang w:val="en-AU"/>
        </w:rPr>
        <w:t>u</w:t>
      </w:r>
      <w:r w:rsidRPr="007B0D61">
        <w:rPr>
          <w:i/>
          <w:lang w:val="en-AU"/>
        </w:rPr>
        <w:t>tili</w:t>
      </w:r>
      <w:r>
        <w:rPr>
          <w:i/>
          <w:lang w:val="en-AU"/>
        </w:rPr>
        <w:t>s</w:t>
      </w:r>
      <w:r w:rsidRPr="007B0D61">
        <w:rPr>
          <w:i/>
          <w:lang w:val="en-AU"/>
        </w:rPr>
        <w:t xml:space="preserve">ation </w:t>
      </w:r>
      <w:r>
        <w:rPr>
          <w:i/>
          <w:lang w:val="en-AU"/>
        </w:rPr>
        <w:t>r</w:t>
      </w:r>
      <w:r w:rsidRPr="007B0D61">
        <w:rPr>
          <w:i/>
          <w:lang w:val="en-AU"/>
        </w:rPr>
        <w:t>ate for imports into Australia from the seven ASEAN countries for which AANZFTA had entered-into-force was 49 per cent.</w:t>
      </w:r>
      <w:r>
        <w:rPr>
          <w:i/>
          <w:lang w:val="en-AU"/>
        </w:rPr>
        <w:t xml:space="preserve"> </w:t>
      </w:r>
      <w:r w:rsidRPr="007B0D61">
        <w:rPr>
          <w:i/>
          <w:lang w:val="en-AU"/>
        </w:rPr>
        <w:t xml:space="preserve">In 2011 this jumped to 66 per cent for the nine ASEAN countries for which the </w:t>
      </w:r>
      <w:r>
        <w:rPr>
          <w:i/>
          <w:lang w:val="en-AU"/>
        </w:rPr>
        <w:t>a</w:t>
      </w:r>
      <w:r w:rsidRPr="007B0D61">
        <w:rPr>
          <w:i/>
          <w:lang w:val="en-AU"/>
        </w:rPr>
        <w:t>greement had entered into force”</w:t>
      </w:r>
      <w:r>
        <w:rPr>
          <w:i/>
          <w:lang w:val="en-AU"/>
        </w:rPr>
        <w:t>.</w:t>
      </w:r>
      <w:r>
        <w:rPr>
          <w:lang w:val="en-AU"/>
        </w:rPr>
        <w:t xml:space="preserve"> Collection and dissemination of such data for all countries should be an element of monitoring and evaluation efforts.</w:t>
      </w:r>
    </w:p>
  </w:footnote>
  <w:footnote w:id="31">
    <w:p w14:paraId="6E4DAD8C" w14:textId="7CBCCDBD" w:rsidR="005B0DF4" w:rsidRPr="00C44CAC" w:rsidRDefault="005B0DF4" w:rsidP="00530BA8">
      <w:pPr>
        <w:pStyle w:val="FootnoteText"/>
      </w:pPr>
      <w:r>
        <w:rPr>
          <w:rStyle w:val="FootnoteReference"/>
        </w:rPr>
        <w:footnoteRef/>
      </w:r>
      <w:r>
        <w:tab/>
        <w:t>For example, planning sessions, workshops and training activities are regularly piggy-backed to other ASEAN or AANZFTA meetings to minimise travel time and costs for participants.</w:t>
      </w:r>
    </w:p>
  </w:footnote>
  <w:footnote w:id="32">
    <w:p w14:paraId="3507CC32" w14:textId="5F54ED3D" w:rsidR="005B0DF4" w:rsidRDefault="005B0DF4" w:rsidP="00530BA8">
      <w:pPr>
        <w:pStyle w:val="FootnoteText"/>
      </w:pPr>
      <w:r>
        <w:rPr>
          <w:rStyle w:val="FootnoteReference"/>
        </w:rPr>
        <w:footnoteRef/>
      </w:r>
      <w:r>
        <w:t xml:space="preserve"> </w:t>
      </w:r>
      <w:r>
        <w:tab/>
        <w:t xml:space="preserve">For example, to </w:t>
      </w:r>
      <w:r w:rsidRPr="00757B0B">
        <w:rPr>
          <w:lang w:val="en-AU"/>
        </w:rPr>
        <w:t>other international organi</w:t>
      </w:r>
      <w:r>
        <w:rPr>
          <w:lang w:val="en-AU"/>
        </w:rPr>
        <w:t>s</w:t>
      </w:r>
      <w:r w:rsidRPr="00757B0B">
        <w:rPr>
          <w:lang w:val="en-AU"/>
        </w:rPr>
        <w:t>ations, partners or contractors</w:t>
      </w:r>
      <w:r>
        <w:rPr>
          <w:lang w:val="en-AU"/>
        </w:rPr>
        <w:t>.</w:t>
      </w:r>
    </w:p>
  </w:footnote>
  <w:footnote w:id="33">
    <w:p w14:paraId="07316938" w14:textId="3C1FDF0A" w:rsidR="005B0DF4" w:rsidRPr="00607815" w:rsidRDefault="005B0DF4" w:rsidP="00530BA8">
      <w:pPr>
        <w:pStyle w:val="FootnoteText"/>
      </w:pPr>
      <w:r>
        <w:rPr>
          <w:rStyle w:val="FootnoteReference"/>
        </w:rPr>
        <w:footnoteRef/>
      </w:r>
      <w:r>
        <w:t xml:space="preserve"> </w:t>
      </w:r>
      <w:r>
        <w:tab/>
        <w:t>A</w:t>
      </w:r>
      <w:r w:rsidRPr="00607815">
        <w:t xml:space="preserve"> </w:t>
      </w:r>
      <w:r>
        <w:t>2000</w:t>
      </w:r>
      <w:r w:rsidRPr="00607815">
        <w:t xml:space="preserve"> </w:t>
      </w:r>
      <w:r w:rsidRPr="008973A2">
        <w:t>Centre for International Economics</w:t>
      </w:r>
      <w:r>
        <w:t xml:space="preserve"> </w:t>
      </w:r>
      <w:r w:rsidRPr="00607815">
        <w:t xml:space="preserve">study </w:t>
      </w:r>
      <w:r>
        <w:t>estimated</w:t>
      </w:r>
      <w:r w:rsidRPr="00607815">
        <w:t xml:space="preserve"> that the proposed </w:t>
      </w:r>
      <w:r>
        <w:t>free trade agreement</w:t>
      </w:r>
      <w:r w:rsidRPr="00607815">
        <w:t xml:space="preserve"> </w:t>
      </w:r>
      <w:r>
        <w:t>would</w:t>
      </w:r>
      <w:r w:rsidRPr="00607815">
        <w:t xml:space="preserve"> bring to the region a net discounted benefit of about US</w:t>
      </w:r>
      <w:r>
        <w:t>D</w:t>
      </w:r>
      <w:r w:rsidRPr="00607815">
        <w:t xml:space="preserve">48 billion in additional </w:t>
      </w:r>
      <w:r>
        <w:t>gross domestic product</w:t>
      </w:r>
      <w:r w:rsidRPr="00607815">
        <w:t xml:space="preserve"> up to the year 2020, with an additional US</w:t>
      </w:r>
      <w:r>
        <w:t>D</w:t>
      </w:r>
      <w:r w:rsidRPr="00607815">
        <w:t>19.1 billion to Australia, US</w:t>
      </w:r>
      <w:r>
        <w:t>D</w:t>
      </w:r>
      <w:r w:rsidRPr="00607815">
        <w:t>25.6 billion to ASEAN countries, and US</w:t>
      </w:r>
      <w:r>
        <w:t>D</w:t>
      </w:r>
      <w:r w:rsidRPr="00607815">
        <w:t>3.4 billion to New Zealand</w:t>
      </w:r>
      <w:r>
        <w:t xml:space="preserve"> (</w:t>
      </w:r>
      <w:r w:rsidRPr="00714B4B">
        <w:t>www.dfat.gov.au/trade/fta/asean/cie_afta_cer_2000_report.pdf</w:t>
      </w:r>
      <w:r>
        <w:t>).</w:t>
      </w:r>
    </w:p>
  </w:footnote>
  <w:footnote w:id="34">
    <w:p w14:paraId="0D9E2EA9" w14:textId="048E1547" w:rsidR="005B0DF4" w:rsidRPr="002B6C07" w:rsidRDefault="005B0DF4" w:rsidP="00530BA8">
      <w:pPr>
        <w:pStyle w:val="FootnoteText"/>
      </w:pPr>
      <w:r>
        <w:rPr>
          <w:rStyle w:val="FootnoteReference"/>
        </w:rPr>
        <w:footnoteRef/>
      </w:r>
      <w:r>
        <w:tab/>
        <w:t>AECSP draft quality at implementation report (February 2013).</w:t>
      </w:r>
    </w:p>
  </w:footnote>
  <w:footnote w:id="35">
    <w:p w14:paraId="0870CE68" w14:textId="3F0489F9" w:rsidR="005B0DF4" w:rsidRPr="00CE099E" w:rsidRDefault="005B0DF4" w:rsidP="00530BA8">
      <w:pPr>
        <w:pStyle w:val="FootnoteText"/>
      </w:pPr>
      <w:r>
        <w:rPr>
          <w:rStyle w:val="FootnoteReference"/>
        </w:rPr>
        <w:footnoteRef/>
      </w:r>
      <w:r>
        <w:t xml:space="preserve"> </w:t>
      </w:r>
      <w:r>
        <w:tab/>
        <w:t>The OECD’s r</w:t>
      </w:r>
      <w:r w:rsidRPr="00CE099E">
        <w:t>eview</w:t>
      </w:r>
      <w:r>
        <w:t>s help</w:t>
      </w:r>
      <w:r w:rsidRPr="00CE099E">
        <w:t xml:space="preserve"> countries attract foreign investment by </w:t>
      </w:r>
      <w:r>
        <w:t xml:space="preserve">drawing on international experiences to strengthen </w:t>
      </w:r>
      <w:r w:rsidRPr="00CE099E">
        <w:t>national policies and institutions</w:t>
      </w:r>
      <w:r>
        <w:t>, and</w:t>
      </w:r>
      <w:r w:rsidRPr="00CE099E">
        <w:t xml:space="preserve"> </w:t>
      </w:r>
      <w:r>
        <w:t xml:space="preserve">to improve the </w:t>
      </w:r>
      <w:r w:rsidRPr="00CE099E">
        <w:t>investment environment.</w:t>
      </w:r>
      <w:r>
        <w:t xml:space="preserve"> AusAID, together with other donors, recently supported the OECD to conduct such a review in Vietnam under its bilateral program.</w:t>
      </w:r>
    </w:p>
  </w:footnote>
  <w:footnote w:id="36">
    <w:p w14:paraId="66918FC3" w14:textId="1121E5BB" w:rsidR="005B0DF4" w:rsidRPr="00521479" w:rsidRDefault="005B0DF4" w:rsidP="000C2E33">
      <w:pPr>
        <w:pStyle w:val="FootnoteText"/>
      </w:pPr>
      <w:r>
        <w:rPr>
          <w:rStyle w:val="FootnoteReference"/>
        </w:rPr>
        <w:footnoteRef/>
      </w:r>
      <w:r>
        <w:t xml:space="preserve"> </w:t>
      </w:r>
      <w:r>
        <w:tab/>
      </w:r>
      <w:r w:rsidRPr="00714B4B">
        <w:t>http://www.ausaid.gov.au/countries/eastasia/regional/Documents/asean-adcp-phaseII-progress%20report-final%20public%20version%20aug2012.pdf</w:t>
      </w:r>
      <w:r>
        <w:t xml:space="preserve"> </w:t>
      </w:r>
    </w:p>
  </w:footnote>
  <w:footnote w:id="37">
    <w:p w14:paraId="794524D9" w14:textId="78D56AD4" w:rsidR="005B0DF4" w:rsidRPr="00D20187" w:rsidRDefault="005B0DF4" w:rsidP="000C2E33">
      <w:pPr>
        <w:pStyle w:val="FootnoteText"/>
      </w:pPr>
      <w:r>
        <w:rPr>
          <w:rStyle w:val="FootnoteReference"/>
        </w:rPr>
        <w:footnoteRef/>
      </w:r>
      <w:r>
        <w:t xml:space="preserve"> </w:t>
      </w:r>
      <w:r>
        <w:tab/>
        <w:t>AECSP Program Design Document p.</w:t>
      </w:r>
      <w:r w:rsidRPr="00D20187">
        <w:t>40</w:t>
      </w:r>
      <w:r>
        <w:t>.</w:t>
      </w:r>
    </w:p>
  </w:footnote>
  <w:footnote w:id="38">
    <w:p w14:paraId="377D7367" w14:textId="666795ED" w:rsidR="005B0DF4" w:rsidRPr="00C9484A" w:rsidRDefault="005B0DF4" w:rsidP="00530BA8">
      <w:pPr>
        <w:pStyle w:val="FootnoteText"/>
      </w:pPr>
      <w:r>
        <w:rPr>
          <w:rStyle w:val="FootnoteReference"/>
        </w:rPr>
        <w:footnoteRef/>
      </w:r>
      <w:r>
        <w:tab/>
        <w:t xml:space="preserve">AECSP </w:t>
      </w:r>
      <w:r w:rsidRPr="00D20187">
        <w:t xml:space="preserve">program design document </w:t>
      </w:r>
      <w:r>
        <w:t>p.101.</w:t>
      </w:r>
    </w:p>
  </w:footnote>
  <w:footnote w:id="39">
    <w:p w14:paraId="62C11619" w14:textId="39F5F489" w:rsidR="005B0DF4" w:rsidRPr="002214F6" w:rsidRDefault="005B0DF4" w:rsidP="00530BA8">
      <w:pPr>
        <w:pStyle w:val="FootnoteText"/>
      </w:pPr>
      <w:r>
        <w:rPr>
          <w:rStyle w:val="FootnoteReference"/>
        </w:rPr>
        <w:footnoteRef/>
      </w:r>
      <w:r>
        <w:tab/>
        <w:t>AECSP design document p.37.</w:t>
      </w:r>
    </w:p>
  </w:footnote>
  <w:footnote w:id="40">
    <w:p w14:paraId="2479BB90" w14:textId="44BB1516" w:rsidR="005B0DF4" w:rsidRDefault="005B0DF4" w:rsidP="00530BA8">
      <w:pPr>
        <w:pStyle w:val="FootnoteText"/>
      </w:pPr>
      <w:r>
        <w:rPr>
          <w:rStyle w:val="FootnoteReference"/>
        </w:rPr>
        <w:footnoteRef/>
      </w:r>
      <w:r>
        <w:t xml:space="preserve"> </w:t>
      </w:r>
      <w:r>
        <w:tab/>
        <w:t>AusAID quality at implementation reports, 2010, 2011 and (draft) 2012.</w:t>
      </w:r>
    </w:p>
  </w:footnote>
  <w:footnote w:id="41">
    <w:p w14:paraId="6D1D4E2A" w14:textId="2FCECEA5" w:rsidR="005B0DF4" w:rsidRPr="00D026DE" w:rsidRDefault="005B0DF4" w:rsidP="00530BA8">
      <w:pPr>
        <w:pStyle w:val="FootnoteText"/>
      </w:pPr>
      <w:r>
        <w:rPr>
          <w:rStyle w:val="FootnoteReference"/>
        </w:rPr>
        <w:footnoteRef/>
      </w:r>
      <w:r>
        <w:tab/>
      </w:r>
      <w:r w:rsidRPr="00960F20">
        <w:t xml:space="preserve">Guided by the ASEAN Committee on Women </w:t>
      </w:r>
      <w:r>
        <w:t>w</w:t>
      </w:r>
      <w:r w:rsidRPr="00960F20">
        <w:t xml:space="preserve">ork </w:t>
      </w:r>
      <w:r>
        <w:t>p</w:t>
      </w:r>
      <w:r w:rsidRPr="00960F20">
        <w:t>lan 2011</w:t>
      </w:r>
      <w:r>
        <w:t>–20</w:t>
      </w:r>
      <w:r w:rsidRPr="00960F20">
        <w:t>15.</w:t>
      </w:r>
    </w:p>
  </w:footnote>
  <w:footnote w:id="42">
    <w:p w14:paraId="184C8CB5" w14:textId="2BDA6D87" w:rsidR="005B0DF4" w:rsidRDefault="005B0DF4" w:rsidP="00530BA8">
      <w:pPr>
        <w:pStyle w:val="FootnoteText"/>
      </w:pPr>
      <w:r>
        <w:rPr>
          <w:rStyle w:val="FootnoteReference"/>
        </w:rPr>
        <w:footnoteRef/>
      </w:r>
      <w:r>
        <w:t xml:space="preserve"> </w:t>
      </w:r>
      <w:r>
        <w:tab/>
      </w:r>
      <w:r w:rsidRPr="00417AD4">
        <w:t>Ana C. Dammert</w:t>
      </w:r>
      <w:r>
        <w:t>,</w:t>
      </w:r>
      <w:r w:rsidRPr="00417AD4">
        <w:t xml:space="preserve"> Beyza Ural Marchand</w:t>
      </w:r>
      <w:r>
        <w:t>, and</w:t>
      </w:r>
      <w:r w:rsidRPr="00417AD4">
        <w:t xml:space="preserve"> Chi Wan</w:t>
      </w:r>
      <w:r>
        <w:t xml:space="preserve"> (2013), “</w:t>
      </w:r>
      <w:r w:rsidRPr="00417AD4">
        <w:t>Gender Wage-Productivity Differentials</w:t>
      </w:r>
      <w:r>
        <w:t xml:space="preserve"> </w:t>
      </w:r>
      <w:r w:rsidRPr="00417AD4">
        <w:t>and Global Integration in China</w:t>
      </w:r>
      <w:r>
        <w:t xml:space="preserve">”, Institute for the Study of Labor </w:t>
      </w:r>
      <w:r w:rsidRPr="00417AD4">
        <w:t>Discussion Paper No. 7159</w:t>
      </w:r>
      <w:r>
        <w:t xml:space="preserve">, concluded that </w:t>
      </w:r>
      <w:r>
        <w:rPr>
          <w:lang w:val="en-AU"/>
        </w:rPr>
        <w:t>“</w:t>
      </w:r>
      <w:r w:rsidRPr="00417AD4">
        <w:rPr>
          <w:i/>
        </w:rPr>
        <w:t>more exposure to globali</w:t>
      </w:r>
      <w:r>
        <w:rPr>
          <w:i/>
        </w:rPr>
        <w:t>s</w:t>
      </w:r>
      <w:r w:rsidRPr="00417AD4">
        <w:rPr>
          <w:i/>
        </w:rPr>
        <w:t xml:space="preserve">ation through increased exports is associated with lower gender wage-productivity differentials, and more exposure through increased foreign investment leads to differentials in favor of female workers. On the other hand, gender </w:t>
      </w:r>
      <w:r w:rsidRPr="00417AD4">
        <w:rPr>
          <w:i/>
          <w:lang w:val="en-AU"/>
        </w:rPr>
        <w:t>discrimination is found to be prevalent among domestically owned and non-exporting firms.”</w:t>
      </w:r>
    </w:p>
  </w:footnote>
  <w:footnote w:id="43">
    <w:p w14:paraId="4BBEC183" w14:textId="08D536B9" w:rsidR="005B0DF4" w:rsidRDefault="005B0DF4" w:rsidP="00530BA8">
      <w:pPr>
        <w:pStyle w:val="FootnoteText"/>
      </w:pPr>
      <w:r>
        <w:rPr>
          <w:rStyle w:val="FootnoteReference"/>
        </w:rPr>
        <w:footnoteRef/>
      </w:r>
      <w:r>
        <w:t xml:space="preserve"> </w:t>
      </w:r>
      <w:r>
        <w:tab/>
        <w:t>See Appendix 4</w:t>
      </w:r>
      <w:r w:rsidRPr="0037360F">
        <w:t xml:space="preserve"> for a more detailed analysis of AECSP</w:t>
      </w:r>
      <w:r>
        <w:t xml:space="preserve"> monitoring and evaluation </w:t>
      </w:r>
      <w:r w:rsidRPr="0037360F">
        <w:t>issues and opportunities.</w:t>
      </w:r>
    </w:p>
  </w:footnote>
  <w:footnote w:id="44">
    <w:p w14:paraId="70129C8C" w14:textId="77777777" w:rsidR="005B0DF4" w:rsidRDefault="005B0DF4" w:rsidP="00530BA8">
      <w:pPr>
        <w:pStyle w:val="FootnoteText"/>
      </w:pPr>
      <w:r>
        <w:rPr>
          <w:rStyle w:val="FootnoteReference"/>
        </w:rPr>
        <w:footnoteRef/>
      </w:r>
      <w:r>
        <w:tab/>
        <w:t>November 2009.</w:t>
      </w:r>
    </w:p>
  </w:footnote>
  <w:footnote w:id="45">
    <w:p w14:paraId="150C9E86" w14:textId="430199E5" w:rsidR="005B0DF4" w:rsidRDefault="005B0DF4" w:rsidP="00530BA8">
      <w:pPr>
        <w:pStyle w:val="FootnoteText"/>
      </w:pPr>
      <w:r>
        <w:rPr>
          <w:rStyle w:val="FootnoteReference"/>
        </w:rPr>
        <w:footnoteRef/>
      </w:r>
      <w:r>
        <w:tab/>
        <w:t xml:space="preserve">Program documentation consistently refers to the AECSP monitoring and evaluation framework and monitoring and evaluation tools. When dealing with AusAID program monitoring and evaluation constructs, it is more common to refer to a program’s performance assessment framework. In the context of this review both terminologies are used interchangeably. </w:t>
      </w:r>
    </w:p>
  </w:footnote>
  <w:footnote w:id="46">
    <w:p w14:paraId="202A314E" w14:textId="42496FAA" w:rsidR="005B0DF4" w:rsidRPr="008108DF" w:rsidRDefault="005B0DF4" w:rsidP="00530BA8">
      <w:pPr>
        <w:pStyle w:val="FootnoteText"/>
        <w:spacing w:before="0" w:after="0"/>
      </w:pPr>
      <w:r>
        <w:rPr>
          <w:rStyle w:val="FootnoteReference"/>
        </w:rPr>
        <w:footnoteRef/>
      </w:r>
      <w:r>
        <w:tab/>
        <w:t xml:space="preserve">Including database development and management, capacity building initiatives, monitoring and evaluation for </w:t>
      </w:r>
      <w:r w:rsidRPr="007A6365">
        <w:t>AECSP</w:t>
      </w:r>
      <w:r>
        <w:t xml:space="preserve"> sponsored projects, and interfacing monitoring and evaluation with information and knowledge acquisition strategies.</w:t>
      </w:r>
    </w:p>
  </w:footnote>
  <w:footnote w:id="47">
    <w:p w14:paraId="0DB240C6" w14:textId="0C23B60C" w:rsidR="005B0DF4" w:rsidRDefault="005B0DF4" w:rsidP="00530BA8">
      <w:pPr>
        <w:pStyle w:val="FootnoteText"/>
      </w:pPr>
      <w:r>
        <w:rPr>
          <w:rStyle w:val="FootnoteReference"/>
        </w:rPr>
        <w:footnoteRef/>
      </w:r>
      <w:r>
        <w:t xml:space="preserve"> </w:t>
      </w:r>
      <w:r>
        <w:tab/>
        <w:t>A third international monitoring and evaluation specialist was appointed in 2012 when the second advisor took another full-time position.</w:t>
      </w:r>
    </w:p>
  </w:footnote>
  <w:footnote w:id="48">
    <w:p w14:paraId="0A6BB1B1" w14:textId="77777777" w:rsidR="005B0DF4" w:rsidRDefault="005B0DF4" w:rsidP="00530BA8">
      <w:pPr>
        <w:pStyle w:val="FootnoteText"/>
      </w:pPr>
      <w:r>
        <w:rPr>
          <w:rStyle w:val="FootnoteReference"/>
        </w:rPr>
        <w:footnoteRef/>
      </w:r>
      <w:r>
        <w:t xml:space="preserve"> </w:t>
      </w:r>
      <w:r>
        <w:tab/>
        <w:t xml:space="preserve">A program approach is when support is for targeted objectives within a collective implementation context, i.e. </w:t>
      </w:r>
      <w:r w:rsidRPr="00A26F54">
        <w:t xml:space="preserve">a shift from an exclusive focus on project inputs and activities towards broader policy concerns and development impact </w:t>
      </w:r>
      <w:r>
        <w:t>within a vertical (country) or horizontal (sector) context.</w:t>
      </w:r>
    </w:p>
  </w:footnote>
  <w:footnote w:id="49">
    <w:p w14:paraId="608C8AE5" w14:textId="77777777" w:rsidR="005B0DF4" w:rsidRDefault="005B0DF4" w:rsidP="00530BA8">
      <w:pPr>
        <w:pStyle w:val="FootnoteText"/>
      </w:pPr>
      <w:r>
        <w:rPr>
          <w:rStyle w:val="FootnoteReference"/>
        </w:rPr>
        <w:footnoteRef/>
      </w:r>
      <w:r>
        <w:t xml:space="preserve"> </w:t>
      </w:r>
      <w:r>
        <w:tab/>
      </w:r>
      <w:r>
        <w:rPr>
          <w:rStyle w:val="FootnoteTextChar"/>
        </w:rPr>
        <w:t xml:space="preserve">See Appendix 7. </w:t>
      </w:r>
    </w:p>
  </w:footnote>
  <w:footnote w:id="50">
    <w:p w14:paraId="0AB96ADB" w14:textId="53528345" w:rsidR="005B0DF4" w:rsidRDefault="005B0DF4" w:rsidP="00530BA8">
      <w:pPr>
        <w:pStyle w:val="FootnoteText"/>
      </w:pPr>
      <w:r>
        <w:rPr>
          <w:rStyle w:val="FootnoteReference"/>
        </w:rPr>
        <w:footnoteRef/>
      </w:r>
      <w:r>
        <w:tab/>
        <w:t>For example, the Department of Foreign Affairs and Trade is compiling data on AANZFTA outcomes to further support the AECSP performance assessment framework.</w:t>
      </w:r>
    </w:p>
  </w:footnote>
  <w:footnote w:id="51">
    <w:p w14:paraId="06450A1C" w14:textId="1F82BF4A" w:rsidR="005B0DF4" w:rsidRDefault="005B0DF4" w:rsidP="00530BA8">
      <w:pPr>
        <w:pStyle w:val="FootnoteText"/>
      </w:pPr>
      <w:r>
        <w:rPr>
          <w:rStyle w:val="FootnoteReference"/>
        </w:rPr>
        <w:footnoteRef/>
      </w:r>
      <w:r>
        <w:t xml:space="preserve"> </w:t>
      </w:r>
      <w:r>
        <w:tab/>
        <w:t>With links to the communication strategy.</w:t>
      </w:r>
    </w:p>
  </w:footnote>
  <w:footnote w:id="52">
    <w:p w14:paraId="21A190A4" w14:textId="2F4CDB6A" w:rsidR="005B0DF4" w:rsidRPr="001859C7" w:rsidRDefault="005B0DF4" w:rsidP="00530BA8">
      <w:pPr>
        <w:pStyle w:val="FootnoteText"/>
      </w:pPr>
      <w:r>
        <w:rPr>
          <w:rStyle w:val="FootnoteReference"/>
        </w:rPr>
        <w:footnoteRef/>
      </w:r>
      <w:r>
        <w:t xml:space="preserve"> </w:t>
      </w:r>
      <w:r>
        <w:tab/>
        <w:t xml:space="preserve">For example, the capacity building needs for competition policy institutions in Singapore are very different to those of Thailand or Vietnam, while there may be questions about whether Lao PDR really needs a competition policy agency at this stage of its development. </w:t>
      </w:r>
    </w:p>
  </w:footnote>
  <w:footnote w:id="53">
    <w:p w14:paraId="4E36AD75" w14:textId="328A2C54" w:rsidR="005B0DF4" w:rsidRDefault="005B0DF4" w:rsidP="00530BA8">
      <w:pPr>
        <w:pStyle w:val="FootnoteText"/>
      </w:pPr>
      <w:r>
        <w:rPr>
          <w:rStyle w:val="FootnoteReference"/>
        </w:rPr>
        <w:footnoteRef/>
      </w:r>
      <w:r>
        <w:t xml:space="preserve"> </w:t>
      </w:r>
      <w:r>
        <w:tab/>
        <w:t>See Annex 5</w:t>
      </w:r>
      <w:r w:rsidRPr="0037360F">
        <w:t xml:space="preserve"> for a more detailed analysis of </w:t>
      </w:r>
      <w:r>
        <w:t>capacity development</w:t>
      </w:r>
      <w:r w:rsidRPr="0037360F">
        <w:t xml:space="preserve"> issues and opportunities associated with AECSP.</w:t>
      </w:r>
    </w:p>
  </w:footnote>
  <w:footnote w:id="54">
    <w:p w14:paraId="22A93F17" w14:textId="77777777" w:rsidR="005B0DF4" w:rsidRDefault="005B0DF4" w:rsidP="00530BA8">
      <w:pPr>
        <w:pStyle w:val="FootnoteText"/>
      </w:pPr>
      <w:r>
        <w:rPr>
          <w:rStyle w:val="FootnoteReference"/>
        </w:rPr>
        <w:footnoteRef/>
      </w:r>
      <w:r>
        <w:tab/>
        <w:t>Through the Assistant Director, External Economic Relations.</w:t>
      </w:r>
    </w:p>
  </w:footnote>
  <w:footnote w:id="55">
    <w:p w14:paraId="51E62A2C" w14:textId="3C922C05" w:rsidR="005B0DF4" w:rsidRDefault="005B0DF4" w:rsidP="00530BA8">
      <w:pPr>
        <w:pStyle w:val="FootnoteText"/>
      </w:pPr>
      <w:r>
        <w:rPr>
          <w:rStyle w:val="FootnoteReference"/>
        </w:rPr>
        <w:footnoteRef/>
      </w:r>
      <w:r>
        <w:tab/>
        <w:t>Examples include targeted training, workshops, conferences, materials development, qualifications frameworks, regional diagnostics and outreach programs.</w:t>
      </w:r>
    </w:p>
  </w:footnote>
  <w:footnote w:id="56">
    <w:p w14:paraId="05ECCB81" w14:textId="5F1D4906" w:rsidR="005B0DF4" w:rsidRDefault="005B0DF4" w:rsidP="00530BA8">
      <w:pPr>
        <w:pStyle w:val="FootnoteText"/>
      </w:pPr>
      <w:r>
        <w:rPr>
          <w:rStyle w:val="FootnoteReference"/>
        </w:rPr>
        <w:footnoteRef/>
      </w:r>
      <w:r>
        <w:tab/>
        <w:t xml:space="preserve">For example, the training materials produced as a result of the workshops on rules of origin </w:t>
      </w:r>
      <w:r w:rsidRPr="00B910B4">
        <w:rPr>
          <w:lang w:val="en-AU"/>
        </w:rPr>
        <w:t>and tariff transposition.</w:t>
      </w:r>
    </w:p>
  </w:footnote>
  <w:footnote w:id="57">
    <w:p w14:paraId="6847CE74" w14:textId="41B2E201" w:rsidR="005B0DF4" w:rsidRPr="002B026C" w:rsidRDefault="005B0DF4" w:rsidP="00530BA8">
      <w:pPr>
        <w:autoSpaceDE w:val="0"/>
        <w:autoSpaceDN w:val="0"/>
        <w:adjustRightInd w:val="0"/>
        <w:spacing w:after="0"/>
        <w:ind w:left="142" w:hanging="284"/>
        <w:rPr>
          <w:rStyle w:val="FootnoteTextChar"/>
        </w:rPr>
      </w:pPr>
      <w:r w:rsidRPr="000F1381">
        <w:rPr>
          <w:rStyle w:val="FootnoteReference"/>
          <w:sz w:val="18"/>
          <w:szCs w:val="18"/>
        </w:rPr>
        <w:footnoteRef/>
      </w:r>
      <w:r>
        <w:rPr>
          <w:szCs w:val="20"/>
        </w:rPr>
        <w:tab/>
      </w:r>
      <w:r w:rsidRPr="000F1381">
        <w:rPr>
          <w:rStyle w:val="FootnoteTextChar"/>
        </w:rPr>
        <w:t>World Bank Institute (2006)</w:t>
      </w:r>
      <w:r>
        <w:rPr>
          <w:rStyle w:val="FootnoteTextChar"/>
        </w:rPr>
        <w:t>,</w:t>
      </w:r>
      <w:r w:rsidRPr="000F1381">
        <w:rPr>
          <w:rStyle w:val="FootnoteTextChar"/>
        </w:rPr>
        <w:t xml:space="preserve"> World Bank Institute Capacity Development Briefs </w:t>
      </w:r>
      <w:r w:rsidRPr="00714B4B">
        <w:rPr>
          <w:rStyle w:val="FootnoteTextChar"/>
          <w:i/>
        </w:rPr>
        <w:t xml:space="preserve">Does </w:t>
      </w:r>
      <w:r>
        <w:rPr>
          <w:rStyle w:val="FootnoteTextChar"/>
          <w:i/>
        </w:rPr>
        <w:t>t</w:t>
      </w:r>
      <w:r w:rsidRPr="00714B4B">
        <w:rPr>
          <w:rStyle w:val="FootnoteTextChar"/>
          <w:i/>
        </w:rPr>
        <w:t xml:space="preserve">raining </w:t>
      </w:r>
      <w:r>
        <w:rPr>
          <w:rStyle w:val="FootnoteTextChar"/>
          <w:i/>
        </w:rPr>
        <w:t>w</w:t>
      </w:r>
      <w:r w:rsidRPr="00714B4B">
        <w:rPr>
          <w:rStyle w:val="FootnoteTextChar"/>
          <w:i/>
        </w:rPr>
        <w:t>ork?</w:t>
      </w:r>
      <w:r w:rsidRPr="000F1381">
        <w:rPr>
          <w:rStyle w:val="FootnoteTextChar"/>
        </w:rPr>
        <w:t xml:space="preserve"> </w:t>
      </w:r>
      <w:r w:rsidRPr="00714B4B">
        <w:rPr>
          <w:rStyle w:val="FootnoteTextChar"/>
          <w:i/>
        </w:rPr>
        <w:t>re-examining donor-sponsored training programs in developing countries</w:t>
      </w:r>
      <w:r w:rsidRPr="000F1381">
        <w:rPr>
          <w:rStyle w:val="FootnoteTextChar"/>
        </w:rPr>
        <w:t xml:space="preserve">. Capacity Collective (2008) Op. Cit. (2009) </w:t>
      </w:r>
      <w:r w:rsidRPr="00714B4B">
        <w:rPr>
          <w:rStyle w:val="FootnoteTextChar"/>
          <w:i/>
        </w:rPr>
        <w:t>Mainstreaming results-oriented approaches in capacity development: toward action and collaboration</w:t>
      </w:r>
      <w:r w:rsidRPr="000F1381">
        <w:rPr>
          <w:rStyle w:val="FootnoteTextChar"/>
        </w:rPr>
        <w:t>. Report from June 2009 Forum on Learning Results.</w:t>
      </w:r>
    </w:p>
  </w:footnote>
  <w:footnote w:id="58">
    <w:p w14:paraId="25C839FE" w14:textId="069515EF" w:rsidR="005B0DF4" w:rsidRPr="00213D73" w:rsidRDefault="005B0DF4" w:rsidP="00530BA8">
      <w:pPr>
        <w:pStyle w:val="FootnoteText"/>
      </w:pPr>
      <w:r>
        <w:rPr>
          <w:rStyle w:val="FootnoteReference"/>
        </w:rPr>
        <w:footnoteRef/>
      </w:r>
      <w:r>
        <w:tab/>
      </w:r>
      <w:r w:rsidRPr="00213D73">
        <w:t>Examples include the Comprehensive Patent Examination Training Project, and the ASEAN Regional Diagnostic Network.</w:t>
      </w:r>
    </w:p>
  </w:footnote>
  <w:footnote w:id="59">
    <w:p w14:paraId="0D6596CD" w14:textId="52519981" w:rsidR="005B0DF4" w:rsidRDefault="005B0DF4" w:rsidP="00530BA8">
      <w:pPr>
        <w:pStyle w:val="FootnoteText"/>
      </w:pPr>
      <w:r>
        <w:rPr>
          <w:rStyle w:val="FootnoteReference"/>
        </w:rPr>
        <w:footnoteRef/>
      </w:r>
      <w:r>
        <w:t xml:space="preserve"> </w:t>
      </w:r>
      <w:r>
        <w:tab/>
        <w:t xml:space="preserve">The </w:t>
      </w:r>
      <w:r w:rsidRPr="00375816">
        <w:rPr>
          <w:rFonts w:cs="Arial"/>
        </w:rPr>
        <w:t>AANZFTA Support Unit</w:t>
      </w:r>
      <w:r>
        <w:t xml:space="preserve"> </w:t>
      </w:r>
      <w:r>
        <w:rPr>
          <w:lang w:val="en-AU"/>
        </w:rPr>
        <w:t>submits</w:t>
      </w:r>
      <w:r w:rsidRPr="00041A69">
        <w:rPr>
          <w:lang w:val="en-AU"/>
        </w:rPr>
        <w:t xml:space="preserve"> mission/workshop report</w:t>
      </w:r>
      <w:r>
        <w:rPr>
          <w:lang w:val="en-AU"/>
        </w:rPr>
        <w:t>s</w:t>
      </w:r>
      <w:r w:rsidRPr="00041A69">
        <w:rPr>
          <w:lang w:val="en-AU"/>
        </w:rPr>
        <w:t>, briefin</w:t>
      </w:r>
      <w:r>
        <w:rPr>
          <w:lang w:val="en-AU"/>
        </w:rPr>
        <w:t>g notes</w:t>
      </w:r>
      <w:r w:rsidRPr="00041A69">
        <w:rPr>
          <w:lang w:val="en-AU"/>
        </w:rPr>
        <w:t xml:space="preserve"> for high-level meetings</w:t>
      </w:r>
      <w:r>
        <w:rPr>
          <w:lang w:val="en-AU"/>
        </w:rPr>
        <w:t>, and other reports</w:t>
      </w:r>
      <w:r w:rsidRPr="00041A69">
        <w:rPr>
          <w:lang w:val="en-AU"/>
        </w:rPr>
        <w:t xml:space="preserve"> </w:t>
      </w:r>
      <w:r>
        <w:rPr>
          <w:lang w:val="en-AU"/>
        </w:rPr>
        <w:t>to the ASEAN Secretariat. The</w:t>
      </w:r>
      <w:r w:rsidRPr="00132E4D">
        <w:rPr>
          <w:lang w:val="en-AU"/>
        </w:rPr>
        <w:t xml:space="preserve"> F</w:t>
      </w:r>
      <w:r>
        <w:rPr>
          <w:lang w:val="en-AU"/>
        </w:rPr>
        <w:t xml:space="preserve">ree Trade Agreement </w:t>
      </w:r>
      <w:r w:rsidRPr="00132E4D">
        <w:rPr>
          <w:lang w:val="en-AU"/>
        </w:rPr>
        <w:t>J</w:t>
      </w:r>
      <w:r>
        <w:rPr>
          <w:lang w:val="en-AU"/>
        </w:rPr>
        <w:t xml:space="preserve">oint </w:t>
      </w:r>
      <w:r w:rsidRPr="00132E4D">
        <w:rPr>
          <w:lang w:val="en-AU"/>
        </w:rPr>
        <w:t>C</w:t>
      </w:r>
      <w:r>
        <w:rPr>
          <w:lang w:val="en-AU"/>
        </w:rPr>
        <w:t>ommittee</w:t>
      </w:r>
      <w:r w:rsidRPr="00132E4D">
        <w:rPr>
          <w:lang w:val="en-AU"/>
        </w:rPr>
        <w:t xml:space="preserve"> submits reports on the outcomes and constraints on economic cooperation activities under AECSP </w:t>
      </w:r>
      <w:r>
        <w:rPr>
          <w:lang w:val="en-AU"/>
        </w:rPr>
        <w:t xml:space="preserve">to ASEAN Secretariat </w:t>
      </w:r>
      <w:r w:rsidRPr="00132E4D">
        <w:rPr>
          <w:lang w:val="en-AU"/>
        </w:rPr>
        <w:t>leadership, ASEAN, Australia and New Zealand</w:t>
      </w:r>
      <w:r>
        <w:rPr>
          <w:lang w:val="en-AU"/>
        </w:rPr>
        <w:t xml:space="preserve"> at the </w:t>
      </w:r>
      <w:r w:rsidRPr="00D419B4">
        <w:rPr>
          <w:rFonts w:cs="Arial"/>
        </w:rPr>
        <w:t xml:space="preserve">Senior Economic Officials Meeting </w:t>
      </w:r>
      <w:r>
        <w:rPr>
          <w:lang w:val="en-AU"/>
        </w:rPr>
        <w:t>–</w:t>
      </w:r>
      <w:r w:rsidRPr="008973A2">
        <w:rPr>
          <w:lang w:val="en-AU"/>
        </w:rPr>
        <w:t>C</w:t>
      </w:r>
      <w:r w:rsidRPr="00714B4B">
        <w:rPr>
          <w:lang w:val="en-AU"/>
        </w:rPr>
        <w:t xml:space="preserve">loser </w:t>
      </w:r>
      <w:r w:rsidRPr="008973A2">
        <w:rPr>
          <w:lang w:val="en-AU"/>
        </w:rPr>
        <w:t>E</w:t>
      </w:r>
      <w:r w:rsidRPr="00714B4B">
        <w:rPr>
          <w:lang w:val="en-AU"/>
        </w:rPr>
        <w:t xml:space="preserve">conomic </w:t>
      </w:r>
      <w:r w:rsidRPr="008973A2">
        <w:rPr>
          <w:lang w:val="en-AU"/>
        </w:rPr>
        <w:t>Relations</w:t>
      </w:r>
      <w:r>
        <w:rPr>
          <w:lang w:val="en-AU"/>
        </w:rPr>
        <w:t xml:space="preserve"> consultation meetings</w:t>
      </w:r>
      <w:r w:rsidRPr="00132E4D">
        <w:rPr>
          <w:lang w:val="en-AU"/>
        </w:rPr>
        <w:t xml:space="preserve">. </w:t>
      </w:r>
      <w:r>
        <w:rPr>
          <w:lang w:val="en-AU"/>
        </w:rPr>
        <w:t xml:space="preserve">The ASEAN Secretariat </w:t>
      </w:r>
      <w:r w:rsidRPr="00132E4D">
        <w:rPr>
          <w:lang w:val="en-AU"/>
        </w:rPr>
        <w:t>also provide</w:t>
      </w:r>
      <w:r>
        <w:rPr>
          <w:lang w:val="en-AU"/>
        </w:rPr>
        <w:t>s</w:t>
      </w:r>
      <w:r w:rsidRPr="00132E4D">
        <w:rPr>
          <w:lang w:val="en-AU"/>
        </w:rPr>
        <w:t xml:space="preserve"> updates on AECSP to the ASEAN</w:t>
      </w:r>
      <w:r>
        <w:rPr>
          <w:lang w:val="en-AU"/>
        </w:rPr>
        <w:t>–</w:t>
      </w:r>
      <w:r w:rsidRPr="00132E4D">
        <w:rPr>
          <w:lang w:val="en-AU"/>
        </w:rPr>
        <w:t>Australia Joint Cooperation Committee Meeting and to the ASEAN</w:t>
      </w:r>
      <w:r>
        <w:rPr>
          <w:lang w:val="en-AU"/>
        </w:rPr>
        <w:t>–</w:t>
      </w:r>
      <w:r w:rsidRPr="00132E4D">
        <w:rPr>
          <w:lang w:val="en-AU"/>
        </w:rPr>
        <w:t>New Zealand Dialogue.</w:t>
      </w:r>
    </w:p>
  </w:footnote>
  <w:footnote w:id="60">
    <w:p w14:paraId="0D56DB91" w14:textId="4647C451" w:rsidR="005B0DF4" w:rsidRDefault="005B0DF4" w:rsidP="00530BA8">
      <w:pPr>
        <w:pStyle w:val="FootnoteText"/>
      </w:pPr>
      <w:r>
        <w:rPr>
          <w:rStyle w:val="FootnoteReference"/>
        </w:rPr>
        <w:footnoteRef/>
      </w:r>
      <w:r>
        <w:t xml:space="preserve"> </w:t>
      </w:r>
      <w:r>
        <w:tab/>
      </w:r>
      <w:r>
        <w:rPr>
          <w:lang w:val="en-AU"/>
        </w:rPr>
        <w:t xml:space="preserve">The </w:t>
      </w:r>
      <w:r>
        <w:rPr>
          <w:rFonts w:cs="Arial"/>
        </w:rPr>
        <w:t>c</w:t>
      </w:r>
      <w:r w:rsidRPr="00375816">
        <w:rPr>
          <w:rFonts w:cs="Arial"/>
        </w:rPr>
        <w:t>omponent implementation plan</w:t>
      </w:r>
      <w:r>
        <w:rPr>
          <w:rFonts w:cs="Arial"/>
        </w:rPr>
        <w:t>s</w:t>
      </w:r>
      <w:r w:rsidDel="00276FD9">
        <w:rPr>
          <w:lang w:val="en-AU"/>
        </w:rPr>
        <w:t xml:space="preserve"> </w:t>
      </w:r>
      <w:r>
        <w:rPr>
          <w:lang w:val="en-AU"/>
        </w:rPr>
        <w:t>are</w:t>
      </w:r>
      <w:r w:rsidRPr="00237A57">
        <w:rPr>
          <w:lang w:val="en-AU"/>
        </w:rPr>
        <w:t xml:space="preserve"> revised and updated at least twice a year by the relevant sectoral bodies of AANZFTA with input from other ASEAN bodies</w:t>
      </w:r>
      <w:r>
        <w:rPr>
          <w:lang w:val="en-AU"/>
        </w:rPr>
        <w:t>.</w:t>
      </w:r>
    </w:p>
  </w:footnote>
  <w:footnote w:id="61">
    <w:p w14:paraId="5831F9C7" w14:textId="6F7C238F" w:rsidR="005B0DF4" w:rsidRDefault="005B0DF4" w:rsidP="00530BA8">
      <w:pPr>
        <w:pStyle w:val="FootnoteText"/>
      </w:pPr>
      <w:r>
        <w:rPr>
          <w:rStyle w:val="FootnoteReference"/>
        </w:rPr>
        <w:footnoteRef/>
      </w:r>
      <w:r>
        <w:t xml:space="preserve"> </w:t>
      </w:r>
      <w:r>
        <w:tab/>
        <w:t xml:space="preserve">The team recognises that the </w:t>
      </w:r>
      <w:r w:rsidRPr="00375816">
        <w:rPr>
          <w:rFonts w:cs="Arial"/>
        </w:rPr>
        <w:t xml:space="preserve">AANZFTA Support Unit </w:t>
      </w:r>
      <w:r>
        <w:t xml:space="preserve">has included a proposal in its work plan to survey the use </w:t>
      </w:r>
      <w:r w:rsidRPr="00421D9A">
        <w:t xml:space="preserve">and benefits of AANZFTA and other </w:t>
      </w:r>
      <w:r>
        <w:t>free trade agreements</w:t>
      </w:r>
      <w:r w:rsidRPr="00421D9A">
        <w:t xml:space="preserve"> (with coverage beyond trade in goods)</w:t>
      </w:r>
      <w:r>
        <w:t>. Implementation and analysis of this survey should be an important priority.</w:t>
      </w:r>
    </w:p>
  </w:footnote>
  <w:footnote w:id="62">
    <w:p w14:paraId="104838AA" w14:textId="086D0E01" w:rsidR="005B0DF4" w:rsidRPr="00042694" w:rsidRDefault="005B0DF4" w:rsidP="00530BA8">
      <w:pPr>
        <w:pStyle w:val="FootnoteText"/>
      </w:pPr>
      <w:r>
        <w:rPr>
          <w:rStyle w:val="FootnoteReference"/>
        </w:rPr>
        <w:footnoteRef/>
      </w:r>
      <w:r>
        <w:t xml:space="preserve"> </w:t>
      </w:r>
      <w:r>
        <w:tab/>
        <w:t>A</w:t>
      </w:r>
      <w:r w:rsidRPr="00042694">
        <w:t xml:space="preserve"> core </w:t>
      </w:r>
      <w:r w:rsidRPr="00375816">
        <w:rPr>
          <w:rFonts w:cs="Arial"/>
        </w:rPr>
        <w:t xml:space="preserve">AANZFTA Support Unit </w:t>
      </w:r>
      <w:r w:rsidRPr="00042694">
        <w:t>targeted outcome in the program design.</w:t>
      </w:r>
    </w:p>
  </w:footnote>
  <w:footnote w:id="63">
    <w:p w14:paraId="3DB27E6A" w14:textId="2304EAC3" w:rsidR="005B0DF4" w:rsidRDefault="005B0DF4" w:rsidP="00530BA8">
      <w:pPr>
        <w:pStyle w:val="FootnoteText"/>
      </w:pPr>
      <w:r>
        <w:rPr>
          <w:rStyle w:val="FootnoteReference"/>
        </w:rPr>
        <w:footnoteRef/>
      </w:r>
      <w:r>
        <w:t xml:space="preserve"> </w:t>
      </w:r>
      <w:r>
        <w:tab/>
      </w:r>
      <w:r w:rsidRPr="0025151E">
        <w:t>Traditionally women have become more advantaged as trade in services ha</w:t>
      </w:r>
      <w:r>
        <w:t>s</w:t>
      </w:r>
      <w:r w:rsidRPr="0025151E">
        <w:t xml:space="preserve"> improved</w:t>
      </w:r>
      <w:r>
        <w:t xml:space="preserve">. United </w:t>
      </w:r>
      <w:r w:rsidRPr="008973A2">
        <w:t>N</w:t>
      </w:r>
      <w:r>
        <w:t xml:space="preserve">ations </w:t>
      </w:r>
      <w:r w:rsidRPr="008973A2">
        <w:t>E</w:t>
      </w:r>
      <w:r>
        <w:t xml:space="preserve">conomic </w:t>
      </w:r>
      <w:r w:rsidRPr="008973A2">
        <w:t>C</w:t>
      </w:r>
      <w:r>
        <w:t xml:space="preserve">ommission for </w:t>
      </w:r>
      <w:r w:rsidRPr="008973A2">
        <w:t>A</w:t>
      </w:r>
      <w:r>
        <w:t>frica</w:t>
      </w:r>
      <w:r w:rsidRPr="00B74922">
        <w:t xml:space="preserve">, 2004, </w:t>
      </w:r>
      <w:r w:rsidRPr="00714B4B">
        <w:rPr>
          <w:i/>
        </w:rPr>
        <w:t>Economic report on Africa, Addis Ababa, Ethiopia</w:t>
      </w:r>
      <w:r w:rsidRPr="00B74922">
        <w:t xml:space="preserve">, </w:t>
      </w:r>
      <w:r w:rsidRPr="00714B4B">
        <w:t>www.uneca.org</w:t>
      </w:r>
      <w:r>
        <w:t xml:space="preserve"> </w:t>
      </w:r>
    </w:p>
  </w:footnote>
  <w:footnote w:id="64">
    <w:p w14:paraId="03A88C3E" w14:textId="26D19D6A" w:rsidR="005B0DF4" w:rsidRDefault="005B0DF4" w:rsidP="00530BA8">
      <w:pPr>
        <w:pStyle w:val="FootnoteText"/>
      </w:pPr>
      <w:r>
        <w:rPr>
          <w:rStyle w:val="FootnoteReference"/>
        </w:rPr>
        <w:footnoteRef/>
      </w:r>
      <w:r>
        <w:t xml:space="preserve"> </w:t>
      </w:r>
      <w:r>
        <w:tab/>
        <w:t>These bilateral initiatives may not necessarily have a trade focus. They can and should include capacity development opportunities likely to impact upon developmentally related agendas, e.g. public sector and economic reform, qualification frameworks, labour mobility and corruption management.</w:t>
      </w:r>
    </w:p>
  </w:footnote>
  <w:footnote w:id="65">
    <w:p w14:paraId="7418D0EE" w14:textId="62835FDA" w:rsidR="005B0DF4" w:rsidRDefault="005B0DF4" w:rsidP="00530BA8">
      <w:pPr>
        <w:pStyle w:val="FootnoteText"/>
      </w:pPr>
      <w:r>
        <w:rPr>
          <w:rStyle w:val="FootnoteReference"/>
        </w:rPr>
        <w:footnoteRef/>
      </w:r>
      <w:r>
        <w:t xml:space="preserve"> </w:t>
      </w:r>
      <w:r>
        <w:tab/>
        <w:t xml:space="preserve">The nine Economic Cooperation Work Program components are: </w:t>
      </w:r>
      <w:r w:rsidRPr="00825F91">
        <w:t>rules of origin and other aspects of implementation of tariff commitments</w:t>
      </w:r>
      <w:r>
        <w:t xml:space="preserve">; </w:t>
      </w:r>
      <w:r w:rsidRPr="00825F91">
        <w:t>sanitary and phytosanitary measures</w:t>
      </w:r>
      <w:r>
        <w:t xml:space="preserve">; </w:t>
      </w:r>
      <w:r w:rsidRPr="00B57510">
        <w:t>standards, technical regulations and conformity assessment procedures</w:t>
      </w:r>
      <w:r>
        <w:t>;</w:t>
      </w:r>
      <w:r w:rsidRPr="00B57510">
        <w:t xml:space="preserve"> services</w:t>
      </w:r>
      <w:r>
        <w:t xml:space="preserve">; investment; intellectual property; </w:t>
      </w:r>
      <w:r w:rsidRPr="00B57510">
        <w:t>sectoral integration</w:t>
      </w:r>
      <w:r>
        <w:t xml:space="preserve">; customs; and competition policy. </w:t>
      </w:r>
    </w:p>
  </w:footnote>
  <w:footnote w:id="66">
    <w:p w14:paraId="77143351" w14:textId="7849DD24" w:rsidR="005B0DF4" w:rsidRDefault="005B0DF4" w:rsidP="00530BA8">
      <w:pPr>
        <w:pStyle w:val="FootnoteText"/>
      </w:pPr>
      <w:r>
        <w:rPr>
          <w:rStyle w:val="FootnoteReference"/>
        </w:rPr>
        <w:footnoteRef/>
      </w:r>
      <w:r>
        <w:t xml:space="preserve"> This document was prepared by the Department of Foreign Affairs and Trade for the Senior Officials Meeting – Closer Economic Relations meeting in August 2012. </w:t>
      </w:r>
    </w:p>
  </w:footnote>
  <w:footnote w:id="67">
    <w:p w14:paraId="5D01AA2D" w14:textId="77777777" w:rsidR="005B0DF4" w:rsidRPr="00661ED8" w:rsidRDefault="005B0DF4" w:rsidP="00530BA8">
      <w:pPr>
        <w:pStyle w:val="FootnoteText"/>
      </w:pPr>
      <w:r>
        <w:rPr>
          <w:rStyle w:val="FootnoteReference"/>
        </w:rPr>
        <w:footnoteRef/>
      </w:r>
      <w:r>
        <w:t xml:space="preserve"> </w:t>
      </w:r>
      <w:r w:rsidRPr="00661ED8">
        <w:t>http://www.asean.fta.govt.nz/chapter-12-economic-co-operation/</w:t>
      </w:r>
    </w:p>
  </w:footnote>
  <w:footnote w:id="68">
    <w:p w14:paraId="23EA7503" w14:textId="77777777" w:rsidR="005B0DF4" w:rsidRDefault="005B0DF4" w:rsidP="00530BA8">
      <w:pPr>
        <w:pStyle w:val="FootnoteText"/>
      </w:pPr>
      <w:r>
        <w:rPr>
          <w:rStyle w:val="FootnoteReference"/>
        </w:rPr>
        <w:footnoteRef/>
      </w:r>
      <w:r>
        <w:tab/>
        <w:t>November 2009.</w:t>
      </w:r>
    </w:p>
  </w:footnote>
  <w:footnote w:id="69">
    <w:p w14:paraId="7497C6CF" w14:textId="6A1A74AC" w:rsidR="005B0DF4" w:rsidRDefault="005B0DF4" w:rsidP="00530BA8">
      <w:pPr>
        <w:pStyle w:val="FootnoteText"/>
      </w:pPr>
      <w:r>
        <w:rPr>
          <w:rStyle w:val="FootnoteReference"/>
        </w:rPr>
        <w:footnoteRef/>
      </w:r>
      <w:r>
        <w:tab/>
        <w:t xml:space="preserve">Program documentation consistently refers to the AECSP monitoring and evaluation framework and monitoring and evaluation tools. When dealing with AusAID program monitoring and evaluation constructs, it is more common to refer to a program’s performance assessment framework. In the context of this review both terms are used interchangeably. </w:t>
      </w:r>
    </w:p>
  </w:footnote>
  <w:footnote w:id="70">
    <w:p w14:paraId="7DB2E16A" w14:textId="195572C8" w:rsidR="005B0DF4" w:rsidRPr="005E633D" w:rsidRDefault="005B0DF4" w:rsidP="00530BA8">
      <w:pPr>
        <w:autoSpaceDE w:val="0"/>
        <w:autoSpaceDN w:val="0"/>
        <w:adjustRightInd w:val="0"/>
        <w:spacing w:before="0"/>
        <w:ind w:left="142" w:hanging="284"/>
        <w:rPr>
          <w:rStyle w:val="FootnoteTextChar"/>
        </w:rPr>
      </w:pPr>
      <w:r>
        <w:rPr>
          <w:rStyle w:val="FootnoteReference"/>
        </w:rPr>
        <w:footnoteRef/>
      </w:r>
      <w:r>
        <w:t xml:space="preserve"> </w:t>
      </w:r>
      <w:r>
        <w:tab/>
      </w:r>
      <w:r w:rsidRPr="005E633D">
        <w:rPr>
          <w:rStyle w:val="FootnoteTextChar"/>
        </w:rPr>
        <w:t xml:space="preserve">A third international </w:t>
      </w:r>
      <w:r>
        <w:rPr>
          <w:rStyle w:val="FootnoteTextChar"/>
        </w:rPr>
        <w:t>monitoring and evaluation</w:t>
      </w:r>
      <w:r w:rsidRPr="005E633D">
        <w:rPr>
          <w:rStyle w:val="FootnoteTextChar"/>
        </w:rPr>
        <w:t xml:space="preserve"> specialist was appointed in 2012 when the </w:t>
      </w:r>
      <w:r>
        <w:rPr>
          <w:rStyle w:val="FootnoteTextChar"/>
        </w:rPr>
        <w:t>second</w:t>
      </w:r>
      <w:r w:rsidRPr="005E633D">
        <w:rPr>
          <w:rStyle w:val="FootnoteTextChar"/>
        </w:rPr>
        <w:t xml:space="preserve"> advisor took another full</w:t>
      </w:r>
      <w:r>
        <w:rPr>
          <w:rStyle w:val="FootnoteTextChar"/>
        </w:rPr>
        <w:t>-</w:t>
      </w:r>
      <w:r w:rsidRPr="005E633D">
        <w:rPr>
          <w:rStyle w:val="FootnoteTextChar"/>
        </w:rPr>
        <w:t>time position.</w:t>
      </w:r>
    </w:p>
  </w:footnote>
  <w:footnote w:id="71">
    <w:p w14:paraId="527EA734" w14:textId="7E211168" w:rsidR="005B0DF4" w:rsidRDefault="005B0DF4" w:rsidP="00530BA8">
      <w:pPr>
        <w:pStyle w:val="FootnoteText"/>
      </w:pPr>
      <w:r>
        <w:rPr>
          <w:rStyle w:val="FootnoteReference"/>
        </w:rPr>
        <w:footnoteRef/>
      </w:r>
      <w:r>
        <w:tab/>
        <w:t xml:space="preserve">A program approach is best considered as support for targeted objectives within a collective implementation context, that is </w:t>
      </w:r>
      <w:r w:rsidRPr="00A26F54">
        <w:t xml:space="preserve">a shift from an exclusive focus on project inputs and activities towards broader policy concerns and development impact </w:t>
      </w:r>
      <w:r>
        <w:t>within a vertical (country) or horizontal (sector) context.</w:t>
      </w:r>
    </w:p>
  </w:footnote>
  <w:footnote w:id="72">
    <w:p w14:paraId="5FE14DEE" w14:textId="77777777" w:rsidR="005B0DF4" w:rsidRDefault="005B0DF4" w:rsidP="00530BA8">
      <w:pPr>
        <w:spacing w:before="0"/>
        <w:ind w:left="142" w:hanging="284"/>
      </w:pPr>
      <w:r w:rsidRPr="003217B7">
        <w:rPr>
          <w:rStyle w:val="FootnoteReference"/>
          <w:sz w:val="16"/>
          <w:szCs w:val="16"/>
        </w:rPr>
        <w:footnoteRef/>
      </w:r>
      <w:r>
        <w:rPr>
          <w:rStyle w:val="FootnoteTextChar"/>
        </w:rPr>
        <w:tab/>
      </w:r>
      <w:r w:rsidRPr="003217B7">
        <w:rPr>
          <w:rStyle w:val="FootnoteTextChar"/>
        </w:rPr>
        <w:t xml:space="preserve">Direct quotations pertaining to </w:t>
      </w:r>
      <w:r>
        <w:rPr>
          <w:rStyle w:val="FootnoteTextChar"/>
        </w:rPr>
        <w:t xml:space="preserve">the above are outlined in </w:t>
      </w:r>
      <w:r w:rsidRPr="00D46E32">
        <w:rPr>
          <w:rStyle w:val="FootnoteTextChar"/>
        </w:rPr>
        <w:t>Annex 7</w:t>
      </w:r>
      <w:r w:rsidRPr="003217B7">
        <w:rPr>
          <w:rStyle w:val="FootnoteTextChar"/>
        </w:rPr>
        <w:t xml:space="preserve"> of this </w:t>
      </w:r>
      <w:r>
        <w:rPr>
          <w:rStyle w:val="FootnoteTextChar"/>
        </w:rPr>
        <w:t>r</w:t>
      </w:r>
      <w:r w:rsidRPr="003217B7">
        <w:rPr>
          <w:rStyle w:val="FootnoteTextChar"/>
        </w:rPr>
        <w:t>eport.</w:t>
      </w:r>
    </w:p>
  </w:footnote>
  <w:footnote w:id="73">
    <w:p w14:paraId="61778DB5" w14:textId="0058AE41" w:rsidR="005B0DF4" w:rsidRDefault="005B0DF4" w:rsidP="00530BA8">
      <w:pPr>
        <w:pStyle w:val="FootnoteText"/>
      </w:pPr>
      <w:r>
        <w:rPr>
          <w:rStyle w:val="FootnoteReference"/>
        </w:rPr>
        <w:footnoteRef/>
      </w:r>
      <w:r>
        <w:tab/>
        <w:t>This is a common issue for programs/designs which allow performance assessment frameworks to be developed after mobilisation. Most designs now endorsed by AusAID require a performance assessment framework to be developed prior to mobilisation, although it is usual for monitoring and evaluation tools that support the performance assessment framework</w:t>
      </w:r>
      <w:r w:rsidDel="001827E7">
        <w:t xml:space="preserve"> </w:t>
      </w:r>
      <w:r>
        <w:t>to be developed after mobilisation of a program.</w:t>
      </w:r>
    </w:p>
  </w:footnote>
  <w:footnote w:id="74">
    <w:p w14:paraId="42844853" w14:textId="50460954" w:rsidR="005B0DF4" w:rsidRDefault="005B0DF4" w:rsidP="00530BA8">
      <w:pPr>
        <w:pStyle w:val="FootnoteText"/>
      </w:pPr>
      <w:r>
        <w:rPr>
          <w:rStyle w:val="FootnoteReference"/>
        </w:rPr>
        <w:footnoteRef/>
      </w:r>
      <w:r>
        <w:tab/>
        <w:t>AusAID quality at implementation requirements are well documented and applied across the agency. Standards reflect internationally accepted norms for monitoring development assistance programs and derive from the Quality of Official Development Assistance index and three other global assessments of donor aid performance. AusAID program quality at implementation data contributes to a detailed Annual Review of Development Effectiveness for all AusAID funded programs.</w:t>
      </w:r>
    </w:p>
  </w:footnote>
  <w:footnote w:id="75">
    <w:p w14:paraId="67D75D62" w14:textId="6B8E8FC9" w:rsidR="005B0DF4" w:rsidRDefault="005B0DF4" w:rsidP="00530BA8">
      <w:pPr>
        <w:pStyle w:val="FootnoteText"/>
      </w:pPr>
      <w:r>
        <w:rPr>
          <w:rStyle w:val="FootnoteReference"/>
        </w:rPr>
        <w:footnoteRef/>
      </w:r>
      <w:r>
        <w:tab/>
        <w:t>As an example, the Australian Department of Foreign Affairs and Trade is now compiling data on AANZFTA outcomes to further support the program performance assessment framework.</w:t>
      </w:r>
    </w:p>
  </w:footnote>
  <w:footnote w:id="76">
    <w:p w14:paraId="4C267282" w14:textId="43DAE674" w:rsidR="005B0DF4" w:rsidRDefault="005B0DF4" w:rsidP="00530BA8">
      <w:pPr>
        <w:pStyle w:val="FootnoteText"/>
      </w:pPr>
      <w:r>
        <w:rPr>
          <w:rStyle w:val="FootnoteReference"/>
        </w:rPr>
        <w:footnoteRef/>
      </w:r>
      <w:r>
        <w:tab/>
        <w:t>Members of the AECSP review team were observers of the February AusAID quality at implementation process, and it was apparent that results/evidence were under reported and recorded in the quality at implementation process.</w:t>
      </w:r>
    </w:p>
  </w:footnote>
  <w:footnote w:id="77">
    <w:p w14:paraId="7A03D35E" w14:textId="3DF92448" w:rsidR="005B0DF4" w:rsidRPr="003F009A" w:rsidRDefault="005B0DF4" w:rsidP="00530BA8">
      <w:pPr>
        <w:ind w:left="142" w:hanging="284"/>
        <w:rPr>
          <w:szCs w:val="20"/>
        </w:rPr>
      </w:pPr>
      <w:r w:rsidRPr="003F009A">
        <w:rPr>
          <w:rStyle w:val="FootnoteReference"/>
          <w:szCs w:val="20"/>
        </w:rPr>
        <w:footnoteRef/>
      </w:r>
      <w:r w:rsidRPr="003F009A">
        <w:rPr>
          <w:szCs w:val="20"/>
        </w:rPr>
        <w:t xml:space="preserve"> </w:t>
      </w:r>
      <w:r>
        <w:rPr>
          <w:szCs w:val="20"/>
        </w:rPr>
        <w:tab/>
      </w:r>
      <w:r w:rsidRPr="00313B37">
        <w:rPr>
          <w:rStyle w:val="FootnoteTextChar"/>
        </w:rPr>
        <w:t>AANZFTA and AECSP should consider dropping the monitoring and evaluation framework terminology and use the more positive concept of a performance assessment framewor</w:t>
      </w:r>
      <w:r>
        <w:rPr>
          <w:rStyle w:val="FootnoteTextChar"/>
        </w:rPr>
        <w:t xml:space="preserve">k </w:t>
      </w:r>
      <w:r w:rsidRPr="00313B37">
        <w:rPr>
          <w:rStyle w:val="FootnoteTextChar"/>
        </w:rPr>
        <w:t>in the future.</w:t>
      </w:r>
      <w:r>
        <w:rPr>
          <w:szCs w:val="20"/>
        </w:rPr>
        <w:t xml:space="preserve"> </w:t>
      </w:r>
    </w:p>
    <w:p w14:paraId="7FD0BDCC" w14:textId="77777777" w:rsidR="005B0DF4" w:rsidRDefault="005B0DF4" w:rsidP="00530BA8">
      <w:pPr>
        <w:pStyle w:val="FootnoteText"/>
      </w:pPr>
    </w:p>
  </w:footnote>
  <w:footnote w:id="78">
    <w:p w14:paraId="060E36AC" w14:textId="77777777" w:rsidR="005B0DF4" w:rsidRDefault="005B0DF4" w:rsidP="00530BA8">
      <w:pPr>
        <w:pStyle w:val="FootnoteText"/>
      </w:pPr>
      <w:r>
        <w:rPr>
          <w:rStyle w:val="FootnoteReference"/>
        </w:rPr>
        <w:footnoteRef/>
      </w:r>
      <w:r>
        <w:t xml:space="preserve"> </w:t>
      </w:r>
      <w:r>
        <w:tab/>
        <w:t xml:space="preserve">In a development context, particularly within AusAID, the terms capacity development and capacity building are interchangeable. Both terms are used throughout this report. </w:t>
      </w:r>
    </w:p>
  </w:footnote>
  <w:footnote w:id="79">
    <w:p w14:paraId="6A5405D3" w14:textId="6E6192AD" w:rsidR="005B0DF4" w:rsidRDefault="005B0DF4" w:rsidP="00530BA8">
      <w:pPr>
        <w:pStyle w:val="FootnoteText"/>
      </w:pPr>
      <w:r>
        <w:rPr>
          <w:rStyle w:val="FootnoteReference"/>
        </w:rPr>
        <w:footnoteRef/>
      </w:r>
      <w:r>
        <w:t xml:space="preserve"> </w:t>
      </w:r>
      <w:r>
        <w:tab/>
        <w:t xml:space="preserve">Adapted from various United Kingdom Department for International Development and World Bank documents describing good capacity development practice, for example United Kingdom Department for International  Development, </w:t>
      </w:r>
      <w:r w:rsidRPr="008E0ED8">
        <w:rPr>
          <w:i/>
        </w:rPr>
        <w:t>Capacity development: where do we stand now?</w:t>
      </w:r>
      <w:r>
        <w:t xml:space="preserve"> (2002), and World Bank, </w:t>
      </w:r>
      <w:r w:rsidRPr="008E0ED8">
        <w:rPr>
          <w:i/>
        </w:rPr>
        <w:t>Capacity development: lessons of experience and guiding principles</w:t>
      </w:r>
      <w:r>
        <w:t xml:space="preserve"> (2005).</w:t>
      </w:r>
    </w:p>
  </w:footnote>
  <w:footnote w:id="80">
    <w:p w14:paraId="34706956" w14:textId="447C23F6" w:rsidR="005B0DF4" w:rsidRDefault="005B0DF4" w:rsidP="00530BA8">
      <w:pPr>
        <w:pStyle w:val="FootnoteText"/>
      </w:pPr>
      <w:r>
        <w:rPr>
          <w:rStyle w:val="FootnoteReference"/>
        </w:rPr>
        <w:footnoteRef/>
      </w:r>
      <w:r>
        <w:rPr>
          <w:i/>
        </w:rPr>
        <w:tab/>
      </w:r>
      <w:r w:rsidRPr="00313B37">
        <w:t>AusAID (2004) Capacity Development Principles and Practices</w:t>
      </w:r>
      <w:r>
        <w:t>.</w:t>
      </w:r>
    </w:p>
  </w:footnote>
  <w:footnote w:id="81">
    <w:p w14:paraId="5785E17B" w14:textId="118CFEFC" w:rsidR="005B0DF4" w:rsidRDefault="005B0DF4" w:rsidP="00530BA8">
      <w:pPr>
        <w:pStyle w:val="FootnoteText"/>
      </w:pPr>
      <w:r>
        <w:rPr>
          <w:rStyle w:val="FootnoteReference"/>
        </w:rPr>
        <w:footnoteRef/>
      </w:r>
      <w:r>
        <w:tab/>
        <w:t>Through the Director of Policy Relations.</w:t>
      </w:r>
    </w:p>
  </w:footnote>
  <w:footnote w:id="82">
    <w:p w14:paraId="46281256" w14:textId="5B966F8F" w:rsidR="005B0DF4" w:rsidRDefault="005B0DF4" w:rsidP="00530BA8">
      <w:pPr>
        <w:pStyle w:val="FootnoteText"/>
      </w:pPr>
      <w:r>
        <w:rPr>
          <w:rStyle w:val="FootnoteReference"/>
        </w:rPr>
        <w:footnoteRef/>
      </w:r>
      <w:r>
        <w:tab/>
        <w:t>Examples include targeted training, workshops, conferences, materials development, qualifications frameworks, regional diagnostics and outreach programs.</w:t>
      </w:r>
    </w:p>
  </w:footnote>
  <w:footnote w:id="83">
    <w:p w14:paraId="0A54413E" w14:textId="5B271BCA" w:rsidR="005B0DF4" w:rsidRDefault="005B0DF4" w:rsidP="00530BA8">
      <w:pPr>
        <w:pStyle w:val="FootnoteText"/>
      </w:pPr>
      <w:r>
        <w:rPr>
          <w:rStyle w:val="FootnoteReference"/>
        </w:rPr>
        <w:footnoteRef/>
      </w:r>
      <w:r>
        <w:tab/>
        <w:t>For example the training materials produced as a result of the workshops on rules of origin.</w:t>
      </w:r>
    </w:p>
  </w:footnote>
  <w:footnote w:id="84">
    <w:p w14:paraId="5D578C63" w14:textId="0661FD36" w:rsidR="005B0DF4" w:rsidRPr="002B026C" w:rsidRDefault="005B0DF4" w:rsidP="00530BA8">
      <w:pPr>
        <w:autoSpaceDE w:val="0"/>
        <w:autoSpaceDN w:val="0"/>
        <w:adjustRightInd w:val="0"/>
        <w:spacing w:after="0"/>
        <w:ind w:left="142" w:hanging="284"/>
        <w:rPr>
          <w:rStyle w:val="FootnoteTextChar"/>
        </w:rPr>
      </w:pPr>
      <w:r w:rsidRPr="00313B37">
        <w:rPr>
          <w:rStyle w:val="FootnoteReference"/>
          <w:sz w:val="18"/>
          <w:szCs w:val="18"/>
        </w:rPr>
        <w:footnoteRef/>
      </w:r>
      <w:r>
        <w:rPr>
          <w:szCs w:val="20"/>
        </w:rPr>
        <w:tab/>
      </w:r>
      <w:r w:rsidRPr="002B026C">
        <w:rPr>
          <w:rStyle w:val="FootnoteTextChar"/>
        </w:rPr>
        <w:t>W</w:t>
      </w:r>
      <w:r>
        <w:rPr>
          <w:rStyle w:val="FootnoteTextChar"/>
        </w:rPr>
        <w:t xml:space="preserve">orld Bank Institute </w:t>
      </w:r>
      <w:r w:rsidRPr="002B026C">
        <w:rPr>
          <w:rStyle w:val="FootnoteTextChar"/>
        </w:rPr>
        <w:t>(2006)</w:t>
      </w:r>
      <w:r>
        <w:rPr>
          <w:rStyle w:val="FootnoteTextChar"/>
        </w:rPr>
        <w:t>,</w:t>
      </w:r>
      <w:r w:rsidRPr="002B026C">
        <w:rPr>
          <w:rStyle w:val="FootnoteTextChar"/>
        </w:rPr>
        <w:t xml:space="preserve"> World Bank Institute Capacity Development Briefs</w:t>
      </w:r>
      <w:r>
        <w:rPr>
          <w:rStyle w:val="FootnoteTextChar"/>
        </w:rPr>
        <w:t>,</w:t>
      </w:r>
      <w:r w:rsidRPr="002B026C">
        <w:rPr>
          <w:rStyle w:val="FootnoteTextChar"/>
        </w:rPr>
        <w:t xml:space="preserve"> Does Training Work? Re-Examining Donor-Sponsored Training Programs in Developing Countries. Also Capacity Collective (2008) Op. Cit. (2009)</w:t>
      </w:r>
      <w:r>
        <w:rPr>
          <w:rStyle w:val="FootnoteTextChar"/>
        </w:rPr>
        <w:t>,</w:t>
      </w:r>
      <w:r w:rsidRPr="002B026C">
        <w:rPr>
          <w:rStyle w:val="FootnoteTextChar"/>
        </w:rPr>
        <w:t xml:space="preserve"> Mainstreaming Results-Oriented Approaches in Capacity Development: Toward Action and Collaboration. Report from June 2009 Forum on Learning Results.</w:t>
      </w:r>
    </w:p>
  </w:footnote>
  <w:footnote w:id="85">
    <w:p w14:paraId="02B199E5" w14:textId="783BB883" w:rsidR="005B0DF4" w:rsidRDefault="005B0DF4" w:rsidP="00530BA8">
      <w:pPr>
        <w:pStyle w:val="FootnoteText"/>
      </w:pPr>
      <w:r>
        <w:rPr>
          <w:rStyle w:val="FootnoteReference"/>
        </w:rPr>
        <w:footnoteRef/>
      </w:r>
      <w:r>
        <w:tab/>
        <w:t xml:space="preserve">A program approach is best considered as support for targeted objectives within a collective implementation context, i.e. </w:t>
      </w:r>
      <w:r w:rsidRPr="00A26F54">
        <w:t xml:space="preserve">a shift from an exclusive focus on project inputs and activities towards broader policy concerns and development impact </w:t>
      </w:r>
      <w:r>
        <w:t>within vertical or horizontal contexts.</w:t>
      </w:r>
    </w:p>
  </w:footnote>
  <w:footnote w:id="86">
    <w:p w14:paraId="72699731" w14:textId="262266C3" w:rsidR="005B0DF4" w:rsidRDefault="005B0DF4" w:rsidP="00530BA8">
      <w:pPr>
        <w:pStyle w:val="FootnoteText"/>
      </w:pPr>
      <w:r>
        <w:rPr>
          <w:rStyle w:val="FootnoteReference"/>
        </w:rPr>
        <w:footnoteRef/>
      </w:r>
      <w:r>
        <w:tab/>
        <w:t>These bilateral initiatives may not necessarily have a ‘trade’ focus – they can and should include capacity development opportunities likely to impact upon developmentally related agendas, e.g. public sector and economic reform, qualification frameworks, labour mobility and corruption management.</w:t>
      </w:r>
    </w:p>
  </w:footnote>
  <w:footnote w:id="87">
    <w:p w14:paraId="57DA2B10" w14:textId="10CD1358" w:rsidR="005B0DF4" w:rsidRDefault="005B0DF4" w:rsidP="00530BA8">
      <w:pPr>
        <w:pStyle w:val="FootnoteText"/>
      </w:pPr>
      <w:r>
        <w:rPr>
          <w:rStyle w:val="FootnoteReference"/>
        </w:rPr>
        <w:footnoteRef/>
      </w:r>
      <w:r>
        <w:t xml:space="preserve"> </w:t>
      </w:r>
      <w:r>
        <w:tab/>
        <w:t>AusAID quality at implementation – 2010, 2011 and (draft) 2012.</w:t>
      </w:r>
    </w:p>
  </w:footnote>
  <w:footnote w:id="88">
    <w:p w14:paraId="67B2E3BF" w14:textId="266BDBE8" w:rsidR="005B0DF4" w:rsidRDefault="005B0DF4" w:rsidP="00530BA8">
      <w:pPr>
        <w:pStyle w:val="FootnoteText"/>
      </w:pPr>
      <w:r>
        <w:rPr>
          <w:rStyle w:val="FootnoteReference"/>
        </w:rPr>
        <w:footnoteRef/>
      </w:r>
      <w:r>
        <w:t xml:space="preserve"> </w:t>
      </w:r>
      <w:r>
        <w:tab/>
        <w:t>AusAID quality at implementation rating of 3.</w:t>
      </w:r>
    </w:p>
  </w:footnote>
  <w:footnote w:id="89">
    <w:p w14:paraId="54D7F58B" w14:textId="349CBFA2" w:rsidR="005B0DF4" w:rsidRDefault="005B0DF4" w:rsidP="00530BA8">
      <w:pPr>
        <w:pStyle w:val="FootnoteText"/>
      </w:pPr>
      <w:r>
        <w:rPr>
          <w:rStyle w:val="FootnoteReference"/>
        </w:rPr>
        <w:footnoteRef/>
      </w:r>
      <w:r>
        <w:t xml:space="preserve"> </w:t>
      </w:r>
      <w:r>
        <w:tab/>
        <w:t xml:space="preserve">See for examples: </w:t>
      </w:r>
      <w:r w:rsidRPr="00A37CB1">
        <w:rPr>
          <w:bCs/>
        </w:rPr>
        <w:t>Free</w:t>
      </w:r>
      <w:r>
        <w:rPr>
          <w:bCs/>
        </w:rPr>
        <w:t xml:space="preserve"> </w:t>
      </w:r>
      <w:r w:rsidRPr="00A37CB1">
        <w:rPr>
          <w:bCs/>
        </w:rPr>
        <w:t>Trade</w:t>
      </w:r>
      <w:r w:rsidRPr="00A37CB1">
        <w:t xml:space="preserve"> Policies and Impact on Sustainable Development, Social and </w:t>
      </w:r>
      <w:r w:rsidRPr="00A37CB1">
        <w:rPr>
          <w:bCs/>
        </w:rPr>
        <w:t>Gender</w:t>
      </w:r>
      <w:r w:rsidRPr="00A37CB1">
        <w:t xml:space="preserve"> Justice: A Case Study of the EU-India </w:t>
      </w:r>
      <w:r w:rsidRPr="00A37CB1">
        <w:rPr>
          <w:bCs/>
        </w:rPr>
        <w:t>Free</w:t>
      </w:r>
      <w:r>
        <w:rPr>
          <w:bCs/>
        </w:rPr>
        <w:t xml:space="preserve"> </w:t>
      </w:r>
      <w:r w:rsidRPr="00A37CB1">
        <w:rPr>
          <w:bCs/>
        </w:rPr>
        <w:t>Trade</w:t>
      </w:r>
      <w:r w:rsidRPr="00A37CB1">
        <w:t xml:space="preserve"> Agreement</w:t>
      </w:r>
      <w:r>
        <w:t xml:space="preserve"> (European Commission), and Gender and Trade – Bridge Development (2007)</w:t>
      </w:r>
      <w:r w:rsidRPr="00A37CB1">
        <w:t>.</w:t>
      </w:r>
    </w:p>
  </w:footnote>
  <w:footnote w:id="90">
    <w:p w14:paraId="7BF3C98F" w14:textId="63DA6BDE" w:rsidR="005B0DF4" w:rsidRDefault="005B0DF4" w:rsidP="00530BA8">
      <w:pPr>
        <w:pStyle w:val="FootnoteText"/>
      </w:pPr>
      <w:r>
        <w:rPr>
          <w:rStyle w:val="FootnoteReference"/>
        </w:rPr>
        <w:footnoteRef/>
      </w:r>
      <w:r>
        <w:t xml:space="preserve"> During the independent progress report consultations, the ASEAN Secretariat sponsored a one day gender and equality (gender main streaming) workshop for its staff. </w:t>
      </w:r>
    </w:p>
  </w:footnote>
  <w:footnote w:id="91">
    <w:p w14:paraId="52885AA6" w14:textId="77777777" w:rsidR="005B0DF4" w:rsidRDefault="005B0DF4" w:rsidP="00530BA8">
      <w:pPr>
        <w:pStyle w:val="FootnoteText"/>
      </w:pPr>
      <w:r>
        <w:rPr>
          <w:rStyle w:val="FootnoteReference"/>
        </w:rPr>
        <w:footnoteRef/>
      </w:r>
      <w:r>
        <w:t xml:space="preserve"> Particularly for AECSP.</w:t>
      </w:r>
    </w:p>
  </w:footnote>
  <w:footnote w:id="92">
    <w:p w14:paraId="540A7B21" w14:textId="0860FDC0" w:rsidR="005B0DF4" w:rsidRDefault="005B0DF4" w:rsidP="00530BA8">
      <w:pPr>
        <w:pStyle w:val="FootnoteText"/>
      </w:pPr>
      <w:r>
        <w:rPr>
          <w:rStyle w:val="FootnoteReference"/>
        </w:rPr>
        <w:footnoteRef/>
      </w:r>
      <w:r>
        <w:t xml:space="preserve"> A </w:t>
      </w:r>
      <w:r w:rsidRPr="00980DB4">
        <w:t>n</w:t>
      </w:r>
      <w:r w:rsidRPr="00714B4B">
        <w:t>i</w:t>
      </w:r>
      <w:r w:rsidRPr="00980DB4">
        <w:t>l</w:t>
      </w:r>
      <w:r>
        <w:t xml:space="preserve"> return still provides valuable data on potential/likely gender and equality impacts. The inclusion of such requests also subtly socialises the importance of potential gender and equality impacts when supporting technical initiatives. </w:t>
      </w:r>
    </w:p>
  </w:footnote>
  <w:footnote w:id="93">
    <w:p w14:paraId="31227F40" w14:textId="77777777" w:rsidR="005B0DF4" w:rsidRDefault="005B0DF4" w:rsidP="00530BA8">
      <w:pPr>
        <w:pStyle w:val="FootnoteText"/>
      </w:pPr>
      <w:r>
        <w:rPr>
          <w:rStyle w:val="FootnoteReference"/>
        </w:rPr>
        <w:footnoteRef/>
      </w:r>
      <w:r>
        <w:t xml:space="preserve"> </w:t>
      </w:r>
      <w:r>
        <w:tab/>
        <w:t>Perhaps through the Comprehensive Patent Examination Training Project.</w:t>
      </w:r>
    </w:p>
  </w:footnote>
  <w:footnote w:id="94">
    <w:p w14:paraId="1378810F" w14:textId="123E95FE" w:rsidR="005B0DF4" w:rsidRDefault="005B0DF4" w:rsidP="00530BA8">
      <w:pPr>
        <w:pStyle w:val="FootnoteText"/>
      </w:pPr>
      <w:r>
        <w:rPr>
          <w:rStyle w:val="FootnoteReference"/>
        </w:rPr>
        <w:footnoteRef/>
      </w:r>
      <w:r>
        <w:tab/>
      </w:r>
      <w:r w:rsidRPr="00980DB4">
        <w:t>United N</w:t>
      </w:r>
      <w:r w:rsidRPr="00714B4B">
        <w:t xml:space="preserve">ations Economic Commission for </w:t>
      </w:r>
      <w:r w:rsidRPr="00980DB4">
        <w:t>Africa</w:t>
      </w:r>
      <w:r w:rsidRPr="00B74922">
        <w:t>, 2004, ‘Economic Report on Africa, Addis Ababa, Ethiopia’, www.uneca.org</w:t>
      </w:r>
    </w:p>
  </w:footnote>
  <w:footnote w:id="95">
    <w:p w14:paraId="10FBE8E1" w14:textId="060CEB3C" w:rsidR="005B0DF4" w:rsidRPr="00EC1BE4" w:rsidRDefault="005B0DF4" w:rsidP="00530BA8">
      <w:pPr>
        <w:pStyle w:val="FootnoteText"/>
      </w:pPr>
      <w:r>
        <w:rPr>
          <w:rStyle w:val="FootnoteReference"/>
        </w:rPr>
        <w:footnoteRef/>
      </w:r>
      <w:r>
        <w:t xml:space="preserve"> This note was prepared by officials from Australia’s Department of Foreign Affairs and Trade.</w:t>
      </w:r>
    </w:p>
  </w:footnote>
  <w:footnote w:id="96">
    <w:p w14:paraId="2B21BDB5" w14:textId="03AEECBA" w:rsidR="005B0DF4" w:rsidRDefault="005B0DF4" w:rsidP="00530BA8">
      <w:pPr>
        <w:pStyle w:val="FootnoteText"/>
      </w:pPr>
      <w:r>
        <w:rPr>
          <w:rStyle w:val="FootnoteReference"/>
        </w:rPr>
        <w:footnoteRef/>
      </w:r>
      <w:r>
        <w:t xml:space="preserve"> Agreed between review team and AusAID prior to fieldwork in Jakarta.</w:t>
      </w:r>
    </w:p>
  </w:footnote>
  <w:footnote w:id="97">
    <w:p w14:paraId="4877848C" w14:textId="77777777" w:rsidR="005B0DF4" w:rsidRPr="00E03415" w:rsidRDefault="005B0DF4" w:rsidP="00530BA8">
      <w:pPr>
        <w:pStyle w:val="FootnoteText"/>
      </w:pPr>
      <w:r w:rsidRPr="00E03415">
        <w:rPr>
          <w:rStyle w:val="FootnoteReference"/>
        </w:rPr>
        <w:footnoteRef/>
      </w:r>
      <w:r w:rsidRPr="00E03415">
        <w:t>AECSP Program Design Document, November 2009, p. 18.</w:t>
      </w:r>
    </w:p>
  </w:footnote>
  <w:footnote w:id="98">
    <w:p w14:paraId="2C24C6C0" w14:textId="77777777" w:rsidR="005B0DF4" w:rsidRPr="00E03415" w:rsidRDefault="005B0DF4" w:rsidP="00530BA8">
      <w:pPr>
        <w:pStyle w:val="FootnoteText"/>
      </w:pPr>
      <w:r w:rsidRPr="00E03415">
        <w:rPr>
          <w:rStyle w:val="FootnoteReference"/>
        </w:rPr>
        <w:footnoteRef/>
      </w:r>
      <w:r w:rsidRPr="00E03415">
        <w:t>AECSP Program Design Document, November 2009, p. 10.</w:t>
      </w:r>
    </w:p>
  </w:footnote>
  <w:footnote w:id="99">
    <w:p w14:paraId="19E99010" w14:textId="763BA4ED" w:rsidR="005B0DF4" w:rsidRDefault="005B0DF4" w:rsidP="00530BA8">
      <w:pPr>
        <w:pStyle w:val="FootnoteText"/>
      </w:pPr>
      <w:r w:rsidRPr="00E03415">
        <w:rPr>
          <w:rStyle w:val="FootnoteReference"/>
        </w:rPr>
        <w:footnoteRef/>
      </w:r>
      <w:r w:rsidRPr="00E03415">
        <w:t xml:space="preserve">AusAID has committed up to </w:t>
      </w:r>
      <w:r>
        <w:t>$</w:t>
      </w:r>
      <w:r w:rsidRPr="00E03415">
        <w:t xml:space="preserve">20 million over </w:t>
      </w:r>
      <w:r>
        <w:t xml:space="preserve">five </w:t>
      </w:r>
      <w:r w:rsidRPr="00E03415">
        <w:t>years.</w:t>
      </w:r>
    </w:p>
    <w:p w14:paraId="030536FC" w14:textId="77777777" w:rsidR="005B0DF4" w:rsidRPr="00E03415" w:rsidRDefault="005B0DF4" w:rsidP="00530BA8">
      <w:pPr>
        <w:pStyle w:val="FootnoteText"/>
      </w:pPr>
    </w:p>
  </w:footnote>
  <w:footnote w:id="100">
    <w:p w14:paraId="30488743" w14:textId="77777777" w:rsidR="005B0DF4" w:rsidRPr="00A179E8" w:rsidRDefault="005B0DF4" w:rsidP="00530BA8">
      <w:pPr>
        <w:pStyle w:val="FootnoteText"/>
      </w:pPr>
      <w:r>
        <w:rPr>
          <w:rStyle w:val="FootnoteReference"/>
        </w:rPr>
        <w:footnoteRef/>
      </w:r>
      <w:r>
        <w:t>Relevance, efficiency, effectiveness, impact and sustainability.</w:t>
      </w:r>
    </w:p>
  </w:footnote>
  <w:footnote w:id="101">
    <w:p w14:paraId="6979D9D2" w14:textId="77777777" w:rsidR="005B0DF4" w:rsidRPr="00A179E8" w:rsidRDefault="005B0DF4" w:rsidP="00530BA8">
      <w:pPr>
        <w:pStyle w:val="FootnoteText"/>
      </w:pPr>
      <w:r>
        <w:rPr>
          <w:rStyle w:val="FootnoteReference"/>
        </w:rPr>
        <w:footnoteRef/>
      </w:r>
      <w:r>
        <w:t>Monitoring and evaluation and gender equality.</w:t>
      </w:r>
    </w:p>
  </w:footnote>
  <w:footnote w:id="102">
    <w:p w14:paraId="3649D6BE" w14:textId="1AC415F3" w:rsidR="005B0DF4" w:rsidRPr="00714B4B" w:rsidRDefault="005B0DF4" w:rsidP="004402F9">
      <w:pPr>
        <w:pStyle w:val="FootnoteText"/>
        <w:rPr>
          <w:lang w:val="en-AU"/>
        </w:rPr>
      </w:pPr>
      <w:r>
        <w:rPr>
          <w:rStyle w:val="FootnoteReference"/>
        </w:rPr>
        <w:footnoteRef/>
      </w:r>
      <w:r>
        <w:t xml:space="preserve"> Our Place in the Asian Century — Southeast Asia as ‘The Third Way’ p17. The Asia Link Commission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8FB6C" w14:textId="77777777" w:rsidR="005B0DF4" w:rsidRDefault="005B0D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C99BE" w14:textId="77777777" w:rsidR="005B0DF4" w:rsidRDefault="005B0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70A00" w14:textId="77777777" w:rsidR="005B0DF4" w:rsidRDefault="005B0D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ED977" w14:textId="276075AD" w:rsidR="005B0DF4" w:rsidRDefault="005B0D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EB572" w14:textId="06B34B67" w:rsidR="005B0DF4" w:rsidRDefault="005B0D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8DFF" w14:textId="3A8F3DB9" w:rsidR="005B0DF4" w:rsidRDefault="005B0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9CD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BAF02CB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5FEA01E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4"/>
    <w:multiLevelType w:val="hybridMultilevel"/>
    <w:tmpl w:val="00000004"/>
    <w:lvl w:ilvl="0" w:tplc="0000012D">
      <w:start w:val="1"/>
      <w:numFmt w:val="decimal"/>
      <w:lvlText w:val="%1."/>
      <w:lvlJc w:val="left"/>
      <w:pPr>
        <w:ind w:left="720" w:hanging="360"/>
      </w:pPr>
    </w:lvl>
    <w:lvl w:ilvl="1" w:tplc="0000012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36230F"/>
    <w:multiLevelType w:val="hybridMultilevel"/>
    <w:tmpl w:val="54DCF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1721C06"/>
    <w:multiLevelType w:val="hybridMultilevel"/>
    <w:tmpl w:val="A39A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CC0E23"/>
    <w:multiLevelType w:val="hybridMultilevel"/>
    <w:tmpl w:val="3E188AE8"/>
    <w:lvl w:ilvl="0" w:tplc="875408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F469F8"/>
    <w:multiLevelType w:val="hybridMultilevel"/>
    <w:tmpl w:val="4184E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8874F9B"/>
    <w:multiLevelType w:val="hybridMultilevel"/>
    <w:tmpl w:val="8500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0F0170"/>
    <w:multiLevelType w:val="hybridMultilevel"/>
    <w:tmpl w:val="A456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B2E4B"/>
    <w:multiLevelType w:val="hybridMultilevel"/>
    <w:tmpl w:val="59CE9636"/>
    <w:lvl w:ilvl="0" w:tplc="04090001">
      <w:start w:val="1"/>
      <w:numFmt w:val="bullet"/>
      <w:lvlText w:val=""/>
      <w:lvlJc w:val="left"/>
      <w:pPr>
        <w:ind w:left="1080" w:hanging="360"/>
      </w:pPr>
      <w:rPr>
        <w:rFonts w:ascii="Symbol" w:hAnsi="Symbol" w:hint="default"/>
        <w:i/>
      </w:rPr>
    </w:lvl>
    <w:lvl w:ilvl="1" w:tplc="15D0300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5E6717"/>
    <w:multiLevelType w:val="hybridMultilevel"/>
    <w:tmpl w:val="7960D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60112E"/>
    <w:multiLevelType w:val="hybridMultilevel"/>
    <w:tmpl w:val="71C2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220019"/>
    <w:multiLevelType w:val="hybridMultilevel"/>
    <w:tmpl w:val="E3D2A050"/>
    <w:lvl w:ilvl="0" w:tplc="0C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207"/>
        </w:tabs>
        <w:ind w:left="1207" w:hanging="360"/>
      </w:pPr>
      <w:rPr>
        <w:rFonts w:ascii="Courier New" w:hAnsi="Courier New" w:hint="default"/>
      </w:rPr>
    </w:lvl>
    <w:lvl w:ilvl="2" w:tplc="04090005" w:tentative="1">
      <w:start w:val="1"/>
      <w:numFmt w:val="bullet"/>
      <w:lvlText w:val=""/>
      <w:lvlJc w:val="left"/>
      <w:pPr>
        <w:tabs>
          <w:tab w:val="num" w:pos="1927"/>
        </w:tabs>
        <w:ind w:left="1927" w:hanging="360"/>
      </w:pPr>
      <w:rPr>
        <w:rFonts w:ascii="Wingdings" w:hAnsi="Wingdings" w:hint="default"/>
      </w:rPr>
    </w:lvl>
    <w:lvl w:ilvl="3" w:tplc="04090001" w:tentative="1">
      <w:start w:val="1"/>
      <w:numFmt w:val="bullet"/>
      <w:lvlText w:val=""/>
      <w:lvlJc w:val="left"/>
      <w:pPr>
        <w:tabs>
          <w:tab w:val="num" w:pos="2647"/>
        </w:tabs>
        <w:ind w:left="2647" w:hanging="360"/>
      </w:pPr>
      <w:rPr>
        <w:rFonts w:ascii="Symbol" w:hAnsi="Symbol" w:hint="default"/>
      </w:rPr>
    </w:lvl>
    <w:lvl w:ilvl="4" w:tplc="04090003" w:tentative="1">
      <w:start w:val="1"/>
      <w:numFmt w:val="bullet"/>
      <w:lvlText w:val="o"/>
      <w:lvlJc w:val="left"/>
      <w:pPr>
        <w:tabs>
          <w:tab w:val="num" w:pos="3367"/>
        </w:tabs>
        <w:ind w:left="3367" w:hanging="360"/>
      </w:pPr>
      <w:rPr>
        <w:rFonts w:ascii="Courier New" w:hAnsi="Courier New" w:hint="default"/>
      </w:rPr>
    </w:lvl>
    <w:lvl w:ilvl="5" w:tplc="04090005" w:tentative="1">
      <w:start w:val="1"/>
      <w:numFmt w:val="bullet"/>
      <w:lvlText w:val=""/>
      <w:lvlJc w:val="left"/>
      <w:pPr>
        <w:tabs>
          <w:tab w:val="num" w:pos="4087"/>
        </w:tabs>
        <w:ind w:left="4087" w:hanging="360"/>
      </w:pPr>
      <w:rPr>
        <w:rFonts w:ascii="Wingdings" w:hAnsi="Wingdings" w:hint="default"/>
      </w:rPr>
    </w:lvl>
    <w:lvl w:ilvl="6" w:tplc="04090001" w:tentative="1">
      <w:start w:val="1"/>
      <w:numFmt w:val="bullet"/>
      <w:lvlText w:val=""/>
      <w:lvlJc w:val="left"/>
      <w:pPr>
        <w:tabs>
          <w:tab w:val="num" w:pos="4807"/>
        </w:tabs>
        <w:ind w:left="4807" w:hanging="360"/>
      </w:pPr>
      <w:rPr>
        <w:rFonts w:ascii="Symbol" w:hAnsi="Symbol" w:hint="default"/>
      </w:rPr>
    </w:lvl>
    <w:lvl w:ilvl="7" w:tplc="04090003" w:tentative="1">
      <w:start w:val="1"/>
      <w:numFmt w:val="bullet"/>
      <w:lvlText w:val="o"/>
      <w:lvlJc w:val="left"/>
      <w:pPr>
        <w:tabs>
          <w:tab w:val="num" w:pos="5527"/>
        </w:tabs>
        <w:ind w:left="5527" w:hanging="360"/>
      </w:pPr>
      <w:rPr>
        <w:rFonts w:ascii="Courier New" w:hAnsi="Courier New" w:hint="default"/>
      </w:rPr>
    </w:lvl>
    <w:lvl w:ilvl="8" w:tplc="04090005" w:tentative="1">
      <w:start w:val="1"/>
      <w:numFmt w:val="bullet"/>
      <w:lvlText w:val=""/>
      <w:lvlJc w:val="left"/>
      <w:pPr>
        <w:tabs>
          <w:tab w:val="num" w:pos="6247"/>
        </w:tabs>
        <w:ind w:left="6247" w:hanging="360"/>
      </w:pPr>
      <w:rPr>
        <w:rFonts w:ascii="Wingdings" w:hAnsi="Wingdings" w:hint="default"/>
      </w:rPr>
    </w:lvl>
  </w:abstractNum>
  <w:abstractNum w:abstractNumId="20">
    <w:nsid w:val="113C650B"/>
    <w:multiLevelType w:val="hybridMultilevel"/>
    <w:tmpl w:val="2116C75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2712D38"/>
    <w:multiLevelType w:val="hybridMultilevel"/>
    <w:tmpl w:val="A32A216E"/>
    <w:lvl w:ilvl="0" w:tplc="C7D017B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9C0D96"/>
    <w:multiLevelType w:val="hybridMultilevel"/>
    <w:tmpl w:val="48A2BC74"/>
    <w:lvl w:ilvl="0" w:tplc="56E4EA96">
      <w:start w:val="1"/>
      <w:numFmt w:val="lowerLetter"/>
      <w:lvlText w:val="(%1)"/>
      <w:lvlJc w:val="left"/>
      <w:pPr>
        <w:ind w:left="-54" w:hanging="360"/>
      </w:pPr>
      <w:rPr>
        <w:rFonts w:hint="default"/>
      </w:rPr>
    </w:lvl>
    <w:lvl w:ilvl="1" w:tplc="0C090019" w:tentative="1">
      <w:start w:val="1"/>
      <w:numFmt w:val="lowerLetter"/>
      <w:lvlText w:val="%2."/>
      <w:lvlJc w:val="left"/>
      <w:pPr>
        <w:ind w:left="666" w:hanging="360"/>
      </w:pPr>
    </w:lvl>
    <w:lvl w:ilvl="2" w:tplc="0C09001B" w:tentative="1">
      <w:start w:val="1"/>
      <w:numFmt w:val="lowerRoman"/>
      <w:lvlText w:val="%3."/>
      <w:lvlJc w:val="right"/>
      <w:pPr>
        <w:ind w:left="1386" w:hanging="180"/>
      </w:pPr>
    </w:lvl>
    <w:lvl w:ilvl="3" w:tplc="0C09000F" w:tentative="1">
      <w:start w:val="1"/>
      <w:numFmt w:val="decimal"/>
      <w:lvlText w:val="%4."/>
      <w:lvlJc w:val="left"/>
      <w:pPr>
        <w:ind w:left="2106" w:hanging="360"/>
      </w:pPr>
    </w:lvl>
    <w:lvl w:ilvl="4" w:tplc="0C090019" w:tentative="1">
      <w:start w:val="1"/>
      <w:numFmt w:val="lowerLetter"/>
      <w:lvlText w:val="%5."/>
      <w:lvlJc w:val="left"/>
      <w:pPr>
        <w:ind w:left="2826" w:hanging="360"/>
      </w:pPr>
    </w:lvl>
    <w:lvl w:ilvl="5" w:tplc="0C09001B" w:tentative="1">
      <w:start w:val="1"/>
      <w:numFmt w:val="lowerRoman"/>
      <w:lvlText w:val="%6."/>
      <w:lvlJc w:val="right"/>
      <w:pPr>
        <w:ind w:left="3546" w:hanging="180"/>
      </w:pPr>
    </w:lvl>
    <w:lvl w:ilvl="6" w:tplc="0C09000F" w:tentative="1">
      <w:start w:val="1"/>
      <w:numFmt w:val="decimal"/>
      <w:lvlText w:val="%7."/>
      <w:lvlJc w:val="left"/>
      <w:pPr>
        <w:ind w:left="4266" w:hanging="360"/>
      </w:pPr>
    </w:lvl>
    <w:lvl w:ilvl="7" w:tplc="0C090019" w:tentative="1">
      <w:start w:val="1"/>
      <w:numFmt w:val="lowerLetter"/>
      <w:lvlText w:val="%8."/>
      <w:lvlJc w:val="left"/>
      <w:pPr>
        <w:ind w:left="4986" w:hanging="360"/>
      </w:pPr>
    </w:lvl>
    <w:lvl w:ilvl="8" w:tplc="0C09001B" w:tentative="1">
      <w:start w:val="1"/>
      <w:numFmt w:val="lowerRoman"/>
      <w:lvlText w:val="%9."/>
      <w:lvlJc w:val="right"/>
      <w:pPr>
        <w:ind w:left="5706" w:hanging="180"/>
      </w:pPr>
    </w:lvl>
  </w:abstractNum>
  <w:abstractNum w:abstractNumId="23">
    <w:nsid w:val="16B55B3C"/>
    <w:multiLevelType w:val="hybridMultilevel"/>
    <w:tmpl w:val="86A0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CF70E8"/>
    <w:multiLevelType w:val="hybridMultilevel"/>
    <w:tmpl w:val="7CC0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0EB16B4"/>
    <w:multiLevelType w:val="hybridMultilevel"/>
    <w:tmpl w:val="6C8C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5275EE"/>
    <w:multiLevelType w:val="hybridMultilevel"/>
    <w:tmpl w:val="19EA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A22CFF"/>
    <w:multiLevelType w:val="hybridMultilevel"/>
    <w:tmpl w:val="EBB4FA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nsid w:val="25542E1E"/>
    <w:multiLevelType w:val="hybridMultilevel"/>
    <w:tmpl w:val="52CE29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C442AB14">
      <w:start w:val="1"/>
      <w:numFmt w:val="lowerLetter"/>
      <w:lvlText w:val="%3)"/>
      <w:lvlJc w:val="left"/>
      <w:pPr>
        <w:ind w:left="1980" w:hanging="360"/>
      </w:pPr>
      <w:rPr>
        <w:rFonts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9B024622">
      <w:start w:val="1"/>
      <w:numFmt w:val="decimal"/>
      <w:lvlText w:val="%6"/>
      <w:lvlJc w:val="left"/>
      <w:pPr>
        <w:ind w:left="4140" w:hanging="360"/>
      </w:pPr>
      <w:rPr>
        <w:rFonts w:hint="default"/>
      </w:r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26110C0B"/>
    <w:multiLevelType w:val="hybridMultilevel"/>
    <w:tmpl w:val="74A8C1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270F262B"/>
    <w:multiLevelType w:val="hybridMultilevel"/>
    <w:tmpl w:val="00A4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7180AFB"/>
    <w:multiLevelType w:val="hybridMultilevel"/>
    <w:tmpl w:val="ECB0C7A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3">
    <w:nsid w:val="2E2904D6"/>
    <w:multiLevelType w:val="hybridMultilevel"/>
    <w:tmpl w:val="CFAC95B8"/>
    <w:lvl w:ilvl="0" w:tplc="96ACA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2F98207C"/>
    <w:multiLevelType w:val="hybridMultilevel"/>
    <w:tmpl w:val="6C5A24D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5E556EA"/>
    <w:multiLevelType w:val="hybridMultilevel"/>
    <w:tmpl w:val="A24E227A"/>
    <w:lvl w:ilvl="0" w:tplc="C186B7A8">
      <w:start w:val="1"/>
      <w:numFmt w:val="decimal"/>
      <w:lvlText w:val="%1."/>
      <w:lvlJc w:val="left"/>
      <w:pPr>
        <w:ind w:left="720" w:hanging="360"/>
      </w:pPr>
      <w:rPr>
        <w:rFonts w:hint="default"/>
        <w:i/>
      </w:rPr>
    </w:lvl>
    <w:lvl w:ilvl="1" w:tplc="15D0300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161C3C"/>
    <w:multiLevelType w:val="multilevel"/>
    <w:tmpl w:val="1B2024A4"/>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381A0EBA"/>
    <w:multiLevelType w:val="hybridMultilevel"/>
    <w:tmpl w:val="C1CA0C78"/>
    <w:lvl w:ilvl="0" w:tplc="0C09001B">
      <w:start w:val="1"/>
      <w:numFmt w:val="lowerRoman"/>
      <w:lvlText w:val="%1."/>
      <w:lvlJc w:val="righ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8667170"/>
    <w:multiLevelType w:val="singleLevel"/>
    <w:tmpl w:val="2452B3A0"/>
    <w:lvl w:ilvl="0">
      <w:start w:val="1"/>
      <w:numFmt w:val="bullet"/>
      <w:pStyle w:val="ListBullet"/>
      <w:lvlText w:val=""/>
      <w:lvlJc w:val="left"/>
      <w:pPr>
        <w:tabs>
          <w:tab w:val="num" w:pos="284"/>
        </w:tabs>
        <w:ind w:left="284" w:hanging="284"/>
      </w:pPr>
      <w:rPr>
        <w:rFonts w:ascii="Wingdings" w:hAnsi="Wingdings" w:hint="default"/>
        <w:color w:val="6F6652"/>
      </w:rPr>
    </w:lvl>
  </w:abstractNum>
  <w:abstractNum w:abstractNumId="40">
    <w:nsid w:val="38FB3D93"/>
    <w:multiLevelType w:val="hybridMultilevel"/>
    <w:tmpl w:val="C576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C33911"/>
    <w:multiLevelType w:val="multilevel"/>
    <w:tmpl w:val="9E6866D8"/>
    <w:lvl w:ilvl="0">
      <w:start w:val="1"/>
      <w:numFmt w:val="lowerRoman"/>
      <w:lvlText w:val="%1."/>
      <w:lvlJc w:val="righ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3BAC07B4"/>
    <w:multiLevelType w:val="hybridMultilevel"/>
    <w:tmpl w:val="6BD07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096FDC"/>
    <w:multiLevelType w:val="hybridMultilevel"/>
    <w:tmpl w:val="387C578E"/>
    <w:lvl w:ilvl="0" w:tplc="57D04CD8">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3D0070AC"/>
    <w:multiLevelType w:val="hybridMultilevel"/>
    <w:tmpl w:val="70C46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2FB558D"/>
    <w:multiLevelType w:val="hybridMultilevel"/>
    <w:tmpl w:val="A47C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FC01DA"/>
    <w:multiLevelType w:val="hybridMultilevel"/>
    <w:tmpl w:val="C5025BC4"/>
    <w:lvl w:ilvl="0" w:tplc="56E4EA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3747B59"/>
    <w:multiLevelType w:val="hybridMultilevel"/>
    <w:tmpl w:val="52E6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3E60B11"/>
    <w:multiLevelType w:val="hybridMultilevel"/>
    <w:tmpl w:val="85A6938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9">
    <w:nsid w:val="440379ED"/>
    <w:multiLevelType w:val="hybridMultilevel"/>
    <w:tmpl w:val="8F58C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415552"/>
    <w:multiLevelType w:val="hybridMultilevel"/>
    <w:tmpl w:val="D34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2">
    <w:nsid w:val="4FDD2998"/>
    <w:multiLevelType w:val="multilevel"/>
    <w:tmpl w:val="6B2C0C2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3">
    <w:nsid w:val="4FE006CA"/>
    <w:multiLevelType w:val="hybridMultilevel"/>
    <w:tmpl w:val="BE2A0878"/>
    <w:lvl w:ilvl="0" w:tplc="194E48C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45748C0"/>
    <w:multiLevelType w:val="hybridMultilevel"/>
    <w:tmpl w:val="660A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50E4367"/>
    <w:multiLevelType w:val="multilevel"/>
    <w:tmpl w:val="3F6EA9EA"/>
    <w:lvl w:ilvl="0">
      <w:start w:val="3"/>
      <w:numFmt w:val="decimal"/>
      <w:lvlText w:val="%1."/>
      <w:lvlJc w:val="left"/>
      <w:pPr>
        <w:ind w:left="2322" w:hanging="360"/>
      </w:pPr>
      <w:rPr>
        <w:rFonts w:hint="default"/>
      </w:rPr>
    </w:lvl>
    <w:lvl w:ilvl="1">
      <w:start w:val="1"/>
      <w:numFmt w:val="decimal"/>
      <w:isLgl/>
      <w:lvlText w:val="%1.%2"/>
      <w:lvlJc w:val="left"/>
      <w:pPr>
        <w:ind w:left="2322" w:hanging="360"/>
      </w:pPr>
      <w:rPr>
        <w:rFonts w:hint="default"/>
      </w:rPr>
    </w:lvl>
    <w:lvl w:ilvl="2">
      <w:start w:val="1"/>
      <w:numFmt w:val="decimal"/>
      <w:isLgl/>
      <w:lvlText w:val="%1.%2.%3"/>
      <w:lvlJc w:val="left"/>
      <w:pPr>
        <w:ind w:left="2682"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402" w:hanging="144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762" w:hanging="1800"/>
      </w:pPr>
      <w:rPr>
        <w:rFonts w:hint="default"/>
      </w:rPr>
    </w:lvl>
    <w:lvl w:ilvl="8">
      <w:start w:val="1"/>
      <w:numFmt w:val="decimal"/>
      <w:isLgl/>
      <w:lvlText w:val="%1.%2.%3.%4.%5.%6.%7.%8.%9"/>
      <w:lvlJc w:val="left"/>
      <w:pPr>
        <w:ind w:left="3762" w:hanging="1800"/>
      </w:pPr>
      <w:rPr>
        <w:rFonts w:hint="default"/>
      </w:rPr>
    </w:lvl>
  </w:abstractNum>
  <w:abstractNum w:abstractNumId="56">
    <w:nsid w:val="55544D76"/>
    <w:multiLevelType w:val="hybridMultilevel"/>
    <w:tmpl w:val="D770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7EE0D37"/>
    <w:multiLevelType w:val="hybridMultilevel"/>
    <w:tmpl w:val="4990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2A049F"/>
    <w:multiLevelType w:val="multilevel"/>
    <w:tmpl w:val="3A46FCB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9">
    <w:nsid w:val="5DDA2C7F"/>
    <w:multiLevelType w:val="multilevel"/>
    <w:tmpl w:val="9E6866D8"/>
    <w:lvl w:ilvl="0">
      <w:start w:val="1"/>
      <w:numFmt w:val="lowerRoman"/>
      <w:lvlText w:val="%1."/>
      <w:lvlJc w:val="righ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5E193B22"/>
    <w:multiLevelType w:val="multilevel"/>
    <w:tmpl w:val="01B607B4"/>
    <w:lvl w:ilvl="0">
      <w:start w:val="1"/>
      <w:numFmt w:val="decimal"/>
      <w:lvlText w:val="%1."/>
      <w:lvlJc w:val="left"/>
      <w:pPr>
        <w:ind w:left="720" w:hanging="360"/>
      </w:pPr>
      <w:rPr>
        <w:rFonts w:ascii="Times New Roman" w:hAnsi="Times New Roman" w:hint="default"/>
        <w:sz w:val="22"/>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607122B9"/>
    <w:multiLevelType w:val="hybridMultilevel"/>
    <w:tmpl w:val="3B381E92"/>
    <w:lvl w:ilvl="0" w:tplc="28F0F6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0927ABB"/>
    <w:multiLevelType w:val="hybridMultilevel"/>
    <w:tmpl w:val="1B18ACA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3">
    <w:nsid w:val="62017BAE"/>
    <w:multiLevelType w:val="hybridMultilevel"/>
    <w:tmpl w:val="BE2A0878"/>
    <w:lvl w:ilvl="0" w:tplc="194E48C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016AF7"/>
    <w:multiLevelType w:val="hybridMultilevel"/>
    <w:tmpl w:val="A2C86E0E"/>
    <w:lvl w:ilvl="0" w:tplc="C5B0958A">
      <w:start w:val="1"/>
      <w:numFmt w:val="bullet"/>
      <w:lvlText w:val=""/>
      <w:lvlJc w:val="left"/>
      <w:pPr>
        <w:tabs>
          <w:tab w:val="num" w:pos="397"/>
        </w:tabs>
        <w:ind w:left="397" w:hanging="397"/>
      </w:pPr>
      <w:rPr>
        <w:rFonts w:ascii="Symbol" w:hAnsi="Symbol" w:hint="default"/>
      </w:rPr>
    </w:lvl>
    <w:lvl w:ilvl="1" w:tplc="416EAB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3615F0B"/>
    <w:multiLevelType w:val="hybridMultilevel"/>
    <w:tmpl w:val="05DC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7155EE7"/>
    <w:multiLevelType w:val="hybridMultilevel"/>
    <w:tmpl w:val="1FCE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9A7BB0"/>
    <w:multiLevelType w:val="hybridMultilevel"/>
    <w:tmpl w:val="C8CCE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9B75792"/>
    <w:multiLevelType w:val="hybridMultilevel"/>
    <w:tmpl w:val="77A6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A2E26F1"/>
    <w:multiLevelType w:val="hybridMultilevel"/>
    <w:tmpl w:val="3A4E2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nsid w:val="6AF32F7B"/>
    <w:multiLevelType w:val="hybridMultilevel"/>
    <w:tmpl w:val="6B2C0C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C2400E2"/>
    <w:multiLevelType w:val="hybridMultilevel"/>
    <w:tmpl w:val="1E7487F0"/>
    <w:lvl w:ilvl="0" w:tplc="C80E4336">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73">
    <w:nsid w:val="75700A38"/>
    <w:multiLevelType w:val="hybridMultilevel"/>
    <w:tmpl w:val="6A22213C"/>
    <w:lvl w:ilvl="0" w:tplc="04090019">
      <w:start w:val="1"/>
      <w:numFmt w:val="lowerLetter"/>
      <w:lvlText w:val="%1."/>
      <w:lvlJc w:val="left"/>
      <w:pPr>
        <w:ind w:left="2137" w:hanging="360"/>
      </w:pPr>
      <w:rPr>
        <w:rFonts w:hint="default"/>
      </w:rPr>
    </w:lvl>
    <w:lvl w:ilvl="1" w:tplc="04090003" w:tentative="1">
      <w:start w:val="1"/>
      <w:numFmt w:val="bullet"/>
      <w:lvlText w:val="o"/>
      <w:lvlJc w:val="left"/>
      <w:pPr>
        <w:ind w:left="2857" w:hanging="360"/>
      </w:pPr>
      <w:rPr>
        <w:rFonts w:ascii="Courier New" w:hAnsi="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74">
    <w:nsid w:val="767A7217"/>
    <w:multiLevelType w:val="hybridMultilevel"/>
    <w:tmpl w:val="42F41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8C03415"/>
    <w:multiLevelType w:val="multilevel"/>
    <w:tmpl w:val="48D6B33C"/>
    <w:lvl w:ilvl="0">
      <w:start w:val="1"/>
      <w:numFmt w:val="decimal"/>
      <w:pStyle w:val="Heading1outlinenum"/>
      <w:lvlText w:val="%1."/>
      <w:lvlJc w:val="left"/>
      <w:pPr>
        <w:tabs>
          <w:tab w:val="num" w:pos="567"/>
        </w:tabs>
        <w:ind w:left="567" w:hanging="567"/>
      </w:pPr>
      <w:rPr>
        <w:rFonts w:hint="default"/>
      </w:rPr>
    </w:lvl>
    <w:lvl w:ilvl="1">
      <w:start w:val="1"/>
      <w:numFmt w:val="decimal"/>
      <w:pStyle w:val="Heading2outlinenum"/>
      <w:lvlText w:val="%1.%2"/>
      <w:lvlJc w:val="left"/>
      <w:pPr>
        <w:tabs>
          <w:tab w:val="num" w:pos="567"/>
        </w:tabs>
        <w:ind w:left="567" w:hanging="567"/>
      </w:pPr>
      <w:rPr>
        <w:rFonts w:hint="default"/>
      </w:rPr>
    </w:lvl>
    <w:lvl w:ilvl="2">
      <w:start w:val="1"/>
      <w:numFmt w:val="decimal"/>
      <w:pStyle w:val="Heading3outlinenum"/>
      <w:lvlText w:val="%1.%2.%3"/>
      <w:lvlJc w:val="left"/>
      <w:pPr>
        <w:tabs>
          <w:tab w:val="num" w:pos="680"/>
        </w:tabs>
        <w:ind w:left="680" w:hanging="680"/>
      </w:pPr>
      <w:rPr>
        <w:rFonts w:ascii="Arial" w:hAnsi="Arial" w:hint="default"/>
        <w:b/>
        <w:i/>
        <w:sz w:val="22"/>
        <w:szCs w:val="18"/>
      </w:rPr>
    </w:lvl>
    <w:lvl w:ilvl="3">
      <w:start w:val="1"/>
      <w:numFmt w:val="lowerLetter"/>
      <w:lvlText w:val="%4."/>
      <w:lvlJc w:val="left"/>
      <w:pPr>
        <w:tabs>
          <w:tab w:val="num" w:pos="794"/>
        </w:tabs>
        <w:ind w:left="794" w:hanging="284"/>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77">
    <w:nsid w:val="7CCF5CAC"/>
    <w:multiLevelType w:val="hybridMultilevel"/>
    <w:tmpl w:val="0468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F326F8B"/>
    <w:multiLevelType w:val="hybridMultilevel"/>
    <w:tmpl w:val="BE2A0878"/>
    <w:lvl w:ilvl="0" w:tplc="194E48C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51"/>
  </w:num>
  <w:num w:numId="3">
    <w:abstractNumId w:val="35"/>
  </w:num>
  <w:num w:numId="4">
    <w:abstractNumId w:val="72"/>
  </w:num>
  <w:num w:numId="5">
    <w:abstractNumId w:val="75"/>
  </w:num>
  <w:num w:numId="6">
    <w:abstractNumId w:val="14"/>
  </w:num>
  <w:num w:numId="7">
    <w:abstractNumId w:val="29"/>
  </w:num>
  <w:num w:numId="8">
    <w:abstractNumId w:val="27"/>
  </w:num>
  <w:num w:numId="9">
    <w:abstractNumId w:val="25"/>
  </w:num>
  <w:num w:numId="10">
    <w:abstractNumId w:val="39"/>
  </w:num>
  <w:num w:numId="11">
    <w:abstractNumId w:val="63"/>
  </w:num>
  <w:num w:numId="12">
    <w:abstractNumId w:val="18"/>
  </w:num>
  <w:num w:numId="13">
    <w:abstractNumId w:val="54"/>
  </w:num>
  <w:num w:numId="14">
    <w:abstractNumId w:val="19"/>
  </w:num>
  <w:num w:numId="15">
    <w:abstractNumId w:val="61"/>
  </w:num>
  <w:num w:numId="16">
    <w:abstractNumId w:val="64"/>
  </w:num>
  <w:num w:numId="17">
    <w:abstractNumId w:val="76"/>
  </w:num>
  <w:num w:numId="18">
    <w:abstractNumId w:val="55"/>
  </w:num>
  <w:num w:numId="19">
    <w:abstractNumId w:val="62"/>
  </w:num>
  <w:num w:numId="20">
    <w:abstractNumId w:val="34"/>
  </w:num>
  <w:num w:numId="21">
    <w:abstractNumId w:val="3"/>
  </w:num>
  <w:num w:numId="22">
    <w:abstractNumId w:val="4"/>
  </w:num>
  <w:num w:numId="23">
    <w:abstractNumId w:val="5"/>
  </w:num>
  <w:num w:numId="24">
    <w:abstractNumId w:val="6"/>
  </w:num>
  <w:num w:numId="25">
    <w:abstractNumId w:val="7"/>
  </w:num>
  <w:num w:numId="26">
    <w:abstractNumId w:val="8"/>
  </w:num>
  <w:num w:numId="27">
    <w:abstractNumId w:val="33"/>
  </w:num>
  <w:num w:numId="28">
    <w:abstractNumId w:val="22"/>
  </w:num>
  <w:num w:numId="29">
    <w:abstractNumId w:val="71"/>
  </w:num>
  <w:num w:numId="30">
    <w:abstractNumId w:val="12"/>
  </w:num>
  <w:num w:numId="31">
    <w:abstractNumId w:val="59"/>
  </w:num>
  <w:num w:numId="32">
    <w:abstractNumId w:val="37"/>
  </w:num>
  <w:num w:numId="33">
    <w:abstractNumId w:val="41"/>
  </w:num>
  <w:num w:numId="34">
    <w:abstractNumId w:val="60"/>
  </w:num>
  <w:num w:numId="35">
    <w:abstractNumId w:val="56"/>
  </w:num>
  <w:num w:numId="36">
    <w:abstractNumId w:val="42"/>
  </w:num>
  <w:num w:numId="37">
    <w:abstractNumId w:val="23"/>
  </w:num>
  <w:num w:numId="38">
    <w:abstractNumId w:val="47"/>
  </w:num>
  <w:num w:numId="39">
    <w:abstractNumId w:val="50"/>
  </w:num>
  <w:num w:numId="40">
    <w:abstractNumId w:val="17"/>
  </w:num>
  <w:num w:numId="41">
    <w:abstractNumId w:val="40"/>
  </w:num>
  <w:num w:numId="42">
    <w:abstractNumId w:val="20"/>
  </w:num>
  <w:num w:numId="43">
    <w:abstractNumId w:val="77"/>
  </w:num>
  <w:num w:numId="44">
    <w:abstractNumId w:val="9"/>
  </w:num>
  <w:num w:numId="45">
    <w:abstractNumId w:val="67"/>
  </w:num>
  <w:num w:numId="46">
    <w:abstractNumId w:val="38"/>
  </w:num>
  <w:num w:numId="47">
    <w:abstractNumId w:val="13"/>
  </w:num>
  <w:num w:numId="48">
    <w:abstractNumId w:val="26"/>
  </w:num>
  <w:num w:numId="49">
    <w:abstractNumId w:val="30"/>
  </w:num>
  <w:num w:numId="50">
    <w:abstractNumId w:val="46"/>
  </w:num>
  <w:num w:numId="51">
    <w:abstractNumId w:val="24"/>
  </w:num>
  <w:num w:numId="52">
    <w:abstractNumId w:val="32"/>
  </w:num>
  <w:num w:numId="53">
    <w:abstractNumId w:val="65"/>
  </w:num>
  <w:num w:numId="54">
    <w:abstractNumId w:val="57"/>
  </w:num>
  <w:num w:numId="55">
    <w:abstractNumId w:val="53"/>
  </w:num>
  <w:num w:numId="56">
    <w:abstractNumId w:val="78"/>
  </w:num>
  <w:num w:numId="57">
    <w:abstractNumId w:val="2"/>
  </w:num>
  <w:num w:numId="58">
    <w:abstractNumId w:val="1"/>
  </w:num>
  <w:num w:numId="59">
    <w:abstractNumId w:val="44"/>
  </w:num>
  <w:num w:numId="60">
    <w:abstractNumId w:val="0"/>
  </w:num>
  <w:num w:numId="61">
    <w:abstractNumId w:val="21"/>
  </w:num>
  <w:num w:numId="62">
    <w:abstractNumId w:val="31"/>
  </w:num>
  <w:num w:numId="63">
    <w:abstractNumId w:val="70"/>
  </w:num>
  <w:num w:numId="64">
    <w:abstractNumId w:val="52"/>
  </w:num>
  <w:num w:numId="65">
    <w:abstractNumId w:val="73"/>
  </w:num>
  <w:num w:numId="66">
    <w:abstractNumId w:val="15"/>
  </w:num>
  <w:num w:numId="67">
    <w:abstractNumId w:val="36"/>
  </w:num>
  <w:num w:numId="68">
    <w:abstractNumId w:val="66"/>
  </w:num>
  <w:num w:numId="69">
    <w:abstractNumId w:val="58"/>
  </w:num>
  <w:num w:numId="70">
    <w:abstractNumId w:val="69"/>
  </w:num>
  <w:num w:numId="71">
    <w:abstractNumId w:val="68"/>
  </w:num>
  <w:num w:numId="72">
    <w:abstractNumId w:val="11"/>
  </w:num>
  <w:num w:numId="73">
    <w:abstractNumId w:val="45"/>
  </w:num>
  <w:num w:numId="74">
    <w:abstractNumId w:val="10"/>
  </w:num>
  <w:num w:numId="75">
    <w:abstractNumId w:val="74"/>
  </w:num>
  <w:num w:numId="76">
    <w:abstractNumId w:val="49"/>
  </w:num>
  <w:num w:numId="77">
    <w:abstractNumId w:val="16"/>
  </w:num>
  <w:num w:numId="78">
    <w:abstractNumId w:val="43"/>
  </w:num>
  <w:num w:numId="79">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efaultTableStyle w:val="Tablewithnoheader"/>
  <w:drawingGridHorizontalSpacing w:val="57"/>
  <w:drawingGridVerticalSpacing w:val="181"/>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AAD"/>
    <w:rsid w:val="00001775"/>
    <w:rsid w:val="0000369E"/>
    <w:rsid w:val="00004327"/>
    <w:rsid w:val="00004F96"/>
    <w:rsid w:val="0000668A"/>
    <w:rsid w:val="00007EE1"/>
    <w:rsid w:val="00011991"/>
    <w:rsid w:val="00012070"/>
    <w:rsid w:val="00013D06"/>
    <w:rsid w:val="00017D9B"/>
    <w:rsid w:val="0002030C"/>
    <w:rsid w:val="000207A3"/>
    <w:rsid w:val="00021AA5"/>
    <w:rsid w:val="00022633"/>
    <w:rsid w:val="00023E98"/>
    <w:rsid w:val="000340F4"/>
    <w:rsid w:val="00041A69"/>
    <w:rsid w:val="00043C0A"/>
    <w:rsid w:val="00050BDD"/>
    <w:rsid w:val="000526A0"/>
    <w:rsid w:val="000532A3"/>
    <w:rsid w:val="00055B85"/>
    <w:rsid w:val="000566D3"/>
    <w:rsid w:val="00056984"/>
    <w:rsid w:val="00064239"/>
    <w:rsid w:val="00071992"/>
    <w:rsid w:val="00071CEC"/>
    <w:rsid w:val="00080D6C"/>
    <w:rsid w:val="00082E19"/>
    <w:rsid w:val="000869CE"/>
    <w:rsid w:val="00087F92"/>
    <w:rsid w:val="00094C35"/>
    <w:rsid w:val="000951B9"/>
    <w:rsid w:val="00095CBB"/>
    <w:rsid w:val="00097596"/>
    <w:rsid w:val="000A2193"/>
    <w:rsid w:val="000A2DF7"/>
    <w:rsid w:val="000A74E4"/>
    <w:rsid w:val="000B1731"/>
    <w:rsid w:val="000B29DB"/>
    <w:rsid w:val="000B39E7"/>
    <w:rsid w:val="000B639A"/>
    <w:rsid w:val="000B7AFD"/>
    <w:rsid w:val="000C2E33"/>
    <w:rsid w:val="000C3D9B"/>
    <w:rsid w:val="000D06DB"/>
    <w:rsid w:val="000D4E00"/>
    <w:rsid w:val="000D6E2F"/>
    <w:rsid w:val="000E11E2"/>
    <w:rsid w:val="000E3193"/>
    <w:rsid w:val="000F0710"/>
    <w:rsid w:val="000F0A18"/>
    <w:rsid w:val="000F1381"/>
    <w:rsid w:val="000F345D"/>
    <w:rsid w:val="000F3874"/>
    <w:rsid w:val="000F4219"/>
    <w:rsid w:val="000F5A2D"/>
    <w:rsid w:val="0010006D"/>
    <w:rsid w:val="00100B0E"/>
    <w:rsid w:val="001016D1"/>
    <w:rsid w:val="00103549"/>
    <w:rsid w:val="00103F4F"/>
    <w:rsid w:val="00105696"/>
    <w:rsid w:val="001119F6"/>
    <w:rsid w:val="00112D58"/>
    <w:rsid w:val="0012070A"/>
    <w:rsid w:val="00127658"/>
    <w:rsid w:val="0013085F"/>
    <w:rsid w:val="00132E4D"/>
    <w:rsid w:val="001342EE"/>
    <w:rsid w:val="001348A4"/>
    <w:rsid w:val="00136475"/>
    <w:rsid w:val="00136A86"/>
    <w:rsid w:val="00140DC6"/>
    <w:rsid w:val="00142459"/>
    <w:rsid w:val="001427CC"/>
    <w:rsid w:val="00142961"/>
    <w:rsid w:val="00150D4C"/>
    <w:rsid w:val="00152D69"/>
    <w:rsid w:val="00153635"/>
    <w:rsid w:val="001569F5"/>
    <w:rsid w:val="001608DC"/>
    <w:rsid w:val="00162B2A"/>
    <w:rsid w:val="00164E32"/>
    <w:rsid w:val="00166336"/>
    <w:rsid w:val="00172681"/>
    <w:rsid w:val="001738F0"/>
    <w:rsid w:val="001750DE"/>
    <w:rsid w:val="00175A88"/>
    <w:rsid w:val="00177AC8"/>
    <w:rsid w:val="00180036"/>
    <w:rsid w:val="001827E7"/>
    <w:rsid w:val="00184728"/>
    <w:rsid w:val="001872F3"/>
    <w:rsid w:val="00187C75"/>
    <w:rsid w:val="00187E8E"/>
    <w:rsid w:val="00190104"/>
    <w:rsid w:val="00190BED"/>
    <w:rsid w:val="001917F6"/>
    <w:rsid w:val="00191C05"/>
    <w:rsid w:val="00195609"/>
    <w:rsid w:val="00197E3E"/>
    <w:rsid w:val="001A1271"/>
    <w:rsid w:val="001A1798"/>
    <w:rsid w:val="001A1CEE"/>
    <w:rsid w:val="001A20BF"/>
    <w:rsid w:val="001A2CD3"/>
    <w:rsid w:val="001A5A02"/>
    <w:rsid w:val="001A636A"/>
    <w:rsid w:val="001B0A84"/>
    <w:rsid w:val="001B1E52"/>
    <w:rsid w:val="001B48DB"/>
    <w:rsid w:val="001B4D17"/>
    <w:rsid w:val="001C04E6"/>
    <w:rsid w:val="001C079C"/>
    <w:rsid w:val="001C093A"/>
    <w:rsid w:val="001C1533"/>
    <w:rsid w:val="001C1BD9"/>
    <w:rsid w:val="001C1E68"/>
    <w:rsid w:val="001C5A4B"/>
    <w:rsid w:val="001C7814"/>
    <w:rsid w:val="001D0D8B"/>
    <w:rsid w:val="001D7CCA"/>
    <w:rsid w:val="001E0C0C"/>
    <w:rsid w:val="001E295B"/>
    <w:rsid w:val="001E5236"/>
    <w:rsid w:val="001E6DFD"/>
    <w:rsid w:val="001E792B"/>
    <w:rsid w:val="001F0ECA"/>
    <w:rsid w:val="001F31F1"/>
    <w:rsid w:val="001F4427"/>
    <w:rsid w:val="001F548E"/>
    <w:rsid w:val="00200A99"/>
    <w:rsid w:val="0020375B"/>
    <w:rsid w:val="0020385E"/>
    <w:rsid w:val="00203D10"/>
    <w:rsid w:val="00207FD8"/>
    <w:rsid w:val="002100AF"/>
    <w:rsid w:val="0021352F"/>
    <w:rsid w:val="00213D73"/>
    <w:rsid w:val="00215DD7"/>
    <w:rsid w:val="0021616C"/>
    <w:rsid w:val="002169F0"/>
    <w:rsid w:val="00216CB1"/>
    <w:rsid w:val="002214F6"/>
    <w:rsid w:val="00221611"/>
    <w:rsid w:val="00230B67"/>
    <w:rsid w:val="00232015"/>
    <w:rsid w:val="002339E3"/>
    <w:rsid w:val="00235B55"/>
    <w:rsid w:val="00237A57"/>
    <w:rsid w:val="00242488"/>
    <w:rsid w:val="00242604"/>
    <w:rsid w:val="00250DB2"/>
    <w:rsid w:val="00250E86"/>
    <w:rsid w:val="0025151E"/>
    <w:rsid w:val="00255ABB"/>
    <w:rsid w:val="002608BF"/>
    <w:rsid w:val="00262D58"/>
    <w:rsid w:val="002703FE"/>
    <w:rsid w:val="0027289E"/>
    <w:rsid w:val="002766EA"/>
    <w:rsid w:val="00276714"/>
    <w:rsid w:val="00276FD9"/>
    <w:rsid w:val="002829E3"/>
    <w:rsid w:val="002909C9"/>
    <w:rsid w:val="002915C2"/>
    <w:rsid w:val="00291B2E"/>
    <w:rsid w:val="00292CB4"/>
    <w:rsid w:val="00293D4E"/>
    <w:rsid w:val="0029545C"/>
    <w:rsid w:val="002A2871"/>
    <w:rsid w:val="002A3CB6"/>
    <w:rsid w:val="002A4045"/>
    <w:rsid w:val="002A4431"/>
    <w:rsid w:val="002A5618"/>
    <w:rsid w:val="002A5A9E"/>
    <w:rsid w:val="002B026C"/>
    <w:rsid w:val="002B6C07"/>
    <w:rsid w:val="002B6C72"/>
    <w:rsid w:val="002C0808"/>
    <w:rsid w:val="002C21AF"/>
    <w:rsid w:val="002C33B8"/>
    <w:rsid w:val="002E146B"/>
    <w:rsid w:val="002F042A"/>
    <w:rsid w:val="002F05F3"/>
    <w:rsid w:val="002F0814"/>
    <w:rsid w:val="002F1349"/>
    <w:rsid w:val="002F39C5"/>
    <w:rsid w:val="002F41C3"/>
    <w:rsid w:val="002F6A65"/>
    <w:rsid w:val="002F6E5A"/>
    <w:rsid w:val="00301F53"/>
    <w:rsid w:val="00304A20"/>
    <w:rsid w:val="00307F15"/>
    <w:rsid w:val="00310B88"/>
    <w:rsid w:val="0031282F"/>
    <w:rsid w:val="0031297C"/>
    <w:rsid w:val="00313B37"/>
    <w:rsid w:val="003208BF"/>
    <w:rsid w:val="003217B7"/>
    <w:rsid w:val="00325081"/>
    <w:rsid w:val="00331DBD"/>
    <w:rsid w:val="00333211"/>
    <w:rsid w:val="0033427A"/>
    <w:rsid w:val="003366EC"/>
    <w:rsid w:val="00341C2E"/>
    <w:rsid w:val="00350D8D"/>
    <w:rsid w:val="00354E89"/>
    <w:rsid w:val="003614F3"/>
    <w:rsid w:val="00361D67"/>
    <w:rsid w:val="00364569"/>
    <w:rsid w:val="0036501C"/>
    <w:rsid w:val="003654A9"/>
    <w:rsid w:val="00365B6C"/>
    <w:rsid w:val="003710FD"/>
    <w:rsid w:val="003726AB"/>
    <w:rsid w:val="003730D4"/>
    <w:rsid w:val="003743D7"/>
    <w:rsid w:val="00375816"/>
    <w:rsid w:val="003834B6"/>
    <w:rsid w:val="0038543B"/>
    <w:rsid w:val="0038792B"/>
    <w:rsid w:val="00387D91"/>
    <w:rsid w:val="0039002F"/>
    <w:rsid w:val="003901BB"/>
    <w:rsid w:val="003926E7"/>
    <w:rsid w:val="003943B9"/>
    <w:rsid w:val="0039712C"/>
    <w:rsid w:val="003A00AA"/>
    <w:rsid w:val="003A069A"/>
    <w:rsid w:val="003A2F96"/>
    <w:rsid w:val="003A4D16"/>
    <w:rsid w:val="003A549F"/>
    <w:rsid w:val="003B5D8C"/>
    <w:rsid w:val="003B6377"/>
    <w:rsid w:val="003B71C5"/>
    <w:rsid w:val="003B78CD"/>
    <w:rsid w:val="003C047D"/>
    <w:rsid w:val="003C0906"/>
    <w:rsid w:val="003C0A67"/>
    <w:rsid w:val="003C20B0"/>
    <w:rsid w:val="003C2B9F"/>
    <w:rsid w:val="003C3601"/>
    <w:rsid w:val="003C7B43"/>
    <w:rsid w:val="003D4268"/>
    <w:rsid w:val="003D66A2"/>
    <w:rsid w:val="003D67F7"/>
    <w:rsid w:val="003E61F3"/>
    <w:rsid w:val="003E6561"/>
    <w:rsid w:val="003E7C9C"/>
    <w:rsid w:val="003E7E1F"/>
    <w:rsid w:val="003F3B37"/>
    <w:rsid w:val="003F488A"/>
    <w:rsid w:val="00401D50"/>
    <w:rsid w:val="004033CC"/>
    <w:rsid w:val="0040466B"/>
    <w:rsid w:val="004055B8"/>
    <w:rsid w:val="00406C4A"/>
    <w:rsid w:val="00407772"/>
    <w:rsid w:val="00410AA5"/>
    <w:rsid w:val="00411503"/>
    <w:rsid w:val="00412D58"/>
    <w:rsid w:val="00413427"/>
    <w:rsid w:val="00417536"/>
    <w:rsid w:val="00417AD4"/>
    <w:rsid w:val="00417ECA"/>
    <w:rsid w:val="004219AE"/>
    <w:rsid w:val="00421D9A"/>
    <w:rsid w:val="004237BD"/>
    <w:rsid w:val="00425AA9"/>
    <w:rsid w:val="00431A61"/>
    <w:rsid w:val="00431DE2"/>
    <w:rsid w:val="00433DFB"/>
    <w:rsid w:val="004402F9"/>
    <w:rsid w:val="004404DE"/>
    <w:rsid w:val="00445F64"/>
    <w:rsid w:val="00446C05"/>
    <w:rsid w:val="0044726A"/>
    <w:rsid w:val="00447AE8"/>
    <w:rsid w:val="0045046A"/>
    <w:rsid w:val="00454533"/>
    <w:rsid w:val="00461AD8"/>
    <w:rsid w:val="00461D3B"/>
    <w:rsid w:val="00464D3B"/>
    <w:rsid w:val="00465C26"/>
    <w:rsid w:val="00467375"/>
    <w:rsid w:val="00467E55"/>
    <w:rsid w:val="00470471"/>
    <w:rsid w:val="0047158F"/>
    <w:rsid w:val="0047215F"/>
    <w:rsid w:val="00474B5A"/>
    <w:rsid w:val="00474C09"/>
    <w:rsid w:val="00476756"/>
    <w:rsid w:val="00476889"/>
    <w:rsid w:val="00481DB1"/>
    <w:rsid w:val="004852EB"/>
    <w:rsid w:val="00485F7A"/>
    <w:rsid w:val="00487875"/>
    <w:rsid w:val="00491D6E"/>
    <w:rsid w:val="004922EB"/>
    <w:rsid w:val="004A2657"/>
    <w:rsid w:val="004A79BA"/>
    <w:rsid w:val="004B214E"/>
    <w:rsid w:val="004B4C26"/>
    <w:rsid w:val="004B4EFF"/>
    <w:rsid w:val="004B5267"/>
    <w:rsid w:val="004B7D48"/>
    <w:rsid w:val="004C22E0"/>
    <w:rsid w:val="004C2C30"/>
    <w:rsid w:val="004C4442"/>
    <w:rsid w:val="004C671F"/>
    <w:rsid w:val="004D5B23"/>
    <w:rsid w:val="004E03D1"/>
    <w:rsid w:val="004E0C4B"/>
    <w:rsid w:val="004E5E1E"/>
    <w:rsid w:val="004E7E21"/>
    <w:rsid w:val="004F0732"/>
    <w:rsid w:val="004F13A4"/>
    <w:rsid w:val="004F25AE"/>
    <w:rsid w:val="004F2711"/>
    <w:rsid w:val="004F58FD"/>
    <w:rsid w:val="004F6775"/>
    <w:rsid w:val="00503A41"/>
    <w:rsid w:val="00504572"/>
    <w:rsid w:val="005050C3"/>
    <w:rsid w:val="005073D1"/>
    <w:rsid w:val="00511D87"/>
    <w:rsid w:val="005158BB"/>
    <w:rsid w:val="00521488"/>
    <w:rsid w:val="005258CE"/>
    <w:rsid w:val="00530ABC"/>
    <w:rsid w:val="00530BA8"/>
    <w:rsid w:val="00531CF6"/>
    <w:rsid w:val="00534297"/>
    <w:rsid w:val="00534C15"/>
    <w:rsid w:val="00534EA9"/>
    <w:rsid w:val="00540326"/>
    <w:rsid w:val="005408FB"/>
    <w:rsid w:val="00545FFE"/>
    <w:rsid w:val="00546E38"/>
    <w:rsid w:val="00553850"/>
    <w:rsid w:val="00555A6F"/>
    <w:rsid w:val="005569CA"/>
    <w:rsid w:val="00557703"/>
    <w:rsid w:val="0056431C"/>
    <w:rsid w:val="00564C84"/>
    <w:rsid w:val="00565D0E"/>
    <w:rsid w:val="005711D6"/>
    <w:rsid w:val="00574775"/>
    <w:rsid w:val="00577E2A"/>
    <w:rsid w:val="00580301"/>
    <w:rsid w:val="00583676"/>
    <w:rsid w:val="00584BA0"/>
    <w:rsid w:val="00584D69"/>
    <w:rsid w:val="005856D4"/>
    <w:rsid w:val="005858AD"/>
    <w:rsid w:val="00586A61"/>
    <w:rsid w:val="0059133B"/>
    <w:rsid w:val="00593580"/>
    <w:rsid w:val="005939C5"/>
    <w:rsid w:val="005A5717"/>
    <w:rsid w:val="005A6A45"/>
    <w:rsid w:val="005A6EAB"/>
    <w:rsid w:val="005A7F34"/>
    <w:rsid w:val="005B0A0A"/>
    <w:rsid w:val="005B0DF4"/>
    <w:rsid w:val="005B0EF1"/>
    <w:rsid w:val="005B5E0C"/>
    <w:rsid w:val="005B6129"/>
    <w:rsid w:val="005B7B23"/>
    <w:rsid w:val="005C1AE7"/>
    <w:rsid w:val="005C416E"/>
    <w:rsid w:val="005D1E5A"/>
    <w:rsid w:val="005D67E2"/>
    <w:rsid w:val="005E3709"/>
    <w:rsid w:val="005E51AC"/>
    <w:rsid w:val="005E633D"/>
    <w:rsid w:val="005F0910"/>
    <w:rsid w:val="00600A7D"/>
    <w:rsid w:val="00604416"/>
    <w:rsid w:val="00606F2D"/>
    <w:rsid w:val="00607815"/>
    <w:rsid w:val="006112A0"/>
    <w:rsid w:val="006130F0"/>
    <w:rsid w:val="006169D7"/>
    <w:rsid w:val="00617688"/>
    <w:rsid w:val="006234CA"/>
    <w:rsid w:val="006246D6"/>
    <w:rsid w:val="00624822"/>
    <w:rsid w:val="00632D7C"/>
    <w:rsid w:val="00635B60"/>
    <w:rsid w:val="00636418"/>
    <w:rsid w:val="00636933"/>
    <w:rsid w:val="00646905"/>
    <w:rsid w:val="00647590"/>
    <w:rsid w:val="00647787"/>
    <w:rsid w:val="00647F3E"/>
    <w:rsid w:val="00653068"/>
    <w:rsid w:val="00655802"/>
    <w:rsid w:val="00655C52"/>
    <w:rsid w:val="00661ED8"/>
    <w:rsid w:val="00663FE3"/>
    <w:rsid w:val="00670B40"/>
    <w:rsid w:val="006810E2"/>
    <w:rsid w:val="00681953"/>
    <w:rsid w:val="00681B35"/>
    <w:rsid w:val="00684295"/>
    <w:rsid w:val="00687BAD"/>
    <w:rsid w:val="0069175F"/>
    <w:rsid w:val="00694D16"/>
    <w:rsid w:val="00697796"/>
    <w:rsid w:val="006A26AD"/>
    <w:rsid w:val="006A2B9A"/>
    <w:rsid w:val="006A57D9"/>
    <w:rsid w:val="006A5B7D"/>
    <w:rsid w:val="006A70FC"/>
    <w:rsid w:val="006B231B"/>
    <w:rsid w:val="006B32D9"/>
    <w:rsid w:val="006B4340"/>
    <w:rsid w:val="006B4516"/>
    <w:rsid w:val="006B5760"/>
    <w:rsid w:val="006B5E84"/>
    <w:rsid w:val="006C11B5"/>
    <w:rsid w:val="006C2BFD"/>
    <w:rsid w:val="006D31BA"/>
    <w:rsid w:val="006D725D"/>
    <w:rsid w:val="006E4649"/>
    <w:rsid w:val="006E4B6E"/>
    <w:rsid w:val="006E57CF"/>
    <w:rsid w:val="006E5EC6"/>
    <w:rsid w:val="006E5F2A"/>
    <w:rsid w:val="006E640F"/>
    <w:rsid w:val="006E72E9"/>
    <w:rsid w:val="006F03A4"/>
    <w:rsid w:val="006F098D"/>
    <w:rsid w:val="006F123D"/>
    <w:rsid w:val="006F2229"/>
    <w:rsid w:val="006F2FAC"/>
    <w:rsid w:val="006F746B"/>
    <w:rsid w:val="00701DA8"/>
    <w:rsid w:val="00702AC4"/>
    <w:rsid w:val="00703ADC"/>
    <w:rsid w:val="00704E78"/>
    <w:rsid w:val="00706F31"/>
    <w:rsid w:val="007079A2"/>
    <w:rsid w:val="0071138D"/>
    <w:rsid w:val="00712646"/>
    <w:rsid w:val="00712774"/>
    <w:rsid w:val="00714B4B"/>
    <w:rsid w:val="00715419"/>
    <w:rsid w:val="00716A94"/>
    <w:rsid w:val="007204CE"/>
    <w:rsid w:val="00721EEA"/>
    <w:rsid w:val="00722CEC"/>
    <w:rsid w:val="007239CA"/>
    <w:rsid w:val="00724DE9"/>
    <w:rsid w:val="0072543B"/>
    <w:rsid w:val="00726896"/>
    <w:rsid w:val="00727624"/>
    <w:rsid w:val="0073104E"/>
    <w:rsid w:val="00731BC6"/>
    <w:rsid w:val="007341DF"/>
    <w:rsid w:val="007352C4"/>
    <w:rsid w:val="007421B9"/>
    <w:rsid w:val="00742B40"/>
    <w:rsid w:val="00743EAC"/>
    <w:rsid w:val="00744D2F"/>
    <w:rsid w:val="007467C3"/>
    <w:rsid w:val="00750327"/>
    <w:rsid w:val="0075048E"/>
    <w:rsid w:val="00750A09"/>
    <w:rsid w:val="00751088"/>
    <w:rsid w:val="007539D8"/>
    <w:rsid w:val="00757B0B"/>
    <w:rsid w:val="00760AA0"/>
    <w:rsid w:val="00761C13"/>
    <w:rsid w:val="00763DA7"/>
    <w:rsid w:val="007651C7"/>
    <w:rsid w:val="00765985"/>
    <w:rsid w:val="00765B30"/>
    <w:rsid w:val="00766375"/>
    <w:rsid w:val="00767B30"/>
    <w:rsid w:val="00771C63"/>
    <w:rsid w:val="00772620"/>
    <w:rsid w:val="007823A0"/>
    <w:rsid w:val="00783EFB"/>
    <w:rsid w:val="0078459F"/>
    <w:rsid w:val="00784803"/>
    <w:rsid w:val="00791FAE"/>
    <w:rsid w:val="0079459B"/>
    <w:rsid w:val="007A2E98"/>
    <w:rsid w:val="007A4FA7"/>
    <w:rsid w:val="007B0D61"/>
    <w:rsid w:val="007B1A7B"/>
    <w:rsid w:val="007B2BDA"/>
    <w:rsid w:val="007B3BE9"/>
    <w:rsid w:val="007B4B29"/>
    <w:rsid w:val="007B7C32"/>
    <w:rsid w:val="007C268B"/>
    <w:rsid w:val="007C46E7"/>
    <w:rsid w:val="007C7BFD"/>
    <w:rsid w:val="007D26E1"/>
    <w:rsid w:val="007E242C"/>
    <w:rsid w:val="007E2724"/>
    <w:rsid w:val="007E2F9E"/>
    <w:rsid w:val="007F0283"/>
    <w:rsid w:val="007F243D"/>
    <w:rsid w:val="007F246D"/>
    <w:rsid w:val="007F2CDC"/>
    <w:rsid w:val="007F3AE7"/>
    <w:rsid w:val="008059A2"/>
    <w:rsid w:val="00806368"/>
    <w:rsid w:val="00807FB3"/>
    <w:rsid w:val="00810B4E"/>
    <w:rsid w:val="00812176"/>
    <w:rsid w:val="008124A9"/>
    <w:rsid w:val="00812856"/>
    <w:rsid w:val="00812E79"/>
    <w:rsid w:val="00814BCA"/>
    <w:rsid w:val="0081511E"/>
    <w:rsid w:val="00822B61"/>
    <w:rsid w:val="0082349E"/>
    <w:rsid w:val="00826731"/>
    <w:rsid w:val="0082792B"/>
    <w:rsid w:val="00830902"/>
    <w:rsid w:val="00830C69"/>
    <w:rsid w:val="00830F95"/>
    <w:rsid w:val="008329D2"/>
    <w:rsid w:val="0083314A"/>
    <w:rsid w:val="00833479"/>
    <w:rsid w:val="008377A9"/>
    <w:rsid w:val="008400CB"/>
    <w:rsid w:val="008430B2"/>
    <w:rsid w:val="00843B03"/>
    <w:rsid w:val="0084463E"/>
    <w:rsid w:val="0084678D"/>
    <w:rsid w:val="00846A57"/>
    <w:rsid w:val="00856832"/>
    <w:rsid w:val="00856CC8"/>
    <w:rsid w:val="00860BDA"/>
    <w:rsid w:val="00861034"/>
    <w:rsid w:val="00862671"/>
    <w:rsid w:val="00863523"/>
    <w:rsid w:val="0086650A"/>
    <w:rsid w:val="00867173"/>
    <w:rsid w:val="00870034"/>
    <w:rsid w:val="008733E5"/>
    <w:rsid w:val="00875547"/>
    <w:rsid w:val="00884F5F"/>
    <w:rsid w:val="00885A53"/>
    <w:rsid w:val="0088793E"/>
    <w:rsid w:val="008948AA"/>
    <w:rsid w:val="008973A2"/>
    <w:rsid w:val="008974CC"/>
    <w:rsid w:val="008A19DB"/>
    <w:rsid w:val="008A2589"/>
    <w:rsid w:val="008A2C72"/>
    <w:rsid w:val="008A5363"/>
    <w:rsid w:val="008A5452"/>
    <w:rsid w:val="008A6B66"/>
    <w:rsid w:val="008B1F86"/>
    <w:rsid w:val="008B28A5"/>
    <w:rsid w:val="008B7666"/>
    <w:rsid w:val="008C119D"/>
    <w:rsid w:val="008C2A53"/>
    <w:rsid w:val="008C41F0"/>
    <w:rsid w:val="008C43D1"/>
    <w:rsid w:val="008C48F8"/>
    <w:rsid w:val="008D7107"/>
    <w:rsid w:val="008E0ED8"/>
    <w:rsid w:val="008E66A6"/>
    <w:rsid w:val="008F0330"/>
    <w:rsid w:val="008F2585"/>
    <w:rsid w:val="008F2FE3"/>
    <w:rsid w:val="008F4F59"/>
    <w:rsid w:val="008F7803"/>
    <w:rsid w:val="00907F3B"/>
    <w:rsid w:val="00912DD7"/>
    <w:rsid w:val="0091390A"/>
    <w:rsid w:val="009174FC"/>
    <w:rsid w:val="00917574"/>
    <w:rsid w:val="00917CE9"/>
    <w:rsid w:val="009258D4"/>
    <w:rsid w:val="0092601C"/>
    <w:rsid w:val="009263A7"/>
    <w:rsid w:val="009310AA"/>
    <w:rsid w:val="00941BED"/>
    <w:rsid w:val="00942961"/>
    <w:rsid w:val="00943E70"/>
    <w:rsid w:val="009479AB"/>
    <w:rsid w:val="00951B9D"/>
    <w:rsid w:val="00957670"/>
    <w:rsid w:val="0096119C"/>
    <w:rsid w:val="00962703"/>
    <w:rsid w:val="00973321"/>
    <w:rsid w:val="0097726C"/>
    <w:rsid w:val="00977E1B"/>
    <w:rsid w:val="00980438"/>
    <w:rsid w:val="0098092B"/>
    <w:rsid w:val="00980DB4"/>
    <w:rsid w:val="00980EFD"/>
    <w:rsid w:val="00981135"/>
    <w:rsid w:val="00987DC2"/>
    <w:rsid w:val="00991641"/>
    <w:rsid w:val="00993EFB"/>
    <w:rsid w:val="00995E2D"/>
    <w:rsid w:val="009A14A3"/>
    <w:rsid w:val="009A51D5"/>
    <w:rsid w:val="009A7601"/>
    <w:rsid w:val="009A7830"/>
    <w:rsid w:val="009A7B5A"/>
    <w:rsid w:val="009B364A"/>
    <w:rsid w:val="009B77FC"/>
    <w:rsid w:val="009C0F17"/>
    <w:rsid w:val="009C235A"/>
    <w:rsid w:val="009C5D97"/>
    <w:rsid w:val="009C635E"/>
    <w:rsid w:val="009D0CB0"/>
    <w:rsid w:val="009E068C"/>
    <w:rsid w:val="009E0A94"/>
    <w:rsid w:val="009E7C3F"/>
    <w:rsid w:val="009F146E"/>
    <w:rsid w:val="009F233F"/>
    <w:rsid w:val="009F37F6"/>
    <w:rsid w:val="00A00433"/>
    <w:rsid w:val="00A045F2"/>
    <w:rsid w:val="00A04888"/>
    <w:rsid w:val="00A05CC2"/>
    <w:rsid w:val="00A06956"/>
    <w:rsid w:val="00A06A22"/>
    <w:rsid w:val="00A07353"/>
    <w:rsid w:val="00A10331"/>
    <w:rsid w:val="00A11560"/>
    <w:rsid w:val="00A118BA"/>
    <w:rsid w:val="00A11C9F"/>
    <w:rsid w:val="00A15F6F"/>
    <w:rsid w:val="00A173E5"/>
    <w:rsid w:val="00A205EA"/>
    <w:rsid w:val="00A23CEE"/>
    <w:rsid w:val="00A32397"/>
    <w:rsid w:val="00A331C3"/>
    <w:rsid w:val="00A43E0C"/>
    <w:rsid w:val="00A44AA9"/>
    <w:rsid w:val="00A44EE1"/>
    <w:rsid w:val="00A47F00"/>
    <w:rsid w:val="00A5323B"/>
    <w:rsid w:val="00A565EE"/>
    <w:rsid w:val="00A615AD"/>
    <w:rsid w:val="00A66465"/>
    <w:rsid w:val="00A67183"/>
    <w:rsid w:val="00A67F05"/>
    <w:rsid w:val="00A72DF9"/>
    <w:rsid w:val="00A73484"/>
    <w:rsid w:val="00A8315E"/>
    <w:rsid w:val="00A843D1"/>
    <w:rsid w:val="00A87086"/>
    <w:rsid w:val="00A906A9"/>
    <w:rsid w:val="00A90F8B"/>
    <w:rsid w:val="00A914E9"/>
    <w:rsid w:val="00A92B40"/>
    <w:rsid w:val="00A9467D"/>
    <w:rsid w:val="00A94B08"/>
    <w:rsid w:val="00A952CE"/>
    <w:rsid w:val="00A97D57"/>
    <w:rsid w:val="00AA34FF"/>
    <w:rsid w:val="00AB2A23"/>
    <w:rsid w:val="00AB2EA2"/>
    <w:rsid w:val="00AB7378"/>
    <w:rsid w:val="00AC05DB"/>
    <w:rsid w:val="00AC0A16"/>
    <w:rsid w:val="00AC1289"/>
    <w:rsid w:val="00AC39D6"/>
    <w:rsid w:val="00AC3C44"/>
    <w:rsid w:val="00AC6A98"/>
    <w:rsid w:val="00AC73A4"/>
    <w:rsid w:val="00AD0490"/>
    <w:rsid w:val="00AD6374"/>
    <w:rsid w:val="00AD6BDA"/>
    <w:rsid w:val="00AE246E"/>
    <w:rsid w:val="00AE2D46"/>
    <w:rsid w:val="00AF0E10"/>
    <w:rsid w:val="00AF367C"/>
    <w:rsid w:val="00B000EA"/>
    <w:rsid w:val="00B01D9A"/>
    <w:rsid w:val="00B07B8E"/>
    <w:rsid w:val="00B07CD6"/>
    <w:rsid w:val="00B10D1C"/>
    <w:rsid w:val="00B113C0"/>
    <w:rsid w:val="00B13DCC"/>
    <w:rsid w:val="00B31419"/>
    <w:rsid w:val="00B32150"/>
    <w:rsid w:val="00B3554F"/>
    <w:rsid w:val="00B424FA"/>
    <w:rsid w:val="00B57C4D"/>
    <w:rsid w:val="00B60D45"/>
    <w:rsid w:val="00B61B6C"/>
    <w:rsid w:val="00B64F28"/>
    <w:rsid w:val="00B660CB"/>
    <w:rsid w:val="00B6761C"/>
    <w:rsid w:val="00B67F94"/>
    <w:rsid w:val="00B70F0E"/>
    <w:rsid w:val="00B72BE9"/>
    <w:rsid w:val="00B75698"/>
    <w:rsid w:val="00B75A93"/>
    <w:rsid w:val="00B77C36"/>
    <w:rsid w:val="00B807D7"/>
    <w:rsid w:val="00B81ED1"/>
    <w:rsid w:val="00B81F51"/>
    <w:rsid w:val="00B82778"/>
    <w:rsid w:val="00B90113"/>
    <w:rsid w:val="00B910B4"/>
    <w:rsid w:val="00B92976"/>
    <w:rsid w:val="00B94D60"/>
    <w:rsid w:val="00BA1551"/>
    <w:rsid w:val="00BA2254"/>
    <w:rsid w:val="00BA2882"/>
    <w:rsid w:val="00BA6AAB"/>
    <w:rsid w:val="00BB2CCC"/>
    <w:rsid w:val="00BB4AE0"/>
    <w:rsid w:val="00BB6063"/>
    <w:rsid w:val="00BB6A35"/>
    <w:rsid w:val="00BC1068"/>
    <w:rsid w:val="00BC49E2"/>
    <w:rsid w:val="00BC4FCD"/>
    <w:rsid w:val="00BC527E"/>
    <w:rsid w:val="00BC5844"/>
    <w:rsid w:val="00BC6232"/>
    <w:rsid w:val="00BC7641"/>
    <w:rsid w:val="00BC79CB"/>
    <w:rsid w:val="00BD1D6E"/>
    <w:rsid w:val="00BD268E"/>
    <w:rsid w:val="00BD3134"/>
    <w:rsid w:val="00BD4642"/>
    <w:rsid w:val="00BD4D40"/>
    <w:rsid w:val="00BD7F36"/>
    <w:rsid w:val="00BE0302"/>
    <w:rsid w:val="00BE22B3"/>
    <w:rsid w:val="00BE432E"/>
    <w:rsid w:val="00BF094F"/>
    <w:rsid w:val="00BF0D6D"/>
    <w:rsid w:val="00BF1983"/>
    <w:rsid w:val="00BF3120"/>
    <w:rsid w:val="00BF3192"/>
    <w:rsid w:val="00BF3735"/>
    <w:rsid w:val="00BF5545"/>
    <w:rsid w:val="00BF5E57"/>
    <w:rsid w:val="00BF619F"/>
    <w:rsid w:val="00BF6D66"/>
    <w:rsid w:val="00C0034D"/>
    <w:rsid w:val="00C03170"/>
    <w:rsid w:val="00C03479"/>
    <w:rsid w:val="00C03C16"/>
    <w:rsid w:val="00C052D1"/>
    <w:rsid w:val="00C1050E"/>
    <w:rsid w:val="00C15566"/>
    <w:rsid w:val="00C16CF7"/>
    <w:rsid w:val="00C20E94"/>
    <w:rsid w:val="00C21E45"/>
    <w:rsid w:val="00C22A14"/>
    <w:rsid w:val="00C25208"/>
    <w:rsid w:val="00C2520C"/>
    <w:rsid w:val="00C26C9E"/>
    <w:rsid w:val="00C3078E"/>
    <w:rsid w:val="00C364E5"/>
    <w:rsid w:val="00C3767D"/>
    <w:rsid w:val="00C406A4"/>
    <w:rsid w:val="00C41971"/>
    <w:rsid w:val="00C4434B"/>
    <w:rsid w:val="00C45921"/>
    <w:rsid w:val="00C50165"/>
    <w:rsid w:val="00C633C6"/>
    <w:rsid w:val="00C64997"/>
    <w:rsid w:val="00C649C1"/>
    <w:rsid w:val="00C66CE0"/>
    <w:rsid w:val="00C67836"/>
    <w:rsid w:val="00C713C1"/>
    <w:rsid w:val="00C754FD"/>
    <w:rsid w:val="00C77E99"/>
    <w:rsid w:val="00C8460A"/>
    <w:rsid w:val="00C9484A"/>
    <w:rsid w:val="00C9666C"/>
    <w:rsid w:val="00CA46ED"/>
    <w:rsid w:val="00CB0220"/>
    <w:rsid w:val="00CB48D3"/>
    <w:rsid w:val="00CB4E21"/>
    <w:rsid w:val="00CB6DD8"/>
    <w:rsid w:val="00CB6DE0"/>
    <w:rsid w:val="00CC1718"/>
    <w:rsid w:val="00CC245D"/>
    <w:rsid w:val="00CC3B9E"/>
    <w:rsid w:val="00CC454F"/>
    <w:rsid w:val="00CD0718"/>
    <w:rsid w:val="00CE042C"/>
    <w:rsid w:val="00CE099E"/>
    <w:rsid w:val="00CE6593"/>
    <w:rsid w:val="00CE65CE"/>
    <w:rsid w:val="00CE70A0"/>
    <w:rsid w:val="00CF086D"/>
    <w:rsid w:val="00D00B5E"/>
    <w:rsid w:val="00D01F2E"/>
    <w:rsid w:val="00D04651"/>
    <w:rsid w:val="00D04CEA"/>
    <w:rsid w:val="00D0506B"/>
    <w:rsid w:val="00D06D23"/>
    <w:rsid w:val="00D1064B"/>
    <w:rsid w:val="00D11E4F"/>
    <w:rsid w:val="00D12535"/>
    <w:rsid w:val="00D12E6B"/>
    <w:rsid w:val="00D13824"/>
    <w:rsid w:val="00D147C8"/>
    <w:rsid w:val="00D20187"/>
    <w:rsid w:val="00D2299A"/>
    <w:rsid w:val="00D23AC9"/>
    <w:rsid w:val="00D23BC3"/>
    <w:rsid w:val="00D266A3"/>
    <w:rsid w:val="00D27CE5"/>
    <w:rsid w:val="00D30620"/>
    <w:rsid w:val="00D30884"/>
    <w:rsid w:val="00D419B4"/>
    <w:rsid w:val="00D427BE"/>
    <w:rsid w:val="00D46B1B"/>
    <w:rsid w:val="00D57307"/>
    <w:rsid w:val="00D647C8"/>
    <w:rsid w:val="00D656EF"/>
    <w:rsid w:val="00D666AB"/>
    <w:rsid w:val="00D7129E"/>
    <w:rsid w:val="00D726A0"/>
    <w:rsid w:val="00D75F43"/>
    <w:rsid w:val="00D80112"/>
    <w:rsid w:val="00D84D07"/>
    <w:rsid w:val="00D867D9"/>
    <w:rsid w:val="00D87480"/>
    <w:rsid w:val="00D9660A"/>
    <w:rsid w:val="00DA2750"/>
    <w:rsid w:val="00DA413E"/>
    <w:rsid w:val="00DA4B07"/>
    <w:rsid w:val="00DA4C27"/>
    <w:rsid w:val="00DB43E4"/>
    <w:rsid w:val="00DC0FF9"/>
    <w:rsid w:val="00DC1687"/>
    <w:rsid w:val="00DC3908"/>
    <w:rsid w:val="00DC490D"/>
    <w:rsid w:val="00DD2398"/>
    <w:rsid w:val="00DD2898"/>
    <w:rsid w:val="00DD2BDB"/>
    <w:rsid w:val="00DD6062"/>
    <w:rsid w:val="00DE006C"/>
    <w:rsid w:val="00DE1E7A"/>
    <w:rsid w:val="00DE3A1B"/>
    <w:rsid w:val="00DF059D"/>
    <w:rsid w:val="00DF41E1"/>
    <w:rsid w:val="00DF62EA"/>
    <w:rsid w:val="00E0384F"/>
    <w:rsid w:val="00E03B16"/>
    <w:rsid w:val="00E05471"/>
    <w:rsid w:val="00E06BA0"/>
    <w:rsid w:val="00E11190"/>
    <w:rsid w:val="00E132E8"/>
    <w:rsid w:val="00E14CCC"/>
    <w:rsid w:val="00E17A74"/>
    <w:rsid w:val="00E210AA"/>
    <w:rsid w:val="00E22F05"/>
    <w:rsid w:val="00E242FE"/>
    <w:rsid w:val="00E2495A"/>
    <w:rsid w:val="00E24F00"/>
    <w:rsid w:val="00E30A6C"/>
    <w:rsid w:val="00E3429C"/>
    <w:rsid w:val="00E4333A"/>
    <w:rsid w:val="00E43A2E"/>
    <w:rsid w:val="00E43CD1"/>
    <w:rsid w:val="00E5186F"/>
    <w:rsid w:val="00E53E0C"/>
    <w:rsid w:val="00E56AC8"/>
    <w:rsid w:val="00E60A85"/>
    <w:rsid w:val="00E616B7"/>
    <w:rsid w:val="00E663F2"/>
    <w:rsid w:val="00E66B75"/>
    <w:rsid w:val="00E66BD5"/>
    <w:rsid w:val="00E671DF"/>
    <w:rsid w:val="00E721C4"/>
    <w:rsid w:val="00E72629"/>
    <w:rsid w:val="00E728C6"/>
    <w:rsid w:val="00E72F7B"/>
    <w:rsid w:val="00E731D4"/>
    <w:rsid w:val="00E76D56"/>
    <w:rsid w:val="00E7756D"/>
    <w:rsid w:val="00E77996"/>
    <w:rsid w:val="00E77EAF"/>
    <w:rsid w:val="00E80E24"/>
    <w:rsid w:val="00E82D1F"/>
    <w:rsid w:val="00E836B3"/>
    <w:rsid w:val="00E83908"/>
    <w:rsid w:val="00E8440D"/>
    <w:rsid w:val="00E87699"/>
    <w:rsid w:val="00E90114"/>
    <w:rsid w:val="00E92E35"/>
    <w:rsid w:val="00E93B68"/>
    <w:rsid w:val="00EA35C8"/>
    <w:rsid w:val="00EA4533"/>
    <w:rsid w:val="00EB340F"/>
    <w:rsid w:val="00EB36CF"/>
    <w:rsid w:val="00EB3E60"/>
    <w:rsid w:val="00EC1BE4"/>
    <w:rsid w:val="00EC67FD"/>
    <w:rsid w:val="00EC7CCD"/>
    <w:rsid w:val="00EC7F61"/>
    <w:rsid w:val="00ED047A"/>
    <w:rsid w:val="00EE2C55"/>
    <w:rsid w:val="00EE5F0C"/>
    <w:rsid w:val="00EE6736"/>
    <w:rsid w:val="00EF3CC6"/>
    <w:rsid w:val="00EF65CE"/>
    <w:rsid w:val="00EF685E"/>
    <w:rsid w:val="00EF6CDE"/>
    <w:rsid w:val="00F01E78"/>
    <w:rsid w:val="00F07A8A"/>
    <w:rsid w:val="00F1156E"/>
    <w:rsid w:val="00F1179E"/>
    <w:rsid w:val="00F1293C"/>
    <w:rsid w:val="00F2320B"/>
    <w:rsid w:val="00F24EEC"/>
    <w:rsid w:val="00F2549F"/>
    <w:rsid w:val="00F26AD5"/>
    <w:rsid w:val="00F27408"/>
    <w:rsid w:val="00F30A46"/>
    <w:rsid w:val="00F325CF"/>
    <w:rsid w:val="00F338CB"/>
    <w:rsid w:val="00F339DD"/>
    <w:rsid w:val="00F342DE"/>
    <w:rsid w:val="00F504C0"/>
    <w:rsid w:val="00F5174C"/>
    <w:rsid w:val="00F57AAA"/>
    <w:rsid w:val="00F613DC"/>
    <w:rsid w:val="00F6236E"/>
    <w:rsid w:val="00F64A84"/>
    <w:rsid w:val="00F656D9"/>
    <w:rsid w:val="00F666BD"/>
    <w:rsid w:val="00F67830"/>
    <w:rsid w:val="00F73175"/>
    <w:rsid w:val="00F73C7A"/>
    <w:rsid w:val="00F77854"/>
    <w:rsid w:val="00F77BFB"/>
    <w:rsid w:val="00F8132C"/>
    <w:rsid w:val="00F84C54"/>
    <w:rsid w:val="00F86162"/>
    <w:rsid w:val="00F90E62"/>
    <w:rsid w:val="00F93F2A"/>
    <w:rsid w:val="00F93FD3"/>
    <w:rsid w:val="00F94188"/>
    <w:rsid w:val="00F950FC"/>
    <w:rsid w:val="00F95884"/>
    <w:rsid w:val="00F95A90"/>
    <w:rsid w:val="00F96409"/>
    <w:rsid w:val="00F9647E"/>
    <w:rsid w:val="00F97A5C"/>
    <w:rsid w:val="00FA0ECD"/>
    <w:rsid w:val="00FA14C2"/>
    <w:rsid w:val="00FA1A5C"/>
    <w:rsid w:val="00FA23AA"/>
    <w:rsid w:val="00FA3F9F"/>
    <w:rsid w:val="00FA5AC3"/>
    <w:rsid w:val="00FB474E"/>
    <w:rsid w:val="00FB531F"/>
    <w:rsid w:val="00FB548B"/>
    <w:rsid w:val="00FB64AB"/>
    <w:rsid w:val="00FC013C"/>
    <w:rsid w:val="00FC22E0"/>
    <w:rsid w:val="00FD1479"/>
    <w:rsid w:val="00FD1EDF"/>
    <w:rsid w:val="00FD29AE"/>
    <w:rsid w:val="00FD2FA6"/>
    <w:rsid w:val="00FD7976"/>
    <w:rsid w:val="00FE19BD"/>
    <w:rsid w:val="00FE3350"/>
    <w:rsid w:val="00FF08F8"/>
    <w:rsid w:val="00FF3183"/>
    <w:rsid w:val="00FF5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37B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A09"/>
    <w:pPr>
      <w:spacing w:before="120" w:after="120"/>
    </w:pPr>
    <w:rPr>
      <w:rFonts w:ascii="Arial" w:hAnsi="Arial"/>
      <w:szCs w:val="24"/>
    </w:rPr>
  </w:style>
  <w:style w:type="paragraph" w:styleId="Heading1">
    <w:name w:val="heading 1"/>
    <w:next w:val="Normal"/>
    <w:qFormat/>
    <w:rsid w:val="00387D91"/>
    <w:pPr>
      <w:keepNext/>
      <w:spacing w:before="480" w:after="60"/>
      <w:outlineLvl w:val="0"/>
    </w:pPr>
    <w:rPr>
      <w:rFonts w:ascii="Arial" w:hAnsi="Arial" w:cs="Arial"/>
      <w:b/>
      <w:sz w:val="28"/>
      <w:szCs w:val="32"/>
      <w:lang w:eastAsia="en-AU"/>
    </w:rPr>
  </w:style>
  <w:style w:type="paragraph" w:styleId="Heading2">
    <w:name w:val="heading 2"/>
    <w:basedOn w:val="Heading1"/>
    <w:next w:val="Normal"/>
    <w:qFormat/>
    <w:rsid w:val="00387D91"/>
    <w:pPr>
      <w:spacing w:before="360" w:after="120"/>
      <w:outlineLvl w:val="1"/>
    </w:pPr>
    <w:rPr>
      <w:iCs/>
      <w:sz w:val="24"/>
      <w:szCs w:val="22"/>
    </w:rPr>
  </w:style>
  <w:style w:type="paragraph" w:styleId="Heading3">
    <w:name w:val="heading 3"/>
    <w:next w:val="Normal"/>
    <w:qFormat/>
    <w:rsid w:val="00750A09"/>
    <w:pPr>
      <w:keepNext/>
      <w:spacing w:before="240" w:after="120"/>
      <w:outlineLvl w:val="2"/>
    </w:pPr>
    <w:rPr>
      <w:rFonts w:ascii="Arial" w:hAnsi="Arial"/>
      <w:b/>
      <w:bCs/>
      <w:iCs/>
      <w:sz w:val="22"/>
      <w:szCs w:val="26"/>
    </w:rPr>
  </w:style>
  <w:style w:type="paragraph" w:styleId="Heading4">
    <w:name w:val="heading 4"/>
    <w:basedOn w:val="Normal"/>
    <w:next w:val="Normal"/>
    <w:link w:val="Heading4Char"/>
    <w:unhideWhenUsed/>
    <w:qFormat/>
    <w:rsid w:val="00375816"/>
    <w:pPr>
      <w:keepNext/>
      <w:keepLines/>
      <w:spacing w:before="200" w:after="0"/>
      <w:outlineLvl w:val="3"/>
    </w:pPr>
    <w:rPr>
      <w:rFonts w:eastAsiaTheme="majorEastAsia" w:cs="Arial"/>
      <w:b/>
      <w:bCs/>
      <w:i/>
      <w:iCs/>
      <w:color w:val="000000" w:themeColor="text1"/>
      <w:lang w:val="en-US" w:eastAsia="en-AU"/>
    </w:rPr>
  </w:style>
  <w:style w:type="paragraph" w:styleId="Heading5">
    <w:name w:val="heading 5"/>
    <w:basedOn w:val="Normal"/>
    <w:next w:val="Normal"/>
    <w:link w:val="Heading5Char"/>
    <w:unhideWhenUsed/>
    <w:qFormat/>
    <w:rsid w:val="00B75A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75A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rsid w:val="00D12535"/>
    <w:pPr>
      <w:tabs>
        <w:tab w:val="center" w:pos="4153"/>
        <w:tab w:val="right" w:pos="8306"/>
      </w:tabs>
    </w:pPr>
    <w:rPr>
      <w:sz w:val="16"/>
    </w:rPr>
  </w:style>
  <w:style w:type="paragraph" w:styleId="Footer">
    <w:name w:val="footer"/>
    <w:basedOn w:val="Normal"/>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Symbol" w:hAnsi="Symbo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rPr>
  </w:style>
  <w:style w:type="paragraph" w:styleId="TOC1">
    <w:name w:val="toc 1"/>
    <w:basedOn w:val="Normal"/>
    <w:next w:val="Normal"/>
    <w:autoRedefine/>
    <w:uiPriority w:val="39"/>
    <w:rsid w:val="00A05CC2"/>
    <w:pPr>
      <w:tabs>
        <w:tab w:val="right" w:leader="dot" w:pos="8302"/>
      </w:tabs>
      <w:spacing w:before="240" w:after="0"/>
    </w:pPr>
    <w:rPr>
      <w:rFonts w:cs="Arial"/>
      <w:b/>
      <w:bCs/>
      <w:noProof/>
      <w:szCs w:val="20"/>
    </w:rPr>
  </w:style>
  <w:style w:type="paragraph" w:styleId="TOC2">
    <w:name w:val="toc 2"/>
    <w:basedOn w:val="Normal"/>
    <w:next w:val="Normal"/>
    <w:autoRedefine/>
    <w:semiHidden/>
    <w:rsid w:val="00D12535"/>
    <w:pPr>
      <w:spacing w:before="0" w:after="0"/>
      <w:ind w:left="200"/>
    </w:pPr>
    <w:rPr>
      <w:rFonts w:ascii="Times New Roman" w:hAnsi="Times New Roman"/>
      <w:smallCaps/>
      <w:szCs w:val="20"/>
    </w:rPr>
  </w:style>
  <w:style w:type="paragraph" w:styleId="TOC3">
    <w:name w:val="toc 3"/>
    <w:basedOn w:val="Normal"/>
    <w:next w:val="Normal"/>
    <w:autoRedefine/>
    <w:semiHidden/>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Symbol" w:hAnsi="Symbo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aliases w:val="Footnote Text Char2,Footnote Text Char Char,Footnote Text Char1 Char Char,Footnote Text Char Char1 Char Char,Footnote Text Char1 Char1,Footnote Text Char Char1 Char1,Footnote Text Char1 Char,Footnote Text Char Char1 Char"/>
    <w:basedOn w:val="Normal"/>
    <w:link w:val="FootnoteTextChar"/>
    <w:uiPriority w:val="99"/>
    <w:rsid w:val="00806368"/>
    <w:pPr>
      <w:ind w:left="142" w:hanging="284"/>
    </w:pPr>
    <w:rPr>
      <w:sz w:val="18"/>
      <w:szCs w:val="18"/>
      <w:lang w:val="en-US"/>
    </w:rPr>
  </w:style>
  <w:style w:type="character" w:styleId="FootnoteReference">
    <w:name w:val="footnote reference"/>
    <w:aliases w:val="footnote ref,Footnote,ftref"/>
    <w:uiPriority w:val="99"/>
    <w:rsid w:val="00F27408"/>
    <w:rPr>
      <w:vertAlign w:val="superscript"/>
    </w:rPr>
  </w:style>
  <w:style w:type="character" w:customStyle="1" w:styleId="List-bullet-1Char">
    <w:name w:val="List-bullet-1 Char"/>
    <w:link w:val="List-bullet-1"/>
    <w:rsid w:val="00CD0718"/>
    <w:rPr>
      <w:rFonts w:ascii="Arial" w:hAnsi="Arial" w:cs="Arial"/>
      <w:szCs w:val="22"/>
    </w:rPr>
  </w:style>
  <w:style w:type="character" w:customStyle="1" w:styleId="FootnoteTextChar">
    <w:name w:val="Footnote Text Char"/>
    <w:aliases w:val="Footnote Text Char2 Char,Footnote Text Char Char Char,Footnote Text Char1 Char Char Char,Footnote Text Char Char1 Char Char Char,Footnote Text Char1 Char1 Char,Footnote Text Char Char1 Char1 Char,Footnote Text Char1 Char Char1"/>
    <w:link w:val="FootnoteText"/>
    <w:uiPriority w:val="99"/>
    <w:rsid w:val="00806368"/>
    <w:rPr>
      <w:rFonts w:ascii="Arial" w:hAnsi="Arial"/>
      <w:sz w:val="18"/>
      <w:szCs w:val="18"/>
      <w:lang w:val="en-US"/>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paragraph" w:styleId="ListParagraph">
    <w:name w:val="List Paragraph"/>
    <w:basedOn w:val="Normal"/>
    <w:uiPriority w:val="34"/>
    <w:qFormat/>
    <w:rsid w:val="00C8460A"/>
    <w:pPr>
      <w:ind w:left="720"/>
      <w:contextualSpacing/>
    </w:pPr>
  </w:style>
  <w:style w:type="paragraph" w:styleId="ListBullet">
    <w:name w:val="List Bullet"/>
    <w:basedOn w:val="BodyText"/>
    <w:rsid w:val="002915C2"/>
    <w:pPr>
      <w:numPr>
        <w:numId w:val="10"/>
      </w:numPr>
      <w:tabs>
        <w:tab w:val="clear" w:pos="284"/>
        <w:tab w:val="num" w:pos="360"/>
      </w:tabs>
      <w:spacing w:before="80"/>
      <w:ind w:left="360" w:hanging="360"/>
    </w:pPr>
    <w:rPr>
      <w:rFonts w:ascii="Book Antiqua" w:hAnsi="Book Antiqua"/>
      <w:sz w:val="22"/>
      <w:szCs w:val="22"/>
    </w:rPr>
  </w:style>
  <w:style w:type="paragraph" w:styleId="BodyText">
    <w:name w:val="Body Text"/>
    <w:basedOn w:val="Normal"/>
    <w:link w:val="BodyTextChar"/>
    <w:rsid w:val="002915C2"/>
  </w:style>
  <w:style w:type="character" w:customStyle="1" w:styleId="BodyTextChar">
    <w:name w:val="Body Text Char"/>
    <w:basedOn w:val="DefaultParagraphFont"/>
    <w:link w:val="BodyText"/>
    <w:rsid w:val="002915C2"/>
    <w:rPr>
      <w:rFonts w:ascii="Arial" w:hAnsi="Arial"/>
      <w:szCs w:val="24"/>
    </w:rPr>
  </w:style>
  <w:style w:type="paragraph" w:customStyle="1" w:styleId="Heading1outlinenum">
    <w:name w:val="Heading 1 outlinenum"/>
    <w:basedOn w:val="Normal"/>
    <w:next w:val="Normal"/>
    <w:rsid w:val="00D2299A"/>
    <w:pPr>
      <w:keepNext/>
      <w:numPr>
        <w:numId w:val="17"/>
      </w:numPr>
      <w:spacing w:before="360" w:after="60"/>
      <w:outlineLvl w:val="0"/>
    </w:pPr>
    <w:rPr>
      <w:rFonts w:cs="Arial"/>
      <w:b/>
      <w:sz w:val="28"/>
      <w:szCs w:val="32"/>
      <w:lang w:eastAsia="en-AU"/>
    </w:rPr>
  </w:style>
  <w:style w:type="paragraph" w:customStyle="1" w:styleId="Heading2outlinenum">
    <w:name w:val="Heading 2 outlinenum"/>
    <w:basedOn w:val="Heading2"/>
    <w:rsid w:val="00D2299A"/>
    <w:pPr>
      <w:numPr>
        <w:ilvl w:val="1"/>
        <w:numId w:val="17"/>
      </w:numPr>
      <w:tabs>
        <w:tab w:val="clear" w:pos="567"/>
        <w:tab w:val="num" w:pos="360"/>
      </w:tabs>
      <w:spacing w:after="60"/>
      <w:ind w:left="0" w:firstLine="0"/>
    </w:pPr>
    <w:rPr>
      <w:iCs w:val="0"/>
    </w:rPr>
  </w:style>
  <w:style w:type="paragraph" w:customStyle="1" w:styleId="Heading3outlinenum">
    <w:name w:val="Heading 3 outlinenum"/>
    <w:basedOn w:val="Heading3"/>
    <w:next w:val="Normal"/>
    <w:rsid w:val="00D2299A"/>
    <w:pPr>
      <w:numPr>
        <w:ilvl w:val="2"/>
        <w:numId w:val="17"/>
      </w:numPr>
      <w:tabs>
        <w:tab w:val="clear" w:pos="680"/>
        <w:tab w:val="num" w:pos="360"/>
      </w:tabs>
      <w:spacing w:after="60"/>
      <w:ind w:left="0" w:firstLine="0"/>
    </w:pPr>
    <w:rPr>
      <w:i/>
    </w:rPr>
  </w:style>
  <w:style w:type="paragraph" w:customStyle="1" w:styleId="ColorfulList-Accent11">
    <w:name w:val="Colorful List - Accent 11"/>
    <w:basedOn w:val="Normal"/>
    <w:uiPriority w:val="34"/>
    <w:qFormat/>
    <w:rsid w:val="00EC1BE4"/>
    <w:pPr>
      <w:spacing w:before="0" w:after="0"/>
      <w:ind w:left="720"/>
      <w:contextualSpacing/>
    </w:pPr>
    <w:rPr>
      <w:rFonts w:ascii="Cambria" w:eastAsia="SimSun" w:hAnsi="Cambria"/>
      <w:sz w:val="24"/>
      <w:lang w:val="en-US"/>
    </w:rPr>
  </w:style>
  <w:style w:type="character" w:styleId="FollowedHyperlink">
    <w:name w:val="FollowedHyperlink"/>
    <w:basedOn w:val="DefaultParagraphFont"/>
    <w:rsid w:val="00BC527E"/>
    <w:rPr>
      <w:color w:val="800080" w:themeColor="followedHyperlink"/>
      <w:u w:val="single"/>
    </w:rPr>
  </w:style>
  <w:style w:type="character" w:customStyle="1" w:styleId="Heading4Char">
    <w:name w:val="Heading 4 Char"/>
    <w:basedOn w:val="DefaultParagraphFont"/>
    <w:link w:val="Heading4"/>
    <w:rsid w:val="00375816"/>
    <w:rPr>
      <w:rFonts w:ascii="Arial" w:eastAsiaTheme="majorEastAsia" w:hAnsi="Arial" w:cs="Arial"/>
      <w:b/>
      <w:bCs/>
      <w:i/>
      <w:iCs/>
      <w:color w:val="000000" w:themeColor="text1"/>
      <w:szCs w:val="24"/>
      <w:lang w:val="en-US" w:eastAsia="en-AU"/>
    </w:rPr>
  </w:style>
  <w:style w:type="character" w:customStyle="1" w:styleId="Heading5Char">
    <w:name w:val="Heading 5 Char"/>
    <w:basedOn w:val="DefaultParagraphFont"/>
    <w:link w:val="Heading5"/>
    <w:rsid w:val="00B75A93"/>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rsid w:val="00B75A93"/>
    <w:rPr>
      <w:rFonts w:asciiTheme="majorHAnsi" w:eastAsiaTheme="majorEastAsia" w:hAnsiTheme="majorHAnsi" w:cstheme="majorBidi"/>
      <w:i/>
      <w:iCs/>
      <w:color w:val="243F60" w:themeColor="accent1" w:themeShade="7F"/>
      <w:szCs w:val="24"/>
    </w:rPr>
  </w:style>
  <w:style w:type="paragraph" w:styleId="List">
    <w:name w:val="List"/>
    <w:basedOn w:val="Normal"/>
    <w:rsid w:val="00B75A93"/>
    <w:pPr>
      <w:ind w:left="283" w:hanging="283"/>
      <w:contextualSpacing/>
    </w:pPr>
  </w:style>
  <w:style w:type="paragraph" w:styleId="List2">
    <w:name w:val="List 2"/>
    <w:basedOn w:val="Normal"/>
    <w:rsid w:val="00375816"/>
    <w:pPr>
      <w:ind w:left="566" w:hanging="424"/>
      <w:contextualSpacing/>
    </w:pPr>
  </w:style>
  <w:style w:type="paragraph" w:styleId="List3">
    <w:name w:val="List 3"/>
    <w:basedOn w:val="Normal"/>
    <w:rsid w:val="00B75A93"/>
    <w:pPr>
      <w:ind w:left="849" w:hanging="283"/>
      <w:contextualSpacing/>
    </w:pPr>
  </w:style>
  <w:style w:type="paragraph" w:styleId="List4">
    <w:name w:val="List 4"/>
    <w:basedOn w:val="Normal"/>
    <w:rsid w:val="00B75A93"/>
    <w:pPr>
      <w:ind w:left="1132" w:hanging="283"/>
      <w:contextualSpacing/>
    </w:pPr>
  </w:style>
  <w:style w:type="paragraph" w:styleId="Date">
    <w:name w:val="Date"/>
    <w:basedOn w:val="Normal"/>
    <w:next w:val="Normal"/>
    <w:link w:val="DateChar"/>
    <w:rsid w:val="00B75A93"/>
  </w:style>
  <w:style w:type="character" w:customStyle="1" w:styleId="DateChar">
    <w:name w:val="Date Char"/>
    <w:basedOn w:val="DefaultParagraphFont"/>
    <w:link w:val="Date"/>
    <w:rsid w:val="00B75A93"/>
    <w:rPr>
      <w:rFonts w:ascii="Arial" w:hAnsi="Arial"/>
      <w:szCs w:val="24"/>
    </w:rPr>
  </w:style>
  <w:style w:type="paragraph" w:styleId="ListBullet2">
    <w:name w:val="List Bullet 2"/>
    <w:basedOn w:val="Normal"/>
    <w:rsid w:val="00B75A93"/>
    <w:pPr>
      <w:numPr>
        <w:numId w:val="57"/>
      </w:numPr>
      <w:contextualSpacing/>
    </w:pPr>
  </w:style>
  <w:style w:type="paragraph" w:styleId="ListBullet3">
    <w:name w:val="List Bullet 3"/>
    <w:basedOn w:val="Normal"/>
    <w:rsid w:val="00B75A93"/>
    <w:pPr>
      <w:numPr>
        <w:numId w:val="58"/>
      </w:numPr>
      <w:contextualSpacing/>
    </w:pPr>
  </w:style>
  <w:style w:type="paragraph" w:styleId="ListContinue">
    <w:name w:val="List Continue"/>
    <w:basedOn w:val="Normal"/>
    <w:rsid w:val="00B75A93"/>
    <w:pPr>
      <w:ind w:left="283"/>
      <w:contextualSpacing/>
    </w:pPr>
  </w:style>
  <w:style w:type="paragraph" w:styleId="ListContinue2">
    <w:name w:val="List Continue 2"/>
    <w:basedOn w:val="Normal"/>
    <w:rsid w:val="00B75A93"/>
    <w:pPr>
      <w:ind w:left="566"/>
      <w:contextualSpacing/>
    </w:pPr>
  </w:style>
  <w:style w:type="paragraph" w:styleId="Caption">
    <w:name w:val="caption"/>
    <w:basedOn w:val="Normal"/>
    <w:next w:val="Normal"/>
    <w:unhideWhenUsed/>
    <w:qFormat/>
    <w:rsid w:val="00B75A93"/>
    <w:pPr>
      <w:spacing w:before="0" w:after="200"/>
    </w:pPr>
    <w:rPr>
      <w:b/>
      <w:bCs/>
      <w:color w:val="4F81BD" w:themeColor="accent1"/>
      <w:sz w:val="18"/>
      <w:szCs w:val="18"/>
    </w:rPr>
  </w:style>
  <w:style w:type="paragraph" w:styleId="Title">
    <w:name w:val="Title"/>
    <w:basedOn w:val="Normal"/>
    <w:next w:val="Normal"/>
    <w:link w:val="TitleChar"/>
    <w:qFormat/>
    <w:rsid w:val="00B75A9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75A93"/>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rsid w:val="00B75A93"/>
    <w:pPr>
      <w:ind w:left="283"/>
    </w:pPr>
  </w:style>
  <w:style w:type="character" w:customStyle="1" w:styleId="BodyTextIndentChar">
    <w:name w:val="Body Text Indent Char"/>
    <w:basedOn w:val="DefaultParagraphFont"/>
    <w:link w:val="BodyTextIndent"/>
    <w:rsid w:val="00B75A93"/>
    <w:rPr>
      <w:rFonts w:ascii="Arial" w:hAnsi="Arial"/>
      <w:szCs w:val="24"/>
    </w:rPr>
  </w:style>
  <w:style w:type="paragraph" w:styleId="Subtitle">
    <w:name w:val="Subtitle"/>
    <w:basedOn w:val="Normal"/>
    <w:next w:val="Normal"/>
    <w:link w:val="SubtitleChar"/>
    <w:qFormat/>
    <w:rsid w:val="00B75A9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B75A93"/>
    <w:rPr>
      <w:rFonts w:asciiTheme="majorHAnsi" w:eastAsiaTheme="majorEastAsia" w:hAnsiTheme="majorHAnsi" w:cstheme="majorBidi"/>
      <w:i/>
      <w:iCs/>
      <w:color w:val="4F81BD" w:themeColor="accent1"/>
      <w:spacing w:val="15"/>
      <w:sz w:val="24"/>
      <w:szCs w:val="24"/>
    </w:rPr>
  </w:style>
  <w:style w:type="paragraph" w:styleId="BodyTextFirstIndent2">
    <w:name w:val="Body Text First Indent 2"/>
    <w:basedOn w:val="BodyTextIndent"/>
    <w:link w:val="BodyTextFirstIndent2Char"/>
    <w:rsid w:val="00B75A93"/>
    <w:pPr>
      <w:ind w:left="360" w:firstLine="360"/>
    </w:pPr>
  </w:style>
  <w:style w:type="character" w:customStyle="1" w:styleId="BodyTextFirstIndent2Char">
    <w:name w:val="Body Text First Indent 2 Char"/>
    <w:basedOn w:val="BodyTextIndentChar"/>
    <w:link w:val="BodyTextFirstIndent2"/>
    <w:rsid w:val="00B75A93"/>
    <w:rPr>
      <w:rFonts w:ascii="Arial" w:hAnsi="Arial"/>
      <w:szCs w:val="24"/>
    </w:rPr>
  </w:style>
  <w:style w:type="paragraph" w:customStyle="1" w:styleId="bullet">
    <w:name w:val="bullet"/>
    <w:basedOn w:val="Heading4"/>
    <w:rsid w:val="005C416E"/>
    <w:pPr>
      <w:numPr>
        <w:numId w:val="61"/>
      </w:numPr>
    </w:pPr>
  </w:style>
  <w:style w:type="paragraph" w:customStyle="1" w:styleId="tableheading">
    <w:name w:val="table heading"/>
    <w:basedOn w:val="Normal"/>
    <w:rsid w:val="00712646"/>
    <w:pPr>
      <w:spacing w:before="0" w:after="0"/>
    </w:pPr>
    <w:rPr>
      <w:rFonts w:ascii="Cambria" w:hAnsi="Cambria"/>
      <w:b/>
      <w:bCs/>
      <w:sz w:val="24"/>
    </w:rPr>
  </w:style>
  <w:style w:type="table" w:styleId="LightShading-Accent1">
    <w:name w:val="Light Shading Accent 1"/>
    <w:basedOn w:val="TableNormal"/>
    <w:uiPriority w:val="60"/>
    <w:rsid w:val="00712646"/>
    <w:rPr>
      <w:rFonts w:asciiTheme="minorHAnsi" w:eastAsiaTheme="minorEastAsia" w:hAnsiTheme="minorHAnsi" w:cstheme="minorBidi"/>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0"/>
    <w:rsid w:val="003C047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0"/>
    <w:rsid w:val="003C047D"/>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A09"/>
    <w:pPr>
      <w:spacing w:before="120" w:after="120"/>
    </w:pPr>
    <w:rPr>
      <w:rFonts w:ascii="Arial" w:hAnsi="Arial"/>
      <w:szCs w:val="24"/>
    </w:rPr>
  </w:style>
  <w:style w:type="paragraph" w:styleId="Heading1">
    <w:name w:val="heading 1"/>
    <w:next w:val="Normal"/>
    <w:qFormat/>
    <w:rsid w:val="00387D91"/>
    <w:pPr>
      <w:keepNext/>
      <w:spacing w:before="480" w:after="60"/>
      <w:outlineLvl w:val="0"/>
    </w:pPr>
    <w:rPr>
      <w:rFonts w:ascii="Arial" w:hAnsi="Arial" w:cs="Arial"/>
      <w:b/>
      <w:sz w:val="28"/>
      <w:szCs w:val="32"/>
      <w:lang w:eastAsia="en-AU"/>
    </w:rPr>
  </w:style>
  <w:style w:type="paragraph" w:styleId="Heading2">
    <w:name w:val="heading 2"/>
    <w:basedOn w:val="Heading1"/>
    <w:next w:val="Normal"/>
    <w:qFormat/>
    <w:rsid w:val="00387D91"/>
    <w:pPr>
      <w:spacing w:before="360" w:after="120"/>
      <w:outlineLvl w:val="1"/>
    </w:pPr>
    <w:rPr>
      <w:iCs/>
      <w:sz w:val="24"/>
      <w:szCs w:val="22"/>
    </w:rPr>
  </w:style>
  <w:style w:type="paragraph" w:styleId="Heading3">
    <w:name w:val="heading 3"/>
    <w:next w:val="Normal"/>
    <w:qFormat/>
    <w:rsid w:val="00750A09"/>
    <w:pPr>
      <w:keepNext/>
      <w:spacing w:before="240" w:after="120"/>
      <w:outlineLvl w:val="2"/>
    </w:pPr>
    <w:rPr>
      <w:rFonts w:ascii="Arial" w:hAnsi="Arial"/>
      <w:b/>
      <w:bCs/>
      <w:iCs/>
      <w:sz w:val="22"/>
      <w:szCs w:val="26"/>
    </w:rPr>
  </w:style>
  <w:style w:type="paragraph" w:styleId="Heading4">
    <w:name w:val="heading 4"/>
    <w:basedOn w:val="Normal"/>
    <w:next w:val="Normal"/>
    <w:link w:val="Heading4Char"/>
    <w:unhideWhenUsed/>
    <w:qFormat/>
    <w:rsid w:val="00375816"/>
    <w:pPr>
      <w:keepNext/>
      <w:keepLines/>
      <w:spacing w:before="200" w:after="0"/>
      <w:outlineLvl w:val="3"/>
    </w:pPr>
    <w:rPr>
      <w:rFonts w:eastAsiaTheme="majorEastAsia" w:cs="Arial"/>
      <w:b/>
      <w:bCs/>
      <w:i/>
      <w:iCs/>
      <w:color w:val="000000" w:themeColor="text1"/>
      <w:lang w:val="en-US" w:eastAsia="en-AU"/>
    </w:rPr>
  </w:style>
  <w:style w:type="paragraph" w:styleId="Heading5">
    <w:name w:val="heading 5"/>
    <w:basedOn w:val="Normal"/>
    <w:next w:val="Normal"/>
    <w:link w:val="Heading5Char"/>
    <w:unhideWhenUsed/>
    <w:qFormat/>
    <w:rsid w:val="00B75A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75A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rsid w:val="00474B5A"/>
    <w:pPr>
      <w:spacing w:before="60" w:after="0"/>
    </w:pPr>
  </w:style>
  <w:style w:type="paragraph" w:customStyle="1" w:styleId="Table-list-bullet">
    <w:name w:val="Table-list-bullet"/>
    <w:basedOn w:val="Table-normal-text"/>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rsid w:val="00D12535"/>
    <w:pPr>
      <w:tabs>
        <w:tab w:val="center" w:pos="4153"/>
        <w:tab w:val="right" w:pos="8306"/>
      </w:tabs>
    </w:pPr>
    <w:rPr>
      <w:sz w:val="16"/>
    </w:rPr>
  </w:style>
  <w:style w:type="paragraph" w:styleId="Footer">
    <w:name w:val="footer"/>
    <w:basedOn w:val="Normal"/>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Symbol" w:hAnsi="Symbo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link w:val="List-number-2"/>
    <w:rsid w:val="00D12535"/>
    <w:rPr>
      <w:rFonts w:ascii="Arial" w:hAnsi="Arial"/>
      <w:szCs w:val="24"/>
    </w:rPr>
  </w:style>
  <w:style w:type="paragraph" w:styleId="TOC1">
    <w:name w:val="toc 1"/>
    <w:basedOn w:val="Normal"/>
    <w:next w:val="Normal"/>
    <w:autoRedefine/>
    <w:uiPriority w:val="39"/>
    <w:rsid w:val="00A05CC2"/>
    <w:pPr>
      <w:tabs>
        <w:tab w:val="right" w:leader="dot" w:pos="8302"/>
      </w:tabs>
      <w:spacing w:before="240" w:after="0"/>
    </w:pPr>
    <w:rPr>
      <w:rFonts w:cs="Arial"/>
      <w:b/>
      <w:bCs/>
      <w:noProof/>
      <w:szCs w:val="20"/>
    </w:rPr>
  </w:style>
  <w:style w:type="paragraph" w:styleId="TOC2">
    <w:name w:val="toc 2"/>
    <w:basedOn w:val="Normal"/>
    <w:next w:val="Normal"/>
    <w:autoRedefine/>
    <w:semiHidden/>
    <w:rsid w:val="00D12535"/>
    <w:pPr>
      <w:spacing w:before="0" w:after="0"/>
      <w:ind w:left="200"/>
    </w:pPr>
    <w:rPr>
      <w:rFonts w:ascii="Times New Roman" w:hAnsi="Times New Roman"/>
      <w:smallCaps/>
      <w:szCs w:val="20"/>
    </w:rPr>
  </w:style>
  <w:style w:type="paragraph" w:styleId="TOC3">
    <w:name w:val="toc 3"/>
    <w:basedOn w:val="Normal"/>
    <w:next w:val="Normal"/>
    <w:autoRedefine/>
    <w:semiHidden/>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Symbol" w:hAnsi="Symbol"/>
        <w:b/>
        <w:sz w:val="20"/>
      </w:rPr>
      <w:tblPr/>
      <w:trPr>
        <w:tblHeader/>
      </w:trPr>
      <w:tcPr>
        <w:shd w:val="clear" w:color="auto" w:fill="E0E0E0"/>
        <w:vAlign w:val="center"/>
      </w:tcPr>
    </w:tblStylePr>
  </w:style>
  <w:style w:type="character" w:customStyle="1" w:styleId="DocNameChar">
    <w:name w:val="DocName Char"/>
    <w:link w:val="DocName"/>
    <w:rsid w:val="00F27408"/>
    <w:rPr>
      <w:rFonts w:ascii="Arial" w:hAnsi="Arial"/>
      <w:b/>
      <w:bCs/>
      <w:sz w:val="28"/>
      <w:szCs w:val="24"/>
      <w:lang w:val="en-AU" w:eastAsia="en-US" w:bidi="ar-SA"/>
    </w:rPr>
  </w:style>
  <w:style w:type="paragraph" w:styleId="FootnoteText">
    <w:name w:val="footnote text"/>
    <w:aliases w:val="Footnote Text Char2,Footnote Text Char Char,Footnote Text Char1 Char Char,Footnote Text Char Char1 Char Char,Footnote Text Char1 Char1,Footnote Text Char Char1 Char1,Footnote Text Char1 Char,Footnote Text Char Char1 Char"/>
    <w:basedOn w:val="Normal"/>
    <w:link w:val="FootnoteTextChar"/>
    <w:uiPriority w:val="99"/>
    <w:rsid w:val="00806368"/>
    <w:pPr>
      <w:ind w:left="142" w:hanging="284"/>
    </w:pPr>
    <w:rPr>
      <w:sz w:val="18"/>
      <w:szCs w:val="18"/>
      <w:lang w:val="en-US"/>
    </w:rPr>
  </w:style>
  <w:style w:type="character" w:styleId="FootnoteReference">
    <w:name w:val="footnote reference"/>
    <w:aliases w:val="footnote ref,Footnote,ftref"/>
    <w:uiPriority w:val="99"/>
    <w:rsid w:val="00F27408"/>
    <w:rPr>
      <w:vertAlign w:val="superscript"/>
    </w:rPr>
  </w:style>
  <w:style w:type="character" w:customStyle="1" w:styleId="List-bullet-1Char">
    <w:name w:val="List-bullet-1 Char"/>
    <w:link w:val="List-bullet-1"/>
    <w:rsid w:val="00CD0718"/>
    <w:rPr>
      <w:rFonts w:ascii="Arial" w:hAnsi="Arial" w:cs="Arial"/>
      <w:szCs w:val="22"/>
    </w:rPr>
  </w:style>
  <w:style w:type="character" w:customStyle="1" w:styleId="FootnoteTextChar">
    <w:name w:val="Footnote Text Char"/>
    <w:aliases w:val="Footnote Text Char2 Char,Footnote Text Char Char Char,Footnote Text Char1 Char Char Char,Footnote Text Char Char1 Char Char Char,Footnote Text Char1 Char1 Char,Footnote Text Char Char1 Char1 Char,Footnote Text Char1 Char Char1"/>
    <w:link w:val="FootnoteText"/>
    <w:uiPriority w:val="99"/>
    <w:rsid w:val="00806368"/>
    <w:rPr>
      <w:rFonts w:ascii="Arial" w:hAnsi="Arial"/>
      <w:sz w:val="18"/>
      <w:szCs w:val="18"/>
      <w:lang w:val="en-US"/>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paragraph" w:styleId="ListParagraph">
    <w:name w:val="List Paragraph"/>
    <w:basedOn w:val="Normal"/>
    <w:uiPriority w:val="34"/>
    <w:qFormat/>
    <w:rsid w:val="00C8460A"/>
    <w:pPr>
      <w:ind w:left="720"/>
      <w:contextualSpacing/>
    </w:pPr>
  </w:style>
  <w:style w:type="paragraph" w:styleId="ListBullet">
    <w:name w:val="List Bullet"/>
    <w:basedOn w:val="BodyText"/>
    <w:rsid w:val="002915C2"/>
    <w:pPr>
      <w:numPr>
        <w:numId w:val="10"/>
      </w:numPr>
      <w:tabs>
        <w:tab w:val="clear" w:pos="284"/>
        <w:tab w:val="num" w:pos="360"/>
      </w:tabs>
      <w:spacing w:before="80"/>
      <w:ind w:left="360" w:hanging="360"/>
    </w:pPr>
    <w:rPr>
      <w:rFonts w:ascii="Book Antiqua" w:hAnsi="Book Antiqua"/>
      <w:sz w:val="22"/>
      <w:szCs w:val="22"/>
    </w:rPr>
  </w:style>
  <w:style w:type="paragraph" w:styleId="BodyText">
    <w:name w:val="Body Text"/>
    <w:basedOn w:val="Normal"/>
    <w:link w:val="BodyTextChar"/>
    <w:rsid w:val="002915C2"/>
  </w:style>
  <w:style w:type="character" w:customStyle="1" w:styleId="BodyTextChar">
    <w:name w:val="Body Text Char"/>
    <w:basedOn w:val="DefaultParagraphFont"/>
    <w:link w:val="BodyText"/>
    <w:rsid w:val="002915C2"/>
    <w:rPr>
      <w:rFonts w:ascii="Arial" w:hAnsi="Arial"/>
      <w:szCs w:val="24"/>
    </w:rPr>
  </w:style>
  <w:style w:type="paragraph" w:customStyle="1" w:styleId="Heading1outlinenum">
    <w:name w:val="Heading 1 outlinenum"/>
    <w:basedOn w:val="Normal"/>
    <w:next w:val="Normal"/>
    <w:rsid w:val="00D2299A"/>
    <w:pPr>
      <w:keepNext/>
      <w:numPr>
        <w:numId w:val="17"/>
      </w:numPr>
      <w:spacing w:before="360" w:after="60"/>
      <w:outlineLvl w:val="0"/>
    </w:pPr>
    <w:rPr>
      <w:rFonts w:cs="Arial"/>
      <w:b/>
      <w:sz w:val="28"/>
      <w:szCs w:val="32"/>
      <w:lang w:eastAsia="en-AU"/>
    </w:rPr>
  </w:style>
  <w:style w:type="paragraph" w:customStyle="1" w:styleId="Heading2outlinenum">
    <w:name w:val="Heading 2 outlinenum"/>
    <w:basedOn w:val="Heading2"/>
    <w:rsid w:val="00D2299A"/>
    <w:pPr>
      <w:numPr>
        <w:ilvl w:val="1"/>
        <w:numId w:val="17"/>
      </w:numPr>
      <w:tabs>
        <w:tab w:val="clear" w:pos="567"/>
        <w:tab w:val="num" w:pos="360"/>
      </w:tabs>
      <w:spacing w:after="60"/>
      <w:ind w:left="0" w:firstLine="0"/>
    </w:pPr>
    <w:rPr>
      <w:iCs w:val="0"/>
    </w:rPr>
  </w:style>
  <w:style w:type="paragraph" w:customStyle="1" w:styleId="Heading3outlinenum">
    <w:name w:val="Heading 3 outlinenum"/>
    <w:basedOn w:val="Heading3"/>
    <w:next w:val="Normal"/>
    <w:rsid w:val="00D2299A"/>
    <w:pPr>
      <w:numPr>
        <w:ilvl w:val="2"/>
        <w:numId w:val="17"/>
      </w:numPr>
      <w:tabs>
        <w:tab w:val="clear" w:pos="680"/>
        <w:tab w:val="num" w:pos="360"/>
      </w:tabs>
      <w:spacing w:after="60"/>
      <w:ind w:left="0" w:firstLine="0"/>
    </w:pPr>
    <w:rPr>
      <w:i/>
    </w:rPr>
  </w:style>
  <w:style w:type="paragraph" w:customStyle="1" w:styleId="ColorfulList-Accent11">
    <w:name w:val="Colorful List - Accent 11"/>
    <w:basedOn w:val="Normal"/>
    <w:uiPriority w:val="34"/>
    <w:qFormat/>
    <w:rsid w:val="00EC1BE4"/>
    <w:pPr>
      <w:spacing w:before="0" w:after="0"/>
      <w:ind w:left="720"/>
      <w:contextualSpacing/>
    </w:pPr>
    <w:rPr>
      <w:rFonts w:ascii="Cambria" w:eastAsia="SimSun" w:hAnsi="Cambria"/>
      <w:sz w:val="24"/>
      <w:lang w:val="en-US"/>
    </w:rPr>
  </w:style>
  <w:style w:type="character" w:styleId="FollowedHyperlink">
    <w:name w:val="FollowedHyperlink"/>
    <w:basedOn w:val="DefaultParagraphFont"/>
    <w:rsid w:val="00BC527E"/>
    <w:rPr>
      <w:color w:val="800080" w:themeColor="followedHyperlink"/>
      <w:u w:val="single"/>
    </w:rPr>
  </w:style>
  <w:style w:type="character" w:customStyle="1" w:styleId="Heading4Char">
    <w:name w:val="Heading 4 Char"/>
    <w:basedOn w:val="DefaultParagraphFont"/>
    <w:link w:val="Heading4"/>
    <w:rsid w:val="00375816"/>
    <w:rPr>
      <w:rFonts w:ascii="Arial" w:eastAsiaTheme="majorEastAsia" w:hAnsi="Arial" w:cs="Arial"/>
      <w:b/>
      <w:bCs/>
      <w:i/>
      <w:iCs/>
      <w:color w:val="000000" w:themeColor="text1"/>
      <w:szCs w:val="24"/>
      <w:lang w:val="en-US" w:eastAsia="en-AU"/>
    </w:rPr>
  </w:style>
  <w:style w:type="character" w:customStyle="1" w:styleId="Heading5Char">
    <w:name w:val="Heading 5 Char"/>
    <w:basedOn w:val="DefaultParagraphFont"/>
    <w:link w:val="Heading5"/>
    <w:rsid w:val="00B75A93"/>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rsid w:val="00B75A93"/>
    <w:rPr>
      <w:rFonts w:asciiTheme="majorHAnsi" w:eastAsiaTheme="majorEastAsia" w:hAnsiTheme="majorHAnsi" w:cstheme="majorBidi"/>
      <w:i/>
      <w:iCs/>
      <w:color w:val="243F60" w:themeColor="accent1" w:themeShade="7F"/>
      <w:szCs w:val="24"/>
    </w:rPr>
  </w:style>
  <w:style w:type="paragraph" w:styleId="List">
    <w:name w:val="List"/>
    <w:basedOn w:val="Normal"/>
    <w:rsid w:val="00B75A93"/>
    <w:pPr>
      <w:ind w:left="283" w:hanging="283"/>
      <w:contextualSpacing/>
    </w:pPr>
  </w:style>
  <w:style w:type="paragraph" w:styleId="List2">
    <w:name w:val="List 2"/>
    <w:basedOn w:val="Normal"/>
    <w:rsid w:val="00375816"/>
    <w:pPr>
      <w:ind w:left="566" w:hanging="424"/>
      <w:contextualSpacing/>
    </w:pPr>
  </w:style>
  <w:style w:type="paragraph" w:styleId="List3">
    <w:name w:val="List 3"/>
    <w:basedOn w:val="Normal"/>
    <w:rsid w:val="00B75A93"/>
    <w:pPr>
      <w:ind w:left="849" w:hanging="283"/>
      <w:contextualSpacing/>
    </w:pPr>
  </w:style>
  <w:style w:type="paragraph" w:styleId="List4">
    <w:name w:val="List 4"/>
    <w:basedOn w:val="Normal"/>
    <w:rsid w:val="00B75A93"/>
    <w:pPr>
      <w:ind w:left="1132" w:hanging="283"/>
      <w:contextualSpacing/>
    </w:pPr>
  </w:style>
  <w:style w:type="paragraph" w:styleId="Date">
    <w:name w:val="Date"/>
    <w:basedOn w:val="Normal"/>
    <w:next w:val="Normal"/>
    <w:link w:val="DateChar"/>
    <w:rsid w:val="00B75A93"/>
  </w:style>
  <w:style w:type="character" w:customStyle="1" w:styleId="DateChar">
    <w:name w:val="Date Char"/>
    <w:basedOn w:val="DefaultParagraphFont"/>
    <w:link w:val="Date"/>
    <w:rsid w:val="00B75A93"/>
    <w:rPr>
      <w:rFonts w:ascii="Arial" w:hAnsi="Arial"/>
      <w:szCs w:val="24"/>
    </w:rPr>
  </w:style>
  <w:style w:type="paragraph" w:styleId="ListBullet2">
    <w:name w:val="List Bullet 2"/>
    <w:basedOn w:val="Normal"/>
    <w:rsid w:val="00B75A93"/>
    <w:pPr>
      <w:numPr>
        <w:numId w:val="57"/>
      </w:numPr>
      <w:contextualSpacing/>
    </w:pPr>
  </w:style>
  <w:style w:type="paragraph" w:styleId="ListBullet3">
    <w:name w:val="List Bullet 3"/>
    <w:basedOn w:val="Normal"/>
    <w:rsid w:val="00B75A93"/>
    <w:pPr>
      <w:numPr>
        <w:numId w:val="58"/>
      </w:numPr>
      <w:contextualSpacing/>
    </w:pPr>
  </w:style>
  <w:style w:type="paragraph" w:styleId="ListContinue">
    <w:name w:val="List Continue"/>
    <w:basedOn w:val="Normal"/>
    <w:rsid w:val="00B75A93"/>
    <w:pPr>
      <w:ind w:left="283"/>
      <w:contextualSpacing/>
    </w:pPr>
  </w:style>
  <w:style w:type="paragraph" w:styleId="ListContinue2">
    <w:name w:val="List Continue 2"/>
    <w:basedOn w:val="Normal"/>
    <w:rsid w:val="00B75A93"/>
    <w:pPr>
      <w:ind w:left="566"/>
      <w:contextualSpacing/>
    </w:pPr>
  </w:style>
  <w:style w:type="paragraph" w:styleId="Caption">
    <w:name w:val="caption"/>
    <w:basedOn w:val="Normal"/>
    <w:next w:val="Normal"/>
    <w:unhideWhenUsed/>
    <w:qFormat/>
    <w:rsid w:val="00B75A93"/>
    <w:pPr>
      <w:spacing w:before="0" w:after="200"/>
    </w:pPr>
    <w:rPr>
      <w:b/>
      <w:bCs/>
      <w:color w:val="4F81BD" w:themeColor="accent1"/>
      <w:sz w:val="18"/>
      <w:szCs w:val="18"/>
    </w:rPr>
  </w:style>
  <w:style w:type="paragraph" w:styleId="Title">
    <w:name w:val="Title"/>
    <w:basedOn w:val="Normal"/>
    <w:next w:val="Normal"/>
    <w:link w:val="TitleChar"/>
    <w:qFormat/>
    <w:rsid w:val="00B75A9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75A93"/>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rsid w:val="00B75A93"/>
    <w:pPr>
      <w:ind w:left="283"/>
    </w:pPr>
  </w:style>
  <w:style w:type="character" w:customStyle="1" w:styleId="BodyTextIndentChar">
    <w:name w:val="Body Text Indent Char"/>
    <w:basedOn w:val="DefaultParagraphFont"/>
    <w:link w:val="BodyTextIndent"/>
    <w:rsid w:val="00B75A93"/>
    <w:rPr>
      <w:rFonts w:ascii="Arial" w:hAnsi="Arial"/>
      <w:szCs w:val="24"/>
    </w:rPr>
  </w:style>
  <w:style w:type="paragraph" w:styleId="Subtitle">
    <w:name w:val="Subtitle"/>
    <w:basedOn w:val="Normal"/>
    <w:next w:val="Normal"/>
    <w:link w:val="SubtitleChar"/>
    <w:qFormat/>
    <w:rsid w:val="00B75A9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B75A93"/>
    <w:rPr>
      <w:rFonts w:asciiTheme="majorHAnsi" w:eastAsiaTheme="majorEastAsia" w:hAnsiTheme="majorHAnsi" w:cstheme="majorBidi"/>
      <w:i/>
      <w:iCs/>
      <w:color w:val="4F81BD" w:themeColor="accent1"/>
      <w:spacing w:val="15"/>
      <w:sz w:val="24"/>
      <w:szCs w:val="24"/>
    </w:rPr>
  </w:style>
  <w:style w:type="paragraph" w:styleId="BodyTextFirstIndent2">
    <w:name w:val="Body Text First Indent 2"/>
    <w:basedOn w:val="BodyTextIndent"/>
    <w:link w:val="BodyTextFirstIndent2Char"/>
    <w:rsid w:val="00B75A93"/>
    <w:pPr>
      <w:ind w:left="360" w:firstLine="360"/>
    </w:pPr>
  </w:style>
  <w:style w:type="character" w:customStyle="1" w:styleId="BodyTextFirstIndent2Char">
    <w:name w:val="Body Text First Indent 2 Char"/>
    <w:basedOn w:val="BodyTextIndentChar"/>
    <w:link w:val="BodyTextFirstIndent2"/>
    <w:rsid w:val="00B75A93"/>
    <w:rPr>
      <w:rFonts w:ascii="Arial" w:hAnsi="Arial"/>
      <w:szCs w:val="24"/>
    </w:rPr>
  </w:style>
  <w:style w:type="paragraph" w:customStyle="1" w:styleId="bullet">
    <w:name w:val="bullet"/>
    <w:basedOn w:val="Heading4"/>
    <w:rsid w:val="005C416E"/>
    <w:pPr>
      <w:numPr>
        <w:numId w:val="61"/>
      </w:numPr>
    </w:pPr>
  </w:style>
  <w:style w:type="paragraph" w:customStyle="1" w:styleId="tableheading">
    <w:name w:val="table heading"/>
    <w:basedOn w:val="Normal"/>
    <w:rsid w:val="00712646"/>
    <w:pPr>
      <w:spacing w:before="0" w:after="0"/>
    </w:pPr>
    <w:rPr>
      <w:rFonts w:ascii="Cambria" w:hAnsi="Cambria"/>
      <w:b/>
      <w:bCs/>
      <w:sz w:val="24"/>
    </w:rPr>
  </w:style>
  <w:style w:type="table" w:styleId="LightShading-Accent1">
    <w:name w:val="Light Shading Accent 1"/>
    <w:basedOn w:val="TableNormal"/>
    <w:uiPriority w:val="60"/>
    <w:rsid w:val="00712646"/>
    <w:rPr>
      <w:rFonts w:asciiTheme="minorHAnsi" w:eastAsiaTheme="minorEastAsia" w:hAnsiTheme="minorHAnsi" w:cstheme="minorBidi"/>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
    <w:name w:val="Medium List 1"/>
    <w:basedOn w:val="TableNormal"/>
    <w:uiPriority w:val="60"/>
    <w:rsid w:val="003C047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0"/>
    <w:rsid w:val="003C047D"/>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asean.fta.govt.nz/chapter-17-consultations-and-dispute-settlement/" TargetMode="External"/><Relationship Id="rId3" Type="http://schemas.openxmlformats.org/officeDocument/2006/relationships/customXml" Target="../customXml/item3.xml"/><Relationship Id="rId21" Type="http://schemas.openxmlformats.org/officeDocument/2006/relationships/hyperlink" Target="http://www.asean.fta.govt.nz/chapter-12-economic-co-operation/"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www.asean.fta.govt.nz/chapter-12-economic-co-oper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sean.fta.govt.nz/chapter-12-economic-co-oper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sean.fta.govt.nz/chapter-12-economic-co-operation/"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asean.fta.govt.nz/chapter-12-economic-co-operation/"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asean.fta.govt.nz/chapter-12-economic-co-operation/" TargetMode="External"/><Relationship Id="rId27" Type="http://schemas.openxmlformats.org/officeDocument/2006/relationships/image" Target="media/image2.png"/><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asean.fta.govt.nz/what-is-the-asean-f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9508C-A782-44B1-9818-7DA4D4EB7F7F}"/>
</file>

<file path=customXml/itemProps2.xml><?xml version="1.0" encoding="utf-8"?>
<ds:datastoreItem xmlns:ds="http://schemas.openxmlformats.org/officeDocument/2006/customXml" ds:itemID="{68F3D99F-8FDC-440E-A0EA-DFB6DBD5062D}"/>
</file>

<file path=customXml/itemProps3.xml><?xml version="1.0" encoding="utf-8"?>
<ds:datastoreItem xmlns:ds="http://schemas.openxmlformats.org/officeDocument/2006/customXml" ds:itemID="{1AD83BA1-97D9-4D17-873A-1E6341202E39}"/>
</file>

<file path=customXml/itemProps4.xml><?xml version="1.0" encoding="utf-8"?>
<ds:datastoreItem xmlns:ds="http://schemas.openxmlformats.org/officeDocument/2006/customXml" ds:itemID="{4E61B499-1BE9-4353-A2B8-296D61AE39BD}"/>
</file>

<file path=docProps/app.xml><?xml version="1.0" encoding="utf-8"?>
<Properties xmlns="http://schemas.openxmlformats.org/officeDocument/2006/extended-properties" xmlns:vt="http://schemas.openxmlformats.org/officeDocument/2006/docPropsVTypes">
  <Template>Normal.dotm</Template>
  <TotalTime>5</TotalTime>
  <Pages>74</Pages>
  <Words>25609</Words>
  <Characters>157912</Characters>
  <Application>Microsoft Office Word</Application>
  <DocSecurity>0</DocSecurity>
  <Lines>1315</Lines>
  <Paragraphs>366</Paragraphs>
  <ScaleCrop>false</ScaleCrop>
  <HeadingPairs>
    <vt:vector size="2" baseType="variant">
      <vt:variant>
        <vt:lpstr>Title</vt:lpstr>
      </vt:variant>
      <vt:variant>
        <vt:i4>1</vt:i4>
      </vt:variant>
    </vt:vector>
  </HeadingPairs>
  <TitlesOfParts>
    <vt:vector size="1" baseType="lpstr">
      <vt:lpstr>IPR</vt:lpstr>
    </vt:vector>
  </TitlesOfParts>
  <Company>Raymond Mallon</Company>
  <LinksUpToDate>false</LinksUpToDate>
  <CharactersWithSpaces>183155</CharactersWithSpaces>
  <SharedDoc>false</SharedDoc>
  <HyperlinkBase/>
  <HLinks>
    <vt:vector size="6" baseType="variant">
      <vt:variant>
        <vt:i4>3866711</vt:i4>
      </vt:variant>
      <vt:variant>
        <vt:i4>-1</vt:i4>
      </vt:variant>
      <vt:variant>
        <vt:i4>1052</vt:i4>
      </vt:variant>
      <vt:variant>
        <vt:i4>1</vt:i4>
      </vt:variant>
      <vt:variant>
        <vt:lpwstr>ausaid_logo-sm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dc:title>
  <dc:creator>Raymond Mallon</dc:creator>
  <cp:lastModifiedBy>Tom Ffrench</cp:lastModifiedBy>
  <cp:revision>3</cp:revision>
  <cp:lastPrinted>2013-10-04T00:49:00Z</cp:lastPrinted>
  <dcterms:created xsi:type="dcterms:W3CDTF">2013-10-04T05:46:00Z</dcterms:created>
  <dcterms:modified xsi:type="dcterms:W3CDTF">2013-10-15T04:41:00Z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Managing Programs</vt:lpwstr>
  </property>
  <property fmtid="{D5CDD505-2E9C-101B-9397-08002B2CF9AE}" pid="3" name="Keyword">
    <vt:lpwstr/>
  </property>
  <property fmtid="{D5CDD505-2E9C-101B-9397-08002B2CF9AE}" pid="4" name="Owner">
    <vt:lpwstr/>
  </property>
  <property fmtid="{D5CDD505-2E9C-101B-9397-08002B2CF9AE}" pid="5" name="Doc Number">
    <vt:lpwstr/>
  </property>
  <property fmtid="{D5CDD505-2E9C-101B-9397-08002B2CF9AE}" pid="6" name="display_urn:schemas-microsoft-com:office:office#Editor">
    <vt:lpwstr>Salvatore Carluccio</vt:lpwstr>
  </property>
  <property fmtid="{D5CDD505-2E9C-101B-9397-08002B2CF9AE}" pid="7" name="display_urn:schemas-microsoft-com:office:office#Author">
    <vt:lpwstr>Alex Knox</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ContentTypeId">
    <vt:lpwstr>0x01010050F19AC2165D2E47A5E6B7F563E4CF00</vt:lpwstr>
  </property>
  <property fmtid="{D5CDD505-2E9C-101B-9397-08002B2CF9AE}" pid="12" name="ContentType">
    <vt:lpwstr>Document</vt:lpwstr>
  </property>
  <property fmtid="{D5CDD505-2E9C-101B-9397-08002B2CF9AE}" pid="13" name="TempID">
    <vt:lpwstr>51.0000000000000</vt:lpwstr>
  </property>
  <property fmtid="{D5CDD505-2E9C-101B-9397-08002B2CF9AE}" pid="14" name="Order">
    <vt:r8>3100</vt:r8>
  </property>
  <property fmtid="{D5CDD505-2E9C-101B-9397-08002B2CF9AE}" pid="15" name="Date of Review">
    <vt:lpwstr/>
  </property>
  <property fmtid="{D5CDD505-2E9C-101B-9397-08002B2CF9AE}" pid="16" name="Date of Release">
    <vt:lpwstr/>
  </property>
  <property fmtid="{D5CDD505-2E9C-101B-9397-08002B2CF9AE}" pid="17" name="_SourceUrl">
    <vt:lpwstr/>
  </property>
  <property fmtid="{D5CDD505-2E9C-101B-9397-08002B2CF9AE}" pid="18" name="_SharedFileIndex">
    <vt:lpwstr/>
  </property>
  <property fmtid="{D5CDD505-2E9C-101B-9397-08002B2CF9AE}" pid="19" name="display_urn">
    <vt:lpwstr>Alex Knox</vt:lpwstr>
  </property>
</Properties>
</file>