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18EE" w14:textId="2F354F7A" w:rsidR="003D38A5" w:rsidRDefault="003D38A5" w:rsidP="00F40260">
      <w:pPr>
        <w:pStyle w:val="Heading1"/>
        <w:rPr>
          <w:rStyle w:val="Heading2Char"/>
          <w:color w:val="auto"/>
        </w:rPr>
      </w:pPr>
      <w:r w:rsidRPr="007A233F">
        <w:rPr>
          <w:rStyle w:val="Heading2Char"/>
          <w:color w:val="auto"/>
        </w:rPr>
        <w:t>DFAT Management Response</w:t>
      </w:r>
      <w:r w:rsidRPr="007A233F">
        <w:rPr>
          <w:rStyle w:val="Heading2Char"/>
          <w:color w:val="auto"/>
        </w:rPr>
        <w:br/>
      </w:r>
      <w:r w:rsidR="00C209F5" w:rsidRPr="007A233F">
        <w:rPr>
          <w:rStyle w:val="Heading2Char"/>
          <w:color w:val="auto"/>
        </w:rPr>
        <w:t xml:space="preserve">ACCESS </w:t>
      </w:r>
      <w:r w:rsidR="005661B5" w:rsidRPr="007A233F">
        <w:rPr>
          <w:rStyle w:val="Heading2Char"/>
          <w:color w:val="auto"/>
        </w:rPr>
        <w:t xml:space="preserve">Independent </w:t>
      </w:r>
      <w:r w:rsidR="00C209F5" w:rsidRPr="007A233F">
        <w:rPr>
          <w:rStyle w:val="Heading2Char"/>
          <w:color w:val="auto"/>
        </w:rPr>
        <w:t>Evaluation</w:t>
      </w:r>
    </w:p>
    <w:p w14:paraId="2B36C62D" w14:textId="6F5D716E" w:rsidR="004D7B87" w:rsidRDefault="004D7B87" w:rsidP="004D7B87"/>
    <w:p w14:paraId="6ED574EE" w14:textId="5C655FB8" w:rsidR="004D7B87" w:rsidRPr="004D7B87" w:rsidRDefault="004D7B87" w:rsidP="004D7B87">
      <w:pPr>
        <w:rPr>
          <w:b/>
          <w:bCs/>
        </w:rPr>
      </w:pPr>
      <w:r w:rsidRPr="004D7B87">
        <w:rPr>
          <w:rFonts w:asciiTheme="majorHAnsi" w:hAnsiTheme="majorHAnsi" w:cstheme="majorHAnsi"/>
          <w:b/>
          <w:bCs/>
        </w:rPr>
        <w:t>RELEVANCE</w:t>
      </w:r>
    </w:p>
    <w:tbl>
      <w:tblPr>
        <w:tblStyle w:val="GridTable5Dark-Accent11"/>
        <w:tblW w:w="13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88"/>
        <w:gridCol w:w="4105"/>
        <w:gridCol w:w="2617"/>
        <w:gridCol w:w="1751"/>
      </w:tblGrid>
      <w:tr w:rsidR="007A233F" w:rsidRPr="007A233F" w14:paraId="168D3EA6" w14:textId="77777777" w:rsidTr="00980F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shd w:val="clear" w:color="auto" w:fill="auto"/>
          </w:tcPr>
          <w:p w14:paraId="5D000CB8" w14:textId="49B3FD3C" w:rsidR="003D38A5" w:rsidRPr="00EF08AC" w:rsidRDefault="003D38A5" w:rsidP="00320FF4">
            <w:pPr>
              <w:rPr>
                <w:rFonts w:asciiTheme="majorHAnsi" w:hAnsiTheme="majorHAnsi" w:cstheme="majorHAnsi"/>
                <w:color w:val="auto"/>
              </w:rPr>
            </w:pPr>
            <w:r w:rsidRPr="00EF08AC">
              <w:rPr>
                <w:rFonts w:asciiTheme="majorHAnsi" w:hAnsiTheme="majorHAnsi" w:cstheme="majorHAnsi"/>
                <w:color w:val="auto"/>
              </w:rPr>
              <w:t xml:space="preserve">Key </w:t>
            </w:r>
            <w:r w:rsidR="00EF02B7" w:rsidRPr="00EF08AC">
              <w:rPr>
                <w:rFonts w:asciiTheme="majorHAnsi" w:hAnsiTheme="majorHAnsi" w:cstheme="majorHAnsi"/>
                <w:color w:val="auto"/>
              </w:rPr>
              <w:t>Findings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5F4D9C4" w14:textId="77777777" w:rsidR="003D38A5" w:rsidRPr="00EF08AC" w:rsidRDefault="003D38A5" w:rsidP="00320FF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EF08AC">
              <w:rPr>
                <w:rFonts w:asciiTheme="majorHAnsi" w:hAnsiTheme="majorHAnsi" w:cstheme="majorHAnsi"/>
                <w:color w:val="auto"/>
              </w:rPr>
              <w:t>Response</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7D5315C2" w14:textId="77777777" w:rsidR="003D38A5" w:rsidRPr="00EF08AC" w:rsidRDefault="003D38A5" w:rsidP="00320FF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EF08AC">
              <w:rPr>
                <w:rFonts w:asciiTheme="majorHAnsi" w:hAnsiTheme="majorHAnsi" w:cstheme="majorHAnsi"/>
                <w:color w:val="auto"/>
              </w:rPr>
              <w:t>Explanation</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776A058" w14:textId="77777777" w:rsidR="003D38A5" w:rsidRPr="00EF08AC" w:rsidRDefault="003D38A5" w:rsidP="00320FF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EF08AC">
              <w:rPr>
                <w:rFonts w:asciiTheme="majorHAnsi" w:hAnsiTheme="majorHAnsi" w:cstheme="majorHAnsi"/>
                <w:color w:val="auto"/>
              </w:rPr>
              <w:t>Action Plan</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CF24D54" w14:textId="77777777" w:rsidR="003D38A5" w:rsidRPr="00EF08AC" w:rsidRDefault="003D38A5" w:rsidP="00320FF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EF08AC">
              <w:rPr>
                <w:rFonts w:asciiTheme="majorHAnsi" w:hAnsiTheme="majorHAnsi" w:cstheme="majorHAnsi"/>
                <w:color w:val="auto"/>
              </w:rPr>
              <w:t>Timeline</w:t>
            </w:r>
          </w:p>
        </w:tc>
      </w:tr>
      <w:tr w:rsidR="007A233F" w:rsidRPr="007A233F" w14:paraId="48037509" w14:textId="77777777" w:rsidTr="0098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tcBorders>
            <w:shd w:val="clear" w:color="auto" w:fill="auto"/>
          </w:tcPr>
          <w:p w14:paraId="43A92372" w14:textId="7B9BBD22" w:rsidR="003D38A5" w:rsidRPr="007A233F" w:rsidRDefault="00EF02B7" w:rsidP="007A233F">
            <w:pPr>
              <w:pStyle w:val="ListParagraph"/>
              <w:numPr>
                <w:ilvl w:val="0"/>
                <w:numId w:val="12"/>
              </w:numPr>
              <w:ind w:left="322"/>
              <w:rPr>
                <w:rFonts w:asciiTheme="majorHAnsi" w:hAnsiTheme="majorHAnsi" w:cstheme="majorHAnsi"/>
                <w:b w:val="0"/>
                <w:bCs w:val="0"/>
                <w:color w:val="auto"/>
              </w:rPr>
            </w:pPr>
            <w:r w:rsidRPr="007A233F">
              <w:rPr>
                <w:rFonts w:asciiTheme="majorHAnsi" w:hAnsiTheme="majorHAnsi" w:cstheme="majorHAnsi"/>
                <w:b w:val="0"/>
                <w:bCs w:val="0"/>
                <w:color w:val="auto"/>
              </w:rPr>
              <w:t>The review found that “ACCESS was found to be highly relevant and aligned with the development policy and thematic priorities of the RGC and Australia on support to survivors of GBV and people with disabilities. The program has played a formative role in the refinement and updating of policies and national standards as one of the single largest donor-contributors to the implementation of RGC commitments in these sectors.”</w:t>
            </w:r>
          </w:p>
        </w:tc>
        <w:tc>
          <w:tcPr>
            <w:tcW w:w="1288" w:type="dxa"/>
            <w:shd w:val="clear" w:color="auto" w:fill="auto"/>
          </w:tcPr>
          <w:p w14:paraId="4AC1AEA5" w14:textId="123DE955" w:rsidR="003D38A5" w:rsidRPr="007A233F" w:rsidRDefault="008A623B"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Agree</w:t>
            </w:r>
          </w:p>
        </w:tc>
        <w:tc>
          <w:tcPr>
            <w:tcW w:w="4105" w:type="dxa"/>
            <w:shd w:val="clear" w:color="auto" w:fill="auto"/>
          </w:tcPr>
          <w:p w14:paraId="6D2F3103" w14:textId="25F50DC7" w:rsidR="008A623B" w:rsidRPr="007A233F" w:rsidRDefault="003D38A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agrees that </w:t>
            </w:r>
            <w:r w:rsidR="00183945" w:rsidRPr="007A233F">
              <w:rPr>
                <w:rFonts w:asciiTheme="majorHAnsi" w:hAnsiTheme="majorHAnsi" w:cstheme="majorHAnsi"/>
              </w:rPr>
              <w:t xml:space="preserve">the program has made a significant impact in strengthening Cambodia’s policies and national standards related to GBV and support for people with disabilities. </w:t>
            </w:r>
          </w:p>
          <w:p w14:paraId="18D63801" w14:textId="77777777" w:rsidR="008A623B" w:rsidRPr="007A233F" w:rsidRDefault="008A623B"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4AA260B" w14:textId="77777777" w:rsidR="003D38A5" w:rsidRPr="007A233F" w:rsidRDefault="003D38A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E8246F2" w14:textId="77777777" w:rsidR="003D38A5" w:rsidRPr="007A233F" w:rsidRDefault="003D38A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617" w:type="dxa"/>
            <w:shd w:val="clear" w:color="auto" w:fill="auto"/>
          </w:tcPr>
          <w:p w14:paraId="05DB20BC" w14:textId="46FF5949" w:rsidR="003D38A5" w:rsidRPr="007A233F" w:rsidRDefault="0018394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The strength of the ACCESS program will be built upon in the successor program design. </w:t>
            </w:r>
            <w:r w:rsidR="005661B5" w:rsidRPr="007A233F">
              <w:rPr>
                <w:rFonts w:asciiTheme="majorHAnsi" w:hAnsiTheme="majorHAnsi" w:cstheme="majorHAnsi"/>
              </w:rPr>
              <w:t xml:space="preserve"> </w:t>
            </w:r>
          </w:p>
        </w:tc>
        <w:tc>
          <w:tcPr>
            <w:tcW w:w="1751" w:type="dxa"/>
            <w:shd w:val="clear" w:color="auto" w:fill="auto"/>
          </w:tcPr>
          <w:p w14:paraId="428373EF" w14:textId="0DA2EC43" w:rsidR="003D38A5" w:rsidRPr="007A233F" w:rsidRDefault="0018394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2022-March 2023</w:t>
            </w:r>
          </w:p>
        </w:tc>
      </w:tr>
      <w:tr w:rsidR="007A233F" w:rsidRPr="007A233F" w14:paraId="0CFCACFF" w14:textId="77777777" w:rsidTr="00980F42">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tcBorders>
            <w:shd w:val="clear" w:color="auto" w:fill="auto"/>
          </w:tcPr>
          <w:p w14:paraId="766780C6" w14:textId="15EEA529" w:rsidR="005661B5" w:rsidRPr="007A233F" w:rsidRDefault="00EF02B7" w:rsidP="007A233F">
            <w:pPr>
              <w:pStyle w:val="ListParagraph"/>
              <w:numPr>
                <w:ilvl w:val="0"/>
                <w:numId w:val="12"/>
              </w:numPr>
              <w:ind w:left="322"/>
              <w:rPr>
                <w:rFonts w:ascii="Calibri Light" w:hAnsi="Calibri Light" w:cs="Calibri Light"/>
                <w:b w:val="0"/>
                <w:bCs w:val="0"/>
                <w:color w:val="auto"/>
              </w:rPr>
            </w:pPr>
            <w:r w:rsidRPr="007A233F">
              <w:rPr>
                <w:rFonts w:ascii="Calibri Light" w:hAnsi="Calibri Light" w:cs="Calibri Light"/>
                <w:b w:val="0"/>
                <w:bCs w:val="0"/>
                <w:color w:val="auto"/>
              </w:rPr>
              <w:t>The review found “where relevance is less strong in terms of the ACCESS delivery modality… Overall, the ACCESS delivery modality has not proven to be an efficient implementation approach</w:t>
            </w:r>
            <w:r w:rsidR="00183945" w:rsidRPr="007A233F">
              <w:rPr>
                <w:rFonts w:ascii="Calibri Light" w:hAnsi="Calibri Light" w:cs="Calibri Light"/>
                <w:b w:val="0"/>
                <w:bCs w:val="0"/>
                <w:color w:val="auto"/>
              </w:rPr>
              <w:t>…</w:t>
            </w:r>
            <w:r w:rsidR="00183945" w:rsidRPr="007A233F">
              <w:rPr>
                <w:b w:val="0"/>
                <w:bCs w:val="0"/>
                <w:color w:val="auto"/>
              </w:rPr>
              <w:t xml:space="preserve"> </w:t>
            </w:r>
            <w:r w:rsidR="00183945" w:rsidRPr="007A233F">
              <w:rPr>
                <w:rFonts w:ascii="Calibri Light" w:hAnsi="Calibri Light" w:cs="Calibri Light"/>
                <w:b w:val="0"/>
                <w:bCs w:val="0"/>
                <w:color w:val="auto"/>
              </w:rPr>
              <w:t>The CIM is contrary to the very coordination of partners that is needed for GBV and disability service delivery. Rather than promoting coordination of IPs’ GBV and disability activities, the CIM created a competitive environment where IPs were vying for resources.</w:t>
            </w:r>
            <w:r w:rsidRPr="007A233F">
              <w:rPr>
                <w:rFonts w:ascii="Calibri Light" w:hAnsi="Calibri Light" w:cs="Calibri Light"/>
                <w:b w:val="0"/>
                <w:bCs w:val="0"/>
                <w:color w:val="auto"/>
              </w:rPr>
              <w:t xml:space="preserve">” </w:t>
            </w:r>
          </w:p>
          <w:p w14:paraId="47ADB29C" w14:textId="7BC415CD" w:rsidR="003D38A5" w:rsidRPr="007A233F" w:rsidRDefault="003D38A5" w:rsidP="007A233F">
            <w:pPr>
              <w:pStyle w:val="ListParagraph"/>
              <w:ind w:left="38"/>
              <w:rPr>
                <w:rFonts w:asciiTheme="majorHAnsi" w:hAnsiTheme="majorHAnsi" w:cstheme="majorHAnsi"/>
                <w:b w:val="0"/>
                <w:bCs w:val="0"/>
                <w:color w:val="auto"/>
              </w:rPr>
            </w:pPr>
          </w:p>
        </w:tc>
        <w:tc>
          <w:tcPr>
            <w:tcW w:w="1288" w:type="dxa"/>
            <w:shd w:val="clear" w:color="auto" w:fill="auto"/>
          </w:tcPr>
          <w:p w14:paraId="6DA9EA6E" w14:textId="0C49E76B" w:rsidR="003D38A5" w:rsidRPr="007A233F" w:rsidRDefault="00EF02B7" w:rsidP="00320FF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Agree</w:t>
            </w:r>
          </w:p>
        </w:tc>
        <w:tc>
          <w:tcPr>
            <w:tcW w:w="4105" w:type="dxa"/>
            <w:shd w:val="clear" w:color="auto" w:fill="auto"/>
          </w:tcPr>
          <w:p w14:paraId="4CF0105C" w14:textId="0FDED50C" w:rsidR="005661B5" w:rsidRPr="007A233F" w:rsidRDefault="003D38A5" w:rsidP="00320FF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A233F">
              <w:rPr>
                <w:rFonts w:asciiTheme="majorHAnsi" w:hAnsiTheme="majorHAnsi" w:cstheme="majorHAnsi"/>
              </w:rPr>
              <w:t xml:space="preserve">DFAT agrees </w:t>
            </w:r>
            <w:r w:rsidR="00183945" w:rsidRPr="007A233F">
              <w:rPr>
                <w:rFonts w:asciiTheme="majorHAnsi" w:hAnsiTheme="majorHAnsi" w:cstheme="majorHAnsi"/>
              </w:rPr>
              <w:t xml:space="preserve">that the CIM has not facilitated sectoral coordination and collaboration and will engage other delivery modalities in the successor program. </w:t>
            </w:r>
          </w:p>
          <w:p w14:paraId="358DAA0D" w14:textId="1978707E" w:rsidR="003D38A5" w:rsidRPr="007A233F" w:rsidRDefault="003D38A5" w:rsidP="00320FF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 </w:t>
            </w:r>
          </w:p>
        </w:tc>
        <w:tc>
          <w:tcPr>
            <w:tcW w:w="2617" w:type="dxa"/>
            <w:shd w:val="clear" w:color="auto" w:fill="auto"/>
          </w:tcPr>
          <w:p w14:paraId="16C172B1" w14:textId="356AAC8D" w:rsidR="003D38A5" w:rsidRPr="007A233F" w:rsidRDefault="00183945" w:rsidP="00320FF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To be addressed in the successor program design. </w:t>
            </w:r>
          </w:p>
          <w:p w14:paraId="092BEC9D" w14:textId="3C80506A" w:rsidR="003D38A5" w:rsidRPr="007A233F" w:rsidRDefault="003D38A5" w:rsidP="00320FF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751" w:type="dxa"/>
            <w:shd w:val="clear" w:color="auto" w:fill="auto"/>
          </w:tcPr>
          <w:p w14:paraId="7520F8FB" w14:textId="5DDFC111" w:rsidR="003D38A5" w:rsidRPr="007A233F" w:rsidRDefault="00183945" w:rsidP="00320FF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2022-March 2023</w:t>
            </w:r>
          </w:p>
        </w:tc>
      </w:tr>
      <w:tr w:rsidR="007A233F" w:rsidRPr="007A233F" w14:paraId="00DA8342" w14:textId="77777777" w:rsidTr="0098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tcBorders>
            <w:shd w:val="clear" w:color="auto" w:fill="auto"/>
          </w:tcPr>
          <w:p w14:paraId="54857732" w14:textId="65A3DA77" w:rsidR="003D38A5" w:rsidRPr="007A233F" w:rsidRDefault="00EF02B7" w:rsidP="007A233F">
            <w:pPr>
              <w:pStyle w:val="ListParagraph"/>
              <w:numPr>
                <w:ilvl w:val="0"/>
                <w:numId w:val="12"/>
              </w:numPr>
              <w:ind w:left="322"/>
              <w:rPr>
                <w:rFonts w:asciiTheme="majorHAnsi" w:hAnsiTheme="majorHAnsi" w:cstheme="majorHAnsi"/>
                <w:b w:val="0"/>
                <w:bCs w:val="0"/>
                <w:color w:val="auto"/>
              </w:rPr>
            </w:pPr>
            <w:r w:rsidRPr="007A233F">
              <w:rPr>
                <w:rFonts w:asciiTheme="majorHAnsi" w:hAnsiTheme="majorHAnsi" w:cstheme="majorHAnsi"/>
                <w:b w:val="0"/>
                <w:bCs w:val="0"/>
                <w:color w:val="auto"/>
              </w:rPr>
              <w:lastRenderedPageBreak/>
              <w:t>“</w:t>
            </w:r>
            <w:r w:rsidR="00183945" w:rsidRPr="007A233F">
              <w:rPr>
                <w:rFonts w:asciiTheme="majorHAnsi" w:hAnsiTheme="majorHAnsi" w:cstheme="majorHAnsi"/>
                <w:b w:val="0"/>
                <w:bCs w:val="0"/>
                <w:color w:val="auto"/>
              </w:rPr>
              <w:t>T</w:t>
            </w:r>
            <w:r w:rsidRPr="007A233F">
              <w:rPr>
                <w:rFonts w:asciiTheme="majorHAnsi" w:hAnsiTheme="majorHAnsi" w:cstheme="majorHAnsi"/>
                <w:b w:val="0"/>
                <w:bCs w:val="0"/>
                <w:color w:val="auto"/>
              </w:rPr>
              <w:t>he program should have had more focus on clients, and supporting actual service utilisation and demand</w:t>
            </w:r>
            <w:r w:rsidR="00183945" w:rsidRPr="007A233F">
              <w:rPr>
                <w:rFonts w:asciiTheme="majorHAnsi" w:hAnsiTheme="majorHAnsi" w:cstheme="majorHAnsi"/>
                <w:b w:val="0"/>
                <w:bCs w:val="0"/>
                <w:color w:val="auto"/>
              </w:rPr>
              <w:t xml:space="preserve">. The voice of both service users </w:t>
            </w:r>
            <w:proofErr w:type="gramStart"/>
            <w:r w:rsidR="00183945" w:rsidRPr="007A233F">
              <w:rPr>
                <w:rFonts w:asciiTheme="majorHAnsi" w:hAnsiTheme="majorHAnsi" w:cstheme="majorHAnsi"/>
                <w:b w:val="0"/>
                <w:bCs w:val="0"/>
                <w:color w:val="auto"/>
              </w:rPr>
              <w:t>or</w:t>
            </w:r>
            <w:proofErr w:type="gramEnd"/>
            <w:r w:rsidR="00183945" w:rsidRPr="007A233F">
              <w:rPr>
                <w:rFonts w:asciiTheme="majorHAnsi" w:hAnsiTheme="majorHAnsi" w:cstheme="majorHAnsi"/>
                <w:b w:val="0"/>
                <w:bCs w:val="0"/>
                <w:color w:val="auto"/>
              </w:rPr>
              <w:t xml:space="preserve"> organisations representing them was marginal in the program, when this is often key to progress on social inclusion.”</w:t>
            </w:r>
          </w:p>
        </w:tc>
        <w:tc>
          <w:tcPr>
            <w:tcW w:w="1288" w:type="dxa"/>
            <w:shd w:val="clear" w:color="auto" w:fill="auto"/>
          </w:tcPr>
          <w:p w14:paraId="1F3A9AB9" w14:textId="74AEA4D2" w:rsidR="003D38A5" w:rsidRPr="007A233F" w:rsidRDefault="005661B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Partially agree</w:t>
            </w:r>
          </w:p>
        </w:tc>
        <w:tc>
          <w:tcPr>
            <w:tcW w:w="4105" w:type="dxa"/>
            <w:shd w:val="clear" w:color="auto" w:fill="auto"/>
          </w:tcPr>
          <w:p w14:paraId="3EB22781" w14:textId="56D4E1CF" w:rsidR="003D38A5" w:rsidRPr="007A233F" w:rsidRDefault="005661B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notes that </w:t>
            </w:r>
            <w:r w:rsidR="00183945" w:rsidRPr="007A233F">
              <w:rPr>
                <w:rFonts w:asciiTheme="majorHAnsi" w:hAnsiTheme="majorHAnsi" w:cstheme="majorHAnsi"/>
              </w:rPr>
              <w:t xml:space="preserve">building government policies and procedures related to GBV and </w:t>
            </w:r>
            <w:r w:rsidR="00CD29CA" w:rsidRPr="007A233F">
              <w:rPr>
                <w:rFonts w:asciiTheme="majorHAnsi" w:hAnsiTheme="majorHAnsi" w:cstheme="majorHAnsi"/>
              </w:rPr>
              <w:t xml:space="preserve">disability services </w:t>
            </w:r>
            <w:r w:rsidR="00183945" w:rsidRPr="007A233F">
              <w:rPr>
                <w:rFonts w:asciiTheme="majorHAnsi" w:hAnsiTheme="majorHAnsi" w:cstheme="majorHAnsi"/>
              </w:rPr>
              <w:t xml:space="preserve">was </w:t>
            </w:r>
            <w:r w:rsidR="00BC4F43" w:rsidRPr="007A233F">
              <w:rPr>
                <w:rFonts w:asciiTheme="majorHAnsi" w:hAnsiTheme="majorHAnsi" w:cstheme="majorHAnsi"/>
              </w:rPr>
              <w:t xml:space="preserve">a </w:t>
            </w:r>
            <w:r w:rsidR="00183945" w:rsidRPr="007A233F">
              <w:rPr>
                <w:rFonts w:asciiTheme="majorHAnsi" w:hAnsiTheme="majorHAnsi" w:cstheme="majorHAnsi"/>
              </w:rPr>
              <w:t xml:space="preserve">major </w:t>
            </w:r>
            <w:r w:rsidR="00BC4F43" w:rsidRPr="007A233F">
              <w:rPr>
                <w:rFonts w:asciiTheme="majorHAnsi" w:hAnsiTheme="majorHAnsi" w:cstheme="majorHAnsi"/>
              </w:rPr>
              <w:t xml:space="preserve">focus </w:t>
            </w:r>
            <w:r w:rsidR="00183945" w:rsidRPr="007A233F">
              <w:rPr>
                <w:rFonts w:asciiTheme="majorHAnsi" w:hAnsiTheme="majorHAnsi" w:cstheme="majorHAnsi"/>
              </w:rPr>
              <w:t>of the ACCESS program</w:t>
            </w:r>
            <w:r w:rsidR="00BC4F43" w:rsidRPr="007A233F">
              <w:rPr>
                <w:rFonts w:asciiTheme="majorHAnsi" w:hAnsiTheme="majorHAnsi" w:cstheme="majorHAnsi"/>
              </w:rPr>
              <w:t>.</w:t>
            </w:r>
            <w:r w:rsidR="00183945" w:rsidRPr="007A233F">
              <w:rPr>
                <w:rFonts w:asciiTheme="majorHAnsi" w:hAnsiTheme="majorHAnsi" w:cstheme="majorHAnsi"/>
              </w:rPr>
              <w:t xml:space="preserve"> </w:t>
            </w:r>
            <w:r w:rsidR="007C4BD7" w:rsidRPr="007A233F">
              <w:rPr>
                <w:rFonts w:asciiTheme="majorHAnsi" w:hAnsiTheme="majorHAnsi" w:cstheme="majorHAnsi"/>
              </w:rPr>
              <w:t xml:space="preserve">With </w:t>
            </w:r>
            <w:r w:rsidR="00797438" w:rsidRPr="007A233F">
              <w:rPr>
                <w:rFonts w:asciiTheme="majorHAnsi" w:hAnsiTheme="majorHAnsi" w:cstheme="majorHAnsi"/>
              </w:rPr>
              <w:t xml:space="preserve">significant progress made on </w:t>
            </w:r>
            <w:r w:rsidR="00CB2A5F" w:rsidRPr="007A233F">
              <w:rPr>
                <w:rFonts w:asciiTheme="majorHAnsi" w:hAnsiTheme="majorHAnsi" w:cstheme="majorHAnsi"/>
              </w:rPr>
              <w:t>policy and procedural</w:t>
            </w:r>
            <w:r w:rsidR="007C4BD7" w:rsidRPr="007A233F">
              <w:rPr>
                <w:rFonts w:asciiTheme="majorHAnsi" w:hAnsiTheme="majorHAnsi" w:cstheme="majorHAnsi"/>
              </w:rPr>
              <w:t xml:space="preserve"> </w:t>
            </w:r>
            <w:r w:rsidR="00797438" w:rsidRPr="007A233F">
              <w:rPr>
                <w:rFonts w:asciiTheme="majorHAnsi" w:hAnsiTheme="majorHAnsi" w:cstheme="majorHAnsi"/>
              </w:rPr>
              <w:t>reform</w:t>
            </w:r>
            <w:r w:rsidR="00600834" w:rsidRPr="007A233F">
              <w:rPr>
                <w:rFonts w:asciiTheme="majorHAnsi" w:hAnsiTheme="majorHAnsi" w:cstheme="majorHAnsi"/>
              </w:rPr>
              <w:t>, DFAT</w:t>
            </w:r>
            <w:r w:rsidR="007C4BD7" w:rsidRPr="007A233F">
              <w:rPr>
                <w:rFonts w:asciiTheme="majorHAnsi" w:hAnsiTheme="majorHAnsi" w:cstheme="majorHAnsi"/>
              </w:rPr>
              <w:t xml:space="preserve"> </w:t>
            </w:r>
            <w:r w:rsidR="00183945" w:rsidRPr="007A233F">
              <w:rPr>
                <w:rFonts w:asciiTheme="majorHAnsi" w:hAnsiTheme="majorHAnsi" w:cstheme="majorHAnsi"/>
              </w:rPr>
              <w:t>acknowledges the successor program should shift to a greater focus on supporting clients directly, with actual service utilisation and demand.</w:t>
            </w:r>
          </w:p>
        </w:tc>
        <w:tc>
          <w:tcPr>
            <w:tcW w:w="2617" w:type="dxa"/>
            <w:shd w:val="clear" w:color="auto" w:fill="auto"/>
          </w:tcPr>
          <w:p w14:paraId="0E358FDF" w14:textId="07346C0E" w:rsidR="0017731A" w:rsidRPr="007A233F" w:rsidRDefault="0018394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The successor program design will shift to a greater focus on actual service utilisation and demand. </w:t>
            </w:r>
          </w:p>
          <w:p w14:paraId="53A26085" w14:textId="3B579ACD" w:rsidR="003D38A5" w:rsidRPr="007A233F" w:rsidRDefault="003D38A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751" w:type="dxa"/>
            <w:shd w:val="clear" w:color="auto" w:fill="auto"/>
          </w:tcPr>
          <w:p w14:paraId="175DB44C" w14:textId="6CE3751E" w:rsidR="003D38A5" w:rsidRPr="007A233F" w:rsidRDefault="0018394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2022-March 2023</w:t>
            </w:r>
          </w:p>
        </w:tc>
      </w:tr>
      <w:tr w:rsidR="007A233F" w:rsidRPr="007A233F" w14:paraId="3A01663B" w14:textId="77777777" w:rsidTr="00980F42">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tcBorders>
            <w:shd w:val="clear" w:color="auto" w:fill="auto"/>
          </w:tcPr>
          <w:p w14:paraId="09785291" w14:textId="26D5C991" w:rsidR="00E60D53" w:rsidRPr="007A233F" w:rsidRDefault="00E60D53" w:rsidP="007A233F">
            <w:pPr>
              <w:pStyle w:val="ListParagraph"/>
              <w:numPr>
                <w:ilvl w:val="0"/>
                <w:numId w:val="12"/>
              </w:numPr>
              <w:ind w:left="322"/>
              <w:rPr>
                <w:rFonts w:asciiTheme="majorHAnsi" w:hAnsiTheme="majorHAnsi" w:cstheme="majorHAnsi"/>
                <w:b w:val="0"/>
                <w:bCs w:val="0"/>
                <w:color w:val="auto"/>
              </w:rPr>
            </w:pPr>
            <w:r w:rsidRPr="007A233F">
              <w:rPr>
                <w:rFonts w:asciiTheme="majorHAnsi" w:hAnsiTheme="majorHAnsi" w:cstheme="majorHAnsi"/>
                <w:b w:val="0"/>
                <w:bCs w:val="0"/>
                <w:color w:val="auto"/>
              </w:rPr>
              <w:t>“A balanced approach to engagement at the national and sub-national level, and in strengthening the capacity of service providers to then support service delivery is required if changes in the services are to be realised</w:t>
            </w:r>
            <w:r w:rsidR="000A3F0F" w:rsidRPr="007A233F">
              <w:rPr>
                <w:rFonts w:asciiTheme="majorHAnsi" w:hAnsiTheme="majorHAnsi" w:cstheme="majorHAnsi"/>
                <w:b w:val="0"/>
                <w:bCs w:val="0"/>
                <w:color w:val="auto"/>
              </w:rPr>
              <w:t>.”</w:t>
            </w:r>
          </w:p>
          <w:p w14:paraId="743B1079" w14:textId="68043ED1" w:rsidR="00E60D53" w:rsidRPr="007A233F" w:rsidRDefault="00E60D53" w:rsidP="007A233F">
            <w:pPr>
              <w:ind w:left="38"/>
              <w:rPr>
                <w:rFonts w:asciiTheme="majorHAnsi" w:hAnsiTheme="majorHAnsi" w:cstheme="majorHAnsi"/>
                <w:b w:val="0"/>
                <w:bCs w:val="0"/>
                <w:color w:val="auto"/>
              </w:rPr>
            </w:pPr>
          </w:p>
        </w:tc>
        <w:tc>
          <w:tcPr>
            <w:tcW w:w="1288" w:type="dxa"/>
            <w:shd w:val="clear" w:color="auto" w:fill="auto"/>
          </w:tcPr>
          <w:p w14:paraId="18F3F636" w14:textId="0C68F7F4" w:rsidR="00E60D53" w:rsidRPr="007A233F" w:rsidRDefault="00183945" w:rsidP="00320FF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Partially agree </w:t>
            </w:r>
          </w:p>
        </w:tc>
        <w:tc>
          <w:tcPr>
            <w:tcW w:w="4105" w:type="dxa"/>
            <w:shd w:val="clear" w:color="auto" w:fill="auto"/>
          </w:tcPr>
          <w:p w14:paraId="6239280B" w14:textId="7A6FEB6C" w:rsidR="00E60D53" w:rsidRPr="007A233F" w:rsidRDefault="00183945" w:rsidP="00320FF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lang w:val="en-US"/>
              </w:rPr>
            </w:pPr>
            <w:r w:rsidRPr="007A233F">
              <w:rPr>
                <w:rFonts w:ascii="Calibri Light" w:hAnsi="Calibri Light" w:cs="Calibri Light"/>
              </w:rPr>
              <w:t xml:space="preserve">DFAT notes that a significant focus of the ACCESS program </w:t>
            </w:r>
            <w:proofErr w:type="gramStart"/>
            <w:r w:rsidRPr="007A233F">
              <w:rPr>
                <w:rFonts w:ascii="Calibri Light" w:hAnsi="Calibri Light" w:cs="Calibri Light"/>
              </w:rPr>
              <w:t>was  supporting</w:t>
            </w:r>
            <w:proofErr w:type="gramEnd"/>
            <w:r w:rsidRPr="007A233F">
              <w:rPr>
                <w:rFonts w:ascii="Calibri Light" w:hAnsi="Calibri Light" w:cs="Calibri Light"/>
              </w:rPr>
              <w:t xml:space="preserve"> national level reforms.  ACCESS’ purpose was to support implementation of existing standards/guidelines developed under its predecessor programs at service delivery levels rather than developing new ones. However, DFAT also notes the program </w:t>
            </w:r>
            <w:r w:rsidR="00F64976" w:rsidRPr="007A233F">
              <w:rPr>
                <w:rFonts w:ascii="Calibri Light" w:hAnsi="Calibri Light" w:cs="Calibri Light"/>
              </w:rPr>
              <w:t>worked in three target</w:t>
            </w:r>
            <w:r w:rsidRPr="007A233F">
              <w:rPr>
                <w:rFonts w:ascii="Calibri Light" w:hAnsi="Calibri Light" w:cs="Calibri Light"/>
              </w:rPr>
              <w:t xml:space="preserve"> provinces where key subnational level interventions were developed and piloted, including the development of GBV response working groups at provincial and district level, capacity building targeting of frontline service providers, and subnational disability coordination among others. </w:t>
            </w:r>
          </w:p>
        </w:tc>
        <w:tc>
          <w:tcPr>
            <w:tcW w:w="2617" w:type="dxa"/>
            <w:shd w:val="clear" w:color="auto" w:fill="auto"/>
          </w:tcPr>
          <w:p w14:paraId="45C21133" w14:textId="5EC2EB05" w:rsidR="00E60D53" w:rsidRPr="007A233F" w:rsidRDefault="00183945" w:rsidP="00320FF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The successor program design will include a greater </w:t>
            </w:r>
            <w:r w:rsidR="00DB0837" w:rsidRPr="007A233F">
              <w:rPr>
                <w:rFonts w:asciiTheme="majorHAnsi" w:hAnsiTheme="majorHAnsi" w:cstheme="majorHAnsi"/>
              </w:rPr>
              <w:t>focus at the</w:t>
            </w:r>
            <w:r w:rsidRPr="007A233F">
              <w:rPr>
                <w:rFonts w:asciiTheme="majorHAnsi" w:hAnsiTheme="majorHAnsi" w:cstheme="majorHAnsi"/>
              </w:rPr>
              <w:t xml:space="preserve"> subnational</w:t>
            </w:r>
            <w:r w:rsidR="00DB0837" w:rsidRPr="007A233F">
              <w:rPr>
                <w:rFonts w:asciiTheme="majorHAnsi" w:hAnsiTheme="majorHAnsi" w:cstheme="majorHAnsi"/>
              </w:rPr>
              <w:t xml:space="preserve"> level</w:t>
            </w:r>
            <w:r w:rsidRPr="007A233F">
              <w:rPr>
                <w:rFonts w:asciiTheme="majorHAnsi" w:hAnsiTheme="majorHAnsi" w:cstheme="majorHAnsi"/>
              </w:rPr>
              <w:t xml:space="preserve">. </w:t>
            </w:r>
          </w:p>
        </w:tc>
        <w:tc>
          <w:tcPr>
            <w:tcW w:w="1751" w:type="dxa"/>
            <w:shd w:val="clear" w:color="auto" w:fill="auto"/>
          </w:tcPr>
          <w:p w14:paraId="411ABE40" w14:textId="27503231" w:rsidR="00E60D53" w:rsidRPr="007A233F" w:rsidRDefault="00183945" w:rsidP="00320FF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2022-March 2023</w:t>
            </w:r>
          </w:p>
        </w:tc>
      </w:tr>
      <w:tr w:rsidR="007A233F" w:rsidRPr="007A233F" w14:paraId="5F129E08" w14:textId="77777777" w:rsidTr="0098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bottom w:val="single" w:sz="4" w:space="0" w:color="auto"/>
            </w:tcBorders>
            <w:shd w:val="clear" w:color="auto" w:fill="auto"/>
          </w:tcPr>
          <w:p w14:paraId="3C5ADB4A" w14:textId="0984F944" w:rsidR="00E60D53" w:rsidRPr="007A233F" w:rsidRDefault="00E60D53" w:rsidP="007A233F">
            <w:pPr>
              <w:pStyle w:val="ListParagraph"/>
              <w:numPr>
                <w:ilvl w:val="0"/>
                <w:numId w:val="12"/>
              </w:numPr>
              <w:ind w:left="322"/>
              <w:rPr>
                <w:rFonts w:asciiTheme="majorHAnsi" w:hAnsiTheme="majorHAnsi" w:cstheme="majorHAnsi"/>
                <w:b w:val="0"/>
                <w:bCs w:val="0"/>
                <w:color w:val="auto"/>
              </w:rPr>
            </w:pPr>
            <w:r w:rsidRPr="007A233F">
              <w:rPr>
                <w:rFonts w:asciiTheme="majorHAnsi" w:hAnsiTheme="majorHAnsi" w:cstheme="majorHAnsi"/>
                <w:b w:val="0"/>
                <w:bCs w:val="0"/>
                <w:color w:val="auto"/>
              </w:rPr>
              <w:t>“The limited engagement of Ministry of Health (MoH) poses constraints for service delivery, staffing and functioning referral systems for both people with disabilities and survivors of violence.”</w:t>
            </w:r>
          </w:p>
        </w:tc>
        <w:tc>
          <w:tcPr>
            <w:tcW w:w="1288" w:type="dxa"/>
            <w:tcBorders>
              <w:bottom w:val="single" w:sz="4" w:space="0" w:color="auto"/>
            </w:tcBorders>
            <w:shd w:val="clear" w:color="auto" w:fill="auto"/>
          </w:tcPr>
          <w:p w14:paraId="049B7D8E" w14:textId="53CC02FC" w:rsidR="00E60D53" w:rsidRPr="007A233F" w:rsidRDefault="0018394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Agree</w:t>
            </w:r>
          </w:p>
        </w:tc>
        <w:tc>
          <w:tcPr>
            <w:tcW w:w="4105" w:type="dxa"/>
            <w:tcBorders>
              <w:bottom w:val="single" w:sz="4" w:space="0" w:color="auto"/>
            </w:tcBorders>
            <w:shd w:val="clear" w:color="auto" w:fill="auto"/>
          </w:tcPr>
          <w:p w14:paraId="5C2C51A1" w14:textId="1E66C717" w:rsidR="00E60D53" w:rsidRPr="007A233F" w:rsidRDefault="00183945" w:rsidP="00320FF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A233F">
              <w:rPr>
                <w:rFonts w:ascii="Calibri Light" w:hAnsi="Calibri Light" w:cs="Calibri Light"/>
              </w:rPr>
              <w:t xml:space="preserve">DFAT agrees that greater coordination with the Ministry of Health would be beneficial for program outcomes. </w:t>
            </w:r>
          </w:p>
        </w:tc>
        <w:tc>
          <w:tcPr>
            <w:tcW w:w="2617" w:type="dxa"/>
            <w:tcBorders>
              <w:bottom w:val="single" w:sz="4" w:space="0" w:color="auto"/>
            </w:tcBorders>
            <w:shd w:val="clear" w:color="auto" w:fill="auto"/>
          </w:tcPr>
          <w:p w14:paraId="2B446B4D" w14:textId="04FD4AFA" w:rsidR="00E60D53" w:rsidRPr="007A233F" w:rsidRDefault="0018394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Opportunities for greater engagement will be explored in the successor program design</w:t>
            </w:r>
            <w:r w:rsidR="002F2840" w:rsidRPr="007A233F">
              <w:rPr>
                <w:rFonts w:asciiTheme="majorHAnsi" w:hAnsiTheme="majorHAnsi" w:cstheme="majorHAnsi"/>
              </w:rPr>
              <w:t xml:space="preserve">, particularly </w:t>
            </w:r>
            <w:r w:rsidR="00FC53B1" w:rsidRPr="007A233F">
              <w:rPr>
                <w:rFonts w:asciiTheme="majorHAnsi" w:hAnsiTheme="majorHAnsi" w:cstheme="majorHAnsi"/>
              </w:rPr>
              <w:t>related to the</w:t>
            </w:r>
            <w:r w:rsidR="002F2840" w:rsidRPr="007A233F">
              <w:rPr>
                <w:rFonts w:asciiTheme="majorHAnsi" w:hAnsiTheme="majorHAnsi" w:cstheme="majorHAnsi"/>
              </w:rPr>
              <w:t xml:space="preserve"> management of physical rehabilitation centres</w:t>
            </w:r>
            <w:r w:rsidRPr="007A233F">
              <w:rPr>
                <w:rFonts w:asciiTheme="majorHAnsi" w:hAnsiTheme="majorHAnsi" w:cstheme="majorHAnsi"/>
              </w:rPr>
              <w:t xml:space="preserve">. </w:t>
            </w:r>
          </w:p>
        </w:tc>
        <w:tc>
          <w:tcPr>
            <w:tcW w:w="1751" w:type="dxa"/>
            <w:tcBorders>
              <w:bottom w:val="single" w:sz="4" w:space="0" w:color="auto"/>
            </w:tcBorders>
            <w:shd w:val="clear" w:color="auto" w:fill="auto"/>
          </w:tcPr>
          <w:p w14:paraId="7AD52C54" w14:textId="6C8DBC4B" w:rsidR="00E60D53" w:rsidRPr="007A233F" w:rsidRDefault="00183945" w:rsidP="00320F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2022-March 2023</w:t>
            </w:r>
          </w:p>
        </w:tc>
      </w:tr>
    </w:tbl>
    <w:p w14:paraId="5D3D4564" w14:textId="249CEA93" w:rsidR="003D38A5" w:rsidRDefault="003D38A5" w:rsidP="00320FF4">
      <w:pPr>
        <w:jc w:val="both"/>
      </w:pPr>
    </w:p>
    <w:p w14:paraId="32DFC605" w14:textId="279E7B8A" w:rsidR="004D7B87" w:rsidRPr="00980F42" w:rsidRDefault="004D7B87" w:rsidP="00320FF4">
      <w:pPr>
        <w:jc w:val="both"/>
        <w:rPr>
          <w:rFonts w:asciiTheme="majorHAnsi" w:hAnsiTheme="majorHAnsi" w:cstheme="majorHAnsi"/>
          <w:b/>
          <w:bCs/>
        </w:rPr>
      </w:pPr>
      <w:r w:rsidRPr="00980F42">
        <w:rPr>
          <w:rFonts w:asciiTheme="majorHAnsi" w:hAnsiTheme="majorHAnsi" w:cstheme="majorHAnsi"/>
          <w:b/>
          <w:bCs/>
        </w:rPr>
        <w:t>EFFECTIVENESS</w:t>
      </w:r>
    </w:p>
    <w:tbl>
      <w:tblPr>
        <w:tblStyle w:val="GridTable5Dark-Accent11"/>
        <w:tblW w:w="13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88"/>
        <w:gridCol w:w="4105"/>
        <w:gridCol w:w="2617"/>
        <w:gridCol w:w="1751"/>
      </w:tblGrid>
      <w:tr w:rsidR="00D51B36" w:rsidRPr="007A233F" w14:paraId="067B6D6B" w14:textId="77777777" w:rsidTr="00980F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right w:val="single" w:sz="4" w:space="0" w:color="auto"/>
            </w:tcBorders>
            <w:shd w:val="clear" w:color="auto" w:fill="auto"/>
          </w:tcPr>
          <w:p w14:paraId="79FB64E0" w14:textId="3449DFB0" w:rsidR="00D51B36" w:rsidRPr="007A233F" w:rsidRDefault="00D51B36" w:rsidP="00D51B36">
            <w:pPr>
              <w:pStyle w:val="ListParagraph"/>
              <w:numPr>
                <w:ilvl w:val="0"/>
                <w:numId w:val="12"/>
              </w:numPr>
              <w:ind w:left="322"/>
              <w:rPr>
                <w:rFonts w:asciiTheme="majorHAnsi" w:hAnsiTheme="majorHAnsi" w:cstheme="majorHAnsi"/>
              </w:rPr>
            </w:pPr>
            <w:r w:rsidRPr="00EF08AC">
              <w:rPr>
                <w:rFonts w:asciiTheme="majorHAnsi" w:hAnsiTheme="majorHAnsi" w:cstheme="majorHAnsi"/>
                <w:color w:val="auto"/>
              </w:rPr>
              <w:t>Key Findings</w:t>
            </w:r>
          </w:p>
        </w:tc>
        <w:tc>
          <w:tcPr>
            <w:tcW w:w="1288" w:type="dxa"/>
            <w:tcBorders>
              <w:top w:val="single" w:sz="4" w:space="0" w:color="auto"/>
              <w:left w:val="single" w:sz="4" w:space="0" w:color="auto"/>
              <w:right w:val="single" w:sz="4" w:space="0" w:color="auto"/>
            </w:tcBorders>
            <w:shd w:val="clear" w:color="auto" w:fill="auto"/>
          </w:tcPr>
          <w:p w14:paraId="3C59EBA6" w14:textId="11172720" w:rsidR="00D51B36" w:rsidRPr="007A233F" w:rsidRDefault="00D51B36" w:rsidP="00D51B36">
            <w:pPr>
              <w:ind w:left="38"/>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F08AC">
              <w:rPr>
                <w:rFonts w:asciiTheme="majorHAnsi" w:hAnsiTheme="majorHAnsi" w:cstheme="majorHAnsi"/>
                <w:color w:val="auto"/>
              </w:rPr>
              <w:t>Response</w:t>
            </w:r>
          </w:p>
        </w:tc>
        <w:tc>
          <w:tcPr>
            <w:tcW w:w="4105" w:type="dxa"/>
            <w:tcBorders>
              <w:top w:val="single" w:sz="4" w:space="0" w:color="auto"/>
              <w:left w:val="single" w:sz="4" w:space="0" w:color="auto"/>
              <w:right w:val="single" w:sz="4" w:space="0" w:color="auto"/>
            </w:tcBorders>
            <w:shd w:val="clear" w:color="auto" w:fill="auto"/>
          </w:tcPr>
          <w:p w14:paraId="60B205F6" w14:textId="4044B557" w:rsidR="00D51B36" w:rsidRPr="007A233F" w:rsidRDefault="00D51B36" w:rsidP="00D51B36">
            <w:pPr>
              <w:ind w:left="38"/>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F08AC">
              <w:rPr>
                <w:rFonts w:asciiTheme="majorHAnsi" w:hAnsiTheme="majorHAnsi" w:cstheme="majorHAnsi"/>
                <w:color w:val="auto"/>
              </w:rPr>
              <w:t>Explanation</w:t>
            </w:r>
          </w:p>
        </w:tc>
        <w:tc>
          <w:tcPr>
            <w:tcW w:w="2617" w:type="dxa"/>
            <w:tcBorders>
              <w:top w:val="single" w:sz="4" w:space="0" w:color="auto"/>
              <w:left w:val="single" w:sz="4" w:space="0" w:color="auto"/>
              <w:right w:val="single" w:sz="4" w:space="0" w:color="auto"/>
            </w:tcBorders>
            <w:shd w:val="clear" w:color="auto" w:fill="auto"/>
          </w:tcPr>
          <w:p w14:paraId="289B9339" w14:textId="26EDA5B8" w:rsidR="00D51B36" w:rsidRPr="007A233F" w:rsidRDefault="00D51B36" w:rsidP="00D51B36">
            <w:pPr>
              <w:ind w:left="38"/>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F08AC">
              <w:rPr>
                <w:rFonts w:asciiTheme="majorHAnsi" w:hAnsiTheme="majorHAnsi" w:cstheme="majorHAnsi"/>
                <w:color w:val="auto"/>
              </w:rPr>
              <w:t>Action Plan</w:t>
            </w:r>
          </w:p>
        </w:tc>
        <w:tc>
          <w:tcPr>
            <w:tcW w:w="1751" w:type="dxa"/>
            <w:tcBorders>
              <w:top w:val="single" w:sz="4" w:space="0" w:color="auto"/>
              <w:left w:val="single" w:sz="4" w:space="0" w:color="auto"/>
              <w:right w:val="single" w:sz="4" w:space="0" w:color="auto"/>
            </w:tcBorders>
            <w:shd w:val="clear" w:color="auto" w:fill="auto"/>
          </w:tcPr>
          <w:p w14:paraId="736BB7E9" w14:textId="05FB58E4" w:rsidR="00D51B36" w:rsidRPr="007A233F" w:rsidRDefault="00D51B36" w:rsidP="00D51B36">
            <w:pPr>
              <w:ind w:left="38"/>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F08AC">
              <w:rPr>
                <w:rFonts w:asciiTheme="majorHAnsi" w:hAnsiTheme="majorHAnsi" w:cstheme="majorHAnsi"/>
                <w:color w:val="auto"/>
              </w:rPr>
              <w:t>Timeline</w:t>
            </w:r>
          </w:p>
        </w:tc>
      </w:tr>
      <w:tr w:rsidR="00D51B36" w:rsidRPr="007A233F" w14:paraId="557EBBD9" w14:textId="77777777" w:rsidTr="0098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tcBorders>
            <w:shd w:val="clear" w:color="auto" w:fill="auto"/>
          </w:tcPr>
          <w:p w14:paraId="2FF243B3" w14:textId="77777777" w:rsidR="00D51B36" w:rsidRPr="007A233F" w:rsidRDefault="00D51B36" w:rsidP="00F35BD5">
            <w:pPr>
              <w:pStyle w:val="ListParagraph"/>
              <w:numPr>
                <w:ilvl w:val="0"/>
                <w:numId w:val="12"/>
              </w:numPr>
              <w:ind w:left="322"/>
              <w:rPr>
                <w:rFonts w:asciiTheme="majorHAnsi" w:hAnsiTheme="majorHAnsi" w:cstheme="majorHAnsi"/>
                <w:b w:val="0"/>
                <w:bCs w:val="0"/>
                <w:color w:val="auto"/>
              </w:rPr>
            </w:pPr>
            <w:r w:rsidRPr="007A233F">
              <w:rPr>
                <w:rFonts w:asciiTheme="majorHAnsi" w:hAnsiTheme="majorHAnsi" w:cstheme="majorHAnsi"/>
                <w:b w:val="0"/>
                <w:bCs w:val="0"/>
                <w:color w:val="auto"/>
              </w:rPr>
              <w:t>“Multiple changes to the ACCESS Theory of Change (</w:t>
            </w:r>
            <w:proofErr w:type="spellStart"/>
            <w:r w:rsidRPr="007A233F">
              <w:rPr>
                <w:rFonts w:asciiTheme="majorHAnsi" w:hAnsiTheme="majorHAnsi" w:cstheme="majorHAnsi"/>
                <w:b w:val="0"/>
                <w:bCs w:val="0"/>
                <w:color w:val="auto"/>
              </w:rPr>
              <w:t>ToC</w:t>
            </w:r>
            <w:proofErr w:type="spellEnd"/>
            <w:r w:rsidRPr="007A233F">
              <w:rPr>
                <w:rFonts w:asciiTheme="majorHAnsi" w:hAnsiTheme="majorHAnsi" w:cstheme="majorHAnsi"/>
                <w:b w:val="0"/>
                <w:bCs w:val="0"/>
                <w:color w:val="auto"/>
              </w:rPr>
              <w:t>) mean it is not straightforward to measure effectiveness”</w:t>
            </w:r>
          </w:p>
        </w:tc>
        <w:tc>
          <w:tcPr>
            <w:tcW w:w="1288" w:type="dxa"/>
            <w:shd w:val="clear" w:color="auto" w:fill="auto"/>
          </w:tcPr>
          <w:p w14:paraId="7C1C07D6" w14:textId="77777777" w:rsidR="00D51B36" w:rsidRPr="007A233F" w:rsidRDefault="00D51B36" w:rsidP="00F35BD5">
            <w:pPr>
              <w:ind w:left="3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 Partially agree</w:t>
            </w:r>
          </w:p>
        </w:tc>
        <w:tc>
          <w:tcPr>
            <w:tcW w:w="4105" w:type="dxa"/>
            <w:shd w:val="clear" w:color="auto" w:fill="auto"/>
          </w:tcPr>
          <w:p w14:paraId="5A658677" w14:textId="77777777" w:rsidR="00D51B36" w:rsidRPr="007A233F" w:rsidRDefault="00D51B36" w:rsidP="00F35BD5">
            <w:pPr>
              <w:ind w:left="3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clarifies that all changes made to the program Theory of Change were made in close consultation with, and approval of, DFAT, in response to the evolving political economy of the program context, foreclosing some of the opportunities identified in the initial program design. However, DFAT also recognizes that changes at the EOPO level make a linear assessment of program performance from program start to finish challenging.   </w:t>
            </w:r>
          </w:p>
        </w:tc>
        <w:tc>
          <w:tcPr>
            <w:tcW w:w="2617" w:type="dxa"/>
            <w:shd w:val="clear" w:color="auto" w:fill="auto"/>
          </w:tcPr>
          <w:p w14:paraId="03E46876" w14:textId="77777777" w:rsidR="00D51B36" w:rsidRPr="007A233F" w:rsidRDefault="00D51B36" w:rsidP="00F35BD5">
            <w:pPr>
              <w:ind w:left="3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will ensure the successor program design includes EOPOs that enable the future program to pursue consistent goals throughout the lifetime of the program, whilst also enabling significant flexibility in the program approach. </w:t>
            </w:r>
          </w:p>
          <w:p w14:paraId="6C88398D" w14:textId="77777777" w:rsidR="00D51B36" w:rsidRPr="007A233F" w:rsidRDefault="00D51B36" w:rsidP="00F35BD5">
            <w:pPr>
              <w:ind w:left="3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751" w:type="dxa"/>
            <w:shd w:val="clear" w:color="auto" w:fill="auto"/>
          </w:tcPr>
          <w:p w14:paraId="4114C963" w14:textId="77777777" w:rsidR="00D51B36" w:rsidRPr="007A233F" w:rsidRDefault="00D51B36" w:rsidP="00F35BD5">
            <w:pPr>
              <w:ind w:left="3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2022-March 2023</w:t>
            </w:r>
          </w:p>
        </w:tc>
      </w:tr>
      <w:tr w:rsidR="00D51B36" w:rsidRPr="007A233F" w14:paraId="75CF3AA5" w14:textId="77777777" w:rsidTr="00980F42">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tcBorders>
            <w:shd w:val="clear" w:color="auto" w:fill="auto"/>
          </w:tcPr>
          <w:p w14:paraId="79F94859" w14:textId="77777777" w:rsidR="00D51B36" w:rsidRPr="007A233F" w:rsidRDefault="00D51B36" w:rsidP="00F35BD5">
            <w:pPr>
              <w:pStyle w:val="ListParagraph"/>
              <w:numPr>
                <w:ilvl w:val="0"/>
                <w:numId w:val="12"/>
              </w:numPr>
              <w:ind w:left="322"/>
              <w:rPr>
                <w:rFonts w:asciiTheme="majorHAnsi" w:hAnsiTheme="majorHAnsi" w:cstheme="majorHAnsi"/>
                <w:b w:val="0"/>
                <w:bCs w:val="0"/>
                <w:color w:val="auto"/>
              </w:rPr>
            </w:pPr>
            <w:r w:rsidRPr="007A233F">
              <w:rPr>
                <w:rFonts w:asciiTheme="majorHAnsi" w:hAnsiTheme="majorHAnsi" w:cstheme="majorHAnsi"/>
                <w:b w:val="0"/>
                <w:bCs w:val="0"/>
                <w:color w:val="auto"/>
              </w:rPr>
              <w:t xml:space="preserve"> “Australia should continually re-assess its engagement in mediation services as mediation is not survivor centred, does not treat violence as a criminal offense and it is inconsistent with international guidance.”</w:t>
            </w:r>
          </w:p>
          <w:p w14:paraId="6B597A56" w14:textId="77777777" w:rsidR="00D51B36" w:rsidRPr="007A233F" w:rsidRDefault="00D51B36" w:rsidP="00F35BD5">
            <w:pPr>
              <w:pStyle w:val="ListParagraph"/>
              <w:ind w:left="177" w:hanging="142"/>
              <w:rPr>
                <w:rFonts w:asciiTheme="majorHAnsi" w:hAnsiTheme="majorHAnsi" w:cstheme="majorHAnsi"/>
                <w:b w:val="0"/>
                <w:bCs w:val="0"/>
                <w:color w:val="auto"/>
              </w:rPr>
            </w:pPr>
          </w:p>
        </w:tc>
        <w:tc>
          <w:tcPr>
            <w:tcW w:w="1288" w:type="dxa"/>
            <w:shd w:val="clear" w:color="auto" w:fill="auto"/>
          </w:tcPr>
          <w:p w14:paraId="62B726C2"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Agree</w:t>
            </w:r>
          </w:p>
        </w:tc>
        <w:tc>
          <w:tcPr>
            <w:tcW w:w="4105" w:type="dxa"/>
            <w:shd w:val="clear" w:color="auto" w:fill="auto"/>
          </w:tcPr>
          <w:p w14:paraId="2756C183"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A233F">
              <w:rPr>
                <w:rFonts w:ascii="Calibri Light" w:hAnsi="Calibri Light" w:cs="Calibri Light"/>
              </w:rPr>
              <w:t xml:space="preserve">DFAT agrees with this finding and will not be supporting mediation services in Cambodia going forward. </w:t>
            </w:r>
          </w:p>
        </w:tc>
        <w:tc>
          <w:tcPr>
            <w:tcW w:w="2617" w:type="dxa"/>
            <w:shd w:val="clear" w:color="auto" w:fill="auto"/>
          </w:tcPr>
          <w:p w14:paraId="464A7AAF"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The successor program design will not include ongoing support for mediation services. </w:t>
            </w:r>
          </w:p>
        </w:tc>
        <w:tc>
          <w:tcPr>
            <w:tcW w:w="1751" w:type="dxa"/>
            <w:shd w:val="clear" w:color="auto" w:fill="auto"/>
          </w:tcPr>
          <w:p w14:paraId="325158FA"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 ongoing</w:t>
            </w:r>
          </w:p>
        </w:tc>
      </w:tr>
      <w:tr w:rsidR="00D51B36" w:rsidRPr="007A233F" w14:paraId="269E4E96" w14:textId="77777777" w:rsidTr="00980F42">
        <w:trPr>
          <w:cnfStyle w:val="000000100000" w:firstRow="0" w:lastRow="0" w:firstColumn="0" w:lastColumn="0" w:oddVBand="0" w:evenVBand="0" w:oddHBand="1"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tcBorders>
            <w:shd w:val="clear" w:color="auto" w:fill="auto"/>
          </w:tcPr>
          <w:p w14:paraId="2A09C541" w14:textId="77777777" w:rsidR="00D51B36" w:rsidRPr="007A233F" w:rsidRDefault="00D51B36" w:rsidP="00F35BD5">
            <w:pPr>
              <w:pStyle w:val="ListParagraph"/>
              <w:numPr>
                <w:ilvl w:val="0"/>
                <w:numId w:val="12"/>
              </w:numPr>
              <w:ind w:left="322"/>
              <w:rPr>
                <w:rFonts w:asciiTheme="majorHAnsi" w:hAnsiTheme="majorHAnsi" w:cstheme="majorHAnsi"/>
                <w:b w:val="0"/>
                <w:bCs w:val="0"/>
                <w:color w:val="auto"/>
              </w:rPr>
            </w:pPr>
            <w:r w:rsidRPr="007A233F">
              <w:rPr>
                <w:rFonts w:asciiTheme="majorHAnsi" w:hAnsiTheme="majorHAnsi" w:cstheme="majorHAnsi"/>
                <w:b w:val="0"/>
                <w:bCs w:val="0"/>
                <w:color w:val="auto"/>
              </w:rPr>
              <w:t>“On the original PFM-related EOPO, despite efforts, ACCESS was ultimately not effective. On the best available evidence, ACCESS made only minor progress against the original PFM EOPO.”</w:t>
            </w:r>
          </w:p>
        </w:tc>
        <w:tc>
          <w:tcPr>
            <w:tcW w:w="1288" w:type="dxa"/>
            <w:shd w:val="clear" w:color="auto" w:fill="auto"/>
          </w:tcPr>
          <w:p w14:paraId="53E10516"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Agree</w:t>
            </w:r>
          </w:p>
        </w:tc>
        <w:tc>
          <w:tcPr>
            <w:tcW w:w="4105" w:type="dxa"/>
            <w:shd w:val="clear" w:color="auto" w:fill="auto"/>
          </w:tcPr>
          <w:p w14:paraId="7A8CF8DA"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agrees with the reviewers that the original assumptions included in the ACCESS design regarding the progress that could be made on PFM through the program were unrealistic. </w:t>
            </w:r>
          </w:p>
          <w:p w14:paraId="0D33B790"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415C63D"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617" w:type="dxa"/>
            <w:shd w:val="clear" w:color="auto" w:fill="auto"/>
          </w:tcPr>
          <w:p w14:paraId="2262CB1C"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The successor program design will consider whether a PFM component/strategy should be included. </w:t>
            </w:r>
          </w:p>
          <w:p w14:paraId="4316A672"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751" w:type="dxa"/>
            <w:shd w:val="clear" w:color="auto" w:fill="auto"/>
          </w:tcPr>
          <w:p w14:paraId="56FC42DF"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2022-March 2023</w:t>
            </w:r>
          </w:p>
        </w:tc>
      </w:tr>
      <w:tr w:rsidR="00D51B36" w:rsidRPr="007A233F" w14:paraId="3275BEE7" w14:textId="77777777" w:rsidTr="001C1E37">
        <w:trPr>
          <w:trHeight w:val="4388"/>
        </w:trPr>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tcBorders>
            <w:shd w:val="clear" w:color="auto" w:fill="auto"/>
          </w:tcPr>
          <w:p w14:paraId="2239A7B6" w14:textId="77777777" w:rsidR="00D51B36" w:rsidRPr="007A233F" w:rsidRDefault="00D51B36" w:rsidP="00F35BD5">
            <w:pPr>
              <w:pStyle w:val="ListParagraph"/>
              <w:numPr>
                <w:ilvl w:val="0"/>
                <w:numId w:val="12"/>
              </w:numPr>
              <w:ind w:left="322"/>
              <w:rPr>
                <w:rFonts w:asciiTheme="majorHAnsi" w:hAnsiTheme="majorHAnsi" w:cstheme="majorHAnsi"/>
                <w:b w:val="0"/>
                <w:bCs w:val="0"/>
                <w:color w:val="auto"/>
              </w:rPr>
            </w:pPr>
            <w:r w:rsidRPr="007A233F">
              <w:rPr>
                <w:rFonts w:asciiTheme="majorHAnsi" w:hAnsiTheme="majorHAnsi" w:cstheme="majorHAnsi"/>
                <w:b w:val="0"/>
                <w:bCs w:val="0"/>
                <w:color w:val="auto"/>
              </w:rPr>
              <w:lastRenderedPageBreak/>
              <w:t xml:space="preserve"> “On the EOPO relating to services, ACCESS was effective in improving the coverage and quality of services… [ACCESS] led and facilitated partner input into the development of sectoral and facility-based guidelines and standards, such as for PRC management and for GBV essential service standards – thus making a major contribution to quality. The combination of ACCESS’s technical assistance to the RGC on the enabling environment, complemented by IP work on subnational service delivery has been an effective strategy for advancing the coverage and quality.”</w:t>
            </w:r>
          </w:p>
        </w:tc>
        <w:tc>
          <w:tcPr>
            <w:tcW w:w="1288" w:type="dxa"/>
            <w:shd w:val="clear" w:color="auto" w:fill="auto"/>
          </w:tcPr>
          <w:p w14:paraId="18E3B514"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Agree</w:t>
            </w:r>
          </w:p>
        </w:tc>
        <w:tc>
          <w:tcPr>
            <w:tcW w:w="4105" w:type="dxa"/>
            <w:shd w:val="clear" w:color="auto" w:fill="auto"/>
          </w:tcPr>
          <w:p w14:paraId="72A69070"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agrees that ACCESS has been effective in this area. </w:t>
            </w:r>
          </w:p>
          <w:p w14:paraId="7B000029"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617" w:type="dxa"/>
            <w:shd w:val="clear" w:color="auto" w:fill="auto"/>
          </w:tcPr>
          <w:p w14:paraId="4A131F41"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will ensure the success of the ACCESS program in improving the coverage and quality of services is continued and built upon in the successor program design. </w:t>
            </w:r>
          </w:p>
        </w:tc>
        <w:tc>
          <w:tcPr>
            <w:tcW w:w="1751" w:type="dxa"/>
            <w:shd w:val="clear" w:color="auto" w:fill="auto"/>
          </w:tcPr>
          <w:p w14:paraId="5AA2CBEA"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2022-March 2023</w:t>
            </w:r>
          </w:p>
        </w:tc>
      </w:tr>
      <w:tr w:rsidR="00D51B36" w:rsidRPr="007A233F" w14:paraId="710C34EC" w14:textId="77777777" w:rsidTr="00980F42">
        <w:trPr>
          <w:cnfStyle w:val="000000100000" w:firstRow="0" w:lastRow="0" w:firstColumn="0" w:lastColumn="0" w:oddVBand="0" w:evenVBand="0" w:oddHBand="1"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tcBorders>
            <w:shd w:val="clear" w:color="auto" w:fill="auto"/>
          </w:tcPr>
          <w:p w14:paraId="6A297729" w14:textId="77777777" w:rsidR="00D51B36" w:rsidRPr="007A233F" w:rsidRDefault="00D51B36" w:rsidP="00F35BD5">
            <w:pPr>
              <w:pStyle w:val="ListParagraph"/>
              <w:numPr>
                <w:ilvl w:val="0"/>
                <w:numId w:val="12"/>
              </w:numPr>
              <w:ind w:left="322"/>
              <w:rPr>
                <w:rFonts w:asciiTheme="majorHAnsi" w:hAnsiTheme="majorHAnsi" w:cstheme="majorHAnsi"/>
                <w:b w:val="0"/>
                <w:bCs w:val="0"/>
                <w:color w:val="auto"/>
              </w:rPr>
            </w:pPr>
            <w:r w:rsidRPr="007A233F">
              <w:rPr>
                <w:rFonts w:asciiTheme="majorHAnsi" w:hAnsiTheme="majorHAnsi" w:cstheme="majorHAnsi"/>
                <w:b w:val="0"/>
                <w:bCs w:val="0"/>
                <w:color w:val="auto"/>
              </w:rPr>
              <w:t xml:space="preserve">“Inclusiveness in service delivery was mostly confined to the work of CARE Cambodia with Indigenous populations in </w:t>
            </w:r>
            <w:proofErr w:type="spellStart"/>
            <w:r w:rsidRPr="007A233F">
              <w:rPr>
                <w:rFonts w:asciiTheme="majorHAnsi" w:hAnsiTheme="majorHAnsi" w:cstheme="majorHAnsi"/>
                <w:b w:val="0"/>
                <w:bCs w:val="0"/>
                <w:color w:val="auto"/>
              </w:rPr>
              <w:t>Ratanakiri</w:t>
            </w:r>
            <w:proofErr w:type="spellEnd"/>
            <w:r w:rsidRPr="007A233F">
              <w:rPr>
                <w:rFonts w:asciiTheme="majorHAnsi" w:hAnsiTheme="majorHAnsi" w:cstheme="majorHAnsi"/>
                <w:b w:val="0"/>
                <w:bCs w:val="0"/>
                <w:color w:val="auto"/>
              </w:rPr>
              <w:t xml:space="preserve"> province. Inclusiveness in terms of gender responsiveness and disability inclusiveness, and attention to diversity in disabilities has been more limited, albeit increasing over time …More on inclusiveness could have been done earlier in the program, but this was somewhat hampered by a lack of specialist resourcing…GESI staffing (national and international advisers) was only appointed in Year 4 of the program.”</w:t>
            </w:r>
          </w:p>
        </w:tc>
        <w:tc>
          <w:tcPr>
            <w:tcW w:w="1288" w:type="dxa"/>
            <w:shd w:val="clear" w:color="auto" w:fill="auto"/>
          </w:tcPr>
          <w:p w14:paraId="53CD5887"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Partially agree.</w:t>
            </w:r>
          </w:p>
        </w:tc>
        <w:tc>
          <w:tcPr>
            <w:tcW w:w="4105" w:type="dxa"/>
            <w:shd w:val="clear" w:color="auto" w:fill="auto"/>
          </w:tcPr>
          <w:p w14:paraId="07CA1DD2" w14:textId="77777777" w:rsidR="00D51B36" w:rsidRPr="007A233F" w:rsidRDefault="00D51B36" w:rsidP="00F35BD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A233F">
              <w:rPr>
                <w:rFonts w:asciiTheme="majorHAnsi" w:hAnsiTheme="majorHAnsi" w:cstheme="majorHAnsi"/>
              </w:rPr>
              <w:t xml:space="preserve">DFAT agrees </w:t>
            </w:r>
            <w:r w:rsidRPr="007A233F">
              <w:rPr>
                <w:rFonts w:ascii="Calibri Light" w:hAnsi="Calibri Light" w:cs="Calibri Light"/>
              </w:rPr>
              <w:t xml:space="preserve">that inclusiveness should be addressed in future programming in a more purposive way, however, it also acknowledges that ACCESS has deliberately taken a phased/selective approach to pursuing reforms and that this was appropriate given its finite resources. </w:t>
            </w:r>
          </w:p>
          <w:p w14:paraId="6FE6AE8B"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Calibri Light" w:hAnsi="Calibri Light" w:cs="Calibri Light"/>
              </w:rPr>
              <w:t xml:space="preserve">DFAT agrees that recruiting additional GESI staffing at an earlier stage in the program would have strengthened the inclusivity of the program.  </w:t>
            </w:r>
          </w:p>
        </w:tc>
        <w:tc>
          <w:tcPr>
            <w:tcW w:w="2617" w:type="dxa"/>
            <w:shd w:val="clear" w:color="auto" w:fill="auto"/>
          </w:tcPr>
          <w:p w14:paraId="7FC2FF9B"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will ensure the successor program design includes a greater focus on inclusivity and attention to diversity. </w:t>
            </w:r>
          </w:p>
          <w:p w14:paraId="76D4D9E9"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will also work with the Implementing Partner of the successor program to ensure in-country GESI expertise and resourcing is sufficient.    </w:t>
            </w:r>
          </w:p>
        </w:tc>
        <w:tc>
          <w:tcPr>
            <w:tcW w:w="1751" w:type="dxa"/>
            <w:shd w:val="clear" w:color="auto" w:fill="auto"/>
          </w:tcPr>
          <w:p w14:paraId="5EB8C28B"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 ongoing</w:t>
            </w:r>
          </w:p>
        </w:tc>
      </w:tr>
      <w:tr w:rsidR="00D51B36" w:rsidRPr="007A233F" w14:paraId="07A5B282" w14:textId="77777777" w:rsidTr="00980F42">
        <w:trPr>
          <w:trHeight w:val="1834"/>
        </w:trPr>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tcBorders>
            <w:shd w:val="clear" w:color="auto" w:fill="auto"/>
          </w:tcPr>
          <w:p w14:paraId="7C57272F" w14:textId="77777777" w:rsidR="00D51B36" w:rsidRPr="007A233F" w:rsidRDefault="00D51B36" w:rsidP="00F35BD5">
            <w:pPr>
              <w:pStyle w:val="ListParagraph"/>
              <w:numPr>
                <w:ilvl w:val="0"/>
                <w:numId w:val="12"/>
              </w:numPr>
              <w:ind w:left="322"/>
              <w:rPr>
                <w:rFonts w:asciiTheme="majorHAnsi" w:hAnsiTheme="majorHAnsi" w:cstheme="majorHAnsi"/>
                <w:b w:val="0"/>
                <w:bCs w:val="0"/>
                <w:color w:val="auto"/>
              </w:rPr>
            </w:pPr>
            <w:r w:rsidRPr="007A233F">
              <w:rPr>
                <w:rFonts w:asciiTheme="majorHAnsi" w:hAnsiTheme="majorHAnsi" w:cstheme="majorHAnsi"/>
                <w:b w:val="0"/>
                <w:bCs w:val="0"/>
                <w:color w:val="auto"/>
              </w:rPr>
              <w:lastRenderedPageBreak/>
              <w:t>“ACCESS has been effective in forging linkages with the RGC. ACCESS’s high profile as an inclusion program and DFAT’s strong engagement has supported relationships to be built with RGC counterparts.”</w:t>
            </w:r>
          </w:p>
        </w:tc>
        <w:tc>
          <w:tcPr>
            <w:tcW w:w="1288" w:type="dxa"/>
            <w:shd w:val="clear" w:color="auto" w:fill="auto"/>
          </w:tcPr>
          <w:p w14:paraId="3687342E"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Agree</w:t>
            </w:r>
          </w:p>
        </w:tc>
        <w:tc>
          <w:tcPr>
            <w:tcW w:w="4105" w:type="dxa"/>
            <w:shd w:val="clear" w:color="auto" w:fill="auto"/>
          </w:tcPr>
          <w:p w14:paraId="7BE99728" w14:textId="77777777" w:rsidR="00D51B36" w:rsidRPr="007A233F" w:rsidRDefault="00D51B36" w:rsidP="00F35BD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agrees with this assessment and commends the ACCESS team for their success in this area. </w:t>
            </w:r>
          </w:p>
          <w:p w14:paraId="4B58E08D" w14:textId="77777777" w:rsidR="00D51B36" w:rsidRPr="007A233F" w:rsidRDefault="00D51B36" w:rsidP="00F35BD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617" w:type="dxa"/>
            <w:shd w:val="clear" w:color="auto" w:fill="auto"/>
          </w:tcPr>
          <w:p w14:paraId="2BAB675A"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DFAT will work with the IP of the successor program to maintain existing RGC linkages and to broaden engagement with other relevant RGC counterparts.</w:t>
            </w:r>
          </w:p>
        </w:tc>
        <w:tc>
          <w:tcPr>
            <w:tcW w:w="1751" w:type="dxa"/>
            <w:shd w:val="clear" w:color="auto" w:fill="auto"/>
          </w:tcPr>
          <w:p w14:paraId="69A8B146"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July 2023-- ongoing</w:t>
            </w:r>
          </w:p>
        </w:tc>
      </w:tr>
      <w:tr w:rsidR="00D51B36" w:rsidRPr="007A233F" w14:paraId="6087F4C1" w14:textId="77777777" w:rsidTr="00980F42">
        <w:trPr>
          <w:cnfStyle w:val="000000100000" w:firstRow="0" w:lastRow="0" w:firstColumn="0" w:lastColumn="0" w:oddVBand="0" w:evenVBand="0" w:oddHBand="1"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bottom w:val="none" w:sz="0" w:space="0" w:color="auto"/>
            </w:tcBorders>
            <w:shd w:val="clear" w:color="auto" w:fill="auto"/>
          </w:tcPr>
          <w:p w14:paraId="7ABDE42A" w14:textId="77777777" w:rsidR="00D51B36" w:rsidRPr="007A233F" w:rsidRDefault="00D51B36" w:rsidP="00F35BD5">
            <w:pPr>
              <w:pStyle w:val="ListParagraph"/>
              <w:numPr>
                <w:ilvl w:val="0"/>
                <w:numId w:val="12"/>
              </w:numPr>
              <w:ind w:left="322"/>
              <w:rPr>
                <w:b w:val="0"/>
                <w:bCs w:val="0"/>
                <w:color w:val="auto"/>
              </w:rPr>
            </w:pPr>
            <w:r w:rsidRPr="007A233F">
              <w:rPr>
                <w:b w:val="0"/>
                <w:bCs w:val="0"/>
                <w:color w:val="auto"/>
              </w:rPr>
              <w:t xml:space="preserve">“DFAT was highly engaged and made efforts to be present and support as many ACCESS events, as possible. </w:t>
            </w:r>
            <w:r w:rsidRPr="007A233F">
              <w:rPr>
                <w:rFonts w:asciiTheme="majorHAnsi" w:hAnsiTheme="majorHAnsi" w:cstheme="majorHAnsi"/>
                <w:b w:val="0"/>
                <w:bCs w:val="0"/>
                <w:color w:val="auto"/>
              </w:rPr>
              <w:t>However</w:t>
            </w:r>
            <w:r w:rsidRPr="007A233F">
              <w:rPr>
                <w:b w:val="0"/>
                <w:bCs w:val="0"/>
                <w:color w:val="auto"/>
              </w:rPr>
              <w:t>, with the high volume of ACCESS activities, this was time-consuming and DFAT engagement would be best concentrated on policy and RGC level dialogue in future.”</w:t>
            </w:r>
          </w:p>
          <w:p w14:paraId="61E70F46" w14:textId="77777777" w:rsidR="00D51B36" w:rsidRPr="007A233F" w:rsidRDefault="00D51B36" w:rsidP="00F35BD5">
            <w:pPr>
              <w:pStyle w:val="ListParagraph"/>
              <w:numPr>
                <w:ilvl w:val="0"/>
                <w:numId w:val="11"/>
              </w:numPr>
              <w:ind w:left="177" w:hanging="142"/>
              <w:rPr>
                <w:rFonts w:asciiTheme="majorHAnsi" w:hAnsiTheme="majorHAnsi" w:cstheme="majorHAnsi"/>
              </w:rPr>
            </w:pPr>
          </w:p>
        </w:tc>
        <w:tc>
          <w:tcPr>
            <w:tcW w:w="1288" w:type="dxa"/>
            <w:shd w:val="clear" w:color="auto" w:fill="auto"/>
          </w:tcPr>
          <w:p w14:paraId="7841DF8C"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Agree</w:t>
            </w:r>
          </w:p>
        </w:tc>
        <w:tc>
          <w:tcPr>
            <w:tcW w:w="4105" w:type="dxa"/>
            <w:shd w:val="clear" w:color="auto" w:fill="auto"/>
          </w:tcPr>
          <w:p w14:paraId="1229E603" w14:textId="77777777" w:rsidR="00D51B36" w:rsidRPr="007A233F" w:rsidRDefault="00D51B36" w:rsidP="00F35BD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DFAT agrees with this assessment.</w:t>
            </w:r>
          </w:p>
        </w:tc>
        <w:tc>
          <w:tcPr>
            <w:tcW w:w="2617" w:type="dxa"/>
            <w:shd w:val="clear" w:color="auto" w:fill="auto"/>
          </w:tcPr>
          <w:p w14:paraId="6C69C725"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will also explore ways to reduce DFAT staff time in regular program representation in favour of more strategic </w:t>
            </w:r>
            <w:proofErr w:type="gramStart"/>
            <w:r w:rsidRPr="007A233F">
              <w:rPr>
                <w:rFonts w:asciiTheme="majorHAnsi" w:hAnsiTheme="majorHAnsi" w:cstheme="majorHAnsi"/>
              </w:rPr>
              <w:t>high level</w:t>
            </w:r>
            <w:proofErr w:type="gramEnd"/>
            <w:r w:rsidRPr="007A233F">
              <w:rPr>
                <w:rFonts w:asciiTheme="majorHAnsi" w:hAnsiTheme="majorHAnsi" w:cstheme="majorHAnsi"/>
              </w:rPr>
              <w:t xml:space="preserve"> involvement in program decision making and maintaining critical relationships.</w:t>
            </w:r>
          </w:p>
        </w:tc>
        <w:tc>
          <w:tcPr>
            <w:tcW w:w="1751" w:type="dxa"/>
            <w:shd w:val="clear" w:color="auto" w:fill="auto"/>
          </w:tcPr>
          <w:p w14:paraId="3109D047"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July 2023-- ongoing</w:t>
            </w:r>
          </w:p>
        </w:tc>
      </w:tr>
    </w:tbl>
    <w:p w14:paraId="05F622BF" w14:textId="77777777" w:rsidR="00D51B36" w:rsidRDefault="00D51B36" w:rsidP="00320FF4">
      <w:pPr>
        <w:jc w:val="both"/>
        <w:rPr>
          <w:rFonts w:asciiTheme="majorHAnsi" w:hAnsiTheme="majorHAnsi" w:cstheme="majorHAnsi"/>
        </w:rPr>
      </w:pPr>
    </w:p>
    <w:p w14:paraId="01EEBD03" w14:textId="3603BFA4" w:rsidR="004D7B87" w:rsidRPr="001C1E37" w:rsidRDefault="004D7B87" w:rsidP="00320FF4">
      <w:pPr>
        <w:jc w:val="both"/>
        <w:rPr>
          <w:rFonts w:asciiTheme="majorHAnsi" w:hAnsiTheme="majorHAnsi" w:cstheme="majorHAnsi"/>
          <w:b/>
          <w:bCs/>
        </w:rPr>
      </w:pPr>
      <w:r w:rsidRPr="001C1E37">
        <w:rPr>
          <w:rFonts w:asciiTheme="majorHAnsi" w:hAnsiTheme="majorHAnsi" w:cstheme="majorHAnsi"/>
          <w:b/>
          <w:bCs/>
        </w:rPr>
        <w:t>SUSTAINABILITY</w:t>
      </w:r>
    </w:p>
    <w:tbl>
      <w:tblPr>
        <w:tblStyle w:val="GridTable5Dark-Accent11"/>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76"/>
        <w:gridCol w:w="4111"/>
        <w:gridCol w:w="2551"/>
        <w:gridCol w:w="1843"/>
      </w:tblGrid>
      <w:tr w:rsidR="001C1E37" w:rsidRPr="007A233F" w14:paraId="554A76D0" w14:textId="77777777" w:rsidTr="001C1E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right w:val="single" w:sz="4" w:space="0" w:color="auto"/>
            </w:tcBorders>
            <w:shd w:val="clear" w:color="auto" w:fill="auto"/>
          </w:tcPr>
          <w:p w14:paraId="2E7E047D" w14:textId="0EF85E5B" w:rsidR="001C1E37" w:rsidRPr="007A233F" w:rsidRDefault="001C1E37" w:rsidP="001C1E37">
            <w:pPr>
              <w:pStyle w:val="ListParagraph"/>
              <w:numPr>
                <w:ilvl w:val="0"/>
                <w:numId w:val="12"/>
              </w:numPr>
              <w:ind w:left="322"/>
            </w:pPr>
            <w:r w:rsidRPr="00EF08AC">
              <w:rPr>
                <w:rFonts w:asciiTheme="majorHAnsi" w:hAnsiTheme="majorHAnsi" w:cstheme="majorHAnsi"/>
                <w:color w:val="auto"/>
              </w:rPr>
              <w:t>Key Findings</w:t>
            </w:r>
          </w:p>
        </w:tc>
        <w:tc>
          <w:tcPr>
            <w:tcW w:w="1276" w:type="dxa"/>
            <w:tcBorders>
              <w:top w:val="single" w:sz="4" w:space="0" w:color="auto"/>
              <w:left w:val="single" w:sz="4" w:space="0" w:color="auto"/>
              <w:right w:val="single" w:sz="4" w:space="0" w:color="auto"/>
            </w:tcBorders>
            <w:shd w:val="clear" w:color="auto" w:fill="auto"/>
          </w:tcPr>
          <w:p w14:paraId="337EFE76" w14:textId="6948861F" w:rsidR="001C1E37" w:rsidRPr="007A233F" w:rsidRDefault="001C1E37" w:rsidP="001C1E3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F08AC">
              <w:rPr>
                <w:rFonts w:asciiTheme="majorHAnsi" w:hAnsiTheme="majorHAnsi" w:cstheme="majorHAnsi"/>
                <w:color w:val="auto"/>
              </w:rPr>
              <w:t>Response</w:t>
            </w:r>
          </w:p>
        </w:tc>
        <w:tc>
          <w:tcPr>
            <w:tcW w:w="4111" w:type="dxa"/>
            <w:tcBorders>
              <w:top w:val="single" w:sz="4" w:space="0" w:color="auto"/>
              <w:left w:val="single" w:sz="4" w:space="0" w:color="auto"/>
              <w:right w:val="single" w:sz="4" w:space="0" w:color="auto"/>
            </w:tcBorders>
            <w:shd w:val="clear" w:color="auto" w:fill="auto"/>
          </w:tcPr>
          <w:p w14:paraId="29F4C08C" w14:textId="1E4E54E4" w:rsidR="001C1E37" w:rsidRPr="007A233F" w:rsidRDefault="001C1E37" w:rsidP="001C1E37">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F08AC">
              <w:rPr>
                <w:rFonts w:asciiTheme="majorHAnsi" w:hAnsiTheme="majorHAnsi" w:cstheme="majorHAnsi"/>
                <w:color w:val="auto"/>
              </w:rPr>
              <w:t>Explanation</w:t>
            </w:r>
          </w:p>
        </w:tc>
        <w:tc>
          <w:tcPr>
            <w:tcW w:w="2551" w:type="dxa"/>
            <w:tcBorders>
              <w:top w:val="single" w:sz="4" w:space="0" w:color="auto"/>
              <w:left w:val="single" w:sz="4" w:space="0" w:color="auto"/>
              <w:right w:val="single" w:sz="4" w:space="0" w:color="auto"/>
            </w:tcBorders>
            <w:shd w:val="clear" w:color="auto" w:fill="auto"/>
          </w:tcPr>
          <w:p w14:paraId="2D8B7FDF" w14:textId="3E1B6B72" w:rsidR="001C1E37" w:rsidRPr="007A233F" w:rsidRDefault="001C1E37" w:rsidP="001C1E3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F08AC">
              <w:rPr>
                <w:rFonts w:asciiTheme="majorHAnsi" w:hAnsiTheme="majorHAnsi" w:cstheme="majorHAnsi"/>
                <w:color w:val="auto"/>
              </w:rPr>
              <w:t>Action Plan</w:t>
            </w:r>
          </w:p>
        </w:tc>
        <w:tc>
          <w:tcPr>
            <w:tcW w:w="1843" w:type="dxa"/>
            <w:tcBorders>
              <w:top w:val="single" w:sz="4" w:space="0" w:color="auto"/>
              <w:left w:val="single" w:sz="4" w:space="0" w:color="auto"/>
              <w:right w:val="single" w:sz="4" w:space="0" w:color="auto"/>
            </w:tcBorders>
            <w:shd w:val="clear" w:color="auto" w:fill="auto"/>
          </w:tcPr>
          <w:p w14:paraId="5BB54CA7" w14:textId="3CF5CC3B" w:rsidR="001C1E37" w:rsidRPr="007A233F" w:rsidRDefault="001C1E37" w:rsidP="001C1E3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F08AC">
              <w:rPr>
                <w:rFonts w:asciiTheme="majorHAnsi" w:hAnsiTheme="majorHAnsi" w:cstheme="majorHAnsi"/>
                <w:color w:val="auto"/>
              </w:rPr>
              <w:t>Timeline</w:t>
            </w:r>
          </w:p>
        </w:tc>
      </w:tr>
      <w:tr w:rsidR="001C1E37" w:rsidRPr="007A233F" w14:paraId="7FE1195E" w14:textId="77777777" w:rsidTr="001C1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right w:val="single" w:sz="4" w:space="0" w:color="auto"/>
            </w:tcBorders>
            <w:shd w:val="clear" w:color="auto" w:fill="auto"/>
          </w:tcPr>
          <w:p w14:paraId="328719AD" w14:textId="77777777" w:rsidR="00D51B36" w:rsidRPr="007A233F" w:rsidRDefault="00D51B36" w:rsidP="00F35BD5">
            <w:pPr>
              <w:pStyle w:val="ListParagraph"/>
              <w:numPr>
                <w:ilvl w:val="0"/>
                <w:numId w:val="12"/>
              </w:numPr>
              <w:ind w:left="322"/>
              <w:rPr>
                <w:rFonts w:asciiTheme="majorHAnsi" w:hAnsiTheme="majorHAnsi" w:cstheme="majorHAnsi"/>
                <w:b w:val="0"/>
                <w:bCs w:val="0"/>
                <w:color w:val="auto"/>
              </w:rPr>
            </w:pPr>
            <w:r w:rsidRPr="007A233F">
              <w:rPr>
                <w:b w:val="0"/>
                <w:bCs w:val="0"/>
                <w:color w:val="auto"/>
              </w:rPr>
              <w:t xml:space="preserve">“Financial sustainability– </w:t>
            </w:r>
            <w:proofErr w:type="gramStart"/>
            <w:r w:rsidRPr="007A233F">
              <w:rPr>
                <w:b w:val="0"/>
                <w:bCs w:val="0"/>
                <w:color w:val="auto"/>
              </w:rPr>
              <w:t>particularly  on</w:t>
            </w:r>
            <w:proofErr w:type="gramEnd"/>
            <w:r w:rsidRPr="007A233F">
              <w:rPr>
                <w:b w:val="0"/>
                <w:bCs w:val="0"/>
                <w:color w:val="auto"/>
              </w:rPr>
              <w:t xml:space="preserve"> service delivery –has not been achieved.”</w:t>
            </w:r>
          </w:p>
        </w:tc>
        <w:tc>
          <w:tcPr>
            <w:tcW w:w="1276" w:type="dxa"/>
            <w:tcBorders>
              <w:top w:val="single" w:sz="4" w:space="0" w:color="auto"/>
              <w:left w:val="single" w:sz="4" w:space="0" w:color="auto"/>
              <w:right w:val="single" w:sz="4" w:space="0" w:color="auto"/>
            </w:tcBorders>
            <w:shd w:val="clear" w:color="auto" w:fill="auto"/>
          </w:tcPr>
          <w:p w14:paraId="03F0CAAF"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Agree</w:t>
            </w:r>
          </w:p>
        </w:tc>
        <w:tc>
          <w:tcPr>
            <w:tcW w:w="4111" w:type="dxa"/>
            <w:tcBorders>
              <w:top w:val="single" w:sz="4" w:space="0" w:color="auto"/>
              <w:left w:val="single" w:sz="4" w:space="0" w:color="auto"/>
              <w:right w:val="single" w:sz="4" w:space="0" w:color="auto"/>
            </w:tcBorders>
            <w:shd w:val="clear" w:color="auto" w:fill="auto"/>
          </w:tcPr>
          <w:p w14:paraId="479C3DF7" w14:textId="77777777" w:rsidR="00D51B36" w:rsidRPr="007A233F" w:rsidRDefault="00D51B36" w:rsidP="00F35BD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agrees with this finding but notes that achieving financial sustainability is a long-term process requiring long term support. </w:t>
            </w:r>
          </w:p>
          <w:p w14:paraId="500214E1" w14:textId="77777777" w:rsidR="00D51B36" w:rsidRPr="007A233F" w:rsidRDefault="00D51B36" w:rsidP="00F35BD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AE7E802" w14:textId="77777777" w:rsidR="00D51B36" w:rsidRPr="007A233F" w:rsidRDefault="00D51B36" w:rsidP="00F35BD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551" w:type="dxa"/>
            <w:tcBorders>
              <w:top w:val="single" w:sz="4" w:space="0" w:color="auto"/>
              <w:left w:val="single" w:sz="4" w:space="0" w:color="auto"/>
              <w:right w:val="single" w:sz="4" w:space="0" w:color="auto"/>
            </w:tcBorders>
            <w:shd w:val="clear" w:color="auto" w:fill="auto"/>
          </w:tcPr>
          <w:p w14:paraId="2DBC80A0"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will seek to ensure that strategies to increase the program’s financial sustainability beyond the period of donor funding are embedded in the successor program design.  </w:t>
            </w:r>
          </w:p>
        </w:tc>
        <w:tc>
          <w:tcPr>
            <w:tcW w:w="1843" w:type="dxa"/>
            <w:tcBorders>
              <w:top w:val="single" w:sz="4" w:space="0" w:color="auto"/>
              <w:left w:val="single" w:sz="4" w:space="0" w:color="auto"/>
              <w:right w:val="single" w:sz="4" w:space="0" w:color="auto"/>
            </w:tcBorders>
            <w:shd w:val="clear" w:color="auto" w:fill="auto"/>
          </w:tcPr>
          <w:p w14:paraId="339F432E"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 ongoing</w:t>
            </w:r>
          </w:p>
        </w:tc>
      </w:tr>
      <w:tr w:rsidR="001C1E37" w:rsidRPr="007A233F" w14:paraId="27A12277" w14:textId="77777777" w:rsidTr="001C1E37">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tcBorders>
            <w:shd w:val="clear" w:color="auto" w:fill="auto"/>
          </w:tcPr>
          <w:p w14:paraId="79972D4C" w14:textId="77777777" w:rsidR="00D51B36" w:rsidRPr="007A233F" w:rsidRDefault="00D51B36" w:rsidP="00F35BD5">
            <w:pPr>
              <w:pStyle w:val="ListParagraph"/>
              <w:numPr>
                <w:ilvl w:val="0"/>
                <w:numId w:val="12"/>
              </w:numPr>
              <w:ind w:left="322"/>
              <w:rPr>
                <w:rFonts w:asciiTheme="majorHAnsi" w:hAnsiTheme="majorHAnsi" w:cstheme="majorHAnsi"/>
                <w:b w:val="0"/>
                <w:bCs w:val="0"/>
                <w:color w:val="auto"/>
              </w:rPr>
            </w:pPr>
            <w:r w:rsidRPr="007A233F">
              <w:rPr>
                <w:b w:val="0"/>
                <w:bCs w:val="0"/>
                <w:color w:val="auto"/>
              </w:rPr>
              <w:t xml:space="preserve">Sustainability </w:t>
            </w:r>
            <w:proofErr w:type="gramStart"/>
            <w:r w:rsidRPr="007A233F">
              <w:rPr>
                <w:b w:val="0"/>
                <w:bCs w:val="0"/>
                <w:color w:val="auto"/>
              </w:rPr>
              <w:t>of  system</w:t>
            </w:r>
            <w:proofErr w:type="gramEnd"/>
            <w:r w:rsidRPr="007A233F">
              <w:rPr>
                <w:b w:val="0"/>
                <w:bCs w:val="0"/>
                <w:color w:val="auto"/>
              </w:rPr>
              <w:t xml:space="preserve"> strengthening efforts: “This includes guidelines, standards and revision to laws and plans, a number of which </w:t>
            </w:r>
            <w:r w:rsidRPr="007A233F">
              <w:rPr>
                <w:b w:val="0"/>
                <w:bCs w:val="0"/>
                <w:color w:val="auto"/>
              </w:rPr>
              <w:lastRenderedPageBreak/>
              <w:t xml:space="preserve">have been endorsed by line ministry entities and submitted for RGC approval and adoption. This official </w:t>
            </w:r>
            <w:r w:rsidRPr="007A233F">
              <w:rPr>
                <w:rFonts w:asciiTheme="majorHAnsi" w:hAnsiTheme="majorHAnsi" w:cstheme="majorHAnsi"/>
                <w:b w:val="0"/>
                <w:bCs w:val="0"/>
                <w:color w:val="auto"/>
              </w:rPr>
              <w:t>uptake</w:t>
            </w:r>
            <w:r w:rsidRPr="007A233F">
              <w:rPr>
                <w:b w:val="0"/>
                <w:bCs w:val="0"/>
                <w:color w:val="auto"/>
              </w:rPr>
              <w:t xml:space="preserve"> of ACCESS products is likely to be sustainable and paves the way for their ongoing impact.”</w:t>
            </w:r>
          </w:p>
        </w:tc>
        <w:tc>
          <w:tcPr>
            <w:tcW w:w="1276" w:type="dxa"/>
            <w:shd w:val="clear" w:color="auto" w:fill="auto"/>
          </w:tcPr>
          <w:p w14:paraId="37B1AA15"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lastRenderedPageBreak/>
              <w:t>Agree</w:t>
            </w:r>
          </w:p>
        </w:tc>
        <w:tc>
          <w:tcPr>
            <w:tcW w:w="4111" w:type="dxa"/>
            <w:shd w:val="clear" w:color="auto" w:fill="auto"/>
          </w:tcPr>
          <w:p w14:paraId="35D6A9A4" w14:textId="77777777" w:rsidR="00D51B36" w:rsidRPr="007A233F" w:rsidRDefault="00D51B36" w:rsidP="00F35BD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agrees that ACCESS has effectively strengthened the RGC systems in place to provide improved services to survivors of GBV and people with disabilities. </w:t>
            </w:r>
          </w:p>
        </w:tc>
        <w:tc>
          <w:tcPr>
            <w:tcW w:w="2551" w:type="dxa"/>
            <w:shd w:val="clear" w:color="auto" w:fill="auto"/>
          </w:tcPr>
          <w:p w14:paraId="0736D365"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will work to ensure that relevant existing ACCESS products continue </w:t>
            </w:r>
            <w:r w:rsidRPr="007A233F">
              <w:rPr>
                <w:rFonts w:asciiTheme="majorHAnsi" w:hAnsiTheme="majorHAnsi" w:cstheme="majorHAnsi"/>
              </w:rPr>
              <w:lastRenderedPageBreak/>
              <w:t xml:space="preserve">to be utilised in the successor program. </w:t>
            </w:r>
          </w:p>
        </w:tc>
        <w:tc>
          <w:tcPr>
            <w:tcW w:w="1843" w:type="dxa"/>
            <w:shd w:val="clear" w:color="auto" w:fill="auto"/>
          </w:tcPr>
          <w:p w14:paraId="5D5882DC" w14:textId="77777777" w:rsidR="00D51B36" w:rsidRPr="007A233F" w:rsidRDefault="00D51B36" w:rsidP="00F35BD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lastRenderedPageBreak/>
              <w:t xml:space="preserve">July 2023—ongoing </w:t>
            </w:r>
          </w:p>
        </w:tc>
      </w:tr>
      <w:tr w:rsidR="001C1E37" w:rsidRPr="007A233F" w14:paraId="6698E698" w14:textId="77777777" w:rsidTr="001C1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bottom w:val="single" w:sz="4" w:space="0" w:color="auto"/>
            </w:tcBorders>
            <w:shd w:val="clear" w:color="auto" w:fill="auto"/>
          </w:tcPr>
          <w:p w14:paraId="6BB40253" w14:textId="77777777" w:rsidR="00D51B36" w:rsidRPr="007A233F" w:rsidRDefault="00D51B36" w:rsidP="00F35BD5">
            <w:pPr>
              <w:pStyle w:val="ListParagraph"/>
              <w:numPr>
                <w:ilvl w:val="0"/>
                <w:numId w:val="12"/>
              </w:numPr>
              <w:ind w:left="322"/>
              <w:rPr>
                <w:rFonts w:asciiTheme="majorHAnsi" w:hAnsiTheme="majorHAnsi" w:cstheme="majorHAnsi"/>
                <w:b w:val="0"/>
                <w:bCs w:val="0"/>
                <w:color w:val="auto"/>
              </w:rPr>
            </w:pPr>
            <w:r w:rsidRPr="007A233F">
              <w:rPr>
                <w:b w:val="0"/>
                <w:bCs w:val="0"/>
                <w:color w:val="auto"/>
              </w:rPr>
              <w:t>Sustainability of human resources and organisational capacity: “ACCESS’s achievements – such as quality standards for managing PRCs – will be undermined by the lack of a public sector workforce or cadre of physiotherapists, prosthetic and orthotic specialists, and social workers to maintain these services… The way of working with partners through the CIM meant that a focus on their enduring role on the demand side of services was under-emphasised.”</w:t>
            </w:r>
          </w:p>
        </w:tc>
        <w:tc>
          <w:tcPr>
            <w:tcW w:w="1276" w:type="dxa"/>
            <w:shd w:val="clear" w:color="auto" w:fill="auto"/>
          </w:tcPr>
          <w:p w14:paraId="73CA14D9"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Partially agree</w:t>
            </w:r>
          </w:p>
        </w:tc>
        <w:tc>
          <w:tcPr>
            <w:tcW w:w="4111" w:type="dxa"/>
            <w:shd w:val="clear" w:color="auto" w:fill="auto"/>
          </w:tcPr>
          <w:p w14:paraId="2A8EBBD9" w14:textId="77777777" w:rsidR="00D51B36" w:rsidRPr="007A233F" w:rsidRDefault="00D51B36" w:rsidP="00F35BD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acknowledges that future programming support should include targeted support on strengthening the public sector workforce, but as noted above, recognises that ACCESS has appropriately pursued specific reforms in a targeted/selected manner given the limitations of finite resources. </w:t>
            </w:r>
          </w:p>
          <w:p w14:paraId="40C946C7" w14:textId="77777777" w:rsidR="00D51B36" w:rsidRPr="007A233F" w:rsidRDefault="00D51B36" w:rsidP="00F35BD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4AD1D0F" w14:textId="77777777" w:rsidR="00D51B36" w:rsidRPr="007A233F" w:rsidRDefault="00D51B36" w:rsidP="00F35BD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also acknowledges that the CIM delivery modality was not effective.  </w:t>
            </w:r>
          </w:p>
        </w:tc>
        <w:tc>
          <w:tcPr>
            <w:tcW w:w="2551" w:type="dxa"/>
            <w:shd w:val="clear" w:color="auto" w:fill="auto"/>
          </w:tcPr>
          <w:p w14:paraId="004076FC"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4214D4E"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Support for the public sector workforce to be explored in the successor program design. </w:t>
            </w:r>
          </w:p>
          <w:p w14:paraId="4C9F862C"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EEB303C"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 xml:space="preserve">DFAT will not engage the CIM delivery modality in the successor program. </w:t>
            </w:r>
          </w:p>
        </w:tc>
        <w:tc>
          <w:tcPr>
            <w:tcW w:w="1843" w:type="dxa"/>
            <w:shd w:val="clear" w:color="auto" w:fill="auto"/>
          </w:tcPr>
          <w:p w14:paraId="3FA63701" w14:textId="77777777" w:rsidR="00D51B36" w:rsidRPr="007A233F" w:rsidRDefault="00D51B36" w:rsidP="00F35BD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A233F">
              <w:rPr>
                <w:rFonts w:asciiTheme="majorHAnsi" w:hAnsiTheme="majorHAnsi" w:cstheme="majorHAnsi"/>
              </w:rPr>
              <w:t>December 2022-- ongoing</w:t>
            </w:r>
          </w:p>
        </w:tc>
      </w:tr>
    </w:tbl>
    <w:p w14:paraId="48DBC7A6" w14:textId="77777777" w:rsidR="00D51B36" w:rsidRDefault="00D51B36" w:rsidP="00320FF4">
      <w:pPr>
        <w:jc w:val="both"/>
      </w:pPr>
    </w:p>
    <w:sectPr w:rsidR="00D51B36" w:rsidSect="009021E9">
      <w:footerReference w:type="default" r:id="rId8"/>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4BA5" w14:textId="77777777" w:rsidR="00493298" w:rsidRDefault="00493298">
      <w:pPr>
        <w:spacing w:after="0" w:line="240" w:lineRule="auto"/>
      </w:pPr>
      <w:r>
        <w:separator/>
      </w:r>
    </w:p>
  </w:endnote>
  <w:endnote w:type="continuationSeparator" w:id="0">
    <w:p w14:paraId="5A1804DD" w14:textId="77777777" w:rsidR="00493298" w:rsidRDefault="0049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133082"/>
      <w:docPartObj>
        <w:docPartGallery w:val="Page Numbers (Bottom of Page)"/>
        <w:docPartUnique/>
      </w:docPartObj>
    </w:sdtPr>
    <w:sdtEndPr>
      <w:rPr>
        <w:noProof/>
      </w:rPr>
    </w:sdtEndPr>
    <w:sdtContent>
      <w:p w14:paraId="6938265F" w14:textId="77777777" w:rsidR="00B91BF8" w:rsidRDefault="00DD19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4FB0E" w14:textId="77777777" w:rsidR="00B91BF8" w:rsidRDefault="00493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8FDB" w14:textId="77777777" w:rsidR="00493298" w:rsidRDefault="00493298">
      <w:pPr>
        <w:spacing w:after="0" w:line="240" w:lineRule="auto"/>
      </w:pPr>
      <w:r>
        <w:separator/>
      </w:r>
    </w:p>
  </w:footnote>
  <w:footnote w:type="continuationSeparator" w:id="0">
    <w:p w14:paraId="2D873A35" w14:textId="77777777" w:rsidR="00493298" w:rsidRDefault="00493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455F"/>
    <w:multiLevelType w:val="hybridMultilevel"/>
    <w:tmpl w:val="6F3AA3C4"/>
    <w:lvl w:ilvl="0" w:tplc="0D70BF12">
      <w:start w:val="1"/>
      <w:numFmt w:val="decimal"/>
      <w:lvlText w:val="%1."/>
      <w:lvlJc w:val="left"/>
      <w:pPr>
        <w:ind w:left="720" w:hanging="360"/>
      </w:pPr>
      <w:rPr>
        <w:rFonts w:hint="default"/>
        <w:color w:val="FFFFFF"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450F94"/>
    <w:multiLevelType w:val="hybridMultilevel"/>
    <w:tmpl w:val="5216A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8575B0"/>
    <w:multiLevelType w:val="hybridMultilevel"/>
    <w:tmpl w:val="06F66C60"/>
    <w:lvl w:ilvl="0" w:tplc="FA86A142">
      <w:start w:val="1"/>
      <w:numFmt w:val="decimal"/>
      <w:lvlText w:val="%1."/>
      <w:lvlJc w:val="left"/>
      <w:pPr>
        <w:ind w:left="382" w:hanging="360"/>
      </w:pPr>
      <w:rPr>
        <w:rFonts w:hint="default"/>
        <w:color w:val="auto"/>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3" w15:restartNumberingAfterBreak="0">
    <w:nsid w:val="35565837"/>
    <w:multiLevelType w:val="hybridMultilevel"/>
    <w:tmpl w:val="5216A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C54F06"/>
    <w:multiLevelType w:val="hybridMultilevel"/>
    <w:tmpl w:val="5216A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016841"/>
    <w:multiLevelType w:val="hybridMultilevel"/>
    <w:tmpl w:val="BFD855B2"/>
    <w:lvl w:ilvl="0" w:tplc="0C09000F">
      <w:start w:val="1"/>
      <w:numFmt w:val="decimal"/>
      <w:lvlText w:val="%1."/>
      <w:lvlJc w:val="left"/>
      <w:pPr>
        <w:ind w:left="758" w:hanging="360"/>
      </w:pPr>
    </w:lvl>
    <w:lvl w:ilvl="1" w:tplc="0C090019" w:tentative="1">
      <w:start w:val="1"/>
      <w:numFmt w:val="lowerLetter"/>
      <w:lvlText w:val="%2."/>
      <w:lvlJc w:val="left"/>
      <w:pPr>
        <w:ind w:left="1478" w:hanging="360"/>
      </w:pPr>
    </w:lvl>
    <w:lvl w:ilvl="2" w:tplc="0C09001B" w:tentative="1">
      <w:start w:val="1"/>
      <w:numFmt w:val="lowerRoman"/>
      <w:lvlText w:val="%3."/>
      <w:lvlJc w:val="right"/>
      <w:pPr>
        <w:ind w:left="2198" w:hanging="180"/>
      </w:pPr>
    </w:lvl>
    <w:lvl w:ilvl="3" w:tplc="0C09000F" w:tentative="1">
      <w:start w:val="1"/>
      <w:numFmt w:val="decimal"/>
      <w:lvlText w:val="%4."/>
      <w:lvlJc w:val="left"/>
      <w:pPr>
        <w:ind w:left="2918" w:hanging="360"/>
      </w:pPr>
    </w:lvl>
    <w:lvl w:ilvl="4" w:tplc="0C090019" w:tentative="1">
      <w:start w:val="1"/>
      <w:numFmt w:val="lowerLetter"/>
      <w:lvlText w:val="%5."/>
      <w:lvlJc w:val="left"/>
      <w:pPr>
        <w:ind w:left="3638" w:hanging="360"/>
      </w:pPr>
    </w:lvl>
    <w:lvl w:ilvl="5" w:tplc="0C09001B" w:tentative="1">
      <w:start w:val="1"/>
      <w:numFmt w:val="lowerRoman"/>
      <w:lvlText w:val="%6."/>
      <w:lvlJc w:val="right"/>
      <w:pPr>
        <w:ind w:left="4358" w:hanging="180"/>
      </w:pPr>
    </w:lvl>
    <w:lvl w:ilvl="6" w:tplc="0C09000F" w:tentative="1">
      <w:start w:val="1"/>
      <w:numFmt w:val="decimal"/>
      <w:lvlText w:val="%7."/>
      <w:lvlJc w:val="left"/>
      <w:pPr>
        <w:ind w:left="5078" w:hanging="360"/>
      </w:pPr>
    </w:lvl>
    <w:lvl w:ilvl="7" w:tplc="0C090019" w:tentative="1">
      <w:start w:val="1"/>
      <w:numFmt w:val="lowerLetter"/>
      <w:lvlText w:val="%8."/>
      <w:lvlJc w:val="left"/>
      <w:pPr>
        <w:ind w:left="5798" w:hanging="360"/>
      </w:pPr>
    </w:lvl>
    <w:lvl w:ilvl="8" w:tplc="0C09001B" w:tentative="1">
      <w:start w:val="1"/>
      <w:numFmt w:val="lowerRoman"/>
      <w:lvlText w:val="%9."/>
      <w:lvlJc w:val="right"/>
      <w:pPr>
        <w:ind w:left="6518" w:hanging="180"/>
      </w:pPr>
    </w:lvl>
  </w:abstractNum>
  <w:abstractNum w:abstractNumId="6" w15:restartNumberingAfterBreak="0">
    <w:nsid w:val="47BE79B0"/>
    <w:multiLevelType w:val="hybridMultilevel"/>
    <w:tmpl w:val="299CB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8D7F8B"/>
    <w:multiLevelType w:val="hybridMultilevel"/>
    <w:tmpl w:val="06F66C60"/>
    <w:lvl w:ilvl="0" w:tplc="FA86A142">
      <w:start w:val="1"/>
      <w:numFmt w:val="decimal"/>
      <w:lvlText w:val="%1."/>
      <w:lvlJc w:val="left"/>
      <w:pPr>
        <w:ind w:left="382" w:hanging="360"/>
      </w:pPr>
      <w:rPr>
        <w:rFonts w:hint="default"/>
        <w:color w:val="auto"/>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8" w15:restartNumberingAfterBreak="0">
    <w:nsid w:val="4C551A8F"/>
    <w:multiLevelType w:val="hybridMultilevel"/>
    <w:tmpl w:val="3DE606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1B31E1"/>
    <w:multiLevelType w:val="hybridMultilevel"/>
    <w:tmpl w:val="5216A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6A1F4F"/>
    <w:multiLevelType w:val="hybridMultilevel"/>
    <w:tmpl w:val="6F3AA3C4"/>
    <w:lvl w:ilvl="0" w:tplc="FFFFFFFF">
      <w:start w:val="1"/>
      <w:numFmt w:val="decimal"/>
      <w:lvlText w:val="%1."/>
      <w:lvlJc w:val="left"/>
      <w:pPr>
        <w:ind w:left="720" w:hanging="360"/>
      </w:pPr>
      <w:rPr>
        <w:rFonts w:hint="default"/>
        <w:color w:val="FFFFFF"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2C064B"/>
    <w:multiLevelType w:val="hybridMultilevel"/>
    <w:tmpl w:val="C0EE0310"/>
    <w:lvl w:ilvl="0" w:tplc="B5B4414E">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num w:numId="1">
    <w:abstractNumId w:val="2"/>
  </w:num>
  <w:num w:numId="2">
    <w:abstractNumId w:val="11"/>
  </w:num>
  <w:num w:numId="3">
    <w:abstractNumId w:val="7"/>
  </w:num>
  <w:num w:numId="4">
    <w:abstractNumId w:val="0"/>
  </w:num>
  <w:num w:numId="5">
    <w:abstractNumId w:val="9"/>
  </w:num>
  <w:num w:numId="6">
    <w:abstractNumId w:val="4"/>
  </w:num>
  <w:num w:numId="7">
    <w:abstractNumId w:val="6"/>
  </w:num>
  <w:num w:numId="8">
    <w:abstractNumId w:val="8"/>
  </w:num>
  <w:num w:numId="9">
    <w:abstractNumId w:val="1"/>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A5"/>
    <w:rsid w:val="00004898"/>
    <w:rsid w:val="00024102"/>
    <w:rsid w:val="00050F92"/>
    <w:rsid w:val="00051778"/>
    <w:rsid w:val="00093AAB"/>
    <w:rsid w:val="000A3F0F"/>
    <w:rsid w:val="000D08D6"/>
    <w:rsid w:val="000D092B"/>
    <w:rsid w:val="000D396A"/>
    <w:rsid w:val="000E2892"/>
    <w:rsid w:val="000F5446"/>
    <w:rsid w:val="00172309"/>
    <w:rsid w:val="0017731A"/>
    <w:rsid w:val="00183945"/>
    <w:rsid w:val="001A3BDA"/>
    <w:rsid w:val="001B1E92"/>
    <w:rsid w:val="001B27F3"/>
    <w:rsid w:val="001C1E37"/>
    <w:rsid w:val="001F3DC4"/>
    <w:rsid w:val="00217943"/>
    <w:rsid w:val="00247621"/>
    <w:rsid w:val="00275B56"/>
    <w:rsid w:val="002A0D85"/>
    <w:rsid w:val="002F2840"/>
    <w:rsid w:val="00320FF4"/>
    <w:rsid w:val="00334075"/>
    <w:rsid w:val="003430ED"/>
    <w:rsid w:val="00347C05"/>
    <w:rsid w:val="0037266A"/>
    <w:rsid w:val="003C1991"/>
    <w:rsid w:val="003D38A5"/>
    <w:rsid w:val="00493298"/>
    <w:rsid w:val="004B39AD"/>
    <w:rsid w:val="004C155F"/>
    <w:rsid w:val="004C1572"/>
    <w:rsid w:val="004C38A4"/>
    <w:rsid w:val="004C4615"/>
    <w:rsid w:val="004D7B87"/>
    <w:rsid w:val="005661B5"/>
    <w:rsid w:val="005940A9"/>
    <w:rsid w:val="005B4A4E"/>
    <w:rsid w:val="005F1DA6"/>
    <w:rsid w:val="00600834"/>
    <w:rsid w:val="006C17FC"/>
    <w:rsid w:val="00745844"/>
    <w:rsid w:val="007541E1"/>
    <w:rsid w:val="0079226F"/>
    <w:rsid w:val="00797438"/>
    <w:rsid w:val="007A233F"/>
    <w:rsid w:val="007A4F0C"/>
    <w:rsid w:val="007C4BD7"/>
    <w:rsid w:val="007D6A2B"/>
    <w:rsid w:val="00863BCB"/>
    <w:rsid w:val="00863FE5"/>
    <w:rsid w:val="008806B9"/>
    <w:rsid w:val="008A623B"/>
    <w:rsid w:val="008D68BF"/>
    <w:rsid w:val="008E35D0"/>
    <w:rsid w:val="00980F42"/>
    <w:rsid w:val="009B1E6D"/>
    <w:rsid w:val="00A1606B"/>
    <w:rsid w:val="00A27AF7"/>
    <w:rsid w:val="00A55962"/>
    <w:rsid w:val="00A56507"/>
    <w:rsid w:val="00A84DEE"/>
    <w:rsid w:val="00AB38C6"/>
    <w:rsid w:val="00AC360B"/>
    <w:rsid w:val="00AF2488"/>
    <w:rsid w:val="00B122E7"/>
    <w:rsid w:val="00B270E7"/>
    <w:rsid w:val="00B54683"/>
    <w:rsid w:val="00B6161C"/>
    <w:rsid w:val="00B94687"/>
    <w:rsid w:val="00BC4F43"/>
    <w:rsid w:val="00BE08D3"/>
    <w:rsid w:val="00BF4894"/>
    <w:rsid w:val="00C209F5"/>
    <w:rsid w:val="00C96B73"/>
    <w:rsid w:val="00CB2A5F"/>
    <w:rsid w:val="00CC30E1"/>
    <w:rsid w:val="00CD29CA"/>
    <w:rsid w:val="00CE0E02"/>
    <w:rsid w:val="00D05E8D"/>
    <w:rsid w:val="00D06C19"/>
    <w:rsid w:val="00D164AE"/>
    <w:rsid w:val="00D179C0"/>
    <w:rsid w:val="00D369FD"/>
    <w:rsid w:val="00D51B36"/>
    <w:rsid w:val="00D63133"/>
    <w:rsid w:val="00DB0837"/>
    <w:rsid w:val="00DC74E9"/>
    <w:rsid w:val="00DD190B"/>
    <w:rsid w:val="00E406C7"/>
    <w:rsid w:val="00E543B5"/>
    <w:rsid w:val="00E568DE"/>
    <w:rsid w:val="00E60D53"/>
    <w:rsid w:val="00EC2BFC"/>
    <w:rsid w:val="00ED124F"/>
    <w:rsid w:val="00ED1695"/>
    <w:rsid w:val="00EF02B7"/>
    <w:rsid w:val="00EF08AC"/>
    <w:rsid w:val="00F10C45"/>
    <w:rsid w:val="00F173FB"/>
    <w:rsid w:val="00F3377D"/>
    <w:rsid w:val="00F40260"/>
    <w:rsid w:val="00F64976"/>
    <w:rsid w:val="00FA3274"/>
    <w:rsid w:val="00FB3921"/>
    <w:rsid w:val="00FC53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11B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1A"/>
  </w:style>
  <w:style w:type="paragraph" w:styleId="Heading1">
    <w:name w:val="heading 1"/>
    <w:basedOn w:val="Normal"/>
    <w:next w:val="Normal"/>
    <w:link w:val="Heading1Char"/>
    <w:uiPriority w:val="9"/>
    <w:qFormat/>
    <w:rsid w:val="003D38A5"/>
    <w:pPr>
      <w:jc w:val="center"/>
      <w:outlineLvl w:val="0"/>
    </w:pPr>
    <w:rPr>
      <w:b/>
      <w:bCs/>
    </w:rPr>
  </w:style>
  <w:style w:type="paragraph" w:styleId="Heading2">
    <w:name w:val="heading 2"/>
    <w:basedOn w:val="Heading3"/>
    <w:next w:val="Normal"/>
    <w:link w:val="Heading2Char"/>
    <w:uiPriority w:val="9"/>
    <w:unhideWhenUsed/>
    <w:qFormat/>
    <w:rsid w:val="003D38A5"/>
    <w:pPr>
      <w:outlineLvl w:val="1"/>
    </w:pPr>
  </w:style>
  <w:style w:type="paragraph" w:styleId="Heading3">
    <w:name w:val="heading 3"/>
    <w:basedOn w:val="Normal"/>
    <w:next w:val="Normal"/>
    <w:link w:val="Heading3Char"/>
    <w:uiPriority w:val="9"/>
    <w:unhideWhenUsed/>
    <w:qFormat/>
    <w:rsid w:val="003D38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8A5"/>
    <w:rPr>
      <w:b/>
      <w:bCs/>
    </w:rPr>
  </w:style>
  <w:style w:type="character" w:customStyle="1" w:styleId="Heading2Char">
    <w:name w:val="Heading 2 Char"/>
    <w:basedOn w:val="DefaultParagraphFont"/>
    <w:link w:val="Heading2"/>
    <w:uiPriority w:val="9"/>
    <w:rsid w:val="003D38A5"/>
    <w:rPr>
      <w:rFonts w:asciiTheme="majorHAnsi" w:eastAsiaTheme="majorEastAsia" w:hAnsiTheme="majorHAnsi" w:cstheme="majorBidi"/>
      <w:color w:val="1F3763" w:themeColor="accent1" w:themeShade="7F"/>
      <w:sz w:val="24"/>
      <w:szCs w:val="24"/>
    </w:rPr>
  </w:style>
  <w:style w:type="character" w:customStyle="1" w:styleId="Heading3Char">
    <w:name w:val="Heading 3 Char"/>
    <w:basedOn w:val="DefaultParagraphFont"/>
    <w:link w:val="Heading3"/>
    <w:uiPriority w:val="9"/>
    <w:rsid w:val="003D38A5"/>
    <w:rPr>
      <w:rFonts w:asciiTheme="majorHAnsi" w:eastAsiaTheme="majorEastAsia" w:hAnsiTheme="majorHAnsi" w:cstheme="majorBidi"/>
      <w:color w:val="1F3763" w:themeColor="accent1" w:themeShade="7F"/>
      <w:sz w:val="24"/>
      <w:szCs w:val="24"/>
    </w:rPr>
  </w:style>
  <w:style w:type="paragraph" w:styleId="ListParagraph">
    <w:name w:val="List Paragraph"/>
    <w:aliases w:val="Resume Title,Citation List,Ha,List Paragraph1,Body,List Paragraph_Table bullets,Lettre d'introduction,Paragrafo elenco,heading 4,Graphic,Numbered Paragraph,Main numbered paragraph,References,Numbered List Paragraph,123 List Paragraph,H.4"/>
    <w:basedOn w:val="Normal"/>
    <w:link w:val="ListParagraphChar"/>
    <w:uiPriority w:val="34"/>
    <w:qFormat/>
    <w:rsid w:val="003D38A5"/>
    <w:pPr>
      <w:ind w:left="720"/>
      <w:contextualSpacing/>
    </w:pPr>
  </w:style>
  <w:style w:type="paragraph" w:styleId="Footer">
    <w:name w:val="footer"/>
    <w:basedOn w:val="Normal"/>
    <w:link w:val="FooterChar"/>
    <w:uiPriority w:val="99"/>
    <w:unhideWhenUsed/>
    <w:rsid w:val="003D3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8A5"/>
  </w:style>
  <w:style w:type="table" w:customStyle="1" w:styleId="GridTable5Dark-Accent11">
    <w:name w:val="Grid Table 5 Dark - Accent 11"/>
    <w:basedOn w:val="TableNormal"/>
    <w:next w:val="GridTable5Dark-Accent1"/>
    <w:uiPriority w:val="50"/>
    <w:rsid w:val="003D38A5"/>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F3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5C5B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5C5B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5C5B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5C5B4"/>
      </w:tcPr>
    </w:tblStylePr>
    <w:tblStylePr w:type="band1Vert">
      <w:tblPr/>
      <w:tcPr>
        <w:shd w:val="clear" w:color="auto" w:fill="C1E7E0"/>
      </w:tcPr>
    </w:tblStylePr>
    <w:tblStylePr w:type="band1Horz">
      <w:tblPr/>
      <w:tcPr>
        <w:shd w:val="clear" w:color="auto" w:fill="C1E7E0"/>
      </w:tcPr>
    </w:tblStylePr>
  </w:style>
  <w:style w:type="table" w:styleId="GridTable5Dark-Accent1">
    <w:name w:val="Grid Table 5 Dark Accent 1"/>
    <w:basedOn w:val="TableNormal"/>
    <w:uiPriority w:val="50"/>
    <w:rsid w:val="003D38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CommentReference">
    <w:name w:val="annotation reference"/>
    <w:basedOn w:val="DefaultParagraphFont"/>
    <w:uiPriority w:val="99"/>
    <w:semiHidden/>
    <w:unhideWhenUsed/>
    <w:rsid w:val="00AF2488"/>
    <w:rPr>
      <w:sz w:val="16"/>
      <w:szCs w:val="16"/>
    </w:rPr>
  </w:style>
  <w:style w:type="paragraph" w:styleId="CommentText">
    <w:name w:val="annotation text"/>
    <w:basedOn w:val="Normal"/>
    <w:link w:val="CommentTextChar"/>
    <w:uiPriority w:val="99"/>
    <w:semiHidden/>
    <w:unhideWhenUsed/>
    <w:rsid w:val="00AF2488"/>
    <w:pPr>
      <w:spacing w:line="240" w:lineRule="auto"/>
    </w:pPr>
    <w:rPr>
      <w:sz w:val="20"/>
      <w:szCs w:val="20"/>
    </w:rPr>
  </w:style>
  <w:style w:type="character" w:customStyle="1" w:styleId="CommentTextChar">
    <w:name w:val="Comment Text Char"/>
    <w:basedOn w:val="DefaultParagraphFont"/>
    <w:link w:val="CommentText"/>
    <w:uiPriority w:val="99"/>
    <w:semiHidden/>
    <w:rsid w:val="00AF2488"/>
    <w:rPr>
      <w:sz w:val="20"/>
      <w:szCs w:val="20"/>
    </w:rPr>
  </w:style>
  <w:style w:type="paragraph" w:styleId="CommentSubject">
    <w:name w:val="annotation subject"/>
    <w:basedOn w:val="CommentText"/>
    <w:next w:val="CommentText"/>
    <w:link w:val="CommentSubjectChar"/>
    <w:uiPriority w:val="99"/>
    <w:semiHidden/>
    <w:unhideWhenUsed/>
    <w:rsid w:val="00AF2488"/>
    <w:rPr>
      <w:b/>
      <w:bCs/>
    </w:rPr>
  </w:style>
  <w:style w:type="character" w:customStyle="1" w:styleId="CommentSubjectChar">
    <w:name w:val="Comment Subject Char"/>
    <w:basedOn w:val="CommentTextChar"/>
    <w:link w:val="CommentSubject"/>
    <w:uiPriority w:val="99"/>
    <w:semiHidden/>
    <w:rsid w:val="00AF2488"/>
    <w:rPr>
      <w:b/>
      <w:bCs/>
      <w:sz w:val="20"/>
      <w:szCs w:val="20"/>
    </w:rPr>
  </w:style>
  <w:style w:type="character" w:customStyle="1" w:styleId="ListParagraphChar">
    <w:name w:val="List Paragraph Char"/>
    <w:aliases w:val="Resume Title Char,Citation List Char,Ha Char,List Paragraph1 Char,Body Char,List Paragraph_Table bullets Char,Lettre d'introduction Char,Paragrafo elenco Char,heading 4 Char,Graphic Char,Numbered Paragraph Char,References Char"/>
    <w:link w:val="ListParagraph"/>
    <w:uiPriority w:val="34"/>
    <w:qFormat/>
    <w:rsid w:val="00E60D53"/>
  </w:style>
  <w:style w:type="paragraph" w:styleId="Header">
    <w:name w:val="header"/>
    <w:basedOn w:val="Normal"/>
    <w:link w:val="HeaderChar"/>
    <w:uiPriority w:val="99"/>
    <w:unhideWhenUsed/>
    <w:rsid w:val="009B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FFFFFF"/>
      </a:dk1>
      <a:lt1>
        <a:srgbClr val="FFFFFF"/>
      </a:lt1>
      <a:dk2>
        <a:srgbClr val="FFFFFF"/>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0B680-D1C7-42EF-853A-2E409830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9207</Characters>
  <Application>Microsoft Office Word</Application>
  <DocSecurity>0</DocSecurity>
  <Lines>412</Lines>
  <Paragraphs>99</Paragraphs>
  <ScaleCrop>false</ScaleCrop>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Independent Evaluation DFAT Management Response</dc:title>
  <dc:subject/>
  <dc:creator/>
  <cp:keywords>[SEC=OFFICIAL]</cp:keywords>
  <dc:description/>
  <cp:lastModifiedBy/>
  <cp:revision>1</cp:revision>
  <dcterms:created xsi:type="dcterms:W3CDTF">2023-01-03T22:48:00Z</dcterms:created>
  <dcterms:modified xsi:type="dcterms:W3CDTF">2023-01-03T22:48:00Z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662CFCC93A3248A5A0CFCC8126E5DA05</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2023-01-03T22:48:49Z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BFB0B7310F84A1B3807BF65F9893439A</vt:lpwstr>
  </property>
  <property fmtid="{D5CDD505-2E9C-101B-9397-08002B2CF9AE}" pid="20" name="PM_Hash_Salt">
    <vt:lpwstr>F1B4170004DADF4CC34D093473F0826D</vt:lpwstr>
  </property>
  <property fmtid="{D5CDD505-2E9C-101B-9397-08002B2CF9AE}" pid="21" name="PM_Hash_SHA1">
    <vt:lpwstr>3AEC55CFD65A77EAA0B5E8433C9C46FE4D66F4E3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ies>
</file>