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PlainGridBlack"/>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9396E" w14:paraId="06D10116" w14:textId="77777777" w:rsidTr="52E2F618">
        <w:trPr>
          <w:trHeight w:val="14109"/>
        </w:trPr>
        <w:tc>
          <w:tcPr>
            <w:tcW w:w="9638" w:type="dxa"/>
            <w:vAlign w:val="bottom"/>
          </w:tcPr>
          <w:p w14:paraId="76FAAE59" w14:textId="30099107" w:rsidR="0099396E" w:rsidRPr="00770AC5" w:rsidRDefault="00BF11FD" w:rsidP="0041207F">
            <w:pPr>
              <w:pStyle w:val="CoverTitle"/>
              <w:numPr>
                <w:ilvl w:val="0"/>
                <w:numId w:val="0"/>
              </w:numPr>
              <w:rPr>
                <w:color w:val="152651" w:themeColor="background2" w:themeShade="BF"/>
                <w:sz w:val="56"/>
                <w:szCs w:val="56"/>
              </w:rPr>
            </w:pPr>
            <w:sdt>
              <w:sdtPr>
                <w:rPr>
                  <w:rFonts w:cstheme="minorBidi"/>
                  <w:color w:val="152651" w:themeColor="background2" w:themeShade="BF"/>
                  <w:sz w:val="48"/>
                  <w:szCs w:val="48"/>
                </w:rPr>
                <w:alias w:val="Links to footer - Don't add line breaks"/>
                <w:tag w:val="Don't add line breaks"/>
                <w:id w:val="-1881004855"/>
                <w:lock w:val="sdtLocked"/>
                <w:placeholder>
                  <w:docPart w:val="626E32B1EFA5425780D29F502314FE7A"/>
                </w:placeholder>
                <w:text/>
              </w:sdtPr>
              <w:sdtEndPr/>
              <w:sdtContent>
                <w:r w:rsidR="26EB32F4" w:rsidRPr="52E2F618" w:rsidDel="003E2B21">
                  <w:rPr>
                    <w:rFonts w:cstheme="minorBidi"/>
                    <w:color w:val="152651" w:themeColor="background2" w:themeShade="BF"/>
                    <w:sz w:val="48"/>
                    <w:szCs w:val="48"/>
                  </w:rPr>
                  <w:t>Australia-Cambodia Cooperation for Equitable Sustainable Services (ACCESS) End of program evaluation</w:t>
                </w:r>
              </w:sdtContent>
            </w:sdt>
          </w:p>
          <w:p w14:paraId="09FF7B15" w14:textId="406BA0C0" w:rsidR="009D07D2" w:rsidRPr="00D87566" w:rsidRDefault="7A395E7F" w:rsidP="00D26351">
            <w:pPr>
              <w:pStyle w:val="CoverSubtitle"/>
              <w:numPr>
                <w:ilvl w:val="0"/>
                <w:numId w:val="0"/>
              </w:numPr>
              <w:rPr>
                <w:color w:val="152651" w:themeColor="background2" w:themeShade="BF"/>
                <w:sz w:val="40"/>
                <w:szCs w:val="40"/>
              </w:rPr>
            </w:pPr>
            <w:r w:rsidRPr="1AE28926">
              <w:rPr>
                <w:color w:val="152651" w:themeColor="background2" w:themeShade="BF"/>
                <w:sz w:val="40"/>
                <w:szCs w:val="40"/>
              </w:rPr>
              <w:t xml:space="preserve">FINAL </w:t>
            </w:r>
            <w:r w:rsidR="00DC7C48" w:rsidRPr="1AE28926">
              <w:rPr>
                <w:color w:val="152651" w:themeColor="background2" w:themeShade="BF"/>
                <w:sz w:val="40"/>
                <w:szCs w:val="40"/>
              </w:rPr>
              <w:t>Report</w:t>
            </w:r>
          </w:p>
          <w:p w14:paraId="29218AA7" w14:textId="4A0AE6DE" w:rsidR="0099396E" w:rsidRPr="00C662C7" w:rsidRDefault="0099396E" w:rsidP="00D26351">
            <w:pPr>
              <w:pStyle w:val="CoverDetail"/>
              <w:numPr>
                <w:ilvl w:val="0"/>
                <w:numId w:val="0"/>
              </w:numPr>
              <w:rPr>
                <w:color w:val="152651" w:themeColor="background2" w:themeShade="BF"/>
              </w:rPr>
            </w:pPr>
          </w:p>
        </w:tc>
      </w:tr>
      <w:bookmarkStart w:id="0" w:name="_Toc116328060"/>
      <w:bookmarkStart w:id="1" w:name="_Toc116371547"/>
      <w:bookmarkStart w:id="2" w:name="_Toc116371744"/>
      <w:tr w:rsidR="00D67843" w14:paraId="3424CA55" w14:textId="77777777" w:rsidTr="52E2F618">
        <w:trPr>
          <w:trHeight w:val="3679"/>
        </w:trPr>
        <w:tc>
          <w:tcPr>
            <w:tcW w:w="9638" w:type="dxa"/>
            <w:vAlign w:val="bottom"/>
          </w:tcPr>
          <w:p w14:paraId="6CDEA31F" w14:textId="2149E1E8" w:rsidR="00D67843" w:rsidRDefault="00B3397F">
            <w:pPr>
              <w:pStyle w:val="CoverDetail"/>
              <w:numPr>
                <w:ilvl w:val="0"/>
                <w:numId w:val="0"/>
              </w:numPr>
            </w:pPr>
            <w:r>
              <w:rPr>
                <w:noProof/>
              </w:rPr>
              <w:lastRenderedPageBreak/>
              <mc:AlternateContent>
                <mc:Choice Requires="wps">
                  <w:drawing>
                    <wp:anchor distT="0" distB="0" distL="114300" distR="114300" simplePos="0" relativeHeight="251658243" behindDoc="1" locked="0" layoutInCell="1" allowOverlap="1" wp14:anchorId="407FCC3E" wp14:editId="4848502D">
                      <wp:simplePos x="0" y="0"/>
                      <wp:positionH relativeFrom="page">
                        <wp:posOffset>-928370</wp:posOffset>
                      </wp:positionH>
                      <wp:positionV relativeFrom="paragraph">
                        <wp:posOffset>-1331595</wp:posOffset>
                      </wp:positionV>
                      <wp:extent cx="7772400" cy="10876280"/>
                      <wp:effectExtent l="0" t="0" r="0" b="1270"/>
                      <wp:wrapNone/>
                      <wp:docPr id="48" name="Rectangle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1087628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5F76A07" id="Rectangle 48" o:spid="_x0000_s1026" alt="&quot;&quot;" style="position:absolute;margin-left:-73.1pt;margin-top:-104.85pt;width:612pt;height:856.4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" fillcolor="#1d336d [3214]" stroked="f" strokeweight="2pt">
                      <w10:wrap anchorx="page"/>
                    </v:rect>
                  </w:pict>
                </mc:Fallback>
              </mc:AlternateContent>
            </w:r>
          </w:p>
        </w:tc>
      </w:tr>
    </w:tbl>
    <w:sdt>
      <w:sdtPr>
        <w:rPr>
          <w:rStyle w:val="FooterChar"/>
        </w:rPr>
        <w:alias w:val="DOUBLE CLICK HERE THEN HIT DELETE TO REMOVE PAGE"/>
        <w:tag w:val="DOUBLE CLICK HERE THEN HIT DELETE TO REMOVE"/>
        <w:id w:val="-2088531164"/>
        <w:placeholder>
          <w:docPart w:val="33072C33702148039A3108086FF4FD7D"/>
        </w:placeholder>
        <w15:color w:val="FF00FF"/>
      </w:sdtPr>
      <w:sdtEndPr>
        <w:rPr>
          <w:rStyle w:val="FooterChar"/>
        </w:rPr>
      </w:sdtEndPr>
      <w:sdtContent>
        <w:p w14:paraId="0272F247" w14:textId="42855F56" w:rsidR="00D67843" w:rsidRPr="00DD016A" w:rsidRDefault="00D67843" w:rsidP="00D67843">
          <w:pPr>
            <w:rPr>
              <w:rStyle w:val="FooterChar"/>
            </w:rPr>
          </w:pPr>
        </w:p>
        <w:p w14:paraId="0EC547A4" w14:textId="34CC4164" w:rsidR="00D67843" w:rsidRDefault="00B3397F" w:rsidP="00D202CA">
          <w:pPr>
            <w:spacing w:after="0" w:line="240" w:lineRule="auto"/>
            <w:jc w:val="right"/>
          </w:pPr>
          <w:r>
            <w:rPr>
              <w:noProof/>
            </w:rPr>
            <w:drawing>
              <wp:inline distT="0" distB="0" distL="0" distR="0" wp14:anchorId="640167BB" wp14:editId="17F9C602">
                <wp:extent cx="1814830" cy="660400"/>
                <wp:effectExtent l="0" t="0" r="0" b="6350"/>
                <wp:docPr id="60" name="Picture 60" descr="Alinea Internation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linea International logo"/>
                        <pic:cNvPicPr/>
                      </pic:nvPicPr>
                      <pic:blipFill>
                        <a:blip r:embed="rId8"/>
                        <a:stretch>
                          <a:fillRect/>
                        </a:stretch>
                      </pic:blipFill>
                      <pic:spPr>
                        <a:xfrm>
                          <a:off x="0" y="0"/>
                          <a:ext cx="1814830" cy="660400"/>
                        </a:xfrm>
                        <a:prstGeom prst="rect">
                          <a:avLst/>
                        </a:prstGeom>
                      </pic:spPr>
                    </pic:pic>
                  </a:graphicData>
                </a:graphic>
              </wp:inline>
            </w:drawing>
          </w:r>
        </w:p>
      </w:sdtContent>
    </w:sdt>
    <w:p w14:paraId="415A1AC0" w14:textId="5A6762B4" w:rsidR="00D67843" w:rsidRDefault="009668AB" w:rsidP="00D67843">
      <w:pPr>
        <w:spacing w:after="0" w:line="240" w:lineRule="auto"/>
        <w:sectPr w:rsidR="00D67843" w:rsidSect="008253D4">
          <w:headerReference w:type="default" r:id="rId9"/>
          <w:footerReference w:type="default" r:id="rId10"/>
          <w:headerReference w:type="first" r:id="rId11"/>
          <w:footerReference w:type="first" r:id="rId12"/>
          <w:pgSz w:w="11906" w:h="16838" w:code="9"/>
          <w:pgMar w:top="1701" w:right="1134" w:bottom="1418" w:left="1134" w:header="851" w:footer="454" w:gutter="0"/>
          <w:cols w:space="709"/>
          <w:titlePg/>
          <w:docGrid w:linePitch="360"/>
        </w:sectPr>
      </w:pPr>
      <w:r w:rsidRPr="00DD016A">
        <w:rPr>
          <w:rStyle w:val="FooterChar"/>
          <w:noProof/>
        </w:rPr>
        <mc:AlternateContent>
          <mc:Choice Requires="wps">
            <w:drawing>
              <wp:inline distT="0" distB="0" distL="0" distR="0" wp14:anchorId="4B428402" wp14:editId="51CF1ACA">
                <wp:extent cx="6115685" cy="4050030"/>
                <wp:effectExtent l="0" t="0" r="0" b="7620"/>
                <wp:docPr id="32" name="Rectangle 32"/>
                <wp:cNvGraphicFramePr/>
                <a:graphic xmlns:a="http://schemas.openxmlformats.org/drawingml/2006/main">
                  <a:graphicData uri="http://schemas.microsoft.com/office/word/2010/wordprocessingShape">
                    <wps:wsp>
                      <wps:cNvSpPr/>
                      <wps:spPr>
                        <a:xfrm>
                          <a:off x="0" y="0"/>
                          <a:ext cx="6115685" cy="405003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3FB4AB" w14:textId="77777777" w:rsidR="009668AB" w:rsidRPr="00A85281" w:rsidRDefault="009668AB" w:rsidP="009668AB">
                            <w:pPr>
                              <w:pStyle w:val="CoverInsideDetail"/>
                              <w:rPr>
                                <w:color w:val="E4EAF8"/>
                              </w:rPr>
                            </w:pPr>
                            <w:r w:rsidRPr="00A85281">
                              <w:rPr>
                                <w:color w:val="E4EAF8"/>
                              </w:rPr>
                              <w:t>Report prepared by:</w:t>
                            </w:r>
                          </w:p>
                          <w:p w14:paraId="0002BC52" w14:textId="77777777" w:rsidR="009668AB" w:rsidRPr="00A85281" w:rsidRDefault="00BF11FD" w:rsidP="009668AB">
                            <w:pPr>
                              <w:pStyle w:val="CoverDetailWhite"/>
                              <w:jc w:val="both"/>
                              <w:rPr>
                                <w:color w:val="E4EAF8"/>
                              </w:rPr>
                            </w:pPr>
                            <w:sdt>
                              <w:sdtPr>
                                <w:rPr>
                                  <w:color w:val="E4EAF8"/>
                                </w:rPr>
                                <w:alias w:val="Position"/>
                                <w:tag w:val="Position"/>
                                <w:id w:val="-1891483211"/>
                                <w:text/>
                              </w:sdtPr>
                              <w:sdtEndPr/>
                              <w:sdtContent>
                                <w:r w:rsidR="009668AB" w:rsidRPr="00A85281">
                                  <w:rPr>
                                    <w:color w:val="E4EAF8"/>
                                  </w:rPr>
                                  <w:t xml:space="preserve">Alinea International – Mia </w:t>
                                </w:r>
                                <w:proofErr w:type="spellStart"/>
                                <w:r w:rsidR="009668AB" w:rsidRPr="00A85281">
                                  <w:rPr>
                                    <w:color w:val="E4EAF8"/>
                                  </w:rPr>
                                  <w:t>Urbano</w:t>
                                </w:r>
                                <w:proofErr w:type="spellEnd"/>
                                <w:r w:rsidR="009668AB" w:rsidRPr="00A85281">
                                  <w:rPr>
                                    <w:color w:val="E4EAF8"/>
                                  </w:rPr>
                                  <w:t xml:space="preserve">, Kim Vesely, Phoebe </w:t>
                                </w:r>
                                <w:proofErr w:type="spellStart"/>
                                <w:r w:rsidR="009668AB" w:rsidRPr="00A85281">
                                  <w:rPr>
                                    <w:color w:val="E4EAF8"/>
                                  </w:rPr>
                                  <w:t>Hardefeldt</w:t>
                                </w:r>
                                <w:proofErr w:type="spellEnd"/>
                                <w:r w:rsidR="009668AB" w:rsidRPr="00A85281">
                                  <w:rPr>
                                    <w:color w:val="E4EAF8"/>
                                  </w:rPr>
                                  <w:t xml:space="preserve">, </w:t>
                                </w:r>
                                <w:proofErr w:type="spellStart"/>
                                <w:r w:rsidR="009668AB" w:rsidRPr="00A85281">
                                  <w:rPr>
                                    <w:color w:val="E4EAF8"/>
                                  </w:rPr>
                                  <w:t>Sereyroth</w:t>
                                </w:r>
                                <w:proofErr w:type="spellEnd"/>
                                <w:r w:rsidR="009668AB" w:rsidRPr="00A85281">
                                  <w:rPr>
                                    <w:color w:val="E4EAF8"/>
                                  </w:rPr>
                                  <w:t xml:space="preserve"> Lim, Georgia Naughton-Watt</w:t>
                                </w:r>
                              </w:sdtContent>
                            </w:sdt>
                          </w:p>
                          <w:p w14:paraId="03FF521C" w14:textId="77777777" w:rsidR="009668AB" w:rsidRPr="00A85281" w:rsidRDefault="009668AB" w:rsidP="009668AB">
                            <w:pPr>
                              <w:pStyle w:val="CoverDetailWhite"/>
                              <w:jc w:val="both"/>
                              <w:rPr>
                                <w:color w:val="E4EAF8"/>
                              </w:rPr>
                            </w:pPr>
                            <w:r w:rsidRPr="00A85281">
                              <w:rPr>
                                <w:color w:val="E4EAF8"/>
                              </w:rPr>
                              <w:t xml:space="preserve">alineainternational.com  </w:t>
                            </w:r>
                          </w:p>
                          <w:p w14:paraId="74FDB81D" w14:textId="77777777" w:rsidR="009668AB" w:rsidRPr="00A85281" w:rsidRDefault="009668AB" w:rsidP="009668AB">
                            <w:pPr>
                              <w:pStyle w:val="CoverDetailWhite"/>
                              <w:jc w:val="both"/>
                              <w:rPr>
                                <w:color w:val="E4EAF8"/>
                              </w:rPr>
                            </w:pPr>
                          </w:p>
                          <w:p w14:paraId="448D2432" w14:textId="77777777" w:rsidR="009668AB" w:rsidRPr="00A85281" w:rsidRDefault="009668AB" w:rsidP="009668AB">
                            <w:pPr>
                              <w:pStyle w:val="CoverDetailWhite"/>
                              <w:spacing w:after="120"/>
                              <w:contextualSpacing w:val="0"/>
                              <w:jc w:val="both"/>
                              <w:rPr>
                                <w:color w:val="E4EAF8"/>
                              </w:rPr>
                            </w:pPr>
                            <w:r w:rsidRPr="00A85281">
                              <w:rPr>
                                <w:color w:val="E4EAF8"/>
                              </w:rPr>
                              <w:t xml:space="preserve">Front Cover Image: </w:t>
                            </w:r>
                            <w:proofErr w:type="spellStart"/>
                            <w:r w:rsidRPr="00A85281">
                              <w:rPr>
                                <w:color w:val="E4EAF8"/>
                              </w:rPr>
                              <w:t>Kaheng</w:t>
                            </w:r>
                            <w:proofErr w:type="spellEnd"/>
                            <w:r w:rsidRPr="00A85281">
                              <w:rPr>
                                <w:color w:val="E4EAF8"/>
                              </w:rPr>
                              <w:t xml:space="preserve"> Community Hall, in Kampong </w:t>
                            </w:r>
                            <w:proofErr w:type="spellStart"/>
                            <w:r w:rsidRPr="00A85281">
                              <w:rPr>
                                <w:color w:val="E4EAF8"/>
                              </w:rPr>
                              <w:t>Speu</w:t>
                            </w:r>
                            <w:proofErr w:type="spellEnd"/>
                          </w:p>
                          <w:p w14:paraId="75B2760A" w14:textId="77777777" w:rsidR="009668AB" w:rsidRPr="00A85281" w:rsidRDefault="009668AB" w:rsidP="009668AB">
                            <w:pPr>
                              <w:pStyle w:val="CoverDetailWhite"/>
                              <w:jc w:val="both"/>
                              <w:rPr>
                                <w:color w:val="E4EAF8"/>
                              </w:rPr>
                            </w:pPr>
                            <w:r w:rsidRPr="00A85281">
                              <w:rPr>
                                <w:color w:val="E4EAF8"/>
                              </w:rPr>
                              <w:t>Accessible image caption: A small community hall with tiled floors, cream walls, and a pitched roof. There is a table with some chairs, a whiteboard, and some banners inside. Tiled steps lead to the wide entrance, and there is an access ramp to the right side. There are plants and small trees beside the entrance to the hall.</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inline>
            </w:drawing>
          </mc:Choice>
          <mc:Fallback>
            <w:pict>
              <v:rect w14:anchorId="4B428402" id="Rectangle 32" o:spid="_x0000_s1026" style="width:481.55pt;height:318.9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" fillcolor="#1d336d [3214]" stroked="f" strokeweight="2pt">
                <v:textbox inset="0,0,0,0">
                  <w:txbxContent>
                    <w:p w14:paraId="2D3FB4AB" w14:textId="77777777" w:rsidR="009668AB" w:rsidRPr="00A85281" w:rsidRDefault="009668AB" w:rsidP="009668AB">
                      <w:pPr>
                        <w:pStyle w:val="CoverInsideDetail"/>
                        <w:rPr>
                          <w:color w:val="E4EAF8"/>
                        </w:rPr>
                      </w:pPr>
                      <w:r w:rsidRPr="00A85281">
                        <w:rPr>
                          <w:color w:val="E4EAF8"/>
                        </w:rPr>
                        <w:t>Report prepared by:</w:t>
                      </w:r>
                    </w:p>
                    <w:p w14:paraId="0002BC52" w14:textId="77777777" w:rsidR="009668AB" w:rsidRPr="00A85281" w:rsidRDefault="00BF11FD" w:rsidP="009668AB">
                      <w:pPr>
                        <w:pStyle w:val="CoverDetailWhite"/>
                        <w:jc w:val="both"/>
                        <w:rPr>
                          <w:color w:val="E4EAF8"/>
                        </w:rPr>
                      </w:pPr>
                      <w:sdt>
                        <w:sdtPr>
                          <w:rPr>
                            <w:color w:val="E4EAF8"/>
                          </w:rPr>
                          <w:alias w:val="Position"/>
                          <w:tag w:val="Position"/>
                          <w:id w:val="-1891483211"/>
                          <w:text/>
                        </w:sdtPr>
                        <w:sdtEndPr/>
                        <w:sdtContent>
                          <w:r w:rsidR="009668AB" w:rsidRPr="00A85281">
                            <w:rPr>
                              <w:color w:val="E4EAF8"/>
                            </w:rPr>
                            <w:t xml:space="preserve">Alinea International – Mia </w:t>
                          </w:r>
                          <w:proofErr w:type="spellStart"/>
                          <w:r w:rsidR="009668AB" w:rsidRPr="00A85281">
                            <w:rPr>
                              <w:color w:val="E4EAF8"/>
                            </w:rPr>
                            <w:t>Urbano</w:t>
                          </w:r>
                          <w:proofErr w:type="spellEnd"/>
                          <w:r w:rsidR="009668AB" w:rsidRPr="00A85281">
                            <w:rPr>
                              <w:color w:val="E4EAF8"/>
                            </w:rPr>
                            <w:t xml:space="preserve">, Kim Vesely, Phoebe </w:t>
                          </w:r>
                          <w:proofErr w:type="spellStart"/>
                          <w:r w:rsidR="009668AB" w:rsidRPr="00A85281">
                            <w:rPr>
                              <w:color w:val="E4EAF8"/>
                            </w:rPr>
                            <w:t>Hardefeldt</w:t>
                          </w:r>
                          <w:proofErr w:type="spellEnd"/>
                          <w:r w:rsidR="009668AB" w:rsidRPr="00A85281">
                            <w:rPr>
                              <w:color w:val="E4EAF8"/>
                            </w:rPr>
                            <w:t xml:space="preserve">, </w:t>
                          </w:r>
                          <w:proofErr w:type="spellStart"/>
                          <w:r w:rsidR="009668AB" w:rsidRPr="00A85281">
                            <w:rPr>
                              <w:color w:val="E4EAF8"/>
                            </w:rPr>
                            <w:t>Sereyroth</w:t>
                          </w:r>
                          <w:proofErr w:type="spellEnd"/>
                          <w:r w:rsidR="009668AB" w:rsidRPr="00A85281">
                            <w:rPr>
                              <w:color w:val="E4EAF8"/>
                            </w:rPr>
                            <w:t xml:space="preserve"> Lim, Georgia Naughton-Watt</w:t>
                          </w:r>
                        </w:sdtContent>
                      </w:sdt>
                    </w:p>
                    <w:p w14:paraId="03FF521C" w14:textId="77777777" w:rsidR="009668AB" w:rsidRPr="00A85281" w:rsidRDefault="009668AB" w:rsidP="009668AB">
                      <w:pPr>
                        <w:pStyle w:val="CoverDetailWhite"/>
                        <w:jc w:val="both"/>
                        <w:rPr>
                          <w:color w:val="E4EAF8"/>
                        </w:rPr>
                      </w:pPr>
                      <w:r w:rsidRPr="00A85281">
                        <w:rPr>
                          <w:color w:val="E4EAF8"/>
                        </w:rPr>
                        <w:t xml:space="preserve">alineainternational.com  </w:t>
                      </w:r>
                    </w:p>
                    <w:p w14:paraId="74FDB81D" w14:textId="77777777" w:rsidR="009668AB" w:rsidRPr="00A85281" w:rsidRDefault="009668AB" w:rsidP="009668AB">
                      <w:pPr>
                        <w:pStyle w:val="CoverDetailWhite"/>
                        <w:jc w:val="both"/>
                        <w:rPr>
                          <w:color w:val="E4EAF8"/>
                        </w:rPr>
                      </w:pPr>
                    </w:p>
                    <w:p w14:paraId="448D2432" w14:textId="77777777" w:rsidR="009668AB" w:rsidRPr="00A85281" w:rsidRDefault="009668AB" w:rsidP="009668AB">
                      <w:pPr>
                        <w:pStyle w:val="CoverDetailWhite"/>
                        <w:spacing w:after="120"/>
                        <w:contextualSpacing w:val="0"/>
                        <w:jc w:val="both"/>
                        <w:rPr>
                          <w:color w:val="E4EAF8"/>
                        </w:rPr>
                      </w:pPr>
                      <w:r w:rsidRPr="00A85281">
                        <w:rPr>
                          <w:color w:val="E4EAF8"/>
                        </w:rPr>
                        <w:t xml:space="preserve">Front Cover Image: </w:t>
                      </w:r>
                      <w:proofErr w:type="spellStart"/>
                      <w:r w:rsidRPr="00A85281">
                        <w:rPr>
                          <w:color w:val="E4EAF8"/>
                        </w:rPr>
                        <w:t>Kaheng</w:t>
                      </w:r>
                      <w:proofErr w:type="spellEnd"/>
                      <w:r w:rsidRPr="00A85281">
                        <w:rPr>
                          <w:color w:val="E4EAF8"/>
                        </w:rPr>
                        <w:t xml:space="preserve"> Community Hall, in Kampong </w:t>
                      </w:r>
                      <w:proofErr w:type="spellStart"/>
                      <w:r w:rsidRPr="00A85281">
                        <w:rPr>
                          <w:color w:val="E4EAF8"/>
                        </w:rPr>
                        <w:t>Speu</w:t>
                      </w:r>
                      <w:proofErr w:type="spellEnd"/>
                    </w:p>
                    <w:p w14:paraId="75B2760A" w14:textId="77777777" w:rsidR="009668AB" w:rsidRPr="00A85281" w:rsidRDefault="009668AB" w:rsidP="009668AB">
                      <w:pPr>
                        <w:pStyle w:val="CoverDetailWhite"/>
                        <w:jc w:val="both"/>
                        <w:rPr>
                          <w:color w:val="E4EAF8"/>
                        </w:rPr>
                      </w:pPr>
                      <w:r w:rsidRPr="00A85281">
                        <w:rPr>
                          <w:color w:val="E4EAF8"/>
                        </w:rPr>
                        <w:t>Accessible image caption: A small community hall with tiled floors, cream walls, and a pitched roof. There is a table with some chairs, a whiteboard, and some banners inside. Tiled steps lead to the wide entrance, and there is an access ramp to the right side. There are plants and small trees beside the entrance to the hall.</w:t>
                      </w:r>
                    </w:p>
                  </w:txbxContent>
                </v:textbox>
                <w10:anchorlock/>
              </v:rect>
            </w:pict>
          </mc:Fallback>
        </mc:AlternateContent>
      </w:r>
    </w:p>
    <w:sdt>
      <w:sdtPr>
        <w:rPr>
          <w:b/>
          <w:bCs/>
          <w:iCs/>
          <w:caps/>
          <w:color w:val="1D336D" w:themeColor="background2"/>
          <w:sz w:val="22"/>
          <w:szCs w:val="26"/>
        </w:rPr>
        <w:id w:val="721494993"/>
        <w:docPartObj>
          <w:docPartGallery w:val="Table of Contents"/>
          <w:docPartUnique/>
        </w:docPartObj>
      </w:sdtPr>
      <w:sdtEndPr>
        <w:rPr>
          <w:noProof/>
        </w:rPr>
      </w:sdtEndPr>
      <w:sdtContent>
        <w:p w14:paraId="3B1A4D38" w14:textId="77777777" w:rsidR="006C18CD" w:rsidRPr="006C18CD" w:rsidRDefault="006C18CD" w:rsidP="006C18CD">
          <w:pPr>
            <w:pageBreakBefore/>
            <w:spacing w:after="720" w:line="240" w:lineRule="auto"/>
            <w:rPr>
              <w:rFonts w:asciiTheme="majorHAnsi" w:hAnsiTheme="majorHAnsi"/>
              <w:bCs/>
              <w:iCs/>
              <w:caps/>
              <w:color w:val="1D336D" w:themeColor="background2"/>
              <w:sz w:val="40"/>
              <w:szCs w:val="28"/>
            </w:rPr>
          </w:pPr>
          <w:r w:rsidRPr="006C18CD">
            <w:rPr>
              <w:rFonts w:asciiTheme="majorHAnsi" w:hAnsiTheme="majorHAnsi"/>
              <w:bCs/>
              <w:iCs/>
              <w:caps/>
              <w:color w:val="1D336D" w:themeColor="background2"/>
              <w:sz w:val="40"/>
              <w:szCs w:val="28"/>
            </w:rPr>
            <w:t>Contents</w:t>
          </w:r>
        </w:p>
        <w:p w14:paraId="5396D536" w14:textId="5D0E0170" w:rsidR="00C057B5" w:rsidRDefault="004E4A46">
          <w:pPr>
            <w:pStyle w:val="TOC1"/>
            <w:rPr>
              <w:rFonts w:eastAsiaTheme="minorEastAsia" w:cstheme="minorBidi"/>
              <w:b w:val="0"/>
              <w:bCs w:val="0"/>
              <w:iCs w:val="0"/>
              <w:caps w:val="0"/>
              <w:noProof/>
              <w:color w:val="auto"/>
              <w:szCs w:val="22"/>
            </w:rPr>
          </w:pPr>
          <w:r>
            <w:rPr>
              <w:b w:val="0"/>
              <w:bCs w:val="0"/>
              <w:iCs w:val="0"/>
              <w:caps w:val="0"/>
              <w:color w:val="2294CD"/>
            </w:rPr>
            <w:fldChar w:fldCharType="begin"/>
          </w:r>
          <w:r>
            <w:rPr>
              <w:b w:val="0"/>
              <w:bCs w:val="0"/>
              <w:iCs w:val="0"/>
              <w:caps w:val="0"/>
              <w:color w:val="2294CD"/>
            </w:rPr>
            <w:instrText xml:space="preserve"> TOC \h \z \t "Heading 1,2,Chapter Heading,1" </w:instrText>
          </w:r>
          <w:r>
            <w:rPr>
              <w:b w:val="0"/>
              <w:bCs w:val="0"/>
              <w:iCs w:val="0"/>
              <w:caps w:val="0"/>
              <w:color w:val="2294CD"/>
            </w:rPr>
            <w:fldChar w:fldCharType="separate"/>
          </w:r>
          <w:hyperlink w:anchor="_Toc122460784" w:history="1">
            <w:r w:rsidR="00C057B5" w:rsidRPr="00CE1890">
              <w:rPr>
                <w:rStyle w:val="Hyperlink"/>
                <w:noProof/>
              </w:rPr>
              <w:t>ACRONYMS</w:t>
            </w:r>
            <w:r w:rsidR="00C057B5">
              <w:rPr>
                <w:noProof/>
                <w:webHidden/>
              </w:rPr>
              <w:tab/>
            </w:r>
            <w:r w:rsidR="00C057B5">
              <w:rPr>
                <w:noProof/>
                <w:webHidden/>
              </w:rPr>
              <w:fldChar w:fldCharType="begin"/>
            </w:r>
            <w:r w:rsidR="00C057B5">
              <w:rPr>
                <w:noProof/>
                <w:webHidden/>
              </w:rPr>
              <w:instrText xml:space="preserve"> PAGEREF _Toc122460784 \h </w:instrText>
            </w:r>
            <w:r w:rsidR="00C057B5">
              <w:rPr>
                <w:noProof/>
                <w:webHidden/>
              </w:rPr>
            </w:r>
            <w:r w:rsidR="00C057B5">
              <w:rPr>
                <w:noProof/>
                <w:webHidden/>
              </w:rPr>
              <w:fldChar w:fldCharType="separate"/>
            </w:r>
            <w:r w:rsidR="00C057B5">
              <w:rPr>
                <w:noProof/>
                <w:webHidden/>
              </w:rPr>
              <w:t>4</w:t>
            </w:r>
            <w:r w:rsidR="00C057B5">
              <w:rPr>
                <w:noProof/>
                <w:webHidden/>
              </w:rPr>
              <w:fldChar w:fldCharType="end"/>
            </w:r>
          </w:hyperlink>
        </w:p>
        <w:p w14:paraId="5C7E4D5C" w14:textId="57EE3839" w:rsidR="00C057B5" w:rsidRDefault="00BF11FD">
          <w:pPr>
            <w:pStyle w:val="TOC1"/>
            <w:rPr>
              <w:rFonts w:eastAsiaTheme="minorEastAsia" w:cstheme="minorBidi"/>
              <w:b w:val="0"/>
              <w:bCs w:val="0"/>
              <w:iCs w:val="0"/>
              <w:caps w:val="0"/>
              <w:noProof/>
              <w:color w:val="auto"/>
              <w:szCs w:val="22"/>
            </w:rPr>
          </w:pPr>
          <w:hyperlink w:anchor="_Toc122460785" w:history="1">
            <w:r w:rsidR="00C057B5" w:rsidRPr="00CE1890">
              <w:rPr>
                <w:rStyle w:val="Hyperlink"/>
                <w:noProof/>
              </w:rPr>
              <w:t>ACKNOWLEDGEMENTS</w:t>
            </w:r>
            <w:r w:rsidR="00C057B5">
              <w:rPr>
                <w:noProof/>
                <w:webHidden/>
              </w:rPr>
              <w:tab/>
            </w:r>
            <w:r w:rsidR="00C057B5">
              <w:rPr>
                <w:noProof/>
                <w:webHidden/>
              </w:rPr>
              <w:fldChar w:fldCharType="begin"/>
            </w:r>
            <w:r w:rsidR="00C057B5">
              <w:rPr>
                <w:noProof/>
                <w:webHidden/>
              </w:rPr>
              <w:instrText xml:space="preserve"> PAGEREF _Toc122460785 \h </w:instrText>
            </w:r>
            <w:r w:rsidR="00C057B5">
              <w:rPr>
                <w:noProof/>
                <w:webHidden/>
              </w:rPr>
            </w:r>
            <w:r w:rsidR="00C057B5">
              <w:rPr>
                <w:noProof/>
                <w:webHidden/>
              </w:rPr>
              <w:fldChar w:fldCharType="separate"/>
            </w:r>
            <w:r w:rsidR="00C057B5">
              <w:rPr>
                <w:noProof/>
                <w:webHidden/>
              </w:rPr>
              <w:t>5</w:t>
            </w:r>
            <w:r w:rsidR="00C057B5">
              <w:rPr>
                <w:noProof/>
                <w:webHidden/>
              </w:rPr>
              <w:fldChar w:fldCharType="end"/>
            </w:r>
          </w:hyperlink>
        </w:p>
        <w:p w14:paraId="746AACF8" w14:textId="0EBF227A" w:rsidR="00C057B5" w:rsidRDefault="00BF11FD">
          <w:pPr>
            <w:pStyle w:val="TOC1"/>
            <w:rPr>
              <w:rFonts w:eastAsiaTheme="minorEastAsia" w:cstheme="minorBidi"/>
              <w:b w:val="0"/>
              <w:bCs w:val="0"/>
              <w:iCs w:val="0"/>
              <w:caps w:val="0"/>
              <w:noProof/>
              <w:color w:val="auto"/>
              <w:szCs w:val="22"/>
            </w:rPr>
          </w:pPr>
          <w:hyperlink w:anchor="_Toc122460786" w:history="1">
            <w:r w:rsidR="00C057B5" w:rsidRPr="00CE1890">
              <w:rPr>
                <w:rStyle w:val="Hyperlink"/>
                <w:noProof/>
              </w:rPr>
              <w:t>Executive summary</w:t>
            </w:r>
            <w:r w:rsidR="00C057B5">
              <w:rPr>
                <w:noProof/>
                <w:webHidden/>
              </w:rPr>
              <w:tab/>
            </w:r>
            <w:r w:rsidR="00C057B5">
              <w:rPr>
                <w:noProof/>
                <w:webHidden/>
              </w:rPr>
              <w:fldChar w:fldCharType="begin"/>
            </w:r>
            <w:r w:rsidR="00C057B5">
              <w:rPr>
                <w:noProof/>
                <w:webHidden/>
              </w:rPr>
              <w:instrText xml:space="preserve"> PAGEREF _Toc122460786 \h </w:instrText>
            </w:r>
            <w:r w:rsidR="00C057B5">
              <w:rPr>
                <w:noProof/>
                <w:webHidden/>
              </w:rPr>
            </w:r>
            <w:r w:rsidR="00C057B5">
              <w:rPr>
                <w:noProof/>
                <w:webHidden/>
              </w:rPr>
              <w:fldChar w:fldCharType="separate"/>
            </w:r>
            <w:r w:rsidR="00C057B5">
              <w:rPr>
                <w:noProof/>
                <w:webHidden/>
              </w:rPr>
              <w:t>6</w:t>
            </w:r>
            <w:r w:rsidR="00C057B5">
              <w:rPr>
                <w:noProof/>
                <w:webHidden/>
              </w:rPr>
              <w:fldChar w:fldCharType="end"/>
            </w:r>
          </w:hyperlink>
        </w:p>
        <w:p w14:paraId="3B7A8B2C" w14:textId="51408F5B" w:rsidR="00C057B5" w:rsidRDefault="00BF11FD">
          <w:pPr>
            <w:pStyle w:val="TOC2"/>
            <w:tabs>
              <w:tab w:val="right" w:leader="dot" w:pos="9628"/>
            </w:tabs>
            <w:rPr>
              <w:iCs w:val="0"/>
              <w:noProof/>
              <w:color w:val="auto"/>
              <w:sz w:val="22"/>
              <w:szCs w:val="22"/>
            </w:rPr>
          </w:pPr>
          <w:hyperlink w:anchor="_Toc122460787" w:history="1">
            <w:r w:rsidR="00C057B5" w:rsidRPr="00CE1890">
              <w:rPr>
                <w:rStyle w:val="Hyperlink"/>
                <w:bCs/>
                <w:noProof/>
              </w:rPr>
              <w:t>Introduction</w:t>
            </w:r>
            <w:r w:rsidR="00C057B5">
              <w:rPr>
                <w:noProof/>
                <w:webHidden/>
              </w:rPr>
              <w:tab/>
            </w:r>
            <w:r w:rsidR="00C057B5">
              <w:rPr>
                <w:noProof/>
                <w:webHidden/>
              </w:rPr>
              <w:fldChar w:fldCharType="begin"/>
            </w:r>
            <w:r w:rsidR="00C057B5">
              <w:rPr>
                <w:noProof/>
                <w:webHidden/>
              </w:rPr>
              <w:instrText xml:space="preserve"> PAGEREF _Toc122460787 \h </w:instrText>
            </w:r>
            <w:r w:rsidR="00C057B5">
              <w:rPr>
                <w:noProof/>
                <w:webHidden/>
              </w:rPr>
            </w:r>
            <w:r w:rsidR="00C057B5">
              <w:rPr>
                <w:noProof/>
                <w:webHidden/>
              </w:rPr>
              <w:fldChar w:fldCharType="separate"/>
            </w:r>
            <w:r w:rsidR="00C057B5">
              <w:rPr>
                <w:noProof/>
                <w:webHidden/>
              </w:rPr>
              <w:t>6</w:t>
            </w:r>
            <w:r w:rsidR="00C057B5">
              <w:rPr>
                <w:noProof/>
                <w:webHidden/>
              </w:rPr>
              <w:fldChar w:fldCharType="end"/>
            </w:r>
          </w:hyperlink>
        </w:p>
        <w:p w14:paraId="6739F22C" w14:textId="2C1C0FFD" w:rsidR="00C057B5" w:rsidRDefault="00BF11FD">
          <w:pPr>
            <w:pStyle w:val="TOC2"/>
            <w:tabs>
              <w:tab w:val="right" w:leader="dot" w:pos="9628"/>
            </w:tabs>
            <w:rPr>
              <w:iCs w:val="0"/>
              <w:noProof/>
              <w:color w:val="auto"/>
              <w:sz w:val="22"/>
              <w:szCs w:val="22"/>
            </w:rPr>
          </w:pPr>
          <w:hyperlink w:anchor="_Toc122460788" w:history="1">
            <w:r w:rsidR="00C057B5" w:rsidRPr="00CE1890">
              <w:rPr>
                <w:rStyle w:val="Hyperlink"/>
                <w:bCs/>
                <w:noProof/>
              </w:rPr>
              <w:t>Findings</w:t>
            </w:r>
            <w:r w:rsidR="00C057B5">
              <w:rPr>
                <w:noProof/>
                <w:webHidden/>
              </w:rPr>
              <w:tab/>
            </w:r>
            <w:r w:rsidR="00C057B5">
              <w:rPr>
                <w:noProof/>
                <w:webHidden/>
              </w:rPr>
              <w:fldChar w:fldCharType="begin"/>
            </w:r>
            <w:r w:rsidR="00C057B5">
              <w:rPr>
                <w:noProof/>
                <w:webHidden/>
              </w:rPr>
              <w:instrText xml:space="preserve"> PAGEREF _Toc122460788 \h </w:instrText>
            </w:r>
            <w:r w:rsidR="00C057B5">
              <w:rPr>
                <w:noProof/>
                <w:webHidden/>
              </w:rPr>
            </w:r>
            <w:r w:rsidR="00C057B5">
              <w:rPr>
                <w:noProof/>
                <w:webHidden/>
              </w:rPr>
              <w:fldChar w:fldCharType="separate"/>
            </w:r>
            <w:r w:rsidR="00C057B5">
              <w:rPr>
                <w:noProof/>
                <w:webHidden/>
              </w:rPr>
              <w:t>7</w:t>
            </w:r>
            <w:r w:rsidR="00C057B5">
              <w:rPr>
                <w:noProof/>
                <w:webHidden/>
              </w:rPr>
              <w:fldChar w:fldCharType="end"/>
            </w:r>
          </w:hyperlink>
        </w:p>
        <w:p w14:paraId="350C5DFF" w14:textId="60101425" w:rsidR="00C057B5" w:rsidRDefault="00BF11FD">
          <w:pPr>
            <w:pStyle w:val="TOC2"/>
            <w:tabs>
              <w:tab w:val="right" w:leader="dot" w:pos="9628"/>
            </w:tabs>
            <w:rPr>
              <w:iCs w:val="0"/>
              <w:noProof/>
              <w:color w:val="auto"/>
              <w:sz w:val="22"/>
              <w:szCs w:val="22"/>
            </w:rPr>
          </w:pPr>
          <w:hyperlink w:anchor="_Toc122460789" w:history="1">
            <w:r w:rsidR="00C057B5" w:rsidRPr="00CE1890">
              <w:rPr>
                <w:rStyle w:val="Hyperlink"/>
                <w:noProof/>
              </w:rPr>
              <w:t>Lessons learned and implications for future programming</w:t>
            </w:r>
            <w:r w:rsidR="00C057B5">
              <w:rPr>
                <w:noProof/>
                <w:webHidden/>
              </w:rPr>
              <w:tab/>
            </w:r>
            <w:r w:rsidR="00C057B5">
              <w:rPr>
                <w:noProof/>
                <w:webHidden/>
              </w:rPr>
              <w:fldChar w:fldCharType="begin"/>
            </w:r>
            <w:r w:rsidR="00C057B5">
              <w:rPr>
                <w:noProof/>
                <w:webHidden/>
              </w:rPr>
              <w:instrText xml:space="preserve"> PAGEREF _Toc122460789 \h </w:instrText>
            </w:r>
            <w:r w:rsidR="00C057B5">
              <w:rPr>
                <w:noProof/>
                <w:webHidden/>
              </w:rPr>
            </w:r>
            <w:r w:rsidR="00C057B5">
              <w:rPr>
                <w:noProof/>
                <w:webHidden/>
              </w:rPr>
              <w:fldChar w:fldCharType="separate"/>
            </w:r>
            <w:r w:rsidR="00C057B5">
              <w:rPr>
                <w:noProof/>
                <w:webHidden/>
              </w:rPr>
              <w:t>10</w:t>
            </w:r>
            <w:r w:rsidR="00C057B5">
              <w:rPr>
                <w:noProof/>
                <w:webHidden/>
              </w:rPr>
              <w:fldChar w:fldCharType="end"/>
            </w:r>
          </w:hyperlink>
        </w:p>
        <w:p w14:paraId="367EDB93" w14:textId="433FCE07" w:rsidR="00C057B5" w:rsidRDefault="00BF11FD">
          <w:pPr>
            <w:pStyle w:val="TOC1"/>
            <w:rPr>
              <w:rFonts w:eastAsiaTheme="minorEastAsia" w:cstheme="minorBidi"/>
              <w:b w:val="0"/>
              <w:bCs w:val="0"/>
              <w:iCs w:val="0"/>
              <w:caps w:val="0"/>
              <w:noProof/>
              <w:color w:val="auto"/>
              <w:szCs w:val="22"/>
            </w:rPr>
          </w:pPr>
          <w:hyperlink w:anchor="_Toc122460790" w:history="1">
            <w:r w:rsidR="00C057B5" w:rsidRPr="00CE1890">
              <w:rPr>
                <w:rStyle w:val="Hyperlink"/>
                <w:noProof/>
              </w:rPr>
              <w:t>Introduction and methodology</w:t>
            </w:r>
            <w:r w:rsidR="00C057B5">
              <w:rPr>
                <w:noProof/>
                <w:webHidden/>
              </w:rPr>
              <w:tab/>
            </w:r>
            <w:r w:rsidR="00C057B5">
              <w:rPr>
                <w:noProof/>
                <w:webHidden/>
              </w:rPr>
              <w:fldChar w:fldCharType="begin"/>
            </w:r>
            <w:r w:rsidR="00C057B5">
              <w:rPr>
                <w:noProof/>
                <w:webHidden/>
              </w:rPr>
              <w:instrText xml:space="preserve"> PAGEREF _Toc122460790 \h </w:instrText>
            </w:r>
            <w:r w:rsidR="00C057B5">
              <w:rPr>
                <w:noProof/>
                <w:webHidden/>
              </w:rPr>
            </w:r>
            <w:r w:rsidR="00C057B5">
              <w:rPr>
                <w:noProof/>
                <w:webHidden/>
              </w:rPr>
              <w:fldChar w:fldCharType="separate"/>
            </w:r>
            <w:r w:rsidR="00C057B5">
              <w:rPr>
                <w:noProof/>
                <w:webHidden/>
              </w:rPr>
              <w:t>14</w:t>
            </w:r>
            <w:r w:rsidR="00C057B5">
              <w:rPr>
                <w:noProof/>
                <w:webHidden/>
              </w:rPr>
              <w:fldChar w:fldCharType="end"/>
            </w:r>
          </w:hyperlink>
        </w:p>
        <w:p w14:paraId="3BBA6B5F" w14:textId="28BC48D3" w:rsidR="00C057B5" w:rsidRDefault="00BF11FD">
          <w:pPr>
            <w:pStyle w:val="TOC2"/>
            <w:tabs>
              <w:tab w:val="right" w:leader="dot" w:pos="9628"/>
            </w:tabs>
            <w:rPr>
              <w:iCs w:val="0"/>
              <w:noProof/>
              <w:color w:val="auto"/>
              <w:sz w:val="22"/>
              <w:szCs w:val="22"/>
            </w:rPr>
          </w:pPr>
          <w:hyperlink w:anchor="_Toc122460791" w:history="1">
            <w:r w:rsidR="00C057B5" w:rsidRPr="00CE1890">
              <w:rPr>
                <w:rStyle w:val="Hyperlink"/>
                <w:bCs/>
                <w:noProof/>
              </w:rPr>
              <w:t>Purpose and scope of the evaluation</w:t>
            </w:r>
            <w:r w:rsidR="00C057B5">
              <w:rPr>
                <w:noProof/>
                <w:webHidden/>
              </w:rPr>
              <w:tab/>
            </w:r>
            <w:r w:rsidR="00C057B5">
              <w:rPr>
                <w:noProof/>
                <w:webHidden/>
              </w:rPr>
              <w:fldChar w:fldCharType="begin"/>
            </w:r>
            <w:r w:rsidR="00C057B5">
              <w:rPr>
                <w:noProof/>
                <w:webHidden/>
              </w:rPr>
              <w:instrText xml:space="preserve"> PAGEREF _Toc122460791 \h </w:instrText>
            </w:r>
            <w:r w:rsidR="00C057B5">
              <w:rPr>
                <w:noProof/>
                <w:webHidden/>
              </w:rPr>
            </w:r>
            <w:r w:rsidR="00C057B5">
              <w:rPr>
                <w:noProof/>
                <w:webHidden/>
              </w:rPr>
              <w:fldChar w:fldCharType="separate"/>
            </w:r>
            <w:r w:rsidR="00C057B5">
              <w:rPr>
                <w:noProof/>
                <w:webHidden/>
              </w:rPr>
              <w:t>14</w:t>
            </w:r>
            <w:r w:rsidR="00C057B5">
              <w:rPr>
                <w:noProof/>
                <w:webHidden/>
              </w:rPr>
              <w:fldChar w:fldCharType="end"/>
            </w:r>
          </w:hyperlink>
        </w:p>
        <w:p w14:paraId="79B5F499" w14:textId="5DA30A2D" w:rsidR="00C057B5" w:rsidRDefault="00BF11FD">
          <w:pPr>
            <w:pStyle w:val="TOC2"/>
            <w:tabs>
              <w:tab w:val="right" w:leader="dot" w:pos="9628"/>
            </w:tabs>
            <w:rPr>
              <w:iCs w:val="0"/>
              <w:noProof/>
              <w:color w:val="auto"/>
              <w:sz w:val="22"/>
              <w:szCs w:val="22"/>
            </w:rPr>
          </w:pPr>
          <w:hyperlink w:anchor="_Toc122460792" w:history="1">
            <w:r w:rsidR="00C057B5" w:rsidRPr="00CE1890">
              <w:rPr>
                <w:rStyle w:val="Hyperlink"/>
                <w:bCs/>
                <w:noProof/>
              </w:rPr>
              <w:t>Methodology</w:t>
            </w:r>
            <w:r w:rsidR="00C057B5">
              <w:rPr>
                <w:noProof/>
                <w:webHidden/>
              </w:rPr>
              <w:tab/>
            </w:r>
            <w:r w:rsidR="00C057B5">
              <w:rPr>
                <w:noProof/>
                <w:webHidden/>
              </w:rPr>
              <w:fldChar w:fldCharType="begin"/>
            </w:r>
            <w:r w:rsidR="00C057B5">
              <w:rPr>
                <w:noProof/>
                <w:webHidden/>
              </w:rPr>
              <w:instrText xml:space="preserve"> PAGEREF _Toc122460792 \h </w:instrText>
            </w:r>
            <w:r w:rsidR="00C057B5">
              <w:rPr>
                <w:noProof/>
                <w:webHidden/>
              </w:rPr>
            </w:r>
            <w:r w:rsidR="00C057B5">
              <w:rPr>
                <w:noProof/>
                <w:webHidden/>
              </w:rPr>
              <w:fldChar w:fldCharType="separate"/>
            </w:r>
            <w:r w:rsidR="00C057B5">
              <w:rPr>
                <w:noProof/>
                <w:webHidden/>
              </w:rPr>
              <w:t>14</w:t>
            </w:r>
            <w:r w:rsidR="00C057B5">
              <w:rPr>
                <w:noProof/>
                <w:webHidden/>
              </w:rPr>
              <w:fldChar w:fldCharType="end"/>
            </w:r>
          </w:hyperlink>
        </w:p>
        <w:p w14:paraId="547590A9" w14:textId="1E909D66" w:rsidR="00C057B5" w:rsidRDefault="00BF11FD">
          <w:pPr>
            <w:pStyle w:val="TOC2"/>
            <w:tabs>
              <w:tab w:val="right" w:leader="dot" w:pos="9628"/>
            </w:tabs>
            <w:rPr>
              <w:iCs w:val="0"/>
              <w:noProof/>
              <w:color w:val="auto"/>
              <w:sz w:val="22"/>
              <w:szCs w:val="22"/>
            </w:rPr>
          </w:pPr>
          <w:hyperlink w:anchor="_Toc122460793" w:history="1">
            <w:r w:rsidR="00C057B5" w:rsidRPr="00CE1890">
              <w:rPr>
                <w:rStyle w:val="Hyperlink"/>
                <w:bCs/>
                <w:noProof/>
              </w:rPr>
              <w:t>Limitations</w:t>
            </w:r>
            <w:r w:rsidR="00C057B5">
              <w:rPr>
                <w:noProof/>
                <w:webHidden/>
              </w:rPr>
              <w:tab/>
            </w:r>
            <w:r w:rsidR="00C057B5">
              <w:rPr>
                <w:noProof/>
                <w:webHidden/>
              </w:rPr>
              <w:fldChar w:fldCharType="begin"/>
            </w:r>
            <w:r w:rsidR="00C057B5">
              <w:rPr>
                <w:noProof/>
                <w:webHidden/>
              </w:rPr>
              <w:instrText xml:space="preserve"> PAGEREF _Toc122460793 \h </w:instrText>
            </w:r>
            <w:r w:rsidR="00C057B5">
              <w:rPr>
                <w:noProof/>
                <w:webHidden/>
              </w:rPr>
            </w:r>
            <w:r w:rsidR="00C057B5">
              <w:rPr>
                <w:noProof/>
                <w:webHidden/>
              </w:rPr>
              <w:fldChar w:fldCharType="separate"/>
            </w:r>
            <w:r w:rsidR="00C057B5">
              <w:rPr>
                <w:noProof/>
                <w:webHidden/>
              </w:rPr>
              <w:t>15</w:t>
            </w:r>
            <w:r w:rsidR="00C057B5">
              <w:rPr>
                <w:noProof/>
                <w:webHidden/>
              </w:rPr>
              <w:fldChar w:fldCharType="end"/>
            </w:r>
          </w:hyperlink>
        </w:p>
        <w:p w14:paraId="3D3B7FA2" w14:textId="28A61BC1" w:rsidR="00C057B5" w:rsidRDefault="00BF11FD">
          <w:pPr>
            <w:pStyle w:val="TOC1"/>
            <w:rPr>
              <w:rFonts w:eastAsiaTheme="minorEastAsia" w:cstheme="minorBidi"/>
              <w:b w:val="0"/>
              <w:bCs w:val="0"/>
              <w:iCs w:val="0"/>
              <w:caps w:val="0"/>
              <w:noProof/>
              <w:color w:val="auto"/>
              <w:szCs w:val="22"/>
            </w:rPr>
          </w:pPr>
          <w:hyperlink w:anchor="_Toc122460794" w:history="1">
            <w:r w:rsidR="00C057B5" w:rsidRPr="00CE1890">
              <w:rPr>
                <w:rStyle w:val="Hyperlink"/>
                <w:noProof/>
              </w:rPr>
              <w:t>program overview</w:t>
            </w:r>
            <w:r w:rsidR="00C057B5">
              <w:rPr>
                <w:noProof/>
                <w:webHidden/>
              </w:rPr>
              <w:tab/>
            </w:r>
            <w:r w:rsidR="00C057B5">
              <w:rPr>
                <w:noProof/>
                <w:webHidden/>
              </w:rPr>
              <w:fldChar w:fldCharType="begin"/>
            </w:r>
            <w:r w:rsidR="00C057B5">
              <w:rPr>
                <w:noProof/>
                <w:webHidden/>
              </w:rPr>
              <w:instrText xml:space="preserve"> PAGEREF _Toc122460794 \h </w:instrText>
            </w:r>
            <w:r w:rsidR="00C057B5">
              <w:rPr>
                <w:noProof/>
                <w:webHidden/>
              </w:rPr>
            </w:r>
            <w:r w:rsidR="00C057B5">
              <w:rPr>
                <w:noProof/>
                <w:webHidden/>
              </w:rPr>
              <w:fldChar w:fldCharType="separate"/>
            </w:r>
            <w:r w:rsidR="00C057B5">
              <w:rPr>
                <w:noProof/>
                <w:webHidden/>
              </w:rPr>
              <w:t>16</w:t>
            </w:r>
            <w:r w:rsidR="00C057B5">
              <w:rPr>
                <w:noProof/>
                <w:webHidden/>
              </w:rPr>
              <w:fldChar w:fldCharType="end"/>
            </w:r>
          </w:hyperlink>
        </w:p>
        <w:p w14:paraId="2E9C3455" w14:textId="1BFACAE0" w:rsidR="00C057B5" w:rsidRDefault="00BF11FD">
          <w:pPr>
            <w:pStyle w:val="TOC2"/>
            <w:tabs>
              <w:tab w:val="right" w:leader="dot" w:pos="9628"/>
            </w:tabs>
            <w:rPr>
              <w:iCs w:val="0"/>
              <w:noProof/>
              <w:color w:val="auto"/>
              <w:sz w:val="22"/>
              <w:szCs w:val="22"/>
            </w:rPr>
          </w:pPr>
          <w:hyperlink w:anchor="_Toc122460795" w:history="1">
            <w:r w:rsidR="00C057B5" w:rsidRPr="00CE1890">
              <w:rPr>
                <w:rStyle w:val="Hyperlink"/>
                <w:bCs/>
                <w:noProof/>
              </w:rPr>
              <w:t>Context</w:t>
            </w:r>
            <w:r w:rsidR="00C057B5">
              <w:rPr>
                <w:noProof/>
                <w:webHidden/>
              </w:rPr>
              <w:tab/>
            </w:r>
            <w:r w:rsidR="00C057B5">
              <w:rPr>
                <w:noProof/>
                <w:webHidden/>
              </w:rPr>
              <w:fldChar w:fldCharType="begin"/>
            </w:r>
            <w:r w:rsidR="00C057B5">
              <w:rPr>
                <w:noProof/>
                <w:webHidden/>
              </w:rPr>
              <w:instrText xml:space="preserve"> PAGEREF _Toc122460795 \h </w:instrText>
            </w:r>
            <w:r w:rsidR="00C057B5">
              <w:rPr>
                <w:noProof/>
                <w:webHidden/>
              </w:rPr>
            </w:r>
            <w:r w:rsidR="00C057B5">
              <w:rPr>
                <w:noProof/>
                <w:webHidden/>
              </w:rPr>
              <w:fldChar w:fldCharType="separate"/>
            </w:r>
            <w:r w:rsidR="00C057B5">
              <w:rPr>
                <w:noProof/>
                <w:webHidden/>
              </w:rPr>
              <w:t>16</w:t>
            </w:r>
            <w:r w:rsidR="00C057B5">
              <w:rPr>
                <w:noProof/>
                <w:webHidden/>
              </w:rPr>
              <w:fldChar w:fldCharType="end"/>
            </w:r>
          </w:hyperlink>
        </w:p>
        <w:p w14:paraId="3990697C" w14:textId="5EA5EB3F" w:rsidR="00C057B5" w:rsidRDefault="00BF11FD">
          <w:pPr>
            <w:pStyle w:val="TOC2"/>
            <w:tabs>
              <w:tab w:val="right" w:leader="dot" w:pos="9628"/>
            </w:tabs>
            <w:rPr>
              <w:iCs w:val="0"/>
              <w:noProof/>
              <w:color w:val="auto"/>
              <w:sz w:val="22"/>
              <w:szCs w:val="22"/>
            </w:rPr>
          </w:pPr>
          <w:hyperlink w:anchor="_Toc122460796" w:history="1">
            <w:r w:rsidR="00C057B5" w:rsidRPr="00CE1890">
              <w:rPr>
                <w:rStyle w:val="Hyperlink"/>
                <w:bCs/>
                <w:noProof/>
              </w:rPr>
              <w:t>Program overview</w:t>
            </w:r>
            <w:r w:rsidR="00C057B5">
              <w:rPr>
                <w:noProof/>
                <w:webHidden/>
              </w:rPr>
              <w:tab/>
            </w:r>
            <w:r w:rsidR="00C057B5">
              <w:rPr>
                <w:noProof/>
                <w:webHidden/>
              </w:rPr>
              <w:fldChar w:fldCharType="begin"/>
            </w:r>
            <w:r w:rsidR="00C057B5">
              <w:rPr>
                <w:noProof/>
                <w:webHidden/>
              </w:rPr>
              <w:instrText xml:space="preserve"> PAGEREF _Toc122460796 \h </w:instrText>
            </w:r>
            <w:r w:rsidR="00C057B5">
              <w:rPr>
                <w:noProof/>
                <w:webHidden/>
              </w:rPr>
            </w:r>
            <w:r w:rsidR="00C057B5">
              <w:rPr>
                <w:noProof/>
                <w:webHidden/>
              </w:rPr>
              <w:fldChar w:fldCharType="separate"/>
            </w:r>
            <w:r w:rsidR="00C057B5">
              <w:rPr>
                <w:noProof/>
                <w:webHidden/>
              </w:rPr>
              <w:t>17</w:t>
            </w:r>
            <w:r w:rsidR="00C057B5">
              <w:rPr>
                <w:noProof/>
                <w:webHidden/>
              </w:rPr>
              <w:fldChar w:fldCharType="end"/>
            </w:r>
          </w:hyperlink>
        </w:p>
        <w:p w14:paraId="742B9442" w14:textId="34F4D3DA" w:rsidR="00C057B5" w:rsidRDefault="00BF11FD">
          <w:pPr>
            <w:pStyle w:val="TOC1"/>
            <w:rPr>
              <w:rFonts w:eastAsiaTheme="minorEastAsia" w:cstheme="minorBidi"/>
              <w:b w:val="0"/>
              <w:bCs w:val="0"/>
              <w:iCs w:val="0"/>
              <w:caps w:val="0"/>
              <w:noProof/>
              <w:color w:val="auto"/>
              <w:szCs w:val="22"/>
            </w:rPr>
          </w:pPr>
          <w:hyperlink w:anchor="_Toc122460797" w:history="1">
            <w:r w:rsidR="00C057B5" w:rsidRPr="00CE1890">
              <w:rPr>
                <w:rStyle w:val="Hyperlink"/>
                <w:noProof/>
              </w:rPr>
              <w:t>findings</w:t>
            </w:r>
            <w:r w:rsidR="00C057B5">
              <w:rPr>
                <w:noProof/>
                <w:webHidden/>
              </w:rPr>
              <w:tab/>
            </w:r>
            <w:r w:rsidR="00C057B5">
              <w:rPr>
                <w:noProof/>
                <w:webHidden/>
              </w:rPr>
              <w:fldChar w:fldCharType="begin"/>
            </w:r>
            <w:r w:rsidR="00C057B5">
              <w:rPr>
                <w:noProof/>
                <w:webHidden/>
              </w:rPr>
              <w:instrText xml:space="preserve"> PAGEREF _Toc122460797 \h </w:instrText>
            </w:r>
            <w:r w:rsidR="00C057B5">
              <w:rPr>
                <w:noProof/>
                <w:webHidden/>
              </w:rPr>
            </w:r>
            <w:r w:rsidR="00C057B5">
              <w:rPr>
                <w:noProof/>
                <w:webHidden/>
              </w:rPr>
              <w:fldChar w:fldCharType="separate"/>
            </w:r>
            <w:r w:rsidR="00C057B5">
              <w:rPr>
                <w:noProof/>
                <w:webHidden/>
              </w:rPr>
              <w:t>20</w:t>
            </w:r>
            <w:r w:rsidR="00C057B5">
              <w:rPr>
                <w:noProof/>
                <w:webHidden/>
              </w:rPr>
              <w:fldChar w:fldCharType="end"/>
            </w:r>
          </w:hyperlink>
        </w:p>
        <w:p w14:paraId="46E39C7D" w14:textId="716B017E" w:rsidR="00C057B5" w:rsidRDefault="00BF11FD">
          <w:pPr>
            <w:pStyle w:val="TOC2"/>
            <w:tabs>
              <w:tab w:val="right" w:leader="dot" w:pos="9628"/>
            </w:tabs>
            <w:rPr>
              <w:iCs w:val="0"/>
              <w:noProof/>
              <w:color w:val="auto"/>
              <w:sz w:val="22"/>
              <w:szCs w:val="22"/>
            </w:rPr>
          </w:pPr>
          <w:hyperlink w:anchor="_Toc122460798" w:history="1">
            <w:r w:rsidR="00C057B5" w:rsidRPr="00CE1890">
              <w:rPr>
                <w:rStyle w:val="Hyperlink"/>
                <w:bCs/>
                <w:noProof/>
              </w:rPr>
              <w:t>Relevance</w:t>
            </w:r>
            <w:r w:rsidR="00C057B5">
              <w:rPr>
                <w:noProof/>
                <w:webHidden/>
              </w:rPr>
              <w:tab/>
            </w:r>
            <w:r w:rsidR="00C057B5">
              <w:rPr>
                <w:noProof/>
                <w:webHidden/>
              </w:rPr>
              <w:fldChar w:fldCharType="begin"/>
            </w:r>
            <w:r w:rsidR="00C057B5">
              <w:rPr>
                <w:noProof/>
                <w:webHidden/>
              </w:rPr>
              <w:instrText xml:space="preserve"> PAGEREF _Toc122460798 \h </w:instrText>
            </w:r>
            <w:r w:rsidR="00C057B5">
              <w:rPr>
                <w:noProof/>
                <w:webHidden/>
              </w:rPr>
            </w:r>
            <w:r w:rsidR="00C057B5">
              <w:rPr>
                <w:noProof/>
                <w:webHidden/>
              </w:rPr>
              <w:fldChar w:fldCharType="separate"/>
            </w:r>
            <w:r w:rsidR="00C057B5">
              <w:rPr>
                <w:noProof/>
                <w:webHidden/>
              </w:rPr>
              <w:t>20</w:t>
            </w:r>
            <w:r w:rsidR="00C057B5">
              <w:rPr>
                <w:noProof/>
                <w:webHidden/>
              </w:rPr>
              <w:fldChar w:fldCharType="end"/>
            </w:r>
          </w:hyperlink>
        </w:p>
        <w:p w14:paraId="24F752A2" w14:textId="22D97CB0" w:rsidR="00C057B5" w:rsidRDefault="00BF11FD">
          <w:pPr>
            <w:pStyle w:val="TOC2"/>
            <w:tabs>
              <w:tab w:val="right" w:leader="dot" w:pos="9628"/>
            </w:tabs>
            <w:rPr>
              <w:iCs w:val="0"/>
              <w:noProof/>
              <w:color w:val="auto"/>
              <w:sz w:val="22"/>
              <w:szCs w:val="22"/>
            </w:rPr>
          </w:pPr>
          <w:hyperlink w:anchor="_Toc122460799" w:history="1">
            <w:r w:rsidR="00C057B5" w:rsidRPr="00CE1890">
              <w:rPr>
                <w:rStyle w:val="Hyperlink"/>
                <w:bCs/>
                <w:noProof/>
              </w:rPr>
              <w:t>Effectiveness</w:t>
            </w:r>
            <w:r w:rsidR="00C057B5">
              <w:rPr>
                <w:noProof/>
                <w:webHidden/>
              </w:rPr>
              <w:tab/>
            </w:r>
            <w:r w:rsidR="00C057B5">
              <w:rPr>
                <w:noProof/>
                <w:webHidden/>
              </w:rPr>
              <w:fldChar w:fldCharType="begin"/>
            </w:r>
            <w:r w:rsidR="00C057B5">
              <w:rPr>
                <w:noProof/>
                <w:webHidden/>
              </w:rPr>
              <w:instrText xml:space="preserve"> PAGEREF _Toc122460799 \h </w:instrText>
            </w:r>
            <w:r w:rsidR="00C057B5">
              <w:rPr>
                <w:noProof/>
                <w:webHidden/>
              </w:rPr>
            </w:r>
            <w:r w:rsidR="00C057B5">
              <w:rPr>
                <w:noProof/>
                <w:webHidden/>
              </w:rPr>
              <w:fldChar w:fldCharType="separate"/>
            </w:r>
            <w:r w:rsidR="00C057B5">
              <w:rPr>
                <w:noProof/>
                <w:webHidden/>
              </w:rPr>
              <w:t>24</w:t>
            </w:r>
            <w:r w:rsidR="00C057B5">
              <w:rPr>
                <w:noProof/>
                <w:webHidden/>
              </w:rPr>
              <w:fldChar w:fldCharType="end"/>
            </w:r>
          </w:hyperlink>
        </w:p>
        <w:p w14:paraId="3F29E7EB" w14:textId="39AD665E" w:rsidR="00C057B5" w:rsidRDefault="00BF11FD">
          <w:pPr>
            <w:pStyle w:val="TOC2"/>
            <w:tabs>
              <w:tab w:val="right" w:leader="dot" w:pos="9628"/>
            </w:tabs>
            <w:rPr>
              <w:iCs w:val="0"/>
              <w:noProof/>
              <w:color w:val="auto"/>
              <w:sz w:val="22"/>
              <w:szCs w:val="22"/>
            </w:rPr>
          </w:pPr>
          <w:hyperlink w:anchor="_Toc122460800" w:history="1">
            <w:r w:rsidR="00C057B5" w:rsidRPr="00CE1890">
              <w:rPr>
                <w:rStyle w:val="Hyperlink"/>
                <w:bCs/>
                <w:noProof/>
              </w:rPr>
              <w:t>Efficiency</w:t>
            </w:r>
            <w:r w:rsidR="00C057B5">
              <w:rPr>
                <w:noProof/>
                <w:webHidden/>
              </w:rPr>
              <w:tab/>
            </w:r>
            <w:r w:rsidR="00C057B5">
              <w:rPr>
                <w:noProof/>
                <w:webHidden/>
              </w:rPr>
              <w:fldChar w:fldCharType="begin"/>
            </w:r>
            <w:r w:rsidR="00C057B5">
              <w:rPr>
                <w:noProof/>
                <w:webHidden/>
              </w:rPr>
              <w:instrText xml:space="preserve"> PAGEREF _Toc122460800 \h </w:instrText>
            </w:r>
            <w:r w:rsidR="00C057B5">
              <w:rPr>
                <w:noProof/>
                <w:webHidden/>
              </w:rPr>
            </w:r>
            <w:r w:rsidR="00C057B5">
              <w:rPr>
                <w:noProof/>
                <w:webHidden/>
              </w:rPr>
              <w:fldChar w:fldCharType="separate"/>
            </w:r>
            <w:r w:rsidR="00C057B5">
              <w:rPr>
                <w:noProof/>
                <w:webHidden/>
              </w:rPr>
              <w:t>35</w:t>
            </w:r>
            <w:r w:rsidR="00C057B5">
              <w:rPr>
                <w:noProof/>
                <w:webHidden/>
              </w:rPr>
              <w:fldChar w:fldCharType="end"/>
            </w:r>
          </w:hyperlink>
        </w:p>
        <w:p w14:paraId="45B2FEC2" w14:textId="102D26BB" w:rsidR="00C057B5" w:rsidRDefault="00BF11FD">
          <w:pPr>
            <w:pStyle w:val="TOC2"/>
            <w:tabs>
              <w:tab w:val="right" w:leader="dot" w:pos="9628"/>
            </w:tabs>
            <w:rPr>
              <w:iCs w:val="0"/>
              <w:noProof/>
              <w:color w:val="auto"/>
              <w:sz w:val="22"/>
              <w:szCs w:val="22"/>
            </w:rPr>
          </w:pPr>
          <w:hyperlink w:anchor="_Toc122460801" w:history="1">
            <w:r w:rsidR="00C057B5" w:rsidRPr="00CE1890">
              <w:rPr>
                <w:rStyle w:val="Hyperlink"/>
                <w:bCs/>
                <w:noProof/>
              </w:rPr>
              <w:t>Sustainability</w:t>
            </w:r>
            <w:r w:rsidR="00C057B5">
              <w:rPr>
                <w:noProof/>
                <w:webHidden/>
              </w:rPr>
              <w:tab/>
            </w:r>
            <w:r w:rsidR="00C057B5">
              <w:rPr>
                <w:noProof/>
                <w:webHidden/>
              </w:rPr>
              <w:fldChar w:fldCharType="begin"/>
            </w:r>
            <w:r w:rsidR="00C057B5">
              <w:rPr>
                <w:noProof/>
                <w:webHidden/>
              </w:rPr>
              <w:instrText xml:space="preserve"> PAGEREF _Toc122460801 \h </w:instrText>
            </w:r>
            <w:r w:rsidR="00C057B5">
              <w:rPr>
                <w:noProof/>
                <w:webHidden/>
              </w:rPr>
            </w:r>
            <w:r w:rsidR="00C057B5">
              <w:rPr>
                <w:noProof/>
                <w:webHidden/>
              </w:rPr>
              <w:fldChar w:fldCharType="separate"/>
            </w:r>
            <w:r w:rsidR="00C057B5">
              <w:rPr>
                <w:noProof/>
                <w:webHidden/>
              </w:rPr>
              <w:t>40</w:t>
            </w:r>
            <w:r w:rsidR="00C057B5">
              <w:rPr>
                <w:noProof/>
                <w:webHidden/>
              </w:rPr>
              <w:fldChar w:fldCharType="end"/>
            </w:r>
          </w:hyperlink>
        </w:p>
        <w:p w14:paraId="7EE430E3" w14:textId="320B7848" w:rsidR="00C057B5" w:rsidRDefault="00BF11FD">
          <w:pPr>
            <w:pStyle w:val="TOC1"/>
            <w:rPr>
              <w:rFonts w:eastAsiaTheme="minorEastAsia" w:cstheme="minorBidi"/>
              <w:b w:val="0"/>
              <w:bCs w:val="0"/>
              <w:iCs w:val="0"/>
              <w:caps w:val="0"/>
              <w:noProof/>
              <w:color w:val="auto"/>
              <w:szCs w:val="22"/>
            </w:rPr>
          </w:pPr>
          <w:hyperlink w:anchor="_Toc122460802" w:history="1">
            <w:r w:rsidR="00C057B5" w:rsidRPr="00CE1890">
              <w:rPr>
                <w:rStyle w:val="Hyperlink"/>
                <w:noProof/>
              </w:rPr>
              <w:t>Annexes</w:t>
            </w:r>
            <w:r w:rsidR="00C057B5">
              <w:rPr>
                <w:noProof/>
                <w:webHidden/>
              </w:rPr>
              <w:tab/>
            </w:r>
            <w:r w:rsidR="00C057B5">
              <w:rPr>
                <w:noProof/>
                <w:webHidden/>
              </w:rPr>
              <w:fldChar w:fldCharType="begin"/>
            </w:r>
            <w:r w:rsidR="00C057B5">
              <w:rPr>
                <w:noProof/>
                <w:webHidden/>
              </w:rPr>
              <w:instrText xml:space="preserve"> PAGEREF _Toc122460802 \h </w:instrText>
            </w:r>
            <w:r w:rsidR="00C057B5">
              <w:rPr>
                <w:noProof/>
                <w:webHidden/>
              </w:rPr>
            </w:r>
            <w:r w:rsidR="00C057B5">
              <w:rPr>
                <w:noProof/>
                <w:webHidden/>
              </w:rPr>
              <w:fldChar w:fldCharType="separate"/>
            </w:r>
            <w:r w:rsidR="00C057B5">
              <w:rPr>
                <w:noProof/>
                <w:webHidden/>
              </w:rPr>
              <w:t>44</w:t>
            </w:r>
            <w:r w:rsidR="00C057B5">
              <w:rPr>
                <w:noProof/>
                <w:webHidden/>
              </w:rPr>
              <w:fldChar w:fldCharType="end"/>
            </w:r>
          </w:hyperlink>
        </w:p>
        <w:p w14:paraId="1334818F" w14:textId="691DFEF5" w:rsidR="00C057B5" w:rsidRDefault="00BF11FD">
          <w:pPr>
            <w:pStyle w:val="TOC2"/>
            <w:tabs>
              <w:tab w:val="right" w:leader="dot" w:pos="9628"/>
            </w:tabs>
            <w:rPr>
              <w:iCs w:val="0"/>
              <w:noProof/>
              <w:color w:val="auto"/>
              <w:sz w:val="22"/>
              <w:szCs w:val="22"/>
            </w:rPr>
          </w:pPr>
          <w:hyperlink w:anchor="_Toc122460803" w:history="1">
            <w:r w:rsidR="00C057B5" w:rsidRPr="00CE1890">
              <w:rPr>
                <w:rStyle w:val="Hyperlink"/>
                <w:bCs/>
                <w:noProof/>
              </w:rPr>
              <w:t>Annex 1 Terms of Reference</w:t>
            </w:r>
            <w:r w:rsidR="00C057B5">
              <w:rPr>
                <w:noProof/>
                <w:webHidden/>
              </w:rPr>
              <w:tab/>
            </w:r>
            <w:r w:rsidR="00C057B5">
              <w:rPr>
                <w:noProof/>
                <w:webHidden/>
              </w:rPr>
              <w:fldChar w:fldCharType="begin"/>
            </w:r>
            <w:r w:rsidR="00C057B5">
              <w:rPr>
                <w:noProof/>
                <w:webHidden/>
              </w:rPr>
              <w:instrText xml:space="preserve"> PAGEREF _Toc122460803 \h </w:instrText>
            </w:r>
            <w:r w:rsidR="00C057B5">
              <w:rPr>
                <w:noProof/>
                <w:webHidden/>
              </w:rPr>
            </w:r>
            <w:r w:rsidR="00C057B5">
              <w:rPr>
                <w:noProof/>
                <w:webHidden/>
              </w:rPr>
              <w:fldChar w:fldCharType="separate"/>
            </w:r>
            <w:r w:rsidR="00C057B5">
              <w:rPr>
                <w:noProof/>
                <w:webHidden/>
              </w:rPr>
              <w:t>44</w:t>
            </w:r>
            <w:r w:rsidR="00C057B5">
              <w:rPr>
                <w:noProof/>
                <w:webHidden/>
              </w:rPr>
              <w:fldChar w:fldCharType="end"/>
            </w:r>
          </w:hyperlink>
        </w:p>
        <w:p w14:paraId="605AFF9F" w14:textId="17BF3A3E" w:rsidR="00C057B5" w:rsidRDefault="00BF11FD">
          <w:pPr>
            <w:pStyle w:val="TOC2"/>
            <w:tabs>
              <w:tab w:val="right" w:leader="dot" w:pos="9628"/>
            </w:tabs>
            <w:rPr>
              <w:iCs w:val="0"/>
              <w:noProof/>
              <w:color w:val="auto"/>
              <w:sz w:val="22"/>
              <w:szCs w:val="22"/>
            </w:rPr>
          </w:pPr>
          <w:hyperlink w:anchor="_Toc122460804" w:history="1">
            <w:r w:rsidR="00C057B5" w:rsidRPr="00CE1890">
              <w:rPr>
                <w:rStyle w:val="Hyperlink"/>
                <w:bCs/>
                <w:noProof/>
              </w:rPr>
              <w:t>Annex 2 ACCESS Program Logic Version 2</w:t>
            </w:r>
            <w:r w:rsidR="00C057B5">
              <w:rPr>
                <w:noProof/>
                <w:webHidden/>
              </w:rPr>
              <w:tab/>
            </w:r>
            <w:r w:rsidR="00C057B5">
              <w:rPr>
                <w:noProof/>
                <w:webHidden/>
              </w:rPr>
              <w:fldChar w:fldCharType="begin"/>
            </w:r>
            <w:r w:rsidR="00C057B5">
              <w:rPr>
                <w:noProof/>
                <w:webHidden/>
              </w:rPr>
              <w:instrText xml:space="preserve"> PAGEREF _Toc122460804 \h </w:instrText>
            </w:r>
            <w:r w:rsidR="00C057B5">
              <w:rPr>
                <w:noProof/>
                <w:webHidden/>
              </w:rPr>
            </w:r>
            <w:r w:rsidR="00C057B5">
              <w:rPr>
                <w:noProof/>
                <w:webHidden/>
              </w:rPr>
              <w:fldChar w:fldCharType="separate"/>
            </w:r>
            <w:r w:rsidR="00C057B5">
              <w:rPr>
                <w:noProof/>
                <w:webHidden/>
              </w:rPr>
              <w:t>46</w:t>
            </w:r>
            <w:r w:rsidR="00C057B5">
              <w:rPr>
                <w:noProof/>
                <w:webHidden/>
              </w:rPr>
              <w:fldChar w:fldCharType="end"/>
            </w:r>
          </w:hyperlink>
        </w:p>
        <w:p w14:paraId="1E0D6B34" w14:textId="25A1D4AB" w:rsidR="00C057B5" w:rsidRDefault="00BF11FD">
          <w:pPr>
            <w:pStyle w:val="TOC2"/>
            <w:tabs>
              <w:tab w:val="right" w:leader="dot" w:pos="9628"/>
            </w:tabs>
            <w:rPr>
              <w:iCs w:val="0"/>
              <w:noProof/>
              <w:color w:val="auto"/>
              <w:sz w:val="22"/>
              <w:szCs w:val="22"/>
            </w:rPr>
          </w:pPr>
          <w:hyperlink w:anchor="_Toc122460805" w:history="1">
            <w:r w:rsidR="00C057B5" w:rsidRPr="00CE1890">
              <w:rPr>
                <w:rStyle w:val="Hyperlink"/>
                <w:bCs/>
                <w:noProof/>
              </w:rPr>
              <w:t>Annex 3 ACCESS Program Logic Version 3</w:t>
            </w:r>
            <w:r w:rsidR="00C057B5">
              <w:rPr>
                <w:noProof/>
                <w:webHidden/>
              </w:rPr>
              <w:tab/>
            </w:r>
            <w:r w:rsidR="00C057B5">
              <w:rPr>
                <w:noProof/>
                <w:webHidden/>
              </w:rPr>
              <w:fldChar w:fldCharType="begin"/>
            </w:r>
            <w:r w:rsidR="00C057B5">
              <w:rPr>
                <w:noProof/>
                <w:webHidden/>
              </w:rPr>
              <w:instrText xml:space="preserve"> PAGEREF _Toc122460805 \h </w:instrText>
            </w:r>
            <w:r w:rsidR="00C057B5">
              <w:rPr>
                <w:noProof/>
                <w:webHidden/>
              </w:rPr>
            </w:r>
            <w:r w:rsidR="00C057B5">
              <w:rPr>
                <w:noProof/>
                <w:webHidden/>
              </w:rPr>
              <w:fldChar w:fldCharType="separate"/>
            </w:r>
            <w:r w:rsidR="00C057B5">
              <w:rPr>
                <w:noProof/>
                <w:webHidden/>
              </w:rPr>
              <w:t>47</w:t>
            </w:r>
            <w:r w:rsidR="00C057B5">
              <w:rPr>
                <w:noProof/>
                <w:webHidden/>
              </w:rPr>
              <w:fldChar w:fldCharType="end"/>
            </w:r>
          </w:hyperlink>
        </w:p>
        <w:p w14:paraId="03D667B6" w14:textId="051C32DF" w:rsidR="00C057B5" w:rsidRDefault="00BF11FD">
          <w:pPr>
            <w:pStyle w:val="TOC2"/>
            <w:tabs>
              <w:tab w:val="right" w:leader="dot" w:pos="9628"/>
            </w:tabs>
            <w:rPr>
              <w:iCs w:val="0"/>
              <w:noProof/>
              <w:color w:val="auto"/>
              <w:sz w:val="22"/>
              <w:szCs w:val="22"/>
            </w:rPr>
          </w:pPr>
          <w:hyperlink w:anchor="_Toc122460806" w:history="1">
            <w:r w:rsidR="00C057B5" w:rsidRPr="00CE1890">
              <w:rPr>
                <w:rStyle w:val="Hyperlink"/>
                <w:bCs/>
                <w:noProof/>
              </w:rPr>
              <w:t>Annex 4 Stakeholder Interview List</w:t>
            </w:r>
            <w:r w:rsidR="00C057B5">
              <w:rPr>
                <w:noProof/>
                <w:webHidden/>
              </w:rPr>
              <w:tab/>
            </w:r>
            <w:r w:rsidR="00C057B5">
              <w:rPr>
                <w:noProof/>
                <w:webHidden/>
              </w:rPr>
              <w:fldChar w:fldCharType="begin"/>
            </w:r>
            <w:r w:rsidR="00C057B5">
              <w:rPr>
                <w:noProof/>
                <w:webHidden/>
              </w:rPr>
              <w:instrText xml:space="preserve"> PAGEREF _Toc122460806 \h </w:instrText>
            </w:r>
            <w:r w:rsidR="00C057B5">
              <w:rPr>
                <w:noProof/>
                <w:webHidden/>
              </w:rPr>
            </w:r>
            <w:r w:rsidR="00C057B5">
              <w:rPr>
                <w:noProof/>
                <w:webHidden/>
              </w:rPr>
              <w:fldChar w:fldCharType="separate"/>
            </w:r>
            <w:r w:rsidR="00C057B5">
              <w:rPr>
                <w:noProof/>
                <w:webHidden/>
              </w:rPr>
              <w:t>48</w:t>
            </w:r>
            <w:r w:rsidR="00C057B5">
              <w:rPr>
                <w:noProof/>
                <w:webHidden/>
              </w:rPr>
              <w:fldChar w:fldCharType="end"/>
            </w:r>
          </w:hyperlink>
        </w:p>
        <w:p w14:paraId="53555EF9" w14:textId="019E6C45" w:rsidR="00C057B5" w:rsidRDefault="00BF11FD">
          <w:pPr>
            <w:pStyle w:val="TOC2"/>
            <w:tabs>
              <w:tab w:val="right" w:leader="dot" w:pos="9628"/>
            </w:tabs>
            <w:rPr>
              <w:iCs w:val="0"/>
              <w:noProof/>
              <w:color w:val="auto"/>
              <w:sz w:val="22"/>
              <w:szCs w:val="22"/>
            </w:rPr>
          </w:pPr>
          <w:hyperlink w:anchor="_Toc122460807" w:history="1">
            <w:r w:rsidR="00C057B5" w:rsidRPr="00CE1890">
              <w:rPr>
                <w:rStyle w:val="Hyperlink"/>
                <w:bCs/>
                <w:noProof/>
              </w:rPr>
              <w:t>Annex 5 ACCESS Geographic Coverage</w:t>
            </w:r>
            <w:r w:rsidR="00C057B5">
              <w:rPr>
                <w:noProof/>
                <w:webHidden/>
              </w:rPr>
              <w:tab/>
            </w:r>
            <w:r w:rsidR="00C057B5">
              <w:rPr>
                <w:noProof/>
                <w:webHidden/>
              </w:rPr>
              <w:fldChar w:fldCharType="begin"/>
            </w:r>
            <w:r w:rsidR="00C057B5">
              <w:rPr>
                <w:noProof/>
                <w:webHidden/>
              </w:rPr>
              <w:instrText xml:space="preserve"> PAGEREF _Toc122460807 \h </w:instrText>
            </w:r>
            <w:r w:rsidR="00C057B5">
              <w:rPr>
                <w:noProof/>
                <w:webHidden/>
              </w:rPr>
            </w:r>
            <w:r w:rsidR="00C057B5">
              <w:rPr>
                <w:noProof/>
                <w:webHidden/>
              </w:rPr>
              <w:fldChar w:fldCharType="separate"/>
            </w:r>
            <w:r w:rsidR="00C057B5">
              <w:rPr>
                <w:noProof/>
                <w:webHidden/>
              </w:rPr>
              <w:t>51</w:t>
            </w:r>
            <w:r w:rsidR="00C057B5">
              <w:rPr>
                <w:noProof/>
                <w:webHidden/>
              </w:rPr>
              <w:fldChar w:fldCharType="end"/>
            </w:r>
          </w:hyperlink>
        </w:p>
        <w:p w14:paraId="0D295698" w14:textId="7F520C8F" w:rsidR="00C057B5" w:rsidRDefault="00BF11FD">
          <w:pPr>
            <w:pStyle w:val="TOC2"/>
            <w:tabs>
              <w:tab w:val="right" w:leader="dot" w:pos="9628"/>
            </w:tabs>
            <w:rPr>
              <w:iCs w:val="0"/>
              <w:noProof/>
              <w:color w:val="auto"/>
              <w:sz w:val="22"/>
              <w:szCs w:val="22"/>
            </w:rPr>
          </w:pPr>
          <w:hyperlink w:anchor="_Toc122460808" w:history="1">
            <w:r w:rsidR="00C057B5" w:rsidRPr="00CE1890">
              <w:rPr>
                <w:rStyle w:val="Hyperlink"/>
                <w:bCs/>
                <w:noProof/>
              </w:rPr>
              <w:t>Annex 6 ACCESS Implementing Partners</w:t>
            </w:r>
            <w:r w:rsidR="00C057B5">
              <w:rPr>
                <w:noProof/>
                <w:webHidden/>
              </w:rPr>
              <w:tab/>
            </w:r>
            <w:r w:rsidR="00C057B5">
              <w:rPr>
                <w:noProof/>
                <w:webHidden/>
              </w:rPr>
              <w:fldChar w:fldCharType="begin"/>
            </w:r>
            <w:r w:rsidR="00C057B5">
              <w:rPr>
                <w:noProof/>
                <w:webHidden/>
              </w:rPr>
              <w:instrText xml:space="preserve"> PAGEREF _Toc122460808 \h </w:instrText>
            </w:r>
            <w:r w:rsidR="00C057B5">
              <w:rPr>
                <w:noProof/>
                <w:webHidden/>
              </w:rPr>
            </w:r>
            <w:r w:rsidR="00C057B5">
              <w:rPr>
                <w:noProof/>
                <w:webHidden/>
              </w:rPr>
              <w:fldChar w:fldCharType="separate"/>
            </w:r>
            <w:r w:rsidR="00C057B5">
              <w:rPr>
                <w:noProof/>
                <w:webHidden/>
              </w:rPr>
              <w:t>52</w:t>
            </w:r>
            <w:r w:rsidR="00C057B5">
              <w:rPr>
                <w:noProof/>
                <w:webHidden/>
              </w:rPr>
              <w:fldChar w:fldCharType="end"/>
            </w:r>
          </w:hyperlink>
        </w:p>
        <w:p w14:paraId="05EBBA6C" w14:textId="270F5B7C" w:rsidR="00C057B5" w:rsidRDefault="00BF11FD">
          <w:pPr>
            <w:pStyle w:val="TOC2"/>
            <w:tabs>
              <w:tab w:val="right" w:leader="dot" w:pos="9628"/>
            </w:tabs>
            <w:rPr>
              <w:iCs w:val="0"/>
              <w:noProof/>
              <w:color w:val="auto"/>
              <w:sz w:val="22"/>
              <w:szCs w:val="22"/>
            </w:rPr>
          </w:pPr>
          <w:hyperlink w:anchor="_Toc122460809" w:history="1">
            <w:r w:rsidR="00C057B5" w:rsidRPr="00CE1890">
              <w:rPr>
                <w:rStyle w:val="Hyperlink"/>
                <w:bCs/>
                <w:noProof/>
              </w:rPr>
              <w:t>Annex 7 DFAT Disbursements</w:t>
            </w:r>
            <w:r w:rsidR="00C057B5">
              <w:rPr>
                <w:noProof/>
                <w:webHidden/>
              </w:rPr>
              <w:tab/>
            </w:r>
            <w:r w:rsidR="00C057B5">
              <w:rPr>
                <w:noProof/>
                <w:webHidden/>
              </w:rPr>
              <w:fldChar w:fldCharType="begin"/>
            </w:r>
            <w:r w:rsidR="00C057B5">
              <w:rPr>
                <w:noProof/>
                <w:webHidden/>
              </w:rPr>
              <w:instrText xml:space="preserve"> PAGEREF _Toc122460809 \h </w:instrText>
            </w:r>
            <w:r w:rsidR="00C057B5">
              <w:rPr>
                <w:noProof/>
                <w:webHidden/>
              </w:rPr>
            </w:r>
            <w:r w:rsidR="00C057B5">
              <w:rPr>
                <w:noProof/>
                <w:webHidden/>
              </w:rPr>
              <w:fldChar w:fldCharType="separate"/>
            </w:r>
            <w:r w:rsidR="00C057B5">
              <w:rPr>
                <w:noProof/>
                <w:webHidden/>
              </w:rPr>
              <w:t>54</w:t>
            </w:r>
            <w:r w:rsidR="00C057B5">
              <w:rPr>
                <w:noProof/>
                <w:webHidden/>
              </w:rPr>
              <w:fldChar w:fldCharType="end"/>
            </w:r>
          </w:hyperlink>
        </w:p>
        <w:p w14:paraId="3F5B735D" w14:textId="42F5C5AF" w:rsidR="00C057B5" w:rsidRDefault="00BF11FD">
          <w:pPr>
            <w:pStyle w:val="TOC2"/>
            <w:tabs>
              <w:tab w:val="right" w:leader="dot" w:pos="9628"/>
            </w:tabs>
            <w:rPr>
              <w:iCs w:val="0"/>
              <w:noProof/>
              <w:color w:val="auto"/>
              <w:sz w:val="22"/>
              <w:szCs w:val="22"/>
            </w:rPr>
          </w:pPr>
          <w:hyperlink w:anchor="_Toc122460810" w:history="1">
            <w:r w:rsidR="00C057B5" w:rsidRPr="00CE1890">
              <w:rPr>
                <w:rStyle w:val="Hyperlink"/>
                <w:bCs/>
                <w:noProof/>
              </w:rPr>
              <w:t>Annex 8 ACCESS Organisational Chart</w:t>
            </w:r>
            <w:r w:rsidR="00C057B5">
              <w:rPr>
                <w:noProof/>
                <w:webHidden/>
              </w:rPr>
              <w:tab/>
            </w:r>
            <w:r w:rsidR="00C057B5">
              <w:rPr>
                <w:noProof/>
                <w:webHidden/>
              </w:rPr>
              <w:fldChar w:fldCharType="begin"/>
            </w:r>
            <w:r w:rsidR="00C057B5">
              <w:rPr>
                <w:noProof/>
                <w:webHidden/>
              </w:rPr>
              <w:instrText xml:space="preserve"> PAGEREF _Toc122460810 \h </w:instrText>
            </w:r>
            <w:r w:rsidR="00C057B5">
              <w:rPr>
                <w:noProof/>
                <w:webHidden/>
              </w:rPr>
            </w:r>
            <w:r w:rsidR="00C057B5">
              <w:rPr>
                <w:noProof/>
                <w:webHidden/>
              </w:rPr>
              <w:fldChar w:fldCharType="separate"/>
            </w:r>
            <w:r w:rsidR="00C057B5">
              <w:rPr>
                <w:noProof/>
                <w:webHidden/>
              </w:rPr>
              <w:t>55</w:t>
            </w:r>
            <w:r w:rsidR="00C057B5">
              <w:rPr>
                <w:noProof/>
                <w:webHidden/>
              </w:rPr>
              <w:fldChar w:fldCharType="end"/>
            </w:r>
          </w:hyperlink>
        </w:p>
        <w:p w14:paraId="2F5B737A" w14:textId="32657E1E" w:rsidR="006C18CD" w:rsidRPr="006C18CD" w:rsidRDefault="004E4A46" w:rsidP="004F26EE">
          <w:pPr>
            <w:pStyle w:val="TOC1"/>
            <w:numPr>
              <w:ilvl w:val="0"/>
              <w:numId w:val="0"/>
            </w:numPr>
          </w:pPr>
          <w:r>
            <w:rPr>
              <w:b w:val="0"/>
              <w:bCs w:val="0"/>
              <w:iCs w:val="0"/>
              <w:caps w:val="0"/>
              <w:color w:val="2294CD"/>
            </w:rPr>
            <w:fldChar w:fldCharType="end"/>
          </w:r>
          <w:r w:rsidR="004F26EE">
            <w:t xml:space="preserve"> </w:t>
          </w:r>
        </w:p>
      </w:sdtContent>
    </w:sdt>
    <w:p w14:paraId="2F984F0B" w14:textId="610250A0" w:rsidR="00407042" w:rsidRDefault="00407042"/>
    <w:p w14:paraId="7781FEDA" w14:textId="77777777" w:rsidR="00407042" w:rsidRPr="00407042" w:rsidRDefault="00407042" w:rsidP="00442CFB"/>
    <w:p w14:paraId="34F6A61B" w14:textId="0F962A2E" w:rsidR="00DC7C48" w:rsidRPr="00F53B73" w:rsidRDefault="00CE3A3A" w:rsidP="00F53B73">
      <w:pPr>
        <w:pStyle w:val="ChapterHeading"/>
      </w:pPr>
      <w:bookmarkStart w:id="3" w:name="_Toc116378157"/>
      <w:bookmarkStart w:id="4" w:name="_Toc122460784"/>
      <w:r w:rsidRPr="00F53B73">
        <w:lastRenderedPageBreak/>
        <w:t>A</w:t>
      </w:r>
      <w:r w:rsidR="00DC7C48" w:rsidRPr="00F53B73">
        <w:t>CRONYMS</w:t>
      </w:r>
      <w:bookmarkEnd w:id="0"/>
      <w:bookmarkEnd w:id="1"/>
      <w:bookmarkEnd w:id="2"/>
      <w:bookmarkEnd w:id="3"/>
      <w:bookmarkEnd w:id="4"/>
    </w:p>
    <w:tbl>
      <w:tblPr>
        <w:tblStyle w:val="TableGridLight1"/>
        <w:tblpPr w:leftFromText="180" w:rightFromText="180" w:vertAnchor="text" w:horzAnchor="margin" w:tblpY="151"/>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715"/>
        <w:gridCol w:w="1307"/>
        <w:gridCol w:w="3767"/>
      </w:tblGrid>
      <w:tr w:rsidR="00924042" w:rsidRPr="006F31E8" w14:paraId="1B2277D2" w14:textId="77777777" w:rsidTr="73DA2FDD">
        <w:trPr>
          <w:trHeight w:val="340"/>
        </w:trPr>
        <w:tc>
          <w:tcPr>
            <w:tcW w:w="1134" w:type="dxa"/>
            <w:shd w:val="clear" w:color="auto" w:fill="auto"/>
            <w:noWrap/>
          </w:tcPr>
          <w:p w14:paraId="303DBC5C"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ACCESS</w:t>
            </w:r>
          </w:p>
        </w:tc>
        <w:tc>
          <w:tcPr>
            <w:tcW w:w="3715" w:type="dxa"/>
            <w:noWrap/>
          </w:tcPr>
          <w:p w14:paraId="4B6FF22F" w14:textId="77777777"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Australia-Cambodia Cooperation for Equitable Sustainable Services</w:t>
            </w:r>
          </w:p>
        </w:tc>
        <w:tc>
          <w:tcPr>
            <w:tcW w:w="1307" w:type="dxa"/>
            <w:tcBorders>
              <w:left w:val="nil"/>
            </w:tcBorders>
          </w:tcPr>
          <w:p w14:paraId="20AAC9F8" w14:textId="5483B4B3" w:rsidR="00924042" w:rsidRPr="00442CFB" w:rsidRDefault="00924042" w:rsidP="00442CFB">
            <w:pPr>
              <w:spacing w:after="40" w:line="240" w:lineRule="auto"/>
              <w:ind w:left="113"/>
              <w:jc w:val="right"/>
              <w:rPr>
                <w:rFonts w:cstheme="minorHAnsi"/>
                <w:color w:val="1D336D" w:themeColor="background2"/>
                <w:szCs w:val="22"/>
              </w:rPr>
            </w:pPr>
            <w:r w:rsidRPr="00442CFB">
              <w:rPr>
                <w:rFonts w:cstheme="minorHAnsi"/>
                <w:b/>
                <w:color w:val="1D336D" w:themeColor="background2"/>
                <w:szCs w:val="22"/>
              </w:rPr>
              <w:t>IP</w:t>
            </w:r>
          </w:p>
        </w:tc>
        <w:tc>
          <w:tcPr>
            <w:tcW w:w="3767" w:type="dxa"/>
          </w:tcPr>
          <w:p w14:paraId="53130137" w14:textId="406E9AAE"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Implementing Partner</w:t>
            </w:r>
          </w:p>
        </w:tc>
      </w:tr>
      <w:tr w:rsidR="00924042" w:rsidRPr="006F31E8" w14:paraId="52C2C7C0" w14:textId="77777777" w:rsidTr="73DA2FDD">
        <w:trPr>
          <w:trHeight w:val="340"/>
        </w:trPr>
        <w:tc>
          <w:tcPr>
            <w:tcW w:w="1134" w:type="dxa"/>
            <w:shd w:val="clear" w:color="auto" w:fill="auto"/>
            <w:noWrap/>
          </w:tcPr>
          <w:p w14:paraId="145B68CA"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ADD</w:t>
            </w:r>
          </w:p>
        </w:tc>
        <w:tc>
          <w:tcPr>
            <w:tcW w:w="3715" w:type="dxa"/>
            <w:noWrap/>
          </w:tcPr>
          <w:p w14:paraId="11CFDB63" w14:textId="77777777" w:rsidR="00924042" w:rsidRPr="006F31E8" w:rsidRDefault="00924042" w:rsidP="00442CFB">
            <w:pPr>
              <w:spacing w:after="40" w:line="240" w:lineRule="auto"/>
              <w:ind w:left="113"/>
              <w:rPr>
                <w:rFonts w:cstheme="minorHAnsi"/>
                <w:color w:val="auto"/>
                <w:szCs w:val="22"/>
                <w:lang w:eastAsia="en-AU"/>
              </w:rPr>
            </w:pPr>
            <w:r w:rsidRPr="006F31E8">
              <w:rPr>
                <w:rFonts w:cstheme="minorHAnsi"/>
                <w:color w:val="auto"/>
                <w:szCs w:val="22"/>
              </w:rPr>
              <w:t>Action on Disability and Development International</w:t>
            </w:r>
          </w:p>
        </w:tc>
        <w:tc>
          <w:tcPr>
            <w:tcW w:w="1307" w:type="dxa"/>
            <w:tcBorders>
              <w:left w:val="nil"/>
            </w:tcBorders>
          </w:tcPr>
          <w:p w14:paraId="6E201BCF" w14:textId="4EB3DA27" w:rsidR="00924042" w:rsidRPr="00442CFB" w:rsidRDefault="00924042" w:rsidP="00442CFB">
            <w:pPr>
              <w:spacing w:after="40" w:line="240" w:lineRule="auto"/>
              <w:ind w:left="113"/>
              <w:jc w:val="right"/>
              <w:rPr>
                <w:rFonts w:cstheme="minorHAnsi"/>
                <w:color w:val="1D336D" w:themeColor="background2"/>
                <w:szCs w:val="22"/>
              </w:rPr>
            </w:pPr>
            <w:r w:rsidRPr="00442CFB">
              <w:rPr>
                <w:rFonts w:cstheme="minorHAnsi"/>
                <w:b/>
                <w:color w:val="1D336D" w:themeColor="background2"/>
                <w:szCs w:val="22"/>
              </w:rPr>
              <w:t>JPAs</w:t>
            </w:r>
          </w:p>
        </w:tc>
        <w:tc>
          <w:tcPr>
            <w:tcW w:w="3767" w:type="dxa"/>
          </w:tcPr>
          <w:p w14:paraId="60D7D2E7" w14:textId="6FFEB74F"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Judicial Police Agents</w:t>
            </w:r>
          </w:p>
        </w:tc>
      </w:tr>
      <w:tr w:rsidR="00924042" w:rsidRPr="006F31E8" w14:paraId="15C4B633" w14:textId="77777777" w:rsidTr="73DA2FDD">
        <w:trPr>
          <w:trHeight w:val="340"/>
        </w:trPr>
        <w:tc>
          <w:tcPr>
            <w:tcW w:w="1134" w:type="dxa"/>
            <w:shd w:val="clear" w:color="auto" w:fill="auto"/>
            <w:noWrap/>
          </w:tcPr>
          <w:p w14:paraId="1575F6CE"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AHRC</w:t>
            </w:r>
          </w:p>
        </w:tc>
        <w:tc>
          <w:tcPr>
            <w:tcW w:w="3715" w:type="dxa"/>
            <w:noWrap/>
          </w:tcPr>
          <w:p w14:paraId="6989FF72" w14:textId="77777777" w:rsidR="00924042" w:rsidRPr="006F31E8" w:rsidRDefault="00924042" w:rsidP="00442CFB">
            <w:pPr>
              <w:spacing w:after="40" w:line="240" w:lineRule="auto"/>
              <w:ind w:left="113"/>
              <w:rPr>
                <w:rFonts w:eastAsia="Arial" w:cstheme="minorHAnsi"/>
                <w:color w:val="auto"/>
                <w:szCs w:val="22"/>
              </w:rPr>
            </w:pPr>
            <w:r w:rsidRPr="006F31E8">
              <w:rPr>
                <w:rFonts w:cstheme="minorHAnsi"/>
                <w:color w:val="auto"/>
                <w:szCs w:val="22"/>
              </w:rPr>
              <w:t xml:space="preserve">Australian Human Rights Commission </w:t>
            </w:r>
          </w:p>
        </w:tc>
        <w:tc>
          <w:tcPr>
            <w:tcW w:w="1307" w:type="dxa"/>
            <w:tcBorders>
              <w:left w:val="nil"/>
            </w:tcBorders>
          </w:tcPr>
          <w:p w14:paraId="6E19A49C" w14:textId="28795803" w:rsidR="00924042" w:rsidRPr="00442CFB" w:rsidRDefault="00924042" w:rsidP="00442CFB">
            <w:pPr>
              <w:spacing w:after="40" w:line="240" w:lineRule="auto"/>
              <w:ind w:left="113"/>
              <w:jc w:val="right"/>
              <w:rPr>
                <w:rFonts w:cstheme="minorHAnsi"/>
                <w:color w:val="1D336D" w:themeColor="background2"/>
                <w:szCs w:val="22"/>
              </w:rPr>
            </w:pPr>
            <w:r w:rsidRPr="00442CFB">
              <w:rPr>
                <w:rFonts w:cstheme="minorHAnsi"/>
                <w:b/>
                <w:color w:val="1D336D" w:themeColor="background2"/>
                <w:szCs w:val="22"/>
              </w:rPr>
              <w:t>JPOs</w:t>
            </w:r>
          </w:p>
        </w:tc>
        <w:tc>
          <w:tcPr>
            <w:tcW w:w="3767" w:type="dxa"/>
          </w:tcPr>
          <w:p w14:paraId="68CCD999" w14:textId="6988FE4D"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Judicial Police Officers</w:t>
            </w:r>
          </w:p>
        </w:tc>
      </w:tr>
      <w:tr w:rsidR="00924042" w:rsidRPr="006F31E8" w14:paraId="6E11FCCD" w14:textId="77777777" w:rsidTr="73DA2FDD">
        <w:trPr>
          <w:trHeight w:val="340"/>
        </w:trPr>
        <w:tc>
          <w:tcPr>
            <w:tcW w:w="1134" w:type="dxa"/>
            <w:shd w:val="clear" w:color="auto" w:fill="auto"/>
            <w:noWrap/>
          </w:tcPr>
          <w:p w14:paraId="368E806B"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ASC</w:t>
            </w:r>
          </w:p>
        </w:tc>
        <w:tc>
          <w:tcPr>
            <w:tcW w:w="3715" w:type="dxa"/>
            <w:noWrap/>
          </w:tcPr>
          <w:p w14:paraId="13E16410" w14:textId="77777777"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ACCESS Steering Committee</w:t>
            </w:r>
          </w:p>
        </w:tc>
        <w:tc>
          <w:tcPr>
            <w:tcW w:w="1307" w:type="dxa"/>
            <w:tcBorders>
              <w:left w:val="nil"/>
            </w:tcBorders>
          </w:tcPr>
          <w:p w14:paraId="48C86F76" w14:textId="15C0ABDD" w:rsidR="00924042" w:rsidRPr="00442CFB" w:rsidRDefault="00924042" w:rsidP="00442CFB">
            <w:pPr>
              <w:spacing w:after="40" w:line="240" w:lineRule="auto"/>
              <w:ind w:left="113"/>
              <w:jc w:val="right"/>
              <w:rPr>
                <w:rFonts w:cstheme="minorHAnsi"/>
                <w:color w:val="1D336D" w:themeColor="background2"/>
                <w:szCs w:val="22"/>
              </w:rPr>
            </w:pPr>
            <w:r w:rsidRPr="00442CFB">
              <w:rPr>
                <w:rFonts w:cstheme="minorHAnsi"/>
                <w:b/>
                <w:color w:val="1D336D" w:themeColor="background2"/>
                <w:szCs w:val="22"/>
              </w:rPr>
              <w:t>LAC</w:t>
            </w:r>
          </w:p>
        </w:tc>
        <w:tc>
          <w:tcPr>
            <w:tcW w:w="3767" w:type="dxa"/>
          </w:tcPr>
          <w:p w14:paraId="4C68DDCE" w14:textId="31AD3FBE"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Legal Aid Cambodia</w:t>
            </w:r>
          </w:p>
        </w:tc>
      </w:tr>
      <w:tr w:rsidR="00924042" w:rsidRPr="006F31E8" w14:paraId="2F2DE173" w14:textId="77777777" w:rsidTr="73DA2FDD">
        <w:trPr>
          <w:trHeight w:val="340"/>
        </w:trPr>
        <w:tc>
          <w:tcPr>
            <w:tcW w:w="1134" w:type="dxa"/>
            <w:shd w:val="clear" w:color="auto" w:fill="auto"/>
            <w:noWrap/>
          </w:tcPr>
          <w:p w14:paraId="431C43ED"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ASEAN</w:t>
            </w:r>
          </w:p>
        </w:tc>
        <w:tc>
          <w:tcPr>
            <w:tcW w:w="3715" w:type="dxa"/>
            <w:noWrap/>
          </w:tcPr>
          <w:p w14:paraId="2E66B3E4" w14:textId="77777777"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Association of Southeast Asian Nations</w:t>
            </w:r>
          </w:p>
        </w:tc>
        <w:tc>
          <w:tcPr>
            <w:tcW w:w="1307" w:type="dxa"/>
            <w:tcBorders>
              <w:left w:val="nil"/>
            </w:tcBorders>
          </w:tcPr>
          <w:p w14:paraId="350FEEAC" w14:textId="03792163" w:rsidR="00924042" w:rsidRPr="00442CFB" w:rsidRDefault="00924042" w:rsidP="00442CFB">
            <w:pPr>
              <w:spacing w:after="40" w:line="240" w:lineRule="auto"/>
              <w:ind w:left="113"/>
              <w:jc w:val="right"/>
              <w:rPr>
                <w:rFonts w:cstheme="minorHAnsi"/>
                <w:color w:val="1D336D" w:themeColor="background2"/>
                <w:szCs w:val="22"/>
              </w:rPr>
            </w:pPr>
            <w:r w:rsidRPr="00442CFB">
              <w:rPr>
                <w:rFonts w:cstheme="minorHAnsi"/>
                <w:b/>
                <w:color w:val="1D336D" w:themeColor="background2"/>
                <w:szCs w:val="22"/>
              </w:rPr>
              <w:t>MEF</w:t>
            </w:r>
          </w:p>
        </w:tc>
        <w:tc>
          <w:tcPr>
            <w:tcW w:w="3767" w:type="dxa"/>
          </w:tcPr>
          <w:p w14:paraId="3F4402D8" w14:textId="4ECD272A"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Ministry of Economy and Finance</w:t>
            </w:r>
          </w:p>
        </w:tc>
      </w:tr>
      <w:tr w:rsidR="00924042" w:rsidRPr="006F31E8" w14:paraId="67A87E31" w14:textId="77777777" w:rsidTr="73DA2FDD">
        <w:trPr>
          <w:trHeight w:val="340"/>
        </w:trPr>
        <w:tc>
          <w:tcPr>
            <w:tcW w:w="1134" w:type="dxa"/>
            <w:shd w:val="clear" w:color="auto" w:fill="auto"/>
            <w:noWrap/>
          </w:tcPr>
          <w:p w14:paraId="0E2ECF79"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AWP</w:t>
            </w:r>
          </w:p>
        </w:tc>
        <w:tc>
          <w:tcPr>
            <w:tcW w:w="3715" w:type="dxa"/>
            <w:noWrap/>
          </w:tcPr>
          <w:p w14:paraId="34DA0E81" w14:textId="77777777"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Annual Work Plan</w:t>
            </w:r>
          </w:p>
        </w:tc>
        <w:tc>
          <w:tcPr>
            <w:tcW w:w="1307" w:type="dxa"/>
            <w:tcBorders>
              <w:left w:val="nil"/>
            </w:tcBorders>
          </w:tcPr>
          <w:p w14:paraId="2C6B3186" w14:textId="380DED7C" w:rsidR="00924042" w:rsidRPr="00442CFB" w:rsidRDefault="00924042" w:rsidP="00442CFB">
            <w:pPr>
              <w:spacing w:after="40" w:line="240" w:lineRule="auto"/>
              <w:ind w:left="113"/>
              <w:jc w:val="right"/>
              <w:rPr>
                <w:rFonts w:cstheme="minorHAnsi"/>
                <w:color w:val="1D336D" w:themeColor="background2"/>
                <w:szCs w:val="22"/>
              </w:rPr>
            </w:pPr>
            <w:r w:rsidRPr="00442CFB">
              <w:rPr>
                <w:rFonts w:cstheme="minorHAnsi"/>
                <w:b/>
                <w:color w:val="1D336D" w:themeColor="background2"/>
                <w:szCs w:val="22"/>
              </w:rPr>
              <w:t>MoH</w:t>
            </w:r>
          </w:p>
        </w:tc>
        <w:tc>
          <w:tcPr>
            <w:tcW w:w="3767" w:type="dxa"/>
          </w:tcPr>
          <w:p w14:paraId="2757A02C" w14:textId="3DBC024D"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Ministry of Health</w:t>
            </w:r>
          </w:p>
        </w:tc>
      </w:tr>
      <w:tr w:rsidR="00924042" w:rsidRPr="006F31E8" w14:paraId="37436FDC" w14:textId="77777777" w:rsidTr="73DA2FDD">
        <w:trPr>
          <w:trHeight w:val="340"/>
        </w:trPr>
        <w:tc>
          <w:tcPr>
            <w:tcW w:w="1134" w:type="dxa"/>
            <w:shd w:val="clear" w:color="auto" w:fill="auto"/>
            <w:noWrap/>
          </w:tcPr>
          <w:p w14:paraId="45FDFF35"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CCHR</w:t>
            </w:r>
          </w:p>
        </w:tc>
        <w:tc>
          <w:tcPr>
            <w:tcW w:w="3715" w:type="dxa"/>
            <w:noWrap/>
          </w:tcPr>
          <w:p w14:paraId="3C347330" w14:textId="77777777"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 xml:space="preserve">Cambodia Centre for Human Rights </w:t>
            </w:r>
          </w:p>
        </w:tc>
        <w:tc>
          <w:tcPr>
            <w:tcW w:w="1307" w:type="dxa"/>
            <w:tcBorders>
              <w:left w:val="nil"/>
            </w:tcBorders>
          </w:tcPr>
          <w:p w14:paraId="4333D799" w14:textId="558F6935" w:rsidR="00924042" w:rsidRPr="00442CFB" w:rsidRDefault="00924042" w:rsidP="00442CFB">
            <w:pPr>
              <w:spacing w:after="40" w:line="240" w:lineRule="auto"/>
              <w:ind w:left="113"/>
              <w:jc w:val="right"/>
              <w:rPr>
                <w:rFonts w:cstheme="minorHAnsi"/>
                <w:color w:val="1D336D" w:themeColor="background2"/>
                <w:szCs w:val="22"/>
              </w:rPr>
            </w:pPr>
            <w:proofErr w:type="spellStart"/>
            <w:r w:rsidRPr="00442CFB">
              <w:rPr>
                <w:rFonts w:cstheme="minorHAnsi"/>
                <w:b/>
                <w:color w:val="1D336D" w:themeColor="background2"/>
                <w:szCs w:val="22"/>
              </w:rPr>
              <w:t>MoI</w:t>
            </w:r>
            <w:proofErr w:type="spellEnd"/>
          </w:p>
        </w:tc>
        <w:tc>
          <w:tcPr>
            <w:tcW w:w="3767" w:type="dxa"/>
          </w:tcPr>
          <w:p w14:paraId="36E2D649" w14:textId="6F84FBDE"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Ministry of Interior</w:t>
            </w:r>
          </w:p>
        </w:tc>
      </w:tr>
      <w:tr w:rsidR="00924042" w:rsidRPr="006F31E8" w14:paraId="2EED4BC6" w14:textId="77777777" w:rsidTr="73DA2FDD">
        <w:trPr>
          <w:trHeight w:val="340"/>
        </w:trPr>
        <w:tc>
          <w:tcPr>
            <w:tcW w:w="1134" w:type="dxa"/>
            <w:shd w:val="clear" w:color="auto" w:fill="auto"/>
            <w:noWrap/>
          </w:tcPr>
          <w:p w14:paraId="31270D62"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CCWC</w:t>
            </w:r>
          </w:p>
        </w:tc>
        <w:tc>
          <w:tcPr>
            <w:tcW w:w="3715" w:type="dxa"/>
            <w:noWrap/>
          </w:tcPr>
          <w:p w14:paraId="423946DD" w14:textId="77777777"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Commune Committee for Women and Children</w:t>
            </w:r>
          </w:p>
        </w:tc>
        <w:tc>
          <w:tcPr>
            <w:tcW w:w="1307" w:type="dxa"/>
            <w:tcBorders>
              <w:left w:val="nil"/>
            </w:tcBorders>
          </w:tcPr>
          <w:p w14:paraId="2A605318" w14:textId="58BB5BBD" w:rsidR="00924042" w:rsidRPr="00442CFB" w:rsidRDefault="00924042" w:rsidP="00442CFB">
            <w:pPr>
              <w:spacing w:after="40" w:line="240" w:lineRule="auto"/>
              <w:ind w:left="113"/>
              <w:jc w:val="right"/>
              <w:rPr>
                <w:rFonts w:cstheme="minorHAnsi"/>
                <w:color w:val="1D336D" w:themeColor="background2"/>
                <w:szCs w:val="22"/>
              </w:rPr>
            </w:pPr>
            <w:proofErr w:type="spellStart"/>
            <w:r w:rsidRPr="00442CFB">
              <w:rPr>
                <w:rFonts w:cstheme="minorHAnsi"/>
                <w:b/>
                <w:color w:val="1D336D" w:themeColor="background2"/>
                <w:szCs w:val="22"/>
              </w:rPr>
              <w:t>MoSVY</w:t>
            </w:r>
            <w:proofErr w:type="spellEnd"/>
          </w:p>
        </w:tc>
        <w:tc>
          <w:tcPr>
            <w:tcW w:w="3767" w:type="dxa"/>
          </w:tcPr>
          <w:p w14:paraId="4C608C25" w14:textId="77879370"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Ministry of Social Affairs, Veterans and Youth Rehabilitation</w:t>
            </w:r>
          </w:p>
        </w:tc>
      </w:tr>
      <w:tr w:rsidR="00924042" w:rsidRPr="006F31E8" w14:paraId="49CEDB90" w14:textId="77777777" w:rsidTr="73DA2FDD">
        <w:trPr>
          <w:trHeight w:val="340"/>
        </w:trPr>
        <w:tc>
          <w:tcPr>
            <w:tcW w:w="1134" w:type="dxa"/>
            <w:shd w:val="clear" w:color="auto" w:fill="auto"/>
            <w:noWrap/>
          </w:tcPr>
          <w:p w14:paraId="6080A6B9"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CDHS</w:t>
            </w:r>
          </w:p>
        </w:tc>
        <w:tc>
          <w:tcPr>
            <w:tcW w:w="3715" w:type="dxa"/>
            <w:noWrap/>
          </w:tcPr>
          <w:p w14:paraId="4288DF19" w14:textId="77777777" w:rsidR="00924042" w:rsidRPr="006F31E8" w:rsidRDefault="00924042" w:rsidP="00442CFB">
            <w:pPr>
              <w:spacing w:after="40" w:line="240" w:lineRule="auto"/>
              <w:ind w:left="113"/>
              <w:rPr>
                <w:rFonts w:cstheme="minorHAnsi"/>
                <w:color w:val="auto"/>
                <w:szCs w:val="22"/>
                <w:lang w:eastAsia="en-AU"/>
              </w:rPr>
            </w:pPr>
            <w:r w:rsidRPr="006F31E8">
              <w:rPr>
                <w:rFonts w:cstheme="minorHAnsi"/>
                <w:color w:val="auto"/>
                <w:szCs w:val="22"/>
              </w:rPr>
              <w:t>Cambodia Demographic and Health Survey</w:t>
            </w:r>
          </w:p>
        </w:tc>
        <w:tc>
          <w:tcPr>
            <w:tcW w:w="1307" w:type="dxa"/>
            <w:tcBorders>
              <w:left w:val="nil"/>
            </w:tcBorders>
          </w:tcPr>
          <w:p w14:paraId="17E39E65" w14:textId="3579FF4A" w:rsidR="00924042" w:rsidRPr="00442CFB" w:rsidRDefault="00A2192B" w:rsidP="00442CFB">
            <w:pPr>
              <w:spacing w:after="40" w:line="240" w:lineRule="auto"/>
              <w:ind w:left="113"/>
              <w:jc w:val="right"/>
              <w:rPr>
                <w:rFonts w:cstheme="minorHAnsi"/>
                <w:color w:val="1D336D" w:themeColor="background2"/>
                <w:szCs w:val="22"/>
              </w:rPr>
            </w:pPr>
            <w:proofErr w:type="spellStart"/>
            <w:r w:rsidRPr="00442CFB">
              <w:rPr>
                <w:rFonts w:cstheme="minorHAnsi"/>
                <w:b/>
                <w:color w:val="1D336D" w:themeColor="background2"/>
                <w:szCs w:val="22"/>
              </w:rPr>
              <w:t>MoWA</w:t>
            </w:r>
            <w:proofErr w:type="spellEnd"/>
          </w:p>
        </w:tc>
        <w:tc>
          <w:tcPr>
            <w:tcW w:w="3767" w:type="dxa"/>
          </w:tcPr>
          <w:p w14:paraId="12405A24" w14:textId="54356ABE"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 xml:space="preserve">Ministry of Women’s Affairs </w:t>
            </w:r>
          </w:p>
        </w:tc>
      </w:tr>
      <w:tr w:rsidR="00924042" w:rsidRPr="006F31E8" w14:paraId="7BBF1639" w14:textId="77777777" w:rsidTr="73DA2FDD">
        <w:trPr>
          <w:trHeight w:val="340"/>
        </w:trPr>
        <w:tc>
          <w:tcPr>
            <w:tcW w:w="1134" w:type="dxa"/>
            <w:shd w:val="clear" w:color="auto" w:fill="auto"/>
            <w:noWrap/>
          </w:tcPr>
          <w:p w14:paraId="1FC9FDE7" w14:textId="77777777" w:rsidR="00924042" w:rsidRPr="00442CFB" w:rsidRDefault="00924042"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CDPO</w:t>
            </w:r>
          </w:p>
        </w:tc>
        <w:tc>
          <w:tcPr>
            <w:tcW w:w="3715" w:type="dxa"/>
            <w:noWrap/>
          </w:tcPr>
          <w:p w14:paraId="231E518C" w14:textId="77777777" w:rsidR="00924042" w:rsidRPr="006F31E8" w:rsidRDefault="00924042" w:rsidP="00442CFB">
            <w:pPr>
              <w:spacing w:after="40" w:line="240" w:lineRule="auto"/>
              <w:ind w:left="113"/>
              <w:rPr>
                <w:rFonts w:eastAsia="Times New Roman" w:cstheme="minorHAnsi"/>
                <w:color w:val="auto"/>
                <w:szCs w:val="22"/>
              </w:rPr>
            </w:pPr>
            <w:r w:rsidRPr="006F31E8">
              <w:rPr>
                <w:rFonts w:cstheme="minorHAnsi"/>
                <w:color w:val="auto"/>
                <w:szCs w:val="22"/>
              </w:rPr>
              <w:t>Cambodian Disabled People’s Organisation</w:t>
            </w:r>
          </w:p>
        </w:tc>
        <w:tc>
          <w:tcPr>
            <w:tcW w:w="1307" w:type="dxa"/>
            <w:tcBorders>
              <w:left w:val="nil"/>
            </w:tcBorders>
          </w:tcPr>
          <w:p w14:paraId="5D2B3E66" w14:textId="3E30183A" w:rsidR="00924042" w:rsidRPr="00442CFB" w:rsidRDefault="00924042" w:rsidP="00442CFB">
            <w:pPr>
              <w:spacing w:after="40" w:line="240" w:lineRule="auto"/>
              <w:ind w:left="113"/>
              <w:jc w:val="right"/>
              <w:rPr>
                <w:rFonts w:cstheme="minorHAnsi"/>
                <w:color w:val="1D336D" w:themeColor="background2"/>
                <w:szCs w:val="22"/>
              </w:rPr>
            </w:pPr>
            <w:r w:rsidRPr="00442CFB">
              <w:rPr>
                <w:rFonts w:cstheme="minorHAnsi"/>
                <w:b/>
                <w:color w:val="1D336D" w:themeColor="background2"/>
                <w:szCs w:val="22"/>
              </w:rPr>
              <w:t>NAPVAW</w:t>
            </w:r>
          </w:p>
        </w:tc>
        <w:tc>
          <w:tcPr>
            <w:tcW w:w="3767" w:type="dxa"/>
          </w:tcPr>
          <w:p w14:paraId="5F05C763" w14:textId="5F4AB539" w:rsidR="00924042" w:rsidRPr="006F31E8" w:rsidRDefault="00924042" w:rsidP="00442CFB">
            <w:pPr>
              <w:spacing w:after="40" w:line="240" w:lineRule="auto"/>
              <w:ind w:left="113"/>
              <w:rPr>
                <w:rFonts w:cstheme="minorHAnsi"/>
                <w:color w:val="auto"/>
                <w:szCs w:val="22"/>
              </w:rPr>
            </w:pPr>
            <w:r w:rsidRPr="006F31E8">
              <w:rPr>
                <w:rFonts w:cstheme="minorHAnsi"/>
                <w:color w:val="auto"/>
                <w:szCs w:val="22"/>
              </w:rPr>
              <w:t>National Action Plan to Prevent Violence Against Women</w:t>
            </w:r>
          </w:p>
        </w:tc>
      </w:tr>
      <w:tr w:rsidR="00A64B57" w:rsidRPr="006F31E8" w14:paraId="63D77F5D" w14:textId="77777777" w:rsidTr="73DA2FDD">
        <w:trPr>
          <w:trHeight w:val="340"/>
        </w:trPr>
        <w:tc>
          <w:tcPr>
            <w:tcW w:w="1134" w:type="dxa"/>
            <w:shd w:val="clear" w:color="auto" w:fill="auto"/>
            <w:noWrap/>
          </w:tcPr>
          <w:p w14:paraId="6CC4932C" w14:textId="77777777" w:rsidR="00BA661F" w:rsidRPr="00442CFB" w:rsidRDefault="00BA661F" w:rsidP="00442CFB">
            <w:pPr>
              <w:spacing w:after="40" w:line="240" w:lineRule="auto"/>
              <w:jc w:val="right"/>
              <w:rPr>
                <w:rFonts w:cstheme="minorHAnsi"/>
                <w:b/>
                <w:bCs/>
                <w:color w:val="1D336D" w:themeColor="background2"/>
                <w:szCs w:val="22"/>
              </w:rPr>
            </w:pPr>
            <w:r w:rsidRPr="00442CFB">
              <w:rPr>
                <w:rFonts w:cstheme="minorHAnsi"/>
                <w:b/>
                <w:color w:val="1D336D" w:themeColor="background2"/>
                <w:szCs w:val="22"/>
              </w:rPr>
              <w:t>CIMP</w:t>
            </w:r>
          </w:p>
        </w:tc>
        <w:tc>
          <w:tcPr>
            <w:tcW w:w="3715" w:type="dxa"/>
            <w:noWrap/>
          </w:tcPr>
          <w:p w14:paraId="4C4EF299" w14:textId="77777777" w:rsidR="00BA661F" w:rsidRPr="006F31E8" w:rsidRDefault="00BA661F" w:rsidP="00442CFB">
            <w:pPr>
              <w:spacing w:after="40" w:line="240" w:lineRule="auto"/>
              <w:ind w:left="113"/>
              <w:rPr>
                <w:rFonts w:eastAsia="Arial" w:cstheme="minorHAnsi"/>
                <w:color w:val="auto"/>
                <w:szCs w:val="22"/>
              </w:rPr>
            </w:pPr>
            <w:r w:rsidRPr="006F31E8">
              <w:rPr>
                <w:rFonts w:cstheme="minorHAnsi"/>
                <w:color w:val="auto"/>
                <w:szCs w:val="22"/>
              </w:rPr>
              <w:t>Competitive Investment Mechanism Panel</w:t>
            </w:r>
          </w:p>
        </w:tc>
        <w:tc>
          <w:tcPr>
            <w:tcW w:w="1307" w:type="dxa"/>
            <w:tcBorders>
              <w:left w:val="nil"/>
            </w:tcBorders>
          </w:tcPr>
          <w:p w14:paraId="0BBDBBEA" w14:textId="77777777" w:rsidR="00BA661F" w:rsidRPr="00442CFB" w:rsidRDefault="00BA661F" w:rsidP="00442CFB">
            <w:pPr>
              <w:spacing w:after="40" w:line="240" w:lineRule="auto"/>
              <w:ind w:left="113"/>
              <w:jc w:val="right"/>
              <w:rPr>
                <w:rFonts w:cstheme="minorHAnsi"/>
                <w:color w:val="1D336D" w:themeColor="background2"/>
                <w:szCs w:val="22"/>
              </w:rPr>
            </w:pPr>
            <w:r w:rsidRPr="00442CFB">
              <w:rPr>
                <w:rFonts w:cstheme="minorHAnsi"/>
                <w:b/>
                <w:color w:val="1D336D" w:themeColor="background2"/>
                <w:szCs w:val="22"/>
              </w:rPr>
              <w:t>NDSP</w:t>
            </w:r>
          </w:p>
        </w:tc>
        <w:tc>
          <w:tcPr>
            <w:tcW w:w="3767" w:type="dxa"/>
          </w:tcPr>
          <w:p w14:paraId="08DEBBCE" w14:textId="77777777" w:rsidR="00BA661F" w:rsidRPr="006F31E8" w:rsidRDefault="00BA661F" w:rsidP="00442CFB">
            <w:pPr>
              <w:spacing w:after="40" w:line="240" w:lineRule="auto"/>
              <w:ind w:left="113"/>
              <w:rPr>
                <w:rFonts w:cstheme="minorHAnsi"/>
                <w:color w:val="auto"/>
                <w:szCs w:val="22"/>
              </w:rPr>
            </w:pPr>
            <w:r w:rsidRPr="006F31E8">
              <w:rPr>
                <w:rFonts w:cstheme="minorHAnsi"/>
                <w:color w:val="auto"/>
                <w:szCs w:val="22"/>
              </w:rPr>
              <w:t>National Disability Strategic Plan</w:t>
            </w:r>
          </w:p>
        </w:tc>
      </w:tr>
      <w:tr w:rsidR="00A64B57" w:rsidRPr="006F31E8" w14:paraId="68D2A07F" w14:textId="77777777" w:rsidTr="73DA2FDD">
        <w:trPr>
          <w:trHeight w:val="340"/>
        </w:trPr>
        <w:tc>
          <w:tcPr>
            <w:tcW w:w="1134" w:type="dxa"/>
            <w:shd w:val="clear" w:color="auto" w:fill="auto"/>
            <w:noWrap/>
          </w:tcPr>
          <w:p w14:paraId="5D3DEF18" w14:textId="77777777" w:rsidR="00BA661F" w:rsidRPr="00893342" w:rsidRDefault="00BA661F" w:rsidP="00893342">
            <w:pPr>
              <w:spacing w:after="40" w:line="240" w:lineRule="auto"/>
              <w:jc w:val="right"/>
              <w:rPr>
                <w:rFonts w:cstheme="minorHAnsi"/>
                <w:b/>
                <w:bCs/>
                <w:color w:val="1D336D" w:themeColor="background2"/>
                <w:szCs w:val="22"/>
              </w:rPr>
            </w:pPr>
            <w:r w:rsidRPr="00893342">
              <w:rPr>
                <w:rFonts w:cstheme="minorHAnsi"/>
                <w:b/>
                <w:color w:val="1D336D" w:themeColor="background2"/>
                <w:szCs w:val="22"/>
              </w:rPr>
              <w:t>CIP</w:t>
            </w:r>
          </w:p>
        </w:tc>
        <w:tc>
          <w:tcPr>
            <w:tcW w:w="3715" w:type="dxa"/>
            <w:noWrap/>
          </w:tcPr>
          <w:p w14:paraId="2C0A6388" w14:textId="77777777" w:rsidR="00BA661F" w:rsidRPr="006F31E8" w:rsidRDefault="00BA661F" w:rsidP="00893342">
            <w:pPr>
              <w:spacing w:after="40" w:line="240" w:lineRule="auto"/>
              <w:ind w:left="113"/>
              <w:rPr>
                <w:rFonts w:cstheme="minorHAnsi"/>
                <w:color w:val="auto"/>
                <w:szCs w:val="22"/>
              </w:rPr>
            </w:pPr>
            <w:r w:rsidRPr="006F31E8">
              <w:rPr>
                <w:rFonts w:cstheme="minorHAnsi"/>
                <w:color w:val="auto"/>
                <w:szCs w:val="22"/>
              </w:rPr>
              <w:t>Commune Investment Plan</w:t>
            </w:r>
          </w:p>
        </w:tc>
        <w:tc>
          <w:tcPr>
            <w:tcW w:w="1307" w:type="dxa"/>
            <w:tcBorders>
              <w:left w:val="nil"/>
            </w:tcBorders>
          </w:tcPr>
          <w:p w14:paraId="25991CE5" w14:textId="77777777" w:rsidR="00BA661F" w:rsidRPr="00893342" w:rsidRDefault="00BA661F" w:rsidP="00893342">
            <w:pPr>
              <w:spacing w:after="40" w:line="240" w:lineRule="auto"/>
              <w:ind w:left="113"/>
              <w:jc w:val="right"/>
              <w:rPr>
                <w:rFonts w:cstheme="minorHAnsi"/>
                <w:color w:val="1D336D" w:themeColor="background2"/>
                <w:szCs w:val="22"/>
              </w:rPr>
            </w:pPr>
            <w:r w:rsidRPr="00893342">
              <w:rPr>
                <w:rFonts w:cstheme="minorHAnsi"/>
                <w:b/>
                <w:color w:val="1D336D" w:themeColor="background2"/>
                <w:szCs w:val="22"/>
              </w:rPr>
              <w:t>NGO</w:t>
            </w:r>
          </w:p>
        </w:tc>
        <w:tc>
          <w:tcPr>
            <w:tcW w:w="3767" w:type="dxa"/>
          </w:tcPr>
          <w:p w14:paraId="7DF6316A" w14:textId="77777777" w:rsidR="00BA661F" w:rsidRPr="006F31E8" w:rsidRDefault="00BA661F" w:rsidP="00893342">
            <w:pPr>
              <w:spacing w:after="40" w:line="240" w:lineRule="auto"/>
              <w:ind w:left="113"/>
              <w:rPr>
                <w:rFonts w:cstheme="minorHAnsi"/>
                <w:color w:val="auto"/>
                <w:szCs w:val="22"/>
              </w:rPr>
            </w:pPr>
            <w:r w:rsidRPr="006F31E8">
              <w:rPr>
                <w:rFonts w:cstheme="minorHAnsi"/>
                <w:color w:val="auto"/>
                <w:szCs w:val="22"/>
              </w:rPr>
              <w:t>Non-Governmental Organisation</w:t>
            </w:r>
          </w:p>
        </w:tc>
      </w:tr>
      <w:tr w:rsidR="00A64B57" w:rsidRPr="006F31E8" w14:paraId="389C0E45" w14:textId="77777777" w:rsidTr="73DA2FDD">
        <w:trPr>
          <w:trHeight w:val="340"/>
        </w:trPr>
        <w:tc>
          <w:tcPr>
            <w:tcW w:w="1134" w:type="dxa"/>
            <w:shd w:val="clear" w:color="auto" w:fill="auto"/>
            <w:noWrap/>
          </w:tcPr>
          <w:p w14:paraId="7364250A" w14:textId="77777777" w:rsidR="00BA661F" w:rsidRPr="00893342" w:rsidRDefault="00BA661F" w:rsidP="00893342">
            <w:pPr>
              <w:spacing w:after="40" w:line="240" w:lineRule="auto"/>
              <w:jc w:val="right"/>
              <w:rPr>
                <w:rFonts w:cstheme="minorHAnsi"/>
                <w:b/>
                <w:bCs/>
                <w:color w:val="1D336D" w:themeColor="background2"/>
                <w:szCs w:val="22"/>
              </w:rPr>
            </w:pPr>
            <w:r w:rsidRPr="00893342">
              <w:rPr>
                <w:rFonts w:cstheme="minorHAnsi"/>
                <w:b/>
                <w:color w:val="1D336D" w:themeColor="background2"/>
                <w:szCs w:val="22"/>
              </w:rPr>
              <w:t>CNCW</w:t>
            </w:r>
          </w:p>
        </w:tc>
        <w:tc>
          <w:tcPr>
            <w:tcW w:w="3715" w:type="dxa"/>
            <w:noWrap/>
          </w:tcPr>
          <w:p w14:paraId="63EDE8F7" w14:textId="77777777" w:rsidR="00BA661F" w:rsidRPr="006F31E8" w:rsidRDefault="00BA661F" w:rsidP="00893342">
            <w:pPr>
              <w:spacing w:after="40" w:line="240" w:lineRule="auto"/>
              <w:ind w:left="113"/>
              <w:rPr>
                <w:rFonts w:cstheme="minorHAnsi"/>
                <w:color w:val="auto"/>
                <w:szCs w:val="22"/>
              </w:rPr>
            </w:pPr>
            <w:r w:rsidRPr="006F31E8">
              <w:rPr>
                <w:rFonts w:cstheme="minorHAnsi"/>
                <w:color w:val="auto"/>
                <w:szCs w:val="22"/>
              </w:rPr>
              <w:t>Cambodia National Committee for Women</w:t>
            </w:r>
          </w:p>
        </w:tc>
        <w:tc>
          <w:tcPr>
            <w:tcW w:w="1307" w:type="dxa"/>
            <w:tcBorders>
              <w:left w:val="nil"/>
            </w:tcBorders>
          </w:tcPr>
          <w:p w14:paraId="390F4125" w14:textId="77777777" w:rsidR="00BA661F" w:rsidRPr="007825FE" w:rsidRDefault="00BA661F" w:rsidP="00893342">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OPD</w:t>
            </w:r>
          </w:p>
        </w:tc>
        <w:tc>
          <w:tcPr>
            <w:tcW w:w="3767" w:type="dxa"/>
          </w:tcPr>
          <w:p w14:paraId="1942F41F" w14:textId="77777777" w:rsidR="00BA661F" w:rsidRPr="006F31E8" w:rsidRDefault="00BA661F" w:rsidP="00893342">
            <w:pPr>
              <w:spacing w:after="40" w:line="240" w:lineRule="auto"/>
              <w:ind w:left="113"/>
              <w:rPr>
                <w:rFonts w:cstheme="minorHAnsi"/>
                <w:color w:val="auto"/>
                <w:szCs w:val="22"/>
              </w:rPr>
            </w:pPr>
            <w:r w:rsidRPr="006F31E8">
              <w:rPr>
                <w:rFonts w:cstheme="minorHAnsi"/>
                <w:color w:val="auto"/>
                <w:szCs w:val="22"/>
              </w:rPr>
              <w:t>Organisation of Persons with Disabilities</w:t>
            </w:r>
          </w:p>
        </w:tc>
      </w:tr>
      <w:tr w:rsidR="00A64B57" w:rsidRPr="006F31E8" w14:paraId="464EF28C" w14:textId="77777777" w:rsidTr="73DA2FDD">
        <w:trPr>
          <w:trHeight w:val="340"/>
        </w:trPr>
        <w:tc>
          <w:tcPr>
            <w:tcW w:w="1134" w:type="dxa"/>
            <w:shd w:val="clear" w:color="auto" w:fill="auto"/>
            <w:noWrap/>
          </w:tcPr>
          <w:p w14:paraId="55DC5212"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CWCC</w:t>
            </w:r>
          </w:p>
        </w:tc>
        <w:tc>
          <w:tcPr>
            <w:tcW w:w="3715" w:type="dxa"/>
            <w:noWrap/>
          </w:tcPr>
          <w:p w14:paraId="004550B0"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Cambodian Women's Crisis Centre</w:t>
            </w:r>
          </w:p>
        </w:tc>
        <w:tc>
          <w:tcPr>
            <w:tcW w:w="1307" w:type="dxa"/>
            <w:tcBorders>
              <w:left w:val="nil"/>
            </w:tcBorders>
          </w:tcPr>
          <w:p w14:paraId="7E3522BC" w14:textId="77777777" w:rsidR="00BA661F" w:rsidRPr="007825FE" w:rsidRDefault="00BA661F" w:rsidP="007825FE">
            <w:pPr>
              <w:spacing w:after="40" w:line="240" w:lineRule="auto"/>
              <w:ind w:left="113"/>
              <w:jc w:val="right"/>
              <w:rPr>
                <w:rFonts w:cstheme="minorHAnsi"/>
                <w:color w:val="1D336D" w:themeColor="background2"/>
                <w:szCs w:val="22"/>
              </w:rPr>
            </w:pPr>
            <w:proofErr w:type="spellStart"/>
            <w:r w:rsidRPr="007825FE">
              <w:rPr>
                <w:rFonts w:cstheme="minorHAnsi"/>
                <w:b/>
                <w:color w:val="1D336D" w:themeColor="background2"/>
                <w:szCs w:val="22"/>
              </w:rPr>
              <w:t>PDoWA</w:t>
            </w:r>
            <w:proofErr w:type="spellEnd"/>
          </w:p>
        </w:tc>
        <w:tc>
          <w:tcPr>
            <w:tcW w:w="3767" w:type="dxa"/>
          </w:tcPr>
          <w:p w14:paraId="57828C58"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Provincial Department for Women’s Affairs</w:t>
            </w:r>
          </w:p>
        </w:tc>
      </w:tr>
      <w:tr w:rsidR="00A64B57" w:rsidRPr="006F31E8" w14:paraId="3AC527BD" w14:textId="77777777" w:rsidTr="73DA2FDD">
        <w:trPr>
          <w:trHeight w:val="340"/>
        </w:trPr>
        <w:tc>
          <w:tcPr>
            <w:tcW w:w="1134" w:type="dxa"/>
            <w:shd w:val="clear" w:color="auto" w:fill="auto"/>
            <w:noWrap/>
          </w:tcPr>
          <w:p w14:paraId="5DBBB1E2"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DAC</w:t>
            </w:r>
          </w:p>
        </w:tc>
        <w:tc>
          <w:tcPr>
            <w:tcW w:w="3715" w:type="dxa"/>
            <w:noWrap/>
          </w:tcPr>
          <w:p w14:paraId="04A420D1"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Disability Action Council</w:t>
            </w:r>
          </w:p>
        </w:tc>
        <w:tc>
          <w:tcPr>
            <w:tcW w:w="1307" w:type="dxa"/>
            <w:tcBorders>
              <w:left w:val="nil"/>
            </w:tcBorders>
          </w:tcPr>
          <w:p w14:paraId="278BB31D"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PFM</w:t>
            </w:r>
          </w:p>
        </w:tc>
        <w:tc>
          <w:tcPr>
            <w:tcW w:w="3767" w:type="dxa"/>
          </w:tcPr>
          <w:p w14:paraId="35633A6D"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Public Financial Management</w:t>
            </w:r>
          </w:p>
        </w:tc>
      </w:tr>
      <w:tr w:rsidR="00A64B57" w:rsidRPr="006F31E8" w14:paraId="0B2424C9" w14:textId="77777777" w:rsidTr="73DA2FDD">
        <w:trPr>
          <w:trHeight w:val="340"/>
        </w:trPr>
        <w:tc>
          <w:tcPr>
            <w:tcW w:w="1134" w:type="dxa"/>
            <w:shd w:val="clear" w:color="auto" w:fill="auto"/>
            <w:noWrap/>
          </w:tcPr>
          <w:p w14:paraId="389243B8"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DAC-SG</w:t>
            </w:r>
          </w:p>
        </w:tc>
        <w:tc>
          <w:tcPr>
            <w:tcW w:w="3715" w:type="dxa"/>
            <w:noWrap/>
          </w:tcPr>
          <w:p w14:paraId="5E3CBD50"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Disability Action Council-Secretariat General</w:t>
            </w:r>
          </w:p>
        </w:tc>
        <w:tc>
          <w:tcPr>
            <w:tcW w:w="1307" w:type="dxa"/>
            <w:tcBorders>
              <w:left w:val="nil"/>
            </w:tcBorders>
          </w:tcPr>
          <w:p w14:paraId="5B378D3D"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PRC</w:t>
            </w:r>
          </w:p>
        </w:tc>
        <w:tc>
          <w:tcPr>
            <w:tcW w:w="3767" w:type="dxa"/>
          </w:tcPr>
          <w:p w14:paraId="7D323B91"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Physical Rehabilitation Centre</w:t>
            </w:r>
          </w:p>
        </w:tc>
      </w:tr>
      <w:tr w:rsidR="00A64B57" w:rsidRPr="006F31E8" w14:paraId="1FFD080A" w14:textId="77777777" w:rsidTr="73DA2FDD">
        <w:trPr>
          <w:trHeight w:val="340"/>
        </w:trPr>
        <w:tc>
          <w:tcPr>
            <w:tcW w:w="1134" w:type="dxa"/>
            <w:shd w:val="clear" w:color="auto" w:fill="auto"/>
            <w:noWrap/>
          </w:tcPr>
          <w:p w14:paraId="04A3F748"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DFAT</w:t>
            </w:r>
          </w:p>
        </w:tc>
        <w:tc>
          <w:tcPr>
            <w:tcW w:w="3715" w:type="dxa"/>
            <w:noWrap/>
          </w:tcPr>
          <w:p w14:paraId="21524AD7" w14:textId="77777777" w:rsidR="00BA661F" w:rsidRPr="006F31E8" w:rsidRDefault="00BA661F" w:rsidP="007825FE">
            <w:pPr>
              <w:spacing w:after="40" w:line="240" w:lineRule="auto"/>
              <w:ind w:left="113"/>
              <w:rPr>
                <w:rFonts w:eastAsia="Times New Roman" w:cstheme="minorHAnsi"/>
                <w:color w:val="auto"/>
                <w:szCs w:val="22"/>
              </w:rPr>
            </w:pPr>
            <w:r w:rsidRPr="006F31E8">
              <w:rPr>
                <w:rFonts w:cstheme="minorHAnsi"/>
                <w:color w:val="auto"/>
                <w:szCs w:val="22"/>
              </w:rPr>
              <w:t>Department of Foreign Affairs and Trade</w:t>
            </w:r>
          </w:p>
        </w:tc>
        <w:tc>
          <w:tcPr>
            <w:tcW w:w="1307" w:type="dxa"/>
            <w:tcBorders>
              <w:left w:val="nil"/>
            </w:tcBorders>
          </w:tcPr>
          <w:p w14:paraId="6D0DF118"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PWDF</w:t>
            </w:r>
          </w:p>
        </w:tc>
        <w:tc>
          <w:tcPr>
            <w:tcW w:w="3767" w:type="dxa"/>
          </w:tcPr>
          <w:p w14:paraId="4AE72180"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Persons with Disabilities Foundation</w:t>
            </w:r>
          </w:p>
        </w:tc>
      </w:tr>
      <w:tr w:rsidR="00A64B57" w:rsidRPr="006F31E8" w14:paraId="3109332E" w14:textId="77777777" w:rsidTr="73DA2FDD">
        <w:trPr>
          <w:trHeight w:val="340"/>
        </w:trPr>
        <w:tc>
          <w:tcPr>
            <w:tcW w:w="1134" w:type="dxa"/>
            <w:shd w:val="clear" w:color="auto" w:fill="auto"/>
            <w:noWrap/>
          </w:tcPr>
          <w:p w14:paraId="492A279F"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DSA</w:t>
            </w:r>
          </w:p>
        </w:tc>
        <w:tc>
          <w:tcPr>
            <w:tcW w:w="3715" w:type="dxa"/>
            <w:noWrap/>
          </w:tcPr>
          <w:p w14:paraId="713EDD3E" w14:textId="77777777" w:rsidR="00BA661F" w:rsidRPr="006F31E8" w:rsidRDefault="00BA661F" w:rsidP="007825FE">
            <w:pPr>
              <w:spacing w:after="40" w:line="240" w:lineRule="auto"/>
              <w:ind w:left="113"/>
              <w:rPr>
                <w:rFonts w:eastAsia="Times New Roman" w:cstheme="minorHAnsi"/>
                <w:color w:val="auto"/>
                <w:szCs w:val="22"/>
              </w:rPr>
            </w:pPr>
            <w:r w:rsidRPr="006F31E8">
              <w:rPr>
                <w:rFonts w:cstheme="minorHAnsi"/>
                <w:color w:val="auto"/>
                <w:szCs w:val="22"/>
              </w:rPr>
              <w:t>Daily Subsistence Allowance</w:t>
            </w:r>
          </w:p>
        </w:tc>
        <w:tc>
          <w:tcPr>
            <w:tcW w:w="1307" w:type="dxa"/>
            <w:tcBorders>
              <w:left w:val="nil"/>
            </w:tcBorders>
          </w:tcPr>
          <w:p w14:paraId="13BA959A"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RGC</w:t>
            </w:r>
          </w:p>
        </w:tc>
        <w:tc>
          <w:tcPr>
            <w:tcW w:w="3767" w:type="dxa"/>
          </w:tcPr>
          <w:p w14:paraId="7809F502"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Royal Government of Cambodia</w:t>
            </w:r>
          </w:p>
        </w:tc>
      </w:tr>
      <w:tr w:rsidR="00A64B57" w:rsidRPr="006F31E8" w14:paraId="149E437B" w14:textId="77777777" w:rsidTr="73DA2FDD">
        <w:trPr>
          <w:trHeight w:val="340"/>
        </w:trPr>
        <w:tc>
          <w:tcPr>
            <w:tcW w:w="1134" w:type="dxa"/>
            <w:shd w:val="clear" w:color="auto" w:fill="auto"/>
            <w:noWrap/>
          </w:tcPr>
          <w:p w14:paraId="48FD4374"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DWPD</w:t>
            </w:r>
          </w:p>
        </w:tc>
        <w:tc>
          <w:tcPr>
            <w:tcW w:w="3715" w:type="dxa"/>
            <w:noWrap/>
          </w:tcPr>
          <w:p w14:paraId="37118784"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Department of Welfare for Persons with Disabilities</w:t>
            </w:r>
          </w:p>
        </w:tc>
        <w:tc>
          <w:tcPr>
            <w:tcW w:w="1307" w:type="dxa"/>
            <w:tcBorders>
              <w:left w:val="nil"/>
            </w:tcBorders>
          </w:tcPr>
          <w:p w14:paraId="3688ACA5"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SAQUS</w:t>
            </w:r>
          </w:p>
        </w:tc>
        <w:tc>
          <w:tcPr>
            <w:tcW w:w="3767" w:type="dxa"/>
          </w:tcPr>
          <w:p w14:paraId="3453F9AD"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Service Access Quality Uptake Study</w:t>
            </w:r>
          </w:p>
        </w:tc>
      </w:tr>
      <w:tr w:rsidR="00A64B57" w:rsidRPr="006F31E8" w14:paraId="52D9A536" w14:textId="77777777" w:rsidTr="73DA2FDD">
        <w:trPr>
          <w:trHeight w:val="340"/>
        </w:trPr>
        <w:tc>
          <w:tcPr>
            <w:tcW w:w="1134" w:type="dxa"/>
            <w:shd w:val="clear" w:color="auto" w:fill="auto"/>
            <w:noWrap/>
          </w:tcPr>
          <w:p w14:paraId="168F932A"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GBV</w:t>
            </w:r>
          </w:p>
        </w:tc>
        <w:tc>
          <w:tcPr>
            <w:tcW w:w="3715" w:type="dxa"/>
            <w:noWrap/>
          </w:tcPr>
          <w:p w14:paraId="1D0D5EB1" w14:textId="77777777" w:rsidR="00BA661F" w:rsidRPr="006F31E8" w:rsidRDefault="00BA661F" w:rsidP="007825FE">
            <w:pPr>
              <w:spacing w:after="40" w:line="240" w:lineRule="auto"/>
              <w:ind w:left="113"/>
              <w:rPr>
                <w:rFonts w:eastAsia="Arial" w:cstheme="minorHAnsi"/>
                <w:color w:val="auto"/>
                <w:szCs w:val="22"/>
              </w:rPr>
            </w:pPr>
            <w:r w:rsidRPr="006F31E8">
              <w:rPr>
                <w:rFonts w:cstheme="minorHAnsi"/>
                <w:color w:val="auto"/>
                <w:szCs w:val="22"/>
              </w:rPr>
              <w:t>Gender-Based Violence</w:t>
            </w:r>
          </w:p>
        </w:tc>
        <w:tc>
          <w:tcPr>
            <w:tcW w:w="1307" w:type="dxa"/>
            <w:tcBorders>
              <w:left w:val="nil"/>
            </w:tcBorders>
          </w:tcPr>
          <w:p w14:paraId="24F67B21"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TPO</w:t>
            </w:r>
          </w:p>
        </w:tc>
        <w:tc>
          <w:tcPr>
            <w:tcW w:w="3767" w:type="dxa"/>
          </w:tcPr>
          <w:p w14:paraId="1EDE57C3"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Transcultural Psychosocial Organisation</w:t>
            </w:r>
          </w:p>
        </w:tc>
      </w:tr>
      <w:tr w:rsidR="00A64B57" w:rsidRPr="006F31E8" w14:paraId="350076F6" w14:textId="77777777" w:rsidTr="73DA2FDD">
        <w:trPr>
          <w:trHeight w:val="340"/>
        </w:trPr>
        <w:tc>
          <w:tcPr>
            <w:tcW w:w="1134" w:type="dxa"/>
            <w:shd w:val="clear" w:color="auto" w:fill="auto"/>
            <w:noWrap/>
          </w:tcPr>
          <w:p w14:paraId="02A3EC80"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GDA</w:t>
            </w:r>
          </w:p>
        </w:tc>
        <w:tc>
          <w:tcPr>
            <w:tcW w:w="3715" w:type="dxa"/>
            <w:noWrap/>
          </w:tcPr>
          <w:p w14:paraId="65B4A2D8"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General Department of Administration</w:t>
            </w:r>
          </w:p>
        </w:tc>
        <w:tc>
          <w:tcPr>
            <w:tcW w:w="1307" w:type="dxa"/>
            <w:tcBorders>
              <w:left w:val="nil"/>
            </w:tcBorders>
          </w:tcPr>
          <w:p w14:paraId="5DD82916"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TWG</w:t>
            </w:r>
          </w:p>
        </w:tc>
        <w:tc>
          <w:tcPr>
            <w:tcW w:w="3767" w:type="dxa"/>
          </w:tcPr>
          <w:p w14:paraId="48AD220F"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Technical Working Group</w:t>
            </w:r>
          </w:p>
        </w:tc>
      </w:tr>
      <w:tr w:rsidR="00A64B57" w:rsidRPr="006F31E8" w14:paraId="21DCAAB6" w14:textId="77777777" w:rsidTr="73DA2FDD">
        <w:trPr>
          <w:trHeight w:val="340"/>
        </w:trPr>
        <w:tc>
          <w:tcPr>
            <w:tcW w:w="1134" w:type="dxa"/>
            <w:shd w:val="clear" w:color="auto" w:fill="auto"/>
            <w:noWrap/>
          </w:tcPr>
          <w:p w14:paraId="6DE08937"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GD-SNAF</w:t>
            </w:r>
          </w:p>
        </w:tc>
        <w:tc>
          <w:tcPr>
            <w:tcW w:w="3715" w:type="dxa"/>
            <w:noWrap/>
          </w:tcPr>
          <w:p w14:paraId="59FCF89E" w14:textId="37A9B9A8"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 xml:space="preserve">General Directorate for </w:t>
            </w:r>
            <w:r w:rsidR="0087378E">
              <w:rPr>
                <w:rFonts w:cstheme="minorHAnsi"/>
                <w:color w:val="auto"/>
                <w:szCs w:val="22"/>
              </w:rPr>
              <w:t>Sub-national</w:t>
            </w:r>
            <w:r w:rsidRPr="006F31E8">
              <w:rPr>
                <w:rFonts w:cstheme="minorHAnsi"/>
                <w:color w:val="auto"/>
                <w:szCs w:val="22"/>
              </w:rPr>
              <w:t xml:space="preserve"> Administration Finance</w:t>
            </w:r>
          </w:p>
        </w:tc>
        <w:tc>
          <w:tcPr>
            <w:tcW w:w="1307" w:type="dxa"/>
            <w:tcBorders>
              <w:left w:val="nil"/>
            </w:tcBorders>
          </w:tcPr>
          <w:p w14:paraId="58DAA621"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TWGG-GBV</w:t>
            </w:r>
          </w:p>
        </w:tc>
        <w:tc>
          <w:tcPr>
            <w:tcW w:w="3767" w:type="dxa"/>
          </w:tcPr>
          <w:p w14:paraId="57242CEF"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Technical Working Group on Gender- Subcommittee for GBV</w:t>
            </w:r>
          </w:p>
        </w:tc>
      </w:tr>
      <w:tr w:rsidR="00A64B57" w:rsidRPr="006F31E8" w14:paraId="78253555" w14:textId="77777777" w:rsidTr="73DA2FDD">
        <w:trPr>
          <w:trHeight w:val="340"/>
        </w:trPr>
        <w:tc>
          <w:tcPr>
            <w:tcW w:w="1134" w:type="dxa"/>
            <w:shd w:val="clear" w:color="auto" w:fill="auto"/>
            <w:noWrap/>
          </w:tcPr>
          <w:p w14:paraId="298DD273"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GEDI</w:t>
            </w:r>
          </w:p>
        </w:tc>
        <w:tc>
          <w:tcPr>
            <w:tcW w:w="3715" w:type="dxa"/>
            <w:noWrap/>
          </w:tcPr>
          <w:p w14:paraId="40CF4072"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Gender Equality and Disability Inclusion</w:t>
            </w:r>
          </w:p>
        </w:tc>
        <w:tc>
          <w:tcPr>
            <w:tcW w:w="1307" w:type="dxa"/>
            <w:tcBorders>
              <w:left w:val="nil"/>
            </w:tcBorders>
          </w:tcPr>
          <w:p w14:paraId="69E837DE"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UN Women</w:t>
            </w:r>
          </w:p>
        </w:tc>
        <w:tc>
          <w:tcPr>
            <w:tcW w:w="3767" w:type="dxa"/>
          </w:tcPr>
          <w:p w14:paraId="0CB4336B"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United Nations Entity for Gender Equality and the Empowerment of Women</w:t>
            </w:r>
          </w:p>
        </w:tc>
      </w:tr>
      <w:tr w:rsidR="00A64B57" w:rsidRPr="006F31E8" w14:paraId="75681B18" w14:textId="77777777" w:rsidTr="73DA2FDD">
        <w:trPr>
          <w:trHeight w:val="340"/>
        </w:trPr>
        <w:tc>
          <w:tcPr>
            <w:tcW w:w="1134" w:type="dxa"/>
            <w:shd w:val="clear" w:color="auto" w:fill="auto"/>
            <w:noWrap/>
          </w:tcPr>
          <w:p w14:paraId="467BF730"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GRB</w:t>
            </w:r>
          </w:p>
        </w:tc>
        <w:tc>
          <w:tcPr>
            <w:tcW w:w="3715" w:type="dxa"/>
            <w:noWrap/>
          </w:tcPr>
          <w:p w14:paraId="1CC6C947" w14:textId="77777777" w:rsidR="00BA661F" w:rsidRPr="006F31E8" w:rsidRDefault="00BA661F" w:rsidP="007825FE">
            <w:pPr>
              <w:spacing w:after="40" w:line="240" w:lineRule="auto"/>
              <w:ind w:left="113"/>
              <w:rPr>
                <w:rFonts w:eastAsia="Times New Roman" w:cstheme="minorHAnsi"/>
                <w:color w:val="auto"/>
                <w:szCs w:val="22"/>
              </w:rPr>
            </w:pPr>
            <w:r w:rsidRPr="006F31E8">
              <w:rPr>
                <w:rFonts w:cstheme="minorHAnsi"/>
                <w:color w:val="auto"/>
                <w:szCs w:val="22"/>
              </w:rPr>
              <w:t>Gender-Responsive Budgeting</w:t>
            </w:r>
          </w:p>
        </w:tc>
        <w:tc>
          <w:tcPr>
            <w:tcW w:w="1307" w:type="dxa"/>
            <w:tcBorders>
              <w:left w:val="nil"/>
            </w:tcBorders>
          </w:tcPr>
          <w:p w14:paraId="11245E4C"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UNFPA</w:t>
            </w:r>
          </w:p>
        </w:tc>
        <w:tc>
          <w:tcPr>
            <w:tcW w:w="3767" w:type="dxa"/>
          </w:tcPr>
          <w:p w14:paraId="3B42313F"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United Nations Population Fund</w:t>
            </w:r>
          </w:p>
        </w:tc>
      </w:tr>
      <w:tr w:rsidR="00A64B57" w:rsidRPr="006F31E8" w14:paraId="17D89732" w14:textId="77777777" w:rsidTr="73DA2FDD">
        <w:trPr>
          <w:trHeight w:val="340"/>
        </w:trPr>
        <w:tc>
          <w:tcPr>
            <w:tcW w:w="1134" w:type="dxa"/>
            <w:shd w:val="clear" w:color="auto" w:fill="auto"/>
            <w:noWrap/>
          </w:tcPr>
          <w:p w14:paraId="35E4666C" w14:textId="77777777" w:rsidR="00BA661F" w:rsidRPr="007825FE" w:rsidRDefault="00BA661F" w:rsidP="007825FE">
            <w:pPr>
              <w:spacing w:after="40" w:line="240" w:lineRule="auto"/>
              <w:jc w:val="right"/>
              <w:rPr>
                <w:rFonts w:cstheme="minorHAnsi"/>
                <w:b/>
                <w:bCs/>
                <w:color w:val="1D336D" w:themeColor="background2"/>
                <w:szCs w:val="22"/>
              </w:rPr>
            </w:pPr>
            <w:r w:rsidRPr="007825FE">
              <w:rPr>
                <w:rFonts w:cstheme="minorHAnsi"/>
                <w:b/>
                <w:color w:val="1D336D" w:themeColor="background2"/>
                <w:szCs w:val="22"/>
              </w:rPr>
              <w:t>HI</w:t>
            </w:r>
          </w:p>
        </w:tc>
        <w:tc>
          <w:tcPr>
            <w:tcW w:w="3715" w:type="dxa"/>
            <w:noWrap/>
          </w:tcPr>
          <w:p w14:paraId="163A1D12"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Humanity &amp; Inclusion</w:t>
            </w:r>
          </w:p>
        </w:tc>
        <w:tc>
          <w:tcPr>
            <w:tcW w:w="1307" w:type="dxa"/>
            <w:tcBorders>
              <w:left w:val="nil"/>
            </w:tcBorders>
          </w:tcPr>
          <w:p w14:paraId="4E79FB3A"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UNICEF</w:t>
            </w:r>
          </w:p>
        </w:tc>
        <w:tc>
          <w:tcPr>
            <w:tcW w:w="3767" w:type="dxa"/>
          </w:tcPr>
          <w:p w14:paraId="38A7C90C"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United Nations Children’s Fund</w:t>
            </w:r>
          </w:p>
        </w:tc>
      </w:tr>
      <w:tr w:rsidR="00A64B57" w:rsidRPr="006F31E8" w14:paraId="383AF2FB" w14:textId="77777777" w:rsidTr="73DA2FDD">
        <w:trPr>
          <w:trHeight w:val="340"/>
        </w:trPr>
        <w:tc>
          <w:tcPr>
            <w:tcW w:w="1134" w:type="dxa"/>
            <w:shd w:val="clear" w:color="auto" w:fill="auto"/>
            <w:noWrap/>
          </w:tcPr>
          <w:p w14:paraId="6B2D17BA" w14:textId="25ED4661" w:rsidR="00BA661F" w:rsidRPr="007825FE" w:rsidRDefault="12360D9F" w:rsidP="73DA2FDD">
            <w:pPr>
              <w:spacing w:after="40" w:line="240" w:lineRule="auto"/>
              <w:jc w:val="right"/>
              <w:rPr>
                <w:rFonts w:cstheme="minorBidi"/>
                <w:b/>
                <w:bCs/>
                <w:color w:val="1D336D" w:themeColor="background2"/>
              </w:rPr>
            </w:pPr>
            <w:proofErr w:type="spellStart"/>
            <w:r w:rsidRPr="73DA2FDD">
              <w:rPr>
                <w:rFonts w:cstheme="minorBidi"/>
                <w:b/>
                <w:bCs/>
                <w:color w:val="1D336D" w:themeColor="background2"/>
              </w:rPr>
              <w:t>IDPoor</w:t>
            </w:r>
            <w:proofErr w:type="spellEnd"/>
          </w:p>
        </w:tc>
        <w:tc>
          <w:tcPr>
            <w:tcW w:w="3715" w:type="dxa"/>
            <w:noWrap/>
          </w:tcPr>
          <w:p w14:paraId="3BF42E1C" w14:textId="77777777" w:rsidR="00BA661F" w:rsidRPr="006F31E8" w:rsidRDefault="00BA661F" w:rsidP="007825FE">
            <w:pPr>
              <w:spacing w:after="40" w:line="240" w:lineRule="auto"/>
              <w:ind w:left="113"/>
              <w:rPr>
                <w:rFonts w:eastAsia="Times New Roman" w:cstheme="minorHAnsi"/>
                <w:color w:val="auto"/>
                <w:szCs w:val="22"/>
              </w:rPr>
            </w:pPr>
            <w:r w:rsidRPr="006F31E8">
              <w:rPr>
                <w:rFonts w:cstheme="minorHAnsi"/>
                <w:color w:val="auto"/>
                <w:szCs w:val="22"/>
              </w:rPr>
              <w:t>Identification of Poor Households</w:t>
            </w:r>
          </w:p>
        </w:tc>
        <w:tc>
          <w:tcPr>
            <w:tcW w:w="1307" w:type="dxa"/>
            <w:tcBorders>
              <w:left w:val="nil"/>
            </w:tcBorders>
          </w:tcPr>
          <w:p w14:paraId="2199C59C" w14:textId="77777777" w:rsidR="00BA661F" w:rsidRPr="007825FE" w:rsidRDefault="00BA661F" w:rsidP="007825FE">
            <w:pPr>
              <w:spacing w:after="40" w:line="240" w:lineRule="auto"/>
              <w:ind w:left="113"/>
              <w:jc w:val="right"/>
              <w:rPr>
                <w:rFonts w:cstheme="minorHAnsi"/>
                <w:color w:val="1D336D" w:themeColor="background2"/>
                <w:szCs w:val="22"/>
              </w:rPr>
            </w:pPr>
            <w:r w:rsidRPr="007825FE">
              <w:rPr>
                <w:rFonts w:cstheme="minorHAnsi"/>
                <w:b/>
                <w:color w:val="1D336D" w:themeColor="background2"/>
                <w:szCs w:val="22"/>
              </w:rPr>
              <w:t>WDC</w:t>
            </w:r>
          </w:p>
        </w:tc>
        <w:tc>
          <w:tcPr>
            <w:tcW w:w="3767" w:type="dxa"/>
          </w:tcPr>
          <w:p w14:paraId="233EB88E" w14:textId="77777777" w:rsidR="00BA661F" w:rsidRPr="006F31E8" w:rsidRDefault="00BA661F" w:rsidP="007825FE">
            <w:pPr>
              <w:spacing w:after="40" w:line="240" w:lineRule="auto"/>
              <w:ind w:left="113"/>
              <w:rPr>
                <w:rFonts w:cstheme="minorHAnsi"/>
                <w:color w:val="auto"/>
                <w:szCs w:val="22"/>
              </w:rPr>
            </w:pPr>
            <w:r w:rsidRPr="006F31E8">
              <w:rPr>
                <w:rFonts w:cstheme="minorHAnsi"/>
                <w:color w:val="auto"/>
                <w:szCs w:val="22"/>
              </w:rPr>
              <w:t>Women’s Development Centre</w:t>
            </w:r>
          </w:p>
        </w:tc>
      </w:tr>
    </w:tbl>
    <w:p w14:paraId="7AAE17F5" w14:textId="77777777" w:rsidR="00DC7C48" w:rsidRPr="00F53B73" w:rsidRDefault="00DC7C48" w:rsidP="007825FE">
      <w:pPr>
        <w:pStyle w:val="ChapterHeading"/>
      </w:pPr>
      <w:bookmarkStart w:id="5" w:name="_Toc116328061"/>
      <w:bookmarkStart w:id="6" w:name="_Toc116371548"/>
      <w:bookmarkStart w:id="7" w:name="_Toc116371745"/>
      <w:bookmarkStart w:id="8" w:name="_Toc116378158"/>
      <w:bookmarkStart w:id="9" w:name="_Toc122460785"/>
      <w:r w:rsidRPr="00F53B73">
        <w:lastRenderedPageBreak/>
        <w:t>ACKNOWLEDGEMENTS</w:t>
      </w:r>
      <w:bookmarkEnd w:id="5"/>
      <w:bookmarkEnd w:id="6"/>
      <w:bookmarkEnd w:id="7"/>
      <w:bookmarkEnd w:id="8"/>
      <w:bookmarkEnd w:id="9"/>
    </w:p>
    <w:p w14:paraId="0BB16153" w14:textId="7F205EFD" w:rsidR="008D4231" w:rsidRPr="00EA14FE" w:rsidRDefault="00735501" w:rsidP="00941C03">
      <w:pPr>
        <w:jc w:val="both"/>
        <w:rPr>
          <w:color w:val="auto"/>
        </w:rPr>
      </w:pPr>
      <w:r>
        <w:t xml:space="preserve">The </w:t>
      </w:r>
      <w:r w:rsidR="008D4231">
        <w:t xml:space="preserve">evaluation team </w:t>
      </w:r>
      <w:r w:rsidR="008D4231" w:rsidRPr="0318F25C">
        <w:rPr>
          <w:color w:val="auto"/>
        </w:rPr>
        <w:t xml:space="preserve">would like to </w:t>
      </w:r>
      <w:r w:rsidR="4AFB3521" w:rsidRPr="0318F25C">
        <w:rPr>
          <w:color w:val="auto"/>
        </w:rPr>
        <w:t xml:space="preserve">express their appreciation for the </w:t>
      </w:r>
      <w:r w:rsidR="008D4231" w:rsidRPr="0318F25C">
        <w:rPr>
          <w:color w:val="auto"/>
        </w:rPr>
        <w:t xml:space="preserve">support </w:t>
      </w:r>
      <w:r w:rsidR="081D9C47" w:rsidRPr="0318F25C">
        <w:rPr>
          <w:color w:val="auto"/>
        </w:rPr>
        <w:t>by</w:t>
      </w:r>
      <w:r w:rsidR="008D4231" w:rsidRPr="0318F25C">
        <w:rPr>
          <w:color w:val="auto"/>
        </w:rPr>
        <w:t xml:space="preserve"> DFAT, the Royal Government of Cambodia and the ACCESS program team who gave their time to support the evaluation and share their honest reflections on the ACCESS program. Special thanks </w:t>
      </w:r>
      <w:r w:rsidR="07A57452" w:rsidRPr="0318F25C">
        <w:rPr>
          <w:color w:val="auto"/>
        </w:rPr>
        <w:t xml:space="preserve">are owed </w:t>
      </w:r>
      <w:r w:rsidR="008D4231" w:rsidRPr="0318F25C">
        <w:rPr>
          <w:color w:val="auto"/>
        </w:rPr>
        <w:t xml:space="preserve">to the team at the Australian Embassy in Cambodia, </w:t>
      </w:r>
      <w:r w:rsidR="2D079923" w:rsidRPr="0318F25C">
        <w:rPr>
          <w:color w:val="auto"/>
        </w:rPr>
        <w:t xml:space="preserve">and </w:t>
      </w:r>
      <w:r w:rsidR="008D4231" w:rsidRPr="0318F25C">
        <w:rPr>
          <w:color w:val="auto"/>
        </w:rPr>
        <w:t xml:space="preserve">to ACCESS management and the GBV and disability workstream </w:t>
      </w:r>
      <w:r w:rsidR="1162FCFC" w:rsidRPr="0318F25C">
        <w:rPr>
          <w:color w:val="auto"/>
        </w:rPr>
        <w:t xml:space="preserve">leads. </w:t>
      </w:r>
      <w:r w:rsidR="008D4231" w:rsidRPr="0318F25C">
        <w:rPr>
          <w:color w:val="auto"/>
        </w:rPr>
        <w:t xml:space="preserve">They have been highly engaged </w:t>
      </w:r>
      <w:r w:rsidR="17B50294" w:rsidRPr="0318F25C">
        <w:rPr>
          <w:color w:val="auto"/>
        </w:rPr>
        <w:t xml:space="preserve">in the process </w:t>
      </w:r>
      <w:r w:rsidR="008D4231" w:rsidRPr="0318F25C">
        <w:rPr>
          <w:color w:val="auto"/>
        </w:rPr>
        <w:t xml:space="preserve">over the course of </w:t>
      </w:r>
      <w:r w:rsidR="008C1C85" w:rsidRPr="0318F25C">
        <w:rPr>
          <w:color w:val="auto"/>
        </w:rPr>
        <w:t>months and</w:t>
      </w:r>
      <w:r w:rsidR="008D4231" w:rsidRPr="0318F25C">
        <w:rPr>
          <w:color w:val="auto"/>
        </w:rPr>
        <w:t xml:space="preserve"> brought wonder powers to coordinating the moving feast that was the fieldwork schedule. </w:t>
      </w:r>
      <w:r w:rsidR="008C1C85" w:rsidRPr="0318F25C">
        <w:rPr>
          <w:color w:val="auto"/>
        </w:rPr>
        <w:t>Thanks,</w:t>
      </w:r>
      <w:r w:rsidR="455C04D0" w:rsidRPr="0318F25C">
        <w:rPr>
          <w:color w:val="auto"/>
        </w:rPr>
        <w:t xml:space="preserve"> are also due to Jodie </w:t>
      </w:r>
      <w:proofErr w:type="spellStart"/>
      <w:r w:rsidR="455C04D0" w:rsidRPr="0318F25C">
        <w:rPr>
          <w:color w:val="auto"/>
        </w:rPr>
        <w:t>Nguy</w:t>
      </w:r>
      <w:proofErr w:type="spellEnd"/>
      <w:r w:rsidR="455C04D0" w:rsidRPr="0318F25C">
        <w:rPr>
          <w:color w:val="auto"/>
        </w:rPr>
        <w:t xml:space="preserve"> from CBM International who has provided review and advice on th</w:t>
      </w:r>
      <w:r w:rsidR="0FAF5747" w:rsidRPr="0318F25C">
        <w:rPr>
          <w:color w:val="auto"/>
        </w:rPr>
        <w:t>is</w:t>
      </w:r>
      <w:r w:rsidR="455C04D0" w:rsidRPr="0318F25C">
        <w:rPr>
          <w:color w:val="auto"/>
        </w:rPr>
        <w:t xml:space="preserve"> report.</w:t>
      </w:r>
    </w:p>
    <w:p w14:paraId="5F4FB48E" w14:textId="33F8F754" w:rsidR="00735501" w:rsidRDefault="008D4231" w:rsidP="00941C03">
      <w:pPr>
        <w:autoSpaceDE w:val="0"/>
        <w:autoSpaceDN w:val="0"/>
        <w:adjustRightInd w:val="0"/>
        <w:jc w:val="both"/>
      </w:pPr>
      <w:r w:rsidRPr="0318F25C">
        <w:rPr>
          <w:color w:val="auto"/>
        </w:rPr>
        <w:t xml:space="preserve">Finally, thank you to the ACCESS implementing partners </w:t>
      </w:r>
      <w:r w:rsidR="501119B0" w:rsidRPr="0318F25C">
        <w:rPr>
          <w:color w:val="auto"/>
        </w:rPr>
        <w:t xml:space="preserve">and many local and international experts and organisations </w:t>
      </w:r>
      <w:r w:rsidRPr="0318F25C">
        <w:rPr>
          <w:color w:val="auto"/>
        </w:rPr>
        <w:t xml:space="preserve">who provided the vital bridge to understanding the contexts and service gaps for people with disabilities and women survivors of violence across Cambodia. Your perspectives grounded our understanding of ACCESS and </w:t>
      </w:r>
      <w:r w:rsidR="00D963C9" w:rsidRPr="0318F25C">
        <w:rPr>
          <w:color w:val="auto"/>
        </w:rPr>
        <w:t xml:space="preserve">what to illuminate through </w:t>
      </w:r>
      <w:r w:rsidRPr="0318F25C">
        <w:rPr>
          <w:color w:val="auto"/>
        </w:rPr>
        <w:t xml:space="preserve">this report. </w:t>
      </w:r>
    </w:p>
    <w:p w14:paraId="3D6CB78E" w14:textId="7B89572B" w:rsidR="00F93375" w:rsidRDefault="00500D78" w:rsidP="007825FE">
      <w:pPr>
        <w:jc w:val="center"/>
      </w:pPr>
      <w:r>
        <w:rPr>
          <w:noProof/>
        </w:rPr>
        <w:drawing>
          <wp:inline distT="0" distB="0" distL="0" distR="0" wp14:anchorId="2155F023" wp14:editId="531D72BE">
            <wp:extent cx="6083444" cy="4129778"/>
            <wp:effectExtent l="0" t="0" r="0" b="4445"/>
            <wp:docPr id="7" name="Picture 7" descr="Two men wearing masks are pictured in an administration office in front of cupboards of filing documents. One man is pictured sitting down at a table and writing next to a computer screen. The other man is pictured with a humanity and inclusion shirt on, standing to his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wo men wearing masks are pictured in an administration office in front of cupboards of filing documents. One man is pictured sitting down at a table and writing next to a computer screen. The other man is pictured with a humanity and inclusion shirt on, standing to his right. "/>
                    <pic:cNvPicPr/>
                  </pic:nvPicPr>
                  <pic:blipFill>
                    <a:blip r:embed="rId13">
                      <a:extLst>
                        <a:ext uri="{28A0092B-C50C-407E-A947-70E740481C1C}">
                          <a14:useLocalDpi xmlns:a14="http://schemas.microsoft.com/office/drawing/2010/main" val="0"/>
                        </a:ext>
                      </a:extLst>
                    </a:blip>
                    <a:srcRect/>
                    <a:stretch>
                      <a:fillRect/>
                    </a:stretch>
                  </pic:blipFill>
                  <pic:spPr>
                    <a:xfrm>
                      <a:off x="0" y="0"/>
                      <a:ext cx="6083444" cy="4129778"/>
                    </a:xfrm>
                    <a:prstGeom prst="rect">
                      <a:avLst/>
                    </a:prstGeom>
                  </pic:spPr>
                </pic:pic>
              </a:graphicData>
            </a:graphic>
          </wp:inline>
        </w:drawing>
      </w:r>
    </w:p>
    <w:p w14:paraId="47383033" w14:textId="77777777" w:rsidR="00A56AF4" w:rsidRPr="006C18CD" w:rsidRDefault="00A56AF4" w:rsidP="00A56AF4">
      <w:r>
        <w:rPr>
          <w:u w:val="single"/>
        </w:rPr>
        <w:t>Image</w:t>
      </w:r>
      <w:r w:rsidRPr="006C18CD">
        <w:rPr>
          <w:u w:val="single"/>
        </w:rPr>
        <w:t>:</w:t>
      </w:r>
      <w:r w:rsidRPr="006C18CD">
        <w:t xml:space="preserve"> Mr Duong </w:t>
      </w:r>
      <w:proofErr w:type="spellStart"/>
      <w:r w:rsidRPr="006C18CD">
        <w:t>Cheatha</w:t>
      </w:r>
      <w:proofErr w:type="spellEnd"/>
      <w:r w:rsidRPr="006C18CD">
        <w:t xml:space="preserve">, PRC Manager and Mr </w:t>
      </w:r>
      <w:proofErr w:type="spellStart"/>
      <w:r w:rsidRPr="006C18CD">
        <w:t>Uka</w:t>
      </w:r>
      <w:proofErr w:type="spellEnd"/>
      <w:r w:rsidRPr="006C18CD">
        <w:t xml:space="preserve"> Tola in the administration office of the Kampong Cham Physical Rehabilitation Centre. </w:t>
      </w:r>
    </w:p>
    <w:p w14:paraId="03871350" w14:textId="29EB3EBE" w:rsidR="00A56AF4" w:rsidRPr="00A56AF4" w:rsidRDefault="00A56AF4" w:rsidP="00A56AF4">
      <w:pPr>
        <w:rPr>
          <w:lang w:val="en-GB"/>
        </w:rPr>
        <w:sectPr w:rsidR="00A56AF4" w:rsidRPr="00A56AF4" w:rsidSect="003D0AAB">
          <w:headerReference w:type="default" r:id="rId14"/>
          <w:footerReference w:type="default" r:id="rId15"/>
          <w:headerReference w:type="first" r:id="rId16"/>
          <w:footerReference w:type="first" r:id="rId17"/>
          <w:pgSz w:w="11906" w:h="16838" w:code="9"/>
          <w:pgMar w:top="1701" w:right="1134" w:bottom="1134" w:left="1134" w:header="851" w:footer="454" w:gutter="0"/>
          <w:pgBorders w:offsetFrom="page">
            <w:top w:val="single" w:sz="48" w:space="0" w:color="507CB9"/>
            <w:left w:val="single" w:sz="48" w:space="0" w:color="507CB9"/>
            <w:bottom w:val="single" w:sz="48" w:space="0" w:color="507CB9"/>
            <w:right w:val="single" w:sz="48" w:space="0" w:color="507CB9"/>
          </w:pgBorders>
          <w:cols w:space="709"/>
          <w:docGrid w:linePitch="360"/>
        </w:sectPr>
      </w:pPr>
    </w:p>
    <w:p w14:paraId="2EBC1069" w14:textId="4B502FF0" w:rsidR="002D48BF" w:rsidRPr="00E05FCF" w:rsidRDefault="00446C15" w:rsidP="00E05FCF">
      <w:pPr>
        <w:pStyle w:val="ChapterHeading"/>
      </w:pPr>
      <w:bookmarkStart w:id="10" w:name="_Toc116328062"/>
      <w:bookmarkStart w:id="11" w:name="_Toc116371549"/>
      <w:bookmarkStart w:id="12" w:name="_Toc116371746"/>
      <w:bookmarkStart w:id="13" w:name="_Toc116378160"/>
      <w:bookmarkStart w:id="14" w:name="_Toc122460786"/>
      <w:r w:rsidRPr="00E05FCF">
        <w:lastRenderedPageBreak/>
        <w:t>Executive summary</w:t>
      </w:r>
      <w:bookmarkEnd w:id="10"/>
      <w:bookmarkEnd w:id="11"/>
      <w:bookmarkEnd w:id="12"/>
      <w:bookmarkEnd w:id="13"/>
      <w:bookmarkEnd w:id="14"/>
    </w:p>
    <w:p w14:paraId="0B89BBE9" w14:textId="40768550" w:rsidR="00264C95" w:rsidRPr="001310FC" w:rsidRDefault="00264C95" w:rsidP="001310FC">
      <w:pPr>
        <w:pStyle w:val="Heading1"/>
      </w:pPr>
      <w:bookmarkStart w:id="15" w:name="_Toc116327883"/>
      <w:bookmarkStart w:id="16" w:name="_Toc116327996"/>
      <w:bookmarkStart w:id="17" w:name="_Toc116328063"/>
      <w:bookmarkStart w:id="18" w:name="_Toc116371550"/>
      <w:bookmarkStart w:id="19" w:name="_Toc116371683"/>
      <w:bookmarkStart w:id="20" w:name="_Toc116371747"/>
      <w:bookmarkStart w:id="21" w:name="_Toc116378161"/>
      <w:bookmarkStart w:id="22" w:name="_Toc122460787"/>
      <w:r w:rsidRPr="007825FE">
        <w:rPr>
          <w:b w:val="0"/>
          <w:bCs/>
        </w:rPr>
        <w:t>Introduction</w:t>
      </w:r>
      <w:bookmarkEnd w:id="15"/>
      <w:bookmarkEnd w:id="16"/>
      <w:bookmarkEnd w:id="17"/>
      <w:bookmarkEnd w:id="18"/>
      <w:bookmarkEnd w:id="19"/>
      <w:bookmarkEnd w:id="20"/>
      <w:bookmarkEnd w:id="21"/>
      <w:bookmarkEnd w:id="22"/>
    </w:p>
    <w:p w14:paraId="6CC4418C" w14:textId="5E18B9A2" w:rsidR="00492FBE" w:rsidRPr="004478C9" w:rsidRDefault="00492FBE" w:rsidP="00CA4E71">
      <w:pPr>
        <w:jc w:val="both"/>
        <w:rPr>
          <w:shd w:val="clear" w:color="auto" w:fill="FFFFFF" w:themeFill="background1"/>
          <w:vertAlign w:val="superscript"/>
        </w:rPr>
      </w:pPr>
      <w:r w:rsidRPr="6D9D2DB2">
        <w:rPr>
          <w:b/>
          <w:bCs/>
          <w:shd w:val="clear" w:color="auto" w:fill="FFFFFF" w:themeFill="background1"/>
        </w:rPr>
        <w:t>Advancing gender equality and disability inclusion are central tenets of Australia’s development partnership with Cambodia.</w:t>
      </w:r>
      <w:r w:rsidRPr="06B5EF27">
        <w:rPr>
          <w:rStyle w:val="FootnoteReference"/>
        </w:rPr>
        <w:footnoteReference w:id="2"/>
      </w:r>
      <w:r w:rsidRPr="00F5630A">
        <w:rPr>
          <w:shd w:val="clear" w:color="auto" w:fill="FFFFFF" w:themeFill="background1"/>
        </w:rPr>
        <w:t xml:space="preserve"> Cambodia is estimated to have one of the highest disability prevalence rates of any developing country, and </w:t>
      </w:r>
      <w:r>
        <w:rPr>
          <w:shd w:val="clear" w:color="auto" w:fill="FFFFFF" w:themeFill="background1"/>
        </w:rPr>
        <w:t>people with disabilities</w:t>
      </w:r>
      <w:r w:rsidRPr="00F5630A">
        <w:rPr>
          <w:shd w:val="clear" w:color="auto" w:fill="FFFFFF" w:themeFill="background1"/>
        </w:rPr>
        <w:t xml:space="preserve"> face compounding inequalities and discrimination if they are women, young, or </w:t>
      </w:r>
      <w:r w:rsidR="00A1601B">
        <w:rPr>
          <w:shd w:val="clear" w:color="auto" w:fill="FFFFFF" w:themeFill="background1"/>
        </w:rPr>
        <w:t>i</w:t>
      </w:r>
      <w:r w:rsidRPr="00F5630A">
        <w:rPr>
          <w:shd w:val="clear" w:color="auto" w:fill="FFFFFF" w:themeFill="background1"/>
        </w:rPr>
        <w:t xml:space="preserve">ndigenous people, that </w:t>
      </w:r>
      <w:r w:rsidR="00AC597D">
        <w:rPr>
          <w:shd w:val="clear" w:color="auto" w:fill="FFFFFF" w:themeFill="background1"/>
        </w:rPr>
        <w:t>limit</w:t>
      </w:r>
      <w:r w:rsidRPr="00F5630A">
        <w:rPr>
          <w:shd w:val="clear" w:color="auto" w:fill="FFFFFF" w:themeFill="background1"/>
        </w:rPr>
        <w:t xml:space="preserve"> their full and equal access to services.</w:t>
      </w:r>
      <w:r w:rsidRPr="00AA56F0">
        <w:rPr>
          <w:shd w:val="clear" w:color="auto" w:fill="FFFFFF" w:themeFill="background1"/>
          <w:vertAlign w:val="superscript"/>
        </w:rPr>
        <w:footnoteReference w:id="3"/>
      </w:r>
      <w:r w:rsidRPr="00F5630A">
        <w:rPr>
          <w:shd w:val="clear" w:color="auto" w:fill="FFFFFF" w:themeFill="background1"/>
        </w:rPr>
        <w:t xml:space="preserve"> Gender inequalities persist across many domains of Cambodian life, underpinned by cultural norms that manifest in barriers to women’s participation, voice and access to services and in their most extreme form have led to high rates of gender-based violence (GBV), especially among women with disabilities.</w:t>
      </w:r>
      <w:r w:rsidRPr="008C4269">
        <w:rPr>
          <w:shd w:val="clear" w:color="auto" w:fill="FFFFFF" w:themeFill="background1"/>
          <w:vertAlign w:val="superscript"/>
        </w:rPr>
        <w:footnoteReference w:id="4"/>
      </w:r>
      <w:r w:rsidRPr="008C4269">
        <w:rPr>
          <w:shd w:val="clear" w:color="auto" w:fill="FFFFFF" w:themeFill="background1"/>
          <w:vertAlign w:val="superscript"/>
        </w:rPr>
        <w:t xml:space="preserve"> </w:t>
      </w:r>
      <w:r>
        <w:rPr>
          <w:shd w:val="clear" w:color="auto" w:fill="FFFFFF" w:themeFill="background1"/>
        </w:rPr>
        <w:t xml:space="preserve">Barriers to equality and inclusion are exacerbated by underlying poverty and geographic isolation in rural areas. While relatively recent policy and regulatory frameworks </w:t>
      </w:r>
      <w:r w:rsidRPr="00F5630A">
        <w:rPr>
          <w:shd w:val="clear" w:color="auto" w:fill="FFFFFF" w:themeFill="background1"/>
        </w:rPr>
        <w:t xml:space="preserve">provide a </w:t>
      </w:r>
      <w:r>
        <w:rPr>
          <w:shd w:val="clear" w:color="auto" w:fill="FFFFFF" w:themeFill="background1"/>
        </w:rPr>
        <w:t xml:space="preserve">foundation for action, financing and implementing these frameworks remains a challenge. </w:t>
      </w:r>
      <w:r w:rsidRPr="00F5630A">
        <w:rPr>
          <w:shd w:val="clear" w:color="auto" w:fill="FFFFFF" w:themeFill="background1"/>
        </w:rPr>
        <w:t>Women and girls, LGBT</w:t>
      </w:r>
      <w:r>
        <w:rPr>
          <w:shd w:val="clear" w:color="auto" w:fill="FFFFFF" w:themeFill="background1"/>
        </w:rPr>
        <w:t>QI</w:t>
      </w:r>
      <w:r w:rsidRPr="00F5630A">
        <w:rPr>
          <w:shd w:val="clear" w:color="auto" w:fill="FFFFFF" w:themeFill="background1"/>
        </w:rPr>
        <w:t xml:space="preserve">+ people, </w:t>
      </w:r>
      <w:r w:rsidR="00A1601B">
        <w:rPr>
          <w:shd w:val="clear" w:color="auto" w:fill="FFFFFF" w:themeFill="background1"/>
        </w:rPr>
        <w:t>i</w:t>
      </w:r>
      <w:r w:rsidRPr="00F5630A">
        <w:rPr>
          <w:shd w:val="clear" w:color="auto" w:fill="FFFFFF" w:themeFill="background1"/>
        </w:rPr>
        <w:t xml:space="preserve">ndigenous people, people with disabilities and marginalised groups face increased vulnerabilities in the context of COVID-19, heightening the need for inclusive service delivery. </w:t>
      </w:r>
    </w:p>
    <w:p w14:paraId="427A7DD5" w14:textId="0CDAC73D" w:rsidR="001E0D08" w:rsidRDefault="0EFD0454" w:rsidP="00CA4E71">
      <w:pPr>
        <w:jc w:val="both"/>
      </w:pPr>
      <w:r w:rsidRPr="347795B8">
        <w:rPr>
          <w:b/>
          <w:bCs/>
        </w:rPr>
        <w:t xml:space="preserve">Australia-Cambodia Cooperation </w:t>
      </w:r>
      <w:r w:rsidR="7FF4FAE4" w:rsidRPr="347795B8">
        <w:rPr>
          <w:b/>
          <w:bCs/>
        </w:rPr>
        <w:t xml:space="preserve">for </w:t>
      </w:r>
      <w:r w:rsidR="1978EC1E" w:rsidRPr="347795B8">
        <w:rPr>
          <w:b/>
          <w:bCs/>
        </w:rPr>
        <w:t>E</w:t>
      </w:r>
      <w:r w:rsidR="7FF4FAE4" w:rsidRPr="347795B8">
        <w:rPr>
          <w:b/>
          <w:bCs/>
        </w:rPr>
        <w:t xml:space="preserve">quitable Sustainable </w:t>
      </w:r>
      <w:r w:rsidR="066F1EEA" w:rsidRPr="347795B8">
        <w:rPr>
          <w:b/>
          <w:bCs/>
        </w:rPr>
        <w:t>S</w:t>
      </w:r>
      <w:r w:rsidR="7FF4FAE4" w:rsidRPr="347795B8">
        <w:rPr>
          <w:b/>
          <w:bCs/>
        </w:rPr>
        <w:t>ervices</w:t>
      </w:r>
      <w:r w:rsidR="62D04072" w:rsidRPr="347795B8">
        <w:rPr>
          <w:b/>
          <w:bCs/>
        </w:rPr>
        <w:t xml:space="preserve"> (ACCESS</w:t>
      </w:r>
      <w:r w:rsidR="7FF4FAE4" w:rsidRPr="347795B8">
        <w:rPr>
          <w:b/>
          <w:bCs/>
        </w:rPr>
        <w:t>)</w:t>
      </w:r>
      <w:r w:rsidR="70940AAD" w:rsidRPr="347795B8">
        <w:rPr>
          <w:b/>
          <w:bCs/>
        </w:rPr>
        <w:t xml:space="preserve"> is a </w:t>
      </w:r>
      <w:r w:rsidR="00772727">
        <w:rPr>
          <w:b/>
          <w:bCs/>
        </w:rPr>
        <w:t>five</w:t>
      </w:r>
      <w:r w:rsidR="00523937">
        <w:rPr>
          <w:b/>
          <w:bCs/>
        </w:rPr>
        <w:t>-</w:t>
      </w:r>
      <w:r w:rsidR="00772727">
        <w:rPr>
          <w:b/>
          <w:bCs/>
        </w:rPr>
        <w:t>year</w:t>
      </w:r>
      <w:r w:rsidR="5F2BB95A" w:rsidRPr="347795B8">
        <w:rPr>
          <w:b/>
          <w:bCs/>
        </w:rPr>
        <w:t xml:space="preserve"> </w:t>
      </w:r>
      <w:r w:rsidR="59B4499E" w:rsidRPr="347795B8">
        <w:rPr>
          <w:b/>
          <w:bCs/>
        </w:rPr>
        <w:t xml:space="preserve">AUD </w:t>
      </w:r>
      <w:r w:rsidR="3436C098" w:rsidRPr="347795B8">
        <w:rPr>
          <w:b/>
          <w:bCs/>
        </w:rPr>
        <w:t xml:space="preserve">25 million </w:t>
      </w:r>
      <w:r w:rsidR="01F53497" w:rsidRPr="347795B8">
        <w:rPr>
          <w:b/>
          <w:bCs/>
        </w:rPr>
        <w:t xml:space="preserve">investment </w:t>
      </w:r>
      <w:r w:rsidR="68BBDD1C" w:rsidRPr="347795B8">
        <w:rPr>
          <w:b/>
          <w:bCs/>
        </w:rPr>
        <w:t>by</w:t>
      </w:r>
      <w:r w:rsidR="62D04072" w:rsidRPr="347795B8">
        <w:rPr>
          <w:b/>
          <w:bCs/>
        </w:rPr>
        <w:t xml:space="preserve"> the</w:t>
      </w:r>
      <w:r w:rsidR="68BBDD1C" w:rsidRPr="347795B8">
        <w:rPr>
          <w:b/>
          <w:bCs/>
        </w:rPr>
        <w:t xml:space="preserve"> Australia</w:t>
      </w:r>
      <w:r w:rsidR="62D04072" w:rsidRPr="347795B8">
        <w:rPr>
          <w:b/>
          <w:bCs/>
        </w:rPr>
        <w:t>n Government</w:t>
      </w:r>
      <w:r w:rsidR="68BBDD1C" w:rsidRPr="347795B8">
        <w:rPr>
          <w:b/>
          <w:bCs/>
        </w:rPr>
        <w:t xml:space="preserve"> </w:t>
      </w:r>
      <w:r w:rsidR="0FA57B52" w:rsidRPr="347795B8">
        <w:rPr>
          <w:b/>
          <w:bCs/>
        </w:rPr>
        <w:t xml:space="preserve">to develop </w:t>
      </w:r>
      <w:r w:rsidR="01F53497" w:rsidRPr="347795B8">
        <w:rPr>
          <w:b/>
          <w:bCs/>
        </w:rPr>
        <w:t>sustainable</w:t>
      </w:r>
      <w:r w:rsidR="48856676" w:rsidRPr="347795B8">
        <w:rPr>
          <w:b/>
          <w:bCs/>
        </w:rPr>
        <w:t xml:space="preserve">, </w:t>
      </w:r>
      <w:r w:rsidR="6EEBC617" w:rsidRPr="347795B8">
        <w:rPr>
          <w:b/>
          <w:bCs/>
        </w:rPr>
        <w:t>quality,</w:t>
      </w:r>
      <w:r w:rsidR="48856676" w:rsidRPr="347795B8">
        <w:rPr>
          <w:b/>
          <w:bCs/>
        </w:rPr>
        <w:t xml:space="preserve"> and inclusive</w:t>
      </w:r>
      <w:r w:rsidR="01F53497" w:rsidRPr="347795B8">
        <w:rPr>
          <w:b/>
          <w:bCs/>
        </w:rPr>
        <w:t xml:space="preserve"> service</w:t>
      </w:r>
      <w:r w:rsidR="592B18FC" w:rsidRPr="347795B8">
        <w:rPr>
          <w:b/>
          <w:bCs/>
        </w:rPr>
        <w:t xml:space="preserve">s </w:t>
      </w:r>
      <w:r w:rsidR="01F53497" w:rsidRPr="347795B8">
        <w:rPr>
          <w:b/>
          <w:bCs/>
        </w:rPr>
        <w:t xml:space="preserve">for gender-based violence (GBV) survivors and </w:t>
      </w:r>
      <w:r w:rsidR="7625492F" w:rsidRPr="401877F5">
        <w:rPr>
          <w:b/>
          <w:bCs/>
        </w:rPr>
        <w:t>people</w:t>
      </w:r>
      <w:r w:rsidR="01F53497" w:rsidRPr="347795B8">
        <w:rPr>
          <w:b/>
          <w:bCs/>
        </w:rPr>
        <w:t xml:space="preserve"> with </w:t>
      </w:r>
      <w:r w:rsidR="01F53497" w:rsidRPr="401877F5">
        <w:rPr>
          <w:b/>
          <w:bCs/>
        </w:rPr>
        <w:t>disabilit</w:t>
      </w:r>
      <w:r w:rsidR="076976CF" w:rsidRPr="401877F5">
        <w:rPr>
          <w:b/>
          <w:bCs/>
        </w:rPr>
        <w:t>ies</w:t>
      </w:r>
      <w:r w:rsidR="592B18FC" w:rsidRPr="347795B8">
        <w:rPr>
          <w:b/>
          <w:bCs/>
        </w:rPr>
        <w:t xml:space="preserve"> in Cambodia</w:t>
      </w:r>
      <w:r w:rsidR="01F53497">
        <w:t xml:space="preserve">. </w:t>
      </w:r>
      <w:r w:rsidR="6C8AD1C6" w:rsidRPr="401877F5">
        <w:rPr>
          <w:rFonts w:ascii="Arial" w:eastAsia="Arial" w:hAnsi="Arial" w:cs="Arial"/>
        </w:rPr>
        <w:t xml:space="preserve">ACCESS seeks to strengthen service delivery links between the Royal Government of Cambodia (RGC), international and local NGOs and multilateral agencies at national and </w:t>
      </w:r>
      <w:r w:rsidR="0087378E" w:rsidRPr="401877F5">
        <w:rPr>
          <w:rFonts w:ascii="Arial" w:eastAsia="Arial" w:hAnsi="Arial" w:cs="Arial"/>
        </w:rPr>
        <w:t>sub-national</w:t>
      </w:r>
      <w:r w:rsidR="6C8AD1C6" w:rsidRPr="401877F5">
        <w:rPr>
          <w:rFonts w:ascii="Arial" w:eastAsia="Arial" w:hAnsi="Arial" w:cs="Arial"/>
        </w:rPr>
        <w:t xml:space="preserve"> levels, to support collaboration and coordination in both the disability and GBV sectors. Recognising Cambodia’s transition to a lower middle-income country, it also has a focus on strengthening the financial sustainability of quality services relating to </w:t>
      </w:r>
      <w:r w:rsidR="44D37A3A" w:rsidRPr="401877F5">
        <w:rPr>
          <w:rFonts w:ascii="Arial" w:eastAsia="Arial" w:hAnsi="Arial" w:cs="Arial"/>
        </w:rPr>
        <w:t>gender-based violence (</w:t>
      </w:r>
      <w:r w:rsidR="6C8AD1C6" w:rsidRPr="401877F5">
        <w:rPr>
          <w:rFonts w:ascii="Arial" w:eastAsia="Arial" w:hAnsi="Arial" w:cs="Arial"/>
        </w:rPr>
        <w:t>GBV</w:t>
      </w:r>
      <w:r w:rsidR="50C43F95" w:rsidRPr="401877F5">
        <w:rPr>
          <w:rFonts w:ascii="Arial" w:eastAsia="Arial" w:hAnsi="Arial" w:cs="Arial"/>
        </w:rPr>
        <w:t>)</w:t>
      </w:r>
      <w:r w:rsidR="6C8AD1C6" w:rsidRPr="401877F5">
        <w:rPr>
          <w:rFonts w:ascii="Arial" w:eastAsia="Arial" w:hAnsi="Arial" w:cs="Arial"/>
        </w:rPr>
        <w:t xml:space="preserve"> and disability inclusion. </w:t>
      </w:r>
      <w:r w:rsidR="00494401" w:rsidRPr="401877F5">
        <w:rPr>
          <w:rFonts w:ascii="Arial" w:eastAsia="Arial" w:hAnsi="Arial" w:cs="Arial"/>
        </w:rPr>
        <w:t xml:space="preserve">These objectives are encapsulated in </w:t>
      </w:r>
      <w:r w:rsidR="00AD02D6">
        <w:rPr>
          <w:rFonts w:ascii="Arial" w:eastAsia="Arial" w:hAnsi="Arial" w:cs="Arial"/>
        </w:rPr>
        <w:t>ACCESS’</w:t>
      </w:r>
      <w:r w:rsidR="009F2B4C">
        <w:rPr>
          <w:rFonts w:ascii="Arial" w:eastAsia="Arial" w:hAnsi="Arial" w:cs="Arial"/>
        </w:rPr>
        <w:t>s</w:t>
      </w:r>
      <w:r w:rsidR="00494401" w:rsidRPr="401877F5">
        <w:rPr>
          <w:rFonts w:ascii="Arial" w:eastAsia="Arial" w:hAnsi="Arial" w:cs="Arial"/>
        </w:rPr>
        <w:t xml:space="preserve"> two </w:t>
      </w:r>
      <w:r w:rsidR="00494401">
        <w:t>end-of-program outcomes (EOPOs)</w:t>
      </w:r>
      <w:r w:rsidR="001952D1">
        <w:t xml:space="preserve">, noting </w:t>
      </w:r>
      <w:r w:rsidR="00D76BB7">
        <w:t>that discussion o</w:t>
      </w:r>
      <w:r w:rsidR="003638C8">
        <w:t>f the shifts in these outcomes</w:t>
      </w:r>
      <w:r w:rsidR="00D76BB7">
        <w:t xml:space="preserve"> is included </w:t>
      </w:r>
      <w:r w:rsidR="00F6758B">
        <w:t xml:space="preserve">at </w:t>
      </w:r>
      <w:r w:rsidR="009165FF">
        <w:t xml:space="preserve">multiple points in </w:t>
      </w:r>
      <w:r w:rsidR="00D76BB7">
        <w:t>this evaluation</w:t>
      </w:r>
      <w:r w:rsidR="00494401">
        <w:t xml:space="preserve">: </w:t>
      </w:r>
    </w:p>
    <w:p w14:paraId="7F0DD5A1" w14:textId="6A8A0CB5" w:rsidR="001E0D08" w:rsidRDefault="2206A04D" w:rsidP="007249F4">
      <w:pPr>
        <w:pStyle w:val="ListParagraph"/>
        <w:numPr>
          <w:ilvl w:val="0"/>
          <w:numId w:val="23"/>
        </w:numPr>
        <w:ind w:left="816" w:hanging="357"/>
        <w:contextualSpacing w:val="0"/>
        <w:jc w:val="both"/>
      </w:pPr>
      <w:r>
        <w:t>Ministry of Social Affairs, Veterans and Youth Rehabilitation (</w:t>
      </w:r>
      <w:proofErr w:type="spellStart"/>
      <w:r>
        <w:t>MoSVY</w:t>
      </w:r>
      <w:proofErr w:type="spellEnd"/>
      <w:r>
        <w:t>)</w:t>
      </w:r>
      <w:r w:rsidR="00494401">
        <w:t>, D</w:t>
      </w:r>
      <w:r w:rsidR="29FB4D15">
        <w:t>isability Action Council (D</w:t>
      </w:r>
      <w:r w:rsidR="00494401">
        <w:t>AC</w:t>
      </w:r>
      <w:r w:rsidR="09744310">
        <w:t>)</w:t>
      </w:r>
      <w:r w:rsidR="00494401">
        <w:t xml:space="preserve"> and </w:t>
      </w:r>
      <w:r w:rsidR="36D31E99">
        <w:t>Ministry of Women’s Affairs (</w:t>
      </w:r>
      <w:proofErr w:type="spellStart"/>
      <w:r w:rsidR="00A2192B">
        <w:t>MoWA</w:t>
      </w:r>
      <w:proofErr w:type="spellEnd"/>
      <w:r w:rsidR="0CD26373">
        <w:t>)</w:t>
      </w:r>
      <w:r w:rsidR="00494401">
        <w:t xml:space="preserve"> better mobilise RGC resources for GBV and disability services, with support from </w:t>
      </w:r>
      <w:r w:rsidR="00476813">
        <w:t>Ministry of Economics and Finance (</w:t>
      </w:r>
      <w:r w:rsidR="00494401">
        <w:t>MEF</w:t>
      </w:r>
      <w:r w:rsidR="00476813">
        <w:t>)</w:t>
      </w:r>
      <w:r w:rsidR="00494401">
        <w:t xml:space="preserve">. </w:t>
      </w:r>
    </w:p>
    <w:p w14:paraId="756F36E0" w14:textId="645F1ED2" w:rsidR="00705BC6" w:rsidRDefault="00494401" w:rsidP="007249F4">
      <w:pPr>
        <w:pStyle w:val="ListParagraph"/>
        <w:numPr>
          <w:ilvl w:val="0"/>
          <w:numId w:val="23"/>
        </w:numPr>
        <w:ind w:left="816" w:hanging="357"/>
        <w:contextualSpacing w:val="0"/>
        <w:jc w:val="both"/>
      </w:pPr>
      <w:r>
        <w:t xml:space="preserve">RGC, civil society organisations and the private sector sustainably provide better quality, more inclusive and more accessible services for people with disability and women affected by GBV. </w:t>
      </w:r>
    </w:p>
    <w:p w14:paraId="0E2E1157" w14:textId="1370470A" w:rsidR="008A5E6F" w:rsidRDefault="00494401" w:rsidP="00CA4E71">
      <w:pPr>
        <w:jc w:val="both"/>
      </w:pPr>
      <w:r>
        <w:t xml:space="preserve">To achieve this, the program contributes to the formulation and implementation of the National Action Plan to Prevent Violence Against Women (NAPVAW) and the National Disability Strategic Plan (NDSP) via both direct technical assistance to government institutions and the provision of grants to 14 implementing partners. </w:t>
      </w:r>
      <w:r w:rsidR="00D64911">
        <w:t>The program had a wide geographic footprint with</w:t>
      </w:r>
      <w:r>
        <w:t xml:space="preserve"> interventions at a national level and across 15 provinces, with a particular focus on</w:t>
      </w:r>
      <w:r w:rsidR="00B606FB">
        <w:t xml:space="preserve"> the</w:t>
      </w:r>
      <w:r>
        <w:t xml:space="preserve"> three priority provinces of Kampong </w:t>
      </w:r>
      <w:proofErr w:type="spellStart"/>
      <w:r>
        <w:t>Speu</w:t>
      </w:r>
      <w:proofErr w:type="spellEnd"/>
      <w:r>
        <w:t xml:space="preserve">, Kampong Cham and </w:t>
      </w:r>
      <w:proofErr w:type="spellStart"/>
      <w:r>
        <w:t>Siem</w:t>
      </w:r>
      <w:proofErr w:type="spellEnd"/>
      <w:r>
        <w:t xml:space="preserve"> Reap.</w:t>
      </w:r>
    </w:p>
    <w:p w14:paraId="27AD98CE" w14:textId="67194568" w:rsidR="009B43FC" w:rsidRDefault="009B43FC" w:rsidP="00CA4E71">
      <w:pPr>
        <w:jc w:val="both"/>
      </w:pPr>
      <w:r>
        <w:t xml:space="preserve">ACCESS was implemented in a rapidly evolving operating context, </w:t>
      </w:r>
      <w:r w:rsidR="004B7F6A">
        <w:t xml:space="preserve">with the onset of the Covid-19 pandemic </w:t>
      </w:r>
      <w:r w:rsidR="006243E1">
        <w:t xml:space="preserve">overlayed on a </w:t>
      </w:r>
      <w:r w:rsidR="006D0AB5">
        <w:t xml:space="preserve">backdrop of decentralisation and </w:t>
      </w:r>
      <w:proofErr w:type="spellStart"/>
      <w:r w:rsidR="006D0AB5">
        <w:t>deconcentration</w:t>
      </w:r>
      <w:proofErr w:type="spellEnd"/>
      <w:r w:rsidR="006D0AB5">
        <w:t xml:space="preserve"> imperatives</w:t>
      </w:r>
      <w:r w:rsidR="00955C01">
        <w:t>,</w:t>
      </w:r>
      <w:r w:rsidR="006D0AB5">
        <w:t xml:space="preserve"> </w:t>
      </w:r>
      <w:r w:rsidR="006243E1">
        <w:t>institutional change in relevant RGC ministries</w:t>
      </w:r>
      <w:r w:rsidR="002E2464">
        <w:t xml:space="preserve">, </w:t>
      </w:r>
      <w:r w:rsidR="00955C01">
        <w:t xml:space="preserve">and </w:t>
      </w:r>
      <w:r w:rsidR="002E2464">
        <w:t>during Cambodia’s transition to low-middle</w:t>
      </w:r>
      <w:r w:rsidR="001B61F6">
        <w:t xml:space="preserve"> </w:t>
      </w:r>
      <w:r w:rsidR="002E2464">
        <w:t>income status</w:t>
      </w:r>
      <w:r w:rsidR="006243E1">
        <w:t xml:space="preserve">. </w:t>
      </w:r>
      <w:r w:rsidR="00B743FE">
        <w:t xml:space="preserve">Responding to these changes and working to build and maintain strong </w:t>
      </w:r>
      <w:r w:rsidR="0057039C">
        <w:t xml:space="preserve">Government partnerships </w:t>
      </w:r>
      <w:r w:rsidR="00813613">
        <w:t xml:space="preserve">required an adaptive and </w:t>
      </w:r>
      <w:r w:rsidR="00DA00CE">
        <w:t>flexible</w:t>
      </w:r>
      <w:r w:rsidR="00813613">
        <w:t xml:space="preserve"> approach </w:t>
      </w:r>
      <w:r w:rsidR="009D0F66">
        <w:lastRenderedPageBreak/>
        <w:t xml:space="preserve">by </w:t>
      </w:r>
      <w:r w:rsidR="0022749F">
        <w:t xml:space="preserve">the </w:t>
      </w:r>
      <w:r w:rsidR="009D0F66">
        <w:t>ACCESS</w:t>
      </w:r>
      <w:r w:rsidR="0022749F">
        <w:t xml:space="preserve"> team</w:t>
      </w:r>
      <w:r w:rsidR="009D0F66">
        <w:t xml:space="preserve">, </w:t>
      </w:r>
      <w:r w:rsidR="00D65B30">
        <w:t xml:space="preserve">particularly </w:t>
      </w:r>
      <w:r w:rsidR="009C7279">
        <w:t xml:space="preserve">as </w:t>
      </w:r>
      <w:r w:rsidR="00EA57E6">
        <w:t xml:space="preserve">the policy of not systematically providing </w:t>
      </w:r>
      <w:r w:rsidR="006C2FAD">
        <w:t>daily subsistence allowance</w:t>
      </w:r>
      <w:r w:rsidR="002D532E">
        <w:t>s</w:t>
      </w:r>
      <w:r w:rsidR="006C2FAD">
        <w:t xml:space="preserve"> (</w:t>
      </w:r>
      <w:r w:rsidR="00EA57E6">
        <w:t>DSA</w:t>
      </w:r>
      <w:r w:rsidR="002D532E">
        <w:t>s)</w:t>
      </w:r>
      <w:r w:rsidR="00EA57E6">
        <w:t xml:space="preserve"> was a </w:t>
      </w:r>
      <w:r w:rsidR="00D65B30">
        <w:t>challenge</w:t>
      </w:r>
      <w:r w:rsidR="00EA57E6">
        <w:t xml:space="preserve"> </w:t>
      </w:r>
      <w:r w:rsidR="000F4A71">
        <w:t xml:space="preserve">for building </w:t>
      </w:r>
      <w:r w:rsidR="00D65B30">
        <w:t>buy-in to program activities</w:t>
      </w:r>
      <w:r w:rsidR="0092566C">
        <w:t>.</w:t>
      </w:r>
    </w:p>
    <w:p w14:paraId="1108B411" w14:textId="02184F3C" w:rsidR="002407EA" w:rsidRPr="0069432E" w:rsidRDefault="002407EA" w:rsidP="00106C87">
      <w:pPr>
        <w:pStyle w:val="Heading1"/>
      </w:pPr>
      <w:bookmarkStart w:id="23" w:name="_Toc122460788"/>
      <w:r w:rsidRPr="00106C87">
        <w:rPr>
          <w:b w:val="0"/>
          <w:bCs/>
        </w:rPr>
        <w:t>Findings</w:t>
      </w:r>
      <w:bookmarkEnd w:id="23"/>
    </w:p>
    <w:p w14:paraId="38CA594B" w14:textId="5C6A159D" w:rsidR="001B61F6" w:rsidRDefault="0049490D" w:rsidP="00CA4E71">
      <w:pPr>
        <w:jc w:val="both"/>
      </w:pPr>
      <w:r>
        <w:t xml:space="preserve">This evaluation was commissioned by DFAT to </w:t>
      </w:r>
      <w:r w:rsidR="00736719">
        <w:t>assess the relevance, effectiveness, efficiency and sustainability of the ACCESS program over its five-year duration;</w:t>
      </w:r>
      <w:r w:rsidR="001B61F6">
        <w:t xml:space="preserve"> and to answer the question as to </w:t>
      </w:r>
      <w:r w:rsidR="001B61F6" w:rsidRPr="00106C87">
        <w:t xml:space="preserve">whether </w:t>
      </w:r>
      <w:r w:rsidR="00AD02D6">
        <w:t>ACCESS’</w:t>
      </w:r>
      <w:r w:rsidR="009F2B4C">
        <w:t>s</w:t>
      </w:r>
      <w:r w:rsidR="001B61F6" w:rsidRPr="00106C87">
        <w:t xml:space="preserve"> focus and approach to improving service delivery for victims of </w:t>
      </w:r>
      <w:r w:rsidR="256B4637">
        <w:t>GBV</w:t>
      </w:r>
      <w:r w:rsidR="001B61F6" w:rsidRPr="00106C87">
        <w:t xml:space="preserve"> and people with disabilities is a relevant and effective route to advancing gender equality and social inclusion in Cambodia</w:t>
      </w:r>
      <w:r w:rsidR="001B61F6">
        <w:t xml:space="preserve">. The evaluation was also sought to </w:t>
      </w:r>
      <w:r w:rsidR="002840A0">
        <w:t xml:space="preserve">identify lessons learned and best practices </w:t>
      </w:r>
      <w:r w:rsidR="00744025">
        <w:t>generated through ACCESS</w:t>
      </w:r>
      <w:r w:rsidR="001B61F6">
        <w:t>;</w:t>
      </w:r>
      <w:r w:rsidR="00744025">
        <w:t xml:space="preserve"> and </w:t>
      </w:r>
      <w:r w:rsidR="001B61F6">
        <w:t xml:space="preserve">to </w:t>
      </w:r>
      <w:r w:rsidR="00EB6196">
        <w:t>provide an evidence base to sup</w:t>
      </w:r>
      <w:r w:rsidR="000C098A">
        <w:t xml:space="preserve">port </w:t>
      </w:r>
      <w:r w:rsidR="001B61F6">
        <w:t xml:space="preserve">the </w:t>
      </w:r>
      <w:r w:rsidR="009901E3">
        <w:t>shaping of</w:t>
      </w:r>
      <w:r w:rsidR="00744025">
        <w:t xml:space="preserve"> Australia’s </w:t>
      </w:r>
      <w:r w:rsidR="009901E3">
        <w:t xml:space="preserve">future support for </w:t>
      </w:r>
      <w:r w:rsidR="00744025">
        <w:t xml:space="preserve">gender equality, disability and social inclusion in Cambodia. </w:t>
      </w:r>
      <w:r w:rsidR="00372479">
        <w:t>A summary of the</w:t>
      </w:r>
      <w:r w:rsidR="001B61F6">
        <w:t xml:space="preserve"> </w:t>
      </w:r>
      <w:r w:rsidR="00D043CB">
        <w:t>top line</w:t>
      </w:r>
      <w:r w:rsidR="001B61F6">
        <w:t xml:space="preserve"> findings against the key evaluation questions </w:t>
      </w:r>
      <w:r w:rsidR="00372479">
        <w:t>is as follows:</w:t>
      </w:r>
    </w:p>
    <w:p w14:paraId="14FE8BF7" w14:textId="40BE4B89" w:rsidR="001B61F6" w:rsidRDefault="001B61F6" w:rsidP="00CA4E71">
      <w:pPr>
        <w:jc w:val="both"/>
        <w:rPr>
          <w:b/>
          <w:bCs/>
        </w:rPr>
      </w:pPr>
      <w:r w:rsidRPr="001141B5">
        <w:rPr>
          <w:rStyle w:val="Heading2Char"/>
        </w:rPr>
        <w:t>Relevance:</w:t>
      </w:r>
      <w:r w:rsidRPr="00106C87">
        <w:rPr>
          <w:b/>
          <w:bCs/>
          <w:color w:val="0070C0"/>
        </w:rPr>
        <w:t xml:space="preserve"> </w:t>
      </w:r>
      <w:r w:rsidRPr="00106C87">
        <w:rPr>
          <w:i/>
          <w:iCs/>
        </w:rPr>
        <w:t xml:space="preserve">Is </w:t>
      </w:r>
      <w:r w:rsidR="00AD02D6">
        <w:rPr>
          <w:i/>
          <w:iCs/>
        </w:rPr>
        <w:t>ACCESS’</w:t>
      </w:r>
      <w:r w:rsidR="009F2B4C">
        <w:rPr>
          <w:i/>
          <w:iCs/>
        </w:rPr>
        <w:t>s</w:t>
      </w:r>
      <w:r w:rsidRPr="00106C87">
        <w:rPr>
          <w:i/>
          <w:iCs/>
        </w:rPr>
        <w:t xml:space="preserve"> focus and approach to improving service delivery for victims of gender-based violence and people with disabilities a relevant and effective route to advancing gender equality and social inclusion in Cambodia? Are there other types of programs that could be more effective in advancing social inclusion in Cambodia going forward?</w:t>
      </w:r>
      <w:r w:rsidRPr="001B61F6">
        <w:rPr>
          <w:b/>
          <w:bCs/>
        </w:rPr>
        <w:t> </w:t>
      </w:r>
    </w:p>
    <w:p w14:paraId="314CD66F" w14:textId="0A990A34" w:rsidR="001B61F6" w:rsidRDefault="001D4D25" w:rsidP="1B23B6AA">
      <w:pPr>
        <w:jc w:val="both"/>
        <w:rPr>
          <w:rFonts w:ascii="Arial" w:eastAsia="Arial" w:hAnsi="Arial" w:cs="Arial"/>
        </w:rPr>
      </w:pPr>
      <w:r w:rsidRPr="1B23B6AA">
        <w:rPr>
          <w:rFonts w:ascii="Arial" w:eastAsia="Arial" w:hAnsi="Arial" w:cs="Arial"/>
        </w:rPr>
        <w:t>ACCESS</w:t>
      </w:r>
      <w:r w:rsidR="001B61F6" w:rsidRPr="00106C87">
        <w:rPr>
          <w:rFonts w:ascii="Arial" w:eastAsia="Arial" w:hAnsi="Arial" w:cs="Arial"/>
          <w:b/>
          <w:bCs/>
        </w:rPr>
        <w:t xml:space="preserve"> was found to be highly relevant and aligned with the </w:t>
      </w:r>
      <w:r w:rsidRPr="1B23B6AA">
        <w:rPr>
          <w:rFonts w:ascii="Arial" w:eastAsia="Arial" w:hAnsi="Arial" w:cs="Arial"/>
          <w:b/>
          <w:bCs/>
        </w:rPr>
        <w:t xml:space="preserve">development </w:t>
      </w:r>
      <w:r w:rsidR="001B61F6" w:rsidRPr="00106C87">
        <w:rPr>
          <w:rFonts w:ascii="Arial" w:eastAsia="Arial" w:hAnsi="Arial" w:cs="Arial"/>
          <w:b/>
          <w:bCs/>
        </w:rPr>
        <w:t>policy and thematic priorities</w:t>
      </w:r>
      <w:r w:rsidR="001B61F6" w:rsidRPr="1B23B6AA">
        <w:rPr>
          <w:rFonts w:ascii="Arial" w:eastAsia="Arial" w:hAnsi="Arial" w:cs="Arial"/>
        </w:rPr>
        <w:t xml:space="preserve"> of the RGC and Australia on support to survivors </w:t>
      </w:r>
      <w:r w:rsidR="78E386D3" w:rsidRPr="1B23B6AA">
        <w:rPr>
          <w:rFonts w:ascii="Arial" w:eastAsia="Arial" w:hAnsi="Arial" w:cs="Arial"/>
        </w:rPr>
        <w:t xml:space="preserve">of </w:t>
      </w:r>
      <w:r w:rsidR="001B61F6" w:rsidRPr="1B23B6AA">
        <w:rPr>
          <w:rFonts w:ascii="Arial" w:eastAsia="Arial" w:hAnsi="Arial" w:cs="Arial"/>
        </w:rPr>
        <w:t>GBV and people with disabilities. The program has played a formative role</w:t>
      </w:r>
      <w:r w:rsidR="002B5208" w:rsidRPr="1B23B6AA">
        <w:rPr>
          <w:rFonts w:ascii="Arial" w:eastAsia="Arial" w:hAnsi="Arial" w:cs="Arial"/>
        </w:rPr>
        <w:t xml:space="preserve"> </w:t>
      </w:r>
      <w:r w:rsidR="5E8722AF" w:rsidRPr="1B23B6AA">
        <w:rPr>
          <w:rFonts w:ascii="Arial" w:eastAsia="Arial" w:hAnsi="Arial" w:cs="Arial"/>
        </w:rPr>
        <w:t>in</w:t>
      </w:r>
      <w:r w:rsidR="002B5208" w:rsidRPr="1B23B6AA">
        <w:rPr>
          <w:rFonts w:ascii="Arial" w:eastAsia="Arial" w:hAnsi="Arial" w:cs="Arial"/>
        </w:rPr>
        <w:t xml:space="preserve"> the refinement and updating of policies and national standards</w:t>
      </w:r>
      <w:r w:rsidR="001B61F6" w:rsidRPr="1B23B6AA">
        <w:rPr>
          <w:rFonts w:ascii="Arial" w:eastAsia="Arial" w:hAnsi="Arial" w:cs="Arial"/>
        </w:rPr>
        <w:t xml:space="preserve"> </w:t>
      </w:r>
      <w:r w:rsidR="00BD317B" w:rsidRPr="1B23B6AA">
        <w:rPr>
          <w:rFonts w:ascii="Arial" w:eastAsia="Arial" w:hAnsi="Arial" w:cs="Arial"/>
        </w:rPr>
        <w:t>as</w:t>
      </w:r>
      <w:r w:rsidR="001B61F6" w:rsidRPr="1B23B6AA">
        <w:rPr>
          <w:rFonts w:ascii="Arial" w:eastAsia="Arial" w:hAnsi="Arial" w:cs="Arial"/>
        </w:rPr>
        <w:t xml:space="preserve"> one of the single largest donor-contributor</w:t>
      </w:r>
      <w:r w:rsidRPr="1B23B6AA">
        <w:rPr>
          <w:rFonts w:ascii="Arial" w:eastAsia="Arial" w:hAnsi="Arial" w:cs="Arial"/>
        </w:rPr>
        <w:t>s</w:t>
      </w:r>
      <w:r w:rsidR="001B61F6" w:rsidRPr="1B23B6AA">
        <w:rPr>
          <w:rFonts w:ascii="Arial" w:eastAsia="Arial" w:hAnsi="Arial" w:cs="Arial"/>
        </w:rPr>
        <w:t xml:space="preserve"> to the implementation of </w:t>
      </w:r>
      <w:r w:rsidRPr="1B23B6AA">
        <w:rPr>
          <w:rFonts w:ascii="Arial" w:eastAsia="Arial" w:hAnsi="Arial" w:cs="Arial"/>
        </w:rPr>
        <w:t>RGC</w:t>
      </w:r>
      <w:r w:rsidR="001B61F6" w:rsidRPr="1B23B6AA">
        <w:rPr>
          <w:rFonts w:ascii="Arial" w:eastAsia="Arial" w:hAnsi="Arial" w:cs="Arial"/>
        </w:rPr>
        <w:t xml:space="preserve"> commitments</w:t>
      </w:r>
      <w:r w:rsidRPr="1B23B6AA">
        <w:rPr>
          <w:rFonts w:ascii="Arial" w:eastAsia="Arial" w:hAnsi="Arial" w:cs="Arial"/>
        </w:rPr>
        <w:t xml:space="preserve"> in these sectors</w:t>
      </w:r>
      <w:r w:rsidR="001B61F6" w:rsidRPr="1B23B6AA">
        <w:rPr>
          <w:rFonts w:ascii="Arial" w:eastAsia="Arial" w:hAnsi="Arial" w:cs="Arial"/>
        </w:rPr>
        <w:t xml:space="preserve">. ACCESS </w:t>
      </w:r>
      <w:r w:rsidR="00D37ECF" w:rsidRPr="1B23B6AA">
        <w:rPr>
          <w:rFonts w:ascii="Arial" w:eastAsia="Arial" w:hAnsi="Arial" w:cs="Arial"/>
        </w:rPr>
        <w:t>maintained its relevance by working adaptively and proactively to seize</w:t>
      </w:r>
      <w:r w:rsidR="001B61F6" w:rsidRPr="1B23B6AA">
        <w:rPr>
          <w:rFonts w:ascii="Arial" w:eastAsia="Arial" w:hAnsi="Arial" w:cs="Arial"/>
        </w:rPr>
        <w:t xml:space="preserve"> opportunities to promote inclusion within the changing delivery context of COVID-19, </w:t>
      </w:r>
      <w:r w:rsidR="001D31FA" w:rsidRPr="1B23B6AA">
        <w:rPr>
          <w:rFonts w:ascii="Arial" w:eastAsia="Arial" w:hAnsi="Arial" w:cs="Arial"/>
        </w:rPr>
        <w:t>which emerged early in the program’s lifecycle and continues to impact on all aspects of the Cambodian context</w:t>
      </w:r>
      <w:r w:rsidR="001B61F6" w:rsidRPr="1B23B6AA">
        <w:rPr>
          <w:rFonts w:ascii="Arial" w:eastAsia="Arial" w:hAnsi="Arial" w:cs="Arial"/>
        </w:rPr>
        <w:t xml:space="preserve">. This is well evidenced by the identification of people with disabilities as eligible for enrolment in the </w:t>
      </w:r>
      <w:proofErr w:type="spellStart"/>
      <w:r w:rsidR="001B61F6" w:rsidRPr="1B23B6AA">
        <w:rPr>
          <w:rFonts w:ascii="Arial" w:eastAsia="Arial" w:hAnsi="Arial" w:cs="Arial"/>
        </w:rPr>
        <w:t>IDPoor</w:t>
      </w:r>
      <w:proofErr w:type="spellEnd"/>
      <w:r w:rsidR="001B61F6" w:rsidRPr="1B23B6AA">
        <w:rPr>
          <w:rFonts w:ascii="Arial" w:eastAsia="Arial" w:hAnsi="Arial" w:cs="Arial"/>
        </w:rPr>
        <w:t xml:space="preserve"> scheme, and by the recovery of client </w:t>
      </w:r>
      <w:r w:rsidR="00E17CB1" w:rsidRPr="1B23B6AA">
        <w:rPr>
          <w:rFonts w:ascii="Arial" w:eastAsia="Arial" w:hAnsi="Arial" w:cs="Arial"/>
        </w:rPr>
        <w:t>caseloads</w:t>
      </w:r>
      <w:r w:rsidR="001B61F6" w:rsidRPr="1B23B6AA">
        <w:rPr>
          <w:rFonts w:ascii="Arial" w:eastAsia="Arial" w:hAnsi="Arial" w:cs="Arial"/>
        </w:rPr>
        <w:t xml:space="preserve"> after the drop in client numbers during lockdowns in 2021.</w:t>
      </w:r>
      <w:r w:rsidR="008849ED" w:rsidRPr="1B23B6AA">
        <w:rPr>
          <w:rFonts w:ascii="Arial" w:eastAsia="Arial" w:hAnsi="Arial" w:cs="Arial"/>
        </w:rPr>
        <w:t xml:space="preserve"> </w:t>
      </w:r>
    </w:p>
    <w:p w14:paraId="6D195C29" w14:textId="2C29283D" w:rsidR="001B61F6" w:rsidRDefault="001B61F6" w:rsidP="00CA4E71">
      <w:pPr>
        <w:jc w:val="both"/>
        <w:rPr>
          <w:rFonts w:ascii="Arial" w:eastAsia="Arial" w:hAnsi="Arial" w:cs="Arial"/>
        </w:rPr>
      </w:pPr>
      <w:r w:rsidRPr="1B23B6AA">
        <w:rPr>
          <w:rFonts w:ascii="Arial" w:eastAsia="Arial" w:hAnsi="Arial" w:cs="Arial"/>
        </w:rPr>
        <w:t xml:space="preserve">Access to services is an essential need for survivors of violence and </w:t>
      </w:r>
      <w:r w:rsidR="2318151B" w:rsidRPr="1B23B6AA">
        <w:rPr>
          <w:rFonts w:ascii="Arial" w:eastAsia="Arial" w:hAnsi="Arial" w:cs="Arial"/>
        </w:rPr>
        <w:t xml:space="preserve">for </w:t>
      </w:r>
      <w:r w:rsidRPr="1B23B6AA">
        <w:rPr>
          <w:rFonts w:ascii="Arial" w:eastAsia="Arial" w:hAnsi="Arial" w:cs="Arial"/>
        </w:rPr>
        <w:t xml:space="preserve">people with disabilities, </w:t>
      </w:r>
      <w:r w:rsidR="3A69701D" w:rsidRPr="1B23B6AA">
        <w:rPr>
          <w:rFonts w:ascii="Arial" w:eastAsia="Arial" w:hAnsi="Arial" w:cs="Arial"/>
        </w:rPr>
        <w:t xml:space="preserve">a priority under respective sectoral plans for RGC and Australia, </w:t>
      </w:r>
      <w:r w:rsidRPr="1B23B6AA">
        <w:rPr>
          <w:rFonts w:ascii="Arial" w:eastAsia="Arial" w:hAnsi="Arial" w:cs="Arial"/>
        </w:rPr>
        <w:t>and it is a</w:t>
      </w:r>
      <w:r w:rsidR="56E3FC36" w:rsidRPr="1B23B6AA">
        <w:rPr>
          <w:rFonts w:ascii="Arial" w:eastAsia="Arial" w:hAnsi="Arial" w:cs="Arial"/>
        </w:rPr>
        <w:t xml:space="preserve">n ongoing </w:t>
      </w:r>
      <w:r w:rsidRPr="1B23B6AA">
        <w:rPr>
          <w:rFonts w:ascii="Arial" w:eastAsia="Arial" w:hAnsi="Arial" w:cs="Arial"/>
        </w:rPr>
        <w:t xml:space="preserve">gap in public service provision in many countries, including Cambodia. </w:t>
      </w:r>
      <w:r w:rsidR="004E0C52" w:rsidRPr="1B23B6AA">
        <w:rPr>
          <w:rFonts w:ascii="Arial" w:eastAsia="Arial" w:hAnsi="Arial" w:cs="Arial"/>
        </w:rPr>
        <w:t>Hence,</w:t>
      </w:r>
      <w:r w:rsidRPr="1B23B6AA">
        <w:rPr>
          <w:rFonts w:ascii="Arial" w:eastAsia="Arial" w:hAnsi="Arial" w:cs="Arial"/>
        </w:rPr>
        <w:t xml:space="preserve"> it is a relevant and well substantiated area for ACCESS to have focused upon. Working with RGC on systems strengthening is also warranted in terms of increasing the visibility and sustainability of these public services, although it dictates a slower, more </w:t>
      </w:r>
      <w:r w:rsidR="0C633BA3" w:rsidRPr="1B23B6AA">
        <w:rPr>
          <w:rFonts w:ascii="Arial" w:eastAsia="Arial" w:hAnsi="Arial" w:cs="Arial"/>
        </w:rPr>
        <w:t xml:space="preserve">incremental </w:t>
      </w:r>
      <w:r w:rsidRPr="1B23B6AA">
        <w:rPr>
          <w:rFonts w:ascii="Arial" w:eastAsia="Arial" w:hAnsi="Arial" w:cs="Arial"/>
        </w:rPr>
        <w:t>pace of progress. Complementing this with support to implementing partners</w:t>
      </w:r>
      <w:r w:rsidR="79F44B9B" w:rsidRPr="1B23B6AA">
        <w:rPr>
          <w:rFonts w:ascii="Arial" w:eastAsia="Arial" w:hAnsi="Arial" w:cs="Arial"/>
        </w:rPr>
        <w:t xml:space="preserve"> (IPs)</w:t>
      </w:r>
      <w:r w:rsidR="4EC8641B" w:rsidRPr="1B23B6AA">
        <w:rPr>
          <w:rFonts w:ascii="Arial" w:eastAsia="Arial" w:hAnsi="Arial" w:cs="Arial"/>
        </w:rPr>
        <w:t>,</w:t>
      </w:r>
      <w:r w:rsidRPr="1B23B6AA">
        <w:rPr>
          <w:rFonts w:ascii="Arial" w:eastAsia="Arial" w:hAnsi="Arial" w:cs="Arial"/>
        </w:rPr>
        <w:t xml:space="preserve"> who work with clients at the subnational level</w:t>
      </w:r>
      <w:r w:rsidR="32B0FBB3" w:rsidRPr="1B23B6AA">
        <w:rPr>
          <w:rFonts w:ascii="Arial" w:eastAsia="Arial" w:hAnsi="Arial" w:cs="Arial"/>
        </w:rPr>
        <w:t>,</w:t>
      </w:r>
      <w:r w:rsidRPr="1B23B6AA">
        <w:rPr>
          <w:rFonts w:ascii="Arial" w:eastAsia="Arial" w:hAnsi="Arial" w:cs="Arial"/>
        </w:rPr>
        <w:t xml:space="preserve"> was a sound choice to support </w:t>
      </w:r>
      <w:r w:rsidR="46B63697" w:rsidRPr="1B23B6AA">
        <w:rPr>
          <w:rFonts w:ascii="Arial" w:eastAsia="Arial" w:hAnsi="Arial" w:cs="Arial"/>
        </w:rPr>
        <w:t>‘</w:t>
      </w:r>
      <w:r w:rsidRPr="1B23B6AA">
        <w:rPr>
          <w:rFonts w:ascii="Arial" w:eastAsia="Arial" w:hAnsi="Arial" w:cs="Arial"/>
        </w:rPr>
        <w:t>supply</w:t>
      </w:r>
      <w:r w:rsidR="30540A8D" w:rsidRPr="1B23B6AA">
        <w:rPr>
          <w:rFonts w:ascii="Arial" w:eastAsia="Arial" w:hAnsi="Arial" w:cs="Arial"/>
        </w:rPr>
        <w:t>’</w:t>
      </w:r>
      <w:r w:rsidRPr="1B23B6AA">
        <w:rPr>
          <w:rFonts w:ascii="Arial" w:eastAsia="Arial" w:hAnsi="Arial" w:cs="Arial"/>
        </w:rPr>
        <w:t xml:space="preserve"> and </w:t>
      </w:r>
      <w:r w:rsidR="5CEC1191" w:rsidRPr="1B23B6AA">
        <w:rPr>
          <w:rFonts w:ascii="Arial" w:eastAsia="Arial" w:hAnsi="Arial" w:cs="Arial"/>
        </w:rPr>
        <w:t>‘</w:t>
      </w:r>
      <w:r w:rsidRPr="1B23B6AA">
        <w:rPr>
          <w:rFonts w:ascii="Arial" w:eastAsia="Arial" w:hAnsi="Arial" w:cs="Arial"/>
        </w:rPr>
        <w:t>demand</w:t>
      </w:r>
      <w:r w:rsidR="008F8383" w:rsidRPr="1B23B6AA">
        <w:rPr>
          <w:rFonts w:ascii="Arial" w:eastAsia="Arial" w:hAnsi="Arial" w:cs="Arial"/>
        </w:rPr>
        <w:t>’ sides</w:t>
      </w:r>
      <w:r w:rsidRPr="1B23B6AA">
        <w:rPr>
          <w:rFonts w:ascii="Arial" w:eastAsia="Arial" w:hAnsi="Arial" w:cs="Arial"/>
        </w:rPr>
        <w:t>, even if the breadth of scope has ultimately overextended staff.</w:t>
      </w:r>
    </w:p>
    <w:p w14:paraId="28C000A5" w14:textId="6F2BE665" w:rsidR="001B61F6" w:rsidRDefault="7D78943E" w:rsidP="1B23B6AA">
      <w:pPr>
        <w:jc w:val="both"/>
        <w:rPr>
          <w:rFonts w:ascii="Arial" w:eastAsia="Arial" w:hAnsi="Arial" w:cs="Arial"/>
        </w:rPr>
      </w:pPr>
      <w:r w:rsidRPr="52E2F618">
        <w:rPr>
          <w:rFonts w:ascii="Arial" w:eastAsia="Arial" w:hAnsi="Arial" w:cs="Arial"/>
        </w:rPr>
        <w:t xml:space="preserve">Where </w:t>
      </w:r>
      <w:r w:rsidRPr="52E2F618">
        <w:rPr>
          <w:rFonts w:ascii="Arial" w:eastAsia="Arial" w:hAnsi="Arial" w:cs="Arial"/>
          <w:b/>
          <w:bCs/>
        </w:rPr>
        <w:t xml:space="preserve">relevance is less strong is in terms of the ACCESS </w:t>
      </w:r>
      <w:r w:rsidR="004C029F">
        <w:rPr>
          <w:rFonts w:ascii="Arial" w:eastAsia="Arial" w:hAnsi="Arial" w:cs="Arial"/>
          <w:b/>
          <w:bCs/>
        </w:rPr>
        <w:t>delivery modality</w:t>
      </w:r>
      <w:r w:rsidRPr="52E2F618">
        <w:rPr>
          <w:rFonts w:ascii="Arial" w:eastAsia="Arial" w:hAnsi="Arial" w:cs="Arial"/>
        </w:rPr>
        <w:t xml:space="preserve">. Although attributable to the design rather than delivery strategies, ACCESS was not strongly aligned to the political economy landscape and </w:t>
      </w:r>
      <w:r w:rsidR="785A7828" w:rsidRPr="52E2F618">
        <w:rPr>
          <w:rFonts w:ascii="Arial" w:eastAsia="Arial" w:hAnsi="Arial" w:cs="Arial"/>
        </w:rPr>
        <w:t xml:space="preserve">the </w:t>
      </w:r>
      <w:r w:rsidRPr="52E2F618">
        <w:rPr>
          <w:rFonts w:ascii="Arial" w:eastAsia="Arial" w:hAnsi="Arial" w:cs="Arial"/>
        </w:rPr>
        <w:t>realities of budgetary processes</w:t>
      </w:r>
      <w:r w:rsidRPr="00064A8E">
        <w:rPr>
          <w:rFonts w:ascii="Arial" w:eastAsia="Arial" w:hAnsi="Arial" w:cs="Arial"/>
        </w:rPr>
        <w:t>.</w:t>
      </w:r>
      <w:r w:rsidRPr="52E2F618">
        <w:rPr>
          <w:rFonts w:ascii="Arial" w:eastAsia="Arial" w:hAnsi="Arial" w:cs="Arial"/>
        </w:rPr>
        <w:t xml:space="preserve"> </w:t>
      </w:r>
      <w:r w:rsidR="2476C23D" w:rsidRPr="52E2F618">
        <w:rPr>
          <w:rFonts w:ascii="Arial" w:eastAsia="Arial" w:hAnsi="Arial" w:cs="Arial"/>
        </w:rPr>
        <w:t xml:space="preserve">Initial </w:t>
      </w:r>
      <w:r w:rsidR="1F96600F" w:rsidRPr="52E2F618">
        <w:rPr>
          <w:rFonts w:ascii="Arial" w:eastAsia="Arial" w:hAnsi="Arial" w:cs="Arial"/>
        </w:rPr>
        <w:t>program</w:t>
      </w:r>
      <w:r w:rsidR="634B9CFB" w:rsidRPr="52E2F618">
        <w:rPr>
          <w:rFonts w:ascii="Arial" w:eastAsia="Arial" w:hAnsi="Arial" w:cs="Arial"/>
        </w:rPr>
        <w:t xml:space="preserve"> outcomes </w:t>
      </w:r>
      <w:r w:rsidRPr="52E2F618">
        <w:rPr>
          <w:rFonts w:ascii="Arial" w:eastAsia="Arial" w:hAnsi="Arial" w:cs="Arial"/>
        </w:rPr>
        <w:t>on public financial management set unrealistic expectations</w:t>
      </w:r>
      <w:r w:rsidR="033EA28B" w:rsidRPr="52E2F618">
        <w:rPr>
          <w:rFonts w:ascii="Arial" w:eastAsia="Arial" w:hAnsi="Arial" w:cs="Arial"/>
        </w:rPr>
        <w:t>, specifically</w:t>
      </w:r>
      <w:r w:rsidRPr="52E2F618">
        <w:rPr>
          <w:rFonts w:ascii="Arial" w:eastAsia="Arial" w:hAnsi="Arial" w:cs="Arial"/>
        </w:rPr>
        <w:t xml:space="preserve"> </w:t>
      </w:r>
      <w:r w:rsidR="5BC629B5" w:rsidRPr="52E2F618">
        <w:rPr>
          <w:rFonts w:ascii="Arial" w:eastAsia="Arial" w:hAnsi="Arial" w:cs="Arial"/>
        </w:rPr>
        <w:t xml:space="preserve">an </w:t>
      </w:r>
      <w:r w:rsidR="4C8366D8" w:rsidRPr="52E2F618">
        <w:rPr>
          <w:rFonts w:ascii="Arial" w:eastAsia="Arial" w:hAnsi="Arial" w:cs="Arial"/>
        </w:rPr>
        <w:t>increase</w:t>
      </w:r>
      <w:r w:rsidR="74CF98D0" w:rsidRPr="52E2F618">
        <w:rPr>
          <w:rFonts w:ascii="Arial" w:eastAsia="Arial" w:hAnsi="Arial" w:cs="Arial"/>
        </w:rPr>
        <w:t xml:space="preserve"> in</w:t>
      </w:r>
      <w:r w:rsidR="4C8366D8" w:rsidRPr="52E2F618">
        <w:rPr>
          <w:rFonts w:ascii="Arial" w:eastAsia="Arial" w:hAnsi="Arial" w:cs="Arial"/>
        </w:rPr>
        <w:t xml:space="preserve"> </w:t>
      </w:r>
      <w:r w:rsidRPr="52E2F618">
        <w:rPr>
          <w:rFonts w:ascii="Arial" w:eastAsia="Arial" w:hAnsi="Arial" w:cs="Arial"/>
        </w:rPr>
        <w:t>fiscal allocations by MEF</w:t>
      </w:r>
      <w:r w:rsidR="2A0466B6" w:rsidRPr="52E2F618">
        <w:rPr>
          <w:rFonts w:ascii="Arial" w:eastAsia="Arial" w:hAnsi="Arial" w:cs="Arial"/>
        </w:rPr>
        <w:t xml:space="preserve"> </w:t>
      </w:r>
      <w:r w:rsidRPr="52E2F618">
        <w:rPr>
          <w:rFonts w:ascii="Arial" w:eastAsia="Arial" w:hAnsi="Arial" w:cs="Arial"/>
        </w:rPr>
        <w:t xml:space="preserve">on the basis of improved line ministry budget submissions </w:t>
      </w:r>
      <w:r w:rsidR="6165F415" w:rsidRPr="52E2F618">
        <w:rPr>
          <w:rFonts w:ascii="Arial" w:eastAsia="Arial" w:hAnsi="Arial" w:cs="Arial"/>
        </w:rPr>
        <w:t xml:space="preserve">- </w:t>
      </w:r>
      <w:r w:rsidRPr="00064A8E">
        <w:rPr>
          <w:rFonts w:ascii="Arial" w:eastAsia="Arial" w:hAnsi="Arial" w:cs="Arial"/>
        </w:rPr>
        <w:t>for the two underfunded, advocacy areas of disability and GBV services</w:t>
      </w:r>
      <w:r w:rsidRPr="52E2F618">
        <w:rPr>
          <w:rFonts w:ascii="Arial" w:eastAsia="Arial" w:hAnsi="Arial" w:cs="Arial"/>
        </w:rPr>
        <w:t xml:space="preserve">. The pursuit of a competitive investment mechanism </w:t>
      </w:r>
      <w:r w:rsidR="25B89AE5" w:rsidRPr="52E2F618">
        <w:rPr>
          <w:rFonts w:ascii="Arial" w:eastAsia="Arial" w:hAnsi="Arial" w:cs="Arial"/>
        </w:rPr>
        <w:t xml:space="preserve">(CIM) </w:t>
      </w:r>
      <w:r w:rsidRPr="52E2F618">
        <w:rPr>
          <w:rFonts w:ascii="Arial" w:eastAsia="Arial" w:hAnsi="Arial" w:cs="Arial"/>
        </w:rPr>
        <w:t xml:space="preserve">which initially set up rivalry and silos between partners is also counter to the collective action that is needed for progress on GBV and disability </w:t>
      </w:r>
      <w:r w:rsidR="36C8B427" w:rsidRPr="52E2F618">
        <w:rPr>
          <w:rFonts w:ascii="Arial" w:eastAsia="Arial" w:hAnsi="Arial" w:cs="Arial"/>
        </w:rPr>
        <w:t>responses</w:t>
      </w:r>
      <w:r w:rsidRPr="52E2F618">
        <w:rPr>
          <w:rFonts w:ascii="Arial" w:eastAsia="Arial" w:hAnsi="Arial" w:cs="Arial"/>
        </w:rPr>
        <w:t xml:space="preserve">. </w:t>
      </w:r>
      <w:r w:rsidR="37516846" w:rsidRPr="52E2F618">
        <w:rPr>
          <w:rFonts w:ascii="Arial" w:eastAsia="Arial" w:hAnsi="Arial" w:cs="Arial"/>
        </w:rPr>
        <w:t xml:space="preserve">A second area where relevance is questionable is </w:t>
      </w:r>
      <w:r w:rsidR="39AB58C7" w:rsidRPr="52E2F618">
        <w:rPr>
          <w:rFonts w:ascii="Arial" w:eastAsia="Arial" w:hAnsi="Arial" w:cs="Arial"/>
        </w:rPr>
        <w:t xml:space="preserve">ACCESS </w:t>
      </w:r>
      <w:r w:rsidR="37516846" w:rsidRPr="52E2F618">
        <w:rPr>
          <w:rFonts w:ascii="Arial" w:eastAsia="Arial" w:hAnsi="Arial" w:cs="Arial"/>
        </w:rPr>
        <w:t xml:space="preserve">support to mediation </w:t>
      </w:r>
      <w:r w:rsidR="59C8DEFE" w:rsidRPr="52E2F618">
        <w:rPr>
          <w:rFonts w:ascii="Arial" w:eastAsia="Arial" w:hAnsi="Arial" w:cs="Arial"/>
        </w:rPr>
        <w:t xml:space="preserve">or ‘counselling’ to </w:t>
      </w:r>
      <w:r w:rsidR="0A31DC65" w:rsidRPr="52E2F618">
        <w:rPr>
          <w:rFonts w:ascii="Arial" w:eastAsia="Arial" w:hAnsi="Arial" w:cs="Arial"/>
        </w:rPr>
        <w:t xml:space="preserve">respond to </w:t>
      </w:r>
      <w:r w:rsidR="59C8DEFE" w:rsidRPr="52E2F618">
        <w:rPr>
          <w:rFonts w:ascii="Arial" w:eastAsia="Arial" w:hAnsi="Arial" w:cs="Arial"/>
        </w:rPr>
        <w:t xml:space="preserve">GBV. While mediation is </w:t>
      </w:r>
      <w:r w:rsidR="2A3112C0" w:rsidRPr="52E2F618">
        <w:rPr>
          <w:rFonts w:ascii="Arial" w:eastAsia="Arial" w:hAnsi="Arial" w:cs="Arial"/>
        </w:rPr>
        <w:t xml:space="preserve">inscribed in law, it is not </w:t>
      </w:r>
      <w:r w:rsidR="092DFE1D" w:rsidRPr="52E2F618">
        <w:rPr>
          <w:rFonts w:ascii="Arial" w:eastAsia="Arial" w:hAnsi="Arial" w:cs="Arial"/>
        </w:rPr>
        <w:t xml:space="preserve">survivor-centred, and it does not align with international guidance on responding to GBV. </w:t>
      </w:r>
      <w:r w:rsidR="00F86C44" w:rsidRPr="00956E42">
        <w:rPr>
          <w:rFonts w:ascii="Arial" w:eastAsia="Arial" w:hAnsi="Arial" w:cs="Arial"/>
        </w:rPr>
        <w:t>As part of the ACCESS program,</w:t>
      </w:r>
      <w:r w:rsidR="3244A95F" w:rsidRPr="00956E42">
        <w:rPr>
          <w:rFonts w:ascii="Arial" w:eastAsia="Arial" w:hAnsi="Arial" w:cs="Arial"/>
        </w:rPr>
        <w:t xml:space="preserve"> The Asia Foundation (TAF) </w:t>
      </w:r>
      <w:r w:rsidR="00D336A8">
        <w:rPr>
          <w:rFonts w:ascii="Arial" w:eastAsia="Arial" w:hAnsi="Arial" w:cs="Arial"/>
        </w:rPr>
        <w:t xml:space="preserve">engaged Women Peace Makers (via sub-granting arrangement) to </w:t>
      </w:r>
      <w:r w:rsidR="35E9D357" w:rsidRPr="00956E42">
        <w:rPr>
          <w:rFonts w:ascii="Arial" w:eastAsia="Arial" w:hAnsi="Arial" w:cs="Arial"/>
        </w:rPr>
        <w:t>develop guidelines on the ‘limited use’ of mediation.</w:t>
      </w:r>
      <w:r w:rsidR="35E9D357" w:rsidRPr="52E2F618">
        <w:rPr>
          <w:rFonts w:ascii="Arial" w:eastAsia="Arial" w:hAnsi="Arial" w:cs="Arial"/>
        </w:rPr>
        <w:t xml:space="preserve"> However, med</w:t>
      </w:r>
      <w:r w:rsidR="0396BD80" w:rsidRPr="52E2F618">
        <w:rPr>
          <w:rFonts w:ascii="Arial" w:eastAsia="Arial" w:hAnsi="Arial" w:cs="Arial"/>
        </w:rPr>
        <w:t>i</w:t>
      </w:r>
      <w:r w:rsidR="35E9D357" w:rsidRPr="52E2F618">
        <w:rPr>
          <w:rFonts w:ascii="Arial" w:eastAsia="Arial" w:hAnsi="Arial" w:cs="Arial"/>
        </w:rPr>
        <w:t xml:space="preserve">ation accounts for a high proportion of GBV services by </w:t>
      </w:r>
      <w:r w:rsidR="44CEF6D5" w:rsidRPr="52E2F618">
        <w:rPr>
          <w:rFonts w:ascii="Arial" w:eastAsia="Arial" w:hAnsi="Arial" w:cs="Arial"/>
        </w:rPr>
        <w:t xml:space="preserve">ACCESS </w:t>
      </w:r>
      <w:r w:rsidR="35E9D357" w:rsidRPr="52E2F618">
        <w:rPr>
          <w:rFonts w:ascii="Arial" w:eastAsia="Arial" w:hAnsi="Arial" w:cs="Arial"/>
        </w:rPr>
        <w:t xml:space="preserve">IPs, and </w:t>
      </w:r>
      <w:r w:rsidR="048F4A40" w:rsidRPr="52E2F618">
        <w:rPr>
          <w:rFonts w:ascii="Arial" w:eastAsia="Arial" w:hAnsi="Arial" w:cs="Arial"/>
        </w:rPr>
        <w:t xml:space="preserve">so a consultative process with </w:t>
      </w:r>
      <w:r w:rsidR="048F4A40" w:rsidRPr="52E2F618">
        <w:rPr>
          <w:rFonts w:ascii="Arial" w:eastAsia="Arial" w:hAnsi="Arial" w:cs="Arial"/>
        </w:rPr>
        <w:lastRenderedPageBreak/>
        <w:t xml:space="preserve">IPs is needed to guide </w:t>
      </w:r>
      <w:r w:rsidR="60775187" w:rsidRPr="52E2F618">
        <w:rPr>
          <w:rFonts w:ascii="Arial" w:eastAsia="Arial" w:hAnsi="Arial" w:cs="Arial"/>
        </w:rPr>
        <w:t>ACCESS’</w:t>
      </w:r>
      <w:r w:rsidR="56D33D27" w:rsidRPr="52E2F618">
        <w:rPr>
          <w:rFonts w:ascii="Arial" w:eastAsia="Arial" w:hAnsi="Arial" w:cs="Arial"/>
        </w:rPr>
        <w:t>s</w:t>
      </w:r>
      <w:r w:rsidR="048F4A40" w:rsidRPr="52E2F618">
        <w:rPr>
          <w:rFonts w:ascii="Arial" w:eastAsia="Arial" w:hAnsi="Arial" w:cs="Arial"/>
        </w:rPr>
        <w:t xml:space="preserve"> </w:t>
      </w:r>
      <w:r w:rsidR="6CB9DBF8" w:rsidRPr="52E2F618">
        <w:rPr>
          <w:rFonts w:ascii="Arial" w:eastAsia="Arial" w:hAnsi="Arial" w:cs="Arial"/>
        </w:rPr>
        <w:t xml:space="preserve">discontinuation of </w:t>
      </w:r>
      <w:r w:rsidR="048F4A40" w:rsidRPr="52E2F618">
        <w:rPr>
          <w:rFonts w:ascii="Arial" w:eastAsia="Arial" w:hAnsi="Arial" w:cs="Arial"/>
        </w:rPr>
        <w:t xml:space="preserve">these services, </w:t>
      </w:r>
      <w:r w:rsidR="4E5200AA" w:rsidRPr="52E2F618">
        <w:rPr>
          <w:rFonts w:ascii="Arial" w:eastAsia="Arial" w:hAnsi="Arial" w:cs="Arial"/>
        </w:rPr>
        <w:t>with avoidance of harm as the paramount consideration.</w:t>
      </w:r>
    </w:p>
    <w:p w14:paraId="1A02BB42" w14:textId="33DE726F" w:rsidR="001B61F6" w:rsidRPr="00106C87" w:rsidRDefault="001B61F6" w:rsidP="1B23B6AA">
      <w:pPr>
        <w:jc w:val="both"/>
        <w:rPr>
          <w:rFonts w:ascii="Arial" w:eastAsia="Arial" w:hAnsi="Arial" w:cs="Arial"/>
          <w:b/>
          <w:bCs/>
        </w:rPr>
      </w:pPr>
      <w:r w:rsidRPr="1B23B6AA">
        <w:rPr>
          <w:rFonts w:ascii="Arial" w:eastAsia="Arial" w:hAnsi="Arial" w:cs="Arial"/>
        </w:rPr>
        <w:t xml:space="preserve">Lastly, the question about whether other types of programs could be more effective in advancing social inclusion in Cambodia sits above evaluation of the ACCESS program. The evaluation did not include a counterfactual or undertake a benchmarking exercise. </w:t>
      </w:r>
      <w:r w:rsidR="00FE53CB" w:rsidRPr="1B23B6AA">
        <w:rPr>
          <w:rFonts w:ascii="Arial" w:eastAsia="Arial" w:hAnsi="Arial" w:cs="Arial"/>
        </w:rPr>
        <w:t xml:space="preserve">Beyond ACCESS, interventions such as labour market and vocational education programs, access to land title and finance initiatives can play a fundamental role in closing socio-economic gaps for certain population groups, if well targeted and tailored. They could conceivably reach more people. However, this evaluation concludes that those areas – </w:t>
      </w:r>
      <w:r w:rsidR="0029245C" w:rsidRPr="1B23B6AA">
        <w:rPr>
          <w:rFonts w:ascii="Arial" w:eastAsia="Arial" w:hAnsi="Arial" w:cs="Arial"/>
        </w:rPr>
        <w:t>i.e.,</w:t>
      </w:r>
      <w:r w:rsidR="00FE53CB" w:rsidRPr="1B23B6AA">
        <w:rPr>
          <w:rFonts w:ascii="Arial" w:eastAsia="Arial" w:hAnsi="Arial" w:cs="Arial"/>
        </w:rPr>
        <w:t xml:space="preserve"> labour market, education – will be a natural focus for RGC as the country graduates to higher income levels. There are also </w:t>
      </w:r>
      <w:r w:rsidR="6D70C4ED" w:rsidRPr="1B23B6AA">
        <w:rPr>
          <w:rFonts w:ascii="Arial" w:eastAsia="Arial" w:hAnsi="Arial" w:cs="Arial"/>
        </w:rPr>
        <w:t xml:space="preserve">other </w:t>
      </w:r>
      <w:r w:rsidR="00FE53CB" w:rsidRPr="1B23B6AA">
        <w:rPr>
          <w:rFonts w:ascii="Arial" w:eastAsia="Arial" w:hAnsi="Arial" w:cs="Arial"/>
        </w:rPr>
        <w:t xml:space="preserve">DFAT programs with the capacity to contribute expertise here. Whereas </w:t>
      </w:r>
      <w:r w:rsidR="00FE53CB" w:rsidRPr="1B23B6AA">
        <w:rPr>
          <w:rFonts w:ascii="Arial" w:eastAsia="Arial" w:hAnsi="Arial" w:cs="Arial"/>
          <w:b/>
          <w:bCs/>
        </w:rPr>
        <w:t>services for two population groups who are typically hidden or stigmatised, world over, needs advocates</w:t>
      </w:r>
      <w:r w:rsidR="00FE53CB" w:rsidRPr="1B23B6AA">
        <w:rPr>
          <w:rFonts w:ascii="Arial" w:eastAsia="Arial" w:hAnsi="Arial" w:cs="Arial"/>
        </w:rPr>
        <w:t xml:space="preserve">. Building upon </w:t>
      </w:r>
      <w:r w:rsidR="00AD02D6">
        <w:rPr>
          <w:rFonts w:ascii="Arial" w:eastAsia="Arial" w:hAnsi="Arial" w:cs="Arial"/>
        </w:rPr>
        <w:t>ACCESS’</w:t>
      </w:r>
      <w:r w:rsidR="009F2B4C">
        <w:rPr>
          <w:rFonts w:ascii="Arial" w:eastAsia="Arial" w:hAnsi="Arial" w:cs="Arial"/>
        </w:rPr>
        <w:t>s</w:t>
      </w:r>
      <w:r w:rsidR="00FE53CB" w:rsidRPr="1B23B6AA">
        <w:rPr>
          <w:rFonts w:ascii="Arial" w:eastAsia="Arial" w:hAnsi="Arial" w:cs="Arial"/>
        </w:rPr>
        <w:t xml:space="preserve"> results and ecosystem of partners to create more integrated and inclusive services, with associated social protection and advocacy elements, remains a well justified and worthy focus for advancing social inclusion and gender equality.</w:t>
      </w:r>
      <w:r w:rsidR="006D21CF" w:rsidRPr="1B23B6AA">
        <w:rPr>
          <w:rFonts w:ascii="Arial" w:eastAsia="Arial" w:hAnsi="Arial" w:cs="Arial"/>
        </w:rPr>
        <w:t xml:space="preserve"> </w:t>
      </w:r>
      <w:r w:rsidR="00FE53CB" w:rsidRPr="1B23B6AA">
        <w:rPr>
          <w:rFonts w:ascii="Arial" w:eastAsia="Arial" w:hAnsi="Arial" w:cs="Arial"/>
        </w:rPr>
        <w:t>That notwithstanding</w:t>
      </w:r>
      <w:r w:rsidRPr="1B23B6AA">
        <w:rPr>
          <w:rFonts w:ascii="Arial" w:eastAsia="Arial" w:hAnsi="Arial" w:cs="Arial"/>
        </w:rPr>
        <w:t xml:space="preserve">, three conclusions can be drawn from the consultations undertaken: 1) that there was consensus among </w:t>
      </w:r>
      <w:r w:rsidR="695F5384" w:rsidRPr="1B23B6AA">
        <w:rPr>
          <w:rFonts w:ascii="Arial" w:eastAsia="Arial" w:hAnsi="Arial" w:cs="Arial"/>
        </w:rPr>
        <w:t>IPs</w:t>
      </w:r>
      <w:r w:rsidRPr="1B23B6AA">
        <w:rPr>
          <w:rFonts w:ascii="Arial" w:eastAsia="Arial" w:hAnsi="Arial" w:cs="Arial"/>
        </w:rPr>
        <w:t xml:space="preserve"> that the program should have had more focus on clients, and supporting actual service </w:t>
      </w:r>
      <w:r w:rsidR="45EDD878" w:rsidRPr="1B23B6AA">
        <w:rPr>
          <w:rFonts w:ascii="Arial" w:eastAsia="Arial" w:hAnsi="Arial" w:cs="Arial"/>
        </w:rPr>
        <w:t>ut</w:t>
      </w:r>
      <w:r w:rsidR="004A2A25">
        <w:rPr>
          <w:rFonts w:ascii="Arial" w:eastAsia="Arial" w:hAnsi="Arial" w:cs="Arial"/>
        </w:rPr>
        <w:t>i</w:t>
      </w:r>
      <w:r w:rsidR="45EDD878" w:rsidRPr="1B23B6AA">
        <w:rPr>
          <w:rFonts w:ascii="Arial" w:eastAsia="Arial" w:hAnsi="Arial" w:cs="Arial"/>
        </w:rPr>
        <w:t xml:space="preserve">lisation </w:t>
      </w:r>
      <w:r w:rsidRPr="1B23B6AA">
        <w:rPr>
          <w:rFonts w:ascii="Arial" w:eastAsia="Arial" w:hAnsi="Arial" w:cs="Arial"/>
        </w:rPr>
        <w:t xml:space="preserve">and demand; 2) that the voice of both service users or organisations representing them was marginal in the program, when this is often key to progress on social inclusion; and 3) that financial security through employment or access to livelihoods is a priority for people with disabilities to secure their independence and for survivors of GBV to have the option to leave a violent relationship. </w:t>
      </w:r>
    </w:p>
    <w:p w14:paraId="3822C984" w14:textId="4B21C787" w:rsidR="001B61F6" w:rsidRDefault="001B61F6" w:rsidP="00CA4E71">
      <w:pPr>
        <w:jc w:val="both"/>
        <w:rPr>
          <w:color w:val="auto"/>
          <w:szCs w:val="20"/>
        </w:rPr>
      </w:pPr>
      <w:r w:rsidRPr="001141B5">
        <w:rPr>
          <w:rStyle w:val="Heading2Char"/>
        </w:rPr>
        <w:t>Effectiveness:</w:t>
      </w:r>
      <w:r w:rsidRPr="0041207F">
        <w:rPr>
          <w:rFonts w:ascii="Arial" w:eastAsia="Arial" w:hAnsi="Arial" w:cs="Arial"/>
          <w:b/>
          <w:bCs/>
          <w:color w:val="1D336D" w:themeColor="background2"/>
          <w:szCs w:val="20"/>
        </w:rPr>
        <w:t xml:space="preserve"> </w:t>
      </w:r>
      <w:r w:rsidRPr="00106C87">
        <w:rPr>
          <w:i/>
          <w:iCs/>
          <w:color w:val="auto"/>
          <w:szCs w:val="20"/>
        </w:rPr>
        <w:t>Was ACCESS effective in achieving its intended outcomes?</w:t>
      </w:r>
      <w:r w:rsidRPr="00214AAD">
        <w:rPr>
          <w:color w:val="auto"/>
          <w:szCs w:val="20"/>
        </w:rPr>
        <w:t> </w:t>
      </w:r>
    </w:p>
    <w:p w14:paraId="69F06B32" w14:textId="66941287" w:rsidR="008849ED" w:rsidRDefault="008849ED" w:rsidP="008849ED">
      <w:pPr>
        <w:jc w:val="both"/>
        <w:rPr>
          <w:color w:val="auto"/>
        </w:rPr>
      </w:pPr>
      <w:r w:rsidRPr="00106C87">
        <w:rPr>
          <w:b/>
          <w:bCs/>
          <w:color w:val="auto"/>
        </w:rPr>
        <w:t>Multiple changes to the ACCESS Theory of Change (</w:t>
      </w:r>
      <w:proofErr w:type="spellStart"/>
      <w:r w:rsidRPr="00106C87">
        <w:rPr>
          <w:b/>
          <w:bCs/>
          <w:color w:val="auto"/>
        </w:rPr>
        <w:t>ToC</w:t>
      </w:r>
      <w:proofErr w:type="spellEnd"/>
      <w:r w:rsidRPr="00106C87">
        <w:rPr>
          <w:b/>
          <w:bCs/>
          <w:color w:val="auto"/>
        </w:rPr>
        <w:t>) mean it is not straightforward to measure effectiveness</w:t>
      </w:r>
      <w:r w:rsidRPr="1B23B6AA">
        <w:rPr>
          <w:color w:val="auto"/>
        </w:rPr>
        <w:t xml:space="preserve">. There were three </w:t>
      </w:r>
      <w:proofErr w:type="spellStart"/>
      <w:r w:rsidRPr="1B23B6AA">
        <w:rPr>
          <w:color w:val="auto"/>
        </w:rPr>
        <w:t>ToCs</w:t>
      </w:r>
      <w:proofErr w:type="spellEnd"/>
      <w:r w:rsidRPr="1B23B6AA">
        <w:rPr>
          <w:color w:val="auto"/>
        </w:rPr>
        <w:t xml:space="preserve"> in three years, not including the version in the Design </w:t>
      </w:r>
      <w:proofErr w:type="gramStart"/>
      <w:r w:rsidRPr="1B23B6AA">
        <w:rPr>
          <w:color w:val="auto"/>
        </w:rPr>
        <w:t xml:space="preserve">Document, </w:t>
      </w:r>
      <w:r w:rsidR="4C7B5A2F" w:rsidRPr="1B23B6AA">
        <w:rPr>
          <w:color w:val="auto"/>
        </w:rPr>
        <w:t xml:space="preserve"> </w:t>
      </w:r>
      <w:r w:rsidR="00705757" w:rsidRPr="1B23B6AA">
        <w:rPr>
          <w:color w:val="auto"/>
        </w:rPr>
        <w:t>removal</w:t>
      </w:r>
      <w:proofErr w:type="gramEnd"/>
      <w:r w:rsidR="00705757" w:rsidRPr="1B23B6AA">
        <w:rPr>
          <w:color w:val="auto"/>
        </w:rPr>
        <w:t xml:space="preserve"> of the</w:t>
      </w:r>
      <w:r w:rsidRPr="1B23B6AA">
        <w:rPr>
          <w:color w:val="auto"/>
        </w:rPr>
        <w:t xml:space="preserve"> PFM-related </w:t>
      </w:r>
      <w:r w:rsidR="000340E9" w:rsidRPr="1B23B6AA">
        <w:rPr>
          <w:color w:val="auto"/>
        </w:rPr>
        <w:t>end of program outcome (EOPO</w:t>
      </w:r>
      <w:r w:rsidR="00CB4E07" w:rsidRPr="1B23B6AA">
        <w:rPr>
          <w:color w:val="auto"/>
        </w:rPr>
        <w:t>)</w:t>
      </w:r>
      <w:r w:rsidRPr="1B23B6AA">
        <w:rPr>
          <w:color w:val="auto"/>
        </w:rPr>
        <w:t>, and rewording of the new sole EOPO. Changes were also made to the wording and orientation of intermediate outcomes. While these changes were endorsed by DFAT and convey the team’s adaptiveness, the changing of goals posts pose</w:t>
      </w:r>
      <w:r w:rsidR="72B6470C" w:rsidRPr="1B23B6AA">
        <w:rPr>
          <w:color w:val="auto"/>
        </w:rPr>
        <w:t>s</w:t>
      </w:r>
      <w:r w:rsidRPr="1B23B6AA">
        <w:rPr>
          <w:color w:val="auto"/>
        </w:rPr>
        <w:t xml:space="preserve"> a challenge for measuring performance against outcomes. The evaluation concludes that it would have been preferable to change strategies and workplans, rather than change the </w:t>
      </w:r>
      <w:r w:rsidR="6E14A06E" w:rsidRPr="1B23B6AA">
        <w:rPr>
          <w:color w:val="auto"/>
        </w:rPr>
        <w:t xml:space="preserve">EOPOs </w:t>
      </w:r>
      <w:r w:rsidRPr="1B23B6AA">
        <w:rPr>
          <w:color w:val="auto"/>
        </w:rPr>
        <w:t>to this degree.</w:t>
      </w:r>
    </w:p>
    <w:p w14:paraId="2AE9A407" w14:textId="0E6E21D0" w:rsidR="008849ED" w:rsidRDefault="2EC122BF" w:rsidP="1B23B6AA">
      <w:pPr>
        <w:jc w:val="both"/>
        <w:rPr>
          <w:rFonts w:ascii="Arial" w:eastAsia="Arial" w:hAnsi="Arial" w:cs="Arial"/>
        </w:rPr>
      </w:pPr>
      <w:r w:rsidRPr="52E2F618">
        <w:rPr>
          <w:color w:val="auto"/>
        </w:rPr>
        <w:t xml:space="preserve">On the original </w:t>
      </w:r>
      <w:r w:rsidRPr="52E2F618">
        <w:rPr>
          <w:b/>
          <w:bCs/>
          <w:color w:val="auto"/>
        </w:rPr>
        <w:t>PFM-related EOPO, despite efforts, ACCESS was ultimately not effective.</w:t>
      </w:r>
      <w:r w:rsidRPr="52E2F618">
        <w:rPr>
          <w:color w:val="auto"/>
        </w:rPr>
        <w:t xml:space="preserve"> </w:t>
      </w:r>
      <w:r w:rsidRPr="52E2F618">
        <w:rPr>
          <w:rFonts w:ascii="Arial" w:eastAsia="Arial" w:hAnsi="Arial" w:cs="Arial"/>
        </w:rPr>
        <w:t xml:space="preserve">On the best available evidence, ACCESS made only minor progress against the original PFM EOPO. Securing an agreement in Year 1 for MEF to cover the DSA of RGC official participation in ACCESS is a prominent achievement. In the face of setbacks, ACCESS has also elevated the agenda within the </w:t>
      </w:r>
      <w:proofErr w:type="gramStart"/>
      <w:r w:rsidRPr="52E2F618">
        <w:rPr>
          <w:rFonts w:ascii="Arial" w:eastAsia="Arial" w:hAnsi="Arial" w:cs="Arial"/>
        </w:rPr>
        <w:t>two line</w:t>
      </w:r>
      <w:proofErr w:type="gramEnd"/>
      <w:r w:rsidRPr="52E2F618">
        <w:rPr>
          <w:rFonts w:ascii="Arial" w:eastAsia="Arial" w:hAnsi="Arial" w:cs="Arial"/>
        </w:rPr>
        <w:t xml:space="preserve"> ministries, MEF and subnational officials about the need to finance disability and GBV services. </w:t>
      </w:r>
      <w:r w:rsidRPr="00956E42">
        <w:rPr>
          <w:rFonts w:ascii="Arial" w:eastAsia="Arial" w:hAnsi="Arial" w:cs="Arial"/>
        </w:rPr>
        <w:t>However,</w:t>
      </w:r>
      <w:r w:rsidR="365BE790" w:rsidRPr="00956E42">
        <w:rPr>
          <w:rFonts w:ascii="Arial" w:eastAsia="Arial" w:hAnsi="Arial" w:cs="Arial"/>
        </w:rPr>
        <w:t xml:space="preserve"> a </w:t>
      </w:r>
      <w:r w:rsidRPr="00956E42">
        <w:rPr>
          <w:rFonts w:ascii="Arial" w:eastAsia="Arial" w:hAnsi="Arial" w:cs="Arial"/>
          <w:b/>
          <w:bCs/>
        </w:rPr>
        <w:t xml:space="preserve">strategy more focused on </w:t>
      </w:r>
      <w:r w:rsidR="00DE7E66" w:rsidRPr="00956E42">
        <w:rPr>
          <w:rFonts w:ascii="Arial" w:eastAsia="Arial" w:hAnsi="Arial" w:cs="Arial"/>
          <w:b/>
          <w:bCs/>
        </w:rPr>
        <w:t xml:space="preserve">working with </w:t>
      </w:r>
      <w:r w:rsidRPr="00956E42">
        <w:rPr>
          <w:rFonts w:ascii="Arial" w:eastAsia="Arial" w:hAnsi="Arial" w:cs="Arial"/>
          <w:b/>
          <w:bCs/>
        </w:rPr>
        <w:t xml:space="preserve">MEF, than supporting </w:t>
      </w:r>
      <w:proofErr w:type="spellStart"/>
      <w:r w:rsidRPr="00956E42">
        <w:rPr>
          <w:rFonts w:ascii="Arial" w:eastAsia="Arial" w:hAnsi="Arial" w:cs="Arial"/>
          <w:b/>
          <w:bCs/>
        </w:rPr>
        <w:t>MoSVY</w:t>
      </w:r>
      <w:proofErr w:type="spellEnd"/>
      <w:r w:rsidRPr="00956E42">
        <w:rPr>
          <w:rFonts w:ascii="Arial" w:eastAsia="Arial" w:hAnsi="Arial" w:cs="Arial"/>
          <w:b/>
          <w:bCs/>
        </w:rPr>
        <w:t xml:space="preserve"> and </w:t>
      </w:r>
      <w:proofErr w:type="spellStart"/>
      <w:r w:rsidRPr="00956E42">
        <w:rPr>
          <w:rFonts w:ascii="Arial" w:eastAsia="Arial" w:hAnsi="Arial" w:cs="Arial"/>
          <w:b/>
          <w:bCs/>
        </w:rPr>
        <w:t>MoWA</w:t>
      </w:r>
      <w:proofErr w:type="spellEnd"/>
      <w:r w:rsidRPr="00956E42">
        <w:rPr>
          <w:rFonts w:ascii="Arial" w:eastAsia="Arial" w:hAnsi="Arial" w:cs="Arial"/>
          <w:b/>
          <w:bCs/>
        </w:rPr>
        <w:t xml:space="preserve"> in the preparation and defences of their own budgets, was required</w:t>
      </w:r>
      <w:r w:rsidRPr="00956E42">
        <w:rPr>
          <w:rFonts w:ascii="Arial" w:eastAsia="Arial" w:hAnsi="Arial" w:cs="Arial"/>
        </w:rPr>
        <w:t>.</w:t>
      </w:r>
      <w:r w:rsidRPr="52E2F618">
        <w:rPr>
          <w:rFonts w:ascii="Arial" w:eastAsia="Arial" w:hAnsi="Arial" w:cs="Arial"/>
        </w:rPr>
        <w:t xml:space="preserve"> The gradual shift to exploring options for financing at the subnational level demonstrates the program’s awareness of financing as key to sustainable service delivery. However, the social affairs budget lines managed by the subnational level are limited in value and are in demand from many services including health and education.</w:t>
      </w:r>
    </w:p>
    <w:p w14:paraId="64DCF873" w14:textId="724A0F7A" w:rsidR="008849ED" w:rsidRPr="00161CA4" w:rsidRDefault="008849ED" w:rsidP="1B23B6AA">
      <w:pPr>
        <w:jc w:val="both"/>
        <w:rPr>
          <w:rFonts w:ascii="Arial" w:eastAsia="Arial" w:hAnsi="Arial" w:cs="Arial"/>
        </w:rPr>
      </w:pPr>
      <w:r w:rsidRPr="1B23B6AA">
        <w:rPr>
          <w:rFonts w:ascii="Arial" w:eastAsia="Arial" w:hAnsi="Arial" w:cs="Arial"/>
        </w:rPr>
        <w:t xml:space="preserve">On the </w:t>
      </w:r>
      <w:r w:rsidRPr="00106C87">
        <w:rPr>
          <w:rFonts w:ascii="Arial" w:eastAsia="Arial" w:hAnsi="Arial" w:cs="Arial"/>
          <w:b/>
          <w:bCs/>
        </w:rPr>
        <w:t>EOPO relating to services, ACCESS was effective in improving the coverage and quality of services, while effectiveness was limited</w:t>
      </w:r>
      <w:r w:rsidRPr="1B23B6AA">
        <w:rPr>
          <w:rFonts w:ascii="Arial" w:eastAsia="Arial" w:hAnsi="Arial" w:cs="Arial"/>
          <w:b/>
          <w:bCs/>
        </w:rPr>
        <w:t xml:space="preserve"> in terms of inclusiveness. </w:t>
      </w:r>
      <w:r w:rsidRPr="00106C87">
        <w:rPr>
          <w:rFonts w:ascii="Arial" w:eastAsia="Arial" w:hAnsi="Arial" w:cs="Arial"/>
        </w:rPr>
        <w:t xml:space="preserve">The program exceeded its own client target numbers, and it quickly re-established case numbers after lockdowns. ACCESS technical leads and </w:t>
      </w:r>
      <w:r w:rsidR="146FD245" w:rsidRPr="1B23B6AA">
        <w:rPr>
          <w:rFonts w:ascii="Arial" w:eastAsia="Arial" w:hAnsi="Arial" w:cs="Arial"/>
        </w:rPr>
        <w:t>IPs</w:t>
      </w:r>
      <w:r w:rsidRPr="00106C87">
        <w:rPr>
          <w:rFonts w:ascii="Arial" w:eastAsia="Arial" w:hAnsi="Arial" w:cs="Arial"/>
        </w:rPr>
        <w:t xml:space="preserve"> for disability and GBV led and facilitated partner input into the development of sectoral and facility-based guidelines and standards, such as for PRC management and for GBV essential service standards – thus making a major contribution to quality. </w:t>
      </w:r>
      <w:r w:rsidRPr="1B23B6AA">
        <w:rPr>
          <w:rFonts w:ascii="Arial" w:eastAsia="Arial" w:hAnsi="Arial" w:cs="Arial"/>
        </w:rPr>
        <w:t xml:space="preserve">The combination of </w:t>
      </w:r>
      <w:r w:rsidR="00AD02D6">
        <w:rPr>
          <w:rFonts w:ascii="Arial" w:eastAsia="Arial" w:hAnsi="Arial" w:cs="Arial"/>
        </w:rPr>
        <w:t>ACCESS’</w:t>
      </w:r>
      <w:r w:rsidR="009F2B4C">
        <w:rPr>
          <w:rFonts w:ascii="Arial" w:eastAsia="Arial" w:hAnsi="Arial" w:cs="Arial"/>
        </w:rPr>
        <w:t>s</w:t>
      </w:r>
      <w:r w:rsidRPr="1B23B6AA">
        <w:rPr>
          <w:rFonts w:ascii="Arial" w:eastAsia="Arial" w:hAnsi="Arial" w:cs="Arial"/>
        </w:rPr>
        <w:t xml:space="preserve"> technical assistance to the RGC on the enabling environment, complemented by IP work on subnational service delivery has been an effective strategy for advancing the coverage and quality. </w:t>
      </w:r>
    </w:p>
    <w:p w14:paraId="709A14BC" w14:textId="247C03FE" w:rsidR="00161CA4" w:rsidRDefault="008849ED" w:rsidP="1B23B6AA">
      <w:pPr>
        <w:jc w:val="both"/>
        <w:rPr>
          <w:rFonts w:ascii="Arial" w:eastAsia="Arial" w:hAnsi="Arial" w:cs="Arial"/>
        </w:rPr>
      </w:pPr>
      <w:r w:rsidRPr="00106C87">
        <w:rPr>
          <w:rFonts w:ascii="Arial" w:eastAsia="Arial" w:hAnsi="Arial" w:cs="Arial"/>
        </w:rPr>
        <w:lastRenderedPageBreak/>
        <w:t>Inclusive</w:t>
      </w:r>
      <w:r w:rsidR="007F31E8" w:rsidRPr="00106C87">
        <w:rPr>
          <w:rFonts w:ascii="Arial" w:eastAsia="Arial" w:hAnsi="Arial" w:cs="Arial"/>
        </w:rPr>
        <w:t xml:space="preserve">ness in </w:t>
      </w:r>
      <w:r w:rsidR="007F31E8" w:rsidRPr="007F3007">
        <w:rPr>
          <w:rFonts w:ascii="Arial" w:eastAsia="Arial" w:hAnsi="Arial" w:cs="Arial"/>
          <w:i/>
          <w:iCs/>
        </w:rPr>
        <w:t>service delivery</w:t>
      </w:r>
      <w:r w:rsidR="007F31E8" w:rsidRPr="00106C87">
        <w:rPr>
          <w:rFonts w:ascii="Arial" w:eastAsia="Arial" w:hAnsi="Arial" w:cs="Arial"/>
        </w:rPr>
        <w:t xml:space="preserve"> was most</w:t>
      </w:r>
      <w:r w:rsidR="00B262A1">
        <w:rPr>
          <w:rFonts w:ascii="Arial" w:eastAsia="Arial" w:hAnsi="Arial" w:cs="Arial"/>
        </w:rPr>
        <w:t xml:space="preserve"> significant in t</w:t>
      </w:r>
      <w:r w:rsidR="007F31E8" w:rsidRPr="00106C87">
        <w:rPr>
          <w:rFonts w:ascii="Arial" w:eastAsia="Arial" w:hAnsi="Arial" w:cs="Arial"/>
        </w:rPr>
        <w:t xml:space="preserve">he work of CARE Cambodia with </w:t>
      </w:r>
      <w:r w:rsidR="008C6896">
        <w:rPr>
          <w:rFonts w:ascii="Arial" w:eastAsia="Arial" w:hAnsi="Arial" w:cs="Arial"/>
        </w:rPr>
        <w:t>I</w:t>
      </w:r>
      <w:r w:rsidR="007F31E8" w:rsidRPr="00106C87">
        <w:rPr>
          <w:rFonts w:ascii="Arial" w:eastAsia="Arial" w:hAnsi="Arial" w:cs="Arial"/>
        </w:rPr>
        <w:t xml:space="preserve">ndigenous populations in </w:t>
      </w:r>
      <w:proofErr w:type="spellStart"/>
      <w:r w:rsidR="007F31E8" w:rsidRPr="00106C87">
        <w:rPr>
          <w:rFonts w:ascii="Arial" w:eastAsia="Arial" w:hAnsi="Arial" w:cs="Arial"/>
        </w:rPr>
        <w:t>Ratanakiri</w:t>
      </w:r>
      <w:proofErr w:type="spellEnd"/>
      <w:r w:rsidR="007F31E8" w:rsidRPr="00106C87">
        <w:rPr>
          <w:rFonts w:ascii="Arial" w:eastAsia="Arial" w:hAnsi="Arial" w:cs="Arial"/>
        </w:rPr>
        <w:t xml:space="preserve"> province</w:t>
      </w:r>
      <w:r w:rsidR="00B262A1">
        <w:rPr>
          <w:rFonts w:ascii="Arial" w:eastAsia="Arial" w:hAnsi="Arial" w:cs="Arial"/>
        </w:rPr>
        <w:t xml:space="preserve">. </w:t>
      </w:r>
      <w:r w:rsidR="00B262A1" w:rsidRPr="00B262A1">
        <w:rPr>
          <w:rFonts w:ascii="Arial" w:eastAsia="Arial" w:hAnsi="Arial" w:cs="Arial"/>
        </w:rPr>
        <w:t>LAC and CWCC</w:t>
      </w:r>
      <w:r w:rsidR="00B262A1">
        <w:rPr>
          <w:rFonts w:ascii="Arial" w:eastAsia="Arial" w:hAnsi="Arial" w:cs="Arial"/>
        </w:rPr>
        <w:t xml:space="preserve"> supported </w:t>
      </w:r>
      <w:r w:rsidR="00B262A1" w:rsidRPr="00B262A1">
        <w:rPr>
          <w:rFonts w:ascii="Arial" w:eastAsia="Arial" w:hAnsi="Arial" w:cs="Arial"/>
        </w:rPr>
        <w:t xml:space="preserve">women with disabilities who </w:t>
      </w:r>
      <w:r w:rsidR="00B262A1">
        <w:rPr>
          <w:rFonts w:ascii="Arial" w:eastAsia="Arial" w:hAnsi="Arial" w:cs="Arial"/>
        </w:rPr>
        <w:t xml:space="preserve">were </w:t>
      </w:r>
      <w:r w:rsidR="00B262A1" w:rsidRPr="00B262A1">
        <w:rPr>
          <w:rFonts w:ascii="Arial" w:eastAsia="Arial" w:hAnsi="Arial" w:cs="Arial"/>
        </w:rPr>
        <w:t>experienc</w:t>
      </w:r>
      <w:r w:rsidR="00B262A1">
        <w:rPr>
          <w:rFonts w:ascii="Arial" w:eastAsia="Arial" w:hAnsi="Arial" w:cs="Arial"/>
        </w:rPr>
        <w:t>ing</w:t>
      </w:r>
      <w:r w:rsidR="00B262A1" w:rsidRPr="00B262A1">
        <w:rPr>
          <w:rFonts w:ascii="Arial" w:eastAsia="Arial" w:hAnsi="Arial" w:cs="Arial"/>
        </w:rPr>
        <w:t xml:space="preserve"> violence</w:t>
      </w:r>
      <w:r w:rsidR="00B262A1">
        <w:rPr>
          <w:rFonts w:ascii="Arial" w:eastAsia="Arial" w:hAnsi="Arial" w:cs="Arial"/>
        </w:rPr>
        <w:t xml:space="preserve"> in their service outreach</w:t>
      </w:r>
      <w:r w:rsidR="00B262A1" w:rsidRPr="00B262A1">
        <w:rPr>
          <w:rFonts w:ascii="Arial" w:eastAsia="Arial" w:hAnsi="Arial" w:cs="Arial"/>
        </w:rPr>
        <w:t>.</w:t>
      </w:r>
      <w:r w:rsidR="00B262A1">
        <w:rPr>
          <w:rFonts w:ascii="Arial" w:eastAsia="Arial" w:hAnsi="Arial" w:cs="Arial"/>
        </w:rPr>
        <w:t xml:space="preserve"> </w:t>
      </w:r>
      <w:r w:rsidRPr="1B23B6AA">
        <w:rPr>
          <w:rFonts w:ascii="Arial" w:eastAsia="Arial" w:hAnsi="Arial" w:cs="Arial"/>
        </w:rPr>
        <w:t>Inclusiveness in terms of gender responsiveness</w:t>
      </w:r>
      <w:r w:rsidR="00B262A1">
        <w:rPr>
          <w:rFonts w:ascii="Arial" w:eastAsia="Arial" w:hAnsi="Arial" w:cs="Arial"/>
        </w:rPr>
        <w:t xml:space="preserve"> (beyond GBV)</w:t>
      </w:r>
      <w:r w:rsidRPr="1B23B6AA">
        <w:rPr>
          <w:rFonts w:ascii="Arial" w:eastAsia="Arial" w:hAnsi="Arial" w:cs="Arial"/>
        </w:rPr>
        <w:t xml:space="preserve"> and disability inclusiveness, and attention to diversity in disabilities has </w:t>
      </w:r>
      <w:r w:rsidR="007F31E8" w:rsidRPr="1B23B6AA">
        <w:rPr>
          <w:rFonts w:ascii="Arial" w:eastAsia="Arial" w:hAnsi="Arial" w:cs="Arial"/>
        </w:rPr>
        <w:t xml:space="preserve">been more limited, albeit </w:t>
      </w:r>
      <w:r w:rsidRPr="1B23B6AA">
        <w:rPr>
          <w:rFonts w:ascii="Arial" w:eastAsia="Arial" w:hAnsi="Arial" w:cs="Arial"/>
        </w:rPr>
        <w:t>increas</w:t>
      </w:r>
      <w:r w:rsidR="007F31E8" w:rsidRPr="1B23B6AA">
        <w:rPr>
          <w:rFonts w:ascii="Arial" w:eastAsia="Arial" w:hAnsi="Arial" w:cs="Arial"/>
        </w:rPr>
        <w:t>ing</w:t>
      </w:r>
      <w:r w:rsidRPr="1B23B6AA">
        <w:rPr>
          <w:rFonts w:ascii="Arial" w:eastAsia="Arial" w:hAnsi="Arial" w:cs="Arial"/>
        </w:rPr>
        <w:t xml:space="preserve"> over time</w:t>
      </w:r>
      <w:r w:rsidR="162F7151" w:rsidRPr="1B23B6AA">
        <w:rPr>
          <w:rFonts w:ascii="Arial" w:eastAsia="Arial" w:hAnsi="Arial" w:cs="Arial"/>
        </w:rPr>
        <w:t>, with examples such as the commissioning of the study on autism.</w:t>
      </w:r>
      <w:r w:rsidR="007F31E8" w:rsidRPr="1B23B6AA">
        <w:rPr>
          <w:rFonts w:ascii="Arial" w:eastAsia="Arial" w:hAnsi="Arial" w:cs="Arial"/>
        </w:rPr>
        <w:t xml:space="preserve"> </w:t>
      </w:r>
      <w:r w:rsidR="00161CA4" w:rsidRPr="1B23B6AA">
        <w:rPr>
          <w:rFonts w:ascii="Arial" w:eastAsia="Arial" w:hAnsi="Arial" w:cs="Arial"/>
        </w:rPr>
        <w:t xml:space="preserve">The initiative taken by </w:t>
      </w:r>
      <w:r w:rsidR="4B419179" w:rsidRPr="1B23B6AA">
        <w:rPr>
          <w:rFonts w:ascii="Arial" w:eastAsia="Arial" w:hAnsi="Arial" w:cs="Arial"/>
        </w:rPr>
        <w:t xml:space="preserve">IPs </w:t>
      </w:r>
      <w:r w:rsidR="29A10946" w:rsidRPr="1B23B6AA">
        <w:rPr>
          <w:rFonts w:ascii="Arial" w:eastAsia="Arial" w:hAnsi="Arial" w:cs="Arial"/>
        </w:rPr>
        <w:t>Action on Disability and Development International (</w:t>
      </w:r>
      <w:r w:rsidR="00161CA4" w:rsidRPr="1B23B6AA">
        <w:rPr>
          <w:rFonts w:ascii="Arial" w:eastAsia="Arial" w:hAnsi="Arial" w:cs="Arial"/>
        </w:rPr>
        <w:t>ADD</w:t>
      </w:r>
      <w:r w:rsidR="72668665" w:rsidRPr="1B23B6AA">
        <w:rPr>
          <w:rFonts w:ascii="Arial" w:eastAsia="Arial" w:hAnsi="Arial" w:cs="Arial"/>
        </w:rPr>
        <w:t>)</w:t>
      </w:r>
      <w:r w:rsidR="00161CA4" w:rsidRPr="1B23B6AA">
        <w:rPr>
          <w:rFonts w:ascii="Arial" w:eastAsia="Arial" w:hAnsi="Arial" w:cs="Arial"/>
        </w:rPr>
        <w:t xml:space="preserve"> and </w:t>
      </w:r>
      <w:r w:rsidR="185AF918" w:rsidRPr="1B23B6AA">
        <w:rPr>
          <w:rFonts w:ascii="Arial" w:eastAsia="Arial" w:hAnsi="Arial" w:cs="Arial"/>
        </w:rPr>
        <w:t>the Cambodian Women and Children’s Crisis Centre (</w:t>
      </w:r>
      <w:r w:rsidR="00161CA4" w:rsidRPr="1B23B6AA">
        <w:rPr>
          <w:rFonts w:ascii="Arial" w:eastAsia="Arial" w:hAnsi="Arial" w:cs="Arial"/>
        </w:rPr>
        <w:t>CWCC</w:t>
      </w:r>
      <w:r w:rsidR="14B2076D" w:rsidRPr="1B23B6AA">
        <w:rPr>
          <w:rFonts w:ascii="Arial" w:eastAsia="Arial" w:hAnsi="Arial" w:cs="Arial"/>
        </w:rPr>
        <w:t>)</w:t>
      </w:r>
      <w:r w:rsidR="00161CA4" w:rsidRPr="1B23B6AA">
        <w:rPr>
          <w:rFonts w:ascii="Arial" w:eastAsia="Arial" w:hAnsi="Arial" w:cs="Arial"/>
        </w:rPr>
        <w:t xml:space="preserve"> to collaborate on the development of a training package and integration of gender-responsiveness and disability inclusiveness is notable.</w:t>
      </w:r>
      <w:r w:rsidR="00B262A1">
        <w:rPr>
          <w:rFonts w:ascii="Arial" w:eastAsia="Arial" w:hAnsi="Arial" w:cs="Arial"/>
        </w:rPr>
        <w:t xml:space="preserve"> </w:t>
      </w:r>
      <w:r w:rsidR="00B262A1" w:rsidRPr="00B262A1">
        <w:rPr>
          <w:rFonts w:ascii="Arial" w:eastAsia="Arial" w:hAnsi="Arial" w:cs="Arial"/>
        </w:rPr>
        <w:t xml:space="preserve">Other IPs </w:t>
      </w:r>
      <w:r w:rsidR="00B262A1">
        <w:rPr>
          <w:rFonts w:ascii="Arial" w:eastAsia="Arial" w:hAnsi="Arial" w:cs="Arial"/>
        </w:rPr>
        <w:t xml:space="preserve">that </w:t>
      </w:r>
      <w:r w:rsidR="00B262A1" w:rsidRPr="00B262A1">
        <w:rPr>
          <w:rFonts w:ascii="Arial" w:eastAsia="Arial" w:hAnsi="Arial" w:cs="Arial"/>
        </w:rPr>
        <w:t>paid attention to inclusiveness in their work</w:t>
      </w:r>
      <w:r w:rsidR="00B262A1">
        <w:rPr>
          <w:rFonts w:ascii="Arial" w:eastAsia="Arial" w:hAnsi="Arial" w:cs="Arial"/>
        </w:rPr>
        <w:t xml:space="preserve"> </w:t>
      </w:r>
      <w:proofErr w:type="gramStart"/>
      <w:r w:rsidR="00B262A1">
        <w:rPr>
          <w:rFonts w:ascii="Arial" w:eastAsia="Arial" w:hAnsi="Arial" w:cs="Arial"/>
        </w:rPr>
        <w:t>include:</w:t>
      </w:r>
      <w:proofErr w:type="gramEnd"/>
      <w:r w:rsidR="00B262A1">
        <w:rPr>
          <w:rFonts w:ascii="Arial" w:eastAsia="Arial" w:hAnsi="Arial" w:cs="Arial"/>
        </w:rPr>
        <w:t xml:space="preserve"> </w:t>
      </w:r>
      <w:r w:rsidR="00B262A1" w:rsidRPr="00B262A1">
        <w:rPr>
          <w:rFonts w:ascii="Arial" w:eastAsia="Arial" w:hAnsi="Arial" w:cs="Arial"/>
        </w:rPr>
        <w:t xml:space="preserve">HI and CDPO both partnered with Banteay </w:t>
      </w:r>
      <w:proofErr w:type="spellStart"/>
      <w:r w:rsidR="00B262A1" w:rsidRPr="00B262A1">
        <w:rPr>
          <w:rFonts w:ascii="Arial" w:eastAsia="Arial" w:hAnsi="Arial" w:cs="Arial"/>
        </w:rPr>
        <w:t>Srey</w:t>
      </w:r>
      <w:proofErr w:type="spellEnd"/>
      <w:r w:rsidR="00B262A1" w:rsidRPr="00B262A1">
        <w:rPr>
          <w:rFonts w:ascii="Arial" w:eastAsia="Arial" w:hAnsi="Arial" w:cs="Arial"/>
        </w:rPr>
        <w:t xml:space="preserve"> to conduct gender equality training to PRC staff/OPD members</w:t>
      </w:r>
      <w:r w:rsidR="00B262A1">
        <w:rPr>
          <w:rFonts w:ascii="Arial" w:eastAsia="Arial" w:hAnsi="Arial" w:cs="Arial"/>
        </w:rPr>
        <w:t>;</w:t>
      </w:r>
      <w:r w:rsidR="00B262A1" w:rsidRPr="00B262A1">
        <w:rPr>
          <w:rFonts w:ascii="Arial" w:eastAsia="Arial" w:hAnsi="Arial" w:cs="Arial"/>
        </w:rPr>
        <w:t xml:space="preserve"> TAF consulted </w:t>
      </w:r>
      <w:r w:rsidR="00B262A1">
        <w:rPr>
          <w:rFonts w:ascii="Arial" w:eastAsia="Arial" w:hAnsi="Arial" w:cs="Arial"/>
        </w:rPr>
        <w:t xml:space="preserve">the </w:t>
      </w:r>
      <w:r w:rsidR="00B262A1" w:rsidRPr="00B262A1">
        <w:rPr>
          <w:rFonts w:ascii="Arial" w:eastAsia="Arial" w:hAnsi="Arial" w:cs="Arial"/>
        </w:rPr>
        <w:t>ACCESS disability team to ensure that their communication materials were accessible to persons with disabilities</w:t>
      </w:r>
      <w:r w:rsidR="00B262A1">
        <w:rPr>
          <w:rFonts w:ascii="Arial" w:eastAsia="Arial" w:hAnsi="Arial" w:cs="Arial"/>
        </w:rPr>
        <w:t xml:space="preserve">. The </w:t>
      </w:r>
      <w:r w:rsidR="00734D8A">
        <w:t xml:space="preserve">Internal Rapid Review </w:t>
      </w:r>
      <w:r w:rsidR="00161E46">
        <w:t xml:space="preserve">(2020) </w:t>
      </w:r>
      <w:r w:rsidR="00B262A1">
        <w:rPr>
          <w:rFonts w:ascii="Arial" w:eastAsia="Arial" w:hAnsi="Arial" w:cs="Arial"/>
        </w:rPr>
        <w:t xml:space="preserve">recommended that ACCESS invest in support to services for women with disabilities. ACCESS then commissioned </w:t>
      </w:r>
      <w:proofErr w:type="spellStart"/>
      <w:r w:rsidR="00B262A1">
        <w:rPr>
          <w:rFonts w:ascii="Arial" w:eastAsia="Arial" w:hAnsi="Arial" w:cs="Arial"/>
        </w:rPr>
        <w:t>PAfID</w:t>
      </w:r>
      <w:proofErr w:type="spellEnd"/>
      <w:r w:rsidR="00B262A1">
        <w:rPr>
          <w:rFonts w:ascii="Arial" w:eastAsia="Arial" w:hAnsi="Arial" w:cs="Arial"/>
        </w:rPr>
        <w:t xml:space="preserve"> to conduct a study exploring women’s access to rehabilitation services. This was published in July 2022.  </w:t>
      </w:r>
    </w:p>
    <w:p w14:paraId="769C0C01" w14:textId="53DBD6E2" w:rsidR="008849ED" w:rsidRDefault="00161CA4" w:rsidP="00106C87">
      <w:pPr>
        <w:jc w:val="both"/>
        <w:rPr>
          <w:rFonts w:ascii="Arial" w:eastAsia="Arial" w:hAnsi="Arial" w:cs="Arial"/>
          <w:szCs w:val="20"/>
        </w:rPr>
      </w:pPr>
      <w:r>
        <w:rPr>
          <w:rFonts w:ascii="Arial" w:eastAsia="Arial" w:hAnsi="Arial" w:cs="Arial"/>
          <w:szCs w:val="20"/>
        </w:rPr>
        <w:t>More on inclusiveness could have been done earlier in the program, but this was somewhat hampered by a lack of specialist resourcing</w:t>
      </w:r>
      <w:r w:rsidR="004C029F">
        <w:rPr>
          <w:rFonts w:ascii="Arial" w:eastAsia="Arial" w:hAnsi="Arial" w:cs="Arial"/>
          <w:szCs w:val="20"/>
        </w:rPr>
        <w:t xml:space="preserve"> on staff from the outset. </w:t>
      </w:r>
      <w:r w:rsidR="007F31E8" w:rsidRPr="00161CA4">
        <w:rPr>
          <w:rFonts w:ascii="Arial" w:eastAsia="Arial" w:hAnsi="Arial" w:cs="Arial"/>
          <w:szCs w:val="20"/>
        </w:rPr>
        <w:t xml:space="preserve">ACCESS commissioned </w:t>
      </w:r>
      <w:r w:rsidR="004C029F">
        <w:rPr>
          <w:rFonts w:ascii="Arial" w:eastAsia="Arial" w:hAnsi="Arial" w:cs="Arial"/>
          <w:szCs w:val="20"/>
        </w:rPr>
        <w:t xml:space="preserve">a consultant to develop a GESI strategy early in the program, which was followed by </w:t>
      </w:r>
      <w:r w:rsidR="007F31E8" w:rsidRPr="00161CA4">
        <w:rPr>
          <w:rFonts w:ascii="Arial" w:eastAsia="Arial" w:hAnsi="Arial" w:cs="Arial"/>
          <w:szCs w:val="20"/>
        </w:rPr>
        <w:t>two gender equality and social</w:t>
      </w:r>
      <w:r w:rsidR="007F31E8">
        <w:rPr>
          <w:rFonts w:ascii="Arial" w:eastAsia="Arial" w:hAnsi="Arial" w:cs="Arial"/>
          <w:szCs w:val="20"/>
        </w:rPr>
        <w:t xml:space="preserve"> inclusion (GESI) reviews </w:t>
      </w:r>
      <w:r>
        <w:rPr>
          <w:rFonts w:ascii="Arial" w:eastAsia="Arial" w:hAnsi="Arial" w:cs="Arial"/>
          <w:szCs w:val="20"/>
        </w:rPr>
        <w:t>of</w:t>
      </w:r>
      <w:r w:rsidR="007F31E8">
        <w:rPr>
          <w:rFonts w:ascii="Arial" w:eastAsia="Arial" w:hAnsi="Arial" w:cs="Arial"/>
          <w:szCs w:val="20"/>
        </w:rPr>
        <w:t xml:space="preserve"> the program</w:t>
      </w:r>
      <w:r w:rsidR="004C029F">
        <w:rPr>
          <w:rFonts w:ascii="Arial" w:eastAsia="Arial" w:hAnsi="Arial" w:cs="Arial"/>
          <w:szCs w:val="20"/>
        </w:rPr>
        <w:t>.</w:t>
      </w:r>
      <w:r w:rsidR="007F31E8">
        <w:rPr>
          <w:rFonts w:ascii="Arial" w:eastAsia="Arial" w:hAnsi="Arial" w:cs="Arial"/>
          <w:szCs w:val="20"/>
        </w:rPr>
        <w:t xml:space="preserve"> </w:t>
      </w:r>
      <w:r w:rsidR="004C029F">
        <w:rPr>
          <w:rFonts w:ascii="Arial" w:eastAsia="Arial" w:hAnsi="Arial" w:cs="Arial"/>
          <w:szCs w:val="20"/>
        </w:rPr>
        <w:t xml:space="preserve">A Senior GESI Officer was appointed in the final year of Phase 1, with a workplan in place by January 2021. </w:t>
      </w:r>
    </w:p>
    <w:p w14:paraId="2ED36080" w14:textId="7EEFDD06" w:rsidR="008849ED" w:rsidRDefault="007F31E8" w:rsidP="008849ED">
      <w:pPr>
        <w:spacing w:after="120"/>
        <w:jc w:val="both"/>
        <w:rPr>
          <w:rFonts w:ascii="Arial" w:eastAsia="Arial" w:hAnsi="Arial" w:cs="Arial"/>
          <w:szCs w:val="20"/>
        </w:rPr>
      </w:pPr>
      <w:r>
        <w:rPr>
          <w:rFonts w:ascii="Arial" w:eastAsia="Arial" w:hAnsi="Arial" w:cs="Arial"/>
          <w:szCs w:val="20"/>
        </w:rPr>
        <w:t xml:space="preserve">On a supplementary note, ACCESS has been effective in forging linkages with the RGC. </w:t>
      </w:r>
      <w:r w:rsidR="00AD02D6">
        <w:rPr>
          <w:rFonts w:ascii="Arial" w:eastAsia="Arial" w:hAnsi="Arial" w:cs="Arial"/>
          <w:szCs w:val="20"/>
        </w:rPr>
        <w:t>ACCESS’</w:t>
      </w:r>
      <w:r w:rsidR="009F2B4C">
        <w:rPr>
          <w:rFonts w:ascii="Arial" w:eastAsia="Arial" w:hAnsi="Arial" w:cs="Arial"/>
          <w:szCs w:val="20"/>
        </w:rPr>
        <w:t>s</w:t>
      </w:r>
      <w:r w:rsidR="008849ED" w:rsidRPr="0318F25C">
        <w:rPr>
          <w:rFonts w:ascii="Arial" w:eastAsia="Arial" w:hAnsi="Arial" w:cs="Arial"/>
          <w:szCs w:val="20"/>
        </w:rPr>
        <w:t xml:space="preserve"> </w:t>
      </w:r>
      <w:r>
        <w:rPr>
          <w:rFonts w:ascii="Arial" w:eastAsia="Arial" w:hAnsi="Arial" w:cs="Arial"/>
          <w:szCs w:val="20"/>
        </w:rPr>
        <w:t xml:space="preserve">high </w:t>
      </w:r>
      <w:r w:rsidR="008849ED" w:rsidRPr="0318F25C">
        <w:rPr>
          <w:rFonts w:ascii="Arial" w:eastAsia="Arial" w:hAnsi="Arial" w:cs="Arial"/>
          <w:szCs w:val="20"/>
        </w:rPr>
        <w:t>profile</w:t>
      </w:r>
      <w:r>
        <w:rPr>
          <w:rFonts w:ascii="Arial" w:eastAsia="Arial" w:hAnsi="Arial" w:cs="Arial"/>
          <w:szCs w:val="20"/>
        </w:rPr>
        <w:t xml:space="preserve"> as an inclusion program</w:t>
      </w:r>
      <w:r w:rsidR="008849ED" w:rsidRPr="0318F25C">
        <w:rPr>
          <w:rFonts w:ascii="Arial" w:eastAsia="Arial" w:hAnsi="Arial" w:cs="Arial"/>
          <w:szCs w:val="20"/>
        </w:rPr>
        <w:t xml:space="preserve"> and DFAT’s strong engagement has supported relationships to be built with RGC counterparts. </w:t>
      </w:r>
      <w:r w:rsidR="008849ED" w:rsidRPr="401877F5">
        <w:rPr>
          <w:rFonts w:ascii="Arial" w:eastAsia="Arial" w:hAnsi="Arial" w:cs="Arial"/>
        </w:rPr>
        <w:t xml:space="preserve">ACCESS has worked effectively with </w:t>
      </w:r>
      <w:proofErr w:type="spellStart"/>
      <w:r w:rsidR="008849ED" w:rsidRPr="401877F5">
        <w:rPr>
          <w:rFonts w:ascii="Arial" w:eastAsia="Arial" w:hAnsi="Arial" w:cs="Arial"/>
        </w:rPr>
        <w:t>MoSVY</w:t>
      </w:r>
      <w:proofErr w:type="spellEnd"/>
      <w:r w:rsidR="008849ED" w:rsidRPr="401877F5">
        <w:rPr>
          <w:rFonts w:ascii="Arial" w:eastAsia="Arial" w:hAnsi="Arial" w:cs="Arial"/>
        </w:rPr>
        <w:t xml:space="preserve"> and </w:t>
      </w:r>
      <w:proofErr w:type="spellStart"/>
      <w:r w:rsidR="008849ED" w:rsidRPr="401877F5">
        <w:rPr>
          <w:rFonts w:ascii="Arial" w:eastAsia="Arial" w:hAnsi="Arial" w:cs="Arial"/>
        </w:rPr>
        <w:t>MoWA</w:t>
      </w:r>
      <w:proofErr w:type="spellEnd"/>
      <w:r w:rsidR="008849ED" w:rsidRPr="401877F5">
        <w:rPr>
          <w:rFonts w:ascii="Arial" w:eastAsia="Arial" w:hAnsi="Arial" w:cs="Arial"/>
        </w:rPr>
        <w:t xml:space="preserve">, adapting to changes in structures and personnel (in the case of </w:t>
      </w:r>
      <w:proofErr w:type="spellStart"/>
      <w:r w:rsidR="008849ED" w:rsidRPr="401877F5">
        <w:rPr>
          <w:rFonts w:ascii="Arial" w:eastAsia="Arial" w:hAnsi="Arial" w:cs="Arial"/>
        </w:rPr>
        <w:t>MoSVY</w:t>
      </w:r>
      <w:proofErr w:type="spellEnd"/>
      <w:r w:rsidR="008849ED" w:rsidRPr="401877F5">
        <w:rPr>
          <w:rFonts w:ascii="Arial" w:eastAsia="Arial" w:hAnsi="Arial" w:cs="Arial"/>
        </w:rPr>
        <w:t>), being reformed-minded (such as on the draft Disability Law and limited use of mediation for GBV) while maintaining good working relationships, and working at a pace that is compatible for the two ministries. Progress has also been good in governments’ engagement in the ACCESS Steering Committee, and in the evolution of its membership to include Ministry of Interior (</w:t>
      </w:r>
      <w:proofErr w:type="spellStart"/>
      <w:r w:rsidR="008849ED" w:rsidRPr="401877F5">
        <w:rPr>
          <w:rFonts w:ascii="Arial" w:eastAsia="Arial" w:hAnsi="Arial" w:cs="Arial"/>
        </w:rPr>
        <w:t>MoI</w:t>
      </w:r>
      <w:proofErr w:type="spellEnd"/>
      <w:r w:rsidR="008849ED" w:rsidRPr="401877F5">
        <w:rPr>
          <w:rFonts w:ascii="Arial" w:eastAsia="Arial" w:hAnsi="Arial" w:cs="Arial"/>
        </w:rPr>
        <w:t>), Persons with Disabilities Foundation (PWDF) and Deputy Provincial Governors.</w:t>
      </w:r>
    </w:p>
    <w:p w14:paraId="57348B3B" w14:textId="173B93EB" w:rsidR="008849ED" w:rsidRDefault="007F31E8" w:rsidP="008849ED">
      <w:pPr>
        <w:spacing w:after="120"/>
        <w:jc w:val="both"/>
        <w:rPr>
          <w:rFonts w:ascii="Arial" w:eastAsia="Arial" w:hAnsi="Arial" w:cs="Arial"/>
          <w:szCs w:val="20"/>
        </w:rPr>
      </w:pPr>
      <w:r>
        <w:rPr>
          <w:rFonts w:ascii="Arial" w:eastAsia="Arial" w:hAnsi="Arial" w:cs="Arial"/>
          <w:szCs w:val="20"/>
        </w:rPr>
        <w:t>Beyond government, a</w:t>
      </w:r>
      <w:r w:rsidR="008849ED" w:rsidRPr="0318F25C">
        <w:rPr>
          <w:rFonts w:ascii="Arial" w:eastAsia="Arial" w:hAnsi="Arial" w:cs="Arial"/>
          <w:szCs w:val="20"/>
        </w:rPr>
        <w:t xml:space="preserve"> more collaborative, partnerships-based approach to IPs and adviser engagement could have better harnessed their expertise and increased </w:t>
      </w:r>
      <w:r w:rsidR="00AD02D6">
        <w:rPr>
          <w:rFonts w:ascii="Arial" w:eastAsia="Arial" w:hAnsi="Arial" w:cs="Arial"/>
          <w:szCs w:val="20"/>
        </w:rPr>
        <w:t>ACCESS’</w:t>
      </w:r>
      <w:r w:rsidR="009F2B4C">
        <w:rPr>
          <w:rFonts w:ascii="Arial" w:eastAsia="Arial" w:hAnsi="Arial" w:cs="Arial"/>
          <w:szCs w:val="20"/>
        </w:rPr>
        <w:t>s</w:t>
      </w:r>
      <w:r w:rsidR="008849ED" w:rsidRPr="0318F25C">
        <w:rPr>
          <w:rFonts w:ascii="Arial" w:eastAsia="Arial" w:hAnsi="Arial" w:cs="Arial"/>
          <w:szCs w:val="20"/>
        </w:rPr>
        <w:t xml:space="preserve"> collective impact.</w:t>
      </w:r>
      <w:r w:rsidR="008849ED">
        <w:rPr>
          <w:rFonts w:ascii="Arial" w:eastAsia="Arial" w:hAnsi="Arial" w:cs="Arial"/>
          <w:szCs w:val="20"/>
        </w:rPr>
        <w:t xml:space="preserve"> </w:t>
      </w:r>
      <w:r w:rsidR="00AD02D6">
        <w:rPr>
          <w:rFonts w:ascii="Arial" w:eastAsia="Arial" w:hAnsi="Arial" w:cs="Arial"/>
        </w:rPr>
        <w:t>ACCESS’</w:t>
      </w:r>
      <w:r w:rsidR="009F2B4C">
        <w:rPr>
          <w:rFonts w:ascii="Arial" w:eastAsia="Arial" w:hAnsi="Arial" w:cs="Arial"/>
        </w:rPr>
        <w:t>s</w:t>
      </w:r>
      <w:r w:rsidR="008849ED" w:rsidRPr="401877F5">
        <w:rPr>
          <w:rFonts w:ascii="Arial" w:eastAsia="Arial" w:hAnsi="Arial" w:cs="Arial"/>
        </w:rPr>
        <w:t xml:space="preserve"> work with the private sector is marginal, and mostly confined to the IPs in the disability workstream working on economic opportunities.</w:t>
      </w:r>
    </w:p>
    <w:p w14:paraId="2A4979FE" w14:textId="1F34113B" w:rsidR="008849ED" w:rsidRPr="00106C87" w:rsidRDefault="008849ED" w:rsidP="008849ED">
      <w:pPr>
        <w:spacing w:after="120"/>
        <w:jc w:val="both"/>
        <w:rPr>
          <w:rFonts w:ascii="Arial" w:eastAsia="Arial" w:hAnsi="Arial" w:cs="Arial"/>
          <w:b/>
          <w:bCs/>
          <w:i/>
          <w:iCs/>
          <w:szCs w:val="20"/>
        </w:rPr>
      </w:pPr>
      <w:r w:rsidRPr="001141B5">
        <w:rPr>
          <w:rStyle w:val="Heading2Char"/>
        </w:rPr>
        <w:t>Efficiency:</w:t>
      </w:r>
      <w:r w:rsidR="00815B52">
        <w:rPr>
          <w:rFonts w:ascii="Arial" w:eastAsia="Arial" w:hAnsi="Arial" w:cs="Arial"/>
          <w:b/>
          <w:bCs/>
          <w:color w:val="0070C0"/>
          <w:sz w:val="24"/>
        </w:rPr>
        <w:t xml:space="preserve"> </w:t>
      </w:r>
      <w:r w:rsidR="00161CA4" w:rsidRPr="00106C87">
        <w:rPr>
          <w:i/>
          <w:iCs/>
          <w:color w:val="auto"/>
          <w:szCs w:val="20"/>
        </w:rPr>
        <w:t>To what extent has ACCESS been an efficient and effective program model to deliver outcomes?  </w:t>
      </w:r>
    </w:p>
    <w:p w14:paraId="3D22465B" w14:textId="33CF8D52" w:rsidR="00797009" w:rsidRPr="00106C87" w:rsidRDefault="00797009" w:rsidP="1B23B6AA">
      <w:pPr>
        <w:spacing w:after="120"/>
        <w:jc w:val="both"/>
        <w:rPr>
          <w:rFonts w:cs="Arial"/>
        </w:rPr>
      </w:pPr>
      <w:r w:rsidRPr="00106C87">
        <w:rPr>
          <w:rFonts w:cs="Arial"/>
        </w:rPr>
        <w:t xml:space="preserve">Overall, the ACCESS </w:t>
      </w:r>
      <w:r w:rsidR="004C029F">
        <w:rPr>
          <w:rFonts w:cs="Arial"/>
        </w:rPr>
        <w:t>delivery modality</w:t>
      </w:r>
      <w:r w:rsidR="004C029F" w:rsidRPr="00106C87">
        <w:rPr>
          <w:rFonts w:cs="Arial"/>
        </w:rPr>
        <w:t xml:space="preserve"> </w:t>
      </w:r>
      <w:r w:rsidRPr="00106C87">
        <w:rPr>
          <w:rFonts w:cs="Arial"/>
        </w:rPr>
        <w:t xml:space="preserve">has not proven to be </w:t>
      </w:r>
      <w:r w:rsidRPr="1B23B6AA">
        <w:rPr>
          <w:rFonts w:cs="Arial"/>
        </w:rPr>
        <w:t>an</w:t>
      </w:r>
      <w:r w:rsidRPr="00106C87">
        <w:rPr>
          <w:rFonts w:cs="Arial"/>
        </w:rPr>
        <w:t xml:space="preserve"> efficient implementation approach. The competitive investment mechanism is </w:t>
      </w:r>
      <w:r w:rsidRPr="1B23B6AA">
        <w:rPr>
          <w:rFonts w:cs="Arial"/>
        </w:rPr>
        <w:t xml:space="preserve">the primary vehicle for the </w:t>
      </w:r>
      <w:r w:rsidRPr="00106C87">
        <w:rPr>
          <w:rFonts w:cs="Arial"/>
        </w:rPr>
        <w:t>achiev</w:t>
      </w:r>
      <w:r w:rsidRPr="1B23B6AA">
        <w:rPr>
          <w:rFonts w:cs="Arial"/>
        </w:rPr>
        <w:t>ement of service-related</w:t>
      </w:r>
      <w:r w:rsidRPr="00106C87">
        <w:rPr>
          <w:rFonts w:cs="Arial"/>
        </w:rPr>
        <w:t xml:space="preserve"> outcomes. However, this has resulted in the dispersal of relatively small grants (between AUD </w:t>
      </w:r>
      <w:r w:rsidR="4E39837C" w:rsidRPr="1B23B6AA">
        <w:rPr>
          <w:rFonts w:cs="Arial"/>
        </w:rPr>
        <w:t>2</w:t>
      </w:r>
      <w:r w:rsidRPr="00106C87">
        <w:rPr>
          <w:rFonts w:cs="Arial"/>
        </w:rPr>
        <w:t xml:space="preserve">00,000-600,000) </w:t>
      </w:r>
      <w:r w:rsidRPr="1B23B6AA">
        <w:rPr>
          <w:rFonts w:cs="Arial"/>
        </w:rPr>
        <w:t xml:space="preserve">to </w:t>
      </w:r>
      <w:r w:rsidRPr="00106C87">
        <w:rPr>
          <w:rFonts w:cs="Arial"/>
        </w:rPr>
        <w:t xml:space="preserve">14 partners </w:t>
      </w:r>
      <w:r w:rsidRPr="1B23B6AA">
        <w:rPr>
          <w:rFonts w:cs="Arial"/>
        </w:rPr>
        <w:t xml:space="preserve">who vary in strategic influence and capability, across </w:t>
      </w:r>
      <w:r w:rsidRPr="00106C87">
        <w:rPr>
          <w:rFonts w:cs="Arial"/>
        </w:rPr>
        <w:t xml:space="preserve">15 provinces. </w:t>
      </w:r>
      <w:r w:rsidRPr="1B23B6AA">
        <w:rPr>
          <w:rFonts w:cs="Arial"/>
        </w:rPr>
        <w:t xml:space="preserve">Some management and human resourcing efficiencies may have been anticipated in having a centralised grants window, rather than a broader programmatic approach for achieving outcomes. However, the model more resembles a ‘small bets’ approach working with a range of partners who, while vetted, have differing capability. This has undermined coherence, and ultimately, impact. </w:t>
      </w:r>
    </w:p>
    <w:p w14:paraId="448E1068" w14:textId="19956F71" w:rsidR="00161CA4" w:rsidRPr="00106C87" w:rsidRDefault="2782ED86" w:rsidP="1B23B6AA">
      <w:pPr>
        <w:spacing w:after="120"/>
        <w:jc w:val="both"/>
        <w:rPr>
          <w:rFonts w:cs="Arial"/>
        </w:rPr>
      </w:pPr>
      <w:r w:rsidRPr="52E2F618">
        <w:rPr>
          <w:rFonts w:cs="Arial"/>
        </w:rPr>
        <w:t>This judgement is not, however, a criticism of the ACCESS management and technical leads. This small t</w:t>
      </w:r>
      <w:r w:rsidR="2EC122BF" w:rsidRPr="52E2F618">
        <w:rPr>
          <w:rFonts w:cs="Arial"/>
        </w:rPr>
        <w:t xml:space="preserve">eam </w:t>
      </w:r>
      <w:r w:rsidRPr="52E2F618">
        <w:rPr>
          <w:rFonts w:cs="Arial"/>
        </w:rPr>
        <w:t xml:space="preserve">has managed to deliver </w:t>
      </w:r>
      <w:r w:rsidR="4F25C841" w:rsidRPr="52E2F618">
        <w:rPr>
          <w:rFonts w:cs="Arial"/>
        </w:rPr>
        <w:t>an immense number of outputs</w:t>
      </w:r>
      <w:r w:rsidRPr="52E2F618">
        <w:rPr>
          <w:rFonts w:cs="Arial"/>
        </w:rPr>
        <w:t xml:space="preserve"> – providing advice to RGC, leading </w:t>
      </w:r>
      <w:r w:rsidR="4F25C841" w:rsidRPr="52E2F618">
        <w:rPr>
          <w:rFonts w:cs="Arial"/>
        </w:rPr>
        <w:t xml:space="preserve">training, events, meetings with </w:t>
      </w:r>
      <w:r w:rsidRPr="52E2F618">
        <w:rPr>
          <w:rFonts w:cs="Arial"/>
        </w:rPr>
        <w:t>national</w:t>
      </w:r>
      <w:r w:rsidR="4F25C841" w:rsidRPr="52E2F618">
        <w:rPr>
          <w:rFonts w:cs="Arial"/>
        </w:rPr>
        <w:t xml:space="preserve"> and subnational authorities</w:t>
      </w:r>
      <w:r w:rsidRPr="52E2F618">
        <w:rPr>
          <w:rFonts w:cs="Arial"/>
        </w:rPr>
        <w:t>, and coordinating the work of implementing partners. It has met and exceeded almost all targets set by the program. Despite being overstretched, staff have maintained their responsiveness to RGC and</w:t>
      </w:r>
      <w:r w:rsidR="13444908" w:rsidRPr="52E2F618">
        <w:rPr>
          <w:rFonts w:cs="Arial"/>
        </w:rPr>
        <w:t xml:space="preserve"> the program</w:t>
      </w:r>
      <w:r w:rsidRPr="52E2F618">
        <w:rPr>
          <w:rFonts w:cs="Arial"/>
        </w:rPr>
        <w:t xml:space="preserve"> is regarded </w:t>
      </w:r>
      <w:r w:rsidR="371D9469" w:rsidRPr="52E2F618">
        <w:rPr>
          <w:rFonts w:cs="Arial"/>
        </w:rPr>
        <w:t xml:space="preserve">positively </w:t>
      </w:r>
      <w:r w:rsidRPr="52E2F618">
        <w:rPr>
          <w:rFonts w:cs="Arial"/>
        </w:rPr>
        <w:t xml:space="preserve">by government stakeholders. </w:t>
      </w:r>
    </w:p>
    <w:p w14:paraId="56D7E971" w14:textId="473CCE06" w:rsidR="008849ED" w:rsidRDefault="008849ED" w:rsidP="008849ED">
      <w:pPr>
        <w:spacing w:after="120"/>
        <w:jc w:val="both"/>
        <w:rPr>
          <w:rFonts w:ascii="Arial" w:eastAsia="Arial" w:hAnsi="Arial" w:cs="Arial"/>
          <w:b/>
          <w:bCs/>
          <w:szCs w:val="20"/>
        </w:rPr>
      </w:pPr>
      <w:r w:rsidRPr="001141B5">
        <w:rPr>
          <w:rStyle w:val="Heading2Char"/>
        </w:rPr>
        <w:lastRenderedPageBreak/>
        <w:t>Sustainability:</w:t>
      </w:r>
      <w:r w:rsidRPr="00106C87">
        <w:rPr>
          <w:rFonts w:ascii="Arial" w:eastAsia="Arial" w:hAnsi="Arial" w:cs="Arial"/>
          <w:b/>
          <w:bCs/>
          <w:szCs w:val="20"/>
        </w:rPr>
        <w:t xml:space="preserve"> </w:t>
      </w:r>
      <w:r w:rsidR="00161CA4" w:rsidRPr="00106C87">
        <w:rPr>
          <w:i/>
          <w:iCs/>
          <w:color w:val="auto"/>
          <w:szCs w:val="20"/>
        </w:rPr>
        <w:t>Are program achievements and impacts sustainable?</w:t>
      </w:r>
    </w:p>
    <w:p w14:paraId="5E9F9435" w14:textId="5FBF6E0F" w:rsidR="00392CE7" w:rsidRDefault="00161CA4" w:rsidP="00106C87">
      <w:pPr>
        <w:spacing w:after="120"/>
        <w:jc w:val="both"/>
        <w:rPr>
          <w:bCs/>
          <w:iCs/>
          <w:caps/>
          <w:color w:val="1D336D" w:themeColor="background2"/>
          <w:sz w:val="32"/>
          <w:szCs w:val="28"/>
        </w:rPr>
      </w:pPr>
      <w:r w:rsidRPr="00106C87">
        <w:rPr>
          <w:rFonts w:ascii="Arial" w:eastAsia="Arial" w:hAnsi="Arial" w:cs="Arial"/>
        </w:rPr>
        <w:t xml:space="preserve">As one </w:t>
      </w:r>
      <w:r w:rsidR="3B1B29C8" w:rsidRPr="1B23B6AA">
        <w:rPr>
          <w:rFonts w:ascii="Arial" w:eastAsia="Arial" w:hAnsi="Arial" w:cs="Arial"/>
        </w:rPr>
        <w:t>IP</w:t>
      </w:r>
      <w:r w:rsidRPr="00106C87">
        <w:rPr>
          <w:rFonts w:ascii="Arial" w:eastAsia="Arial" w:hAnsi="Arial" w:cs="Arial"/>
        </w:rPr>
        <w:t xml:space="preserve"> remarked</w:t>
      </w:r>
      <w:r w:rsidR="00797009" w:rsidRPr="1B23B6AA">
        <w:rPr>
          <w:rFonts w:ascii="Arial" w:eastAsia="Arial" w:hAnsi="Arial" w:cs="Arial"/>
        </w:rPr>
        <w:t>,</w:t>
      </w:r>
      <w:r w:rsidR="00AD50E2">
        <w:rPr>
          <w:rFonts w:ascii="Arial" w:eastAsia="Arial" w:hAnsi="Arial" w:cs="Arial"/>
        </w:rPr>
        <w:t xml:space="preserve"> “</w:t>
      </w:r>
      <w:r w:rsidRPr="00106C87">
        <w:rPr>
          <w:rFonts w:ascii="Arial" w:eastAsia="Arial" w:hAnsi="Arial" w:cs="Arial"/>
        </w:rPr>
        <w:t>What is ACCESS? A good start.”</w:t>
      </w:r>
      <w:r w:rsidR="00797009" w:rsidRPr="1B23B6AA">
        <w:rPr>
          <w:rFonts w:ascii="Arial" w:eastAsia="Arial" w:hAnsi="Arial" w:cs="Arial"/>
        </w:rPr>
        <w:t xml:space="preserve"> Three dimensions were considered in measuring sustainability. The first was financial sustainability, and on this aspect – particularly service delivery – sustainability has not been achieved. In some cases, the sustainability of elements such as the GBV working groups </w:t>
      </w:r>
      <w:r w:rsidR="2B1C21E0" w:rsidRPr="1B23B6AA">
        <w:rPr>
          <w:rFonts w:ascii="Arial" w:eastAsia="Arial" w:hAnsi="Arial" w:cs="Arial"/>
        </w:rPr>
        <w:t>was</w:t>
      </w:r>
      <w:r w:rsidR="00797009" w:rsidRPr="1B23B6AA">
        <w:rPr>
          <w:rFonts w:ascii="Arial" w:eastAsia="Arial" w:hAnsi="Arial" w:cs="Arial"/>
        </w:rPr>
        <w:t xml:space="preserve"> even questioned</w:t>
      </w:r>
      <w:r w:rsidR="004D3E83">
        <w:rPr>
          <w:rFonts w:ascii="Arial" w:eastAsia="Arial" w:hAnsi="Arial" w:cs="Arial"/>
        </w:rPr>
        <w:t xml:space="preserve"> by more than one stakeholder</w:t>
      </w:r>
      <w:r w:rsidR="00797009" w:rsidRPr="1B23B6AA">
        <w:rPr>
          <w:rFonts w:ascii="Arial" w:eastAsia="Arial" w:hAnsi="Arial" w:cs="Arial"/>
        </w:rPr>
        <w:t>, if funding for UN Women was removed. The second dimension considered by the evaluation was the sustainability of quality elements that were introduced as part of system strengthening efforts. This includes guidelines, standards and revision to laws and plans, a number of which have been endorsed by line ministry entities and submitted for RGC approval and adoption. This official uptake of ACCESS products</w:t>
      </w:r>
      <w:r w:rsidR="008221AE" w:rsidRPr="1B23B6AA">
        <w:rPr>
          <w:rFonts w:ascii="Arial" w:eastAsia="Arial" w:hAnsi="Arial" w:cs="Arial"/>
        </w:rPr>
        <w:t xml:space="preserve"> </w:t>
      </w:r>
      <w:r w:rsidR="00DF39C9" w:rsidRPr="1B23B6AA">
        <w:rPr>
          <w:rFonts w:ascii="Arial" w:eastAsia="Arial" w:hAnsi="Arial" w:cs="Arial"/>
        </w:rPr>
        <w:t xml:space="preserve">is </w:t>
      </w:r>
      <w:r w:rsidR="008B6F6A" w:rsidRPr="1B23B6AA">
        <w:rPr>
          <w:rFonts w:ascii="Arial" w:eastAsia="Arial" w:hAnsi="Arial" w:cs="Arial"/>
        </w:rPr>
        <w:t>likely to be sustainable and</w:t>
      </w:r>
      <w:r w:rsidR="00797009" w:rsidRPr="1B23B6AA">
        <w:rPr>
          <w:rFonts w:ascii="Arial" w:eastAsia="Arial" w:hAnsi="Arial" w:cs="Arial"/>
        </w:rPr>
        <w:t xml:space="preserve"> pave</w:t>
      </w:r>
      <w:r w:rsidR="008B6F6A" w:rsidRPr="1B23B6AA">
        <w:rPr>
          <w:rFonts w:ascii="Arial" w:eastAsia="Arial" w:hAnsi="Arial" w:cs="Arial"/>
        </w:rPr>
        <w:t>s</w:t>
      </w:r>
      <w:r w:rsidR="00797009" w:rsidRPr="1B23B6AA">
        <w:rPr>
          <w:rFonts w:ascii="Arial" w:eastAsia="Arial" w:hAnsi="Arial" w:cs="Arial"/>
        </w:rPr>
        <w:t xml:space="preserve"> the way for the</w:t>
      </w:r>
      <w:r w:rsidR="57564F7D" w:rsidRPr="1B23B6AA">
        <w:rPr>
          <w:rFonts w:ascii="Arial" w:eastAsia="Arial" w:hAnsi="Arial" w:cs="Arial"/>
        </w:rPr>
        <w:t>ir</w:t>
      </w:r>
      <w:r w:rsidR="00797009" w:rsidRPr="1B23B6AA">
        <w:rPr>
          <w:rFonts w:ascii="Arial" w:eastAsia="Arial" w:hAnsi="Arial" w:cs="Arial"/>
        </w:rPr>
        <w:t xml:space="preserve"> ongoing impact. The last aspect of sustainability relates to human resources and organisational capacity. At this stage, </w:t>
      </w:r>
      <w:r w:rsidR="00AD02D6">
        <w:rPr>
          <w:rFonts w:ascii="Arial" w:eastAsia="Arial" w:hAnsi="Arial" w:cs="Arial"/>
        </w:rPr>
        <w:t>ACCESS’</w:t>
      </w:r>
      <w:r w:rsidR="009F2B4C">
        <w:rPr>
          <w:rFonts w:ascii="Arial" w:eastAsia="Arial" w:hAnsi="Arial" w:cs="Arial"/>
        </w:rPr>
        <w:t>s</w:t>
      </w:r>
      <w:r w:rsidR="00797009" w:rsidRPr="1B23B6AA">
        <w:rPr>
          <w:rFonts w:ascii="Arial" w:eastAsia="Arial" w:hAnsi="Arial" w:cs="Arial"/>
        </w:rPr>
        <w:t xml:space="preserve"> achievements – such as quality standards for managing PRCs – will be undermined by the lack of a public sector workforce </w:t>
      </w:r>
      <w:r w:rsidR="1928D721" w:rsidRPr="1B23B6AA">
        <w:rPr>
          <w:rFonts w:ascii="Arial" w:eastAsia="Arial" w:hAnsi="Arial" w:cs="Arial"/>
        </w:rPr>
        <w:t xml:space="preserve">or </w:t>
      </w:r>
      <w:r w:rsidR="00797009" w:rsidRPr="1B23B6AA">
        <w:rPr>
          <w:rFonts w:ascii="Arial" w:eastAsia="Arial" w:hAnsi="Arial" w:cs="Arial"/>
        </w:rPr>
        <w:t>cadre of physiotherapists, prosthetic and orthotic specialists</w:t>
      </w:r>
      <w:r w:rsidR="0A1F1670" w:rsidRPr="1B23B6AA">
        <w:rPr>
          <w:rFonts w:ascii="Arial" w:eastAsia="Arial" w:hAnsi="Arial" w:cs="Arial"/>
        </w:rPr>
        <w:t>,</w:t>
      </w:r>
      <w:r w:rsidR="00797009" w:rsidRPr="1B23B6AA">
        <w:rPr>
          <w:rFonts w:ascii="Arial" w:eastAsia="Arial" w:hAnsi="Arial" w:cs="Arial"/>
        </w:rPr>
        <w:t xml:space="preserve"> and social workers to maintain these services. </w:t>
      </w:r>
      <w:r w:rsidR="2E9D9C69" w:rsidRPr="1B23B6AA">
        <w:rPr>
          <w:rFonts w:ascii="Arial" w:eastAsia="Arial" w:hAnsi="Arial" w:cs="Arial"/>
        </w:rPr>
        <w:t xml:space="preserve">ACCESS was aware </w:t>
      </w:r>
      <w:r w:rsidR="5EB922BD" w:rsidRPr="1B23B6AA">
        <w:rPr>
          <w:rFonts w:ascii="Arial" w:eastAsia="Arial" w:hAnsi="Arial" w:cs="Arial"/>
        </w:rPr>
        <w:t xml:space="preserve">that </w:t>
      </w:r>
      <w:r w:rsidR="2E9D9C69" w:rsidRPr="1B23B6AA">
        <w:rPr>
          <w:rFonts w:ascii="Arial" w:eastAsia="Arial" w:hAnsi="Arial" w:cs="Arial"/>
        </w:rPr>
        <w:t xml:space="preserve">these staffing shortages </w:t>
      </w:r>
      <w:r w:rsidR="731DB57E" w:rsidRPr="1B23B6AA">
        <w:rPr>
          <w:rFonts w:ascii="Arial" w:eastAsia="Arial" w:hAnsi="Arial" w:cs="Arial"/>
        </w:rPr>
        <w:t xml:space="preserve">were </w:t>
      </w:r>
      <w:r w:rsidR="2E9D9C69" w:rsidRPr="1B23B6AA">
        <w:rPr>
          <w:rFonts w:ascii="Arial" w:eastAsia="Arial" w:hAnsi="Arial" w:cs="Arial"/>
        </w:rPr>
        <w:t>a barrier to service deliver</w:t>
      </w:r>
      <w:r w:rsidR="3E8FC778" w:rsidRPr="1B23B6AA">
        <w:rPr>
          <w:rFonts w:ascii="Arial" w:eastAsia="Arial" w:hAnsi="Arial" w:cs="Arial"/>
        </w:rPr>
        <w:t xml:space="preserve">y, </w:t>
      </w:r>
      <w:r w:rsidR="3F4EDBB9" w:rsidRPr="1B23B6AA">
        <w:rPr>
          <w:rFonts w:ascii="Arial" w:eastAsia="Arial" w:hAnsi="Arial" w:cs="Arial"/>
        </w:rPr>
        <w:t xml:space="preserve">as well as to </w:t>
      </w:r>
      <w:r w:rsidR="3E8FC778" w:rsidRPr="1B23B6AA">
        <w:rPr>
          <w:rFonts w:ascii="Arial" w:eastAsia="Arial" w:hAnsi="Arial" w:cs="Arial"/>
        </w:rPr>
        <w:t>sustainability</w:t>
      </w:r>
      <w:r w:rsidR="53EE73CB" w:rsidRPr="1B23B6AA">
        <w:rPr>
          <w:rFonts w:ascii="Arial" w:eastAsia="Arial" w:hAnsi="Arial" w:cs="Arial"/>
        </w:rPr>
        <w:t xml:space="preserve">. </w:t>
      </w:r>
      <w:r w:rsidR="486FD206" w:rsidRPr="1B23B6AA">
        <w:rPr>
          <w:rFonts w:ascii="Arial" w:eastAsia="Arial" w:hAnsi="Arial" w:cs="Arial"/>
        </w:rPr>
        <w:t>It also recognised that t</w:t>
      </w:r>
      <w:r w:rsidR="53EE73CB" w:rsidRPr="1B23B6AA">
        <w:rPr>
          <w:rFonts w:ascii="Arial" w:eastAsia="Arial" w:hAnsi="Arial" w:cs="Arial"/>
        </w:rPr>
        <w:t xml:space="preserve">he </w:t>
      </w:r>
      <w:r w:rsidR="6758ECFA" w:rsidRPr="1B23B6AA">
        <w:rPr>
          <w:rFonts w:ascii="Arial" w:eastAsia="Arial" w:hAnsi="Arial" w:cs="Arial"/>
        </w:rPr>
        <w:t xml:space="preserve">Ministry of Health (MoH) </w:t>
      </w:r>
      <w:r w:rsidR="300DEA02" w:rsidRPr="1B23B6AA">
        <w:rPr>
          <w:rFonts w:ascii="Arial" w:eastAsia="Arial" w:hAnsi="Arial" w:cs="Arial"/>
        </w:rPr>
        <w:t>wa</w:t>
      </w:r>
      <w:r w:rsidR="6758ECFA" w:rsidRPr="1B23B6AA">
        <w:rPr>
          <w:rFonts w:ascii="Arial" w:eastAsia="Arial" w:hAnsi="Arial" w:cs="Arial"/>
        </w:rPr>
        <w:t xml:space="preserve">s critical to the resolution of </w:t>
      </w:r>
      <w:r w:rsidR="009BBD6E" w:rsidRPr="1B23B6AA">
        <w:rPr>
          <w:rFonts w:ascii="Arial" w:eastAsia="Arial" w:hAnsi="Arial" w:cs="Arial"/>
        </w:rPr>
        <w:t>staffing</w:t>
      </w:r>
      <w:r w:rsidR="6758ECFA" w:rsidRPr="1B23B6AA">
        <w:rPr>
          <w:rFonts w:ascii="Arial" w:eastAsia="Arial" w:hAnsi="Arial" w:cs="Arial"/>
        </w:rPr>
        <w:t xml:space="preserve"> issue</w:t>
      </w:r>
      <w:r w:rsidR="01B8B046" w:rsidRPr="1B23B6AA">
        <w:rPr>
          <w:rFonts w:ascii="Arial" w:eastAsia="Arial" w:hAnsi="Arial" w:cs="Arial"/>
        </w:rPr>
        <w:t>s, especially for disability service providers</w:t>
      </w:r>
      <w:r w:rsidR="0F9AEDB1" w:rsidRPr="1B23B6AA">
        <w:rPr>
          <w:rFonts w:ascii="Arial" w:eastAsia="Arial" w:hAnsi="Arial" w:cs="Arial"/>
        </w:rPr>
        <w:t xml:space="preserve">. However, since MoH is not a formal partner, </w:t>
      </w:r>
      <w:r w:rsidR="7D73B580" w:rsidRPr="1B23B6AA">
        <w:rPr>
          <w:rFonts w:ascii="Arial" w:eastAsia="Arial" w:hAnsi="Arial" w:cs="Arial"/>
        </w:rPr>
        <w:t xml:space="preserve">ACCESS was not well positioned to </w:t>
      </w:r>
      <w:r w:rsidR="01B8B046" w:rsidRPr="1B23B6AA">
        <w:rPr>
          <w:rFonts w:ascii="Arial" w:eastAsia="Arial" w:hAnsi="Arial" w:cs="Arial"/>
        </w:rPr>
        <w:t xml:space="preserve">engage </w:t>
      </w:r>
      <w:r w:rsidR="35F5C658" w:rsidRPr="1B23B6AA">
        <w:rPr>
          <w:rFonts w:ascii="Arial" w:eastAsia="Arial" w:hAnsi="Arial" w:cs="Arial"/>
        </w:rPr>
        <w:t>with th</w:t>
      </w:r>
      <w:r w:rsidR="21C64C99" w:rsidRPr="1B23B6AA">
        <w:rPr>
          <w:rFonts w:ascii="Arial" w:eastAsia="Arial" w:hAnsi="Arial" w:cs="Arial"/>
        </w:rPr>
        <w:t>e</w:t>
      </w:r>
      <w:r w:rsidR="35F5C658" w:rsidRPr="1B23B6AA">
        <w:rPr>
          <w:rFonts w:ascii="Arial" w:eastAsia="Arial" w:hAnsi="Arial" w:cs="Arial"/>
        </w:rPr>
        <w:t xml:space="preserve"> line minist</w:t>
      </w:r>
      <w:r w:rsidR="2F9C9727" w:rsidRPr="1B23B6AA">
        <w:rPr>
          <w:rFonts w:ascii="Arial" w:eastAsia="Arial" w:hAnsi="Arial" w:cs="Arial"/>
        </w:rPr>
        <w:t>ry</w:t>
      </w:r>
      <w:r w:rsidR="6758ECFA" w:rsidRPr="1B23B6AA">
        <w:rPr>
          <w:rFonts w:ascii="Arial" w:eastAsia="Arial" w:hAnsi="Arial" w:cs="Arial"/>
        </w:rPr>
        <w:t xml:space="preserve">. </w:t>
      </w:r>
      <w:r w:rsidR="00797009" w:rsidRPr="1B23B6AA">
        <w:rPr>
          <w:rFonts w:ascii="Arial" w:eastAsia="Arial" w:hAnsi="Arial" w:cs="Arial"/>
        </w:rPr>
        <w:t xml:space="preserve">ACCESS support to partners </w:t>
      </w:r>
      <w:r w:rsidR="4D721695" w:rsidRPr="1B23B6AA">
        <w:rPr>
          <w:rFonts w:ascii="Arial" w:eastAsia="Arial" w:hAnsi="Arial" w:cs="Arial"/>
        </w:rPr>
        <w:t xml:space="preserve">was </w:t>
      </w:r>
      <w:r w:rsidR="2FD9B26E" w:rsidRPr="1B23B6AA">
        <w:rPr>
          <w:rFonts w:ascii="Arial" w:eastAsia="Arial" w:hAnsi="Arial" w:cs="Arial"/>
        </w:rPr>
        <w:t xml:space="preserve">oriented to </w:t>
      </w:r>
      <w:r w:rsidR="4D721695" w:rsidRPr="1B23B6AA">
        <w:rPr>
          <w:rFonts w:ascii="Arial" w:eastAsia="Arial" w:hAnsi="Arial" w:cs="Arial"/>
        </w:rPr>
        <w:t>activities and outputs</w:t>
      </w:r>
      <w:r w:rsidR="3E34FBB7" w:rsidRPr="1B23B6AA">
        <w:rPr>
          <w:rFonts w:ascii="Arial" w:eastAsia="Arial" w:hAnsi="Arial" w:cs="Arial"/>
        </w:rPr>
        <w:t xml:space="preserve"> aligned with ACCESS outcomes</w:t>
      </w:r>
      <w:r w:rsidR="4D721695" w:rsidRPr="1B23B6AA">
        <w:rPr>
          <w:rFonts w:ascii="Arial" w:eastAsia="Arial" w:hAnsi="Arial" w:cs="Arial"/>
        </w:rPr>
        <w:t xml:space="preserve">. It was </w:t>
      </w:r>
      <w:r w:rsidR="00797009" w:rsidRPr="1B23B6AA">
        <w:rPr>
          <w:rFonts w:ascii="Arial" w:eastAsia="Arial" w:hAnsi="Arial" w:cs="Arial"/>
        </w:rPr>
        <w:t>not focus</w:t>
      </w:r>
      <w:r w:rsidR="49A057DA" w:rsidRPr="1B23B6AA">
        <w:rPr>
          <w:rFonts w:ascii="Arial" w:eastAsia="Arial" w:hAnsi="Arial" w:cs="Arial"/>
        </w:rPr>
        <w:t>ed</w:t>
      </w:r>
      <w:r w:rsidR="00797009" w:rsidRPr="1B23B6AA">
        <w:rPr>
          <w:rFonts w:ascii="Arial" w:eastAsia="Arial" w:hAnsi="Arial" w:cs="Arial"/>
        </w:rPr>
        <w:t xml:space="preserve"> on organisational development, nor on </w:t>
      </w:r>
      <w:r w:rsidR="6F03E7F7" w:rsidRPr="1B23B6AA">
        <w:rPr>
          <w:rFonts w:ascii="Arial" w:eastAsia="Arial" w:hAnsi="Arial" w:cs="Arial"/>
        </w:rPr>
        <w:t xml:space="preserve">IP </w:t>
      </w:r>
      <w:r w:rsidR="00797009" w:rsidRPr="1B23B6AA">
        <w:rPr>
          <w:rFonts w:ascii="Arial" w:eastAsia="Arial" w:hAnsi="Arial" w:cs="Arial"/>
        </w:rPr>
        <w:t xml:space="preserve">engagement with government, outside of some </w:t>
      </w:r>
      <w:r w:rsidR="6E331D42" w:rsidRPr="1B23B6AA">
        <w:rPr>
          <w:rFonts w:ascii="Arial" w:eastAsia="Arial" w:hAnsi="Arial" w:cs="Arial"/>
        </w:rPr>
        <w:t xml:space="preserve">interaction by </w:t>
      </w:r>
      <w:r w:rsidR="00797009" w:rsidRPr="1B23B6AA">
        <w:rPr>
          <w:rFonts w:ascii="Arial" w:eastAsia="Arial" w:hAnsi="Arial" w:cs="Arial"/>
        </w:rPr>
        <w:t xml:space="preserve">OPDs on the revised Disability Law. </w:t>
      </w:r>
      <w:r w:rsidR="008849ED" w:rsidRPr="00106C87">
        <w:rPr>
          <w:rFonts w:ascii="Arial" w:eastAsia="Arial" w:hAnsi="Arial" w:cs="Arial"/>
        </w:rPr>
        <w:t xml:space="preserve">The way of working with partners through the CIM meant that </w:t>
      </w:r>
      <w:r w:rsidR="009744AB" w:rsidRPr="00106C87">
        <w:rPr>
          <w:rFonts w:ascii="Arial" w:eastAsia="Arial" w:hAnsi="Arial" w:cs="Arial"/>
        </w:rPr>
        <w:t xml:space="preserve">a focus on their enduring role </w:t>
      </w:r>
      <w:r w:rsidR="42FAFECC" w:rsidRPr="1B23B6AA">
        <w:rPr>
          <w:rFonts w:ascii="Arial" w:eastAsia="Arial" w:hAnsi="Arial" w:cs="Arial"/>
        </w:rPr>
        <w:t>o</w:t>
      </w:r>
      <w:r w:rsidR="009744AB" w:rsidRPr="00106C87">
        <w:rPr>
          <w:rFonts w:ascii="Arial" w:eastAsia="Arial" w:hAnsi="Arial" w:cs="Arial"/>
        </w:rPr>
        <w:t xml:space="preserve">n the demand side of services </w:t>
      </w:r>
      <w:r w:rsidR="009744AB" w:rsidRPr="1B23B6AA">
        <w:rPr>
          <w:rFonts w:ascii="Arial" w:eastAsia="Arial" w:hAnsi="Arial" w:cs="Arial"/>
        </w:rPr>
        <w:t xml:space="preserve">was </w:t>
      </w:r>
      <w:r w:rsidR="6035F3B5" w:rsidRPr="1B23B6AA">
        <w:rPr>
          <w:rFonts w:ascii="Arial" w:eastAsia="Arial" w:hAnsi="Arial" w:cs="Arial"/>
        </w:rPr>
        <w:t>under-emphasised</w:t>
      </w:r>
      <w:r w:rsidR="009744AB" w:rsidRPr="1B23B6AA">
        <w:rPr>
          <w:rFonts w:ascii="Arial" w:eastAsia="Arial" w:hAnsi="Arial" w:cs="Arial"/>
        </w:rPr>
        <w:t xml:space="preserve">. </w:t>
      </w:r>
      <w:bookmarkStart w:id="24" w:name="_Toc116328065"/>
      <w:bookmarkStart w:id="25" w:name="_Toc116371551"/>
      <w:bookmarkStart w:id="26" w:name="_Toc116371748"/>
      <w:bookmarkStart w:id="27" w:name="_Toc116378162"/>
    </w:p>
    <w:p w14:paraId="6759F623" w14:textId="4CEC7E9E" w:rsidR="00873C95" w:rsidRPr="00C8565A" w:rsidRDefault="00A50E7E" w:rsidP="007825FE">
      <w:pPr>
        <w:pStyle w:val="Heading1"/>
      </w:pPr>
      <w:bookmarkStart w:id="28" w:name="_Toc122460789"/>
      <w:bookmarkEnd w:id="24"/>
      <w:bookmarkEnd w:id="25"/>
      <w:bookmarkEnd w:id="26"/>
      <w:bookmarkEnd w:id="27"/>
      <w:r>
        <w:rPr>
          <w:b w:val="0"/>
        </w:rPr>
        <w:t>Lessons learned and implications for future programming</w:t>
      </w:r>
      <w:bookmarkEnd w:id="28"/>
    </w:p>
    <w:p w14:paraId="3BDC4D91" w14:textId="6D977095" w:rsidR="5DF7F347" w:rsidRDefault="5DF7F347" w:rsidP="1B23B6AA">
      <w:pPr>
        <w:jc w:val="both"/>
        <w:rPr>
          <w:rFonts w:ascii="Arial" w:eastAsia="Arial" w:hAnsi="Arial" w:cs="Arial"/>
        </w:rPr>
      </w:pPr>
      <w:r w:rsidRPr="1B23B6AA">
        <w:rPr>
          <w:rFonts w:ascii="Arial" w:eastAsia="Arial" w:hAnsi="Arial" w:cs="Arial"/>
        </w:rPr>
        <w:t xml:space="preserve">The lessons below are high level reflections by the evaluation team drawing upon the findings discussed </w:t>
      </w:r>
      <w:r w:rsidR="6ACE36D8" w:rsidRPr="1B23B6AA">
        <w:rPr>
          <w:rFonts w:ascii="Arial" w:eastAsia="Arial" w:hAnsi="Arial" w:cs="Arial"/>
        </w:rPr>
        <w:t xml:space="preserve">above and </w:t>
      </w:r>
      <w:r w:rsidRPr="1B23B6AA">
        <w:rPr>
          <w:rFonts w:ascii="Arial" w:eastAsia="Arial" w:hAnsi="Arial" w:cs="Arial"/>
        </w:rPr>
        <w:t xml:space="preserve">in the main report. This is then followed by some </w:t>
      </w:r>
      <w:r w:rsidR="0E335CCC" w:rsidRPr="1B23B6AA">
        <w:rPr>
          <w:rFonts w:ascii="Arial" w:eastAsia="Arial" w:hAnsi="Arial" w:cs="Arial"/>
        </w:rPr>
        <w:t xml:space="preserve">recommended </w:t>
      </w:r>
      <w:r w:rsidRPr="1B23B6AA">
        <w:rPr>
          <w:rFonts w:ascii="Arial" w:eastAsia="Arial" w:hAnsi="Arial" w:cs="Arial"/>
        </w:rPr>
        <w:t xml:space="preserve">future directions </w:t>
      </w:r>
      <w:r w:rsidR="6B57FAC0" w:rsidRPr="1B23B6AA">
        <w:rPr>
          <w:rFonts w:ascii="Arial" w:eastAsia="Arial" w:hAnsi="Arial" w:cs="Arial"/>
        </w:rPr>
        <w:t xml:space="preserve">for </w:t>
      </w:r>
      <w:r w:rsidRPr="1B23B6AA">
        <w:rPr>
          <w:rFonts w:ascii="Arial" w:eastAsia="Arial" w:hAnsi="Arial" w:cs="Arial"/>
        </w:rPr>
        <w:t>DFAT and other development partners in their support for gender equality, disability and social inclusion outcomes in Cambodia:</w:t>
      </w:r>
    </w:p>
    <w:tbl>
      <w:tblPr>
        <w:tblStyle w:val="TableGrid"/>
        <w:tblW w:w="0" w:type="auto"/>
        <w:tblLook w:val="04A0" w:firstRow="1" w:lastRow="0" w:firstColumn="1" w:lastColumn="0" w:noHBand="0" w:noVBand="1"/>
      </w:tblPr>
      <w:tblGrid>
        <w:gridCol w:w="1838"/>
        <w:gridCol w:w="7790"/>
      </w:tblGrid>
      <w:tr w:rsidR="009C5223" w14:paraId="557373CE" w14:textId="77777777" w:rsidTr="005311B5">
        <w:trPr>
          <w:tblHeader/>
        </w:trPr>
        <w:tc>
          <w:tcPr>
            <w:tcW w:w="1838" w:type="dxa"/>
            <w:shd w:val="clear" w:color="auto" w:fill="1D336D" w:themeFill="background2"/>
          </w:tcPr>
          <w:p w14:paraId="4F61E6A9" w14:textId="30B1C9BB" w:rsidR="009C5223" w:rsidRPr="00A85281" w:rsidRDefault="009C5223" w:rsidP="009C5223">
            <w:pPr>
              <w:rPr>
                <w:color w:val="E4EAF8"/>
              </w:rPr>
            </w:pPr>
            <w:r w:rsidRPr="00A85281">
              <w:rPr>
                <w:b/>
                <w:bCs/>
                <w:color w:val="E4EAF8"/>
              </w:rPr>
              <w:t>Focus area</w:t>
            </w:r>
          </w:p>
        </w:tc>
        <w:tc>
          <w:tcPr>
            <w:tcW w:w="7790" w:type="dxa"/>
            <w:shd w:val="clear" w:color="auto" w:fill="1D336D" w:themeFill="background2"/>
          </w:tcPr>
          <w:p w14:paraId="79DAAEDE" w14:textId="1BAE5086" w:rsidR="009C5223" w:rsidRPr="00A85281" w:rsidRDefault="009C5223" w:rsidP="00463D7B">
            <w:pPr>
              <w:spacing w:after="120"/>
              <w:jc w:val="both"/>
              <w:rPr>
                <w:color w:val="E4EAF8"/>
              </w:rPr>
            </w:pPr>
            <w:r w:rsidRPr="00A85281">
              <w:rPr>
                <w:b/>
                <w:bCs/>
                <w:color w:val="E4EAF8"/>
              </w:rPr>
              <w:t>Lessons learned</w:t>
            </w:r>
          </w:p>
        </w:tc>
      </w:tr>
      <w:tr w:rsidR="009C5223" w14:paraId="6B57E8B0" w14:textId="77777777" w:rsidTr="59D65CDC">
        <w:tc>
          <w:tcPr>
            <w:tcW w:w="1838" w:type="dxa"/>
          </w:tcPr>
          <w:p w14:paraId="492E9B19" w14:textId="0953E5DF" w:rsidR="009C5223" w:rsidRDefault="009C5223" w:rsidP="009C5223">
            <w:r w:rsidRPr="00952F80">
              <w:rPr>
                <w:b/>
                <w:bCs/>
              </w:rPr>
              <w:t>Relevance</w:t>
            </w:r>
          </w:p>
        </w:tc>
        <w:tc>
          <w:tcPr>
            <w:tcW w:w="7790" w:type="dxa"/>
          </w:tcPr>
          <w:p w14:paraId="5C9EAC55" w14:textId="042840C5" w:rsidR="009C5223" w:rsidRPr="00106C87" w:rsidRDefault="1225922E" w:rsidP="00975E67">
            <w:pPr>
              <w:pStyle w:val="ListParagraph"/>
              <w:numPr>
                <w:ilvl w:val="0"/>
                <w:numId w:val="24"/>
              </w:numPr>
              <w:spacing w:after="120"/>
              <w:ind w:left="312" w:hanging="312"/>
              <w:jc w:val="both"/>
              <w:rPr>
                <w:rFonts w:ascii="Arial" w:eastAsia="Arial" w:hAnsi="Arial" w:cs="Arial"/>
                <w:szCs w:val="20"/>
              </w:rPr>
            </w:pPr>
            <w:r w:rsidRPr="00106C87">
              <w:rPr>
                <w:rFonts w:ascii="Arial" w:eastAsia="Arial" w:hAnsi="Arial" w:cs="Arial"/>
                <w:szCs w:val="20"/>
              </w:rPr>
              <w:t xml:space="preserve">ACCESS is unique in scale and scope in giving effect to Cambodia’s national plans and Australia’s core commitments to people with disabilities and addressing gender-based violence. </w:t>
            </w:r>
          </w:p>
          <w:p w14:paraId="46BCCB2C" w14:textId="3F7B4CF0" w:rsidR="009C5223" w:rsidRDefault="1225922E" w:rsidP="00463D7B">
            <w:pPr>
              <w:pStyle w:val="ListParagraph"/>
              <w:numPr>
                <w:ilvl w:val="0"/>
                <w:numId w:val="24"/>
              </w:numPr>
              <w:spacing w:after="120"/>
              <w:ind w:left="312" w:hanging="312"/>
              <w:jc w:val="both"/>
              <w:rPr>
                <w:rFonts w:ascii="Arial" w:eastAsia="Arial" w:hAnsi="Arial" w:cs="Arial"/>
                <w:szCs w:val="20"/>
              </w:rPr>
            </w:pPr>
            <w:r w:rsidRPr="0318F25C">
              <w:rPr>
                <w:rFonts w:ascii="Arial" w:eastAsia="Arial" w:hAnsi="Arial" w:cs="Arial"/>
                <w:szCs w:val="20"/>
              </w:rPr>
              <w:t xml:space="preserve">The political economy of resource allocation and influence on strategic priorities is shifting in the context of decentralisation and </w:t>
            </w:r>
            <w:proofErr w:type="spellStart"/>
            <w:r w:rsidRPr="0318F25C">
              <w:rPr>
                <w:rFonts w:ascii="Arial" w:eastAsia="Arial" w:hAnsi="Arial" w:cs="Arial"/>
                <w:szCs w:val="20"/>
              </w:rPr>
              <w:t>deconcentration</w:t>
            </w:r>
            <w:proofErr w:type="spellEnd"/>
            <w:r w:rsidRPr="0318F25C">
              <w:rPr>
                <w:rFonts w:ascii="Arial" w:eastAsia="Arial" w:hAnsi="Arial" w:cs="Arial"/>
                <w:szCs w:val="20"/>
              </w:rPr>
              <w:t xml:space="preserve">, and Covid-19 fiscal constraints, and needs to underpin efforts to support change in this space. </w:t>
            </w:r>
          </w:p>
          <w:p w14:paraId="2A107575" w14:textId="43434D8F" w:rsidR="009C5223" w:rsidRDefault="1225922E" w:rsidP="00463D7B">
            <w:pPr>
              <w:pStyle w:val="ListParagraph"/>
              <w:numPr>
                <w:ilvl w:val="0"/>
                <w:numId w:val="24"/>
              </w:numPr>
              <w:spacing w:after="120"/>
              <w:ind w:left="312" w:hanging="312"/>
              <w:jc w:val="both"/>
              <w:rPr>
                <w:rFonts w:ascii="Arial" w:eastAsia="Arial" w:hAnsi="Arial" w:cs="Arial"/>
                <w:szCs w:val="20"/>
              </w:rPr>
            </w:pPr>
            <w:r w:rsidRPr="0318F25C">
              <w:rPr>
                <w:rFonts w:ascii="Arial" w:eastAsia="Arial" w:hAnsi="Arial" w:cs="Arial"/>
                <w:szCs w:val="20"/>
              </w:rPr>
              <w:t>A balanced approach to engagement at the national and sub-national level, and in strengthening the capacity of service providers to then support service delivery is required if changes in the services are to be realised</w:t>
            </w:r>
          </w:p>
          <w:p w14:paraId="1C00F230" w14:textId="76E6A17D" w:rsidR="009C5223" w:rsidRDefault="0B99461F" w:rsidP="00463D7B">
            <w:pPr>
              <w:pStyle w:val="ListParagraph"/>
              <w:numPr>
                <w:ilvl w:val="0"/>
                <w:numId w:val="24"/>
              </w:numPr>
              <w:spacing w:after="120"/>
              <w:ind w:left="312" w:hanging="312"/>
              <w:jc w:val="both"/>
              <w:rPr>
                <w:rFonts w:ascii="Arial" w:eastAsia="Arial" w:hAnsi="Arial" w:cs="Arial"/>
                <w:sz w:val="22"/>
                <w:szCs w:val="22"/>
              </w:rPr>
            </w:pPr>
            <w:r w:rsidRPr="1B23B6AA">
              <w:rPr>
                <w:rFonts w:ascii="Arial" w:eastAsia="Arial" w:hAnsi="Arial" w:cs="Arial"/>
              </w:rPr>
              <w:t>The limited engagement of M</w:t>
            </w:r>
            <w:r w:rsidR="1F21055F" w:rsidRPr="1B23B6AA">
              <w:rPr>
                <w:rFonts w:ascii="Arial" w:eastAsia="Arial" w:hAnsi="Arial" w:cs="Arial"/>
              </w:rPr>
              <w:t xml:space="preserve">inistry </w:t>
            </w:r>
            <w:r w:rsidRPr="1B23B6AA">
              <w:rPr>
                <w:rFonts w:ascii="Arial" w:eastAsia="Arial" w:hAnsi="Arial" w:cs="Arial"/>
              </w:rPr>
              <w:t>o</w:t>
            </w:r>
            <w:r w:rsidR="1F21055F" w:rsidRPr="1B23B6AA">
              <w:rPr>
                <w:rFonts w:ascii="Arial" w:eastAsia="Arial" w:hAnsi="Arial" w:cs="Arial"/>
              </w:rPr>
              <w:t xml:space="preserve">f </w:t>
            </w:r>
            <w:r w:rsidRPr="1B23B6AA">
              <w:rPr>
                <w:rFonts w:ascii="Arial" w:eastAsia="Arial" w:hAnsi="Arial" w:cs="Arial"/>
              </w:rPr>
              <w:t>H</w:t>
            </w:r>
            <w:r w:rsidR="1F21055F" w:rsidRPr="1B23B6AA">
              <w:rPr>
                <w:rFonts w:ascii="Arial" w:eastAsia="Arial" w:hAnsi="Arial" w:cs="Arial"/>
              </w:rPr>
              <w:t>ealth (M</w:t>
            </w:r>
            <w:r w:rsidR="6E11AF75" w:rsidRPr="1B23B6AA">
              <w:rPr>
                <w:rFonts w:ascii="Arial" w:eastAsia="Arial" w:hAnsi="Arial" w:cs="Arial"/>
              </w:rPr>
              <w:t>o</w:t>
            </w:r>
            <w:r w:rsidR="1F21055F" w:rsidRPr="1B23B6AA">
              <w:rPr>
                <w:rFonts w:ascii="Arial" w:eastAsia="Arial" w:hAnsi="Arial" w:cs="Arial"/>
              </w:rPr>
              <w:t>H)</w:t>
            </w:r>
            <w:r w:rsidRPr="1B23B6AA">
              <w:rPr>
                <w:rFonts w:ascii="Arial" w:eastAsia="Arial" w:hAnsi="Arial" w:cs="Arial"/>
              </w:rPr>
              <w:t xml:space="preserve"> poses constraints for service delivery</w:t>
            </w:r>
            <w:r w:rsidR="5141F288" w:rsidRPr="1B23B6AA">
              <w:rPr>
                <w:rFonts w:ascii="Arial" w:eastAsia="Arial" w:hAnsi="Arial" w:cs="Arial"/>
              </w:rPr>
              <w:t>, staffing</w:t>
            </w:r>
            <w:r w:rsidRPr="1B23B6AA">
              <w:rPr>
                <w:rFonts w:ascii="Arial" w:eastAsia="Arial" w:hAnsi="Arial" w:cs="Arial"/>
              </w:rPr>
              <w:t xml:space="preserve"> and functioning referral systems for both people with disabilities and survivors of violence.</w:t>
            </w:r>
            <w:r w:rsidRPr="1B23B6AA">
              <w:rPr>
                <w:rFonts w:ascii="Arial" w:eastAsia="Arial" w:hAnsi="Arial" w:cs="Arial"/>
                <w:sz w:val="22"/>
                <w:szCs w:val="22"/>
              </w:rPr>
              <w:t xml:space="preserve"> </w:t>
            </w:r>
            <w:r>
              <w:t xml:space="preserve"> </w:t>
            </w:r>
          </w:p>
        </w:tc>
      </w:tr>
      <w:tr w:rsidR="009C5223" w14:paraId="79FA9BA9" w14:textId="77777777" w:rsidTr="59D65CDC">
        <w:tc>
          <w:tcPr>
            <w:tcW w:w="1838" w:type="dxa"/>
          </w:tcPr>
          <w:p w14:paraId="26868C32" w14:textId="0FB9D3F5" w:rsidR="009C5223" w:rsidRDefault="009C5223" w:rsidP="009C5223">
            <w:r w:rsidRPr="00952F80">
              <w:rPr>
                <w:b/>
                <w:bCs/>
              </w:rPr>
              <w:t>Effectiveness</w:t>
            </w:r>
          </w:p>
        </w:tc>
        <w:tc>
          <w:tcPr>
            <w:tcW w:w="7790" w:type="dxa"/>
          </w:tcPr>
          <w:p w14:paraId="0C520514" w14:textId="5D7F87B5" w:rsidR="009C5223" w:rsidRPr="007825FE" w:rsidRDefault="31996AC3" w:rsidP="00463D7B">
            <w:pPr>
              <w:pStyle w:val="ListParagraph"/>
              <w:numPr>
                <w:ilvl w:val="0"/>
                <w:numId w:val="24"/>
              </w:numPr>
              <w:spacing w:after="120"/>
              <w:ind w:left="312" w:hanging="312"/>
              <w:jc w:val="both"/>
              <w:rPr>
                <w:rFonts w:ascii="Arial" w:eastAsia="Arial" w:hAnsi="Arial" w:cs="Arial"/>
                <w:szCs w:val="20"/>
              </w:rPr>
            </w:pPr>
            <w:r w:rsidRPr="59D65CDC">
              <w:rPr>
                <w:rFonts w:ascii="Arial" w:eastAsia="Arial" w:hAnsi="Arial" w:cs="Arial"/>
                <w:sz w:val="22"/>
                <w:szCs w:val="22"/>
              </w:rPr>
              <w:t>C</w:t>
            </w:r>
            <w:r w:rsidRPr="59D65CDC">
              <w:rPr>
                <w:rFonts w:cs="Arial"/>
              </w:rPr>
              <w:t xml:space="preserve">onsolidating and building on gains from predecessor programs and investing time in developing strong relationships with RGC counterparts was central to </w:t>
            </w:r>
            <w:r w:rsidR="00AD02D6">
              <w:rPr>
                <w:rFonts w:cs="Arial"/>
              </w:rPr>
              <w:t>ACCESS’</w:t>
            </w:r>
            <w:r w:rsidR="009F2B4C">
              <w:rPr>
                <w:rFonts w:cs="Arial"/>
              </w:rPr>
              <w:t>s</w:t>
            </w:r>
            <w:r w:rsidRPr="59D65CDC">
              <w:rPr>
                <w:rFonts w:cs="Arial"/>
              </w:rPr>
              <w:t xml:space="preserve"> success in advancing its outcomes, including in challenging areas.</w:t>
            </w:r>
          </w:p>
          <w:p w14:paraId="248D04D2" w14:textId="07A828F7" w:rsidR="009C5223" w:rsidRPr="007825FE" w:rsidRDefault="31996AC3" w:rsidP="00463D7B">
            <w:pPr>
              <w:pStyle w:val="ListParagraph"/>
              <w:numPr>
                <w:ilvl w:val="0"/>
                <w:numId w:val="24"/>
              </w:numPr>
              <w:spacing w:after="120"/>
              <w:ind w:left="312" w:hanging="312"/>
              <w:jc w:val="both"/>
              <w:rPr>
                <w:rFonts w:ascii="Arial" w:eastAsia="Arial" w:hAnsi="Arial" w:cs="Arial"/>
                <w:sz w:val="22"/>
                <w:szCs w:val="22"/>
              </w:rPr>
            </w:pPr>
            <w:r w:rsidRPr="59D65CDC">
              <w:rPr>
                <w:rFonts w:ascii="Arial" w:eastAsia="Arial" w:hAnsi="Arial" w:cs="Arial"/>
              </w:rPr>
              <w:lastRenderedPageBreak/>
              <w:t>Strengthening coordination and emerging referral processes has been a strength of ACCESS, which is critical in underpinning integrated service delivery for survivors of GBV and people with disabilities.</w:t>
            </w:r>
          </w:p>
          <w:p w14:paraId="145B5E48" w14:textId="583F65A0" w:rsidR="009C5223" w:rsidRPr="007825FE" w:rsidRDefault="31996AC3" w:rsidP="00463D7B">
            <w:pPr>
              <w:pStyle w:val="ListParagraph"/>
              <w:numPr>
                <w:ilvl w:val="0"/>
                <w:numId w:val="24"/>
              </w:numPr>
              <w:spacing w:after="120"/>
              <w:ind w:left="312" w:hanging="312"/>
              <w:jc w:val="both"/>
              <w:rPr>
                <w:rFonts w:ascii="Arial" w:eastAsia="Arial" w:hAnsi="Arial" w:cs="Arial"/>
                <w:sz w:val="22"/>
                <w:szCs w:val="22"/>
              </w:rPr>
            </w:pPr>
            <w:r w:rsidRPr="59D65CDC">
              <w:rPr>
                <w:rFonts w:ascii="Arial" w:eastAsia="Arial" w:hAnsi="Arial" w:cs="Arial"/>
              </w:rPr>
              <w:t xml:space="preserve">The assumption in the design, that improvements in the quality of budget preparation processes and supporting </w:t>
            </w:r>
            <w:proofErr w:type="spellStart"/>
            <w:r w:rsidRPr="59D65CDC">
              <w:rPr>
                <w:rFonts w:ascii="Arial" w:eastAsia="Arial" w:hAnsi="Arial" w:cs="Arial"/>
              </w:rPr>
              <w:t>MoSVY</w:t>
            </w:r>
            <w:proofErr w:type="spellEnd"/>
            <w:r w:rsidRPr="59D65CDC">
              <w:rPr>
                <w:rFonts w:ascii="Arial" w:eastAsia="Arial" w:hAnsi="Arial" w:cs="Arial"/>
              </w:rPr>
              <w:t xml:space="preserve"> and </w:t>
            </w:r>
            <w:proofErr w:type="spellStart"/>
            <w:r w:rsidRPr="59D65CDC">
              <w:rPr>
                <w:rFonts w:ascii="Arial" w:eastAsia="Arial" w:hAnsi="Arial" w:cs="Arial"/>
              </w:rPr>
              <w:t>MoWA</w:t>
            </w:r>
            <w:proofErr w:type="spellEnd"/>
            <w:r w:rsidRPr="59D65CDC">
              <w:rPr>
                <w:rFonts w:ascii="Arial" w:eastAsia="Arial" w:hAnsi="Arial" w:cs="Arial"/>
              </w:rPr>
              <w:t xml:space="preserve"> on ‘arguing the case’ would lead to increased budget allocations did not hold. </w:t>
            </w:r>
          </w:p>
          <w:p w14:paraId="69B8767A" w14:textId="40B10ABC" w:rsidR="006D49A9" w:rsidRPr="00106C87" w:rsidRDefault="1758BE16" w:rsidP="00463D7B">
            <w:pPr>
              <w:pStyle w:val="ListParagraph"/>
              <w:numPr>
                <w:ilvl w:val="0"/>
                <w:numId w:val="24"/>
              </w:numPr>
              <w:spacing w:after="120"/>
              <w:ind w:left="312" w:hanging="312"/>
              <w:jc w:val="both"/>
              <w:rPr>
                <w:rFonts w:ascii="Arial" w:eastAsia="Arial" w:hAnsi="Arial" w:cs="Arial"/>
                <w:sz w:val="22"/>
                <w:szCs w:val="22"/>
              </w:rPr>
            </w:pPr>
            <w:r w:rsidRPr="0318F25C">
              <w:rPr>
                <w:rFonts w:cs="Arial"/>
                <w:szCs w:val="20"/>
              </w:rPr>
              <w:t>Initiatives that seek to advance economic empowerment of survivors of GBV and people with disabilities need to be</w:t>
            </w:r>
            <w:r w:rsidR="00795452">
              <w:rPr>
                <w:rFonts w:cs="Arial"/>
                <w:szCs w:val="20"/>
              </w:rPr>
              <w:t xml:space="preserve"> </w:t>
            </w:r>
            <w:r w:rsidR="007516BC">
              <w:rPr>
                <w:rFonts w:cs="Arial"/>
                <w:szCs w:val="20"/>
              </w:rPr>
              <w:t>conscious</w:t>
            </w:r>
            <w:r w:rsidR="00795452">
              <w:rPr>
                <w:rFonts w:cs="Arial"/>
                <w:szCs w:val="20"/>
              </w:rPr>
              <w:t xml:space="preserve"> of safeguarding</w:t>
            </w:r>
            <w:r w:rsidRPr="0318F25C">
              <w:rPr>
                <w:rFonts w:cs="Arial"/>
                <w:szCs w:val="20"/>
              </w:rPr>
              <w:t xml:space="preserve"> to ensure they are likely to fulfill their </w:t>
            </w:r>
            <w:r w:rsidRPr="000967C0">
              <w:rPr>
                <w:rFonts w:cs="Arial"/>
                <w:szCs w:val="20"/>
              </w:rPr>
              <w:t>empowerment object</w:t>
            </w:r>
            <w:r w:rsidRPr="009C62E0">
              <w:rPr>
                <w:rFonts w:ascii="Arial" w:eastAsia="Arial" w:hAnsi="Arial" w:cs="Arial"/>
                <w:szCs w:val="20"/>
              </w:rPr>
              <w:t>ives and mitigate risks.</w:t>
            </w:r>
          </w:p>
          <w:p w14:paraId="09FD4CE0" w14:textId="05C45271" w:rsidR="009C5223" w:rsidRDefault="2553CAF7" w:rsidP="1B23B6AA">
            <w:pPr>
              <w:pStyle w:val="ListParagraph"/>
              <w:numPr>
                <w:ilvl w:val="0"/>
                <w:numId w:val="24"/>
              </w:numPr>
              <w:spacing w:after="120"/>
              <w:ind w:left="312" w:hanging="312"/>
              <w:jc w:val="both"/>
              <w:rPr>
                <w:rFonts w:ascii="Arial" w:eastAsia="Arial" w:hAnsi="Arial" w:cs="Arial"/>
              </w:rPr>
            </w:pPr>
            <w:r w:rsidRPr="00106C87">
              <w:rPr>
                <w:rFonts w:ascii="Arial" w:eastAsia="Arial" w:hAnsi="Arial" w:cs="Arial"/>
              </w:rPr>
              <w:t>C</w:t>
            </w:r>
            <w:r w:rsidR="6F0C8034" w:rsidRPr="1B23B6AA">
              <w:rPr>
                <w:rFonts w:ascii="Arial" w:eastAsia="Arial" w:hAnsi="Arial" w:cs="Arial"/>
              </w:rPr>
              <w:t xml:space="preserve">ritical GBV services </w:t>
            </w:r>
            <w:r w:rsidR="32637FF8" w:rsidRPr="1B23B6AA">
              <w:rPr>
                <w:rFonts w:ascii="Arial" w:eastAsia="Arial" w:hAnsi="Arial" w:cs="Arial"/>
              </w:rPr>
              <w:t xml:space="preserve">are missing </w:t>
            </w:r>
            <w:r w:rsidR="63737AA7" w:rsidRPr="1B23B6AA">
              <w:rPr>
                <w:rFonts w:ascii="Arial" w:eastAsia="Arial" w:hAnsi="Arial" w:cs="Arial"/>
              </w:rPr>
              <w:t xml:space="preserve">in the context </w:t>
            </w:r>
            <w:r w:rsidR="6F0C8034" w:rsidRPr="1B23B6AA">
              <w:rPr>
                <w:rFonts w:ascii="Arial" w:eastAsia="Arial" w:hAnsi="Arial" w:cs="Arial"/>
              </w:rPr>
              <w:t>such as</w:t>
            </w:r>
            <w:r w:rsidR="69F976D2" w:rsidRPr="1B23B6AA">
              <w:rPr>
                <w:rFonts w:ascii="Arial" w:eastAsia="Arial" w:hAnsi="Arial" w:cs="Arial"/>
              </w:rPr>
              <w:t xml:space="preserve"> a </w:t>
            </w:r>
            <w:r w:rsidR="13B8B710" w:rsidRPr="1B23B6AA">
              <w:rPr>
                <w:rFonts w:ascii="Arial" w:eastAsia="Arial" w:hAnsi="Arial" w:cs="Arial"/>
              </w:rPr>
              <w:t>national hotlin</w:t>
            </w:r>
            <w:r w:rsidR="3AB4E30D" w:rsidRPr="1B23B6AA">
              <w:rPr>
                <w:rFonts w:ascii="Arial" w:eastAsia="Arial" w:hAnsi="Arial" w:cs="Arial"/>
              </w:rPr>
              <w:t xml:space="preserve">e </w:t>
            </w:r>
            <w:r w:rsidR="3B5F90B8" w:rsidRPr="1B23B6AA">
              <w:rPr>
                <w:rFonts w:ascii="Arial" w:eastAsia="Arial" w:hAnsi="Arial" w:cs="Arial"/>
              </w:rPr>
              <w:t xml:space="preserve">with </w:t>
            </w:r>
            <w:r w:rsidR="5B6A6702" w:rsidRPr="1B23B6AA">
              <w:rPr>
                <w:rFonts w:ascii="Arial" w:eastAsia="Arial" w:hAnsi="Arial" w:cs="Arial"/>
              </w:rPr>
              <w:t>connections to province</w:t>
            </w:r>
            <w:r w:rsidR="110AD9B5" w:rsidRPr="1B23B6AA">
              <w:rPr>
                <w:rFonts w:ascii="Arial" w:eastAsia="Arial" w:hAnsi="Arial" w:cs="Arial"/>
              </w:rPr>
              <w:t xml:space="preserve"> level frontline services</w:t>
            </w:r>
            <w:r w:rsidR="74C7EBAC" w:rsidRPr="1B23B6AA">
              <w:rPr>
                <w:rFonts w:ascii="Arial" w:eastAsia="Arial" w:hAnsi="Arial" w:cs="Arial"/>
              </w:rPr>
              <w:t xml:space="preserve">, </w:t>
            </w:r>
            <w:r w:rsidR="36EE778A" w:rsidRPr="1B23B6AA">
              <w:rPr>
                <w:rFonts w:ascii="Arial" w:eastAsia="Arial" w:hAnsi="Arial" w:cs="Arial"/>
              </w:rPr>
              <w:t>state co-finance</w:t>
            </w:r>
            <w:r w:rsidR="10F6C750" w:rsidRPr="1B23B6AA">
              <w:rPr>
                <w:rFonts w:ascii="Arial" w:eastAsia="Arial" w:hAnsi="Arial" w:cs="Arial"/>
              </w:rPr>
              <w:t>d</w:t>
            </w:r>
            <w:r w:rsidR="36EE778A" w:rsidRPr="1B23B6AA">
              <w:rPr>
                <w:rFonts w:ascii="Arial" w:eastAsia="Arial" w:hAnsi="Arial" w:cs="Arial"/>
              </w:rPr>
              <w:t xml:space="preserve"> </w:t>
            </w:r>
            <w:r w:rsidR="3641757C" w:rsidRPr="1B23B6AA">
              <w:rPr>
                <w:rFonts w:ascii="Arial" w:eastAsia="Arial" w:hAnsi="Arial" w:cs="Arial"/>
              </w:rPr>
              <w:t>shelters</w:t>
            </w:r>
            <w:r w:rsidR="53BB39FE" w:rsidRPr="1B23B6AA">
              <w:rPr>
                <w:rFonts w:ascii="Arial" w:eastAsia="Arial" w:hAnsi="Arial" w:cs="Arial"/>
              </w:rPr>
              <w:t xml:space="preserve"> </w:t>
            </w:r>
            <w:r w:rsidR="4FA0EDF8" w:rsidRPr="1B23B6AA">
              <w:rPr>
                <w:rFonts w:ascii="Arial" w:eastAsia="Arial" w:hAnsi="Arial" w:cs="Arial"/>
              </w:rPr>
              <w:t>and</w:t>
            </w:r>
            <w:r w:rsidR="619C6361" w:rsidRPr="1B23B6AA">
              <w:rPr>
                <w:rFonts w:ascii="Arial" w:eastAsia="Arial" w:hAnsi="Arial" w:cs="Arial"/>
              </w:rPr>
              <w:t xml:space="preserve"> emergency accommodation.</w:t>
            </w:r>
            <w:r w:rsidR="34296F68" w:rsidRPr="1B23B6AA">
              <w:rPr>
                <w:rFonts w:ascii="Arial" w:eastAsia="Arial" w:hAnsi="Arial" w:cs="Arial"/>
              </w:rPr>
              <w:t xml:space="preserve"> </w:t>
            </w:r>
            <w:r w:rsidR="00562FA1">
              <w:rPr>
                <w:rFonts w:ascii="Arial" w:eastAsia="Arial" w:hAnsi="Arial" w:cs="Arial"/>
              </w:rPr>
              <w:t>This means there is still</w:t>
            </w:r>
            <w:r w:rsidR="34296F68" w:rsidRPr="1B23B6AA">
              <w:rPr>
                <w:rFonts w:ascii="Arial" w:eastAsia="Arial" w:hAnsi="Arial" w:cs="Arial"/>
              </w:rPr>
              <w:t xml:space="preserve"> much to build up in the system.</w:t>
            </w:r>
          </w:p>
          <w:p w14:paraId="12BD0F24" w14:textId="0783A9E4" w:rsidR="009C5223" w:rsidRPr="00106C87" w:rsidRDefault="17D417D0" w:rsidP="00463D7B">
            <w:pPr>
              <w:pStyle w:val="ListParagraph"/>
              <w:numPr>
                <w:ilvl w:val="0"/>
                <w:numId w:val="24"/>
              </w:numPr>
              <w:spacing w:after="120"/>
              <w:ind w:left="312" w:hanging="312"/>
              <w:jc w:val="both"/>
              <w:rPr>
                <w:rFonts w:ascii="Arial" w:eastAsia="Arial" w:hAnsi="Arial" w:cs="Arial"/>
                <w:szCs w:val="20"/>
              </w:rPr>
            </w:pPr>
            <w:r w:rsidRPr="59D65CDC">
              <w:rPr>
                <w:rFonts w:ascii="Arial" w:eastAsia="Arial" w:hAnsi="Arial" w:cs="Arial"/>
              </w:rPr>
              <w:t xml:space="preserve">GESI skills were </w:t>
            </w:r>
            <w:r w:rsidR="4EA8FD30" w:rsidRPr="59D65CDC">
              <w:rPr>
                <w:rFonts w:ascii="Arial" w:eastAsia="Arial" w:hAnsi="Arial" w:cs="Arial"/>
              </w:rPr>
              <w:t>required</w:t>
            </w:r>
            <w:r w:rsidR="429C0CB2" w:rsidRPr="59D65CDC">
              <w:rPr>
                <w:rFonts w:ascii="Arial" w:eastAsia="Arial" w:hAnsi="Arial" w:cs="Arial"/>
              </w:rPr>
              <w:t xml:space="preserve"> to support </w:t>
            </w:r>
            <w:r w:rsidR="786BEE77" w:rsidRPr="59D65CDC">
              <w:rPr>
                <w:rFonts w:ascii="Arial" w:eastAsia="Arial" w:hAnsi="Arial" w:cs="Arial"/>
              </w:rPr>
              <w:t>an intersectional approach to</w:t>
            </w:r>
            <w:r w:rsidR="00A5AF18" w:rsidRPr="59D65CDC">
              <w:rPr>
                <w:rFonts w:ascii="Arial" w:eastAsia="Arial" w:hAnsi="Arial" w:cs="Arial"/>
              </w:rPr>
              <w:t xml:space="preserve"> activities </w:t>
            </w:r>
            <w:r w:rsidR="429C0CB2" w:rsidRPr="59D65CDC">
              <w:rPr>
                <w:rFonts w:ascii="Arial" w:eastAsia="Arial" w:hAnsi="Arial" w:cs="Arial"/>
              </w:rPr>
              <w:t xml:space="preserve">between </w:t>
            </w:r>
            <w:r w:rsidR="5AEFAC21" w:rsidRPr="59D65CDC">
              <w:rPr>
                <w:rFonts w:ascii="Arial" w:eastAsia="Arial" w:hAnsi="Arial" w:cs="Arial"/>
              </w:rPr>
              <w:t>the workstreams</w:t>
            </w:r>
            <w:r w:rsidR="0609E30F" w:rsidRPr="59D65CDC">
              <w:rPr>
                <w:rFonts w:ascii="Arial" w:eastAsia="Arial" w:hAnsi="Arial" w:cs="Arial"/>
              </w:rPr>
              <w:t>.</w:t>
            </w:r>
          </w:p>
        </w:tc>
      </w:tr>
      <w:tr w:rsidR="009C5223" w14:paraId="683D20D6" w14:textId="77777777" w:rsidTr="59D65CDC">
        <w:tc>
          <w:tcPr>
            <w:tcW w:w="1838" w:type="dxa"/>
          </w:tcPr>
          <w:p w14:paraId="1E329C75" w14:textId="069375E7" w:rsidR="009C5223" w:rsidRDefault="009C5223" w:rsidP="009C5223">
            <w:r w:rsidRPr="00952F80">
              <w:rPr>
                <w:b/>
                <w:bCs/>
              </w:rPr>
              <w:lastRenderedPageBreak/>
              <w:t>Efficiency</w:t>
            </w:r>
          </w:p>
        </w:tc>
        <w:tc>
          <w:tcPr>
            <w:tcW w:w="7790" w:type="dxa"/>
          </w:tcPr>
          <w:p w14:paraId="16E482C5" w14:textId="56AA7E48" w:rsidR="009C5223" w:rsidRDefault="36AF43B7" w:rsidP="1B23B6AA">
            <w:pPr>
              <w:pStyle w:val="ListParagraph"/>
              <w:numPr>
                <w:ilvl w:val="0"/>
                <w:numId w:val="24"/>
              </w:numPr>
              <w:spacing w:after="120"/>
              <w:ind w:left="323" w:hanging="283"/>
              <w:jc w:val="both"/>
              <w:rPr>
                <w:rFonts w:ascii="Arial" w:eastAsia="Arial" w:hAnsi="Arial" w:cs="Arial"/>
              </w:rPr>
            </w:pPr>
            <w:r w:rsidRPr="59D65CDC">
              <w:rPr>
                <w:rFonts w:cs="Arial"/>
              </w:rPr>
              <w:t xml:space="preserve">Design choices </w:t>
            </w:r>
            <w:r w:rsidR="273C8519" w:rsidRPr="59D65CDC">
              <w:rPr>
                <w:rFonts w:cs="Arial"/>
              </w:rPr>
              <w:t xml:space="preserve">including the decision </w:t>
            </w:r>
            <w:r w:rsidR="0F45E785" w:rsidRPr="59D65CDC">
              <w:rPr>
                <w:rFonts w:cs="Arial"/>
              </w:rPr>
              <w:t xml:space="preserve">to work across multiple ministries and sectors, levels of government, </w:t>
            </w:r>
            <w:r w:rsidR="6EF25852" w:rsidRPr="59D65CDC">
              <w:rPr>
                <w:rFonts w:cs="Arial"/>
              </w:rPr>
              <w:t xml:space="preserve">and </w:t>
            </w:r>
            <w:r w:rsidR="0F45E785" w:rsidRPr="59D65CDC">
              <w:rPr>
                <w:rFonts w:cs="Arial"/>
              </w:rPr>
              <w:t xml:space="preserve">inclusive of NGO sector </w:t>
            </w:r>
            <w:r w:rsidRPr="59D65CDC">
              <w:rPr>
                <w:rFonts w:cs="Arial"/>
              </w:rPr>
              <w:t>have meant that ACCESS is a resource-intensive model to implement, in terms of geographic, technical and partner breadth, and working at national and subnational levels.</w:t>
            </w:r>
            <w:r w:rsidR="5F44D37C" w:rsidRPr="59D65CDC">
              <w:rPr>
                <w:rFonts w:cs="Arial"/>
              </w:rPr>
              <w:t xml:space="preserve"> Also</w:t>
            </w:r>
            <w:r w:rsidR="00491D1F" w:rsidRPr="59D65CDC">
              <w:rPr>
                <w:rFonts w:cs="Arial"/>
              </w:rPr>
              <w:t>,</w:t>
            </w:r>
            <w:r w:rsidR="5F44D37C" w:rsidRPr="59D65CDC">
              <w:rPr>
                <w:rFonts w:cs="Arial"/>
              </w:rPr>
              <w:t xml:space="preserve"> the decision </w:t>
            </w:r>
            <w:r w:rsidR="09F5F956" w:rsidRPr="59D65CDC">
              <w:rPr>
                <w:rFonts w:cs="Arial"/>
              </w:rPr>
              <w:t xml:space="preserve">for the ACCESS team </w:t>
            </w:r>
            <w:r w:rsidR="5F44D37C" w:rsidRPr="59D65CDC">
              <w:rPr>
                <w:rFonts w:cs="Arial"/>
              </w:rPr>
              <w:t>to</w:t>
            </w:r>
            <w:r w:rsidR="7F3AB2D6" w:rsidRPr="59D65CDC">
              <w:rPr>
                <w:rFonts w:cs="Arial"/>
              </w:rPr>
              <w:t xml:space="preserve"> be implementers on top of supporting </w:t>
            </w:r>
            <w:r w:rsidR="7C7B512F" w:rsidRPr="59D65CDC">
              <w:rPr>
                <w:rFonts w:cs="Arial"/>
              </w:rPr>
              <w:t>IPs</w:t>
            </w:r>
            <w:r w:rsidR="7F3AB2D6" w:rsidRPr="59D65CDC">
              <w:rPr>
                <w:rFonts w:cs="Arial"/>
              </w:rPr>
              <w:t xml:space="preserve"> </w:t>
            </w:r>
            <w:r w:rsidR="4213A789" w:rsidRPr="59D65CDC">
              <w:rPr>
                <w:rFonts w:cs="Arial"/>
              </w:rPr>
              <w:t xml:space="preserve">impacted what the program could deliver. </w:t>
            </w:r>
          </w:p>
          <w:p w14:paraId="3E20B67E" w14:textId="78EA8648" w:rsidR="3944A5CB" w:rsidRDefault="3944A5CB" w:rsidP="1A12D52F">
            <w:pPr>
              <w:pStyle w:val="ListParagraph"/>
              <w:numPr>
                <w:ilvl w:val="0"/>
                <w:numId w:val="24"/>
              </w:numPr>
              <w:spacing w:after="120"/>
              <w:ind w:left="323" w:hanging="283"/>
              <w:jc w:val="both"/>
              <w:rPr>
                <w:rFonts w:ascii="Arial" w:eastAsia="Arial" w:hAnsi="Arial" w:cs="Arial"/>
              </w:rPr>
            </w:pPr>
            <w:r w:rsidRPr="1A12D52F">
              <w:rPr>
                <w:rFonts w:ascii="Arial" w:eastAsia="Arial" w:hAnsi="Arial" w:cs="Arial"/>
              </w:rPr>
              <w:t xml:space="preserve">In terms of ACCESS team resourcing, technical staffing was lean – </w:t>
            </w:r>
            <w:r w:rsidR="29B57F52" w:rsidRPr="1A12D52F">
              <w:rPr>
                <w:rFonts w:ascii="Arial" w:eastAsia="Arial" w:hAnsi="Arial" w:cs="Arial"/>
              </w:rPr>
              <w:t xml:space="preserve">including limited STA inputs by international advisers and the lack of GESI staff until late in the program. Ensuring technical staff are not drawn into administrative and logistical </w:t>
            </w:r>
            <w:r w:rsidR="7ABA14A4" w:rsidRPr="1A12D52F">
              <w:rPr>
                <w:rFonts w:ascii="Arial" w:eastAsia="Arial" w:hAnsi="Arial" w:cs="Arial"/>
              </w:rPr>
              <w:t xml:space="preserve">matters </w:t>
            </w:r>
            <w:r w:rsidR="29B57F52" w:rsidRPr="1A12D52F">
              <w:rPr>
                <w:rFonts w:ascii="Arial" w:eastAsia="Arial" w:hAnsi="Arial" w:cs="Arial"/>
              </w:rPr>
              <w:t>also needs to be better bounded.</w:t>
            </w:r>
          </w:p>
          <w:p w14:paraId="7E973EF7" w14:textId="65BB84BE" w:rsidR="009C5223" w:rsidRDefault="23E5CD54" w:rsidP="1B23B6AA">
            <w:pPr>
              <w:pStyle w:val="ListParagraph"/>
              <w:numPr>
                <w:ilvl w:val="0"/>
                <w:numId w:val="24"/>
              </w:numPr>
              <w:spacing w:after="120"/>
              <w:ind w:left="323" w:hanging="283"/>
              <w:jc w:val="both"/>
              <w:rPr>
                <w:rFonts w:ascii="Arial" w:eastAsia="Arial" w:hAnsi="Arial" w:cs="Arial"/>
              </w:rPr>
            </w:pPr>
            <w:r w:rsidRPr="59D65CDC">
              <w:rPr>
                <w:rFonts w:cs="Arial"/>
              </w:rPr>
              <w:t xml:space="preserve">DFAT </w:t>
            </w:r>
            <w:r w:rsidR="1E65116F" w:rsidRPr="59D65CDC">
              <w:rPr>
                <w:rFonts w:cs="Arial"/>
              </w:rPr>
              <w:t xml:space="preserve">resourcing was adequate however, </w:t>
            </w:r>
            <w:r w:rsidR="00E62EF9" w:rsidRPr="59D65CDC">
              <w:rPr>
                <w:rFonts w:cs="Arial"/>
              </w:rPr>
              <w:t>t</w:t>
            </w:r>
            <w:r w:rsidR="36AF43B7" w:rsidRPr="59D65CDC">
              <w:rPr>
                <w:rFonts w:cs="Arial"/>
              </w:rPr>
              <w:t>he geographic and institutional footprint and number of partners engaged in the ACCESS program were highly ambitious and necessitated a high volume of management oversight and resourcing.</w:t>
            </w:r>
            <w:r w:rsidR="34E5A051" w:rsidRPr="59D65CDC">
              <w:rPr>
                <w:rFonts w:cs="Arial"/>
              </w:rPr>
              <w:t xml:space="preserve"> </w:t>
            </w:r>
            <w:r w:rsidR="236EA34E" w:rsidRPr="1A12D52F">
              <w:rPr>
                <w:rFonts w:ascii="Arial" w:eastAsia="Arial" w:hAnsi="Arial" w:cs="Arial"/>
              </w:rPr>
              <w:t>DFAT was highly engaged and made efforts to be present and support as many ACCESS events, as possible. However, with the high volume of ACCESS activities, this was time-consuming and DFAT engagement would be best concentrated on policy and RGC level dialogue in future.</w:t>
            </w:r>
          </w:p>
          <w:p w14:paraId="7E5973C2" w14:textId="283E5DF8" w:rsidR="009C5223" w:rsidRDefault="6BEE0ABF" w:rsidP="1B23B6AA">
            <w:pPr>
              <w:pStyle w:val="ListParagraph"/>
              <w:numPr>
                <w:ilvl w:val="0"/>
                <w:numId w:val="24"/>
              </w:numPr>
              <w:spacing w:after="120"/>
              <w:ind w:left="323" w:hanging="283"/>
              <w:jc w:val="both"/>
              <w:rPr>
                <w:rFonts w:ascii="Arial" w:eastAsia="Arial" w:hAnsi="Arial" w:cs="Arial"/>
              </w:rPr>
            </w:pPr>
            <w:r w:rsidRPr="59D65CDC">
              <w:rPr>
                <w:rFonts w:cs="Arial"/>
              </w:rPr>
              <w:t xml:space="preserve">Better use of the program and RGC </w:t>
            </w:r>
            <w:r w:rsidR="7341304D" w:rsidRPr="59D65CDC">
              <w:rPr>
                <w:rFonts w:cs="Arial"/>
              </w:rPr>
              <w:t>assets</w:t>
            </w:r>
            <w:r w:rsidR="28D11472" w:rsidRPr="59D65CDC">
              <w:rPr>
                <w:rFonts w:cs="Arial"/>
              </w:rPr>
              <w:t>,</w:t>
            </w:r>
            <w:r w:rsidR="7341304D" w:rsidRPr="59D65CDC">
              <w:rPr>
                <w:rFonts w:cs="Arial"/>
              </w:rPr>
              <w:t xml:space="preserve"> </w:t>
            </w:r>
            <w:r w:rsidR="28D11472" w:rsidRPr="59D65CDC">
              <w:rPr>
                <w:rFonts w:cs="Arial"/>
              </w:rPr>
              <w:t xml:space="preserve">for example using the program </w:t>
            </w:r>
            <w:r w:rsidR="78E98800" w:rsidRPr="59D65CDC">
              <w:rPr>
                <w:rFonts w:cs="Arial"/>
              </w:rPr>
              <w:t xml:space="preserve">office </w:t>
            </w:r>
            <w:r w:rsidR="0F3EB4F9" w:rsidRPr="1A12D52F">
              <w:rPr>
                <w:rFonts w:cs="Arial"/>
              </w:rPr>
              <w:t xml:space="preserve">or ministry </w:t>
            </w:r>
            <w:r w:rsidR="04028C21" w:rsidRPr="1A12D52F">
              <w:rPr>
                <w:rFonts w:cs="Arial"/>
              </w:rPr>
              <w:t>space</w:t>
            </w:r>
            <w:r w:rsidR="682F091D" w:rsidRPr="1A12D52F">
              <w:rPr>
                <w:rFonts w:cs="Arial"/>
              </w:rPr>
              <w:t>s</w:t>
            </w:r>
            <w:r w:rsidR="78E98800" w:rsidRPr="59D65CDC">
              <w:rPr>
                <w:rFonts w:cs="Arial"/>
              </w:rPr>
              <w:t xml:space="preserve"> for meetings</w:t>
            </w:r>
            <w:r w:rsidR="07EA062F" w:rsidRPr="1A12D52F">
              <w:rPr>
                <w:rFonts w:cs="Arial"/>
              </w:rPr>
              <w:t>,</w:t>
            </w:r>
            <w:r w:rsidR="063DB212" w:rsidRPr="59D65CDC">
              <w:rPr>
                <w:rFonts w:cs="Arial"/>
              </w:rPr>
              <w:t xml:space="preserve"> or co-locating the </w:t>
            </w:r>
            <w:r w:rsidR="7A23DFA2" w:rsidRPr="59D65CDC">
              <w:rPr>
                <w:rFonts w:cs="Arial"/>
              </w:rPr>
              <w:t xml:space="preserve">technical </w:t>
            </w:r>
            <w:r w:rsidR="28CD5882" w:rsidRPr="59D65CDC">
              <w:rPr>
                <w:rFonts w:cs="Arial"/>
              </w:rPr>
              <w:t>l</w:t>
            </w:r>
            <w:r w:rsidR="063DB212" w:rsidRPr="59D65CDC">
              <w:rPr>
                <w:rFonts w:cs="Arial"/>
              </w:rPr>
              <w:t>eads with</w:t>
            </w:r>
            <w:r w:rsidR="0E3F4930" w:rsidRPr="59D65CDC">
              <w:rPr>
                <w:rFonts w:cs="Arial"/>
              </w:rPr>
              <w:t>in related ministries</w:t>
            </w:r>
            <w:r w:rsidR="28D11472" w:rsidRPr="59D65CDC">
              <w:rPr>
                <w:rFonts w:cs="Arial"/>
              </w:rPr>
              <w:t>,</w:t>
            </w:r>
            <w:r w:rsidRPr="59D65CDC">
              <w:rPr>
                <w:rFonts w:cs="Arial"/>
              </w:rPr>
              <w:t xml:space="preserve"> </w:t>
            </w:r>
            <w:r w:rsidR="7341304D" w:rsidRPr="59D65CDC">
              <w:rPr>
                <w:rFonts w:cs="Arial"/>
              </w:rPr>
              <w:t>would reduce costs</w:t>
            </w:r>
            <w:r w:rsidR="0E3F4930" w:rsidRPr="59D65CDC">
              <w:rPr>
                <w:rFonts w:cs="Arial"/>
              </w:rPr>
              <w:t xml:space="preserve"> while increasing</w:t>
            </w:r>
            <w:r w:rsidR="11918279" w:rsidRPr="59D65CDC">
              <w:rPr>
                <w:rFonts w:cs="Arial"/>
              </w:rPr>
              <w:t xml:space="preserve"> the quality of the</w:t>
            </w:r>
            <w:r w:rsidR="0E3F4930" w:rsidRPr="59D65CDC">
              <w:rPr>
                <w:rFonts w:cs="Arial"/>
              </w:rPr>
              <w:t xml:space="preserve"> engagement</w:t>
            </w:r>
            <w:r w:rsidR="7341304D" w:rsidRPr="59D65CDC">
              <w:rPr>
                <w:rFonts w:cs="Arial"/>
              </w:rPr>
              <w:t xml:space="preserve">. </w:t>
            </w:r>
          </w:p>
          <w:p w14:paraId="19FE2973" w14:textId="560F4591" w:rsidR="5F92B07A" w:rsidRDefault="5F92B07A" w:rsidP="1A12D52F">
            <w:pPr>
              <w:pStyle w:val="ListParagraph"/>
              <w:numPr>
                <w:ilvl w:val="0"/>
                <w:numId w:val="24"/>
              </w:numPr>
              <w:spacing w:after="120"/>
              <w:ind w:left="323" w:hanging="283"/>
              <w:jc w:val="both"/>
              <w:rPr>
                <w:rFonts w:ascii="Arial" w:eastAsia="Arial" w:hAnsi="Arial" w:cs="Arial"/>
              </w:rPr>
            </w:pPr>
            <w:r w:rsidRPr="1A12D52F">
              <w:rPr>
                <w:rFonts w:ascii="Arial" w:eastAsia="Arial" w:hAnsi="Arial" w:cs="Arial"/>
              </w:rPr>
              <w:t xml:space="preserve">DFAT was highly engaged and made efforts to be present and support </w:t>
            </w:r>
            <w:r w:rsidR="5F044A14" w:rsidRPr="1A12D52F">
              <w:rPr>
                <w:rFonts w:ascii="Arial" w:eastAsia="Arial" w:hAnsi="Arial" w:cs="Arial"/>
              </w:rPr>
              <w:t xml:space="preserve">as many </w:t>
            </w:r>
            <w:r w:rsidRPr="1A12D52F">
              <w:rPr>
                <w:rFonts w:ascii="Arial" w:eastAsia="Arial" w:hAnsi="Arial" w:cs="Arial"/>
              </w:rPr>
              <w:t>ACCESS events</w:t>
            </w:r>
            <w:r w:rsidR="54436C4C" w:rsidRPr="1A12D52F">
              <w:rPr>
                <w:rFonts w:ascii="Arial" w:eastAsia="Arial" w:hAnsi="Arial" w:cs="Arial"/>
              </w:rPr>
              <w:t>, as possible</w:t>
            </w:r>
            <w:r w:rsidRPr="1A12D52F">
              <w:rPr>
                <w:rFonts w:ascii="Arial" w:eastAsia="Arial" w:hAnsi="Arial" w:cs="Arial"/>
              </w:rPr>
              <w:t xml:space="preserve">. However, with the high volume of ACCESS activities, </w:t>
            </w:r>
            <w:r w:rsidR="611FA28F" w:rsidRPr="1A12D52F">
              <w:rPr>
                <w:rFonts w:ascii="Arial" w:eastAsia="Arial" w:hAnsi="Arial" w:cs="Arial"/>
              </w:rPr>
              <w:t xml:space="preserve">this was time-consuming and </w:t>
            </w:r>
            <w:r w:rsidRPr="1A12D52F">
              <w:rPr>
                <w:rFonts w:ascii="Arial" w:eastAsia="Arial" w:hAnsi="Arial" w:cs="Arial"/>
              </w:rPr>
              <w:t>DFAT engagement would be best concentrated on polic</w:t>
            </w:r>
            <w:r w:rsidR="5AC16932" w:rsidRPr="1A12D52F">
              <w:rPr>
                <w:rFonts w:ascii="Arial" w:eastAsia="Arial" w:hAnsi="Arial" w:cs="Arial"/>
              </w:rPr>
              <w:t>y and RGC level dialogue in future.</w:t>
            </w:r>
          </w:p>
          <w:p w14:paraId="767B0FFB" w14:textId="5D8300FA" w:rsidR="007A29FA" w:rsidRDefault="36AF43B7" w:rsidP="003C6520">
            <w:pPr>
              <w:pStyle w:val="ListParagraph"/>
              <w:numPr>
                <w:ilvl w:val="0"/>
                <w:numId w:val="24"/>
              </w:numPr>
              <w:spacing w:after="120"/>
              <w:ind w:left="323" w:hanging="283"/>
              <w:jc w:val="both"/>
              <w:rPr>
                <w:rFonts w:ascii="Arial" w:eastAsia="Arial" w:hAnsi="Arial" w:cs="Arial"/>
                <w:szCs w:val="20"/>
              </w:rPr>
            </w:pPr>
            <w:r w:rsidRPr="59D65CDC">
              <w:rPr>
                <w:rFonts w:cs="Arial"/>
              </w:rPr>
              <w:t xml:space="preserve">Approaches to engaging </w:t>
            </w:r>
            <w:r w:rsidR="7C3A08B6" w:rsidRPr="59D65CDC">
              <w:rPr>
                <w:rFonts w:cs="Arial"/>
              </w:rPr>
              <w:t>IPs</w:t>
            </w:r>
            <w:r w:rsidRPr="59D65CDC">
              <w:rPr>
                <w:rFonts w:cs="Arial"/>
              </w:rPr>
              <w:t xml:space="preserve"> and ACCESS advisors </w:t>
            </w:r>
            <w:r w:rsidR="1615925C" w:rsidRPr="59D65CDC">
              <w:rPr>
                <w:rFonts w:cs="Arial"/>
              </w:rPr>
              <w:t>w</w:t>
            </w:r>
            <w:r w:rsidR="2705F1AC" w:rsidRPr="59D65CDC">
              <w:rPr>
                <w:rFonts w:cs="Arial"/>
              </w:rPr>
              <w:t>as</w:t>
            </w:r>
            <w:r w:rsidR="32E63C0C" w:rsidRPr="59D65CDC">
              <w:rPr>
                <w:rFonts w:cs="Arial"/>
              </w:rPr>
              <w:t xml:space="preserve"> inefficient and </w:t>
            </w:r>
            <w:r w:rsidRPr="59D65CDC">
              <w:rPr>
                <w:rFonts w:cs="Arial"/>
              </w:rPr>
              <w:t>should be designed to harness their expertise, and promote collaboration and two-way learning</w:t>
            </w:r>
            <w:r w:rsidR="6D78B516" w:rsidRPr="59D65CDC">
              <w:rPr>
                <w:rFonts w:cs="Arial"/>
              </w:rPr>
              <w:t xml:space="preserve"> to</w:t>
            </w:r>
            <w:r w:rsidR="7D476FE5" w:rsidRPr="59D65CDC">
              <w:rPr>
                <w:rFonts w:cs="Arial"/>
              </w:rPr>
              <w:t xml:space="preserve"> support program decision</w:t>
            </w:r>
            <w:r w:rsidR="09E3D300" w:rsidRPr="59D65CDC">
              <w:rPr>
                <w:rFonts w:cs="Arial"/>
              </w:rPr>
              <w:t xml:space="preserve"> </w:t>
            </w:r>
            <w:r w:rsidR="7D476FE5" w:rsidRPr="59D65CDC">
              <w:rPr>
                <w:rFonts w:cs="Arial"/>
              </w:rPr>
              <w:t>making</w:t>
            </w:r>
            <w:r w:rsidR="324B4933" w:rsidRPr="59D65CDC">
              <w:rPr>
                <w:rFonts w:cs="Arial"/>
              </w:rPr>
              <w:t>.</w:t>
            </w:r>
            <w:r w:rsidR="7CDD99A3" w:rsidRPr="59D65CDC">
              <w:rPr>
                <w:rFonts w:cs="Arial"/>
              </w:rPr>
              <w:t xml:space="preserve"> </w:t>
            </w:r>
            <w:r w:rsidR="324B4933" w:rsidRPr="59D65CDC">
              <w:rPr>
                <w:rFonts w:cs="Arial"/>
              </w:rPr>
              <w:t xml:space="preserve">In addition, the lack of GEDSI advisers early in the program’s implementation </w:t>
            </w:r>
            <w:r w:rsidR="60225D2B" w:rsidRPr="59D65CDC">
              <w:rPr>
                <w:rFonts w:cs="Arial"/>
              </w:rPr>
              <w:t xml:space="preserve">meant that </w:t>
            </w:r>
            <w:r w:rsidR="1FA73D73" w:rsidRPr="59D65CDC">
              <w:rPr>
                <w:rFonts w:cs="Arial"/>
              </w:rPr>
              <w:t xml:space="preserve">opportunities for a more intersectional approach were missed. </w:t>
            </w:r>
          </w:p>
          <w:p w14:paraId="16A8E3F0" w14:textId="75EA8C5B" w:rsidR="009C5223" w:rsidRPr="007A6D1E" w:rsidRDefault="78024C1D" w:rsidP="1B23B6AA">
            <w:pPr>
              <w:pStyle w:val="ListParagraph"/>
              <w:numPr>
                <w:ilvl w:val="0"/>
                <w:numId w:val="24"/>
              </w:numPr>
              <w:spacing w:after="120"/>
              <w:ind w:left="323" w:hanging="283"/>
              <w:jc w:val="both"/>
              <w:rPr>
                <w:rFonts w:ascii="Arial" w:eastAsia="Arial" w:hAnsi="Arial" w:cs="Arial"/>
              </w:rPr>
            </w:pPr>
            <w:r w:rsidRPr="59D65CDC">
              <w:rPr>
                <w:rFonts w:cs="Arial"/>
              </w:rPr>
              <w:t xml:space="preserve">Cost consciousness </w:t>
            </w:r>
            <w:r w:rsidR="7BB84665" w:rsidRPr="59D65CDC">
              <w:rPr>
                <w:rFonts w:cs="Arial"/>
              </w:rPr>
              <w:t>c</w:t>
            </w:r>
            <w:r w:rsidR="128D5227" w:rsidRPr="59D65CDC">
              <w:rPr>
                <w:rFonts w:cs="Arial"/>
              </w:rPr>
              <w:t>ould</w:t>
            </w:r>
            <w:r w:rsidRPr="59D65CDC">
              <w:rPr>
                <w:rFonts w:cs="Arial"/>
              </w:rPr>
              <w:t xml:space="preserve"> be improved</w:t>
            </w:r>
            <w:r w:rsidR="71687EEA" w:rsidRPr="59D65CDC">
              <w:rPr>
                <w:rFonts w:cs="Arial"/>
              </w:rPr>
              <w:t xml:space="preserve">, especially in </w:t>
            </w:r>
            <w:r w:rsidR="724EDA8F" w:rsidRPr="59D65CDC">
              <w:rPr>
                <w:rFonts w:cs="Arial"/>
              </w:rPr>
              <w:t xml:space="preserve">better </w:t>
            </w:r>
            <w:r w:rsidR="229E6D0C" w:rsidRPr="59D65CDC">
              <w:rPr>
                <w:rFonts w:cs="Arial"/>
              </w:rPr>
              <w:t xml:space="preserve">use of </w:t>
            </w:r>
            <w:r w:rsidR="54408DB4" w:rsidRPr="59D65CDC">
              <w:rPr>
                <w:rFonts w:cs="Arial"/>
              </w:rPr>
              <w:t xml:space="preserve">the </w:t>
            </w:r>
            <w:r w:rsidR="229E6D0C" w:rsidRPr="59D65CDC">
              <w:rPr>
                <w:rFonts w:cs="Arial"/>
              </w:rPr>
              <w:t>office space</w:t>
            </w:r>
            <w:r w:rsidR="36AF43B7" w:rsidRPr="59D65CDC">
              <w:rPr>
                <w:rFonts w:cs="Arial"/>
              </w:rPr>
              <w:t xml:space="preserve"> through to </w:t>
            </w:r>
            <w:r w:rsidR="6CED09BB" w:rsidRPr="59D65CDC">
              <w:rPr>
                <w:rFonts w:cs="Arial"/>
              </w:rPr>
              <w:t xml:space="preserve">a more modest approach to ACCESS </w:t>
            </w:r>
            <w:r w:rsidR="36AF43B7" w:rsidRPr="59D65CDC">
              <w:rPr>
                <w:rFonts w:cs="Arial"/>
              </w:rPr>
              <w:t>branding</w:t>
            </w:r>
            <w:r w:rsidR="31A0CDDF" w:rsidRPr="59D65CDC">
              <w:rPr>
                <w:rFonts w:cs="Arial"/>
              </w:rPr>
              <w:t xml:space="preserve"> and branded products</w:t>
            </w:r>
            <w:r w:rsidR="36AF43B7" w:rsidRPr="59D65CDC">
              <w:rPr>
                <w:rFonts w:cs="Arial"/>
              </w:rPr>
              <w:t>.</w:t>
            </w:r>
            <w:r w:rsidR="53349D41" w:rsidRPr="59D65CDC">
              <w:rPr>
                <w:rFonts w:cs="Arial"/>
              </w:rPr>
              <w:t xml:space="preserve"> </w:t>
            </w:r>
          </w:p>
        </w:tc>
      </w:tr>
      <w:tr w:rsidR="009C5223" w14:paraId="3C57C933" w14:textId="77777777" w:rsidTr="59D65CDC">
        <w:tc>
          <w:tcPr>
            <w:tcW w:w="1838" w:type="dxa"/>
          </w:tcPr>
          <w:p w14:paraId="6420519B" w14:textId="0ECE7608" w:rsidR="009C5223" w:rsidRPr="00952F80" w:rsidRDefault="009C5223" w:rsidP="009C5223">
            <w:pPr>
              <w:rPr>
                <w:b/>
                <w:bCs/>
              </w:rPr>
            </w:pPr>
            <w:r w:rsidRPr="00952F80">
              <w:rPr>
                <w:b/>
                <w:bCs/>
              </w:rPr>
              <w:lastRenderedPageBreak/>
              <w:t>Sustainability</w:t>
            </w:r>
          </w:p>
        </w:tc>
        <w:tc>
          <w:tcPr>
            <w:tcW w:w="7790" w:type="dxa"/>
          </w:tcPr>
          <w:p w14:paraId="3AF69637" w14:textId="5F48114D" w:rsidR="009C5223" w:rsidRPr="007825FE" w:rsidRDefault="55B1380E" w:rsidP="00463D7B">
            <w:pPr>
              <w:pStyle w:val="ListParagraph"/>
              <w:numPr>
                <w:ilvl w:val="0"/>
                <w:numId w:val="7"/>
              </w:numPr>
              <w:spacing w:after="120"/>
              <w:ind w:left="323" w:hanging="283"/>
              <w:jc w:val="both"/>
              <w:rPr>
                <w:rFonts w:cs="Arial"/>
                <w:szCs w:val="20"/>
              </w:rPr>
            </w:pPr>
            <w:r w:rsidRPr="59D65CDC">
              <w:rPr>
                <w:rFonts w:ascii="Arial" w:eastAsia="Arial" w:hAnsi="Arial" w:cs="Arial"/>
                <w:sz w:val="22"/>
                <w:szCs w:val="22"/>
              </w:rPr>
              <w:t>C</w:t>
            </w:r>
            <w:r w:rsidRPr="59D65CDC">
              <w:rPr>
                <w:rFonts w:cs="Arial"/>
              </w:rPr>
              <w:t xml:space="preserve">hoosing to work closely with RGC has been critical to some of </w:t>
            </w:r>
            <w:r w:rsidR="00AD02D6">
              <w:rPr>
                <w:rFonts w:cs="Arial"/>
              </w:rPr>
              <w:t>ACCESS’</w:t>
            </w:r>
            <w:r w:rsidR="009F2B4C">
              <w:rPr>
                <w:rFonts w:cs="Arial"/>
              </w:rPr>
              <w:t>s</w:t>
            </w:r>
            <w:r w:rsidRPr="59D65CDC">
              <w:rPr>
                <w:rFonts w:cs="Arial"/>
              </w:rPr>
              <w:t xml:space="preserve"> strongest outcomes. This technical assistance strand of work has been important in the context of no</w:t>
            </w:r>
            <w:r w:rsidR="0BA3660B" w:rsidRPr="59D65CDC">
              <w:rPr>
                <w:rFonts w:cs="Arial"/>
              </w:rPr>
              <w:t xml:space="preserve"> </w:t>
            </w:r>
            <w:r w:rsidRPr="59D65CDC">
              <w:rPr>
                <w:rFonts w:cs="Arial"/>
              </w:rPr>
              <w:t>budget support.</w:t>
            </w:r>
          </w:p>
          <w:p w14:paraId="28818B51" w14:textId="6978126A" w:rsidR="009C5223" w:rsidRPr="007825FE" w:rsidRDefault="55B1380E" w:rsidP="00463D7B">
            <w:pPr>
              <w:pStyle w:val="ListParagraph"/>
              <w:numPr>
                <w:ilvl w:val="0"/>
                <w:numId w:val="7"/>
              </w:numPr>
              <w:spacing w:after="120"/>
              <w:ind w:left="323" w:hanging="283"/>
              <w:jc w:val="both"/>
            </w:pPr>
            <w:r w:rsidRPr="59D65CDC">
              <w:rPr>
                <w:rFonts w:cs="Arial"/>
              </w:rPr>
              <w:t xml:space="preserve">The competitive mechanism for engaging IPs and decision not to fund DSAs created further hurdles to building government engagement and sustainable partnerships for long-term improvements to service delivery.  </w:t>
            </w:r>
          </w:p>
          <w:p w14:paraId="46E78EA2" w14:textId="41263B77" w:rsidR="009C5223" w:rsidRPr="007825FE" w:rsidRDefault="55B1380E" w:rsidP="00463D7B">
            <w:pPr>
              <w:pStyle w:val="ListParagraph"/>
              <w:numPr>
                <w:ilvl w:val="0"/>
                <w:numId w:val="7"/>
              </w:numPr>
              <w:spacing w:after="120"/>
              <w:ind w:left="323" w:hanging="283"/>
              <w:jc w:val="both"/>
            </w:pPr>
            <w:r w:rsidRPr="59D65CDC">
              <w:rPr>
                <w:rFonts w:cs="Arial"/>
              </w:rPr>
              <w:t>There are diverging views about the program’s sphere of influence and who holds the responsibility and influence for achieving the end of program outcomes – RGC, ACCESS or IPs?</w:t>
            </w:r>
          </w:p>
        </w:tc>
      </w:tr>
    </w:tbl>
    <w:p w14:paraId="71125BBC" w14:textId="72356255" w:rsidR="766E5757" w:rsidRDefault="479697E1" w:rsidP="001141B5">
      <w:pPr>
        <w:pStyle w:val="Heading2"/>
        <w:rPr>
          <w:highlight w:val="yellow"/>
        </w:rPr>
      </w:pPr>
      <w:r w:rsidRPr="00C63977">
        <w:t>Implications for future programming:</w:t>
      </w:r>
    </w:p>
    <w:p w14:paraId="0D8E5772" w14:textId="50153C3E" w:rsidR="766E5757" w:rsidRDefault="00C9355D" w:rsidP="00106C87">
      <w:pPr>
        <w:pStyle w:val="ListParagraph"/>
        <w:numPr>
          <w:ilvl w:val="0"/>
          <w:numId w:val="1"/>
        </w:numPr>
        <w:ind w:left="714" w:hanging="357"/>
        <w:contextualSpacing w:val="0"/>
        <w:jc w:val="both"/>
        <w:rPr>
          <w:rFonts w:ascii="Arial" w:eastAsia="Arial" w:hAnsi="Arial" w:cs="Arial"/>
        </w:rPr>
      </w:pPr>
      <w:r w:rsidRPr="1B23B6AA">
        <w:rPr>
          <w:rFonts w:ascii="Arial" w:eastAsia="Arial" w:hAnsi="Arial" w:cs="Arial"/>
        </w:rPr>
        <w:t>A new program should increase</w:t>
      </w:r>
      <w:r w:rsidR="766E5757" w:rsidRPr="1B23B6AA">
        <w:rPr>
          <w:rFonts w:ascii="Arial" w:eastAsia="Arial" w:hAnsi="Arial" w:cs="Arial"/>
        </w:rPr>
        <w:t xml:space="preserve"> involvement </w:t>
      </w:r>
      <w:r w:rsidR="07637BE9" w:rsidRPr="1B23B6AA">
        <w:rPr>
          <w:rFonts w:ascii="Arial" w:eastAsia="Arial" w:hAnsi="Arial" w:cs="Arial"/>
        </w:rPr>
        <w:t xml:space="preserve">and the voice </w:t>
      </w:r>
      <w:r w:rsidR="766E5757" w:rsidRPr="1B23B6AA">
        <w:rPr>
          <w:rFonts w:ascii="Arial" w:eastAsia="Arial" w:hAnsi="Arial" w:cs="Arial"/>
        </w:rPr>
        <w:t xml:space="preserve">of GBV survivors or </w:t>
      </w:r>
      <w:r w:rsidR="2D07A324" w:rsidRPr="1B23B6AA">
        <w:rPr>
          <w:rFonts w:ascii="Arial" w:eastAsia="Arial" w:hAnsi="Arial" w:cs="Arial"/>
        </w:rPr>
        <w:t xml:space="preserve">responders </w:t>
      </w:r>
      <w:r w:rsidR="766E5757" w:rsidRPr="1B23B6AA">
        <w:rPr>
          <w:rFonts w:ascii="Arial" w:eastAsia="Arial" w:hAnsi="Arial" w:cs="Arial"/>
        </w:rPr>
        <w:t>and of people with disabilities</w:t>
      </w:r>
      <w:r w:rsidR="770F6218" w:rsidRPr="1B23B6AA">
        <w:rPr>
          <w:rFonts w:ascii="Arial" w:eastAsia="Arial" w:hAnsi="Arial" w:cs="Arial"/>
        </w:rPr>
        <w:t>.</w:t>
      </w:r>
      <w:r w:rsidR="28110950" w:rsidRPr="1B23B6AA">
        <w:rPr>
          <w:rFonts w:ascii="Arial" w:eastAsia="Arial" w:hAnsi="Arial" w:cs="Arial"/>
        </w:rPr>
        <w:t xml:space="preserve"> This is</w:t>
      </w:r>
      <w:r w:rsidR="00F13095">
        <w:rPr>
          <w:rFonts w:ascii="Arial" w:eastAsia="Arial" w:hAnsi="Arial" w:cs="Arial"/>
        </w:rPr>
        <w:t xml:space="preserve"> to</w:t>
      </w:r>
      <w:r w:rsidR="28110950" w:rsidRPr="1B23B6AA">
        <w:rPr>
          <w:rFonts w:ascii="Arial" w:eastAsia="Arial" w:hAnsi="Arial" w:cs="Arial"/>
        </w:rPr>
        <w:t xml:space="preserve"> </w:t>
      </w:r>
      <w:r w:rsidR="005201AE" w:rsidRPr="1B23B6AA">
        <w:rPr>
          <w:rFonts w:ascii="Arial" w:eastAsia="Arial" w:hAnsi="Arial" w:cs="Arial"/>
        </w:rPr>
        <w:t xml:space="preserve">inform </w:t>
      </w:r>
      <w:r w:rsidR="006F6E09" w:rsidRPr="1B23B6AA">
        <w:rPr>
          <w:rFonts w:ascii="Arial" w:eastAsia="Arial" w:hAnsi="Arial" w:cs="Arial"/>
        </w:rPr>
        <w:t>prio</w:t>
      </w:r>
      <w:r w:rsidR="045F0D25" w:rsidRPr="1B23B6AA">
        <w:rPr>
          <w:rFonts w:ascii="Arial" w:eastAsia="Arial" w:hAnsi="Arial" w:cs="Arial"/>
        </w:rPr>
        <w:t>r</w:t>
      </w:r>
      <w:r w:rsidR="006F6E09" w:rsidRPr="1B23B6AA">
        <w:rPr>
          <w:rFonts w:ascii="Arial" w:eastAsia="Arial" w:hAnsi="Arial" w:cs="Arial"/>
        </w:rPr>
        <w:t>itisation and</w:t>
      </w:r>
      <w:r w:rsidR="00936B6B" w:rsidRPr="1B23B6AA">
        <w:rPr>
          <w:rFonts w:ascii="Arial" w:eastAsia="Arial" w:hAnsi="Arial" w:cs="Arial"/>
        </w:rPr>
        <w:t xml:space="preserve"> strategic direction</w:t>
      </w:r>
      <w:r w:rsidR="003001BB" w:rsidRPr="1B23B6AA">
        <w:rPr>
          <w:rFonts w:ascii="Arial" w:eastAsia="Arial" w:hAnsi="Arial" w:cs="Arial"/>
        </w:rPr>
        <w:t>s</w:t>
      </w:r>
      <w:r w:rsidR="00936B6B" w:rsidRPr="1B23B6AA">
        <w:rPr>
          <w:rFonts w:ascii="Arial" w:eastAsia="Arial" w:hAnsi="Arial" w:cs="Arial"/>
        </w:rPr>
        <w:t xml:space="preserve"> and </w:t>
      </w:r>
      <w:r w:rsidR="006F6E09" w:rsidRPr="1B23B6AA">
        <w:rPr>
          <w:rFonts w:ascii="Arial" w:eastAsia="Arial" w:hAnsi="Arial" w:cs="Arial"/>
        </w:rPr>
        <w:t>to guide</w:t>
      </w:r>
      <w:r w:rsidR="00F774AD" w:rsidRPr="1B23B6AA">
        <w:rPr>
          <w:rFonts w:ascii="Arial" w:eastAsia="Arial" w:hAnsi="Arial" w:cs="Arial"/>
        </w:rPr>
        <w:t xml:space="preserve"> ongoing </w:t>
      </w:r>
      <w:r w:rsidR="00936B6B" w:rsidRPr="1B23B6AA">
        <w:rPr>
          <w:rFonts w:ascii="Arial" w:eastAsia="Arial" w:hAnsi="Arial" w:cs="Arial"/>
        </w:rPr>
        <w:t>programming</w:t>
      </w:r>
      <w:r w:rsidR="766E5757" w:rsidRPr="1B23B6AA">
        <w:rPr>
          <w:rFonts w:ascii="Arial" w:eastAsia="Arial" w:hAnsi="Arial" w:cs="Arial"/>
        </w:rPr>
        <w:t xml:space="preserve"> – on the grounds of principle and effectiveness.</w:t>
      </w:r>
      <w:r w:rsidR="00192819" w:rsidRPr="1B23B6AA">
        <w:rPr>
          <w:rFonts w:ascii="Arial" w:eastAsia="Arial" w:hAnsi="Arial" w:cs="Arial"/>
        </w:rPr>
        <w:t xml:space="preserve"> </w:t>
      </w:r>
    </w:p>
    <w:p w14:paraId="6305E163" w14:textId="0458EA52" w:rsidR="766E5757" w:rsidRDefault="766E5757" w:rsidP="00106C87">
      <w:pPr>
        <w:pStyle w:val="ListParagraph"/>
        <w:numPr>
          <w:ilvl w:val="0"/>
          <w:numId w:val="1"/>
        </w:numPr>
        <w:ind w:left="714" w:hanging="357"/>
        <w:contextualSpacing w:val="0"/>
        <w:jc w:val="both"/>
        <w:rPr>
          <w:rFonts w:ascii="Arial" w:eastAsia="Arial" w:hAnsi="Arial" w:cs="Arial"/>
        </w:rPr>
      </w:pPr>
      <w:r w:rsidRPr="1B23B6AA">
        <w:rPr>
          <w:rFonts w:ascii="Arial" w:eastAsia="Arial" w:hAnsi="Arial" w:cs="Arial"/>
        </w:rPr>
        <w:t xml:space="preserve">The geographic footprint should be carefully considered in future programs with a view to the specific outcomes sought to be achieved in each province. Concentrating on fewer provinces would </w:t>
      </w:r>
      <w:r w:rsidR="348C8121" w:rsidRPr="1B23B6AA">
        <w:rPr>
          <w:rFonts w:ascii="Arial" w:eastAsia="Arial" w:hAnsi="Arial" w:cs="Arial"/>
        </w:rPr>
        <w:t xml:space="preserve">enable the </w:t>
      </w:r>
      <w:r w:rsidRPr="1B23B6AA">
        <w:rPr>
          <w:rFonts w:ascii="Arial" w:eastAsia="Arial" w:hAnsi="Arial" w:cs="Arial"/>
        </w:rPr>
        <w:t>further refine</w:t>
      </w:r>
      <w:r w:rsidR="65C2F3B5" w:rsidRPr="1B23B6AA">
        <w:rPr>
          <w:rFonts w:ascii="Arial" w:eastAsia="Arial" w:hAnsi="Arial" w:cs="Arial"/>
        </w:rPr>
        <w:t>ment of</w:t>
      </w:r>
      <w:r w:rsidRPr="1B23B6AA">
        <w:rPr>
          <w:rFonts w:ascii="Arial" w:eastAsia="Arial" w:hAnsi="Arial" w:cs="Arial"/>
        </w:rPr>
        <w:t xml:space="preserve"> service delivery models as demonstration sites for RGC</w:t>
      </w:r>
      <w:r w:rsidR="6CA53958" w:rsidRPr="1B23B6AA">
        <w:rPr>
          <w:rFonts w:ascii="Arial" w:eastAsia="Arial" w:hAnsi="Arial" w:cs="Arial"/>
        </w:rPr>
        <w:t xml:space="preserve">. </w:t>
      </w:r>
      <w:r w:rsidR="6D5EA94E" w:rsidRPr="1B23B6AA">
        <w:rPr>
          <w:rFonts w:ascii="Arial" w:eastAsia="Arial" w:hAnsi="Arial" w:cs="Arial"/>
        </w:rPr>
        <w:t>H</w:t>
      </w:r>
      <w:r w:rsidR="006D3CD6" w:rsidRPr="1B23B6AA">
        <w:rPr>
          <w:rFonts w:ascii="Arial" w:eastAsia="Arial" w:hAnsi="Arial" w:cs="Arial"/>
        </w:rPr>
        <w:t>owever</w:t>
      </w:r>
      <w:r w:rsidR="3B5F826C" w:rsidRPr="1B23B6AA">
        <w:rPr>
          <w:rFonts w:ascii="Arial" w:eastAsia="Arial" w:hAnsi="Arial" w:cs="Arial"/>
        </w:rPr>
        <w:t xml:space="preserve">, risks related to </w:t>
      </w:r>
      <w:r w:rsidR="7C064BB0" w:rsidRPr="1B23B6AA">
        <w:rPr>
          <w:rFonts w:ascii="Arial" w:eastAsia="Arial" w:hAnsi="Arial" w:cs="Arial"/>
        </w:rPr>
        <w:t xml:space="preserve">the withdrawal of support to particular IPs and locations / local government relationships </w:t>
      </w:r>
      <w:r w:rsidR="003E1059" w:rsidRPr="1B23B6AA">
        <w:rPr>
          <w:rFonts w:ascii="Arial" w:eastAsia="Arial" w:hAnsi="Arial" w:cs="Arial"/>
        </w:rPr>
        <w:t>need to be managed</w:t>
      </w:r>
      <w:r w:rsidR="0099180B">
        <w:rPr>
          <w:rFonts w:ascii="Arial" w:eastAsia="Arial" w:hAnsi="Arial" w:cs="Arial"/>
        </w:rPr>
        <w:t>.</w:t>
      </w:r>
    </w:p>
    <w:p w14:paraId="5AB2B5CB" w14:textId="4217B066" w:rsidR="766E5757" w:rsidRDefault="766E5757" w:rsidP="00F13095">
      <w:pPr>
        <w:pStyle w:val="ListParagraph"/>
        <w:numPr>
          <w:ilvl w:val="0"/>
          <w:numId w:val="1"/>
        </w:numPr>
        <w:ind w:left="714" w:hanging="357"/>
        <w:contextualSpacing w:val="0"/>
        <w:jc w:val="both"/>
        <w:rPr>
          <w:rFonts w:ascii="Arial" w:eastAsia="Arial" w:hAnsi="Arial" w:cs="Arial"/>
          <w:szCs w:val="20"/>
        </w:rPr>
      </w:pPr>
      <w:r w:rsidRPr="0318F25C">
        <w:rPr>
          <w:rFonts w:ascii="Arial" w:eastAsia="Arial" w:hAnsi="Arial" w:cs="Arial"/>
          <w:szCs w:val="20"/>
        </w:rPr>
        <w:t xml:space="preserve">A </w:t>
      </w:r>
      <w:r w:rsidR="00315E8A">
        <w:rPr>
          <w:rFonts w:ascii="Arial" w:eastAsia="Arial" w:hAnsi="Arial" w:cs="Arial"/>
          <w:szCs w:val="20"/>
        </w:rPr>
        <w:t xml:space="preserve">new </w:t>
      </w:r>
      <w:r w:rsidRPr="0318F25C">
        <w:rPr>
          <w:rFonts w:ascii="Arial" w:eastAsia="Arial" w:hAnsi="Arial" w:cs="Arial"/>
          <w:szCs w:val="20"/>
        </w:rPr>
        <w:t xml:space="preserve">design should look to support new financing mechanisms that have political buy-in to be taken forward, alongside considering options for the </w:t>
      </w:r>
      <w:r w:rsidR="00FC71E0" w:rsidRPr="0318F25C">
        <w:rPr>
          <w:rFonts w:ascii="Arial" w:eastAsia="Arial" w:hAnsi="Arial" w:cs="Arial"/>
          <w:szCs w:val="20"/>
        </w:rPr>
        <w:t>self-reliance</w:t>
      </w:r>
      <w:r w:rsidRPr="0318F25C">
        <w:rPr>
          <w:rFonts w:ascii="Arial" w:eastAsia="Arial" w:hAnsi="Arial" w:cs="Arial"/>
          <w:szCs w:val="20"/>
        </w:rPr>
        <w:t xml:space="preserve"> of services. </w:t>
      </w:r>
    </w:p>
    <w:p w14:paraId="2A31E72D" w14:textId="29C8472B" w:rsidR="766E5757" w:rsidRDefault="766E5757" w:rsidP="00F13095">
      <w:pPr>
        <w:pStyle w:val="ListParagraph"/>
        <w:numPr>
          <w:ilvl w:val="0"/>
          <w:numId w:val="1"/>
        </w:numPr>
        <w:ind w:left="714" w:hanging="357"/>
        <w:contextualSpacing w:val="0"/>
        <w:jc w:val="both"/>
        <w:rPr>
          <w:rFonts w:ascii="Arial" w:eastAsia="Arial" w:hAnsi="Arial" w:cs="Arial"/>
          <w:szCs w:val="20"/>
        </w:rPr>
      </w:pPr>
      <w:r w:rsidRPr="0318F25C">
        <w:rPr>
          <w:rFonts w:ascii="Arial" w:eastAsia="Arial" w:hAnsi="Arial" w:cs="Arial"/>
          <w:szCs w:val="20"/>
        </w:rPr>
        <w:t xml:space="preserve">It is important to </w:t>
      </w:r>
      <w:proofErr w:type="gramStart"/>
      <w:r w:rsidRPr="0318F25C">
        <w:rPr>
          <w:rFonts w:ascii="Arial" w:eastAsia="Arial" w:hAnsi="Arial" w:cs="Arial"/>
          <w:szCs w:val="20"/>
        </w:rPr>
        <w:t>more closely engage with the MoH</w:t>
      </w:r>
      <w:proofErr w:type="gramEnd"/>
      <w:r w:rsidRPr="0318F25C">
        <w:rPr>
          <w:rFonts w:ascii="Arial" w:eastAsia="Arial" w:hAnsi="Arial" w:cs="Arial"/>
          <w:szCs w:val="20"/>
        </w:rPr>
        <w:t xml:space="preserve"> in future programming since women survivors and people with disabilities are likely to need ongoing referrals for complex needs within the public health and hospital system.</w:t>
      </w:r>
    </w:p>
    <w:p w14:paraId="51A11F45" w14:textId="08753E21" w:rsidR="766E5757" w:rsidRDefault="766E5757" w:rsidP="00106C87">
      <w:pPr>
        <w:pStyle w:val="ListParagraph"/>
        <w:numPr>
          <w:ilvl w:val="0"/>
          <w:numId w:val="1"/>
        </w:numPr>
        <w:ind w:left="714" w:hanging="357"/>
        <w:contextualSpacing w:val="0"/>
        <w:jc w:val="both"/>
        <w:rPr>
          <w:rFonts w:ascii="Arial" w:eastAsia="Arial" w:hAnsi="Arial" w:cs="Arial"/>
        </w:rPr>
      </w:pPr>
      <w:r w:rsidRPr="1B23B6AA">
        <w:rPr>
          <w:rFonts w:ascii="Arial" w:eastAsia="Arial" w:hAnsi="Arial" w:cs="Arial"/>
        </w:rPr>
        <w:t>Staffing and workforce issues</w:t>
      </w:r>
      <w:r w:rsidR="7855EAE9" w:rsidRPr="1B23B6AA">
        <w:rPr>
          <w:rFonts w:ascii="Arial" w:eastAsia="Arial" w:hAnsi="Arial" w:cs="Arial"/>
        </w:rPr>
        <w:t xml:space="preserve"> will have a major bearing on the sustainability of services. This includes </w:t>
      </w:r>
      <w:r w:rsidR="636D2606" w:rsidRPr="1B23B6AA">
        <w:rPr>
          <w:rFonts w:ascii="Arial" w:eastAsia="Arial" w:hAnsi="Arial" w:cs="Arial"/>
        </w:rPr>
        <w:t>for</w:t>
      </w:r>
      <w:r w:rsidR="00583A10" w:rsidRPr="1B23B6AA">
        <w:rPr>
          <w:rFonts w:ascii="Arial" w:eastAsia="Arial" w:hAnsi="Arial" w:cs="Arial"/>
        </w:rPr>
        <w:t xml:space="preserve"> </w:t>
      </w:r>
      <w:r w:rsidR="075C4B8B" w:rsidRPr="1B23B6AA">
        <w:rPr>
          <w:rFonts w:ascii="Arial" w:eastAsia="Arial" w:hAnsi="Arial" w:cs="Arial"/>
        </w:rPr>
        <w:t xml:space="preserve">PRCs </w:t>
      </w:r>
      <w:r w:rsidR="00CE66A0" w:rsidRPr="1B23B6AA">
        <w:rPr>
          <w:rFonts w:ascii="Arial" w:eastAsia="Arial" w:hAnsi="Arial" w:cs="Arial"/>
        </w:rPr>
        <w:t xml:space="preserve">where </w:t>
      </w:r>
      <w:r w:rsidR="04E98712" w:rsidRPr="1B23B6AA">
        <w:rPr>
          <w:rFonts w:ascii="Arial" w:eastAsia="Arial" w:hAnsi="Arial" w:cs="Arial"/>
        </w:rPr>
        <w:t>public sector terms and conditions undermine staff retention</w:t>
      </w:r>
      <w:r w:rsidR="005C3684" w:rsidRPr="1B23B6AA">
        <w:rPr>
          <w:rFonts w:ascii="Arial" w:eastAsia="Arial" w:hAnsi="Arial" w:cs="Arial"/>
        </w:rPr>
        <w:t xml:space="preserve"> in the</w:t>
      </w:r>
      <w:r w:rsidR="00AE0A11" w:rsidRPr="1B23B6AA">
        <w:rPr>
          <w:rFonts w:ascii="Arial" w:eastAsia="Arial" w:hAnsi="Arial" w:cs="Arial"/>
        </w:rPr>
        <w:t xml:space="preserve"> tran</w:t>
      </w:r>
      <w:r w:rsidR="007231DC" w:rsidRPr="1B23B6AA">
        <w:rPr>
          <w:rFonts w:ascii="Arial" w:eastAsia="Arial" w:hAnsi="Arial" w:cs="Arial"/>
        </w:rPr>
        <w:t>sition from NGO to government</w:t>
      </w:r>
      <w:r w:rsidR="309439B7" w:rsidRPr="1B23B6AA">
        <w:rPr>
          <w:rFonts w:ascii="Arial" w:eastAsia="Arial" w:hAnsi="Arial" w:cs="Arial"/>
        </w:rPr>
        <w:t xml:space="preserve"> management</w:t>
      </w:r>
      <w:r w:rsidR="5EEFEEAA" w:rsidRPr="1B23B6AA">
        <w:rPr>
          <w:rFonts w:ascii="Arial" w:eastAsia="Arial" w:hAnsi="Arial" w:cs="Arial"/>
        </w:rPr>
        <w:t>. Social workers are also needed for both disability and GBV service provision</w:t>
      </w:r>
      <w:r w:rsidR="48333437" w:rsidRPr="1B23B6AA">
        <w:rPr>
          <w:rFonts w:ascii="Arial" w:eastAsia="Arial" w:hAnsi="Arial" w:cs="Arial"/>
        </w:rPr>
        <w:t xml:space="preserve"> – </w:t>
      </w:r>
      <w:r w:rsidR="7F81A2E6" w:rsidRPr="1B23B6AA">
        <w:rPr>
          <w:rFonts w:ascii="Arial" w:eastAsia="Arial" w:hAnsi="Arial" w:cs="Arial"/>
        </w:rPr>
        <w:t>includ</w:t>
      </w:r>
      <w:r w:rsidR="48333437" w:rsidRPr="1B23B6AA">
        <w:rPr>
          <w:rFonts w:ascii="Arial" w:eastAsia="Arial" w:hAnsi="Arial" w:cs="Arial"/>
        </w:rPr>
        <w:t xml:space="preserve">ing case management, referral and continuity of care - </w:t>
      </w:r>
      <w:r w:rsidR="5EEFEEAA" w:rsidRPr="1B23B6AA">
        <w:rPr>
          <w:rFonts w:ascii="Arial" w:eastAsia="Arial" w:hAnsi="Arial" w:cs="Arial"/>
        </w:rPr>
        <w:t>in</w:t>
      </w:r>
      <w:r w:rsidR="495324D9" w:rsidRPr="1B23B6AA">
        <w:rPr>
          <w:rFonts w:ascii="Arial" w:eastAsia="Arial" w:hAnsi="Arial" w:cs="Arial"/>
        </w:rPr>
        <w:t xml:space="preserve"> the long term</w:t>
      </w:r>
      <w:r w:rsidRPr="1B23B6AA">
        <w:rPr>
          <w:rFonts w:ascii="Arial" w:eastAsia="Arial" w:hAnsi="Arial" w:cs="Arial"/>
        </w:rPr>
        <w:t>.</w:t>
      </w:r>
    </w:p>
    <w:p w14:paraId="58F5F0BF" w14:textId="31B34034" w:rsidR="766E5757" w:rsidRDefault="4B6D9BF6" w:rsidP="00106C87">
      <w:pPr>
        <w:pStyle w:val="ListParagraph"/>
        <w:numPr>
          <w:ilvl w:val="0"/>
          <w:numId w:val="1"/>
        </w:numPr>
        <w:ind w:left="714" w:hanging="357"/>
        <w:contextualSpacing w:val="0"/>
        <w:jc w:val="both"/>
        <w:rPr>
          <w:rFonts w:ascii="Arial" w:eastAsia="Arial" w:hAnsi="Arial" w:cs="Arial"/>
        </w:rPr>
      </w:pPr>
      <w:r w:rsidRPr="1B23B6AA">
        <w:rPr>
          <w:rFonts w:ascii="Arial" w:eastAsia="Arial" w:hAnsi="Arial" w:cs="Arial"/>
        </w:rPr>
        <w:t xml:space="preserve">When GBV survivors do seek assistance, police, alongside health services, are key points of first contact. </w:t>
      </w:r>
      <w:r w:rsidR="766E5757" w:rsidRPr="1B23B6AA">
        <w:rPr>
          <w:rFonts w:ascii="Arial" w:eastAsia="Arial" w:hAnsi="Arial" w:cs="Arial"/>
        </w:rPr>
        <w:t xml:space="preserve">GBV sensitisation workshops </w:t>
      </w:r>
      <w:r w:rsidR="5FD22EB7" w:rsidRPr="1B23B6AA">
        <w:rPr>
          <w:rFonts w:ascii="Arial" w:eastAsia="Arial" w:hAnsi="Arial" w:cs="Arial"/>
        </w:rPr>
        <w:t xml:space="preserve">need to </w:t>
      </w:r>
      <w:r w:rsidR="0069252F" w:rsidRPr="1B23B6AA">
        <w:rPr>
          <w:rFonts w:ascii="Arial" w:eastAsia="Arial" w:hAnsi="Arial" w:cs="Arial"/>
        </w:rPr>
        <w:t>b</w:t>
      </w:r>
      <w:r w:rsidR="766E5757" w:rsidRPr="1B23B6AA">
        <w:rPr>
          <w:rFonts w:ascii="Arial" w:eastAsia="Arial" w:hAnsi="Arial" w:cs="Arial"/>
        </w:rPr>
        <w:t xml:space="preserve">e offered to more </w:t>
      </w:r>
      <w:r w:rsidR="6829F156" w:rsidRPr="1B23B6AA">
        <w:rPr>
          <w:rFonts w:ascii="Arial" w:eastAsia="Arial" w:hAnsi="Arial" w:cs="Arial"/>
        </w:rPr>
        <w:t>p</w:t>
      </w:r>
      <w:r w:rsidR="766E5757" w:rsidRPr="1B23B6AA">
        <w:rPr>
          <w:rFonts w:ascii="Arial" w:eastAsia="Arial" w:hAnsi="Arial" w:cs="Arial"/>
        </w:rPr>
        <w:t>olice stations</w:t>
      </w:r>
      <w:r w:rsidR="301E40AF" w:rsidRPr="1B23B6AA">
        <w:rPr>
          <w:rFonts w:ascii="Arial" w:eastAsia="Arial" w:hAnsi="Arial" w:cs="Arial"/>
        </w:rPr>
        <w:t xml:space="preserve">. There is also a recognised need to socialise ministries such as MEF and </w:t>
      </w:r>
      <w:proofErr w:type="spellStart"/>
      <w:r w:rsidR="301E40AF" w:rsidRPr="1B23B6AA">
        <w:rPr>
          <w:rFonts w:ascii="Arial" w:eastAsia="Arial" w:hAnsi="Arial" w:cs="Arial"/>
        </w:rPr>
        <w:t>MoI</w:t>
      </w:r>
      <w:proofErr w:type="spellEnd"/>
      <w:r w:rsidR="301E40AF" w:rsidRPr="1B23B6AA">
        <w:rPr>
          <w:rFonts w:ascii="Arial" w:eastAsia="Arial" w:hAnsi="Arial" w:cs="Arial"/>
        </w:rPr>
        <w:t xml:space="preserve"> </w:t>
      </w:r>
      <w:r w:rsidR="73A16A47" w:rsidRPr="1B23B6AA">
        <w:rPr>
          <w:rFonts w:ascii="Arial" w:eastAsia="Arial" w:hAnsi="Arial" w:cs="Arial"/>
        </w:rPr>
        <w:t>to the specific elements</w:t>
      </w:r>
      <w:r w:rsidR="20A91764" w:rsidRPr="1B23B6AA">
        <w:rPr>
          <w:rFonts w:ascii="Arial" w:eastAsia="Arial" w:hAnsi="Arial" w:cs="Arial"/>
        </w:rPr>
        <w:t xml:space="preserve"> in GBV and disability service provision, and their costs.</w:t>
      </w:r>
    </w:p>
    <w:p w14:paraId="18BDD56F" w14:textId="22EDD4F7" w:rsidR="766E5757" w:rsidRDefault="766E5757" w:rsidP="00106C87">
      <w:pPr>
        <w:pStyle w:val="ListParagraph"/>
        <w:numPr>
          <w:ilvl w:val="0"/>
          <w:numId w:val="1"/>
        </w:numPr>
        <w:ind w:left="714" w:hanging="357"/>
        <w:contextualSpacing w:val="0"/>
        <w:jc w:val="both"/>
        <w:rPr>
          <w:rFonts w:ascii="Arial" w:eastAsia="Arial" w:hAnsi="Arial" w:cs="Arial"/>
        </w:rPr>
      </w:pPr>
      <w:r w:rsidRPr="1B23B6AA">
        <w:rPr>
          <w:rFonts w:ascii="Arial" w:eastAsia="Arial" w:hAnsi="Arial" w:cs="Arial"/>
        </w:rPr>
        <w:t xml:space="preserve">There is a need to increase skill and expertise in child protection </w:t>
      </w:r>
      <w:r w:rsidR="009234D7" w:rsidRPr="1B23B6AA">
        <w:rPr>
          <w:rFonts w:ascii="Arial" w:eastAsia="Arial" w:hAnsi="Arial" w:cs="Arial"/>
        </w:rPr>
        <w:t xml:space="preserve">within PRCs </w:t>
      </w:r>
      <w:r w:rsidRPr="1B23B6AA">
        <w:rPr>
          <w:rFonts w:ascii="Arial" w:eastAsia="Arial" w:hAnsi="Arial" w:cs="Arial"/>
        </w:rPr>
        <w:t xml:space="preserve">given the high client volume </w:t>
      </w:r>
      <w:r w:rsidR="00FCBDE3" w:rsidRPr="1B23B6AA">
        <w:rPr>
          <w:rFonts w:ascii="Arial" w:eastAsia="Arial" w:hAnsi="Arial" w:cs="Arial"/>
        </w:rPr>
        <w:t xml:space="preserve">of children under 18 years </w:t>
      </w:r>
      <w:r w:rsidRPr="1B23B6AA">
        <w:rPr>
          <w:rFonts w:ascii="Arial" w:eastAsia="Arial" w:hAnsi="Arial" w:cs="Arial"/>
        </w:rPr>
        <w:t xml:space="preserve">in </w:t>
      </w:r>
      <w:r w:rsidR="009234D7" w:rsidRPr="1B23B6AA">
        <w:rPr>
          <w:rFonts w:ascii="Arial" w:eastAsia="Arial" w:hAnsi="Arial" w:cs="Arial"/>
        </w:rPr>
        <w:t xml:space="preserve">these </w:t>
      </w:r>
      <w:r w:rsidR="00DF429D" w:rsidRPr="1B23B6AA">
        <w:rPr>
          <w:rFonts w:ascii="Arial" w:eastAsia="Arial" w:hAnsi="Arial" w:cs="Arial"/>
        </w:rPr>
        <w:t>c</w:t>
      </w:r>
      <w:r w:rsidR="009234D7" w:rsidRPr="1B23B6AA">
        <w:rPr>
          <w:rFonts w:ascii="Arial" w:eastAsia="Arial" w:hAnsi="Arial" w:cs="Arial"/>
        </w:rPr>
        <w:t>entres</w:t>
      </w:r>
      <w:r w:rsidR="00DF429D" w:rsidRPr="1B23B6AA">
        <w:rPr>
          <w:rFonts w:ascii="Arial" w:eastAsia="Arial" w:hAnsi="Arial" w:cs="Arial"/>
        </w:rPr>
        <w:t xml:space="preserve"> as well as </w:t>
      </w:r>
      <w:r w:rsidR="29792EE0" w:rsidRPr="1B23B6AA">
        <w:rPr>
          <w:rFonts w:ascii="Arial" w:eastAsia="Arial" w:hAnsi="Arial" w:cs="Arial"/>
        </w:rPr>
        <w:t>contact with children through</w:t>
      </w:r>
      <w:r w:rsidR="04B2CC2C" w:rsidRPr="1B23B6AA">
        <w:rPr>
          <w:rFonts w:ascii="Arial" w:eastAsia="Arial" w:hAnsi="Arial" w:cs="Arial"/>
        </w:rPr>
        <w:t xml:space="preserve"> </w:t>
      </w:r>
      <w:r w:rsidR="00A7061A" w:rsidRPr="1B23B6AA">
        <w:rPr>
          <w:rFonts w:ascii="Arial" w:eastAsia="Arial" w:hAnsi="Arial" w:cs="Arial"/>
        </w:rPr>
        <w:t xml:space="preserve">PRC </w:t>
      </w:r>
      <w:r w:rsidR="00DF429D" w:rsidRPr="1B23B6AA">
        <w:rPr>
          <w:rFonts w:ascii="Arial" w:eastAsia="Arial" w:hAnsi="Arial" w:cs="Arial"/>
        </w:rPr>
        <w:t>community outreach activities</w:t>
      </w:r>
      <w:r w:rsidRPr="1B23B6AA">
        <w:rPr>
          <w:rFonts w:ascii="Arial" w:eastAsia="Arial" w:hAnsi="Arial" w:cs="Arial"/>
        </w:rPr>
        <w:t>.</w:t>
      </w:r>
    </w:p>
    <w:p w14:paraId="2EFFEFD6" w14:textId="07AA6B15" w:rsidR="766E5757" w:rsidRDefault="766E5757" w:rsidP="00106C87">
      <w:pPr>
        <w:pStyle w:val="ListParagraph"/>
        <w:numPr>
          <w:ilvl w:val="0"/>
          <w:numId w:val="1"/>
        </w:numPr>
        <w:ind w:left="714" w:hanging="357"/>
        <w:contextualSpacing w:val="0"/>
        <w:jc w:val="both"/>
        <w:rPr>
          <w:rFonts w:ascii="Arial" w:eastAsia="Arial" w:hAnsi="Arial" w:cs="Arial"/>
        </w:rPr>
      </w:pPr>
      <w:r w:rsidRPr="1B23B6AA">
        <w:rPr>
          <w:rFonts w:ascii="Arial" w:eastAsia="Arial" w:hAnsi="Arial" w:cs="Arial"/>
        </w:rPr>
        <w:t>The C</w:t>
      </w:r>
      <w:r w:rsidR="3EAEA848" w:rsidRPr="1B23B6AA">
        <w:rPr>
          <w:rFonts w:ascii="Arial" w:eastAsia="Arial" w:hAnsi="Arial" w:cs="Arial"/>
        </w:rPr>
        <w:t>IM</w:t>
      </w:r>
      <w:r w:rsidRPr="1B23B6AA">
        <w:rPr>
          <w:rFonts w:ascii="Arial" w:eastAsia="Arial" w:hAnsi="Arial" w:cs="Arial"/>
        </w:rPr>
        <w:t xml:space="preserve"> is contrary to the very coordination of partners that is needed for GBV and disability service delivery. An alternative, more strategic approach to partnership is advisable.</w:t>
      </w:r>
    </w:p>
    <w:p w14:paraId="4AE503DC" w14:textId="75BBAB22" w:rsidR="766E5757" w:rsidRDefault="766E5757" w:rsidP="00106C87">
      <w:pPr>
        <w:pStyle w:val="ListParagraph"/>
        <w:numPr>
          <w:ilvl w:val="0"/>
          <w:numId w:val="1"/>
        </w:numPr>
        <w:ind w:left="714" w:hanging="357"/>
        <w:contextualSpacing w:val="0"/>
        <w:jc w:val="both"/>
        <w:rPr>
          <w:rFonts w:ascii="Arial" w:eastAsia="Arial" w:hAnsi="Arial" w:cs="Arial"/>
        </w:rPr>
      </w:pPr>
      <w:r w:rsidRPr="1B23B6AA">
        <w:rPr>
          <w:rFonts w:ascii="Arial" w:eastAsia="Arial" w:hAnsi="Arial" w:cs="Arial"/>
        </w:rPr>
        <w:t>Greater exchange with and exposure to international and Australian expertise and approaches to GBV and disability service delivery would be valuable</w:t>
      </w:r>
      <w:r w:rsidR="00CD60FB" w:rsidRPr="1B23B6AA">
        <w:rPr>
          <w:rFonts w:ascii="Arial" w:eastAsia="Arial" w:hAnsi="Arial" w:cs="Arial"/>
        </w:rPr>
        <w:t xml:space="preserve"> for </w:t>
      </w:r>
      <w:r w:rsidR="000C5769" w:rsidRPr="1B23B6AA">
        <w:rPr>
          <w:rFonts w:ascii="Arial" w:eastAsia="Arial" w:hAnsi="Arial" w:cs="Arial"/>
        </w:rPr>
        <w:t xml:space="preserve">the </w:t>
      </w:r>
      <w:r w:rsidR="2EE3688C" w:rsidRPr="1B23B6AA">
        <w:rPr>
          <w:rFonts w:ascii="Arial" w:eastAsia="Arial" w:hAnsi="Arial" w:cs="Arial"/>
        </w:rPr>
        <w:t xml:space="preserve">GBV and Disability </w:t>
      </w:r>
      <w:r w:rsidR="000C5769" w:rsidRPr="1B23B6AA">
        <w:rPr>
          <w:rFonts w:ascii="Arial" w:eastAsia="Arial" w:hAnsi="Arial" w:cs="Arial"/>
        </w:rPr>
        <w:t>Leads, IPs and RGC</w:t>
      </w:r>
      <w:r w:rsidRPr="1B23B6AA">
        <w:rPr>
          <w:rFonts w:ascii="Arial" w:eastAsia="Arial" w:hAnsi="Arial" w:cs="Arial"/>
        </w:rPr>
        <w:t>.</w:t>
      </w:r>
    </w:p>
    <w:p w14:paraId="32901890" w14:textId="55A18C68" w:rsidR="766E5757" w:rsidRDefault="766E5757" w:rsidP="00106C87">
      <w:pPr>
        <w:pStyle w:val="ListParagraph"/>
        <w:numPr>
          <w:ilvl w:val="0"/>
          <w:numId w:val="1"/>
        </w:numPr>
        <w:ind w:left="714" w:hanging="357"/>
        <w:contextualSpacing w:val="0"/>
        <w:jc w:val="both"/>
        <w:rPr>
          <w:rFonts w:ascii="Arial" w:eastAsia="Arial" w:hAnsi="Arial" w:cs="Arial"/>
        </w:rPr>
      </w:pPr>
      <w:r w:rsidRPr="1B23B6AA">
        <w:rPr>
          <w:rFonts w:ascii="Arial" w:eastAsia="Arial" w:hAnsi="Arial" w:cs="Arial"/>
        </w:rPr>
        <w:lastRenderedPageBreak/>
        <w:t>Australia should continually re-assess its engagement in mediation services</w:t>
      </w:r>
      <w:r w:rsidR="00AD161E" w:rsidRPr="1B23B6AA">
        <w:rPr>
          <w:rFonts w:ascii="Arial" w:eastAsia="Arial" w:hAnsi="Arial" w:cs="Arial"/>
        </w:rPr>
        <w:t xml:space="preserve"> </w:t>
      </w:r>
      <w:r w:rsidR="00163C36" w:rsidRPr="1B23B6AA">
        <w:rPr>
          <w:rFonts w:ascii="Arial" w:eastAsia="Arial" w:hAnsi="Arial" w:cs="Arial"/>
        </w:rPr>
        <w:t>as</w:t>
      </w:r>
      <w:r w:rsidR="00AD161E" w:rsidRPr="1B23B6AA">
        <w:rPr>
          <w:rFonts w:ascii="Arial" w:eastAsia="Arial" w:hAnsi="Arial" w:cs="Arial"/>
        </w:rPr>
        <w:t xml:space="preserve"> mediation is </w:t>
      </w:r>
      <w:r w:rsidR="006E7B82" w:rsidRPr="1B23B6AA">
        <w:rPr>
          <w:rFonts w:ascii="Arial" w:eastAsia="Arial" w:hAnsi="Arial" w:cs="Arial"/>
        </w:rPr>
        <w:t>not survivor centred</w:t>
      </w:r>
      <w:r w:rsidR="001534C6" w:rsidRPr="1B23B6AA">
        <w:rPr>
          <w:rFonts w:ascii="Arial" w:eastAsia="Arial" w:hAnsi="Arial" w:cs="Arial"/>
        </w:rPr>
        <w:t xml:space="preserve">, </w:t>
      </w:r>
      <w:r w:rsidR="006E7B82" w:rsidRPr="1B23B6AA">
        <w:rPr>
          <w:rFonts w:ascii="Arial" w:eastAsia="Arial" w:hAnsi="Arial" w:cs="Arial"/>
        </w:rPr>
        <w:t>does not treat violence as a criminal offense</w:t>
      </w:r>
      <w:r w:rsidR="001534C6" w:rsidRPr="1B23B6AA">
        <w:rPr>
          <w:rFonts w:ascii="Arial" w:eastAsia="Arial" w:hAnsi="Arial" w:cs="Arial"/>
        </w:rPr>
        <w:t xml:space="preserve"> and </w:t>
      </w:r>
      <w:r w:rsidR="53A8EF06" w:rsidRPr="1B23B6AA">
        <w:rPr>
          <w:rFonts w:ascii="Arial" w:eastAsia="Arial" w:hAnsi="Arial" w:cs="Arial"/>
        </w:rPr>
        <w:t xml:space="preserve">it </w:t>
      </w:r>
      <w:r w:rsidR="001534C6" w:rsidRPr="1B23B6AA">
        <w:rPr>
          <w:rFonts w:ascii="Arial" w:eastAsia="Arial" w:hAnsi="Arial" w:cs="Arial"/>
        </w:rPr>
        <w:t xml:space="preserve">is inconsistent with </w:t>
      </w:r>
      <w:r w:rsidR="455CD30A" w:rsidRPr="1B23B6AA">
        <w:rPr>
          <w:rFonts w:ascii="Arial" w:eastAsia="Arial" w:hAnsi="Arial" w:cs="Arial"/>
        </w:rPr>
        <w:t>international guidance</w:t>
      </w:r>
      <w:r w:rsidRPr="1B23B6AA">
        <w:rPr>
          <w:rFonts w:ascii="Arial" w:eastAsia="Arial" w:hAnsi="Arial" w:cs="Arial"/>
        </w:rPr>
        <w:t>.</w:t>
      </w:r>
    </w:p>
    <w:p w14:paraId="069EACCA" w14:textId="6722980C" w:rsidR="766E5757" w:rsidRDefault="766E5757" w:rsidP="00106C87">
      <w:pPr>
        <w:pStyle w:val="ListParagraph"/>
        <w:numPr>
          <w:ilvl w:val="0"/>
          <w:numId w:val="1"/>
        </w:numPr>
        <w:ind w:left="714" w:hanging="357"/>
        <w:contextualSpacing w:val="0"/>
        <w:jc w:val="both"/>
        <w:rPr>
          <w:rFonts w:ascii="Arial" w:eastAsia="Arial" w:hAnsi="Arial" w:cs="Arial"/>
        </w:rPr>
      </w:pPr>
      <w:r w:rsidRPr="1B23B6AA">
        <w:rPr>
          <w:rFonts w:ascii="Arial" w:eastAsia="Arial" w:hAnsi="Arial" w:cs="Arial"/>
        </w:rPr>
        <w:t xml:space="preserve">Consideration should be given to co-location arrangements </w:t>
      </w:r>
      <w:r w:rsidR="009F7AEE" w:rsidRPr="1B23B6AA">
        <w:rPr>
          <w:rFonts w:ascii="Arial" w:eastAsia="Arial" w:hAnsi="Arial" w:cs="Arial"/>
        </w:rPr>
        <w:t xml:space="preserve">of </w:t>
      </w:r>
      <w:r w:rsidR="00AD02D6">
        <w:rPr>
          <w:rFonts w:ascii="Arial" w:eastAsia="Arial" w:hAnsi="Arial" w:cs="Arial"/>
        </w:rPr>
        <w:t>ACCESS’</w:t>
      </w:r>
      <w:r w:rsidR="009F2B4C">
        <w:rPr>
          <w:rFonts w:ascii="Arial" w:eastAsia="Arial" w:hAnsi="Arial" w:cs="Arial"/>
        </w:rPr>
        <w:t>s</w:t>
      </w:r>
      <w:r w:rsidR="009F7AEE" w:rsidRPr="1B23B6AA">
        <w:rPr>
          <w:rFonts w:ascii="Arial" w:eastAsia="Arial" w:hAnsi="Arial" w:cs="Arial"/>
        </w:rPr>
        <w:t xml:space="preserve"> </w:t>
      </w:r>
      <w:r w:rsidR="12465F62" w:rsidRPr="1B23B6AA">
        <w:rPr>
          <w:rFonts w:ascii="Arial" w:eastAsia="Arial" w:hAnsi="Arial" w:cs="Arial"/>
        </w:rPr>
        <w:t xml:space="preserve">GBV and Disability </w:t>
      </w:r>
      <w:r w:rsidR="009F7AEE" w:rsidRPr="1B23B6AA">
        <w:rPr>
          <w:rFonts w:ascii="Arial" w:eastAsia="Arial" w:hAnsi="Arial" w:cs="Arial"/>
        </w:rPr>
        <w:t xml:space="preserve">Leads </w:t>
      </w:r>
      <w:r w:rsidRPr="1B23B6AA">
        <w:rPr>
          <w:rFonts w:ascii="Arial" w:eastAsia="Arial" w:hAnsi="Arial" w:cs="Arial"/>
        </w:rPr>
        <w:t>to deepen relationships with RGC.</w:t>
      </w:r>
    </w:p>
    <w:p w14:paraId="542F671F" w14:textId="10ED4103" w:rsidR="0318F25C" w:rsidRDefault="00102ACC" w:rsidP="00C047CE">
      <w:pPr>
        <w:jc w:val="center"/>
      </w:pPr>
      <w:r>
        <w:rPr>
          <w:noProof/>
        </w:rPr>
        <w:drawing>
          <wp:inline distT="0" distB="0" distL="0" distR="0" wp14:anchorId="526F4E66" wp14:editId="30FF8383">
            <wp:extent cx="6184689" cy="3272664"/>
            <wp:effectExtent l="0" t="0" r="6985" b="4445"/>
            <wp:docPr id="2" name="Picture 2" descr="A room with colourful floor mats, therapy equipment and a colourful wall mural depicting children with disabilities playing and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room with colourful floor mats, therapy equipment and a colourful wall mural depicting children with disabilities playing and learning."/>
                    <pic:cNvPicPr/>
                  </pic:nvPicPr>
                  <pic:blipFill>
                    <a:blip r:embed="rId18">
                      <a:extLst>
                        <a:ext uri="{28A0092B-C50C-407E-A947-70E740481C1C}">
                          <a14:useLocalDpi xmlns:a14="http://schemas.microsoft.com/office/drawing/2010/main" val="0"/>
                        </a:ext>
                      </a:extLst>
                    </a:blip>
                    <a:srcRect/>
                    <a:stretch>
                      <a:fillRect/>
                    </a:stretch>
                  </pic:blipFill>
                  <pic:spPr>
                    <a:xfrm>
                      <a:off x="0" y="0"/>
                      <a:ext cx="6207879" cy="3284935"/>
                    </a:xfrm>
                    <a:prstGeom prst="rect">
                      <a:avLst/>
                    </a:prstGeom>
                  </pic:spPr>
                </pic:pic>
              </a:graphicData>
            </a:graphic>
          </wp:inline>
        </w:drawing>
      </w:r>
    </w:p>
    <w:p w14:paraId="0A582B8B" w14:textId="77777777" w:rsidR="00102ACC" w:rsidRPr="00106C87" w:rsidRDefault="00102ACC" w:rsidP="00102ACC">
      <w:pPr>
        <w:spacing w:after="120"/>
        <w:rPr>
          <w:rFonts w:cstheme="minorHAnsi"/>
          <w:sz w:val="22"/>
          <w:szCs w:val="28"/>
        </w:rPr>
      </w:pPr>
      <w:r w:rsidRPr="00106C87">
        <w:rPr>
          <w:rFonts w:cstheme="minorHAnsi"/>
          <w:u w:val="single"/>
        </w:rPr>
        <w:t>Image:</w:t>
      </w:r>
      <w:r w:rsidRPr="00106C87">
        <w:rPr>
          <w:rFonts w:cstheme="minorHAnsi"/>
        </w:rPr>
        <w:t xml:space="preserve"> The child friendly room at the Kampong Cham PRC. </w:t>
      </w:r>
    </w:p>
    <w:p w14:paraId="3AD16615" w14:textId="6D42E396" w:rsidR="008D692D" w:rsidRDefault="008D692D" w:rsidP="00655EF4"/>
    <w:p w14:paraId="6817A3F0" w14:textId="008483AF" w:rsidR="008D692D" w:rsidRDefault="008D692D" w:rsidP="00655EF4"/>
    <w:p w14:paraId="0102D332" w14:textId="5D343057" w:rsidR="008D692D" w:rsidRDefault="008D692D" w:rsidP="00655EF4"/>
    <w:p w14:paraId="01ADCCCB" w14:textId="4C0AB880" w:rsidR="008D692D" w:rsidRDefault="008D692D" w:rsidP="00655EF4"/>
    <w:p w14:paraId="5254F1CC" w14:textId="1201C83D" w:rsidR="008D692D" w:rsidRDefault="008D692D" w:rsidP="00655EF4"/>
    <w:p w14:paraId="120546A6" w14:textId="4F64A6C3" w:rsidR="008D692D" w:rsidRDefault="008D692D" w:rsidP="00655EF4"/>
    <w:p w14:paraId="4A07E5E0" w14:textId="74F2E1CE" w:rsidR="006A3860" w:rsidRPr="00655EF4" w:rsidRDefault="006A3860" w:rsidP="4BE0582D">
      <w:pPr>
        <w:jc w:val="center"/>
      </w:pPr>
    </w:p>
    <w:p w14:paraId="15E10109" w14:textId="0EAE705A" w:rsidR="002008D7" w:rsidRPr="004F7AE0" w:rsidRDefault="002008D7" w:rsidP="004F7AE0">
      <w:pPr>
        <w:pStyle w:val="ChapterHeading"/>
      </w:pPr>
      <w:bookmarkStart w:id="29" w:name="_Toc116328066"/>
      <w:bookmarkStart w:id="30" w:name="_Toc116371552"/>
      <w:bookmarkStart w:id="31" w:name="_Toc116371749"/>
      <w:bookmarkStart w:id="32" w:name="_Toc116378163"/>
      <w:bookmarkStart w:id="33" w:name="_Toc122460790"/>
      <w:r w:rsidRPr="004F7AE0">
        <w:lastRenderedPageBreak/>
        <w:t>Introduction and methodology</w:t>
      </w:r>
      <w:bookmarkEnd w:id="29"/>
      <w:bookmarkEnd w:id="30"/>
      <w:bookmarkEnd w:id="31"/>
      <w:bookmarkEnd w:id="32"/>
      <w:bookmarkEnd w:id="33"/>
    </w:p>
    <w:p w14:paraId="73F183AB" w14:textId="6A6B7578" w:rsidR="002008D7" w:rsidRDefault="00431504" w:rsidP="00326D32">
      <w:pPr>
        <w:pStyle w:val="Heading1"/>
      </w:pPr>
      <w:bookmarkStart w:id="34" w:name="_Toc122460791"/>
      <w:r>
        <w:rPr>
          <w:b w:val="0"/>
          <w:bCs/>
        </w:rPr>
        <w:t>Purpose and scope of the evaluation</w:t>
      </w:r>
      <w:bookmarkEnd w:id="34"/>
    </w:p>
    <w:p w14:paraId="13552951" w14:textId="77777777" w:rsidR="002008D7" w:rsidRPr="00B41956" w:rsidRDefault="002008D7" w:rsidP="00500D7A">
      <w:pPr>
        <w:pStyle w:val="ListBullet"/>
        <w:numPr>
          <w:ilvl w:val="0"/>
          <w:numId w:val="0"/>
        </w:numPr>
        <w:spacing w:after="80"/>
        <w:jc w:val="both"/>
      </w:pPr>
      <w:r w:rsidRPr="00B41956">
        <w:t xml:space="preserve">The purpose of the evaluation was to: </w:t>
      </w:r>
    </w:p>
    <w:p w14:paraId="451EB502" w14:textId="77777777" w:rsidR="002008D7" w:rsidRDefault="002008D7" w:rsidP="00500D7A">
      <w:pPr>
        <w:pStyle w:val="ListBullet"/>
        <w:numPr>
          <w:ilvl w:val="0"/>
          <w:numId w:val="18"/>
        </w:numPr>
        <w:spacing w:after="80"/>
        <w:ind w:left="714" w:hanging="357"/>
        <w:jc w:val="both"/>
        <w:rPr>
          <w:shd w:val="clear" w:color="auto" w:fill="FFFFFF" w:themeFill="background1"/>
        </w:rPr>
      </w:pPr>
      <w:r>
        <w:rPr>
          <w:b/>
          <w:bCs/>
        </w:rPr>
        <w:t xml:space="preserve">Assess the relevance, </w:t>
      </w:r>
      <w:r w:rsidRPr="38835B1A">
        <w:rPr>
          <w:b/>
        </w:rPr>
        <w:t>effectiveness, efficiency and sustainability of the ACCESS program over its five-year duration</w:t>
      </w:r>
      <w:r>
        <w:t xml:space="preserve">, evaluating the extent to which it has achieved its intended outcomes, its impact on Cambodia’s disability and GBV services, and the quality of support provided to people with disabilities or experiencing GBV. </w:t>
      </w:r>
    </w:p>
    <w:p w14:paraId="4612EA7D" w14:textId="77777777" w:rsidR="002008D7" w:rsidRDefault="002008D7" w:rsidP="00C714A3">
      <w:pPr>
        <w:pStyle w:val="ListBullet"/>
        <w:numPr>
          <w:ilvl w:val="0"/>
          <w:numId w:val="18"/>
        </w:numPr>
        <w:spacing w:after="160"/>
        <w:ind w:left="714" w:hanging="357"/>
        <w:jc w:val="both"/>
        <w:rPr>
          <w:shd w:val="clear" w:color="auto" w:fill="FFFFFF" w:themeFill="background1"/>
        </w:rPr>
      </w:pPr>
      <w:r w:rsidRPr="00411D5F">
        <w:rPr>
          <w:b/>
          <w:bCs/>
        </w:rPr>
        <w:t>Identify</w:t>
      </w:r>
      <w:r w:rsidRPr="2D50E72B">
        <w:rPr>
          <w:b/>
        </w:rPr>
        <w:t xml:space="preserve"> lessons learned and best practices from the ACCESS program</w:t>
      </w:r>
      <w:r>
        <w:t xml:space="preserve">. These findings will interrogate whether the focus and approach of ACCESS is the most appropriate and effective way for Australia to advance GEDSI outcomes, and the </w:t>
      </w:r>
      <w:r w:rsidRPr="00C23F2D">
        <w:t xml:space="preserve">implications of Phase 1 lessons for </w:t>
      </w:r>
      <w:r>
        <w:t>future programming.</w:t>
      </w:r>
    </w:p>
    <w:p w14:paraId="03E0142D" w14:textId="19297C1C" w:rsidR="00C81E43" w:rsidRDefault="002008D7" w:rsidP="004A00E4">
      <w:pPr>
        <w:jc w:val="both"/>
        <w:rPr>
          <w:b/>
          <w:bCs/>
        </w:rPr>
      </w:pPr>
      <w:r w:rsidRPr="347795B8">
        <w:rPr>
          <w:b/>
          <w:bCs/>
        </w:rPr>
        <w:t xml:space="preserve">This evaluation </w:t>
      </w:r>
      <w:r>
        <w:rPr>
          <w:b/>
          <w:bCs/>
        </w:rPr>
        <w:t xml:space="preserve">assessed </w:t>
      </w:r>
      <w:r w:rsidR="00AD02D6">
        <w:rPr>
          <w:b/>
          <w:bCs/>
        </w:rPr>
        <w:t>ACCESS’</w:t>
      </w:r>
      <w:r w:rsidR="009F2B4C">
        <w:rPr>
          <w:b/>
          <w:bCs/>
        </w:rPr>
        <w:t>s</w:t>
      </w:r>
      <w:r>
        <w:rPr>
          <w:b/>
          <w:bCs/>
        </w:rPr>
        <w:t xml:space="preserve"> performance and results since its inception in 2018, responding to </w:t>
      </w:r>
      <w:r w:rsidRPr="347795B8">
        <w:rPr>
          <w:b/>
          <w:bCs/>
        </w:rPr>
        <w:t>four high-level key evaluation questions (KEQs)</w:t>
      </w:r>
      <w:r>
        <w:rPr>
          <w:b/>
          <w:bCs/>
        </w:rPr>
        <w:t>:</w:t>
      </w:r>
    </w:p>
    <w:p w14:paraId="09B253C4" w14:textId="791CB95B" w:rsidR="00102ACC" w:rsidRDefault="00102ACC" w:rsidP="00102ACC">
      <w:pPr>
        <w:pStyle w:val="Heading2"/>
      </w:pPr>
      <w:r>
        <w:t>Key Evaluation Questions</w:t>
      </w:r>
    </w:p>
    <w:p w14:paraId="2733D658" w14:textId="5CC4AFC5" w:rsidR="000412AC" w:rsidRDefault="000412AC" w:rsidP="000412AC">
      <w:pPr>
        <w:rPr>
          <w:color w:val="auto"/>
          <w:szCs w:val="20"/>
        </w:rPr>
      </w:pPr>
      <w:r w:rsidRPr="000412AC">
        <w:rPr>
          <w:b/>
          <w:bCs/>
          <w:lang w:val="en-GB"/>
        </w:rPr>
        <w:t>Relevance:</w:t>
      </w:r>
      <w:r>
        <w:rPr>
          <w:lang w:val="en-GB"/>
        </w:rPr>
        <w:t xml:space="preserve"> </w:t>
      </w:r>
      <w:r w:rsidRPr="00214AAD">
        <w:rPr>
          <w:color w:val="auto"/>
          <w:szCs w:val="20"/>
        </w:rPr>
        <w:t xml:space="preserve">Is </w:t>
      </w:r>
      <w:r>
        <w:rPr>
          <w:color w:val="auto"/>
          <w:szCs w:val="20"/>
        </w:rPr>
        <w:t>ACCESS’s</w:t>
      </w:r>
      <w:r w:rsidRPr="00214AAD">
        <w:rPr>
          <w:color w:val="auto"/>
          <w:szCs w:val="20"/>
        </w:rPr>
        <w:t xml:space="preserve"> focus and approach to improving service delivery for victims of gender-based violence and people with disabilities a relevant and effective route to advancing gender equality and social inclusion in Cambodia? Are there other types of programs that could be more effective in advancing social inclusion in Cambodia going forward? </w:t>
      </w:r>
    </w:p>
    <w:p w14:paraId="77771A97" w14:textId="2837E568" w:rsidR="000412AC" w:rsidRDefault="000412AC" w:rsidP="000412AC">
      <w:pPr>
        <w:rPr>
          <w:color w:val="auto"/>
          <w:szCs w:val="20"/>
        </w:rPr>
      </w:pPr>
      <w:r w:rsidRPr="000412AC">
        <w:rPr>
          <w:b/>
          <w:bCs/>
          <w:szCs w:val="20"/>
          <w:lang w:val="en-GB"/>
        </w:rPr>
        <w:t>Effectiveness:</w:t>
      </w:r>
      <w:r>
        <w:rPr>
          <w:szCs w:val="20"/>
          <w:lang w:val="en-GB"/>
        </w:rPr>
        <w:t xml:space="preserve"> </w:t>
      </w:r>
      <w:r w:rsidRPr="00214AAD">
        <w:rPr>
          <w:color w:val="auto"/>
          <w:szCs w:val="20"/>
        </w:rPr>
        <w:t>Was ACCESS effective in achieving its intended outcomes? </w:t>
      </w:r>
    </w:p>
    <w:p w14:paraId="72E34F0E" w14:textId="27FFA646" w:rsidR="000412AC" w:rsidRDefault="000412AC" w:rsidP="000412AC">
      <w:pPr>
        <w:rPr>
          <w:color w:val="auto"/>
          <w:szCs w:val="20"/>
        </w:rPr>
      </w:pPr>
      <w:r w:rsidRPr="000412AC">
        <w:rPr>
          <w:b/>
          <w:bCs/>
          <w:szCs w:val="20"/>
          <w:lang w:val="en-GB"/>
        </w:rPr>
        <w:t>Sustainability:</w:t>
      </w:r>
      <w:r>
        <w:rPr>
          <w:szCs w:val="20"/>
          <w:lang w:val="en-GB"/>
        </w:rPr>
        <w:t xml:space="preserve"> </w:t>
      </w:r>
      <w:r w:rsidRPr="00214AAD">
        <w:rPr>
          <w:color w:val="auto"/>
          <w:szCs w:val="20"/>
        </w:rPr>
        <w:t>Are program achievements and impacts sustainable?</w:t>
      </w:r>
    </w:p>
    <w:p w14:paraId="4A9D3726" w14:textId="2B86714A" w:rsidR="000412AC" w:rsidRPr="000412AC" w:rsidRDefault="000412AC" w:rsidP="000412AC">
      <w:pPr>
        <w:rPr>
          <w:lang w:val="en-GB"/>
        </w:rPr>
      </w:pPr>
      <w:r w:rsidRPr="000412AC">
        <w:rPr>
          <w:b/>
          <w:bCs/>
          <w:szCs w:val="20"/>
          <w:lang w:val="en-GB"/>
        </w:rPr>
        <w:t>Efficiency:</w:t>
      </w:r>
      <w:r>
        <w:rPr>
          <w:szCs w:val="20"/>
          <w:lang w:val="en-GB"/>
        </w:rPr>
        <w:t xml:space="preserve"> </w:t>
      </w:r>
      <w:r w:rsidRPr="00214AAD">
        <w:rPr>
          <w:color w:val="auto"/>
          <w:szCs w:val="20"/>
        </w:rPr>
        <w:t>To what extent has ACCESS been an efficient and effective program model to deliver outcomes?  </w:t>
      </w:r>
    </w:p>
    <w:p w14:paraId="79BDD3F7" w14:textId="5ED09A7A" w:rsidR="002008D7" w:rsidRPr="007825FE" w:rsidRDefault="00431504" w:rsidP="00326D32">
      <w:pPr>
        <w:pStyle w:val="Heading1"/>
        <w:rPr>
          <w:b w:val="0"/>
          <w:bCs/>
        </w:rPr>
      </w:pPr>
      <w:bookmarkStart w:id="35" w:name="_Toc122460792"/>
      <w:r>
        <w:rPr>
          <w:b w:val="0"/>
          <w:bCs/>
        </w:rPr>
        <w:t>Methodology</w:t>
      </w:r>
      <w:bookmarkEnd w:id="35"/>
    </w:p>
    <w:p w14:paraId="0279B26E" w14:textId="56A98D01" w:rsidR="002008D7" w:rsidRDefault="002008D7" w:rsidP="004A00E4">
      <w:pPr>
        <w:jc w:val="both"/>
      </w:pPr>
      <w:r>
        <w:t xml:space="preserve">A convergent mixed methods design was used for triangulation of data during and after the </w:t>
      </w:r>
      <w:r w:rsidR="006D28C3">
        <w:t xml:space="preserve">evaluation </w:t>
      </w:r>
      <w:r>
        <w:t>field mission</w:t>
      </w:r>
      <w:r w:rsidR="006D28C3">
        <w:t xml:space="preserve"> conducted in August 2022</w:t>
      </w:r>
      <w:r>
        <w:t xml:space="preserve">. Primary data was collected in Phnom Penh, Kampong </w:t>
      </w:r>
      <w:proofErr w:type="spellStart"/>
      <w:r>
        <w:t>Speu</w:t>
      </w:r>
      <w:proofErr w:type="spellEnd"/>
      <w:r>
        <w:t xml:space="preserve"> and Kampong Cham. Evidence was collected through the following methods:</w:t>
      </w:r>
    </w:p>
    <w:p w14:paraId="11BED7A4" w14:textId="57FC4937" w:rsidR="002008D7" w:rsidRDefault="002008D7" w:rsidP="00857D60">
      <w:pPr>
        <w:pStyle w:val="ListParagraph"/>
        <w:numPr>
          <w:ilvl w:val="0"/>
          <w:numId w:val="19"/>
        </w:numPr>
        <w:spacing w:after="80"/>
        <w:ind w:left="714" w:hanging="357"/>
        <w:contextualSpacing w:val="0"/>
        <w:jc w:val="both"/>
      </w:pPr>
      <w:r w:rsidRPr="001141B5">
        <w:rPr>
          <w:rStyle w:val="Heading3Char"/>
          <w:b/>
          <w:color w:val="1D336D" w:themeColor="background2"/>
          <w:sz w:val="20"/>
          <w:szCs w:val="20"/>
        </w:rPr>
        <w:t>Document review</w:t>
      </w:r>
      <w:r w:rsidRPr="001141B5">
        <w:rPr>
          <w:rStyle w:val="Heading3Char"/>
          <w:color w:val="1D336D" w:themeColor="background2"/>
          <w:sz w:val="20"/>
          <w:szCs w:val="20"/>
        </w:rPr>
        <w:t>.</w:t>
      </w:r>
      <w:r w:rsidRPr="001141B5">
        <w:rPr>
          <w:color w:val="1D336D" w:themeColor="background2"/>
        </w:rPr>
        <w:t xml:space="preserve"> </w:t>
      </w:r>
      <w:r>
        <w:t xml:space="preserve">Review of 100+ program documents, including the ACCESS </w:t>
      </w:r>
      <w:r w:rsidR="00A2192B">
        <w:t xml:space="preserve">MIS system and </w:t>
      </w:r>
      <w:r>
        <w:t>M&amp;E database (‘</w:t>
      </w:r>
      <w:r w:rsidR="00A2192B">
        <w:t>Amelia’</w:t>
      </w:r>
      <w:r>
        <w:t>), activity reports and financial data.</w:t>
      </w:r>
      <w:r w:rsidRPr="0318F25C">
        <w:rPr>
          <w:b/>
          <w:bCs/>
        </w:rPr>
        <w:t xml:space="preserve"> </w:t>
      </w:r>
      <w:r>
        <w:t>Reviewed international literature on GBV and disability-related service delivery.</w:t>
      </w:r>
    </w:p>
    <w:p w14:paraId="61637277" w14:textId="267E015A" w:rsidR="002008D7" w:rsidRDefault="002008D7" w:rsidP="00857D60">
      <w:pPr>
        <w:pStyle w:val="ListParagraph"/>
        <w:numPr>
          <w:ilvl w:val="0"/>
          <w:numId w:val="19"/>
        </w:numPr>
        <w:spacing w:after="80"/>
        <w:ind w:left="714" w:hanging="357"/>
        <w:contextualSpacing w:val="0"/>
        <w:jc w:val="both"/>
      </w:pPr>
      <w:r w:rsidRPr="001141B5">
        <w:rPr>
          <w:b/>
          <w:bCs/>
          <w:color w:val="1D336D" w:themeColor="background2"/>
        </w:rPr>
        <w:t>Key informant interviews.</w:t>
      </w:r>
      <w:r w:rsidRPr="001141B5">
        <w:rPr>
          <w:color w:val="1D336D" w:themeColor="background2"/>
        </w:rPr>
        <w:t xml:space="preserve"> </w:t>
      </w:r>
      <w:r>
        <w:t xml:space="preserve">Semi-structured interviews included program managers from both ACCESS and DFAT, as well as RGC partners from </w:t>
      </w:r>
      <w:proofErr w:type="spellStart"/>
      <w:r w:rsidR="00A2192B">
        <w:t>MoWA</w:t>
      </w:r>
      <w:proofErr w:type="spellEnd"/>
      <w:r>
        <w:t xml:space="preserve">, </w:t>
      </w:r>
      <w:proofErr w:type="spellStart"/>
      <w:r>
        <w:t>M</w:t>
      </w:r>
      <w:r w:rsidR="00A2192B">
        <w:t>o</w:t>
      </w:r>
      <w:r>
        <w:t>SVY</w:t>
      </w:r>
      <w:proofErr w:type="spellEnd"/>
      <w:r>
        <w:t xml:space="preserve">, MEF, and </w:t>
      </w:r>
      <w:proofErr w:type="spellStart"/>
      <w:r>
        <w:t>M</w:t>
      </w:r>
      <w:r w:rsidR="00A2192B">
        <w:t>o</w:t>
      </w:r>
      <w:r>
        <w:t>I</w:t>
      </w:r>
      <w:proofErr w:type="spellEnd"/>
      <w:r>
        <w:t xml:space="preserve"> at both the national and </w:t>
      </w:r>
      <w:r w:rsidR="0087378E">
        <w:t>sub-national</w:t>
      </w:r>
      <w:r>
        <w:t xml:space="preserve"> (provincial, district and commune) levels. Other interviews were conducted with IPs, independent context and sectoral experts, NGOs and development partners.</w:t>
      </w:r>
    </w:p>
    <w:p w14:paraId="3F2B1F70" w14:textId="378E939B" w:rsidR="002008D7" w:rsidRDefault="002008D7" w:rsidP="00857D60">
      <w:pPr>
        <w:pStyle w:val="ListParagraph"/>
        <w:numPr>
          <w:ilvl w:val="0"/>
          <w:numId w:val="19"/>
        </w:numPr>
        <w:spacing w:after="80"/>
        <w:ind w:left="714" w:hanging="357"/>
        <w:contextualSpacing w:val="0"/>
        <w:jc w:val="both"/>
      </w:pPr>
      <w:r w:rsidRPr="001141B5">
        <w:rPr>
          <w:b/>
          <w:bCs/>
          <w:color w:val="1D336D" w:themeColor="background2"/>
        </w:rPr>
        <w:t>Focus group discussions.</w:t>
      </w:r>
      <w:r w:rsidRPr="001141B5">
        <w:rPr>
          <w:color w:val="1D336D" w:themeColor="background2"/>
        </w:rPr>
        <w:t xml:space="preserve"> </w:t>
      </w:r>
      <w:r>
        <w:t xml:space="preserve">With the GBV and Disability Workstream </w:t>
      </w:r>
      <w:r w:rsidR="004403C6">
        <w:t>IPs, and beneficiaries</w:t>
      </w:r>
      <w:r w:rsidR="00D24B40">
        <w:t xml:space="preserve"> reached through organisations supported by IPs</w:t>
      </w:r>
      <w:r>
        <w:t xml:space="preserve">. </w:t>
      </w:r>
    </w:p>
    <w:p w14:paraId="7461EE37" w14:textId="790D48E1" w:rsidR="002008D7" w:rsidRDefault="002008D7" w:rsidP="00857D60">
      <w:pPr>
        <w:pStyle w:val="ListParagraph"/>
        <w:numPr>
          <w:ilvl w:val="0"/>
          <w:numId w:val="19"/>
        </w:numPr>
        <w:spacing w:after="80"/>
        <w:ind w:left="714" w:hanging="357"/>
        <w:contextualSpacing w:val="0"/>
        <w:jc w:val="both"/>
      </w:pPr>
      <w:r w:rsidRPr="001141B5">
        <w:rPr>
          <w:b/>
          <w:bCs/>
          <w:color w:val="1D336D" w:themeColor="background2"/>
        </w:rPr>
        <w:t>Site visits / observation.</w:t>
      </w:r>
      <w:r w:rsidRPr="001141B5">
        <w:rPr>
          <w:color w:val="1D336D" w:themeColor="background2"/>
        </w:rPr>
        <w:t xml:space="preserve"> </w:t>
      </w:r>
      <w:r>
        <w:t xml:space="preserve">The team visited </w:t>
      </w:r>
      <w:r w:rsidR="00952C7C">
        <w:t>one</w:t>
      </w:r>
      <w:r>
        <w:t xml:space="preserve"> Physical Rehabilitation Centre (PRC)</w:t>
      </w:r>
      <w:r w:rsidR="00D24B40">
        <w:t xml:space="preserve"> in Kampong Cham</w:t>
      </w:r>
      <w:r>
        <w:t xml:space="preserve">, and the </w:t>
      </w:r>
      <w:proofErr w:type="spellStart"/>
      <w:r w:rsidR="00A2192B">
        <w:t>MoWA</w:t>
      </w:r>
      <w:proofErr w:type="spellEnd"/>
      <w:r>
        <w:t xml:space="preserve">-supported Women’s Development Centre (WDC) in Kampong </w:t>
      </w:r>
      <w:proofErr w:type="spellStart"/>
      <w:r>
        <w:t>Speu</w:t>
      </w:r>
      <w:proofErr w:type="spellEnd"/>
      <w:r>
        <w:t xml:space="preserve">. </w:t>
      </w:r>
    </w:p>
    <w:p w14:paraId="6BFCAEB6" w14:textId="4121E041" w:rsidR="002008D7" w:rsidRDefault="002008D7" w:rsidP="0318F25C">
      <w:pPr>
        <w:pStyle w:val="ListParagraph"/>
        <w:numPr>
          <w:ilvl w:val="0"/>
          <w:numId w:val="19"/>
        </w:numPr>
        <w:ind w:left="777" w:hanging="357"/>
        <w:jc w:val="both"/>
      </w:pPr>
      <w:r w:rsidRPr="001141B5">
        <w:rPr>
          <w:b/>
          <w:bCs/>
          <w:color w:val="1D336D" w:themeColor="background2"/>
        </w:rPr>
        <w:lastRenderedPageBreak/>
        <w:t>Continuous reflection and triangulation of data.</w:t>
      </w:r>
      <w:r w:rsidRPr="0318F25C">
        <w:rPr>
          <w:color w:val="4E72D0" w:themeColor="background2" w:themeTint="99"/>
        </w:rPr>
        <w:t xml:space="preserve"> </w:t>
      </w:r>
      <w:r>
        <w:t xml:space="preserve">The team recorded and regularly processed findings while on mission. This process enabled a quick distillation of conclusions that was able to be checked in subsequent interviews and through the quantitative data, using contribution analysis. </w:t>
      </w:r>
    </w:p>
    <w:p w14:paraId="57C76A56" w14:textId="645DB7F4" w:rsidR="002008D7" w:rsidRDefault="002008D7" w:rsidP="00463D7B">
      <w:pPr>
        <w:jc w:val="both"/>
      </w:pPr>
      <w:r>
        <w:t xml:space="preserve">The </w:t>
      </w:r>
      <w:r w:rsidR="003812AE">
        <w:t>Evaluation</w:t>
      </w:r>
      <w:r>
        <w:t xml:space="preserve"> Team conducted 55 interviews and focus group discussions with approximately 200 stakeholders (80 male, 119 female) between August and October 2022.</w:t>
      </w:r>
      <w:r w:rsidR="00FA6F86">
        <w:t xml:space="preserve"> </w:t>
      </w:r>
    </w:p>
    <w:p w14:paraId="18474694" w14:textId="5B1D1233" w:rsidR="002008D7" w:rsidRDefault="002008D7" w:rsidP="00463D7B">
      <w:pPr>
        <w:jc w:val="both"/>
      </w:pPr>
      <w:r>
        <w:t xml:space="preserve">The </w:t>
      </w:r>
      <w:r w:rsidR="003812AE">
        <w:t>Evaluation</w:t>
      </w:r>
      <w:r>
        <w:t xml:space="preserve"> Team used rubrics for synthesis and to form judgements on the evidence to answer the four KEQs. These rubrics draw on the implicit values in the sub-questions and are an adaptation of DFAT’s Annual Investment Monitoring Review (IMR) ratings matrix</w:t>
      </w:r>
      <w:r w:rsidR="008D692D">
        <w:t>.</w:t>
      </w:r>
    </w:p>
    <w:p w14:paraId="016B4D5F" w14:textId="5F28834A" w:rsidR="002008D7" w:rsidRPr="003A5075" w:rsidRDefault="002F0D54" w:rsidP="00326D32">
      <w:pPr>
        <w:pStyle w:val="Heading1"/>
      </w:pPr>
      <w:bookmarkStart w:id="36" w:name="_Toc122460793"/>
      <w:r>
        <w:rPr>
          <w:b w:val="0"/>
          <w:bCs/>
        </w:rPr>
        <w:t>Limitations</w:t>
      </w:r>
      <w:bookmarkEnd w:id="36"/>
    </w:p>
    <w:p w14:paraId="02A1011E" w14:textId="5E293832" w:rsidR="00C81E43" w:rsidRDefault="002008D7" w:rsidP="004A00E4">
      <w:pPr>
        <w:jc w:val="both"/>
      </w:pPr>
      <w:r>
        <w:t xml:space="preserve">There were </w:t>
      </w:r>
      <w:r w:rsidR="00F6160D">
        <w:t>three</w:t>
      </w:r>
      <w:r>
        <w:t xml:space="preserve"> </w:t>
      </w:r>
      <w:r w:rsidR="00482CD2">
        <w:t>key</w:t>
      </w:r>
      <w:r>
        <w:t xml:space="preserve"> limitations that had a bearing on the scope and findings of this evaluation. The first were logistical in nature. The two-week duration of the mission meant that consultations and data collection were limited to three of the 15 provinces involved in the program (Phnom Penh, Kampong </w:t>
      </w:r>
      <w:proofErr w:type="spellStart"/>
      <w:r>
        <w:t>Speu</w:t>
      </w:r>
      <w:proofErr w:type="spellEnd"/>
      <w:r>
        <w:t xml:space="preserve"> and Kampong Cham). As these represented target provinces and the strong national focus of ACCESS, these provinces are likely to reflect the most significant examples of change achieved by ACCESS. In addition, the mission coincided with 2023 Budget Week and subsequently access to finance officials was limited. </w:t>
      </w:r>
    </w:p>
    <w:p w14:paraId="0895383B" w14:textId="71C1985C" w:rsidR="00C81E43" w:rsidRDefault="002008D7" w:rsidP="004A00E4">
      <w:pPr>
        <w:jc w:val="both"/>
      </w:pPr>
      <w:r>
        <w:t xml:space="preserve">Secondly, due to ethical considerations the </w:t>
      </w:r>
      <w:r w:rsidR="003812AE">
        <w:t>evaluation</w:t>
      </w:r>
      <w:r>
        <w:t xml:space="preserve"> team did not meet with any survivors of violence nor visit any of the GBV shelters</w:t>
      </w:r>
      <w:r w:rsidR="4D87EBD1">
        <w:t xml:space="preserve">. </w:t>
      </w:r>
      <w:r w:rsidR="000B46EC">
        <w:t>So,</w:t>
      </w:r>
      <w:r w:rsidR="4D87EBD1">
        <w:t xml:space="preserve"> the evaluation </w:t>
      </w:r>
      <w:r>
        <w:t xml:space="preserve">was </w:t>
      </w:r>
      <w:r w:rsidR="000F5DB5">
        <w:t xml:space="preserve">not able to </w:t>
      </w:r>
      <w:r>
        <w:t>elicit women’s perspective</w:t>
      </w:r>
      <w:r w:rsidR="000F493A">
        <w:t>s</w:t>
      </w:r>
      <w:r>
        <w:t xml:space="preserve"> on the ACCESS-supported GBV services beyond that available in existing reports </w:t>
      </w:r>
      <w:r w:rsidR="00F4172D">
        <w:t xml:space="preserve">- </w:t>
      </w:r>
      <w:r>
        <w:t>especially the Service Use Quality Uptake Stud</w:t>
      </w:r>
      <w:r w:rsidR="00952C7C">
        <w:t>y ‘</w:t>
      </w:r>
      <w:r>
        <w:t>SAQUS</w:t>
      </w:r>
      <w:r w:rsidR="00952C7C">
        <w:t>’ (</w:t>
      </w:r>
      <w:r>
        <w:t>20</w:t>
      </w:r>
      <w:r w:rsidR="00952C7C">
        <w:t>19-</w:t>
      </w:r>
      <w:r>
        <w:t>2</w:t>
      </w:r>
      <w:r w:rsidR="72860525">
        <w:t>0</w:t>
      </w:r>
      <w:r w:rsidR="00952C7C">
        <w:t>) which surveys users to understand the quality of the GBV and disability services being provided and the barriers that service users face in trying to access service</w:t>
      </w:r>
      <w:r w:rsidR="7E91FA4C">
        <w:t>s</w:t>
      </w:r>
      <w:r>
        <w:t>.</w:t>
      </w:r>
      <w:r w:rsidR="00CB073B">
        <w:t xml:space="preserve"> </w:t>
      </w:r>
      <w:r w:rsidR="022A1079">
        <w:t>The follow up SAQUS was due in late 2022, but it was not yet available while this report was being finalised.</w:t>
      </w:r>
    </w:p>
    <w:p w14:paraId="18D46E3F" w14:textId="0788283D" w:rsidR="002008D7" w:rsidRDefault="002008D7" w:rsidP="004A00E4">
      <w:pPr>
        <w:jc w:val="both"/>
      </w:pPr>
      <w:r>
        <w:t xml:space="preserve">Thirdly, </w:t>
      </w:r>
      <w:r w:rsidR="00A42DF6">
        <w:t>multiple</w:t>
      </w:r>
      <w:r>
        <w:t xml:space="preserve"> changes to </w:t>
      </w:r>
      <w:r w:rsidR="00AD02D6">
        <w:t>ACCESS’</w:t>
      </w:r>
      <w:r w:rsidR="009F2B4C">
        <w:t>s</w:t>
      </w:r>
      <w:r w:rsidRPr="00777E2B">
        <w:t xml:space="preserve"> program logic over the program’s duration meant it was difficult to formulate a coherent and consistent performance assessment for the program. In pa</w:t>
      </w:r>
      <w:r w:rsidRPr="00D70B1B">
        <w:t>rt, the onset of the COVID-19 pandemic and subsequent budgetary constraints of RGC explain this iterative approach</w:t>
      </w:r>
      <w:r w:rsidR="701067A9" w:rsidRPr="00D70B1B">
        <w:t xml:space="preserve">. It also demonstrates the ACCESS team’s interrogation of the context and adaption of the </w:t>
      </w:r>
      <w:r w:rsidR="47AFE9E0" w:rsidRPr="00D70B1B">
        <w:t>design to implementation conditions and learning</w:t>
      </w:r>
      <w:r w:rsidR="03D57A38" w:rsidRPr="00D70B1B">
        <w:t>.</w:t>
      </w:r>
      <w:r w:rsidRPr="00D70B1B">
        <w:t xml:space="preserve"> </w:t>
      </w:r>
      <w:r w:rsidR="51EF2C9D" w:rsidRPr="00D70B1B">
        <w:t>H</w:t>
      </w:r>
      <w:r w:rsidRPr="00D70B1B">
        <w:t>owever</w:t>
      </w:r>
      <w:r w:rsidR="0051551D">
        <w:t>,</w:t>
      </w:r>
      <w:r w:rsidRPr="00D70B1B">
        <w:t xml:space="preserve"> it has resulted in the lack of a clear line of sight from </w:t>
      </w:r>
      <w:r w:rsidR="00AD02D6">
        <w:t>ACCESS’</w:t>
      </w:r>
      <w:r w:rsidR="009F2B4C">
        <w:t>s</w:t>
      </w:r>
      <w:r w:rsidRPr="00735772">
        <w:t xml:space="preserve"> baseline conditions in Year 1 to results achieved in later years </w:t>
      </w:r>
      <w:r w:rsidRPr="00D34796">
        <w:t xml:space="preserve">of the program, as well as shifting performance expectations which make a robust assessment </w:t>
      </w:r>
      <w:r w:rsidRPr="00D725B8">
        <w:t>challenging to undertake.</w:t>
      </w:r>
    </w:p>
    <w:p w14:paraId="055D39FF" w14:textId="77777777" w:rsidR="00C047CE" w:rsidRDefault="00C047CE" w:rsidP="00AA5AD2">
      <w:pPr>
        <w:spacing w:after="120"/>
        <w:rPr>
          <w:szCs w:val="20"/>
          <w:u w:val="single"/>
        </w:rPr>
      </w:pPr>
      <w:r>
        <w:rPr>
          <w:noProof/>
        </w:rPr>
        <w:drawing>
          <wp:inline distT="0" distB="0" distL="0" distR="0" wp14:anchorId="3854E0FA" wp14:editId="3C9583B5">
            <wp:extent cx="3214114" cy="2438400"/>
            <wp:effectExtent l="0" t="0" r="5715" b="0"/>
            <wp:docPr id="572692196" name="Picture Placeholder 5" descr="A woman wearing a white shirt is sitting at a table, looking at a booklet with colourful images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692196" name="Picture Placeholder 5" descr="A woman wearing a white shirt is sitting at a table, looking at a booklet with colourful images and text."/>
                    <pic:cNvPicPr/>
                  </pic:nvPicPr>
                  <pic:blipFill>
                    <a:blip r:embed="rId1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xmlns:oel="http://schemas.microsoft.com/office/2019/extlst" id="{5035A730-A95A-426A-96EA-02EE90154D11}"/>
                        </a:ext>
                      </a:extLst>
                    </a:blip>
                    <a:srcRect l="6224" r="1103"/>
                    <a:stretch>
                      <a:fillRect/>
                    </a:stretch>
                  </pic:blipFill>
                  <pic:spPr>
                    <a:xfrm>
                      <a:off x="0" y="0"/>
                      <a:ext cx="3232925" cy="2452671"/>
                    </a:xfrm>
                    <a:prstGeom prst="rect">
                      <a:avLst/>
                    </a:prstGeom>
                  </pic:spPr>
                </pic:pic>
              </a:graphicData>
            </a:graphic>
          </wp:inline>
        </w:drawing>
      </w:r>
    </w:p>
    <w:p w14:paraId="4B874EA0" w14:textId="3424DDC9" w:rsidR="00AA5AD2" w:rsidRDefault="00AA5AD2" w:rsidP="00AA5AD2">
      <w:pPr>
        <w:spacing w:after="120"/>
      </w:pPr>
      <w:r w:rsidRPr="00106C87">
        <w:rPr>
          <w:szCs w:val="20"/>
          <w:u w:val="single"/>
        </w:rPr>
        <w:t>Image:</w:t>
      </w:r>
      <w:r w:rsidRPr="00106C87">
        <w:rPr>
          <w:szCs w:val="20"/>
        </w:rPr>
        <w:t xml:space="preserve"> Mrs </w:t>
      </w:r>
      <w:proofErr w:type="spellStart"/>
      <w:r w:rsidRPr="00106C87">
        <w:rPr>
          <w:szCs w:val="20"/>
        </w:rPr>
        <w:t>Nop</w:t>
      </w:r>
      <w:proofErr w:type="spellEnd"/>
      <w:r w:rsidRPr="00106C87">
        <w:rPr>
          <w:szCs w:val="20"/>
        </w:rPr>
        <w:t xml:space="preserve"> </w:t>
      </w:r>
      <w:proofErr w:type="spellStart"/>
      <w:r w:rsidRPr="00106C87">
        <w:rPr>
          <w:szCs w:val="20"/>
        </w:rPr>
        <w:t>Rany</w:t>
      </w:r>
      <w:proofErr w:type="spellEnd"/>
      <w:r w:rsidRPr="00106C87">
        <w:rPr>
          <w:szCs w:val="20"/>
        </w:rPr>
        <w:t xml:space="preserve">, elected member of village committee, Kampong </w:t>
      </w:r>
      <w:proofErr w:type="spellStart"/>
      <w:r w:rsidRPr="00106C87">
        <w:rPr>
          <w:szCs w:val="20"/>
        </w:rPr>
        <w:t>Speu</w:t>
      </w:r>
      <w:proofErr w:type="spellEnd"/>
      <w:r w:rsidRPr="00106C87">
        <w:rPr>
          <w:szCs w:val="20"/>
        </w:rPr>
        <w:t xml:space="preserve"> Province (from ACCESS website – case study). </w:t>
      </w:r>
    </w:p>
    <w:p w14:paraId="36D08345" w14:textId="758E68EC" w:rsidR="00025A26" w:rsidRPr="002F0D54" w:rsidRDefault="00E94397" w:rsidP="002F0D54">
      <w:pPr>
        <w:pStyle w:val="ChapterHeading"/>
      </w:pPr>
      <w:bookmarkStart w:id="37" w:name="_Toc116328070"/>
      <w:bookmarkStart w:id="38" w:name="_Toc116371556"/>
      <w:bookmarkStart w:id="39" w:name="_Toc116371753"/>
      <w:bookmarkStart w:id="40" w:name="_Toc116378167"/>
      <w:bookmarkStart w:id="41" w:name="_Toc122460794"/>
      <w:r w:rsidRPr="002F0D54">
        <w:lastRenderedPageBreak/>
        <w:t xml:space="preserve">program </w:t>
      </w:r>
      <w:r w:rsidR="00062F19" w:rsidRPr="002F0D54">
        <w:t>overview</w:t>
      </w:r>
      <w:bookmarkEnd w:id="37"/>
      <w:bookmarkEnd w:id="38"/>
      <w:bookmarkEnd w:id="39"/>
      <w:bookmarkEnd w:id="40"/>
      <w:bookmarkEnd w:id="41"/>
    </w:p>
    <w:p w14:paraId="3F94DB48" w14:textId="2B31E4D7" w:rsidR="007133BA" w:rsidRPr="007825FE" w:rsidRDefault="00D951C5" w:rsidP="00326D32">
      <w:pPr>
        <w:pStyle w:val="Heading1"/>
        <w:rPr>
          <w:b w:val="0"/>
          <w:bCs/>
        </w:rPr>
      </w:pPr>
      <w:bookmarkStart w:id="42" w:name="_Toc116327888"/>
      <w:bookmarkStart w:id="43" w:name="_Toc116328001"/>
      <w:bookmarkStart w:id="44" w:name="_Toc116328071"/>
      <w:bookmarkStart w:id="45" w:name="_Toc116371557"/>
      <w:bookmarkStart w:id="46" w:name="_Toc116371687"/>
      <w:bookmarkStart w:id="47" w:name="_Toc116371754"/>
      <w:bookmarkStart w:id="48" w:name="_Toc116378168"/>
      <w:bookmarkStart w:id="49" w:name="_Toc122460795"/>
      <w:r w:rsidRPr="007825FE">
        <w:rPr>
          <w:b w:val="0"/>
          <w:bCs/>
        </w:rPr>
        <w:t>Context</w:t>
      </w:r>
      <w:bookmarkEnd w:id="42"/>
      <w:bookmarkEnd w:id="43"/>
      <w:bookmarkEnd w:id="44"/>
      <w:bookmarkEnd w:id="45"/>
      <w:bookmarkEnd w:id="46"/>
      <w:bookmarkEnd w:id="47"/>
      <w:bookmarkEnd w:id="48"/>
      <w:bookmarkEnd w:id="49"/>
    </w:p>
    <w:p w14:paraId="3018C07C" w14:textId="77777777" w:rsidR="00DA367F" w:rsidRDefault="00762A51" w:rsidP="006B3D08">
      <w:pPr>
        <w:jc w:val="both"/>
      </w:pPr>
      <w:r w:rsidRPr="00605AB2">
        <w:rPr>
          <w:b/>
          <w:bCs/>
        </w:rPr>
        <w:t xml:space="preserve">ACCESS was delivered in </w:t>
      </w:r>
      <w:r w:rsidR="004A37EF" w:rsidRPr="00605AB2">
        <w:rPr>
          <w:b/>
          <w:bCs/>
        </w:rPr>
        <w:t xml:space="preserve">a rapidly changing </w:t>
      </w:r>
      <w:r w:rsidR="00E46779" w:rsidRPr="00605AB2">
        <w:rPr>
          <w:b/>
          <w:bCs/>
        </w:rPr>
        <w:t xml:space="preserve">context, characterised by shifts in the </w:t>
      </w:r>
      <w:r w:rsidR="0032035B" w:rsidRPr="00605AB2">
        <w:rPr>
          <w:b/>
          <w:bCs/>
        </w:rPr>
        <w:t>operating environment in Cambodia</w:t>
      </w:r>
      <w:r w:rsidR="00E80018" w:rsidRPr="00605AB2">
        <w:rPr>
          <w:b/>
          <w:bCs/>
        </w:rPr>
        <w:t xml:space="preserve"> and institutional change</w:t>
      </w:r>
      <w:r w:rsidR="00A314C9">
        <w:rPr>
          <w:b/>
          <w:bCs/>
        </w:rPr>
        <w:t xml:space="preserve">. </w:t>
      </w:r>
      <w:r w:rsidR="00B83365">
        <w:t>The onset of the Covid-19 pandemic in early 2020</w:t>
      </w:r>
      <w:r w:rsidR="00EF02E3">
        <w:t xml:space="preserve"> had</w:t>
      </w:r>
      <w:r w:rsidR="00B83365">
        <w:t xml:space="preserve"> </w:t>
      </w:r>
      <w:r w:rsidR="003823E6">
        <w:t>de</w:t>
      </w:r>
      <w:r w:rsidR="00230CF7">
        <w:t>vastating impacts on business and the livelihoods of people in Cambodia</w:t>
      </w:r>
      <w:r w:rsidR="00C309C7">
        <w:t xml:space="preserve"> and caused</w:t>
      </w:r>
      <w:r w:rsidR="00C0619F">
        <w:t xml:space="preserve"> severe fiscal constraints</w:t>
      </w:r>
      <w:r w:rsidR="00E72540">
        <w:t xml:space="preserve"> that saw </w:t>
      </w:r>
      <w:r w:rsidR="00E54FCD">
        <w:t xml:space="preserve">funding commitments by the national government </w:t>
      </w:r>
      <w:r w:rsidR="00993D05">
        <w:t xml:space="preserve">retracted as budgets were reconciled at the national level. </w:t>
      </w:r>
      <w:r w:rsidR="00F57074" w:rsidRPr="009B71D1">
        <w:t>RGC counterparts and sub-national authorities prioritize</w:t>
      </w:r>
      <w:r w:rsidR="00717CD0">
        <w:t>d</w:t>
      </w:r>
      <w:r w:rsidR="00F57074" w:rsidRPr="009B71D1">
        <w:t xml:space="preserve"> </w:t>
      </w:r>
      <w:r w:rsidR="00970EDA" w:rsidRPr="009B71D1">
        <w:t>C</w:t>
      </w:r>
      <w:r w:rsidR="00970EDA">
        <w:t>ovid</w:t>
      </w:r>
      <w:r w:rsidR="00F57074" w:rsidRPr="009B71D1">
        <w:t xml:space="preserve">-19 response plans and faced </w:t>
      </w:r>
      <w:r w:rsidR="002568D1">
        <w:t xml:space="preserve">limitations </w:t>
      </w:r>
      <w:r w:rsidR="00A03933">
        <w:t xml:space="preserve">in their ability to allocate </w:t>
      </w:r>
      <w:r w:rsidR="00F57074" w:rsidRPr="009B71D1">
        <w:t>sufficient budget to disability and GBV specific service delivery.</w:t>
      </w:r>
      <w:r w:rsidR="00B172EF">
        <w:t xml:space="preserve"> </w:t>
      </w:r>
    </w:p>
    <w:p w14:paraId="361A8662" w14:textId="0BA4107A" w:rsidR="008E5E8D" w:rsidRDefault="008E5E8D" w:rsidP="006B3D08">
      <w:pPr>
        <w:jc w:val="both"/>
      </w:pPr>
      <w:r w:rsidRPr="00AB6388">
        <w:rPr>
          <w:b/>
          <w:bCs/>
        </w:rPr>
        <w:t>ACCESS beneficiaries and partners faced significant implementation barriers and pivoted to new ways of working towards achievement of ACCESS program outcomes.</w:t>
      </w:r>
      <w:r w:rsidRPr="009B71D1">
        <w:t xml:space="preserve"> </w:t>
      </w:r>
      <w:r>
        <w:t xml:space="preserve">Government </w:t>
      </w:r>
      <w:r w:rsidRPr="009B71D1">
        <w:t xml:space="preserve">and non-government partners </w:t>
      </w:r>
      <w:r>
        <w:t xml:space="preserve">shifted to </w:t>
      </w:r>
      <w:r w:rsidRPr="009B71D1">
        <w:t xml:space="preserve">online meetings, training, and remote service delivery, consequently enabling the program to </w:t>
      </w:r>
      <w:r w:rsidR="00780FB7">
        <w:t xml:space="preserve">progress its </w:t>
      </w:r>
      <w:r w:rsidRPr="009B71D1">
        <w:t>outcomes, despite a significantly challenging environment</w:t>
      </w:r>
      <w:r>
        <w:t>.</w:t>
      </w:r>
    </w:p>
    <w:p w14:paraId="4F0A64B1" w14:textId="47CE0A94" w:rsidR="00A314C9" w:rsidRDefault="009E02C9" w:rsidP="006B3D08">
      <w:pPr>
        <w:jc w:val="both"/>
      </w:pPr>
      <w:r w:rsidRPr="00605AB2">
        <w:rPr>
          <w:b/>
          <w:bCs/>
        </w:rPr>
        <w:t>The d</w:t>
      </w:r>
      <w:r w:rsidR="001E55C3" w:rsidRPr="00605AB2">
        <w:rPr>
          <w:b/>
          <w:bCs/>
        </w:rPr>
        <w:t xml:space="preserve">ecentralisation and </w:t>
      </w:r>
      <w:proofErr w:type="spellStart"/>
      <w:r w:rsidR="001E55C3" w:rsidRPr="00605AB2">
        <w:rPr>
          <w:b/>
          <w:bCs/>
        </w:rPr>
        <w:t>deconcentration</w:t>
      </w:r>
      <w:proofErr w:type="spellEnd"/>
      <w:r w:rsidR="001E55C3" w:rsidRPr="00605AB2">
        <w:rPr>
          <w:b/>
          <w:bCs/>
        </w:rPr>
        <w:t xml:space="preserve"> agenda continued to </w:t>
      </w:r>
      <w:r w:rsidR="00F233D7">
        <w:rPr>
          <w:b/>
          <w:bCs/>
        </w:rPr>
        <w:t>unfold over the life of the</w:t>
      </w:r>
      <w:r w:rsidR="003A07BA">
        <w:rPr>
          <w:b/>
          <w:bCs/>
        </w:rPr>
        <w:t xml:space="preserve"> ACCESS</w:t>
      </w:r>
      <w:r w:rsidR="00F233D7">
        <w:rPr>
          <w:b/>
          <w:bCs/>
        </w:rPr>
        <w:t xml:space="preserve"> program, impac</w:t>
      </w:r>
      <w:r w:rsidR="00CC2186">
        <w:rPr>
          <w:b/>
          <w:bCs/>
        </w:rPr>
        <w:t>t</w:t>
      </w:r>
      <w:r w:rsidR="00F233D7">
        <w:rPr>
          <w:b/>
          <w:bCs/>
        </w:rPr>
        <w:t>ing on the man</w:t>
      </w:r>
      <w:r w:rsidR="00F6328B" w:rsidRPr="00605AB2">
        <w:rPr>
          <w:b/>
          <w:bCs/>
        </w:rPr>
        <w:t xml:space="preserve">dates and responsibilities </w:t>
      </w:r>
      <w:r w:rsidR="00724BFF">
        <w:rPr>
          <w:b/>
          <w:bCs/>
        </w:rPr>
        <w:t>for service delivery f</w:t>
      </w:r>
      <w:r w:rsidR="00F6328B" w:rsidRPr="00605AB2">
        <w:rPr>
          <w:b/>
          <w:bCs/>
        </w:rPr>
        <w:t xml:space="preserve">or </w:t>
      </w:r>
      <w:r w:rsidR="00B55E6A">
        <w:rPr>
          <w:b/>
          <w:bCs/>
        </w:rPr>
        <w:t>target</w:t>
      </w:r>
      <w:r w:rsidR="00F6328B" w:rsidRPr="00605AB2">
        <w:rPr>
          <w:b/>
          <w:bCs/>
        </w:rPr>
        <w:t xml:space="preserve"> Ministries and</w:t>
      </w:r>
      <w:r w:rsidR="00724BFF">
        <w:rPr>
          <w:b/>
          <w:bCs/>
        </w:rPr>
        <w:t xml:space="preserve"> different</w:t>
      </w:r>
      <w:r w:rsidR="00F6328B" w:rsidRPr="00605AB2">
        <w:rPr>
          <w:b/>
          <w:bCs/>
        </w:rPr>
        <w:t xml:space="preserve"> levels of government</w:t>
      </w:r>
      <w:r w:rsidR="00F233D7">
        <w:rPr>
          <w:b/>
          <w:bCs/>
        </w:rPr>
        <w:t>.</w:t>
      </w:r>
      <w:r w:rsidR="00B472D4">
        <w:rPr>
          <w:b/>
          <w:bCs/>
        </w:rPr>
        <w:t xml:space="preserve"> </w:t>
      </w:r>
      <w:r w:rsidR="00CC2186">
        <w:t xml:space="preserve">Most importantly for ACCESS </w:t>
      </w:r>
      <w:r w:rsidR="001F42B3">
        <w:t xml:space="preserve">was the increasing </w:t>
      </w:r>
      <w:r w:rsidR="00F54BFD">
        <w:t xml:space="preserve">separation of funding for District and Commune level administrations (funded through </w:t>
      </w:r>
      <w:proofErr w:type="spellStart"/>
      <w:r w:rsidR="00F54BFD">
        <w:t>M</w:t>
      </w:r>
      <w:r w:rsidR="00A2192B">
        <w:t>o</w:t>
      </w:r>
      <w:r w:rsidR="00F54BFD">
        <w:t>I</w:t>
      </w:r>
      <w:proofErr w:type="spellEnd"/>
      <w:r w:rsidR="00F54BFD">
        <w:t xml:space="preserve">) </w:t>
      </w:r>
      <w:r w:rsidR="00402464">
        <w:t xml:space="preserve">from the National and Provincial administrations (funded through </w:t>
      </w:r>
      <w:r w:rsidR="0096020C">
        <w:t xml:space="preserve">line ministries) </w:t>
      </w:r>
      <w:r w:rsidR="00BA0533">
        <w:t>which r</w:t>
      </w:r>
      <w:r w:rsidR="00115CD2">
        <w:t>e</w:t>
      </w:r>
      <w:r w:rsidR="00BA0533">
        <w:t xml:space="preserve">quired an increasing two-pronged approach to </w:t>
      </w:r>
      <w:r w:rsidR="006E60C8">
        <w:t xml:space="preserve">public financial management engagement. </w:t>
      </w:r>
      <w:r w:rsidR="00D654CE">
        <w:t xml:space="preserve">In parallel, internal restructuring </w:t>
      </w:r>
      <w:r w:rsidR="00BC25D7">
        <w:t xml:space="preserve">within </w:t>
      </w:r>
      <w:proofErr w:type="spellStart"/>
      <w:r w:rsidR="00BC25D7">
        <w:t>MoSVY</w:t>
      </w:r>
      <w:proofErr w:type="spellEnd"/>
      <w:r w:rsidR="00360226">
        <w:rPr>
          <w:rStyle w:val="FootnoteReference"/>
        </w:rPr>
        <w:footnoteReference w:id="5"/>
      </w:r>
      <w:r w:rsidR="00360226">
        <w:t xml:space="preserve"> </w:t>
      </w:r>
      <w:r w:rsidR="002F798F">
        <w:t xml:space="preserve">and the transition of PRCs from NGOs to </w:t>
      </w:r>
      <w:proofErr w:type="spellStart"/>
      <w:r w:rsidR="002F798F">
        <w:t>MoSVY</w:t>
      </w:r>
      <w:proofErr w:type="spellEnd"/>
      <w:r w:rsidR="002F798F">
        <w:t xml:space="preserve"> management </w:t>
      </w:r>
      <w:r w:rsidR="004428B7">
        <w:t>changed the nature of support r</w:t>
      </w:r>
      <w:r w:rsidR="00A2192B">
        <w:t>e</w:t>
      </w:r>
      <w:r w:rsidR="004428B7">
        <w:t xml:space="preserve">quired by these organisations. </w:t>
      </w:r>
      <w:r w:rsidR="00360226">
        <w:t>PWDF, established in 2010 by the RGC, is a public administration institution with one of its mandates being to provide physical rehabilitation services.</w:t>
      </w:r>
    </w:p>
    <w:p w14:paraId="33485D9C" w14:textId="5EDA53D4" w:rsidR="00A314C9" w:rsidRDefault="008C4C54" w:rsidP="006B3D08">
      <w:pPr>
        <w:jc w:val="both"/>
      </w:pPr>
      <w:r>
        <w:rPr>
          <w:b/>
          <w:bCs/>
        </w:rPr>
        <w:t>These contextual shifts were coupled with</w:t>
      </w:r>
      <w:r w:rsidR="00A314C9" w:rsidRPr="00AB6388">
        <w:rPr>
          <w:b/>
          <w:bCs/>
        </w:rPr>
        <w:t xml:space="preserve"> challenges implicit in </w:t>
      </w:r>
      <w:r w:rsidR="004B7B02">
        <w:rPr>
          <w:b/>
          <w:bCs/>
        </w:rPr>
        <w:t xml:space="preserve">the program resourcing profile and funding decisions that impacted on </w:t>
      </w:r>
      <w:r w:rsidR="00CD70A9">
        <w:rPr>
          <w:b/>
          <w:bCs/>
        </w:rPr>
        <w:t xml:space="preserve">manageability and buy-in to </w:t>
      </w:r>
      <w:r w:rsidR="00AD02D6">
        <w:rPr>
          <w:b/>
          <w:bCs/>
        </w:rPr>
        <w:t>ACCESS’</w:t>
      </w:r>
      <w:r w:rsidR="009F2B4C">
        <w:rPr>
          <w:b/>
          <w:bCs/>
        </w:rPr>
        <w:t>s</w:t>
      </w:r>
      <w:r w:rsidR="00CD70A9">
        <w:rPr>
          <w:b/>
          <w:bCs/>
        </w:rPr>
        <w:t xml:space="preserve"> activities. </w:t>
      </w:r>
      <w:r w:rsidR="003935F6">
        <w:t xml:space="preserve">DFAT’s decision </w:t>
      </w:r>
      <w:r w:rsidR="009509CB">
        <w:t>not to provide DSAs</w:t>
      </w:r>
      <w:r w:rsidR="00D43459">
        <w:t xml:space="preserve"> </w:t>
      </w:r>
      <w:r w:rsidR="00510D77">
        <w:t xml:space="preserve">for RGC counterparts participating in ACCESS activities was problematic in the context of </w:t>
      </w:r>
      <w:r w:rsidR="00CB742F">
        <w:t xml:space="preserve">a program that </w:t>
      </w:r>
      <w:r w:rsidR="00404842">
        <w:t>does not contribute budget support</w:t>
      </w:r>
      <w:r w:rsidR="004428B7">
        <w:t xml:space="preserve"> </w:t>
      </w:r>
      <w:r w:rsidR="00404842">
        <w:t xml:space="preserve">and created </w:t>
      </w:r>
      <w:r w:rsidR="00816E6C">
        <w:t xml:space="preserve">significant challenges fostering ownership </w:t>
      </w:r>
      <w:r w:rsidR="009F4CAB">
        <w:t>of program outcomes.</w:t>
      </w:r>
      <w:r w:rsidR="00316FC0">
        <w:t xml:space="preserve"> </w:t>
      </w:r>
      <w:r w:rsidR="00691BDA">
        <w:t xml:space="preserve">Insufficient resourcing in the ACCESS program leadership team </w:t>
      </w:r>
      <w:r w:rsidR="006F4760">
        <w:t>for the first 18 months of the program a</w:t>
      </w:r>
      <w:r w:rsidR="008A0BC1">
        <w:t xml:space="preserve">lso </w:t>
      </w:r>
      <w:r w:rsidR="006F4760">
        <w:t xml:space="preserve">caused limitations </w:t>
      </w:r>
      <w:r w:rsidR="00CD4455">
        <w:t xml:space="preserve">for </w:t>
      </w:r>
      <w:r w:rsidR="006F4760">
        <w:t>the team’s</w:t>
      </w:r>
      <w:r w:rsidR="00396C10">
        <w:t xml:space="preserve"> capacity to </w:t>
      </w:r>
      <w:r w:rsidR="00A22EC7">
        <w:t xml:space="preserve">engage with the breadth </w:t>
      </w:r>
      <w:r w:rsidR="000A0254">
        <w:t>of stakeholders implicit in a program with th</w:t>
      </w:r>
      <w:r w:rsidR="00CD4455">
        <w:t>is</w:t>
      </w:r>
      <w:r w:rsidR="000A0254">
        <w:t xml:space="preserve"> scope and </w:t>
      </w:r>
      <w:r w:rsidR="008E6E3B">
        <w:t xml:space="preserve">geographic footprint. </w:t>
      </w:r>
      <w:r w:rsidR="00717068">
        <w:t xml:space="preserve"> </w:t>
      </w:r>
    </w:p>
    <w:p w14:paraId="51253A30" w14:textId="5CBF40D7" w:rsidR="00812A11" w:rsidRDefault="00812A11" w:rsidP="00812A11">
      <w:pPr>
        <w:pBdr>
          <w:top w:val="single" w:sz="8" w:space="1" w:color="1D336D" w:themeColor="background2"/>
          <w:left w:val="single" w:sz="8" w:space="4" w:color="1D336D" w:themeColor="background2"/>
          <w:bottom w:val="single" w:sz="8" w:space="1" w:color="1D336D" w:themeColor="background2"/>
          <w:right w:val="single" w:sz="8" w:space="4" w:color="1D336D" w:themeColor="background2"/>
        </w:pBdr>
        <w:jc w:val="both"/>
      </w:pPr>
      <w:r w:rsidRPr="00812A11">
        <w:rPr>
          <w:rFonts w:cstheme="minorBidi"/>
          <w:b/>
          <w:bCs/>
          <w:color w:val="1D336D" w:themeColor="background2"/>
        </w:rPr>
        <w:t>Daily Subsistence Allowance (DSA):</w:t>
      </w:r>
      <w:r w:rsidRPr="00812A11">
        <w:rPr>
          <w:rFonts w:cstheme="minorBidi"/>
          <w:color w:val="1D336D" w:themeColor="background2"/>
        </w:rPr>
        <w:t xml:space="preserve"> </w:t>
      </w:r>
      <w:r w:rsidRPr="52E2F618">
        <w:rPr>
          <w:rFonts w:cstheme="minorBidi"/>
        </w:rPr>
        <w:t xml:space="preserve">DFAT’s decision to seek the RGC to fund the cost of DSAs under the ACCESS program was, unsurprisingly, a topic raised in the majority of consultations by RGC, IPs and the ACCESS team alike. DSAs cover the costs of officials participating in ODA-funded program activities such as meetings and trainings. They are a supplement to salaries, and an incentive to participation. At the commencement of ACCESS, the MEF agreed to cover the cost of DSAs and an allocation </w:t>
      </w:r>
      <w:r>
        <w:rPr>
          <w:rFonts w:cstheme="minorBidi"/>
        </w:rPr>
        <w:t xml:space="preserve">of 50 million riels each </w:t>
      </w:r>
      <w:r w:rsidRPr="52E2F618">
        <w:rPr>
          <w:rFonts w:cstheme="minorBidi"/>
        </w:rPr>
        <w:t xml:space="preserve">was earmarked for the MOWA and </w:t>
      </w:r>
      <w:proofErr w:type="spellStart"/>
      <w:r w:rsidRPr="52E2F618">
        <w:rPr>
          <w:rFonts w:cstheme="minorBidi"/>
        </w:rPr>
        <w:t>MoSVY</w:t>
      </w:r>
      <w:proofErr w:type="spellEnd"/>
      <w:r w:rsidRPr="52E2F618">
        <w:rPr>
          <w:rFonts w:cstheme="minorBidi"/>
        </w:rPr>
        <w:t xml:space="preserve"> budgets. However, </w:t>
      </w:r>
      <w:r>
        <w:rPr>
          <w:rFonts w:cstheme="minorBidi"/>
        </w:rPr>
        <w:t>ministry views differed on the ease of accessing those funds</w:t>
      </w:r>
      <w:r w:rsidRPr="52E2F618">
        <w:rPr>
          <w:rFonts w:cstheme="minorBidi"/>
        </w:rPr>
        <w:t xml:space="preserve">. The lack of </w:t>
      </w:r>
      <w:r>
        <w:rPr>
          <w:rFonts w:cstheme="minorBidi"/>
        </w:rPr>
        <w:t xml:space="preserve">project-managed </w:t>
      </w:r>
      <w:r w:rsidRPr="52E2F618">
        <w:rPr>
          <w:rFonts w:cstheme="minorBidi"/>
        </w:rPr>
        <w:t xml:space="preserve">DSA meant that official participation in ACCESS was challenging to secure. Pragmatically and to be flexible, ACCESS moved to determining DSA payment on a case-by-case basis. This was a reasonable compromise to make, however it resulted in the need for much ‘micro’ liaison between IPs, ACCESS and RGC. It also complicated the planning and scheduling of activities, until DSA determinations were made and official participation were confirmed or not.  Feedback from the IPs indicated that the decision to not pay DSA to RGC trainees affected the number of attendees at workshops. Some RGC staff could simply not afford to attend workshops, or they were further disincentivised from </w:t>
      </w:r>
      <w:r w:rsidRPr="52E2F618">
        <w:rPr>
          <w:rFonts w:cstheme="minorBidi"/>
        </w:rPr>
        <w:lastRenderedPageBreak/>
        <w:t xml:space="preserve">attending if they were not interested in the topic. </w:t>
      </w:r>
      <w:r w:rsidRPr="00956E42">
        <w:rPr>
          <w:rFonts w:cstheme="minorBidi"/>
        </w:rPr>
        <w:t>Australia does not provide direct budget support to RGC.</w:t>
      </w:r>
      <w:r w:rsidRPr="52E2F618">
        <w:rPr>
          <w:rFonts w:cstheme="minorBidi"/>
        </w:rPr>
        <w:t xml:space="preserve"> It is also notable that ACCESS was the pilot for this DSA policy – a somewhat surprising choice given the program is working to support two highly marginalised populations where advocacy is needed with governments for adequate attention, including for the funding of services.</w:t>
      </w:r>
    </w:p>
    <w:p w14:paraId="3A2CDF1D" w14:textId="661C26A2" w:rsidR="007133BA" w:rsidRPr="007825FE" w:rsidRDefault="008A5B1D" w:rsidP="00326D32">
      <w:pPr>
        <w:pStyle w:val="Heading1"/>
        <w:rPr>
          <w:b w:val="0"/>
          <w:bCs/>
        </w:rPr>
      </w:pPr>
      <w:bookmarkStart w:id="50" w:name="_Toc116327889"/>
      <w:bookmarkStart w:id="51" w:name="_Toc116328002"/>
      <w:bookmarkStart w:id="52" w:name="_Toc116328072"/>
      <w:bookmarkStart w:id="53" w:name="_Toc116371558"/>
      <w:bookmarkStart w:id="54" w:name="_Toc116371688"/>
      <w:bookmarkStart w:id="55" w:name="_Toc116371755"/>
      <w:bookmarkStart w:id="56" w:name="_Toc116378169"/>
      <w:bookmarkStart w:id="57" w:name="_Toc122460796"/>
      <w:r w:rsidRPr="007825FE">
        <w:rPr>
          <w:b w:val="0"/>
          <w:bCs/>
        </w:rPr>
        <w:t>Program overview</w:t>
      </w:r>
      <w:bookmarkEnd w:id="50"/>
      <w:bookmarkEnd w:id="51"/>
      <w:bookmarkEnd w:id="52"/>
      <w:bookmarkEnd w:id="53"/>
      <w:bookmarkEnd w:id="54"/>
      <w:bookmarkEnd w:id="55"/>
      <w:bookmarkEnd w:id="56"/>
      <w:bookmarkEnd w:id="57"/>
    </w:p>
    <w:p w14:paraId="79439B62" w14:textId="1A05CD20" w:rsidR="00322192" w:rsidRDefault="0071271D" w:rsidP="006B3D08">
      <w:pPr>
        <w:jc w:val="both"/>
      </w:pPr>
      <w:r w:rsidRPr="347795B8">
        <w:rPr>
          <w:b/>
          <w:bCs/>
        </w:rPr>
        <w:t xml:space="preserve">The Australia-Cambodia Cooperation for Equitable Sustainable Services (ACCESS) is a </w:t>
      </w:r>
      <w:r>
        <w:rPr>
          <w:b/>
          <w:bCs/>
        </w:rPr>
        <w:t>five-year</w:t>
      </w:r>
      <w:r w:rsidRPr="347795B8">
        <w:rPr>
          <w:b/>
          <w:bCs/>
        </w:rPr>
        <w:t xml:space="preserve"> AUD 25 million investment by the Australian Government to develop sustainable, quality, and inclusive services for gender-based violence (GBV) survivors and </w:t>
      </w:r>
      <w:r w:rsidRPr="401877F5">
        <w:rPr>
          <w:b/>
          <w:bCs/>
        </w:rPr>
        <w:t>pe</w:t>
      </w:r>
      <w:r w:rsidR="0AF262ED" w:rsidRPr="401877F5">
        <w:rPr>
          <w:b/>
          <w:bCs/>
        </w:rPr>
        <w:t>ople</w:t>
      </w:r>
      <w:r w:rsidRPr="347795B8">
        <w:rPr>
          <w:b/>
          <w:bCs/>
        </w:rPr>
        <w:t xml:space="preserve"> with </w:t>
      </w:r>
      <w:r w:rsidRPr="401877F5">
        <w:rPr>
          <w:b/>
          <w:bCs/>
        </w:rPr>
        <w:t>disabilit</w:t>
      </w:r>
      <w:r w:rsidR="0ACDEF3E" w:rsidRPr="401877F5">
        <w:rPr>
          <w:b/>
          <w:bCs/>
        </w:rPr>
        <w:t>ies</w:t>
      </w:r>
      <w:r w:rsidRPr="347795B8">
        <w:rPr>
          <w:b/>
          <w:bCs/>
        </w:rPr>
        <w:t xml:space="preserve"> in Cambodia</w:t>
      </w:r>
      <w:r>
        <w:t xml:space="preserve">. </w:t>
      </w:r>
      <w:r w:rsidR="00614009">
        <w:t>ACCESS was implemented as a ‘3+2 year’ program</w:t>
      </w:r>
      <w:r w:rsidR="0096094C">
        <w:t xml:space="preserve">, meaning </w:t>
      </w:r>
      <w:r w:rsidR="00614009">
        <w:t>a three</w:t>
      </w:r>
      <w:r w:rsidR="005240D8">
        <w:t>-</w:t>
      </w:r>
      <w:r w:rsidR="00614009">
        <w:t xml:space="preserve">year program </w:t>
      </w:r>
      <w:r w:rsidR="00C91507">
        <w:t xml:space="preserve">was </w:t>
      </w:r>
      <w:r w:rsidR="00614009">
        <w:t xml:space="preserve">implemented from 2018-2021 (Stage 1) which was then extended for an additional two years from 2022-2023 (Stage 2). </w:t>
      </w:r>
    </w:p>
    <w:p w14:paraId="15D9A201" w14:textId="61579D8A" w:rsidR="005F2F00" w:rsidRDefault="00BD6BCB" w:rsidP="0012114F">
      <w:r w:rsidRPr="00BD6BCB">
        <w:t xml:space="preserve">The </w:t>
      </w:r>
      <w:r w:rsidR="007C109B" w:rsidRPr="0034385E">
        <w:rPr>
          <w:b/>
          <w:bCs/>
        </w:rPr>
        <w:t>G</w:t>
      </w:r>
      <w:r w:rsidRPr="00BD6BCB">
        <w:rPr>
          <w:b/>
          <w:bCs/>
        </w:rPr>
        <w:t xml:space="preserve">oal of </w:t>
      </w:r>
      <w:r w:rsidR="00DC7C48" w:rsidRPr="00BD6BCB">
        <w:rPr>
          <w:b/>
          <w:bCs/>
        </w:rPr>
        <w:t>ACCES</w:t>
      </w:r>
      <w:r w:rsidRPr="00BD6BCB">
        <w:rPr>
          <w:b/>
          <w:bCs/>
        </w:rPr>
        <w:t>S</w:t>
      </w:r>
      <w:r w:rsidRPr="00BD6BCB">
        <w:t xml:space="preserve"> is that persons with disabilities and women affected by GBV benefit from access to sustainable, quality and inclusive services. </w:t>
      </w:r>
    </w:p>
    <w:p w14:paraId="2F5E22CD" w14:textId="7F469C22" w:rsidR="0012114F" w:rsidRDefault="0012114F" w:rsidP="00150708">
      <w:pPr>
        <w:jc w:val="both"/>
      </w:pPr>
      <w:r w:rsidRPr="00E77C01">
        <w:rPr>
          <w:b/>
          <w:bCs/>
        </w:rPr>
        <w:t>ACCESS program logic</w:t>
      </w:r>
      <w:r w:rsidR="00695D49" w:rsidRPr="00E77C01">
        <w:rPr>
          <w:b/>
          <w:bCs/>
        </w:rPr>
        <w:t xml:space="preserve"> and </w:t>
      </w:r>
      <w:r w:rsidR="00D349A6" w:rsidRPr="00E77C01">
        <w:rPr>
          <w:b/>
          <w:bCs/>
        </w:rPr>
        <w:t>e</w:t>
      </w:r>
      <w:r w:rsidR="00695D49" w:rsidRPr="00E77C01">
        <w:rPr>
          <w:b/>
          <w:bCs/>
        </w:rPr>
        <w:t xml:space="preserve">nd of </w:t>
      </w:r>
      <w:r w:rsidR="00D349A6" w:rsidRPr="00E77C01">
        <w:rPr>
          <w:b/>
          <w:bCs/>
        </w:rPr>
        <w:t>p</w:t>
      </w:r>
      <w:r w:rsidR="00695D49" w:rsidRPr="00E77C01">
        <w:rPr>
          <w:b/>
          <w:bCs/>
        </w:rPr>
        <w:t xml:space="preserve">rogram </w:t>
      </w:r>
      <w:r w:rsidR="00D349A6" w:rsidRPr="00E77C01">
        <w:rPr>
          <w:b/>
          <w:bCs/>
        </w:rPr>
        <w:t>o</w:t>
      </w:r>
      <w:r w:rsidR="00695D49" w:rsidRPr="00E77C01">
        <w:rPr>
          <w:b/>
          <w:bCs/>
        </w:rPr>
        <w:t xml:space="preserve">utcomes (EOPOs) </w:t>
      </w:r>
      <w:r w:rsidR="006A5C02" w:rsidRPr="00E77C01">
        <w:rPr>
          <w:b/>
          <w:bCs/>
        </w:rPr>
        <w:t>have changed multiple times over the duration of the program</w:t>
      </w:r>
      <w:r w:rsidR="006A5C02">
        <w:t>.</w:t>
      </w:r>
      <w:r w:rsidR="00C5566D">
        <w:t xml:space="preserve"> The program logic included in the investment design was updated in 2019 and</w:t>
      </w:r>
      <w:r w:rsidR="001D710C">
        <w:t xml:space="preserve"> it is this version, illustrated in Figure </w:t>
      </w:r>
      <w:r w:rsidR="00102495">
        <w:t xml:space="preserve">1 </w:t>
      </w:r>
      <w:r w:rsidR="001D710C">
        <w:t>below</w:t>
      </w:r>
      <w:r w:rsidR="00EF7B7F">
        <w:t xml:space="preserve"> and in Annex 2</w:t>
      </w:r>
      <w:r w:rsidR="001D710C">
        <w:t>, that was</w:t>
      </w:r>
      <w:r w:rsidR="00C5566D">
        <w:t xml:space="preserve"> </w:t>
      </w:r>
      <w:r w:rsidR="00080921">
        <w:t xml:space="preserve">used for the majority of </w:t>
      </w:r>
      <w:r w:rsidR="00794452">
        <w:t>program</w:t>
      </w:r>
      <w:r w:rsidR="00080921">
        <w:t xml:space="preserve"> implementation. </w:t>
      </w:r>
      <w:r>
        <w:t xml:space="preserve">Notably, </w:t>
      </w:r>
      <w:r w:rsidR="00080921">
        <w:t xml:space="preserve">Figure </w:t>
      </w:r>
      <w:r w:rsidR="00102495">
        <w:t xml:space="preserve">1 </w:t>
      </w:r>
      <w:r>
        <w:t>includes two EOPOs, one of which pertains to planning and utilisation of resources. In late 2021,</w:t>
      </w:r>
      <w:r w:rsidR="00EF4748">
        <w:t xml:space="preserve"> the</w:t>
      </w:r>
      <w:r>
        <w:t xml:space="preserve"> ACCESS team made further revisions to the program logic</w:t>
      </w:r>
      <w:r w:rsidR="00952C7C">
        <w:t xml:space="preserve">, in response to the Internal Rapid Review (2020) </w:t>
      </w:r>
      <w:r>
        <w:t>and produced a third logic model</w:t>
      </w:r>
      <w:r w:rsidR="00EF7B7F">
        <w:t>, see Annex 3</w:t>
      </w:r>
      <w:r>
        <w:t xml:space="preserve">. This third iteration contains only one EOPO that ‘RGC, CSOs and private sector sustainably improve the coverage, quality and inclusiveness of services, economic opportunities, and social protection for persons with disabilities and women affected by GBV, responding appropriately to COVID-19 impacts’, the second EOPO relating to planning and utilisation of resources having been removed. </w:t>
      </w:r>
      <w:r w:rsidR="001D0B64">
        <w:t>These revisions were undertaken with the full consultation and approval by DFAT, and it was later endorsed by the ACCESS Steering Committee. However, changing the EOPOs in particular (as compared with the IOs), fundamentally changed the basis for measuring the program over its lifespan.</w:t>
      </w:r>
    </w:p>
    <w:p w14:paraId="37345D10" w14:textId="15D6E340" w:rsidR="002F643D" w:rsidRDefault="004B67F7" w:rsidP="00106C87">
      <w:pPr>
        <w:jc w:val="both"/>
      </w:pPr>
      <w:r>
        <w:t xml:space="preserve">The program logic used to </w:t>
      </w:r>
      <w:r w:rsidR="002F643D">
        <w:t xml:space="preserve">assess </w:t>
      </w:r>
      <w:r w:rsidR="00AD02D6">
        <w:t>ACCESS’</w:t>
      </w:r>
      <w:r w:rsidR="009F2B4C">
        <w:t>s</w:t>
      </w:r>
      <w:r w:rsidR="002F643D">
        <w:t xml:space="preserve"> performance for this evaluation </w:t>
      </w:r>
      <w:r>
        <w:t>is version 2, as this</w:t>
      </w:r>
      <w:r w:rsidR="002D3567">
        <w:t xml:space="preserve"> guided majority of the program’s implementation duration. </w:t>
      </w:r>
      <w:r w:rsidR="00010113">
        <w:t>The two</w:t>
      </w:r>
      <w:r w:rsidR="00425D16">
        <w:t xml:space="preserve"> EOPOs</w:t>
      </w:r>
      <w:r w:rsidR="00010113">
        <w:t xml:space="preserve"> under this program logic were that</w:t>
      </w:r>
      <w:r w:rsidR="00425D16">
        <w:t>:</w:t>
      </w:r>
    </w:p>
    <w:p w14:paraId="45967FFA" w14:textId="77777777" w:rsidR="00425D16" w:rsidRDefault="00425D16" w:rsidP="00106C87">
      <w:pPr>
        <w:pStyle w:val="ListParagraph"/>
        <w:numPr>
          <w:ilvl w:val="0"/>
          <w:numId w:val="22"/>
        </w:numPr>
        <w:contextualSpacing w:val="0"/>
        <w:jc w:val="both"/>
      </w:pPr>
      <w:r>
        <w:t xml:space="preserve">Relevant RGC entities plan and utilise their resources more effectively for GBV and disability-related services, in accordance with MEF guidelines; and </w:t>
      </w:r>
    </w:p>
    <w:p w14:paraId="56D46B11" w14:textId="416AB780" w:rsidR="0012114F" w:rsidRDefault="00425D16" w:rsidP="00106C87">
      <w:pPr>
        <w:pStyle w:val="ListParagraph"/>
        <w:numPr>
          <w:ilvl w:val="0"/>
          <w:numId w:val="22"/>
        </w:numPr>
        <w:contextualSpacing w:val="0"/>
        <w:jc w:val="both"/>
      </w:pPr>
      <w:r>
        <w:t>RGC, CSOs and private sector sustainably improve the coverage, quality and inclusiveness of services for persons with disabilities and women affected by GBV.</w:t>
      </w:r>
    </w:p>
    <w:p w14:paraId="56D9334E" w14:textId="6132C34A" w:rsidR="00BD6BCB" w:rsidRDefault="009979FF" w:rsidP="00150708">
      <w:pPr>
        <w:jc w:val="both"/>
      </w:pPr>
      <w:r>
        <w:t xml:space="preserve">In line with this program logic, </w:t>
      </w:r>
      <w:r w:rsidR="00BD6BCB" w:rsidRPr="00BD6BCB">
        <w:t xml:space="preserve">ACCESS has </w:t>
      </w:r>
      <w:r w:rsidR="00BD6BCB">
        <w:t xml:space="preserve">nine </w:t>
      </w:r>
      <w:r w:rsidR="00BD6BCB" w:rsidRPr="00C94025">
        <w:t>Intermediate Outcomes (IOs)</w:t>
      </w:r>
      <w:r w:rsidR="00BD6BCB" w:rsidRPr="00BD6BCB">
        <w:t xml:space="preserve"> which include improving the quality, coverage, and sustainability of GBV and disability services, improving economic opportunities through social protection, and responding to pandemic impacts in Cambodia.</w:t>
      </w:r>
      <w:r w:rsidR="00BD6BCB">
        <w:t xml:space="preserve"> </w:t>
      </w:r>
    </w:p>
    <w:p w14:paraId="10F6056C" w14:textId="546B3C23" w:rsidR="00E95C23" w:rsidRPr="007825FE" w:rsidRDefault="00E95C23" w:rsidP="00E95C23">
      <w:pPr>
        <w:pStyle w:val="Caption"/>
        <w:keepNext/>
        <w:rPr>
          <w:color w:val="1D336D" w:themeColor="background2"/>
          <w:sz w:val="20"/>
          <w:szCs w:val="16"/>
        </w:rPr>
      </w:pPr>
      <w:bookmarkStart w:id="58" w:name="_Hlk115787229"/>
      <w:r w:rsidRPr="007825FE">
        <w:rPr>
          <w:color w:val="1D336D" w:themeColor="background2"/>
          <w:sz w:val="20"/>
          <w:szCs w:val="16"/>
        </w:rPr>
        <w:lastRenderedPageBreak/>
        <w:t xml:space="preserve">Figure </w:t>
      </w:r>
      <w:r w:rsidR="00102495" w:rsidRPr="007825FE">
        <w:rPr>
          <w:color w:val="1D336D" w:themeColor="background2"/>
          <w:sz w:val="20"/>
          <w:szCs w:val="16"/>
        </w:rPr>
        <w:t>1</w:t>
      </w:r>
      <w:r w:rsidRPr="007825FE">
        <w:rPr>
          <w:color w:val="1D336D" w:themeColor="background2"/>
          <w:sz w:val="20"/>
          <w:szCs w:val="16"/>
        </w:rPr>
        <w:t xml:space="preserve">: Version 2 of the ACCESS program </w:t>
      </w:r>
      <w:r w:rsidR="00D63558" w:rsidRPr="007825FE">
        <w:rPr>
          <w:color w:val="1D336D" w:themeColor="background2"/>
          <w:sz w:val="20"/>
          <w:szCs w:val="16"/>
        </w:rPr>
        <w:t>logic</w:t>
      </w:r>
      <w:r w:rsidRPr="007825FE">
        <w:rPr>
          <w:color w:val="1D336D" w:themeColor="background2"/>
          <w:sz w:val="20"/>
          <w:szCs w:val="16"/>
        </w:rPr>
        <w:t xml:space="preserve"> </w:t>
      </w:r>
      <w:bookmarkEnd w:id="58"/>
    </w:p>
    <w:p w14:paraId="70D3723A" w14:textId="72497C0A" w:rsidR="00F55C24" w:rsidRDefault="00E95C23" w:rsidP="00366B54">
      <w:r w:rsidRPr="003D79F1">
        <w:rPr>
          <w:noProof/>
        </w:rPr>
        <w:drawing>
          <wp:inline distT="0" distB="0" distL="0" distR="0" wp14:anchorId="08288F49" wp14:editId="2798BD97">
            <wp:extent cx="6120130" cy="4156710"/>
            <wp:effectExtent l="0" t="0" r="0" b="0"/>
            <wp:docPr id="3" name="Picture 2" descr="A screenshot extract of version 2 of the ACCESS program logic. It includes the 3 pillars of health security, stability, and promoting economic recovery. It includes the Broader Goal of persons with disabilities and women affected by GBV benefitting from access to sustainable, quality, inclusive services. ">
              <a:extLst xmlns:a="http://schemas.openxmlformats.org/drawingml/2006/main">
                <a:ext uri="{FF2B5EF4-FFF2-40B4-BE49-F238E27FC236}">
                  <a16:creationId xmlns:a16="http://schemas.microsoft.com/office/drawing/2014/main" id="{5E095807-89AB-B5B5-0D5D-90C5DB3591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extract of version 2 of the ACCESS program logic. It includes the 3 pillars of health security, stability, and promoting economic recovery. It includes the Broader Goal of persons with disabilities and women affected by GBV benefitting from access to sustainable, quality, inclusive services. ">
                      <a:extLst>
                        <a:ext uri="{FF2B5EF4-FFF2-40B4-BE49-F238E27FC236}">
                          <a16:creationId xmlns:a16="http://schemas.microsoft.com/office/drawing/2014/main" id="{5E095807-89AB-B5B5-0D5D-90C5DB3591BB}"/>
                        </a:ext>
                      </a:extLst>
                    </pic:cNvPr>
                    <pic:cNvPicPr>
                      <a:picLocks noChangeAspect="1"/>
                    </pic:cNvPicPr>
                  </pic:nvPicPr>
                  <pic:blipFill>
                    <a:blip r:embed="rId20"/>
                    <a:stretch>
                      <a:fillRect/>
                    </a:stretch>
                  </pic:blipFill>
                  <pic:spPr>
                    <a:xfrm>
                      <a:off x="0" y="0"/>
                      <a:ext cx="6120130" cy="4156710"/>
                    </a:xfrm>
                    <a:prstGeom prst="rect">
                      <a:avLst/>
                    </a:prstGeom>
                  </pic:spPr>
                </pic:pic>
              </a:graphicData>
            </a:graphic>
          </wp:inline>
        </w:drawing>
      </w:r>
    </w:p>
    <w:p w14:paraId="3AF88CC9" w14:textId="16110992" w:rsidR="004F32EC" w:rsidRDefault="003A31E8" w:rsidP="005225F2">
      <w:pPr>
        <w:jc w:val="both"/>
      </w:pPr>
      <w:r w:rsidRPr="00C94025">
        <w:rPr>
          <w:b/>
          <w:bCs/>
        </w:rPr>
        <w:t>ACCESS works in partnership with targeted Royal Government of Cambodia Ministries that are responsible for law and policy, plans, budgets and the workforce for service delivery relating to women survivors of violence and people with disabilities</w:t>
      </w:r>
      <w:r>
        <w:t>. These are: Ministry of Women Affairs (</w:t>
      </w:r>
      <w:proofErr w:type="spellStart"/>
      <w:r w:rsidR="00A2192B">
        <w:t>MoWA</w:t>
      </w:r>
      <w:proofErr w:type="spellEnd"/>
      <w:r>
        <w:t xml:space="preserve">); Ministry of Social </w:t>
      </w:r>
      <w:r w:rsidR="000A5A36">
        <w:t>Affairs, Veterans</w:t>
      </w:r>
      <w:r>
        <w:t xml:space="preserve"> and Youth</w:t>
      </w:r>
      <w:r w:rsidR="000C208E">
        <w:t xml:space="preserve"> Rehabilitation</w:t>
      </w:r>
      <w:r>
        <w:t xml:space="preserve"> (</w:t>
      </w:r>
      <w:proofErr w:type="spellStart"/>
      <w:r>
        <w:t>M</w:t>
      </w:r>
      <w:r w:rsidR="00A2192B">
        <w:t>o</w:t>
      </w:r>
      <w:r>
        <w:t>SVY</w:t>
      </w:r>
      <w:proofErr w:type="spellEnd"/>
      <w:r>
        <w:t xml:space="preserve">); Disability Action Group Secretary General (DAC-SG); and Ministry of Economics and Finance (MEF). </w:t>
      </w:r>
    </w:p>
    <w:p w14:paraId="41B63059" w14:textId="77777777" w:rsidR="00B436D1" w:rsidRDefault="00B436D1" w:rsidP="005225F2">
      <w:pPr>
        <w:jc w:val="both"/>
        <w:sectPr w:rsidR="00B436D1" w:rsidSect="00876CA9">
          <w:footerReference w:type="default" r:id="rId21"/>
          <w:pgSz w:w="11906" w:h="16838" w:code="9"/>
          <w:pgMar w:top="1814" w:right="1134" w:bottom="1134" w:left="1134" w:header="851" w:footer="454" w:gutter="0"/>
          <w:pgBorders w:offsetFrom="page">
            <w:top w:val="single" w:sz="48" w:space="0" w:color="507CB9"/>
            <w:left w:val="single" w:sz="48" w:space="0" w:color="507CB9"/>
            <w:bottom w:val="single" w:sz="48" w:space="0" w:color="507CB9"/>
            <w:right w:val="single" w:sz="48" w:space="0" w:color="507CB9"/>
          </w:pgBorders>
          <w:cols w:space="709"/>
          <w:docGrid w:linePitch="360"/>
        </w:sectPr>
      </w:pPr>
    </w:p>
    <w:p w14:paraId="363F485D" w14:textId="7B517BBA" w:rsidR="00B436D1" w:rsidRPr="00B436D1" w:rsidRDefault="00B436D1" w:rsidP="005225F2">
      <w:pPr>
        <w:jc w:val="both"/>
        <w:rPr>
          <w:b/>
          <w:bCs/>
          <w:color w:val="1D336D" w:themeColor="background2"/>
        </w:rPr>
      </w:pPr>
      <w:r w:rsidRPr="00B436D1">
        <w:rPr>
          <w:b/>
          <w:bCs/>
          <w:color w:val="1D336D" w:themeColor="background2"/>
        </w:rPr>
        <w:t>Gender-based violence Workstream IPs</w:t>
      </w:r>
    </w:p>
    <w:p w14:paraId="4D841083" w14:textId="4D63A8D7" w:rsidR="00B436D1" w:rsidRDefault="00B436D1" w:rsidP="00B436D1">
      <w:pPr>
        <w:pStyle w:val="ListParagraph"/>
        <w:numPr>
          <w:ilvl w:val="0"/>
          <w:numId w:val="60"/>
        </w:numPr>
        <w:jc w:val="both"/>
      </w:pPr>
      <w:r>
        <w:t>CARE Cambodia</w:t>
      </w:r>
    </w:p>
    <w:p w14:paraId="6BBEFD46" w14:textId="3A5BE740" w:rsidR="00B436D1" w:rsidRDefault="00B436D1" w:rsidP="00B436D1">
      <w:pPr>
        <w:pStyle w:val="ListParagraph"/>
        <w:numPr>
          <w:ilvl w:val="0"/>
          <w:numId w:val="60"/>
        </w:numPr>
        <w:jc w:val="both"/>
      </w:pPr>
      <w:r>
        <w:t>Cambodia Women and Children’s Crisis Centre (CWCC)</w:t>
      </w:r>
    </w:p>
    <w:p w14:paraId="23BD4040" w14:textId="01256364" w:rsidR="00B436D1" w:rsidRDefault="00B436D1" w:rsidP="00B436D1">
      <w:pPr>
        <w:pStyle w:val="ListParagraph"/>
        <w:numPr>
          <w:ilvl w:val="0"/>
          <w:numId w:val="60"/>
        </w:numPr>
        <w:jc w:val="both"/>
      </w:pPr>
      <w:r>
        <w:t>Legal Aid Cambodia (LAC)</w:t>
      </w:r>
    </w:p>
    <w:p w14:paraId="0987F4C6" w14:textId="60181953" w:rsidR="00B436D1" w:rsidRDefault="00B436D1" w:rsidP="00B436D1">
      <w:pPr>
        <w:pStyle w:val="ListParagraph"/>
        <w:numPr>
          <w:ilvl w:val="0"/>
          <w:numId w:val="60"/>
        </w:numPr>
        <w:jc w:val="both"/>
      </w:pPr>
      <w:r>
        <w:t>The Asia Foundation (TAF)</w:t>
      </w:r>
    </w:p>
    <w:p w14:paraId="1076E670" w14:textId="1CFA1556" w:rsidR="00B436D1" w:rsidRDefault="00B436D1" w:rsidP="00B436D1">
      <w:pPr>
        <w:pStyle w:val="ListParagraph"/>
        <w:numPr>
          <w:ilvl w:val="0"/>
          <w:numId w:val="60"/>
        </w:numPr>
        <w:jc w:val="both"/>
      </w:pPr>
      <w:r>
        <w:t>Transcultural Psychosocial Organisation (TPO)</w:t>
      </w:r>
    </w:p>
    <w:p w14:paraId="72696EF1" w14:textId="7BCF5FD4" w:rsidR="00B436D1" w:rsidRDefault="00B436D1" w:rsidP="00B436D1">
      <w:pPr>
        <w:pStyle w:val="ListParagraph"/>
        <w:numPr>
          <w:ilvl w:val="0"/>
          <w:numId w:val="60"/>
        </w:numPr>
        <w:jc w:val="both"/>
      </w:pPr>
      <w:r>
        <w:t xml:space="preserve">UN Women </w:t>
      </w:r>
    </w:p>
    <w:p w14:paraId="436984CE" w14:textId="6DCEE9A7" w:rsidR="00B436D1" w:rsidRPr="00B436D1" w:rsidRDefault="00B436D1" w:rsidP="00B436D1">
      <w:pPr>
        <w:pStyle w:val="ListParagraph"/>
        <w:numPr>
          <w:ilvl w:val="0"/>
          <w:numId w:val="60"/>
        </w:numPr>
        <w:jc w:val="both"/>
      </w:pPr>
      <w:r>
        <w:t xml:space="preserve">UNFPA </w:t>
      </w:r>
      <w:r w:rsidRPr="00B436D1">
        <w:rPr>
          <w:i/>
          <w:iCs/>
        </w:rPr>
        <w:t>(Stage 1 only)</w:t>
      </w:r>
    </w:p>
    <w:p w14:paraId="752ED3A2" w14:textId="77777777" w:rsidR="00B436D1" w:rsidRDefault="00B436D1" w:rsidP="00B436D1">
      <w:pPr>
        <w:jc w:val="both"/>
      </w:pPr>
    </w:p>
    <w:p w14:paraId="28B47524" w14:textId="01214A5F" w:rsidR="00B436D1" w:rsidRPr="00B436D1" w:rsidRDefault="00B436D1" w:rsidP="00B436D1">
      <w:pPr>
        <w:jc w:val="both"/>
        <w:rPr>
          <w:b/>
          <w:bCs/>
        </w:rPr>
      </w:pPr>
      <w:r w:rsidRPr="00B436D1">
        <w:rPr>
          <w:b/>
          <w:bCs/>
          <w:color w:val="1D336D" w:themeColor="background2"/>
        </w:rPr>
        <w:t>Disability Workstream IPs</w:t>
      </w:r>
    </w:p>
    <w:p w14:paraId="4B4D2E7B" w14:textId="69BBB675" w:rsidR="00B436D1" w:rsidRDefault="00B436D1" w:rsidP="00B436D1">
      <w:pPr>
        <w:pStyle w:val="ListParagraph"/>
        <w:numPr>
          <w:ilvl w:val="0"/>
          <w:numId w:val="61"/>
        </w:numPr>
        <w:jc w:val="both"/>
      </w:pPr>
      <w:r>
        <w:t>Action on Disability and Development International (ADD)</w:t>
      </w:r>
    </w:p>
    <w:p w14:paraId="4C4C6283" w14:textId="402A83FD" w:rsidR="00B436D1" w:rsidRDefault="00B436D1" w:rsidP="00B436D1">
      <w:pPr>
        <w:pStyle w:val="ListParagraph"/>
        <w:numPr>
          <w:ilvl w:val="0"/>
          <w:numId w:val="61"/>
        </w:numPr>
        <w:jc w:val="both"/>
      </w:pPr>
      <w:r>
        <w:t>Agile</w:t>
      </w:r>
    </w:p>
    <w:p w14:paraId="44F8A6C0" w14:textId="3A04117D" w:rsidR="00B436D1" w:rsidRDefault="00B436D1" w:rsidP="00B436D1">
      <w:pPr>
        <w:pStyle w:val="ListParagraph"/>
        <w:numPr>
          <w:ilvl w:val="0"/>
          <w:numId w:val="61"/>
        </w:numPr>
        <w:jc w:val="both"/>
      </w:pPr>
      <w:r>
        <w:t>Cambodia Disabled People’s Organisation (CDPO)</w:t>
      </w:r>
    </w:p>
    <w:p w14:paraId="6F326EF0" w14:textId="4B55423F" w:rsidR="00B436D1" w:rsidRDefault="00B436D1" w:rsidP="00B436D1">
      <w:pPr>
        <w:pStyle w:val="ListParagraph"/>
        <w:numPr>
          <w:ilvl w:val="0"/>
          <w:numId w:val="61"/>
        </w:numPr>
        <w:jc w:val="both"/>
      </w:pPr>
      <w:proofErr w:type="spellStart"/>
      <w:r>
        <w:t>Chamroeun</w:t>
      </w:r>
      <w:proofErr w:type="spellEnd"/>
      <w:r>
        <w:t xml:space="preserve"> Finance / Good Return </w:t>
      </w:r>
    </w:p>
    <w:p w14:paraId="32058B3E" w14:textId="312F0944" w:rsidR="00B436D1" w:rsidRDefault="00B436D1" w:rsidP="00B436D1">
      <w:pPr>
        <w:pStyle w:val="ListParagraph"/>
        <w:numPr>
          <w:ilvl w:val="0"/>
          <w:numId w:val="61"/>
        </w:numPr>
        <w:jc w:val="both"/>
      </w:pPr>
      <w:r>
        <w:t>Humanity &amp; Inclusion (HI)</w:t>
      </w:r>
    </w:p>
    <w:p w14:paraId="26D651FE" w14:textId="3DF99830" w:rsidR="00B436D1" w:rsidRDefault="00B436D1" w:rsidP="00B436D1">
      <w:pPr>
        <w:pStyle w:val="ListParagraph"/>
        <w:numPr>
          <w:ilvl w:val="0"/>
          <w:numId w:val="61"/>
        </w:numPr>
        <w:jc w:val="both"/>
      </w:pPr>
      <w:r>
        <w:t>People’s Action for Inclusive Development (</w:t>
      </w:r>
      <w:proofErr w:type="spellStart"/>
      <w:r>
        <w:t>PAfID</w:t>
      </w:r>
      <w:proofErr w:type="spellEnd"/>
      <w:r>
        <w:t>) (formerly Light for the World – LFTW)</w:t>
      </w:r>
    </w:p>
    <w:p w14:paraId="05698DAB" w14:textId="7AFE5F71" w:rsidR="00B436D1" w:rsidRDefault="00B436D1" w:rsidP="00B436D1">
      <w:pPr>
        <w:pStyle w:val="ListParagraph"/>
        <w:numPr>
          <w:ilvl w:val="0"/>
          <w:numId w:val="61"/>
        </w:numPr>
        <w:jc w:val="both"/>
        <w:sectPr w:rsidR="00B436D1" w:rsidSect="00B436D1">
          <w:type w:val="continuous"/>
          <w:pgSz w:w="11906" w:h="16838" w:code="9"/>
          <w:pgMar w:top="1814" w:right="1134" w:bottom="1134" w:left="1134" w:header="851" w:footer="454" w:gutter="0"/>
          <w:pgBorders w:offsetFrom="page">
            <w:top w:val="single" w:sz="48" w:space="0" w:color="507CB9"/>
            <w:left w:val="single" w:sz="48" w:space="0" w:color="507CB9"/>
            <w:bottom w:val="single" w:sz="48" w:space="0" w:color="507CB9"/>
            <w:right w:val="single" w:sz="48" w:space="0" w:color="507CB9"/>
          </w:pgBorders>
          <w:cols w:num="2" w:space="709"/>
          <w:docGrid w:linePitch="360"/>
        </w:sectPr>
      </w:pPr>
      <w:r>
        <w:t>UNDP</w:t>
      </w:r>
    </w:p>
    <w:p w14:paraId="4C2DC2E5" w14:textId="4E2B19D1" w:rsidR="00B436D1" w:rsidRDefault="00B436D1" w:rsidP="00B436D1">
      <w:pPr>
        <w:jc w:val="both"/>
      </w:pPr>
    </w:p>
    <w:p w14:paraId="72653235" w14:textId="77777777" w:rsidR="00B436D1" w:rsidRDefault="00B436D1" w:rsidP="005225F2">
      <w:pPr>
        <w:jc w:val="both"/>
      </w:pPr>
    </w:p>
    <w:p w14:paraId="0B66041A" w14:textId="24D8A88F" w:rsidR="00B77616" w:rsidRDefault="003A31E8" w:rsidP="005225F2">
      <w:pPr>
        <w:jc w:val="both"/>
      </w:pPr>
      <w:r>
        <w:lastRenderedPageBreak/>
        <w:t xml:space="preserve">ACCESS is implemented for DFAT by an international managing contractor, </w:t>
      </w:r>
      <w:proofErr w:type="spellStart"/>
      <w:r>
        <w:t>Cowater</w:t>
      </w:r>
      <w:proofErr w:type="spellEnd"/>
      <w:r>
        <w:t xml:space="preserve"> </w:t>
      </w:r>
      <w:proofErr w:type="spellStart"/>
      <w:r>
        <w:t>Sogema</w:t>
      </w:r>
      <w:proofErr w:type="spellEnd"/>
      <w:r>
        <w:t xml:space="preserve"> (</w:t>
      </w:r>
      <w:proofErr w:type="spellStart"/>
      <w:r>
        <w:t>Cowater</w:t>
      </w:r>
      <w:proofErr w:type="spellEnd"/>
      <w:r>
        <w:t xml:space="preserve">). Support is provided through two channels: Firstly, a Competitive Investment Mechanism (CIM) that provides grants to multilateral and non-government implementing partners (IPs) to support service delivery strengthening, and secondly, technical assistance to RGC to support service delivery including through policy dialogue, technical advice, capacity building, and research and analysis. </w:t>
      </w:r>
      <w:r w:rsidR="00895EEA">
        <w:t xml:space="preserve">The CIM has provided a total of 26 grants to 14 IPs over the </w:t>
      </w:r>
      <w:r w:rsidR="00895EEA" w:rsidRPr="008D692D">
        <w:t xml:space="preserve">four years, in line with its gender-based violence and disability workstreams (see Annex </w:t>
      </w:r>
      <w:r w:rsidR="008D692D" w:rsidRPr="008D692D">
        <w:t>4</w:t>
      </w:r>
      <w:r w:rsidR="00895EEA" w:rsidRPr="008D692D">
        <w:t xml:space="preserve"> for further details).</w:t>
      </w:r>
      <w:r w:rsidR="00497E7E">
        <w:t xml:space="preserve"> </w:t>
      </w:r>
      <w:r w:rsidR="00FF10E8">
        <w:t xml:space="preserve">A list of IPs receiving grant funding under each workstream is provided in the table </w:t>
      </w:r>
      <w:r w:rsidR="004F32EC">
        <w:t>above.</w:t>
      </w:r>
    </w:p>
    <w:p w14:paraId="0A6EE192" w14:textId="26F3937D" w:rsidR="00C047CE" w:rsidRDefault="00C047CE" w:rsidP="005225F2">
      <w:pPr>
        <w:jc w:val="both"/>
        <w:rPr>
          <w:noProof/>
        </w:rPr>
      </w:pPr>
      <w:r>
        <w:rPr>
          <w:noProof/>
        </w:rPr>
        <w:drawing>
          <wp:inline distT="0" distB="0" distL="0" distR="0" wp14:anchorId="696DE0AC" wp14:editId="37512484">
            <wp:extent cx="6111875" cy="6116320"/>
            <wp:effectExtent l="0" t="0" r="3175" b="0"/>
            <wp:docPr id="2035493915" name="Picture 46" descr="A woman is standing next to a metal work bench with a prosthetic leg mounted on the bench. She is wearing a white lab coat and a blue face mask and is holding a bow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93915" name="Picture 46" descr="A woman is standing next to a metal work bench with a prosthetic leg mounted on the bench. She is wearing a white lab coat and a blue face mask and is holding a bowl. "/>
                    <pic:cNvPicPr/>
                  </pic:nvPicPr>
                  <pic:blipFill>
                    <a:blip r:embed="rId22">
                      <a:extLst>
                        <a:ext uri="{28A0092B-C50C-407E-A947-70E740481C1C}">
                          <a14:useLocalDpi xmlns:a14="http://schemas.microsoft.com/office/drawing/2010/main" val="0"/>
                        </a:ext>
                      </a:extLst>
                    </a:blip>
                    <a:srcRect/>
                    <a:stretch>
                      <a:fillRect/>
                    </a:stretch>
                  </pic:blipFill>
                  <pic:spPr>
                    <a:xfrm>
                      <a:off x="0" y="0"/>
                      <a:ext cx="6111875" cy="6116320"/>
                    </a:xfrm>
                    <a:prstGeom prst="rect">
                      <a:avLst/>
                    </a:prstGeom>
                  </pic:spPr>
                </pic:pic>
              </a:graphicData>
            </a:graphic>
          </wp:inline>
        </w:drawing>
      </w:r>
    </w:p>
    <w:p w14:paraId="68174CF1" w14:textId="31C16525" w:rsidR="00B436D1" w:rsidRDefault="00B436D1" w:rsidP="005225F2">
      <w:pPr>
        <w:jc w:val="both"/>
      </w:pPr>
      <w:r w:rsidRPr="00106C87">
        <w:rPr>
          <w:szCs w:val="20"/>
          <w:u w:val="single"/>
        </w:rPr>
        <w:t>Image:</w:t>
      </w:r>
      <w:r w:rsidRPr="00106C87">
        <w:rPr>
          <w:szCs w:val="20"/>
        </w:rPr>
        <w:t xml:space="preserve"> Prosthetics technician Ms Nguon </w:t>
      </w:r>
      <w:proofErr w:type="spellStart"/>
      <w:r w:rsidRPr="00106C87">
        <w:rPr>
          <w:szCs w:val="20"/>
        </w:rPr>
        <w:t>Reaksmeymutta</w:t>
      </w:r>
      <w:proofErr w:type="spellEnd"/>
      <w:r w:rsidRPr="00106C87">
        <w:rPr>
          <w:szCs w:val="20"/>
        </w:rPr>
        <w:t xml:space="preserve"> making a prosthetic leg in the prosthetics and orthotics workshop in Kampong Cham PRC</w:t>
      </w:r>
      <w:r>
        <w:rPr>
          <w:szCs w:val="20"/>
        </w:rPr>
        <w:t>.</w:t>
      </w:r>
    </w:p>
    <w:p w14:paraId="5F290E0B" w14:textId="10EDDB42" w:rsidR="007B6952" w:rsidRPr="003C1BA8" w:rsidRDefault="001566A5" w:rsidP="003C1BA8">
      <w:pPr>
        <w:pStyle w:val="ChapterHeading"/>
      </w:pPr>
      <w:bookmarkStart w:id="59" w:name="_Toc116328073"/>
      <w:bookmarkStart w:id="60" w:name="_Toc116371559"/>
      <w:bookmarkStart w:id="61" w:name="_Toc116371756"/>
      <w:bookmarkStart w:id="62" w:name="_Toc116378170"/>
      <w:bookmarkStart w:id="63" w:name="_Toc122460797"/>
      <w:r w:rsidRPr="003C1BA8">
        <w:lastRenderedPageBreak/>
        <w:t>findings</w:t>
      </w:r>
      <w:bookmarkEnd w:id="59"/>
      <w:bookmarkEnd w:id="60"/>
      <w:bookmarkEnd w:id="61"/>
      <w:bookmarkEnd w:id="62"/>
      <w:bookmarkEnd w:id="63"/>
    </w:p>
    <w:p w14:paraId="4D16E89B" w14:textId="11AF1919" w:rsidR="00DF0D06" w:rsidRDefault="00DF0D06" w:rsidP="00463D7B">
      <w:pPr>
        <w:jc w:val="both"/>
      </w:pPr>
      <w:r w:rsidRPr="747280BF">
        <w:rPr>
          <w:b/>
          <w:bCs/>
        </w:rPr>
        <w:t xml:space="preserve">This section summarises the </w:t>
      </w:r>
      <w:r w:rsidR="1862F188" w:rsidRPr="747280BF">
        <w:rPr>
          <w:b/>
          <w:bCs/>
        </w:rPr>
        <w:t>evaluation</w:t>
      </w:r>
      <w:r w:rsidRPr="747280BF">
        <w:rPr>
          <w:b/>
          <w:bCs/>
        </w:rPr>
        <w:t xml:space="preserve"> findings </w:t>
      </w:r>
      <w:r w:rsidR="71162CC8" w:rsidRPr="747280BF">
        <w:rPr>
          <w:b/>
          <w:bCs/>
        </w:rPr>
        <w:t>a</w:t>
      </w:r>
      <w:r w:rsidR="78D4194F" w:rsidRPr="747280BF">
        <w:rPr>
          <w:rFonts w:ascii="Arial" w:eastAsia="Arial" w:hAnsi="Arial" w:cs="Arial"/>
          <w:b/>
          <w:bCs/>
          <w:szCs w:val="20"/>
        </w:rPr>
        <w:t>nd lessons learned against each of the four</w:t>
      </w:r>
      <w:r w:rsidR="00DB6AE3">
        <w:rPr>
          <w:rFonts w:ascii="Arial" w:eastAsia="Arial" w:hAnsi="Arial" w:cs="Arial"/>
          <w:b/>
          <w:bCs/>
          <w:szCs w:val="20"/>
        </w:rPr>
        <w:t xml:space="preserve"> </w:t>
      </w:r>
      <w:r w:rsidR="00E043B5">
        <w:rPr>
          <w:rFonts w:ascii="Arial" w:eastAsia="Arial" w:hAnsi="Arial" w:cs="Arial"/>
          <w:b/>
          <w:bCs/>
          <w:szCs w:val="20"/>
        </w:rPr>
        <w:t>key evaluation questions</w:t>
      </w:r>
      <w:r w:rsidR="00AB5C7E">
        <w:rPr>
          <w:rFonts w:ascii="Arial" w:eastAsia="Arial" w:hAnsi="Arial" w:cs="Arial"/>
          <w:b/>
          <w:bCs/>
          <w:szCs w:val="20"/>
        </w:rPr>
        <w:t xml:space="preserve"> included in the evaluation Terms of Reference</w:t>
      </w:r>
      <w:r w:rsidR="00E043B5">
        <w:rPr>
          <w:rFonts w:ascii="Arial" w:eastAsia="Arial" w:hAnsi="Arial" w:cs="Arial"/>
          <w:b/>
          <w:bCs/>
          <w:szCs w:val="20"/>
        </w:rPr>
        <w:t xml:space="preserve">. </w:t>
      </w:r>
      <w:r w:rsidR="00CB3495">
        <w:rPr>
          <w:rFonts w:ascii="Arial" w:eastAsia="Arial" w:hAnsi="Arial" w:cs="Arial"/>
          <w:szCs w:val="20"/>
        </w:rPr>
        <w:t xml:space="preserve">It is guided by </w:t>
      </w:r>
      <w:r w:rsidR="006652EB">
        <w:rPr>
          <w:rFonts w:ascii="Arial" w:eastAsia="Arial" w:hAnsi="Arial" w:cs="Arial"/>
          <w:szCs w:val="20"/>
        </w:rPr>
        <w:t>the</w:t>
      </w:r>
      <w:r w:rsidR="00B378C3">
        <w:rPr>
          <w:rFonts w:ascii="Arial" w:eastAsia="Arial" w:hAnsi="Arial" w:cs="Arial"/>
          <w:szCs w:val="20"/>
        </w:rPr>
        <w:t xml:space="preserve"> KEQ</w:t>
      </w:r>
      <w:r w:rsidR="78D4194F" w:rsidRPr="747280BF">
        <w:rPr>
          <w:rFonts w:ascii="Arial" w:eastAsia="Arial" w:hAnsi="Arial" w:cs="Arial"/>
          <w:szCs w:val="20"/>
        </w:rPr>
        <w:t xml:space="preserve"> sub-questions </w:t>
      </w:r>
      <w:r w:rsidR="00CB3495">
        <w:rPr>
          <w:rFonts w:ascii="Arial" w:eastAsia="Arial" w:hAnsi="Arial" w:cs="Arial"/>
          <w:szCs w:val="20"/>
        </w:rPr>
        <w:t>and includes</w:t>
      </w:r>
      <w:r w:rsidR="78D4194F" w:rsidRPr="747280BF">
        <w:rPr>
          <w:rFonts w:ascii="Arial" w:eastAsia="Arial" w:hAnsi="Arial" w:cs="Arial"/>
          <w:szCs w:val="20"/>
        </w:rPr>
        <w:t xml:space="preserve"> cross-referencing</w:t>
      </w:r>
      <w:r w:rsidR="003F50C6">
        <w:rPr>
          <w:rFonts w:ascii="Arial" w:eastAsia="Arial" w:hAnsi="Arial" w:cs="Arial"/>
          <w:szCs w:val="20"/>
        </w:rPr>
        <w:t xml:space="preserve"> </w:t>
      </w:r>
      <w:proofErr w:type="gramStart"/>
      <w:r w:rsidR="78D4194F" w:rsidRPr="747280BF">
        <w:rPr>
          <w:rFonts w:ascii="Arial" w:eastAsia="Arial" w:hAnsi="Arial" w:cs="Arial"/>
          <w:szCs w:val="20"/>
        </w:rPr>
        <w:t>where</w:t>
      </w:r>
      <w:proofErr w:type="gramEnd"/>
      <w:r w:rsidR="78D4194F" w:rsidRPr="747280BF">
        <w:rPr>
          <w:rFonts w:ascii="Arial" w:eastAsia="Arial" w:hAnsi="Arial" w:cs="Arial"/>
          <w:szCs w:val="20"/>
        </w:rPr>
        <w:t xml:space="preserve"> pertinent. </w:t>
      </w:r>
    </w:p>
    <w:p w14:paraId="51D2640E" w14:textId="075B371D" w:rsidR="00DF0D06" w:rsidRPr="007825FE" w:rsidRDefault="006A774C" w:rsidP="00326D32">
      <w:pPr>
        <w:pStyle w:val="Heading1"/>
        <w:rPr>
          <w:b w:val="0"/>
          <w:bCs/>
        </w:rPr>
      </w:pPr>
      <w:bookmarkStart w:id="64" w:name="_Toc122460798"/>
      <w:r w:rsidRPr="007825FE">
        <w:rPr>
          <w:b w:val="0"/>
          <w:bCs/>
        </w:rPr>
        <w:t>Relevance</w:t>
      </w:r>
      <w:bookmarkEnd w:id="64"/>
    </w:p>
    <w:p w14:paraId="56C6A9AA" w14:textId="7EA7A467" w:rsidR="00157ABD" w:rsidRPr="00E56401" w:rsidRDefault="4833CB84" w:rsidP="00463D7B">
      <w:pPr>
        <w:pStyle w:val="Heading3"/>
        <w:jc w:val="both"/>
        <w:rPr>
          <w:b/>
          <w:bCs w:val="0"/>
          <w:color w:val="1D336D" w:themeColor="background2"/>
          <w:sz w:val="22"/>
          <w:szCs w:val="24"/>
        </w:rPr>
      </w:pPr>
      <w:bookmarkStart w:id="65" w:name="_Toc116371561"/>
      <w:r w:rsidRPr="00E56401">
        <w:rPr>
          <w:b/>
          <w:bCs w:val="0"/>
          <w:color w:val="1D336D" w:themeColor="background2"/>
          <w:sz w:val="22"/>
          <w:szCs w:val="24"/>
        </w:rPr>
        <w:t xml:space="preserve">Is </w:t>
      </w:r>
      <w:r w:rsidR="00AD02D6" w:rsidRPr="00E56401">
        <w:rPr>
          <w:b/>
          <w:bCs w:val="0"/>
          <w:color w:val="1D336D" w:themeColor="background2"/>
          <w:sz w:val="22"/>
          <w:szCs w:val="24"/>
        </w:rPr>
        <w:t>ACCESS’</w:t>
      </w:r>
      <w:r w:rsidR="009F2B4C" w:rsidRPr="00E56401">
        <w:rPr>
          <w:b/>
          <w:bCs w:val="0"/>
          <w:color w:val="1D336D" w:themeColor="background2"/>
          <w:sz w:val="22"/>
          <w:szCs w:val="24"/>
        </w:rPr>
        <w:t>s</w:t>
      </w:r>
      <w:r w:rsidRPr="00E56401">
        <w:rPr>
          <w:b/>
          <w:bCs w:val="0"/>
          <w:color w:val="1D336D" w:themeColor="background2"/>
          <w:sz w:val="22"/>
          <w:szCs w:val="24"/>
        </w:rPr>
        <w:t xml:space="preserve"> focus and approach to improving service delivery for victims of gender-based violence and people with disabilities a relevant and effective route to advancing gender equality and social inclusion in Cambodia?</w:t>
      </w:r>
      <w:bookmarkEnd w:id="65"/>
      <w:r w:rsidRPr="00E56401">
        <w:rPr>
          <w:b/>
          <w:bCs w:val="0"/>
          <w:color w:val="1D336D" w:themeColor="background2"/>
          <w:sz w:val="22"/>
          <w:szCs w:val="24"/>
        </w:rPr>
        <w:t xml:space="preserve"> </w:t>
      </w:r>
    </w:p>
    <w:p w14:paraId="27929775" w14:textId="67FF5711" w:rsidR="00A85F13" w:rsidRPr="0001442C" w:rsidRDefault="00E56401" w:rsidP="00E56401">
      <w:pPr>
        <w:pStyle w:val="Heading2NOTOC"/>
      </w:pPr>
      <w:r>
        <w:t>Cambodia and Australia’s Policy Priorities</w:t>
      </w:r>
    </w:p>
    <w:p w14:paraId="492AE4C4" w14:textId="43C5802B" w:rsidR="78D4194F" w:rsidRDefault="78D4194F" w:rsidP="00A2192B">
      <w:pPr>
        <w:jc w:val="both"/>
        <w:rPr>
          <w:rFonts w:ascii="Arial" w:eastAsia="Arial" w:hAnsi="Arial" w:cs="Arial"/>
          <w:lang w:val="en-GB"/>
        </w:rPr>
      </w:pPr>
      <w:r w:rsidRPr="2D0C19AE" w:rsidDel="00E9191D">
        <w:rPr>
          <w:rFonts w:ascii="Arial" w:eastAsia="Arial" w:hAnsi="Arial" w:cs="Arial"/>
          <w:b/>
          <w:bCs/>
        </w:rPr>
        <w:t xml:space="preserve">ACCESS </w:t>
      </w:r>
      <w:r w:rsidR="009F6F9F" w:rsidRPr="2D0C19AE">
        <w:rPr>
          <w:rFonts w:ascii="Arial" w:eastAsia="Arial" w:hAnsi="Arial" w:cs="Arial"/>
          <w:b/>
          <w:bCs/>
        </w:rPr>
        <w:t xml:space="preserve">aligns directly with </w:t>
      </w:r>
      <w:r w:rsidR="00213EF9" w:rsidRPr="2D0C19AE">
        <w:rPr>
          <w:rFonts w:ascii="Arial" w:eastAsia="Arial" w:hAnsi="Arial" w:cs="Arial"/>
          <w:b/>
          <w:bCs/>
        </w:rPr>
        <w:t xml:space="preserve">priorities outlined in </w:t>
      </w:r>
      <w:r w:rsidRPr="2D0C19AE">
        <w:rPr>
          <w:rFonts w:ascii="Arial" w:eastAsia="Arial" w:hAnsi="Arial" w:cs="Arial"/>
          <w:b/>
          <w:bCs/>
        </w:rPr>
        <w:t xml:space="preserve">Cambodia’s </w:t>
      </w:r>
      <w:r w:rsidRPr="2D0C19AE">
        <w:rPr>
          <w:rFonts w:ascii="Arial" w:eastAsia="Arial" w:hAnsi="Arial" w:cs="Arial"/>
          <w:b/>
          <w:bCs/>
          <w:i/>
          <w:iCs/>
        </w:rPr>
        <w:t>National Disability Strategic Plan</w:t>
      </w:r>
      <w:r w:rsidRPr="2D0C19AE">
        <w:rPr>
          <w:rFonts w:ascii="Arial" w:eastAsia="Arial" w:hAnsi="Arial" w:cs="Arial"/>
          <w:b/>
          <w:bCs/>
        </w:rPr>
        <w:t xml:space="preserve"> (</w:t>
      </w:r>
      <w:r w:rsidRPr="0628D608">
        <w:rPr>
          <w:rFonts w:ascii="Arial" w:eastAsia="Arial" w:hAnsi="Arial" w:cs="Arial"/>
          <w:b/>
          <w:bCs/>
        </w:rPr>
        <w:t>ND</w:t>
      </w:r>
      <w:r w:rsidR="4EB4B42C" w:rsidRPr="0628D608">
        <w:rPr>
          <w:rFonts w:ascii="Arial" w:eastAsia="Arial" w:hAnsi="Arial" w:cs="Arial"/>
          <w:b/>
          <w:bCs/>
        </w:rPr>
        <w:t>S</w:t>
      </w:r>
      <w:r w:rsidRPr="0628D608">
        <w:rPr>
          <w:rFonts w:ascii="Arial" w:eastAsia="Arial" w:hAnsi="Arial" w:cs="Arial"/>
          <w:b/>
          <w:bCs/>
        </w:rPr>
        <w:t>P</w:t>
      </w:r>
      <w:r w:rsidRPr="2D0C19AE">
        <w:rPr>
          <w:rFonts w:ascii="Arial" w:eastAsia="Arial" w:hAnsi="Arial" w:cs="Arial"/>
          <w:b/>
          <w:bCs/>
        </w:rPr>
        <w:t xml:space="preserve">) and the </w:t>
      </w:r>
      <w:r w:rsidRPr="2D0C19AE">
        <w:rPr>
          <w:rFonts w:ascii="Arial" w:eastAsia="Arial" w:hAnsi="Arial" w:cs="Arial"/>
          <w:b/>
          <w:bCs/>
          <w:i/>
          <w:iCs/>
        </w:rPr>
        <w:t>National Action Plan on Violence Against Women (NAPVAW)</w:t>
      </w:r>
      <w:r w:rsidR="0085268C" w:rsidRPr="2D0C19AE">
        <w:rPr>
          <w:rFonts w:ascii="Arial" w:eastAsia="Arial" w:hAnsi="Arial" w:cs="Arial"/>
          <w:b/>
          <w:bCs/>
        </w:rPr>
        <w:t xml:space="preserve"> and a</w:t>
      </w:r>
      <w:r w:rsidR="0010725A" w:rsidRPr="2D0C19AE">
        <w:rPr>
          <w:rFonts w:ascii="Arial" w:eastAsia="Arial" w:hAnsi="Arial" w:cs="Arial"/>
          <w:b/>
          <w:bCs/>
        </w:rPr>
        <w:t>ddressed key</w:t>
      </w:r>
      <w:r w:rsidRPr="2D0C19AE">
        <w:rPr>
          <w:rFonts w:ascii="Arial" w:eastAsia="Arial" w:hAnsi="Arial" w:cs="Arial"/>
          <w:b/>
          <w:bCs/>
        </w:rPr>
        <w:t xml:space="preserve"> service delivery challenges faced by </w:t>
      </w:r>
      <w:proofErr w:type="spellStart"/>
      <w:r w:rsidR="00A2192B">
        <w:rPr>
          <w:rFonts w:ascii="Arial" w:eastAsia="Arial" w:hAnsi="Arial" w:cs="Arial"/>
          <w:b/>
          <w:bCs/>
        </w:rPr>
        <w:t>MoWA</w:t>
      </w:r>
      <w:proofErr w:type="spellEnd"/>
      <w:r w:rsidRPr="2D0C19AE">
        <w:rPr>
          <w:rFonts w:ascii="Arial" w:eastAsia="Arial" w:hAnsi="Arial" w:cs="Arial"/>
          <w:b/>
          <w:bCs/>
        </w:rPr>
        <w:t xml:space="preserve"> and </w:t>
      </w:r>
      <w:proofErr w:type="spellStart"/>
      <w:r w:rsidRPr="2D0C19AE">
        <w:rPr>
          <w:rFonts w:ascii="Arial" w:eastAsia="Arial" w:hAnsi="Arial" w:cs="Arial"/>
          <w:b/>
          <w:bCs/>
        </w:rPr>
        <w:t>MoSVY</w:t>
      </w:r>
      <w:proofErr w:type="spellEnd"/>
      <w:r w:rsidRPr="2D0C19AE">
        <w:rPr>
          <w:rFonts w:ascii="Arial" w:eastAsia="Arial" w:hAnsi="Arial" w:cs="Arial"/>
          <w:b/>
          <w:bCs/>
        </w:rPr>
        <w:t xml:space="preserve"> in implementing </w:t>
      </w:r>
      <w:r w:rsidR="0085268C" w:rsidRPr="2D0C19AE">
        <w:rPr>
          <w:rFonts w:ascii="Arial" w:eastAsia="Arial" w:hAnsi="Arial" w:cs="Arial"/>
          <w:b/>
          <w:bCs/>
        </w:rPr>
        <w:t>these plans</w:t>
      </w:r>
      <w:r w:rsidRPr="2D0C19AE">
        <w:rPr>
          <w:rFonts w:ascii="Arial" w:eastAsia="Arial" w:hAnsi="Arial" w:cs="Arial"/>
          <w:b/>
          <w:bCs/>
        </w:rPr>
        <w:t>.</w:t>
      </w:r>
      <w:r w:rsidRPr="2D0C19AE">
        <w:rPr>
          <w:rFonts w:ascii="Arial" w:eastAsia="Arial" w:hAnsi="Arial" w:cs="Arial"/>
        </w:rPr>
        <w:t xml:space="preserve"> </w:t>
      </w:r>
      <w:r w:rsidR="0095220F" w:rsidRPr="2D0C19AE">
        <w:rPr>
          <w:rFonts w:ascii="Arial" w:eastAsia="Arial" w:hAnsi="Arial" w:cs="Arial"/>
        </w:rPr>
        <w:t xml:space="preserve">ACCESS </w:t>
      </w:r>
      <w:r w:rsidR="00E36690" w:rsidRPr="2D0C19AE">
        <w:rPr>
          <w:rFonts w:ascii="Arial" w:eastAsia="Arial" w:hAnsi="Arial" w:cs="Arial"/>
        </w:rPr>
        <w:t>is aligned with key c</w:t>
      </w:r>
      <w:r w:rsidRPr="2D0C19AE">
        <w:rPr>
          <w:rFonts w:ascii="Arial" w:eastAsia="Arial" w:hAnsi="Arial" w:cs="Arial"/>
        </w:rPr>
        <w:t xml:space="preserve">apacity challenges identified </w:t>
      </w:r>
      <w:r w:rsidR="00952C7C">
        <w:rPr>
          <w:rFonts w:ascii="Arial" w:eastAsia="Arial" w:hAnsi="Arial" w:cs="Arial"/>
        </w:rPr>
        <w:t>in</w:t>
      </w:r>
      <w:r w:rsidRPr="2D0C19AE">
        <w:rPr>
          <w:rFonts w:ascii="Arial" w:eastAsia="Arial" w:hAnsi="Arial" w:cs="Arial"/>
        </w:rPr>
        <w:t xml:space="preserve"> the </w:t>
      </w:r>
      <w:r w:rsidR="188CA3D8" w:rsidRPr="2D0C19AE">
        <w:rPr>
          <w:rFonts w:ascii="Arial" w:eastAsia="Arial" w:hAnsi="Arial" w:cs="Arial"/>
        </w:rPr>
        <w:t xml:space="preserve">design </w:t>
      </w:r>
      <w:r w:rsidRPr="2D0C19AE">
        <w:rPr>
          <w:rFonts w:ascii="Arial" w:eastAsia="Arial" w:hAnsi="Arial" w:cs="Arial"/>
          <w:lang w:val="en-GB"/>
        </w:rPr>
        <w:t>includ</w:t>
      </w:r>
      <w:r w:rsidR="00952C7C">
        <w:rPr>
          <w:rFonts w:ascii="Arial" w:eastAsia="Arial" w:hAnsi="Arial" w:cs="Arial"/>
          <w:lang w:val="en-GB"/>
        </w:rPr>
        <w:t>ing</w:t>
      </w:r>
      <w:r w:rsidRPr="2D0C19AE">
        <w:rPr>
          <w:rFonts w:ascii="Arial" w:eastAsia="Arial" w:hAnsi="Arial" w:cs="Arial"/>
          <w:lang w:val="en-GB"/>
        </w:rPr>
        <w:t xml:space="preserve"> coordination, budget processes, management, and technical supervision. The program also set out to support the two ministries</w:t>
      </w:r>
      <w:r w:rsidR="00116AB8">
        <w:rPr>
          <w:rFonts w:ascii="Arial" w:eastAsia="Arial" w:hAnsi="Arial" w:cs="Arial"/>
          <w:lang w:val="en-GB"/>
        </w:rPr>
        <w:t xml:space="preserve"> (</w:t>
      </w:r>
      <w:proofErr w:type="spellStart"/>
      <w:r w:rsidR="00116AB8">
        <w:rPr>
          <w:rFonts w:ascii="Arial" w:eastAsia="Arial" w:hAnsi="Arial" w:cs="Arial"/>
          <w:lang w:val="en-GB"/>
        </w:rPr>
        <w:t>MoWA</w:t>
      </w:r>
      <w:proofErr w:type="spellEnd"/>
      <w:r w:rsidR="00116AB8">
        <w:rPr>
          <w:rFonts w:ascii="Arial" w:eastAsia="Arial" w:hAnsi="Arial" w:cs="Arial"/>
          <w:lang w:val="en-GB"/>
        </w:rPr>
        <w:t xml:space="preserve"> and </w:t>
      </w:r>
      <w:proofErr w:type="spellStart"/>
      <w:r w:rsidR="00116AB8">
        <w:rPr>
          <w:rFonts w:ascii="Arial" w:eastAsia="Arial" w:hAnsi="Arial" w:cs="Arial"/>
          <w:lang w:val="en-GB"/>
        </w:rPr>
        <w:t>MoSVY</w:t>
      </w:r>
      <w:proofErr w:type="spellEnd"/>
      <w:r w:rsidR="00116AB8">
        <w:rPr>
          <w:rFonts w:ascii="Arial" w:eastAsia="Arial" w:hAnsi="Arial" w:cs="Arial"/>
          <w:lang w:val="en-GB"/>
        </w:rPr>
        <w:t>)</w:t>
      </w:r>
      <w:r w:rsidRPr="2D0C19AE">
        <w:rPr>
          <w:rFonts w:ascii="Arial" w:eastAsia="Arial" w:hAnsi="Arial" w:cs="Arial"/>
          <w:lang w:val="en-GB"/>
        </w:rPr>
        <w:t xml:space="preserve"> to develop and defend their budgets for NDSP and NAPVAW II</w:t>
      </w:r>
      <w:r w:rsidR="00496A45">
        <w:rPr>
          <w:rFonts w:ascii="Arial" w:eastAsia="Arial" w:hAnsi="Arial" w:cs="Arial"/>
          <w:lang w:val="en-GB"/>
        </w:rPr>
        <w:t>I</w:t>
      </w:r>
      <w:r w:rsidRPr="2D0C19AE">
        <w:rPr>
          <w:rFonts w:ascii="Arial" w:eastAsia="Arial" w:hAnsi="Arial" w:cs="Arial"/>
          <w:lang w:val="en-GB"/>
        </w:rPr>
        <w:t xml:space="preserve">, underlining the centrality of the national plans to ACCESS (the results are further discussed under the effectiveness section). </w:t>
      </w:r>
      <w:r w:rsidR="0068212A" w:rsidRPr="2D0C19AE">
        <w:rPr>
          <w:rFonts w:ascii="Arial" w:eastAsia="Arial" w:hAnsi="Arial" w:cs="Arial"/>
          <w:lang w:val="en-GB"/>
        </w:rPr>
        <w:t xml:space="preserve">Against a backdrop of significant multi-sectoral need for improved service delivery for people with disabilities and </w:t>
      </w:r>
      <w:r w:rsidR="003432DF" w:rsidRPr="2D0C19AE">
        <w:rPr>
          <w:rFonts w:ascii="Arial" w:eastAsia="Arial" w:hAnsi="Arial" w:cs="Arial"/>
          <w:lang w:val="en-GB"/>
        </w:rPr>
        <w:t>survivors of GBV, the</w:t>
      </w:r>
      <w:r w:rsidR="00B63523" w:rsidRPr="2D0C19AE">
        <w:rPr>
          <w:rFonts w:ascii="Arial" w:eastAsia="Arial" w:hAnsi="Arial" w:cs="Arial"/>
          <w:lang w:val="en-GB"/>
        </w:rPr>
        <w:t xml:space="preserve"> broad scope of priorities </w:t>
      </w:r>
      <w:r w:rsidR="00B40EA0" w:rsidRPr="2D0C19AE">
        <w:rPr>
          <w:rFonts w:ascii="Arial" w:eastAsia="Arial" w:hAnsi="Arial" w:cs="Arial"/>
          <w:lang w:val="en-GB"/>
        </w:rPr>
        <w:t>encompassed</w:t>
      </w:r>
      <w:r w:rsidR="00B63523" w:rsidRPr="2D0C19AE">
        <w:rPr>
          <w:rFonts w:ascii="Arial" w:eastAsia="Arial" w:hAnsi="Arial" w:cs="Arial"/>
          <w:lang w:val="en-GB"/>
        </w:rPr>
        <w:t xml:space="preserve"> in these two policies </w:t>
      </w:r>
      <w:r w:rsidR="00B40EA0" w:rsidRPr="2D0C19AE">
        <w:rPr>
          <w:rFonts w:ascii="Arial" w:eastAsia="Arial" w:hAnsi="Arial" w:cs="Arial"/>
          <w:lang w:val="en-GB"/>
        </w:rPr>
        <w:t xml:space="preserve">presents a challenge in </w:t>
      </w:r>
      <w:r w:rsidR="0047766E" w:rsidRPr="2D0C19AE">
        <w:rPr>
          <w:rFonts w:ascii="Arial" w:eastAsia="Arial" w:hAnsi="Arial" w:cs="Arial"/>
          <w:lang w:val="en-GB"/>
        </w:rPr>
        <w:t>defining programmatic priorities</w:t>
      </w:r>
      <w:r w:rsidR="003432DF" w:rsidRPr="2D0C19AE">
        <w:rPr>
          <w:rFonts w:ascii="Arial" w:eastAsia="Arial" w:hAnsi="Arial" w:cs="Arial"/>
          <w:lang w:val="en-GB"/>
        </w:rPr>
        <w:t>, which is discussed in more detail in the effectiveness section of this report.</w:t>
      </w:r>
    </w:p>
    <w:p w14:paraId="4928386A" w14:textId="7140043F" w:rsidR="00772A35" w:rsidRDefault="00052DDB" w:rsidP="00477329">
      <w:pPr>
        <w:jc w:val="both"/>
        <w:rPr>
          <w:rFonts w:ascii="Arial" w:eastAsia="Arial" w:hAnsi="Arial" w:cs="Arial"/>
        </w:rPr>
      </w:pPr>
      <w:r w:rsidRPr="2D0C19AE">
        <w:rPr>
          <w:rFonts w:ascii="Arial" w:eastAsia="Arial" w:hAnsi="Arial" w:cs="Arial"/>
          <w:b/>
          <w:bCs/>
        </w:rPr>
        <w:t xml:space="preserve">Technical assistance provided by </w:t>
      </w:r>
      <w:r w:rsidR="78D4194F" w:rsidRPr="2D0C19AE">
        <w:rPr>
          <w:rFonts w:ascii="Arial" w:eastAsia="Arial" w:hAnsi="Arial" w:cs="Arial"/>
          <w:b/>
          <w:bCs/>
        </w:rPr>
        <w:t xml:space="preserve">ACCESS </w:t>
      </w:r>
      <w:r w:rsidRPr="2D0C19AE">
        <w:rPr>
          <w:rFonts w:ascii="Arial" w:eastAsia="Arial" w:hAnsi="Arial" w:cs="Arial"/>
          <w:b/>
          <w:bCs/>
        </w:rPr>
        <w:t>contributed both to</w:t>
      </w:r>
      <w:r w:rsidR="78D4194F" w:rsidRPr="2D0C19AE">
        <w:rPr>
          <w:rFonts w:ascii="Arial" w:eastAsia="Arial" w:hAnsi="Arial" w:cs="Arial"/>
          <w:b/>
          <w:bCs/>
        </w:rPr>
        <w:t xml:space="preserve"> development of NAPVAW III</w:t>
      </w:r>
      <w:r w:rsidRPr="2D0C19AE">
        <w:rPr>
          <w:rFonts w:ascii="Arial" w:eastAsia="Arial" w:hAnsi="Arial" w:cs="Arial"/>
          <w:b/>
          <w:bCs/>
        </w:rPr>
        <w:t xml:space="preserve">, </w:t>
      </w:r>
      <w:r w:rsidR="00654414" w:rsidRPr="2D0C19AE">
        <w:rPr>
          <w:rFonts w:ascii="Arial" w:eastAsia="Arial" w:hAnsi="Arial" w:cs="Arial"/>
          <w:b/>
          <w:bCs/>
        </w:rPr>
        <w:t>as well as achievement in multiple strategic priority area</w:t>
      </w:r>
      <w:r w:rsidR="00E95FB7" w:rsidRPr="2D0C19AE">
        <w:rPr>
          <w:rFonts w:ascii="Arial" w:eastAsia="Arial" w:hAnsi="Arial" w:cs="Arial"/>
          <w:b/>
          <w:bCs/>
        </w:rPr>
        <w:t xml:space="preserve">s. </w:t>
      </w:r>
      <w:r w:rsidR="00C45F8A" w:rsidRPr="2D0C19AE">
        <w:rPr>
          <w:rFonts w:ascii="Arial" w:eastAsia="Arial" w:hAnsi="Arial" w:cs="Arial"/>
        </w:rPr>
        <w:t>NAPVAW III was</w:t>
      </w:r>
      <w:r w:rsidR="78D4194F" w:rsidRPr="2D0C19AE">
        <w:rPr>
          <w:rFonts w:ascii="Arial" w:eastAsia="Arial" w:hAnsi="Arial" w:cs="Arial"/>
        </w:rPr>
        <w:t xml:space="preserve"> endorsed in October 2020</w:t>
      </w:r>
      <w:r w:rsidR="00DB75B8" w:rsidRPr="2D0C19AE">
        <w:rPr>
          <w:rFonts w:ascii="Arial" w:eastAsia="Arial" w:hAnsi="Arial" w:cs="Arial"/>
        </w:rPr>
        <w:t xml:space="preserve"> and continues to </w:t>
      </w:r>
      <w:r w:rsidR="00651BE1" w:rsidRPr="2D0C19AE">
        <w:rPr>
          <w:rFonts w:ascii="Arial" w:eastAsia="Arial" w:hAnsi="Arial" w:cs="Arial"/>
        </w:rPr>
        <w:t xml:space="preserve">set out a plan for addressing the needs of </w:t>
      </w:r>
      <w:r w:rsidR="78D4194F" w:rsidRPr="2D0C19AE">
        <w:rPr>
          <w:rFonts w:ascii="Arial" w:eastAsia="Arial" w:hAnsi="Arial" w:cs="Arial"/>
        </w:rPr>
        <w:t xml:space="preserve">survivors of violence, including those from vulnerable groups. </w:t>
      </w:r>
      <w:r w:rsidR="003D4D9B" w:rsidRPr="2D0C19AE">
        <w:rPr>
          <w:rFonts w:ascii="Arial" w:eastAsia="Arial" w:hAnsi="Arial" w:cs="Arial"/>
        </w:rPr>
        <w:t>ACCESS contributed to a</w:t>
      </w:r>
      <w:r w:rsidR="78D4194F" w:rsidRPr="2D0C19AE">
        <w:rPr>
          <w:rFonts w:ascii="Arial" w:eastAsia="Arial" w:hAnsi="Arial" w:cs="Arial"/>
        </w:rPr>
        <w:t xml:space="preserve">chievements </w:t>
      </w:r>
      <w:r w:rsidR="007234F3" w:rsidRPr="2D0C19AE">
        <w:rPr>
          <w:rFonts w:ascii="Arial" w:eastAsia="Arial" w:hAnsi="Arial" w:cs="Arial"/>
        </w:rPr>
        <w:t>in</w:t>
      </w:r>
      <w:r w:rsidR="78D4194F" w:rsidRPr="2D0C19AE">
        <w:rPr>
          <w:rFonts w:ascii="Arial" w:eastAsia="Arial" w:hAnsi="Arial" w:cs="Arial"/>
        </w:rPr>
        <w:t>:</w:t>
      </w:r>
    </w:p>
    <w:p w14:paraId="380FAAF8" w14:textId="06360B86" w:rsidR="004373CB" w:rsidRPr="004373CB" w:rsidRDefault="78D4194F" w:rsidP="00477329">
      <w:pPr>
        <w:pStyle w:val="ListParagraph"/>
        <w:numPr>
          <w:ilvl w:val="0"/>
          <w:numId w:val="47"/>
        </w:numPr>
        <w:ind w:left="714" w:hanging="357"/>
        <w:contextualSpacing w:val="0"/>
        <w:jc w:val="both"/>
        <w:rPr>
          <w:rFonts w:ascii="Arial" w:eastAsia="Arial" w:hAnsi="Arial" w:cs="Arial"/>
        </w:rPr>
      </w:pPr>
      <w:r w:rsidRPr="2D0C19AE">
        <w:rPr>
          <w:rFonts w:ascii="Arial" w:eastAsia="Arial" w:hAnsi="Arial" w:cs="Arial"/>
        </w:rPr>
        <w:t>Strategic Area 2: Legal Protection and Multi-Sectoral Services</w:t>
      </w:r>
      <w:r w:rsidR="004A0672" w:rsidRPr="2D0C19AE">
        <w:rPr>
          <w:rFonts w:ascii="Arial" w:eastAsia="Arial" w:hAnsi="Arial" w:cs="Arial"/>
        </w:rPr>
        <w:t xml:space="preserve">, </w:t>
      </w:r>
      <w:r w:rsidR="00F6132D" w:rsidRPr="2D0C19AE">
        <w:rPr>
          <w:rFonts w:ascii="Arial" w:eastAsia="Arial" w:hAnsi="Arial" w:cs="Arial"/>
        </w:rPr>
        <w:t>through</w:t>
      </w:r>
      <w:r w:rsidRPr="2D0C19AE" w:rsidDel="004A0672">
        <w:rPr>
          <w:rFonts w:ascii="Arial" w:eastAsia="Arial" w:hAnsi="Arial" w:cs="Arial"/>
        </w:rPr>
        <w:t xml:space="preserve"> </w:t>
      </w:r>
      <w:r w:rsidR="00AD02D6">
        <w:rPr>
          <w:rFonts w:ascii="Arial" w:eastAsia="Arial" w:hAnsi="Arial" w:cs="Arial"/>
        </w:rPr>
        <w:t>ACCESS’</w:t>
      </w:r>
      <w:r w:rsidR="009F2B4C">
        <w:rPr>
          <w:rFonts w:ascii="Arial" w:eastAsia="Arial" w:hAnsi="Arial" w:cs="Arial"/>
        </w:rPr>
        <w:t>s</w:t>
      </w:r>
      <w:r w:rsidRPr="2D0C19AE">
        <w:rPr>
          <w:rFonts w:ascii="Arial" w:eastAsia="Arial" w:hAnsi="Arial" w:cs="Arial"/>
        </w:rPr>
        <w:t xml:space="preserve"> focus on increasing coordination at and between national and </w:t>
      </w:r>
      <w:r w:rsidR="0087378E">
        <w:rPr>
          <w:rFonts w:ascii="Arial" w:eastAsia="Arial" w:hAnsi="Arial" w:cs="Arial"/>
        </w:rPr>
        <w:t>sub-national</w:t>
      </w:r>
      <w:r w:rsidRPr="2D0C19AE">
        <w:rPr>
          <w:rFonts w:ascii="Arial" w:eastAsia="Arial" w:hAnsi="Arial" w:cs="Arial"/>
        </w:rPr>
        <w:t xml:space="preserve"> </w:t>
      </w:r>
      <w:r w:rsidR="00C914B3" w:rsidRPr="2D0C19AE">
        <w:rPr>
          <w:rFonts w:ascii="Arial" w:eastAsia="Arial" w:hAnsi="Arial" w:cs="Arial"/>
        </w:rPr>
        <w:t>levels and</w:t>
      </w:r>
      <w:r w:rsidRPr="2D0C19AE">
        <w:rPr>
          <w:rFonts w:ascii="Arial" w:eastAsia="Arial" w:hAnsi="Arial" w:cs="Arial"/>
        </w:rPr>
        <w:t xml:space="preserve"> improv</w:t>
      </w:r>
      <w:r w:rsidR="00F6132D" w:rsidRPr="2D0C19AE">
        <w:rPr>
          <w:rFonts w:ascii="Arial" w:eastAsia="Arial" w:hAnsi="Arial" w:cs="Arial"/>
        </w:rPr>
        <w:t>ing</w:t>
      </w:r>
      <w:r w:rsidRPr="2D0C19AE">
        <w:rPr>
          <w:rFonts w:ascii="Arial" w:eastAsia="Arial" w:hAnsi="Arial" w:cs="Arial"/>
        </w:rPr>
        <w:t xml:space="preserve"> access to quality service</w:t>
      </w:r>
      <w:r w:rsidR="00DD3610" w:rsidRPr="2D0C19AE">
        <w:rPr>
          <w:rFonts w:ascii="Arial" w:eastAsia="Arial" w:hAnsi="Arial" w:cs="Arial"/>
        </w:rPr>
        <w:t>s.</w:t>
      </w:r>
    </w:p>
    <w:p w14:paraId="721C8E64" w14:textId="21FF8B74" w:rsidR="004373CB" w:rsidRPr="004373CB" w:rsidRDefault="78D4194F" w:rsidP="00477329">
      <w:pPr>
        <w:pStyle w:val="ListParagraph"/>
        <w:numPr>
          <w:ilvl w:val="0"/>
          <w:numId w:val="47"/>
        </w:numPr>
        <w:ind w:left="714" w:hanging="357"/>
        <w:contextualSpacing w:val="0"/>
        <w:jc w:val="both"/>
        <w:rPr>
          <w:rFonts w:ascii="Arial" w:eastAsia="Arial" w:hAnsi="Arial" w:cs="Arial"/>
        </w:rPr>
      </w:pPr>
      <w:r w:rsidRPr="41957908">
        <w:rPr>
          <w:rFonts w:ascii="Arial" w:eastAsia="Arial" w:hAnsi="Arial" w:cs="Arial"/>
        </w:rPr>
        <w:t>Strategic Area 3: Laws and Policies</w:t>
      </w:r>
      <w:r w:rsidR="00DD3610" w:rsidRPr="41957908">
        <w:rPr>
          <w:rFonts w:ascii="Arial" w:eastAsia="Arial" w:hAnsi="Arial" w:cs="Arial"/>
        </w:rPr>
        <w:t xml:space="preserve">, </w:t>
      </w:r>
      <w:r w:rsidR="00FF58EF" w:rsidRPr="41957908">
        <w:rPr>
          <w:rFonts w:ascii="Arial" w:eastAsia="Arial" w:hAnsi="Arial" w:cs="Arial"/>
        </w:rPr>
        <w:t>through</w:t>
      </w:r>
      <w:r w:rsidRPr="41957908">
        <w:rPr>
          <w:rFonts w:ascii="Arial" w:eastAsia="Arial" w:hAnsi="Arial" w:cs="Arial"/>
        </w:rPr>
        <w:t xml:space="preserve"> </w:t>
      </w:r>
      <w:r w:rsidR="00AD02D6">
        <w:rPr>
          <w:rFonts w:ascii="Arial" w:eastAsia="Arial" w:hAnsi="Arial" w:cs="Arial"/>
        </w:rPr>
        <w:t>ACCESS</w:t>
      </w:r>
      <w:r w:rsidR="009F2B4C">
        <w:rPr>
          <w:rFonts w:ascii="Arial" w:eastAsia="Arial" w:hAnsi="Arial" w:cs="Arial"/>
        </w:rPr>
        <w:t>s</w:t>
      </w:r>
      <w:r w:rsidR="00AD02D6">
        <w:rPr>
          <w:rFonts w:ascii="Arial" w:eastAsia="Arial" w:hAnsi="Arial" w:cs="Arial"/>
        </w:rPr>
        <w:t>’</w:t>
      </w:r>
      <w:r w:rsidRPr="41957908">
        <w:rPr>
          <w:rFonts w:ascii="Arial" w:eastAsia="Arial" w:hAnsi="Arial" w:cs="Arial"/>
        </w:rPr>
        <w:t xml:space="preserve"> focus on strengthening the legal framework through the development of Guidelines on the Limited Use of Mediation</w:t>
      </w:r>
      <w:r w:rsidR="1FB1E20B" w:rsidRPr="41957908">
        <w:rPr>
          <w:rFonts w:ascii="Arial" w:eastAsia="Arial" w:hAnsi="Arial" w:cs="Arial"/>
        </w:rPr>
        <w:t xml:space="preserve"> (now endorsed by the </w:t>
      </w:r>
      <w:proofErr w:type="spellStart"/>
      <w:r w:rsidR="1FB1E20B" w:rsidRPr="41957908">
        <w:rPr>
          <w:rFonts w:ascii="Arial" w:eastAsia="Arial" w:hAnsi="Arial" w:cs="Arial"/>
        </w:rPr>
        <w:t>MoWA</w:t>
      </w:r>
      <w:proofErr w:type="spellEnd"/>
      <w:r w:rsidR="1FB1E20B" w:rsidRPr="41957908">
        <w:rPr>
          <w:rFonts w:ascii="Arial" w:eastAsia="Arial" w:hAnsi="Arial" w:cs="Arial"/>
        </w:rPr>
        <w:t xml:space="preserve"> Technical Working Group on Gender – </w:t>
      </w:r>
      <w:r w:rsidR="14B1F8A2" w:rsidRPr="41957908">
        <w:rPr>
          <w:rFonts w:ascii="Arial" w:eastAsia="Arial" w:hAnsi="Arial" w:cs="Arial"/>
        </w:rPr>
        <w:t>Sub</w:t>
      </w:r>
      <w:r w:rsidR="00930FE6">
        <w:rPr>
          <w:rFonts w:ascii="Arial" w:eastAsia="Arial" w:hAnsi="Arial" w:cs="Arial"/>
        </w:rPr>
        <w:t>-</w:t>
      </w:r>
      <w:r w:rsidR="14B1F8A2" w:rsidRPr="41957908">
        <w:rPr>
          <w:rFonts w:ascii="Arial" w:eastAsia="Arial" w:hAnsi="Arial" w:cs="Arial"/>
        </w:rPr>
        <w:t xml:space="preserve">Committee on </w:t>
      </w:r>
      <w:r w:rsidR="1FB1E20B" w:rsidRPr="41957908">
        <w:rPr>
          <w:rFonts w:ascii="Arial" w:eastAsia="Arial" w:hAnsi="Arial" w:cs="Arial"/>
        </w:rPr>
        <w:t>GBV</w:t>
      </w:r>
      <w:r w:rsidR="5B3201A8" w:rsidRPr="41957908">
        <w:rPr>
          <w:rFonts w:ascii="Arial" w:eastAsia="Arial" w:hAnsi="Arial" w:cs="Arial"/>
        </w:rPr>
        <w:t xml:space="preserve"> (TWGG-GBV)</w:t>
      </w:r>
      <w:r w:rsidR="1FB1E20B" w:rsidRPr="41957908">
        <w:rPr>
          <w:rFonts w:ascii="Arial" w:eastAsia="Arial" w:hAnsi="Arial" w:cs="Arial"/>
        </w:rPr>
        <w:t xml:space="preserve">, </w:t>
      </w:r>
      <w:r w:rsidR="6FC7FBC5" w:rsidRPr="41957908">
        <w:rPr>
          <w:rFonts w:ascii="Arial" w:eastAsia="Arial" w:hAnsi="Arial" w:cs="Arial"/>
        </w:rPr>
        <w:t xml:space="preserve">with a joint ministerial </w:t>
      </w:r>
      <w:proofErr w:type="spellStart"/>
      <w:r w:rsidR="6FC7FBC5" w:rsidRPr="41957908">
        <w:rPr>
          <w:rFonts w:ascii="Arial" w:eastAsia="Arial" w:hAnsi="Arial" w:cs="Arial"/>
          <w:i/>
          <w:iCs/>
        </w:rPr>
        <w:t>prakas</w:t>
      </w:r>
      <w:proofErr w:type="spellEnd"/>
      <w:r w:rsidR="6FC7FBC5" w:rsidRPr="41957908">
        <w:rPr>
          <w:rFonts w:ascii="Arial" w:eastAsia="Arial" w:hAnsi="Arial" w:cs="Arial"/>
          <w:i/>
          <w:iCs/>
        </w:rPr>
        <w:t xml:space="preserve"> </w:t>
      </w:r>
      <w:r w:rsidR="6FC7FBC5" w:rsidRPr="41957908">
        <w:rPr>
          <w:rFonts w:ascii="Arial" w:eastAsia="Arial" w:hAnsi="Arial" w:cs="Arial"/>
        </w:rPr>
        <w:t>pending)</w:t>
      </w:r>
      <w:r w:rsidRPr="41957908">
        <w:rPr>
          <w:rFonts w:ascii="Arial" w:eastAsia="Arial" w:hAnsi="Arial" w:cs="Arial"/>
        </w:rPr>
        <w:t xml:space="preserve">, and training service providers on the five essential service standards that </w:t>
      </w:r>
      <w:r w:rsidR="00FF58EF" w:rsidRPr="41957908">
        <w:rPr>
          <w:rFonts w:ascii="Arial" w:eastAsia="Arial" w:hAnsi="Arial" w:cs="Arial"/>
        </w:rPr>
        <w:t>were</w:t>
      </w:r>
      <w:r w:rsidRPr="41957908">
        <w:rPr>
          <w:rFonts w:ascii="Arial" w:eastAsia="Arial" w:hAnsi="Arial" w:cs="Arial"/>
        </w:rPr>
        <w:t xml:space="preserve"> developed under DFAT’s predecessor EVAW progra</w:t>
      </w:r>
      <w:r w:rsidR="00F32677" w:rsidRPr="41957908">
        <w:rPr>
          <w:rFonts w:ascii="Arial" w:eastAsia="Arial" w:hAnsi="Arial" w:cs="Arial"/>
        </w:rPr>
        <w:t>m.</w:t>
      </w:r>
    </w:p>
    <w:p w14:paraId="1F69217E" w14:textId="58AE0E7C" w:rsidR="78D4194F" w:rsidRDefault="78D4194F" w:rsidP="00477329">
      <w:pPr>
        <w:pStyle w:val="ListParagraph"/>
        <w:numPr>
          <w:ilvl w:val="0"/>
          <w:numId w:val="47"/>
        </w:numPr>
        <w:ind w:left="714" w:hanging="357"/>
        <w:contextualSpacing w:val="0"/>
        <w:jc w:val="both"/>
        <w:rPr>
          <w:rFonts w:ascii="Arial" w:eastAsia="Arial" w:hAnsi="Arial" w:cs="Arial"/>
        </w:rPr>
      </w:pPr>
      <w:r w:rsidRPr="2D0C19AE">
        <w:rPr>
          <w:rFonts w:ascii="Arial" w:eastAsia="Arial" w:hAnsi="Arial" w:cs="Arial"/>
        </w:rPr>
        <w:t>Strategic Area 4: Monitoring and Evaluation</w:t>
      </w:r>
      <w:r w:rsidR="00F32677" w:rsidRPr="2D0C19AE">
        <w:rPr>
          <w:rFonts w:ascii="Arial" w:eastAsia="Arial" w:hAnsi="Arial" w:cs="Arial"/>
        </w:rPr>
        <w:t xml:space="preserve">, </w:t>
      </w:r>
      <w:r w:rsidR="007C06CD" w:rsidRPr="2D0C19AE">
        <w:rPr>
          <w:rFonts w:ascii="Arial" w:eastAsia="Arial" w:hAnsi="Arial" w:cs="Arial"/>
        </w:rPr>
        <w:t>through</w:t>
      </w:r>
      <w:r w:rsidRPr="2D0C19AE">
        <w:rPr>
          <w:rFonts w:ascii="Arial" w:eastAsia="Arial" w:hAnsi="Arial" w:cs="Arial"/>
        </w:rPr>
        <w:t xml:space="preserve"> </w:t>
      </w:r>
      <w:r w:rsidR="00AD02D6">
        <w:rPr>
          <w:rFonts w:ascii="Arial" w:eastAsia="Arial" w:hAnsi="Arial" w:cs="Arial"/>
        </w:rPr>
        <w:t>ACCESS’</w:t>
      </w:r>
      <w:r w:rsidR="009F2B4C">
        <w:rPr>
          <w:rFonts w:ascii="Arial" w:eastAsia="Arial" w:hAnsi="Arial" w:cs="Arial"/>
        </w:rPr>
        <w:t>s</w:t>
      </w:r>
      <w:r w:rsidRPr="2D0C19AE">
        <w:rPr>
          <w:rFonts w:ascii="Arial" w:eastAsia="Arial" w:hAnsi="Arial" w:cs="Arial"/>
        </w:rPr>
        <w:t xml:space="preserve"> funding </w:t>
      </w:r>
      <w:r w:rsidR="00BA7E8B" w:rsidRPr="2D0C19AE">
        <w:rPr>
          <w:rFonts w:ascii="Arial" w:eastAsia="Arial" w:hAnsi="Arial" w:cs="Arial"/>
        </w:rPr>
        <w:t xml:space="preserve">to </w:t>
      </w:r>
      <w:r w:rsidRPr="2D0C19AE">
        <w:rPr>
          <w:rFonts w:ascii="Arial" w:eastAsia="Arial" w:hAnsi="Arial" w:cs="Arial"/>
        </w:rPr>
        <w:t>UN Women to support the mid</w:t>
      </w:r>
      <w:r w:rsidR="00872ED2" w:rsidRPr="2D0C19AE">
        <w:rPr>
          <w:rFonts w:ascii="Arial" w:eastAsia="Arial" w:hAnsi="Arial" w:cs="Arial"/>
        </w:rPr>
        <w:t>-</w:t>
      </w:r>
      <w:r w:rsidRPr="2D0C19AE">
        <w:rPr>
          <w:rFonts w:ascii="Arial" w:eastAsia="Arial" w:hAnsi="Arial" w:cs="Arial"/>
        </w:rPr>
        <w:t>term review of NAPVAW III</w:t>
      </w:r>
      <w:r w:rsidR="0075466A" w:rsidRPr="2D0C19AE">
        <w:rPr>
          <w:rFonts w:ascii="Arial" w:eastAsia="Arial" w:hAnsi="Arial" w:cs="Arial"/>
        </w:rPr>
        <w:t xml:space="preserve"> which is </w:t>
      </w:r>
      <w:r w:rsidRPr="2D0C19AE">
        <w:rPr>
          <w:rFonts w:ascii="Arial" w:eastAsia="Arial" w:hAnsi="Arial" w:cs="Arial"/>
        </w:rPr>
        <w:t>currently underway</w:t>
      </w:r>
      <w:r w:rsidR="0075466A" w:rsidRPr="2D0C19AE">
        <w:rPr>
          <w:rFonts w:ascii="Arial" w:eastAsia="Arial" w:hAnsi="Arial" w:cs="Arial"/>
        </w:rPr>
        <w:t>.</w:t>
      </w:r>
    </w:p>
    <w:p w14:paraId="61808CF5" w14:textId="2B0DB8E4" w:rsidR="00746514" w:rsidRDefault="78D4194F" w:rsidP="2D0C19AE">
      <w:pPr>
        <w:spacing w:after="0"/>
        <w:jc w:val="both"/>
        <w:rPr>
          <w:rFonts w:ascii="Arial" w:eastAsia="Arial" w:hAnsi="Arial" w:cs="Arial"/>
        </w:rPr>
      </w:pPr>
      <w:r w:rsidRPr="2D0C19AE">
        <w:rPr>
          <w:rFonts w:ascii="Arial" w:eastAsia="Arial" w:hAnsi="Arial" w:cs="Arial"/>
          <w:b/>
          <w:bCs/>
        </w:rPr>
        <w:t xml:space="preserve">ACCESS </w:t>
      </w:r>
      <w:r w:rsidR="00EB3128" w:rsidRPr="2D0C19AE">
        <w:rPr>
          <w:rFonts w:ascii="Arial" w:eastAsia="Arial" w:hAnsi="Arial" w:cs="Arial"/>
          <w:b/>
          <w:bCs/>
        </w:rPr>
        <w:t>aligns with the</w:t>
      </w:r>
      <w:r w:rsidRPr="2D0C19AE">
        <w:rPr>
          <w:rFonts w:ascii="Arial" w:eastAsia="Arial" w:hAnsi="Arial" w:cs="Arial"/>
          <w:b/>
          <w:bCs/>
        </w:rPr>
        <w:t xml:space="preserve"> </w:t>
      </w:r>
      <w:r w:rsidR="000D7F35" w:rsidRPr="0628D608">
        <w:rPr>
          <w:rFonts w:ascii="Arial" w:eastAsia="Arial" w:hAnsi="Arial" w:cs="Arial"/>
          <w:b/>
          <w:bCs/>
        </w:rPr>
        <w:t>ND</w:t>
      </w:r>
      <w:r w:rsidR="1EE8FC73" w:rsidRPr="0628D608">
        <w:rPr>
          <w:rFonts w:ascii="Arial" w:eastAsia="Arial" w:hAnsi="Arial" w:cs="Arial"/>
          <w:b/>
          <w:bCs/>
        </w:rPr>
        <w:t>S</w:t>
      </w:r>
      <w:r w:rsidR="000D7F35" w:rsidRPr="0628D608">
        <w:rPr>
          <w:rFonts w:ascii="Arial" w:eastAsia="Arial" w:hAnsi="Arial" w:cs="Arial"/>
          <w:b/>
          <w:bCs/>
        </w:rPr>
        <w:t>P</w:t>
      </w:r>
      <w:r w:rsidR="000D7F35" w:rsidRPr="2D0C19AE">
        <w:rPr>
          <w:rFonts w:ascii="Arial" w:eastAsia="Arial" w:hAnsi="Arial" w:cs="Arial"/>
          <w:b/>
          <w:bCs/>
        </w:rPr>
        <w:t xml:space="preserve"> goal </w:t>
      </w:r>
      <w:r w:rsidRPr="2D0C19AE">
        <w:rPr>
          <w:rFonts w:ascii="Arial" w:eastAsia="Arial" w:hAnsi="Arial" w:cs="Arial"/>
          <w:b/>
          <w:bCs/>
        </w:rPr>
        <w:t>of improving the livelihood, independence and equality of people with disabilities, including women and girls with disabilities</w:t>
      </w:r>
      <w:r w:rsidR="00EB3128" w:rsidRPr="2D0C19AE">
        <w:rPr>
          <w:rFonts w:ascii="Arial" w:eastAsia="Arial" w:hAnsi="Arial" w:cs="Arial"/>
        </w:rPr>
        <w:t xml:space="preserve">, as well as contributing to </w:t>
      </w:r>
      <w:r w:rsidRPr="2D0C19AE">
        <w:rPr>
          <w:rFonts w:ascii="Arial" w:eastAsia="Arial" w:hAnsi="Arial" w:cs="Arial"/>
        </w:rPr>
        <w:t xml:space="preserve">all three NDSP objectives: </w:t>
      </w:r>
    </w:p>
    <w:p w14:paraId="49419E58" w14:textId="28C55D9E" w:rsidR="00F6132D" w:rsidRPr="00F6132D" w:rsidRDefault="78D4194F" w:rsidP="001413EF">
      <w:pPr>
        <w:pStyle w:val="ListParagraph"/>
        <w:numPr>
          <w:ilvl w:val="0"/>
          <w:numId w:val="28"/>
        </w:numPr>
        <w:ind w:left="714" w:hanging="357"/>
        <w:contextualSpacing w:val="0"/>
        <w:jc w:val="both"/>
      </w:pPr>
      <w:r w:rsidRPr="00106C87">
        <w:rPr>
          <w:rFonts w:ascii="Arial" w:eastAsia="Arial" w:hAnsi="Arial" w:cs="Arial"/>
          <w:u w:val="single"/>
        </w:rPr>
        <w:t>Objective 1</w:t>
      </w:r>
      <w:r w:rsidRPr="73DA2FDD">
        <w:rPr>
          <w:rFonts w:ascii="Arial" w:eastAsia="Arial" w:hAnsi="Arial" w:cs="Arial"/>
        </w:rPr>
        <w:t xml:space="preserve"> to provide services to people with disabilities, including social protection and vocational training</w:t>
      </w:r>
      <w:r w:rsidR="00F6132D" w:rsidRPr="73DA2FDD">
        <w:rPr>
          <w:rFonts w:ascii="Arial" w:eastAsia="Arial" w:hAnsi="Arial" w:cs="Arial"/>
        </w:rPr>
        <w:t xml:space="preserve">, </w:t>
      </w:r>
      <w:r w:rsidR="003A233B" w:rsidRPr="73DA2FDD">
        <w:rPr>
          <w:rFonts w:ascii="Arial" w:eastAsia="Arial" w:hAnsi="Arial" w:cs="Arial"/>
        </w:rPr>
        <w:t>through</w:t>
      </w:r>
      <w:r w:rsidR="00F6132D" w:rsidRPr="73DA2FDD">
        <w:rPr>
          <w:rFonts w:ascii="Arial" w:eastAsia="Arial" w:hAnsi="Arial" w:cs="Arial"/>
        </w:rPr>
        <w:t xml:space="preserve"> </w:t>
      </w:r>
      <w:r w:rsidR="00AD02D6">
        <w:rPr>
          <w:rFonts w:ascii="Arial" w:eastAsia="Arial" w:hAnsi="Arial" w:cs="Arial"/>
        </w:rPr>
        <w:t>ACCESS’</w:t>
      </w:r>
      <w:r w:rsidR="009F2B4C">
        <w:rPr>
          <w:rFonts w:ascii="Arial" w:eastAsia="Arial" w:hAnsi="Arial" w:cs="Arial"/>
        </w:rPr>
        <w:t>s</w:t>
      </w:r>
      <w:r w:rsidR="00F632BA" w:rsidRPr="73DA2FDD">
        <w:rPr>
          <w:rFonts w:ascii="Arial" w:eastAsia="Arial" w:hAnsi="Arial" w:cs="Arial"/>
        </w:rPr>
        <w:t xml:space="preserve"> provision of</w:t>
      </w:r>
      <w:r w:rsidRPr="73DA2FDD">
        <w:rPr>
          <w:rFonts w:ascii="Arial" w:eastAsia="Arial" w:hAnsi="Arial" w:cs="Arial"/>
        </w:rPr>
        <w:t xml:space="preserve"> technical assistance to the </w:t>
      </w:r>
      <w:proofErr w:type="spellStart"/>
      <w:r w:rsidRPr="73DA2FDD">
        <w:rPr>
          <w:rFonts w:ascii="Arial" w:eastAsia="Arial" w:hAnsi="Arial" w:cs="Arial"/>
        </w:rPr>
        <w:t>IDPoor</w:t>
      </w:r>
      <w:proofErr w:type="spellEnd"/>
      <w:r w:rsidRPr="73DA2FDD">
        <w:rPr>
          <w:rFonts w:ascii="Arial" w:eastAsia="Arial" w:hAnsi="Arial" w:cs="Arial"/>
        </w:rPr>
        <w:t xml:space="preserve"> scheme, a commissioned study and advice to </w:t>
      </w:r>
      <w:proofErr w:type="spellStart"/>
      <w:r w:rsidRPr="73DA2FDD">
        <w:rPr>
          <w:rFonts w:ascii="Arial" w:eastAsia="Arial" w:hAnsi="Arial" w:cs="Arial"/>
        </w:rPr>
        <w:t>MoSVY</w:t>
      </w:r>
      <w:proofErr w:type="spellEnd"/>
      <w:r w:rsidRPr="73DA2FDD">
        <w:rPr>
          <w:rFonts w:ascii="Arial" w:eastAsia="Arial" w:hAnsi="Arial" w:cs="Arial"/>
        </w:rPr>
        <w:t xml:space="preserve"> on reforms to a disability benefit, </w:t>
      </w:r>
      <w:r w:rsidR="00BB62C3" w:rsidRPr="73DA2FDD">
        <w:rPr>
          <w:rFonts w:ascii="Arial" w:eastAsia="Arial" w:hAnsi="Arial" w:cs="Arial"/>
        </w:rPr>
        <w:t>and through</w:t>
      </w:r>
      <w:r w:rsidRPr="73DA2FDD">
        <w:rPr>
          <w:rFonts w:ascii="Arial" w:eastAsia="Arial" w:hAnsi="Arial" w:cs="Arial"/>
        </w:rPr>
        <w:t xml:space="preserve"> IP activities by Agile and </w:t>
      </w:r>
      <w:proofErr w:type="spellStart"/>
      <w:r w:rsidRPr="73DA2FDD">
        <w:rPr>
          <w:rFonts w:ascii="Arial" w:eastAsia="Arial" w:hAnsi="Arial" w:cs="Arial"/>
        </w:rPr>
        <w:t>PAfID</w:t>
      </w:r>
      <w:proofErr w:type="spellEnd"/>
      <w:r w:rsidRPr="73DA2FDD">
        <w:rPr>
          <w:rFonts w:ascii="Arial" w:eastAsia="Arial" w:hAnsi="Arial" w:cs="Arial"/>
        </w:rPr>
        <w:t xml:space="preserve"> to provide business and employment-oriented training</w:t>
      </w:r>
      <w:r w:rsidR="008D692D" w:rsidRPr="73DA2FDD">
        <w:rPr>
          <w:rFonts w:ascii="Arial" w:eastAsia="Arial" w:hAnsi="Arial" w:cs="Arial"/>
        </w:rPr>
        <w:t xml:space="preserve"> and coaching</w:t>
      </w:r>
      <w:r w:rsidR="00F6132D" w:rsidRPr="73DA2FDD">
        <w:rPr>
          <w:rFonts w:ascii="Arial" w:eastAsia="Arial" w:hAnsi="Arial" w:cs="Arial"/>
        </w:rPr>
        <w:t>.</w:t>
      </w:r>
    </w:p>
    <w:p w14:paraId="1333C68E" w14:textId="144DB916" w:rsidR="000E22EC" w:rsidRPr="00463D7B" w:rsidRDefault="78D4194F" w:rsidP="001413EF">
      <w:pPr>
        <w:pStyle w:val="ListParagraph"/>
        <w:numPr>
          <w:ilvl w:val="0"/>
          <w:numId w:val="28"/>
        </w:numPr>
        <w:ind w:left="714" w:hanging="357"/>
        <w:contextualSpacing w:val="0"/>
        <w:jc w:val="both"/>
        <w:rPr>
          <w:rFonts w:ascii="Arial" w:eastAsia="Arial" w:hAnsi="Arial" w:cs="Arial"/>
        </w:rPr>
      </w:pPr>
      <w:r w:rsidRPr="00106C87">
        <w:rPr>
          <w:rFonts w:ascii="Arial" w:eastAsia="Arial" w:hAnsi="Arial" w:cs="Arial"/>
          <w:u w:val="single"/>
        </w:rPr>
        <w:lastRenderedPageBreak/>
        <w:t>Objective 2</w:t>
      </w:r>
      <w:r w:rsidRPr="00463D7B">
        <w:rPr>
          <w:rFonts w:ascii="Arial" w:eastAsia="Arial" w:hAnsi="Arial" w:cs="Arial"/>
        </w:rPr>
        <w:t xml:space="preserve"> to empower persons with disabilities to participate in decision making and political life</w:t>
      </w:r>
      <w:r w:rsidR="00F6132D" w:rsidRPr="00463D7B">
        <w:rPr>
          <w:rFonts w:ascii="Arial" w:eastAsia="Arial" w:hAnsi="Arial" w:cs="Arial"/>
        </w:rPr>
        <w:t xml:space="preserve">, </w:t>
      </w:r>
      <w:r w:rsidR="00A91039" w:rsidRPr="00463D7B">
        <w:rPr>
          <w:rFonts w:ascii="Arial" w:eastAsia="Arial" w:hAnsi="Arial" w:cs="Arial"/>
        </w:rPr>
        <w:t>through</w:t>
      </w:r>
      <w:r w:rsidR="00F6132D" w:rsidRPr="00463D7B">
        <w:rPr>
          <w:rFonts w:ascii="Arial" w:eastAsia="Arial" w:hAnsi="Arial" w:cs="Arial"/>
        </w:rPr>
        <w:t xml:space="preserve"> </w:t>
      </w:r>
      <w:r w:rsidR="00AD02D6">
        <w:rPr>
          <w:rFonts w:ascii="Arial" w:eastAsia="Arial" w:hAnsi="Arial" w:cs="Arial"/>
        </w:rPr>
        <w:t>ACCESS’</w:t>
      </w:r>
      <w:r w:rsidR="009F2B4C">
        <w:rPr>
          <w:rFonts w:ascii="Arial" w:eastAsia="Arial" w:hAnsi="Arial" w:cs="Arial"/>
        </w:rPr>
        <w:t>s</w:t>
      </w:r>
      <w:r w:rsidR="003B28D5" w:rsidRPr="00463D7B">
        <w:rPr>
          <w:rFonts w:ascii="Arial" w:eastAsia="Arial" w:hAnsi="Arial" w:cs="Arial"/>
        </w:rPr>
        <w:t xml:space="preserve"> support for fa</w:t>
      </w:r>
      <w:r w:rsidRPr="00463D7B">
        <w:rPr>
          <w:rFonts w:ascii="Arial" w:eastAsia="Arial" w:hAnsi="Arial" w:cs="Arial"/>
        </w:rPr>
        <w:t>cilitating the involvement of ACCESS IPs and OPDs in consultations on the development of the new Disability Law</w:t>
      </w:r>
      <w:r w:rsidR="00316D10" w:rsidRPr="00463D7B">
        <w:rPr>
          <w:rFonts w:ascii="Arial" w:eastAsia="Arial" w:hAnsi="Arial" w:cs="Arial"/>
        </w:rPr>
        <w:t>.</w:t>
      </w:r>
      <w:r w:rsidRPr="00463D7B">
        <w:rPr>
          <w:rFonts w:ascii="Arial" w:eastAsia="Arial" w:hAnsi="Arial" w:cs="Arial"/>
        </w:rPr>
        <w:t xml:space="preserve"> </w:t>
      </w:r>
    </w:p>
    <w:p w14:paraId="4A531EE2" w14:textId="33FC7824" w:rsidR="78D4194F" w:rsidRPr="00463D7B" w:rsidRDefault="78D4194F" w:rsidP="001413EF">
      <w:pPr>
        <w:pStyle w:val="ListParagraph"/>
        <w:numPr>
          <w:ilvl w:val="0"/>
          <w:numId w:val="28"/>
        </w:numPr>
        <w:ind w:left="714" w:hanging="357"/>
        <w:contextualSpacing w:val="0"/>
        <w:jc w:val="both"/>
        <w:rPr>
          <w:rFonts w:ascii="Arial" w:eastAsia="Arial" w:hAnsi="Arial" w:cs="Arial"/>
        </w:rPr>
      </w:pPr>
      <w:r w:rsidRPr="00106C87">
        <w:rPr>
          <w:rFonts w:ascii="Arial" w:eastAsia="Arial" w:hAnsi="Arial" w:cs="Arial"/>
          <w:u w:val="single"/>
        </w:rPr>
        <w:t>Objective 3</w:t>
      </w:r>
      <w:r w:rsidRPr="00463D7B">
        <w:rPr>
          <w:rFonts w:ascii="Arial" w:eastAsia="Arial" w:hAnsi="Arial" w:cs="Arial"/>
        </w:rPr>
        <w:t xml:space="preserve"> to improve access to the physical environment and facilities, as well as information</w:t>
      </w:r>
      <w:r w:rsidR="00325A4A" w:rsidRPr="00463D7B">
        <w:rPr>
          <w:rFonts w:ascii="Arial" w:eastAsia="Arial" w:hAnsi="Arial" w:cs="Arial"/>
        </w:rPr>
        <w:t xml:space="preserve">, through </w:t>
      </w:r>
      <w:r w:rsidRPr="00463D7B">
        <w:rPr>
          <w:rFonts w:ascii="Arial" w:eastAsia="Arial" w:hAnsi="Arial" w:cs="Arial"/>
        </w:rPr>
        <w:t>ACCESS support</w:t>
      </w:r>
      <w:r w:rsidR="00952C7C" w:rsidRPr="00463D7B">
        <w:rPr>
          <w:rFonts w:ascii="Arial" w:eastAsia="Arial" w:hAnsi="Arial" w:cs="Arial"/>
        </w:rPr>
        <w:t xml:space="preserve">ing the implementation of national technical standards on the physical accessibility of infrastructure, and </w:t>
      </w:r>
      <w:r w:rsidR="00E71A36">
        <w:rPr>
          <w:rFonts w:ascii="Arial" w:eastAsia="Arial" w:hAnsi="Arial" w:cs="Arial"/>
        </w:rPr>
        <w:t xml:space="preserve">installation of </w:t>
      </w:r>
      <w:r w:rsidR="00952C7C" w:rsidRPr="00463D7B">
        <w:rPr>
          <w:rFonts w:ascii="Arial" w:eastAsia="Arial" w:hAnsi="Arial" w:cs="Arial"/>
        </w:rPr>
        <w:t xml:space="preserve">22 accessible ramps for commune halls. </w:t>
      </w:r>
      <w:r w:rsidR="00325A4A" w:rsidRPr="00463D7B">
        <w:rPr>
          <w:rFonts w:ascii="Arial" w:eastAsia="Arial" w:hAnsi="Arial" w:cs="Arial"/>
        </w:rPr>
        <w:t xml:space="preserve"> </w:t>
      </w:r>
    </w:p>
    <w:p w14:paraId="2360606B" w14:textId="7DE8A9B9" w:rsidR="00E9191D" w:rsidRDefault="00E9191D" w:rsidP="00BF2DCF">
      <w:pPr>
        <w:jc w:val="both"/>
        <w:rPr>
          <w:rFonts w:ascii="Arial" w:eastAsia="Arial" w:hAnsi="Arial" w:cs="Arial"/>
        </w:rPr>
      </w:pPr>
      <w:r w:rsidRPr="00463D7B">
        <w:rPr>
          <w:rFonts w:ascii="Arial" w:eastAsia="Arial" w:hAnsi="Arial" w:cs="Arial"/>
          <w:b/>
          <w:bCs/>
        </w:rPr>
        <w:t xml:space="preserve">ACCESS </w:t>
      </w:r>
      <w:r w:rsidR="008F5023" w:rsidRPr="00463D7B">
        <w:rPr>
          <w:rFonts w:ascii="Arial" w:eastAsia="Arial" w:hAnsi="Arial" w:cs="Arial"/>
          <w:b/>
          <w:bCs/>
        </w:rPr>
        <w:t>gives effect to core</w:t>
      </w:r>
      <w:r w:rsidRPr="00463D7B">
        <w:rPr>
          <w:rFonts w:ascii="Arial" w:eastAsia="Arial" w:hAnsi="Arial" w:cs="Arial"/>
          <w:b/>
          <w:bCs/>
        </w:rPr>
        <w:t xml:space="preserve"> policy priorities </w:t>
      </w:r>
      <w:r w:rsidR="008F5023" w:rsidRPr="00463D7B">
        <w:rPr>
          <w:rFonts w:ascii="Arial" w:eastAsia="Arial" w:hAnsi="Arial" w:cs="Arial"/>
          <w:b/>
          <w:bCs/>
        </w:rPr>
        <w:t xml:space="preserve">for Australia’s development assistance to Cambodia, </w:t>
      </w:r>
      <w:r w:rsidR="007B7931" w:rsidRPr="00463D7B">
        <w:rPr>
          <w:rFonts w:ascii="Arial" w:eastAsia="Arial" w:hAnsi="Arial" w:cs="Arial"/>
        </w:rPr>
        <w:t>and</w:t>
      </w:r>
      <w:r w:rsidR="007B7931" w:rsidRPr="00463D7B">
        <w:rPr>
          <w:rFonts w:ascii="Arial" w:eastAsia="Arial" w:hAnsi="Arial" w:cs="Arial"/>
          <w:b/>
          <w:bCs/>
        </w:rPr>
        <w:t xml:space="preserve"> </w:t>
      </w:r>
      <w:r w:rsidR="00736EB2" w:rsidRPr="00463D7B">
        <w:rPr>
          <w:rFonts w:ascii="Arial" w:eastAsia="Arial" w:hAnsi="Arial" w:cs="Arial"/>
        </w:rPr>
        <w:t xml:space="preserve">as </w:t>
      </w:r>
      <w:r w:rsidRPr="00463D7B">
        <w:rPr>
          <w:rFonts w:ascii="Arial" w:eastAsia="Arial" w:hAnsi="Arial" w:cs="Arial"/>
        </w:rPr>
        <w:t>a dedicated, significant-value investment in people with disabilities and women survivors of GBV</w:t>
      </w:r>
      <w:r w:rsidR="007B7931" w:rsidRPr="00463D7B">
        <w:rPr>
          <w:rFonts w:ascii="Arial" w:eastAsia="Arial" w:hAnsi="Arial" w:cs="Arial"/>
        </w:rPr>
        <w:t xml:space="preserve"> is unique in Australia’s programming portfolio in Southeast</w:t>
      </w:r>
      <w:r w:rsidR="007B7931" w:rsidRPr="2D0C19AE">
        <w:rPr>
          <w:rFonts w:ascii="Arial" w:eastAsia="Arial" w:hAnsi="Arial" w:cs="Arial"/>
        </w:rPr>
        <w:t xml:space="preserve"> Asia</w:t>
      </w:r>
      <w:r w:rsidRPr="2D0C19AE">
        <w:rPr>
          <w:rFonts w:ascii="Arial" w:eastAsia="Arial" w:hAnsi="Arial" w:cs="Arial"/>
        </w:rPr>
        <w:t xml:space="preserve">. The program explicitly supports DFAT’s </w:t>
      </w:r>
      <w:r w:rsidRPr="2D0C19AE">
        <w:rPr>
          <w:rFonts w:ascii="Arial" w:eastAsia="Arial" w:hAnsi="Arial" w:cs="Arial"/>
          <w:i/>
          <w:iCs/>
        </w:rPr>
        <w:t xml:space="preserve">Gender Equality and Women’s Empowerment Strategy (2016) </w:t>
      </w:r>
      <w:r w:rsidRPr="2D0C19AE">
        <w:rPr>
          <w:rFonts w:ascii="Arial" w:eastAsia="Arial" w:hAnsi="Arial" w:cs="Arial"/>
        </w:rPr>
        <w:t xml:space="preserve">whereby ending violence against women and girls is one of its three priorities, and the heightened GBV risk for women and girls with disabilities is explicitly acknowledged. The Strategy specifically commits to supporting countries and organisations to increase women survivors’ access to support services, including counselling, housing, and legal services. ACCESS also supports realisation of Australia’s international commitment to people with disabilities under the </w:t>
      </w:r>
      <w:r w:rsidRPr="2D0C19AE">
        <w:rPr>
          <w:rFonts w:ascii="Arial" w:eastAsia="Arial" w:hAnsi="Arial" w:cs="Arial"/>
          <w:i/>
          <w:iCs/>
        </w:rPr>
        <w:t>Development for All 2015-2020: Strategy for strengthening disability inclusive development in Australia’s aid program</w:t>
      </w:r>
      <w:r w:rsidRPr="2D0C19AE">
        <w:rPr>
          <w:rFonts w:ascii="Arial" w:eastAsia="Arial" w:hAnsi="Arial" w:cs="Arial"/>
        </w:rPr>
        <w:t xml:space="preserve"> (extended until end 2021). One of three objectives of the Strategy is to improve equality for people with disabilities in all areas of public life, including service provision, education and employment. The services focus of ACCESS is well aligned with these policies, as is the twin-track support to government and representative organisations. </w:t>
      </w:r>
    </w:p>
    <w:p w14:paraId="435FBBD1" w14:textId="77777777" w:rsidR="00E9191D" w:rsidRPr="00A85281" w:rsidRDefault="00E9191D" w:rsidP="00A85281">
      <w:pPr>
        <w:pStyle w:val="IntroCopySolid"/>
        <w:shd w:val="clear" w:color="auto" w:fill="E4EAF8"/>
        <w:jc w:val="both"/>
        <w:rPr>
          <w:color w:val="auto"/>
          <w:sz w:val="20"/>
          <w:szCs w:val="20"/>
        </w:rPr>
      </w:pPr>
      <w:r w:rsidRPr="00A85281">
        <w:rPr>
          <w:color w:val="auto"/>
          <w:sz w:val="20"/>
          <w:szCs w:val="20"/>
        </w:rPr>
        <w:t>‘Other countries no longer support us, but Australia does’</w:t>
      </w:r>
    </w:p>
    <w:p w14:paraId="4AB51DB0" w14:textId="77777777" w:rsidR="00E9191D" w:rsidRPr="00A85281" w:rsidRDefault="00E9191D" w:rsidP="00A85281">
      <w:pPr>
        <w:pStyle w:val="IntroCopySolid"/>
        <w:shd w:val="clear" w:color="auto" w:fill="E4EAF8"/>
        <w:jc w:val="right"/>
        <w:rPr>
          <w:color w:val="auto"/>
          <w:szCs w:val="20"/>
        </w:rPr>
      </w:pPr>
      <w:r w:rsidRPr="00A85281">
        <w:rPr>
          <w:color w:val="auto"/>
          <w:sz w:val="20"/>
          <w:szCs w:val="20"/>
        </w:rPr>
        <w:t>Stakeholder interviewee from an Organisation of People with Disabilities</w:t>
      </w:r>
    </w:p>
    <w:p w14:paraId="13A47431" w14:textId="167D6A81" w:rsidR="000E113A" w:rsidRPr="0074247D" w:rsidRDefault="000E113A" w:rsidP="00E56401">
      <w:pPr>
        <w:pStyle w:val="Heading2NOTOC"/>
      </w:pPr>
      <w:r w:rsidRPr="2D0C19AE">
        <w:t xml:space="preserve">Adaptiveness to </w:t>
      </w:r>
      <w:r w:rsidR="00993DB5">
        <w:t>changes in the context</w:t>
      </w:r>
    </w:p>
    <w:p w14:paraId="390423F8" w14:textId="59D440A3" w:rsidR="00BB61F3" w:rsidRDefault="00BB61F3" w:rsidP="1B23B6AA">
      <w:pPr>
        <w:jc w:val="both"/>
        <w:rPr>
          <w:rFonts w:ascii="Arial" w:eastAsia="Arial" w:hAnsi="Arial" w:cs="Arial"/>
          <w:i/>
          <w:iCs/>
        </w:rPr>
      </w:pPr>
      <w:r w:rsidRPr="1B23B6AA">
        <w:rPr>
          <w:rFonts w:ascii="Arial" w:eastAsia="Arial" w:hAnsi="Arial" w:cs="Arial"/>
          <w:b/>
          <w:bCs/>
        </w:rPr>
        <w:t>ACCESS demonstrated its ability and positioning to pivot</w:t>
      </w:r>
      <w:r w:rsidR="00314805" w:rsidRPr="1B23B6AA">
        <w:rPr>
          <w:rFonts w:ascii="Arial" w:eastAsia="Arial" w:hAnsi="Arial" w:cs="Arial"/>
          <w:b/>
          <w:bCs/>
        </w:rPr>
        <w:t xml:space="preserve"> to</w:t>
      </w:r>
      <w:r w:rsidRPr="1B23B6AA">
        <w:rPr>
          <w:rFonts w:ascii="Arial" w:eastAsia="Arial" w:hAnsi="Arial" w:cs="Arial"/>
          <w:b/>
          <w:bCs/>
        </w:rPr>
        <w:t xml:space="preserve"> support key priorities in Australia’s COVID-19 response and to embed new ways of working required by the Covid-19 context</w:t>
      </w:r>
      <w:r w:rsidRPr="1B23B6AA">
        <w:rPr>
          <w:rFonts w:ascii="Arial" w:eastAsia="Arial" w:hAnsi="Arial" w:cs="Arial"/>
        </w:rPr>
        <w:t xml:space="preserve">. DFAT’s </w:t>
      </w:r>
      <w:r w:rsidRPr="1B23B6AA">
        <w:rPr>
          <w:rFonts w:ascii="Arial" w:eastAsia="Arial" w:hAnsi="Arial" w:cs="Arial"/>
          <w:i/>
          <w:iCs/>
        </w:rPr>
        <w:t xml:space="preserve">Partnerships for Recovery: Australia’s COVID-19 Development Response (2020) </w:t>
      </w:r>
      <w:r w:rsidRPr="1B23B6AA">
        <w:rPr>
          <w:rFonts w:ascii="Arial" w:eastAsia="Arial" w:hAnsi="Arial" w:cs="Arial"/>
        </w:rPr>
        <w:t xml:space="preserve">prioritised the response to violence against women and girls as part of efforts towards stability, and it includes a focus on people with disabilities, acknowledging the multiple layers of exclusion faced by these individuals. </w:t>
      </w:r>
      <w:r w:rsidR="00AD02D6">
        <w:rPr>
          <w:rFonts w:ascii="Arial" w:eastAsia="Arial" w:hAnsi="Arial" w:cs="Arial"/>
        </w:rPr>
        <w:t>ACCESS’</w:t>
      </w:r>
      <w:r w:rsidR="009F2B4C">
        <w:rPr>
          <w:rFonts w:ascii="Arial" w:eastAsia="Arial" w:hAnsi="Arial" w:cs="Arial"/>
        </w:rPr>
        <w:t>s</w:t>
      </w:r>
      <w:r w:rsidRPr="1B23B6AA">
        <w:rPr>
          <w:rFonts w:ascii="Arial" w:eastAsia="Arial" w:hAnsi="Arial" w:cs="Arial"/>
        </w:rPr>
        <w:t xml:space="preserve"> response to </w:t>
      </w:r>
      <w:r w:rsidR="00C24AC5" w:rsidRPr="1B23B6AA">
        <w:rPr>
          <w:rFonts w:ascii="Arial" w:eastAsia="Arial" w:hAnsi="Arial" w:cs="Arial"/>
        </w:rPr>
        <w:t>Covid</w:t>
      </w:r>
      <w:r w:rsidRPr="1B23B6AA">
        <w:rPr>
          <w:rFonts w:ascii="Arial" w:eastAsia="Arial" w:hAnsi="Arial" w:cs="Arial"/>
        </w:rPr>
        <w:t xml:space="preserve">-19 has also contributed to the RGC’s </w:t>
      </w:r>
      <w:r w:rsidRPr="1B23B6AA">
        <w:rPr>
          <w:rFonts w:ascii="Arial" w:eastAsia="Arial" w:hAnsi="Arial" w:cs="Arial"/>
          <w:i/>
          <w:iCs/>
        </w:rPr>
        <w:t xml:space="preserve">Strategic framework for programs and economic recovery for living in the new normal of COVID-19 (2021-2023). </w:t>
      </w:r>
      <w:r w:rsidR="00DC5BC5" w:rsidRPr="1B23B6AA">
        <w:rPr>
          <w:rFonts w:ascii="Arial" w:eastAsia="Arial" w:hAnsi="Arial" w:cs="Arial"/>
        </w:rPr>
        <w:t>S</w:t>
      </w:r>
      <w:r w:rsidRPr="1B23B6AA">
        <w:rPr>
          <w:rFonts w:ascii="Arial" w:eastAsia="Arial" w:hAnsi="Arial" w:cs="Arial"/>
        </w:rPr>
        <w:t xml:space="preserve">ignificantly, during the emergency context, ACCESS and its partners </w:t>
      </w:r>
      <w:r w:rsidR="00AA01CE">
        <w:rPr>
          <w:rFonts w:ascii="Arial" w:eastAsia="Arial" w:hAnsi="Arial" w:cs="Arial"/>
        </w:rPr>
        <w:t xml:space="preserve">supported UNICEF in </w:t>
      </w:r>
      <w:r w:rsidRPr="1B23B6AA">
        <w:rPr>
          <w:rFonts w:ascii="Arial" w:eastAsia="Arial" w:hAnsi="Arial" w:cs="Arial"/>
        </w:rPr>
        <w:t>identify</w:t>
      </w:r>
      <w:r w:rsidR="00AA01CE">
        <w:rPr>
          <w:rFonts w:ascii="Arial" w:eastAsia="Arial" w:hAnsi="Arial" w:cs="Arial"/>
        </w:rPr>
        <w:t>ing</w:t>
      </w:r>
      <w:r w:rsidRPr="1B23B6AA">
        <w:rPr>
          <w:rFonts w:ascii="Arial" w:eastAsia="Arial" w:hAnsi="Arial" w:cs="Arial"/>
        </w:rPr>
        <w:t xml:space="preserve"> 230,000 people with disabilities to be registered for an </w:t>
      </w:r>
      <w:proofErr w:type="spellStart"/>
      <w:r w:rsidRPr="1B23B6AA">
        <w:rPr>
          <w:rFonts w:ascii="Arial" w:eastAsia="Arial" w:hAnsi="Arial" w:cs="Arial"/>
        </w:rPr>
        <w:t>IDPoor</w:t>
      </w:r>
      <w:proofErr w:type="spellEnd"/>
      <w:r w:rsidRPr="1B23B6AA">
        <w:rPr>
          <w:rFonts w:ascii="Arial" w:eastAsia="Arial" w:hAnsi="Arial" w:cs="Arial"/>
        </w:rPr>
        <w:t xml:space="preserve"> card</w:t>
      </w:r>
      <w:r w:rsidR="00AA01CE">
        <w:rPr>
          <w:rFonts w:ascii="Arial" w:eastAsia="Arial" w:hAnsi="Arial" w:cs="Arial"/>
        </w:rPr>
        <w:t xml:space="preserve"> -</w:t>
      </w:r>
      <w:r w:rsidRPr="1B23B6AA">
        <w:rPr>
          <w:rFonts w:ascii="Arial" w:eastAsia="Arial" w:hAnsi="Arial" w:cs="Arial"/>
        </w:rPr>
        <w:t xml:space="preserve"> the national, poverty-</w:t>
      </w:r>
      <w:r w:rsidR="00B943E4" w:rsidRPr="1B23B6AA">
        <w:rPr>
          <w:rFonts w:ascii="Arial" w:eastAsia="Arial" w:hAnsi="Arial" w:cs="Arial"/>
        </w:rPr>
        <w:t>registration</w:t>
      </w:r>
      <w:r w:rsidRPr="1B23B6AA">
        <w:rPr>
          <w:rFonts w:ascii="Arial" w:eastAsia="Arial" w:hAnsi="Arial" w:cs="Arial"/>
        </w:rPr>
        <w:t xml:space="preserve"> scheme which </w:t>
      </w:r>
      <w:r w:rsidR="009162E3" w:rsidRPr="1B23B6AA">
        <w:rPr>
          <w:rFonts w:ascii="Arial" w:eastAsia="Arial" w:hAnsi="Arial" w:cs="Arial"/>
        </w:rPr>
        <w:t xml:space="preserve">enables </w:t>
      </w:r>
      <w:r w:rsidRPr="1B23B6AA">
        <w:rPr>
          <w:rFonts w:ascii="Arial" w:eastAsia="Arial" w:hAnsi="Arial" w:cs="Arial"/>
        </w:rPr>
        <w:t xml:space="preserve">access to a range of </w:t>
      </w:r>
      <w:r w:rsidR="009162E3" w:rsidRPr="1B23B6AA">
        <w:rPr>
          <w:rFonts w:ascii="Arial" w:eastAsia="Arial" w:hAnsi="Arial" w:cs="Arial"/>
        </w:rPr>
        <w:t>social protection schemes, including free health care and the COVID</w:t>
      </w:r>
      <w:r w:rsidR="0F719B13" w:rsidRPr="1B23B6AA">
        <w:rPr>
          <w:rFonts w:ascii="Arial" w:eastAsia="Arial" w:hAnsi="Arial" w:cs="Arial"/>
        </w:rPr>
        <w:t>-19</w:t>
      </w:r>
      <w:r w:rsidR="009162E3" w:rsidRPr="1B23B6AA">
        <w:rPr>
          <w:rFonts w:ascii="Arial" w:eastAsia="Arial" w:hAnsi="Arial" w:cs="Arial"/>
        </w:rPr>
        <w:t xml:space="preserve"> cash transfer</w:t>
      </w:r>
      <w:r w:rsidRPr="1B23B6AA">
        <w:rPr>
          <w:rFonts w:ascii="Arial" w:eastAsia="Arial" w:hAnsi="Arial" w:cs="Arial"/>
        </w:rPr>
        <w:t xml:space="preserve">. ACCESS also </w:t>
      </w:r>
      <w:r w:rsidR="000E22EC" w:rsidRPr="1B23B6AA">
        <w:rPr>
          <w:rFonts w:ascii="Arial" w:eastAsia="Arial" w:hAnsi="Arial" w:cs="Arial"/>
        </w:rPr>
        <w:t>sourced</w:t>
      </w:r>
      <w:r w:rsidRPr="1B23B6AA">
        <w:rPr>
          <w:rFonts w:ascii="Arial" w:eastAsia="Arial" w:hAnsi="Arial" w:cs="Arial"/>
        </w:rPr>
        <w:t xml:space="preserve"> Personal Protective Equipment (PPE) </w:t>
      </w:r>
      <w:r w:rsidR="000E22EC" w:rsidRPr="1B23B6AA">
        <w:rPr>
          <w:rFonts w:ascii="Arial" w:eastAsia="Arial" w:hAnsi="Arial" w:cs="Arial"/>
        </w:rPr>
        <w:t>for IPs for onward distribution to service providers, people with disabilities and survivors of violence. ACCESS</w:t>
      </w:r>
      <w:r w:rsidRPr="1B23B6AA">
        <w:rPr>
          <w:rFonts w:ascii="Arial" w:eastAsia="Arial" w:hAnsi="Arial" w:cs="Arial"/>
        </w:rPr>
        <w:t xml:space="preserve"> transitioned swiftly to online communication and</w:t>
      </w:r>
      <w:r w:rsidR="00A2192B" w:rsidRPr="1B23B6AA">
        <w:rPr>
          <w:rFonts w:ascii="Arial" w:eastAsia="Arial" w:hAnsi="Arial" w:cs="Arial"/>
        </w:rPr>
        <w:t xml:space="preserve"> </w:t>
      </w:r>
      <w:r w:rsidRPr="1B23B6AA">
        <w:rPr>
          <w:rFonts w:ascii="Arial" w:eastAsia="Arial" w:hAnsi="Arial" w:cs="Arial"/>
        </w:rPr>
        <w:t>outreach to maintain contact with partners during periods of travel restrictions</w:t>
      </w:r>
      <w:r w:rsidR="000E22EC" w:rsidRPr="1B23B6AA">
        <w:rPr>
          <w:rFonts w:ascii="Arial" w:eastAsia="Arial" w:hAnsi="Arial" w:cs="Arial"/>
        </w:rPr>
        <w:t xml:space="preserve">, and it also commissioned several </w:t>
      </w:r>
      <w:r w:rsidR="00A2192B" w:rsidRPr="1B23B6AA">
        <w:rPr>
          <w:rFonts w:ascii="Arial" w:eastAsia="Arial" w:hAnsi="Arial" w:cs="Arial"/>
        </w:rPr>
        <w:t xml:space="preserve">rapid </w:t>
      </w:r>
      <w:r w:rsidR="000E22EC" w:rsidRPr="1B23B6AA">
        <w:rPr>
          <w:rFonts w:ascii="Arial" w:eastAsia="Arial" w:hAnsi="Arial" w:cs="Arial"/>
        </w:rPr>
        <w:t>assessments to gauge the effect of the pandemic on access to services and experience of GBV</w:t>
      </w:r>
      <w:r w:rsidRPr="1B23B6AA">
        <w:rPr>
          <w:rFonts w:ascii="Arial" w:eastAsia="Arial" w:hAnsi="Arial" w:cs="Arial"/>
        </w:rPr>
        <w:t xml:space="preserve">. </w:t>
      </w:r>
    </w:p>
    <w:p w14:paraId="7DFAEC22" w14:textId="0938D7E1" w:rsidR="003F066A" w:rsidRPr="005F18CE" w:rsidRDefault="00E80CC1" w:rsidP="00457DE0">
      <w:pPr>
        <w:pStyle w:val="Heading2NOTOC"/>
      </w:pPr>
      <w:r>
        <w:t>Appropriateness for the development context and needs</w:t>
      </w:r>
    </w:p>
    <w:p w14:paraId="3C4BFCF5" w14:textId="5CBD5824" w:rsidR="001845FD" w:rsidRDefault="00CB69B5" w:rsidP="00A2192B">
      <w:pPr>
        <w:jc w:val="both"/>
        <w:rPr>
          <w:rFonts w:ascii="Arial" w:eastAsia="Arial" w:hAnsi="Arial" w:cs="Arial"/>
        </w:rPr>
      </w:pPr>
      <w:r w:rsidRPr="2D0C19AE">
        <w:rPr>
          <w:rFonts w:ascii="Arial" w:eastAsia="Arial" w:hAnsi="Arial" w:cs="Arial"/>
          <w:b/>
          <w:bCs/>
        </w:rPr>
        <w:t xml:space="preserve">The complexity and the scope of </w:t>
      </w:r>
      <w:r w:rsidR="00AD02D6">
        <w:rPr>
          <w:rFonts w:ascii="Arial" w:eastAsia="Arial" w:hAnsi="Arial" w:cs="Arial"/>
          <w:b/>
          <w:bCs/>
        </w:rPr>
        <w:t>ACCESS’</w:t>
      </w:r>
      <w:r w:rsidR="009F2B4C">
        <w:rPr>
          <w:rFonts w:ascii="Arial" w:eastAsia="Arial" w:hAnsi="Arial" w:cs="Arial"/>
          <w:b/>
          <w:bCs/>
        </w:rPr>
        <w:t>s</w:t>
      </w:r>
      <w:r w:rsidR="00E66150" w:rsidRPr="2D0C19AE">
        <w:rPr>
          <w:rFonts w:ascii="Arial" w:eastAsia="Arial" w:hAnsi="Arial" w:cs="Arial"/>
          <w:b/>
          <w:bCs/>
        </w:rPr>
        <w:t xml:space="preserve"> outcomes and of the context in which it was seeking to improve capacity for service delivery </w:t>
      </w:r>
      <w:r w:rsidRPr="2D0C19AE">
        <w:rPr>
          <w:rFonts w:ascii="Arial" w:eastAsia="Arial" w:hAnsi="Arial" w:cs="Arial"/>
          <w:b/>
          <w:bCs/>
        </w:rPr>
        <w:t>cannot be overstated.</w:t>
      </w:r>
      <w:r w:rsidR="78D4194F" w:rsidRPr="2D0C19AE" w:rsidDel="00CB69B5">
        <w:rPr>
          <w:rFonts w:ascii="Arial" w:eastAsia="Arial" w:hAnsi="Arial" w:cs="Arial"/>
        </w:rPr>
        <w:t xml:space="preserve"> </w:t>
      </w:r>
      <w:r w:rsidR="78D4194F" w:rsidRPr="2D0C19AE">
        <w:rPr>
          <w:rFonts w:ascii="Arial" w:eastAsia="Arial" w:hAnsi="Arial" w:cs="Arial"/>
        </w:rPr>
        <w:t xml:space="preserve">The design brought together two spheres of public sector service delivery that are both at an incipient </w:t>
      </w:r>
      <w:r w:rsidR="78D4194F" w:rsidRPr="00A2192B">
        <w:rPr>
          <w:rFonts w:ascii="Arial" w:eastAsia="Arial" w:hAnsi="Arial" w:cs="Arial"/>
        </w:rPr>
        <w:t xml:space="preserve">stage of development in Cambodia. For example, Cambodia has only three </w:t>
      </w:r>
      <w:r w:rsidR="00B003B0" w:rsidRPr="1B23B6AA">
        <w:rPr>
          <w:rFonts w:ascii="Arial" w:eastAsia="Arial" w:hAnsi="Arial" w:cs="Arial"/>
        </w:rPr>
        <w:t xml:space="preserve">active </w:t>
      </w:r>
      <w:r w:rsidR="78D4194F" w:rsidRPr="00A2192B">
        <w:rPr>
          <w:rFonts w:ascii="Arial" w:eastAsia="Arial" w:hAnsi="Arial" w:cs="Arial"/>
        </w:rPr>
        <w:t>shelters for survivors of violence serving</w:t>
      </w:r>
      <w:r w:rsidR="78D4194F" w:rsidRPr="2D0C19AE">
        <w:rPr>
          <w:rFonts w:ascii="Arial" w:eastAsia="Arial" w:hAnsi="Arial" w:cs="Arial"/>
        </w:rPr>
        <w:t xml:space="preserve"> Phnom Penh, </w:t>
      </w:r>
      <w:proofErr w:type="spellStart"/>
      <w:r w:rsidR="00A2192B">
        <w:rPr>
          <w:rFonts w:ascii="Arial" w:eastAsia="Arial" w:hAnsi="Arial" w:cs="Arial"/>
        </w:rPr>
        <w:t>Siem</w:t>
      </w:r>
      <w:proofErr w:type="spellEnd"/>
      <w:r w:rsidR="00A2192B">
        <w:rPr>
          <w:rFonts w:ascii="Arial" w:eastAsia="Arial" w:hAnsi="Arial" w:cs="Arial"/>
        </w:rPr>
        <w:t xml:space="preserve"> Reap and Banteay Meanchey</w:t>
      </w:r>
      <w:r w:rsidR="78D4194F" w:rsidRPr="2D0C19AE">
        <w:rPr>
          <w:rFonts w:ascii="Arial" w:eastAsia="Arial" w:hAnsi="Arial" w:cs="Arial"/>
        </w:rPr>
        <w:t xml:space="preserve"> (all managed</w:t>
      </w:r>
      <w:r w:rsidR="00A2192B">
        <w:rPr>
          <w:rFonts w:ascii="Arial" w:eastAsia="Arial" w:hAnsi="Arial" w:cs="Arial"/>
        </w:rPr>
        <w:t xml:space="preserve"> by ACCESS IP - CWCC</w:t>
      </w:r>
      <w:r w:rsidR="78D4194F" w:rsidRPr="2D0C19AE">
        <w:rPr>
          <w:rFonts w:ascii="Arial" w:eastAsia="Arial" w:hAnsi="Arial" w:cs="Arial"/>
        </w:rPr>
        <w:t xml:space="preserve">), and the country has 11 Physical Rehabilitation </w:t>
      </w:r>
      <w:r w:rsidR="78D4194F" w:rsidRPr="2D0C19AE">
        <w:rPr>
          <w:rFonts w:ascii="Arial" w:eastAsia="Arial" w:hAnsi="Arial" w:cs="Arial"/>
        </w:rPr>
        <w:lastRenderedPageBreak/>
        <w:t xml:space="preserve">Centres (PRCs) (with five recently transitioned from NGO to RGC-management). The levers or building blocks for system development are multi-sectoral and span the national level enabling environment such as the legal framework, workforce development and budgets, to </w:t>
      </w:r>
      <w:r w:rsidR="0087378E">
        <w:rPr>
          <w:rFonts w:ascii="Arial" w:eastAsia="Arial" w:hAnsi="Arial" w:cs="Arial"/>
        </w:rPr>
        <w:t>sub-national</w:t>
      </w:r>
      <w:r w:rsidR="78D4194F" w:rsidRPr="2D0C19AE">
        <w:rPr>
          <w:rFonts w:ascii="Arial" w:eastAsia="Arial" w:hAnsi="Arial" w:cs="Arial"/>
        </w:rPr>
        <w:t xml:space="preserve"> service delivery. Considering GBV, the conduct of training in the GBV service standards has been a major focus of the ACCESS-staff led activity (as distinct from IP activities), with 4,791 service providers trained in Year 4 alone. </w:t>
      </w:r>
    </w:p>
    <w:p w14:paraId="0581C56F" w14:textId="614E02E4" w:rsidR="78D4194F" w:rsidRDefault="78D4194F" w:rsidP="00A2192B">
      <w:pPr>
        <w:jc w:val="both"/>
        <w:rPr>
          <w:rFonts w:ascii="Arial" w:eastAsia="Arial" w:hAnsi="Arial" w:cs="Arial"/>
        </w:rPr>
      </w:pPr>
      <w:r w:rsidRPr="2D0C19AE">
        <w:rPr>
          <w:rFonts w:ascii="Arial" w:eastAsia="Arial" w:hAnsi="Arial" w:cs="Arial"/>
        </w:rPr>
        <w:t xml:space="preserve">Supporting the national and </w:t>
      </w:r>
      <w:r w:rsidR="0087378E">
        <w:rPr>
          <w:rFonts w:ascii="Arial" w:eastAsia="Arial" w:hAnsi="Arial" w:cs="Arial"/>
        </w:rPr>
        <w:t>sub-national</w:t>
      </w:r>
      <w:r w:rsidRPr="2D0C19AE">
        <w:rPr>
          <w:rFonts w:ascii="Arial" w:eastAsia="Arial" w:hAnsi="Arial" w:cs="Arial"/>
        </w:rPr>
        <w:t xml:space="preserve"> coordination mechanisms – the backbone of the referral system for survivors - has also been a priority. Training participants have self-reported increased confidence and capacity to respond to survivors,</w:t>
      </w:r>
      <w:r w:rsidR="324EF676" w:rsidRPr="2D0C19AE">
        <w:rPr>
          <w:rFonts w:ascii="Arial" w:eastAsia="Arial" w:hAnsi="Arial" w:cs="Arial"/>
        </w:rPr>
        <w:t xml:space="preserve"> </w:t>
      </w:r>
      <w:r w:rsidRPr="2D0C19AE">
        <w:rPr>
          <w:rFonts w:ascii="Arial" w:eastAsia="Arial" w:hAnsi="Arial" w:cs="Arial"/>
        </w:rPr>
        <w:t>and working group members could cite examples of improved information sharing (see further detail in effectiveness)</w:t>
      </w:r>
      <w:r w:rsidR="00794B02" w:rsidRPr="2D0C19AE">
        <w:rPr>
          <w:rFonts w:ascii="Arial" w:eastAsia="Arial" w:hAnsi="Arial" w:cs="Arial"/>
        </w:rPr>
        <w:t xml:space="preserve">. </w:t>
      </w:r>
      <w:r w:rsidR="008D514A" w:rsidRPr="2D0C19AE">
        <w:rPr>
          <w:rFonts w:ascii="Arial" w:eastAsia="Arial" w:hAnsi="Arial" w:cs="Arial"/>
        </w:rPr>
        <w:t xml:space="preserve">Without undermining these achievements, </w:t>
      </w:r>
      <w:r w:rsidR="00521278" w:rsidRPr="2D0C19AE">
        <w:rPr>
          <w:rFonts w:ascii="Arial" w:eastAsia="Arial" w:hAnsi="Arial" w:cs="Arial"/>
          <w:b/>
          <w:bCs/>
        </w:rPr>
        <w:t xml:space="preserve">the </w:t>
      </w:r>
      <w:r w:rsidR="006C1742" w:rsidRPr="2D0C19AE">
        <w:rPr>
          <w:rFonts w:ascii="Arial" w:eastAsia="Arial" w:hAnsi="Arial" w:cs="Arial"/>
          <w:b/>
          <w:bCs/>
        </w:rPr>
        <w:t xml:space="preserve">scope and breadth of </w:t>
      </w:r>
      <w:r w:rsidR="00AD02D6">
        <w:rPr>
          <w:rFonts w:ascii="Arial" w:eastAsia="Arial" w:hAnsi="Arial" w:cs="Arial"/>
          <w:b/>
          <w:bCs/>
        </w:rPr>
        <w:t>ACCESS’</w:t>
      </w:r>
      <w:r w:rsidR="009F2B4C">
        <w:rPr>
          <w:rFonts w:ascii="Arial" w:eastAsia="Arial" w:hAnsi="Arial" w:cs="Arial"/>
          <w:b/>
          <w:bCs/>
        </w:rPr>
        <w:t>s</w:t>
      </w:r>
      <w:r w:rsidR="006C1742" w:rsidRPr="2D0C19AE">
        <w:rPr>
          <w:rFonts w:ascii="Arial" w:eastAsia="Arial" w:hAnsi="Arial" w:cs="Arial"/>
          <w:b/>
          <w:bCs/>
        </w:rPr>
        <w:t xml:space="preserve"> </w:t>
      </w:r>
      <w:r w:rsidR="004C5D05" w:rsidRPr="2D0C19AE">
        <w:rPr>
          <w:rFonts w:ascii="Arial" w:eastAsia="Arial" w:hAnsi="Arial" w:cs="Arial"/>
          <w:b/>
          <w:bCs/>
        </w:rPr>
        <w:t xml:space="preserve">activities and the focus on </w:t>
      </w:r>
      <w:r w:rsidR="1A4BFEAD" w:rsidRPr="2D0C19AE">
        <w:rPr>
          <w:rFonts w:ascii="Arial" w:eastAsia="Arial" w:hAnsi="Arial" w:cs="Arial"/>
          <w:b/>
          <w:bCs/>
        </w:rPr>
        <w:t xml:space="preserve">national level </w:t>
      </w:r>
      <w:r w:rsidR="5374B264" w:rsidRPr="2D0C19AE">
        <w:rPr>
          <w:rFonts w:ascii="Arial" w:eastAsia="Arial" w:hAnsi="Arial" w:cs="Arial"/>
          <w:b/>
          <w:bCs/>
        </w:rPr>
        <w:t>‘</w:t>
      </w:r>
      <w:r w:rsidR="004C5D05" w:rsidRPr="2D0C19AE">
        <w:rPr>
          <w:rFonts w:ascii="Arial" w:eastAsia="Arial" w:hAnsi="Arial" w:cs="Arial"/>
          <w:b/>
          <w:bCs/>
        </w:rPr>
        <w:t>systems strengthening</w:t>
      </w:r>
      <w:r w:rsidR="5908EFAC" w:rsidRPr="2D0C19AE">
        <w:rPr>
          <w:rFonts w:ascii="Arial" w:eastAsia="Arial" w:hAnsi="Arial" w:cs="Arial"/>
          <w:b/>
          <w:bCs/>
        </w:rPr>
        <w:t>’</w:t>
      </w:r>
      <w:r w:rsidR="004C5D05" w:rsidRPr="2D0C19AE">
        <w:rPr>
          <w:rFonts w:ascii="Arial" w:eastAsia="Arial" w:hAnsi="Arial" w:cs="Arial"/>
          <w:b/>
          <w:bCs/>
        </w:rPr>
        <w:t xml:space="preserve"> </w:t>
      </w:r>
      <w:r w:rsidR="001422E9" w:rsidRPr="2D0C19AE">
        <w:rPr>
          <w:rFonts w:ascii="Arial" w:eastAsia="Arial" w:hAnsi="Arial" w:cs="Arial"/>
          <w:b/>
          <w:bCs/>
        </w:rPr>
        <w:t xml:space="preserve">meant that </w:t>
      </w:r>
      <w:r w:rsidR="71141080" w:rsidRPr="2D0C19AE">
        <w:rPr>
          <w:rFonts w:ascii="Arial" w:eastAsia="Arial" w:hAnsi="Arial" w:cs="Arial"/>
          <w:b/>
          <w:bCs/>
        </w:rPr>
        <w:t xml:space="preserve">downstream </w:t>
      </w:r>
      <w:r w:rsidR="0071592E" w:rsidRPr="2D0C19AE">
        <w:rPr>
          <w:rFonts w:ascii="Arial" w:eastAsia="Arial" w:hAnsi="Arial" w:cs="Arial"/>
          <w:b/>
          <w:bCs/>
        </w:rPr>
        <w:t xml:space="preserve">service delivery </w:t>
      </w:r>
      <w:r w:rsidR="00B93E8F" w:rsidRPr="2D0C19AE">
        <w:rPr>
          <w:rFonts w:ascii="Arial" w:eastAsia="Arial" w:hAnsi="Arial" w:cs="Arial"/>
          <w:b/>
          <w:bCs/>
        </w:rPr>
        <w:t xml:space="preserve">itself </w:t>
      </w:r>
      <w:r w:rsidR="0071592E" w:rsidRPr="2D0C19AE">
        <w:rPr>
          <w:rFonts w:ascii="Arial" w:eastAsia="Arial" w:hAnsi="Arial" w:cs="Arial"/>
          <w:b/>
          <w:bCs/>
        </w:rPr>
        <w:t xml:space="preserve">was </w:t>
      </w:r>
      <w:r w:rsidR="4C31F030" w:rsidRPr="2D0C19AE">
        <w:rPr>
          <w:rFonts w:ascii="Arial" w:eastAsia="Arial" w:hAnsi="Arial" w:cs="Arial"/>
          <w:b/>
          <w:bCs/>
        </w:rPr>
        <w:t xml:space="preserve">carried by individual </w:t>
      </w:r>
      <w:r w:rsidR="538B8160" w:rsidRPr="2D0C19AE">
        <w:rPr>
          <w:rFonts w:ascii="Arial" w:eastAsia="Arial" w:hAnsi="Arial" w:cs="Arial"/>
          <w:b/>
          <w:bCs/>
        </w:rPr>
        <w:t xml:space="preserve">IPs. </w:t>
      </w:r>
      <w:r w:rsidR="1BB4CADF" w:rsidRPr="1B23B6AA">
        <w:rPr>
          <w:rFonts w:ascii="Arial" w:eastAsia="Arial" w:hAnsi="Arial" w:cs="Arial"/>
        </w:rPr>
        <w:t>W</w:t>
      </w:r>
      <w:r w:rsidR="0AD6D562" w:rsidRPr="00106C87">
        <w:rPr>
          <w:rFonts w:ascii="Arial" w:eastAsia="Arial" w:hAnsi="Arial" w:cs="Arial"/>
        </w:rPr>
        <w:t>hile the ACCESS team made efforts to</w:t>
      </w:r>
      <w:r w:rsidR="666074CD" w:rsidRPr="1B23B6AA">
        <w:rPr>
          <w:rFonts w:ascii="Arial" w:eastAsia="Arial" w:hAnsi="Arial" w:cs="Arial"/>
        </w:rPr>
        <w:t xml:space="preserve"> ensure that partner activities </w:t>
      </w:r>
      <w:r w:rsidR="586289C3" w:rsidRPr="1B23B6AA">
        <w:rPr>
          <w:rFonts w:ascii="Arial" w:eastAsia="Arial" w:hAnsi="Arial" w:cs="Arial"/>
        </w:rPr>
        <w:t xml:space="preserve">were complementary and avoided </w:t>
      </w:r>
      <w:r w:rsidR="666074CD" w:rsidRPr="1B23B6AA">
        <w:rPr>
          <w:rFonts w:ascii="Arial" w:eastAsia="Arial" w:hAnsi="Arial" w:cs="Arial"/>
        </w:rPr>
        <w:t>overlap in a given location,</w:t>
      </w:r>
      <w:r w:rsidR="26B36D1D" w:rsidRPr="1B23B6AA">
        <w:rPr>
          <w:rFonts w:ascii="Arial" w:eastAsia="Arial" w:hAnsi="Arial" w:cs="Arial"/>
        </w:rPr>
        <w:t xml:space="preserve"> </w:t>
      </w:r>
      <w:r w:rsidR="199E3FB4" w:rsidRPr="1B23B6AA">
        <w:rPr>
          <w:rFonts w:ascii="Arial" w:eastAsia="Arial" w:hAnsi="Arial" w:cs="Arial"/>
        </w:rPr>
        <w:t>service delivery support w</w:t>
      </w:r>
      <w:r w:rsidR="26B36D1D" w:rsidRPr="1B23B6AA">
        <w:rPr>
          <w:rFonts w:ascii="Arial" w:eastAsia="Arial" w:hAnsi="Arial" w:cs="Arial"/>
        </w:rPr>
        <w:t xml:space="preserve">as </w:t>
      </w:r>
      <w:r w:rsidR="32EF70E3" w:rsidRPr="1B23B6AA">
        <w:rPr>
          <w:rFonts w:ascii="Arial" w:eastAsia="Arial" w:hAnsi="Arial" w:cs="Arial"/>
        </w:rPr>
        <w:t xml:space="preserve">ultimately piecemeal </w:t>
      </w:r>
      <w:r w:rsidR="004575E7">
        <w:rPr>
          <w:rFonts w:ascii="Arial" w:eastAsia="Arial" w:hAnsi="Arial" w:cs="Arial"/>
        </w:rPr>
        <w:t>rather</w:t>
      </w:r>
      <w:r w:rsidR="26B36D1D" w:rsidRPr="1B23B6AA">
        <w:rPr>
          <w:rFonts w:ascii="Arial" w:eastAsia="Arial" w:hAnsi="Arial" w:cs="Arial"/>
        </w:rPr>
        <w:t xml:space="preserve"> </w:t>
      </w:r>
      <w:r w:rsidR="666074CD" w:rsidRPr="1B23B6AA">
        <w:rPr>
          <w:rFonts w:ascii="Arial" w:eastAsia="Arial" w:hAnsi="Arial" w:cs="Arial"/>
        </w:rPr>
        <w:t>t</w:t>
      </w:r>
      <w:r w:rsidR="49664FC1" w:rsidRPr="1B23B6AA">
        <w:rPr>
          <w:rFonts w:ascii="Arial" w:eastAsia="Arial" w:hAnsi="Arial" w:cs="Arial"/>
        </w:rPr>
        <w:t xml:space="preserve">han </w:t>
      </w:r>
      <w:r w:rsidR="26E06A2B" w:rsidRPr="1B23B6AA">
        <w:rPr>
          <w:rFonts w:ascii="Arial" w:eastAsia="Arial" w:hAnsi="Arial" w:cs="Arial"/>
        </w:rPr>
        <w:t xml:space="preserve">driven by </w:t>
      </w:r>
      <w:r w:rsidR="2B61C39A" w:rsidRPr="1B23B6AA">
        <w:rPr>
          <w:rFonts w:ascii="Arial" w:eastAsia="Arial" w:hAnsi="Arial" w:cs="Arial"/>
        </w:rPr>
        <w:t>a</w:t>
      </w:r>
      <w:r w:rsidR="5CB0426A" w:rsidRPr="1B23B6AA">
        <w:rPr>
          <w:rFonts w:ascii="Arial" w:eastAsia="Arial" w:hAnsi="Arial" w:cs="Arial"/>
        </w:rPr>
        <w:t>n overriding workstream or program-level strategy</w:t>
      </w:r>
      <w:r w:rsidR="49664FC1" w:rsidRPr="1B23B6AA">
        <w:rPr>
          <w:rFonts w:ascii="Arial" w:eastAsia="Arial" w:hAnsi="Arial" w:cs="Arial"/>
        </w:rPr>
        <w:t>.</w:t>
      </w:r>
      <w:r w:rsidR="0AD6D562" w:rsidRPr="2D0C19AE">
        <w:rPr>
          <w:rFonts w:ascii="Arial" w:eastAsia="Arial" w:hAnsi="Arial" w:cs="Arial"/>
          <w:b/>
          <w:bCs/>
        </w:rPr>
        <w:t xml:space="preserve"> </w:t>
      </w:r>
      <w:r w:rsidR="5651B40B" w:rsidRPr="2D0C19AE">
        <w:rPr>
          <w:rFonts w:ascii="Arial" w:eastAsia="Arial" w:hAnsi="Arial" w:cs="Arial"/>
        </w:rPr>
        <w:t>T</w:t>
      </w:r>
      <w:r w:rsidR="00AC3DEA" w:rsidRPr="2D0C19AE">
        <w:rPr>
          <w:rFonts w:ascii="Arial" w:eastAsia="Arial" w:hAnsi="Arial" w:cs="Arial"/>
        </w:rPr>
        <w:t>o a large extent</w:t>
      </w:r>
      <w:r w:rsidR="6B5F1691" w:rsidRPr="2D0C19AE">
        <w:rPr>
          <w:rFonts w:ascii="Arial" w:eastAsia="Arial" w:hAnsi="Arial" w:cs="Arial"/>
        </w:rPr>
        <w:t>,</w:t>
      </w:r>
      <w:r w:rsidR="00AC3DEA" w:rsidRPr="2D0C19AE">
        <w:rPr>
          <w:rFonts w:ascii="Arial" w:eastAsia="Arial" w:hAnsi="Arial" w:cs="Arial"/>
        </w:rPr>
        <w:t xml:space="preserve"> the impacts</w:t>
      </w:r>
      <w:r w:rsidR="005B1AE2" w:rsidRPr="2D0C19AE">
        <w:rPr>
          <w:rFonts w:ascii="Arial" w:eastAsia="Arial" w:hAnsi="Arial" w:cs="Arial"/>
        </w:rPr>
        <w:t xml:space="preserve"> of many ACCESS activit</w:t>
      </w:r>
      <w:r w:rsidR="00A83416" w:rsidRPr="2D0C19AE">
        <w:rPr>
          <w:rFonts w:ascii="Arial" w:eastAsia="Arial" w:hAnsi="Arial" w:cs="Arial"/>
        </w:rPr>
        <w:t>ies</w:t>
      </w:r>
      <w:r w:rsidR="00AC3DEA" w:rsidRPr="2D0C19AE">
        <w:rPr>
          <w:rFonts w:ascii="Arial" w:eastAsia="Arial" w:hAnsi="Arial" w:cs="Arial"/>
        </w:rPr>
        <w:t xml:space="preserve"> on beneficiaries is unknown.</w:t>
      </w:r>
      <w:r w:rsidR="00AC3DEA" w:rsidRPr="73DA2FDD">
        <w:rPr>
          <w:rStyle w:val="FootnoteReference"/>
          <w:rFonts w:ascii="Arial" w:eastAsia="Arial" w:hAnsi="Arial" w:cs="Arial"/>
        </w:rPr>
        <w:footnoteReference w:id="6"/>
      </w:r>
      <w:r w:rsidR="00AC3DEA" w:rsidRPr="2D0C19AE">
        <w:rPr>
          <w:rFonts w:ascii="Arial" w:eastAsia="Arial" w:hAnsi="Arial" w:cs="Arial"/>
        </w:rPr>
        <w:t xml:space="preserve"> A more balanced </w:t>
      </w:r>
      <w:r w:rsidR="00E30422" w:rsidRPr="2D0C19AE">
        <w:rPr>
          <w:rFonts w:ascii="Arial" w:eastAsia="Arial" w:hAnsi="Arial" w:cs="Arial"/>
        </w:rPr>
        <w:t xml:space="preserve">program design which </w:t>
      </w:r>
      <w:r w:rsidR="00B70B80" w:rsidRPr="2D0C19AE">
        <w:rPr>
          <w:rFonts w:ascii="Arial" w:eastAsia="Arial" w:hAnsi="Arial" w:cs="Arial"/>
        </w:rPr>
        <w:t xml:space="preserve">had a narrower </w:t>
      </w:r>
      <w:r w:rsidR="00405755" w:rsidRPr="2D0C19AE">
        <w:rPr>
          <w:rFonts w:ascii="Arial" w:eastAsia="Arial" w:hAnsi="Arial" w:cs="Arial"/>
        </w:rPr>
        <w:t xml:space="preserve">geographic footprint </w:t>
      </w:r>
      <w:r w:rsidR="006945F4" w:rsidRPr="2D0C19AE">
        <w:rPr>
          <w:rFonts w:ascii="Arial" w:eastAsia="Arial" w:hAnsi="Arial" w:cs="Arial"/>
        </w:rPr>
        <w:t>but sought t</w:t>
      </w:r>
      <w:r w:rsidR="00993F22" w:rsidRPr="2D0C19AE">
        <w:rPr>
          <w:rFonts w:ascii="Arial" w:eastAsia="Arial" w:hAnsi="Arial" w:cs="Arial"/>
        </w:rPr>
        <w:t xml:space="preserve">o </w:t>
      </w:r>
      <w:r w:rsidR="009D5433" w:rsidRPr="2D0C19AE">
        <w:rPr>
          <w:rFonts w:ascii="Arial" w:eastAsia="Arial" w:hAnsi="Arial" w:cs="Arial"/>
        </w:rPr>
        <w:t xml:space="preserve">extend results through </w:t>
      </w:r>
      <w:r w:rsidR="66054D4B" w:rsidRPr="2D0C19AE">
        <w:rPr>
          <w:rFonts w:ascii="Arial" w:eastAsia="Arial" w:hAnsi="Arial" w:cs="Arial"/>
        </w:rPr>
        <w:t xml:space="preserve">to </w:t>
      </w:r>
      <w:r w:rsidR="009D5433" w:rsidRPr="2D0C19AE">
        <w:rPr>
          <w:rFonts w:ascii="Arial" w:eastAsia="Arial" w:hAnsi="Arial" w:cs="Arial"/>
        </w:rPr>
        <w:t xml:space="preserve">the beneficiary level </w:t>
      </w:r>
      <w:r w:rsidR="00C34334" w:rsidRPr="2D0C19AE">
        <w:rPr>
          <w:rFonts w:ascii="Arial" w:eastAsia="Arial" w:hAnsi="Arial" w:cs="Arial"/>
        </w:rPr>
        <w:t xml:space="preserve">could have addressed this gap. </w:t>
      </w:r>
      <w:r w:rsidR="004D5C13" w:rsidRPr="2D0C19AE">
        <w:rPr>
          <w:rFonts w:ascii="Arial" w:eastAsia="Arial" w:hAnsi="Arial" w:cs="Arial"/>
        </w:rPr>
        <w:t xml:space="preserve"> </w:t>
      </w:r>
      <w:r w:rsidRPr="2D0C19AE">
        <w:rPr>
          <w:rFonts w:ascii="Arial" w:eastAsia="Arial" w:hAnsi="Arial" w:cs="Arial"/>
        </w:rPr>
        <w:t xml:space="preserve"> </w:t>
      </w:r>
    </w:p>
    <w:p w14:paraId="6BF5BEFE" w14:textId="7EACC676" w:rsidR="007A18C4" w:rsidRDefault="78D4194F" w:rsidP="00A2192B">
      <w:pPr>
        <w:jc w:val="both"/>
        <w:rPr>
          <w:rFonts w:ascii="Arial" w:eastAsia="Arial" w:hAnsi="Arial" w:cs="Arial"/>
        </w:rPr>
      </w:pPr>
      <w:r w:rsidRPr="2D0C19AE">
        <w:rPr>
          <w:rFonts w:ascii="Arial" w:eastAsia="Arial" w:hAnsi="Arial" w:cs="Arial"/>
          <w:b/>
          <w:bCs/>
        </w:rPr>
        <w:t xml:space="preserve">On balance, ACCESS has concentrated </w:t>
      </w:r>
      <w:r w:rsidR="00365B53">
        <w:rPr>
          <w:rFonts w:ascii="Arial" w:eastAsia="Arial" w:hAnsi="Arial" w:cs="Arial"/>
          <w:b/>
          <w:bCs/>
        </w:rPr>
        <w:t>significant</w:t>
      </w:r>
      <w:r w:rsidRPr="2D0C19AE">
        <w:rPr>
          <w:rFonts w:ascii="Arial" w:eastAsia="Arial" w:hAnsi="Arial" w:cs="Arial"/>
          <w:b/>
          <w:bCs/>
        </w:rPr>
        <w:t xml:space="preserve"> effort at the national level, </w:t>
      </w:r>
      <w:r w:rsidR="00A2192B">
        <w:rPr>
          <w:rFonts w:ascii="Arial" w:eastAsia="Arial" w:hAnsi="Arial" w:cs="Arial"/>
          <w:b/>
          <w:bCs/>
        </w:rPr>
        <w:t>with a</w:t>
      </w:r>
      <w:r w:rsidR="00365B53">
        <w:rPr>
          <w:rFonts w:ascii="Arial" w:eastAsia="Arial" w:hAnsi="Arial" w:cs="Arial"/>
          <w:b/>
          <w:bCs/>
        </w:rPr>
        <w:t>n increased focus on</w:t>
      </w:r>
      <w:r w:rsidRPr="2D0C19AE">
        <w:rPr>
          <w:rFonts w:ascii="Arial" w:eastAsia="Arial" w:hAnsi="Arial" w:cs="Arial"/>
          <w:b/>
          <w:bCs/>
        </w:rPr>
        <w:t xml:space="preserve"> the </w:t>
      </w:r>
      <w:r w:rsidR="0087378E">
        <w:rPr>
          <w:rFonts w:ascii="Arial" w:eastAsia="Arial" w:hAnsi="Arial" w:cs="Arial"/>
          <w:b/>
          <w:bCs/>
        </w:rPr>
        <w:t>sub-national</w:t>
      </w:r>
      <w:r w:rsidRPr="2D0C19AE">
        <w:rPr>
          <w:rFonts w:ascii="Arial" w:eastAsia="Arial" w:hAnsi="Arial" w:cs="Arial"/>
          <w:b/>
          <w:bCs/>
        </w:rPr>
        <w:t xml:space="preserve"> level</w:t>
      </w:r>
      <w:r w:rsidR="00365B53">
        <w:rPr>
          <w:rFonts w:ascii="Arial" w:eastAsia="Arial" w:hAnsi="Arial" w:cs="Arial"/>
          <w:b/>
          <w:bCs/>
        </w:rPr>
        <w:t xml:space="preserve"> </w:t>
      </w:r>
      <w:r w:rsidR="00D336A8">
        <w:rPr>
          <w:rFonts w:ascii="Arial" w:eastAsia="Arial" w:hAnsi="Arial" w:cs="Arial"/>
          <w:b/>
          <w:bCs/>
        </w:rPr>
        <w:t xml:space="preserve">from Year </w:t>
      </w:r>
      <w:r w:rsidR="00365B53">
        <w:rPr>
          <w:rFonts w:ascii="Arial" w:eastAsia="Arial" w:hAnsi="Arial" w:cs="Arial"/>
          <w:b/>
          <w:bCs/>
        </w:rPr>
        <w:t>2</w:t>
      </w:r>
      <w:r w:rsidR="00D336A8">
        <w:rPr>
          <w:rFonts w:ascii="Arial" w:eastAsia="Arial" w:hAnsi="Arial" w:cs="Arial"/>
          <w:b/>
          <w:bCs/>
        </w:rPr>
        <w:t xml:space="preserve"> onwards</w:t>
      </w:r>
      <w:r w:rsidRPr="2D0C19AE">
        <w:rPr>
          <w:rFonts w:ascii="Arial" w:eastAsia="Arial" w:hAnsi="Arial" w:cs="Arial"/>
          <w:b/>
          <w:bCs/>
        </w:rPr>
        <w:t xml:space="preserve">. </w:t>
      </w:r>
      <w:r w:rsidRPr="2D0C19AE">
        <w:rPr>
          <w:rFonts w:ascii="Arial" w:eastAsia="Arial" w:hAnsi="Arial" w:cs="Arial"/>
        </w:rPr>
        <w:t xml:space="preserve">The program design was ambitious given it required working across multiple sectors, systems, and delivery partners, in a changing operational context. This has meant a tendency to focus on the national level. For example, </w:t>
      </w:r>
      <w:r w:rsidR="003812AE">
        <w:rPr>
          <w:rFonts w:ascii="Arial" w:eastAsia="Arial" w:hAnsi="Arial" w:cs="Arial"/>
        </w:rPr>
        <w:t>t</w:t>
      </w:r>
      <w:r w:rsidRPr="2D0C19AE">
        <w:rPr>
          <w:rFonts w:ascii="Arial" w:eastAsia="Arial" w:hAnsi="Arial" w:cs="Arial"/>
        </w:rPr>
        <w:t xml:space="preserve">he ACCESS disability team has been engaged in foundational system strengthening work at the national level. This includes input on the new disability law, the production and dissemination of national PRC guidelines, and engagement on dialogue with the National Social Protection Council-General Secretariat relating to disability-inclusive measures. ACCESS advocacy also contributed to MEF including a reference to budgeting for people with disabilities in the Circular on Technical Procedures for Preparation of the 2023 Budget Proposal of </w:t>
      </w:r>
      <w:r w:rsidR="0087378E">
        <w:rPr>
          <w:rFonts w:ascii="Arial" w:eastAsia="Arial" w:hAnsi="Arial" w:cs="Arial"/>
        </w:rPr>
        <w:t>Sub-national</w:t>
      </w:r>
      <w:r w:rsidRPr="2D0C19AE">
        <w:rPr>
          <w:rFonts w:ascii="Arial" w:eastAsia="Arial" w:hAnsi="Arial" w:cs="Arial"/>
        </w:rPr>
        <w:t xml:space="preserve"> Administrations. These are landmark achievements</w:t>
      </w:r>
      <w:r w:rsidR="0088041A" w:rsidRPr="2D0C19AE">
        <w:rPr>
          <w:rFonts w:ascii="Arial" w:eastAsia="Arial" w:hAnsi="Arial" w:cs="Arial"/>
        </w:rPr>
        <w:t xml:space="preserve"> that</w:t>
      </w:r>
      <w:r w:rsidRPr="2D0C19AE">
        <w:rPr>
          <w:rFonts w:ascii="Arial" w:eastAsia="Arial" w:hAnsi="Arial" w:cs="Arial"/>
        </w:rPr>
        <w:t xml:space="preserve"> stand to beneficially impact on service deliver</w:t>
      </w:r>
      <w:r w:rsidR="00666827" w:rsidRPr="2D0C19AE">
        <w:rPr>
          <w:rFonts w:ascii="Arial" w:eastAsia="Arial" w:hAnsi="Arial" w:cs="Arial"/>
        </w:rPr>
        <w:t>y</w:t>
      </w:r>
      <w:r w:rsidRPr="2D0C19AE">
        <w:rPr>
          <w:rFonts w:ascii="Arial" w:eastAsia="Arial" w:hAnsi="Arial" w:cs="Arial"/>
        </w:rPr>
        <w:t xml:space="preserve"> in the long term. However, at this stage, their </w:t>
      </w:r>
      <w:r w:rsidR="003812AE">
        <w:rPr>
          <w:rFonts w:ascii="Arial" w:eastAsia="Arial" w:hAnsi="Arial" w:cs="Arial"/>
        </w:rPr>
        <w:t>translation</w:t>
      </w:r>
      <w:r w:rsidRPr="2D0C19AE">
        <w:rPr>
          <w:rFonts w:ascii="Arial" w:eastAsia="Arial" w:hAnsi="Arial" w:cs="Arial"/>
        </w:rPr>
        <w:t xml:space="preserve"> to improvements in service delivery cannot </w:t>
      </w:r>
      <w:r w:rsidR="003812AE">
        <w:rPr>
          <w:rFonts w:ascii="Arial" w:eastAsia="Arial" w:hAnsi="Arial" w:cs="Arial"/>
        </w:rPr>
        <w:t xml:space="preserve">yet </w:t>
      </w:r>
      <w:r w:rsidRPr="2D0C19AE">
        <w:rPr>
          <w:rFonts w:ascii="Arial" w:eastAsia="Arial" w:hAnsi="Arial" w:cs="Arial"/>
        </w:rPr>
        <w:t xml:space="preserve">be claimed. </w:t>
      </w:r>
    </w:p>
    <w:p w14:paraId="2B7DB76E" w14:textId="2D1824BE" w:rsidR="00401E76" w:rsidRDefault="008E10D1" w:rsidP="00A2192B">
      <w:pPr>
        <w:jc w:val="both"/>
        <w:rPr>
          <w:rFonts w:ascii="Arial" w:eastAsia="Arial" w:hAnsi="Arial" w:cs="Arial"/>
        </w:rPr>
      </w:pPr>
      <w:r w:rsidRPr="2D0C19AE">
        <w:rPr>
          <w:rFonts w:ascii="Arial" w:eastAsia="Arial" w:hAnsi="Arial" w:cs="Arial"/>
          <w:b/>
          <w:bCs/>
        </w:rPr>
        <w:t xml:space="preserve">ACCESS worked to adapt its approach to the </w:t>
      </w:r>
      <w:r w:rsidR="00810FDB" w:rsidRPr="2D0C19AE">
        <w:rPr>
          <w:rFonts w:ascii="Arial" w:eastAsia="Arial" w:hAnsi="Arial" w:cs="Arial"/>
          <w:b/>
          <w:bCs/>
        </w:rPr>
        <w:t xml:space="preserve">decentralisation and </w:t>
      </w:r>
      <w:proofErr w:type="spellStart"/>
      <w:r w:rsidR="00810FDB" w:rsidRPr="2D0C19AE">
        <w:rPr>
          <w:rFonts w:ascii="Arial" w:eastAsia="Arial" w:hAnsi="Arial" w:cs="Arial"/>
          <w:b/>
          <w:bCs/>
        </w:rPr>
        <w:t>deconcentration</w:t>
      </w:r>
      <w:proofErr w:type="spellEnd"/>
      <w:r w:rsidR="00810FDB" w:rsidRPr="2D0C19AE">
        <w:rPr>
          <w:rFonts w:ascii="Arial" w:eastAsia="Arial" w:hAnsi="Arial" w:cs="Arial"/>
          <w:b/>
          <w:bCs/>
        </w:rPr>
        <w:t xml:space="preserve"> process that is unfolding in Cambodia</w:t>
      </w:r>
      <w:r w:rsidR="00727D4B" w:rsidRPr="2D0C19AE">
        <w:rPr>
          <w:rFonts w:ascii="Arial" w:eastAsia="Arial" w:hAnsi="Arial" w:cs="Arial"/>
        </w:rPr>
        <w:t>, noting the uneven and contested nature of this process. Techn</w:t>
      </w:r>
      <w:r w:rsidR="454988AF" w:rsidRPr="2D0C19AE">
        <w:rPr>
          <w:rFonts w:ascii="Arial" w:eastAsia="Arial" w:hAnsi="Arial" w:cs="Arial"/>
        </w:rPr>
        <w:t>i</w:t>
      </w:r>
      <w:r w:rsidR="00727D4B" w:rsidRPr="2D0C19AE">
        <w:rPr>
          <w:rFonts w:ascii="Arial" w:eastAsia="Arial" w:hAnsi="Arial" w:cs="Arial"/>
        </w:rPr>
        <w:t xml:space="preserve">cal assistance </w:t>
      </w:r>
      <w:r w:rsidR="00EC445D" w:rsidRPr="2D0C19AE">
        <w:rPr>
          <w:rFonts w:ascii="Arial" w:eastAsia="Arial" w:hAnsi="Arial" w:cs="Arial"/>
        </w:rPr>
        <w:t>shifted to include a greater focus on the sub-national leve</w:t>
      </w:r>
      <w:r w:rsidR="00283E46" w:rsidRPr="2D0C19AE">
        <w:rPr>
          <w:rFonts w:ascii="Arial" w:eastAsia="Arial" w:hAnsi="Arial" w:cs="Arial"/>
        </w:rPr>
        <w:t>l and</w:t>
      </w:r>
      <w:r w:rsidR="00EC445D" w:rsidRPr="2D0C19AE">
        <w:rPr>
          <w:rFonts w:ascii="Arial" w:eastAsia="Arial" w:hAnsi="Arial" w:cs="Arial"/>
        </w:rPr>
        <w:t xml:space="preserve"> </w:t>
      </w:r>
      <w:proofErr w:type="spellStart"/>
      <w:r w:rsidR="00EC445D" w:rsidRPr="2D0C19AE">
        <w:rPr>
          <w:rFonts w:ascii="Arial" w:eastAsia="Arial" w:hAnsi="Arial" w:cs="Arial"/>
        </w:rPr>
        <w:t>M</w:t>
      </w:r>
      <w:r w:rsidR="00A2192B">
        <w:rPr>
          <w:rFonts w:ascii="Arial" w:eastAsia="Arial" w:hAnsi="Arial" w:cs="Arial"/>
        </w:rPr>
        <w:t>o</w:t>
      </w:r>
      <w:r w:rsidR="00EC445D" w:rsidRPr="2D0C19AE">
        <w:rPr>
          <w:rFonts w:ascii="Arial" w:eastAsia="Arial" w:hAnsi="Arial" w:cs="Arial"/>
        </w:rPr>
        <w:t>I</w:t>
      </w:r>
      <w:proofErr w:type="spellEnd"/>
      <w:r w:rsidR="00EC445D" w:rsidRPr="2D0C19AE">
        <w:rPr>
          <w:rFonts w:ascii="Arial" w:eastAsia="Arial" w:hAnsi="Arial" w:cs="Arial"/>
        </w:rPr>
        <w:t xml:space="preserve"> </w:t>
      </w:r>
      <w:r w:rsidR="00A2192B">
        <w:rPr>
          <w:rFonts w:ascii="Arial" w:eastAsia="Arial" w:hAnsi="Arial" w:cs="Arial"/>
        </w:rPr>
        <w:t>and Provincial Deputy Governors</w:t>
      </w:r>
      <w:r w:rsidR="00D56CD0">
        <w:rPr>
          <w:rFonts w:ascii="Arial" w:eastAsia="Arial" w:hAnsi="Arial" w:cs="Arial"/>
        </w:rPr>
        <w:t xml:space="preserve"> </w:t>
      </w:r>
      <w:r w:rsidR="00A2192B">
        <w:rPr>
          <w:rFonts w:ascii="Arial" w:eastAsia="Arial" w:hAnsi="Arial" w:cs="Arial"/>
        </w:rPr>
        <w:t>were i</w:t>
      </w:r>
      <w:r w:rsidR="00EC445D" w:rsidRPr="2D0C19AE">
        <w:rPr>
          <w:rFonts w:ascii="Arial" w:eastAsia="Arial" w:hAnsi="Arial" w:cs="Arial"/>
        </w:rPr>
        <w:t xml:space="preserve">nvited to join the ACCESS Steering Committee </w:t>
      </w:r>
      <w:r w:rsidR="00A2192B">
        <w:rPr>
          <w:rFonts w:ascii="Arial" w:eastAsia="Arial" w:hAnsi="Arial" w:cs="Arial"/>
        </w:rPr>
        <w:t xml:space="preserve">(ASC) </w:t>
      </w:r>
      <w:r w:rsidR="00EC445D" w:rsidRPr="2D0C19AE">
        <w:rPr>
          <w:rFonts w:ascii="Arial" w:eastAsia="Arial" w:hAnsi="Arial" w:cs="Arial"/>
        </w:rPr>
        <w:t>given their importance in administration and funding of SNAs</w:t>
      </w:r>
      <w:r w:rsidR="00283E46" w:rsidRPr="2D0C19AE">
        <w:rPr>
          <w:rFonts w:ascii="Arial" w:eastAsia="Arial" w:hAnsi="Arial" w:cs="Arial"/>
        </w:rPr>
        <w:t xml:space="preserve">. </w:t>
      </w:r>
    </w:p>
    <w:p w14:paraId="6015C1E9" w14:textId="344D4AEE" w:rsidR="78D4194F" w:rsidRDefault="1D423D45" w:rsidP="028856AA">
      <w:pPr>
        <w:jc w:val="both"/>
        <w:rPr>
          <w:rFonts w:ascii="Arial" w:eastAsia="Arial" w:hAnsi="Arial" w:cs="Arial"/>
        </w:rPr>
      </w:pPr>
      <w:r w:rsidRPr="52E2F618">
        <w:rPr>
          <w:rFonts w:ascii="Arial" w:eastAsia="Arial" w:hAnsi="Arial" w:cs="Arial"/>
          <w:b/>
          <w:bCs/>
        </w:rPr>
        <w:t xml:space="preserve">ACCESS </w:t>
      </w:r>
      <w:r w:rsidR="083058B4" w:rsidRPr="52E2F618">
        <w:rPr>
          <w:rFonts w:ascii="Arial" w:eastAsia="Arial" w:hAnsi="Arial" w:cs="Arial"/>
          <w:b/>
          <w:bCs/>
        </w:rPr>
        <w:t xml:space="preserve">has been </w:t>
      </w:r>
      <w:r w:rsidR="0339033B" w:rsidRPr="52E2F618">
        <w:rPr>
          <w:rFonts w:ascii="Arial" w:eastAsia="Arial" w:hAnsi="Arial" w:cs="Arial"/>
          <w:b/>
          <w:bCs/>
        </w:rPr>
        <w:t xml:space="preserve">acknowledged </w:t>
      </w:r>
      <w:r w:rsidRPr="52E2F618">
        <w:rPr>
          <w:rFonts w:ascii="Arial" w:eastAsia="Arial" w:hAnsi="Arial" w:cs="Arial"/>
          <w:b/>
          <w:bCs/>
        </w:rPr>
        <w:t xml:space="preserve">by stakeholders for </w:t>
      </w:r>
      <w:r w:rsidR="53A0A30F" w:rsidRPr="52E2F618">
        <w:rPr>
          <w:rFonts w:ascii="Arial" w:eastAsia="Arial" w:hAnsi="Arial" w:cs="Arial"/>
          <w:b/>
          <w:bCs/>
        </w:rPr>
        <w:t>work</w:t>
      </w:r>
      <w:r w:rsidR="789FF159" w:rsidRPr="52E2F618">
        <w:rPr>
          <w:rFonts w:ascii="Arial" w:eastAsia="Arial" w:hAnsi="Arial" w:cs="Arial"/>
          <w:b/>
          <w:bCs/>
        </w:rPr>
        <w:t>ing closely</w:t>
      </w:r>
      <w:r w:rsidR="53A0A30F" w:rsidRPr="52E2F618">
        <w:rPr>
          <w:rFonts w:ascii="Arial" w:eastAsia="Arial" w:hAnsi="Arial" w:cs="Arial"/>
          <w:b/>
          <w:bCs/>
        </w:rPr>
        <w:t xml:space="preserve"> </w:t>
      </w:r>
      <w:r w:rsidR="37C56E2F" w:rsidRPr="52E2F618">
        <w:rPr>
          <w:rFonts w:ascii="Arial" w:eastAsia="Arial" w:hAnsi="Arial" w:cs="Arial"/>
          <w:b/>
          <w:bCs/>
        </w:rPr>
        <w:t>with RGC</w:t>
      </w:r>
      <w:r w:rsidR="6AAC7208" w:rsidRPr="52E2F618">
        <w:rPr>
          <w:rFonts w:ascii="Arial" w:eastAsia="Arial" w:hAnsi="Arial" w:cs="Arial"/>
          <w:b/>
          <w:bCs/>
        </w:rPr>
        <w:t xml:space="preserve">, </w:t>
      </w:r>
      <w:r w:rsidR="0BFB9562" w:rsidRPr="52E2F618">
        <w:rPr>
          <w:rFonts w:ascii="Arial" w:eastAsia="Arial" w:hAnsi="Arial" w:cs="Arial"/>
          <w:b/>
          <w:bCs/>
        </w:rPr>
        <w:t xml:space="preserve">with </w:t>
      </w:r>
      <w:r w:rsidR="0C4BD044" w:rsidRPr="52E2F618">
        <w:rPr>
          <w:rFonts w:ascii="Arial" w:eastAsia="Arial" w:hAnsi="Arial" w:cs="Arial"/>
          <w:b/>
          <w:bCs/>
        </w:rPr>
        <w:t xml:space="preserve">some </w:t>
      </w:r>
      <w:r w:rsidR="0BFB9562" w:rsidRPr="52E2F618">
        <w:rPr>
          <w:rFonts w:ascii="Arial" w:eastAsia="Arial" w:hAnsi="Arial" w:cs="Arial"/>
          <w:b/>
          <w:bCs/>
        </w:rPr>
        <w:t xml:space="preserve">lessons to be drawn </w:t>
      </w:r>
      <w:r w:rsidR="01B4FDA8" w:rsidRPr="52E2F618">
        <w:rPr>
          <w:rFonts w:ascii="Arial" w:eastAsia="Arial" w:hAnsi="Arial" w:cs="Arial"/>
          <w:b/>
          <w:bCs/>
        </w:rPr>
        <w:t>on</w:t>
      </w:r>
      <w:r w:rsidR="0BFB9562" w:rsidRPr="52E2F618">
        <w:rPr>
          <w:rFonts w:ascii="Arial" w:eastAsia="Arial" w:hAnsi="Arial" w:cs="Arial"/>
          <w:b/>
          <w:bCs/>
        </w:rPr>
        <w:t xml:space="preserve"> </w:t>
      </w:r>
      <w:r w:rsidR="761A2D3B" w:rsidRPr="52E2F618">
        <w:rPr>
          <w:rFonts w:ascii="Arial" w:eastAsia="Arial" w:hAnsi="Arial" w:cs="Arial"/>
          <w:b/>
          <w:bCs/>
        </w:rPr>
        <w:t>th</w:t>
      </w:r>
      <w:r w:rsidR="41396B08" w:rsidRPr="52E2F618">
        <w:rPr>
          <w:rFonts w:ascii="Arial" w:eastAsia="Arial" w:hAnsi="Arial" w:cs="Arial"/>
          <w:b/>
          <w:bCs/>
        </w:rPr>
        <w:t xml:space="preserve">e </w:t>
      </w:r>
      <w:r w:rsidR="0BFB9562" w:rsidRPr="52E2F618">
        <w:rPr>
          <w:rFonts w:ascii="Arial" w:eastAsia="Arial" w:hAnsi="Arial" w:cs="Arial"/>
          <w:b/>
          <w:bCs/>
        </w:rPr>
        <w:t>engagement</w:t>
      </w:r>
      <w:r w:rsidR="3F2504A7" w:rsidRPr="52E2F618">
        <w:rPr>
          <w:rFonts w:ascii="Arial" w:eastAsia="Arial" w:hAnsi="Arial" w:cs="Arial"/>
          <w:b/>
          <w:bCs/>
        </w:rPr>
        <w:t xml:space="preserve"> with MEF, </w:t>
      </w:r>
      <w:proofErr w:type="spellStart"/>
      <w:r w:rsidR="3F2504A7" w:rsidRPr="52E2F618">
        <w:rPr>
          <w:rFonts w:ascii="Arial" w:eastAsia="Arial" w:hAnsi="Arial" w:cs="Arial"/>
          <w:b/>
          <w:bCs/>
        </w:rPr>
        <w:t>M</w:t>
      </w:r>
      <w:r w:rsidR="623D556B" w:rsidRPr="52E2F618">
        <w:rPr>
          <w:rFonts w:ascii="Arial" w:eastAsia="Arial" w:hAnsi="Arial" w:cs="Arial"/>
          <w:b/>
          <w:bCs/>
        </w:rPr>
        <w:t>o</w:t>
      </w:r>
      <w:r w:rsidR="3F2504A7" w:rsidRPr="52E2F618">
        <w:rPr>
          <w:rFonts w:ascii="Arial" w:eastAsia="Arial" w:hAnsi="Arial" w:cs="Arial"/>
          <w:b/>
          <w:bCs/>
        </w:rPr>
        <w:t>I</w:t>
      </w:r>
      <w:proofErr w:type="spellEnd"/>
      <w:r w:rsidR="3F2504A7" w:rsidRPr="52E2F618">
        <w:rPr>
          <w:rFonts w:ascii="Arial" w:eastAsia="Arial" w:hAnsi="Arial" w:cs="Arial"/>
          <w:b/>
          <w:bCs/>
        </w:rPr>
        <w:t xml:space="preserve"> and M</w:t>
      </w:r>
      <w:r w:rsidR="623D556B" w:rsidRPr="52E2F618">
        <w:rPr>
          <w:rFonts w:ascii="Arial" w:eastAsia="Arial" w:hAnsi="Arial" w:cs="Arial"/>
          <w:b/>
          <w:bCs/>
        </w:rPr>
        <w:t>o</w:t>
      </w:r>
      <w:r w:rsidR="3F2504A7" w:rsidRPr="52E2F618">
        <w:rPr>
          <w:rFonts w:ascii="Arial" w:eastAsia="Arial" w:hAnsi="Arial" w:cs="Arial"/>
          <w:b/>
          <w:bCs/>
        </w:rPr>
        <w:t xml:space="preserve">H in particular. </w:t>
      </w:r>
      <w:r w:rsidR="69C8C535" w:rsidRPr="52E2F618">
        <w:rPr>
          <w:rFonts w:ascii="Arial" w:eastAsia="Arial" w:hAnsi="Arial" w:cs="Arial"/>
        </w:rPr>
        <w:t>The relevance of working</w:t>
      </w:r>
      <w:r w:rsidR="69C8C535" w:rsidRPr="52E2F618">
        <w:rPr>
          <w:rFonts w:ascii="Arial" w:eastAsia="Arial" w:hAnsi="Arial" w:cs="Arial"/>
          <w:b/>
          <w:bCs/>
        </w:rPr>
        <w:t xml:space="preserve"> </w:t>
      </w:r>
      <w:r w:rsidR="69C8C535" w:rsidRPr="52E2F618">
        <w:rPr>
          <w:rFonts w:ascii="Arial" w:eastAsia="Arial" w:hAnsi="Arial" w:cs="Arial"/>
        </w:rPr>
        <w:t>with MEF for the RGC to increase funds for service delivery, as per EOPO 1, is indisputable</w:t>
      </w:r>
      <w:r w:rsidR="6F672BAB" w:rsidRPr="52E2F618">
        <w:rPr>
          <w:rFonts w:ascii="Arial" w:eastAsia="Arial" w:hAnsi="Arial" w:cs="Arial"/>
        </w:rPr>
        <w:t>, however difficulties in moving this work forward</w:t>
      </w:r>
      <w:r w:rsidR="3C965EB1" w:rsidRPr="52E2F618">
        <w:rPr>
          <w:rFonts w:ascii="Arial" w:eastAsia="Arial" w:hAnsi="Arial" w:cs="Arial"/>
        </w:rPr>
        <w:t xml:space="preserve"> – including alternative budgetary priorities </w:t>
      </w:r>
      <w:r w:rsidR="2EC27F9E" w:rsidRPr="52E2F618">
        <w:rPr>
          <w:rFonts w:ascii="Arial" w:eastAsia="Arial" w:hAnsi="Arial" w:cs="Arial"/>
        </w:rPr>
        <w:t>such as COVID-19 response and the usual competition for funds from more powerful ministries</w:t>
      </w:r>
      <w:r w:rsidR="57515A17" w:rsidRPr="52E2F618">
        <w:rPr>
          <w:rFonts w:ascii="Arial" w:eastAsia="Arial" w:hAnsi="Arial" w:cs="Arial"/>
        </w:rPr>
        <w:t xml:space="preserve"> - </w:t>
      </w:r>
      <w:r w:rsidR="6F672BAB" w:rsidRPr="52E2F618">
        <w:rPr>
          <w:rFonts w:ascii="Arial" w:eastAsia="Arial" w:hAnsi="Arial" w:cs="Arial"/>
        </w:rPr>
        <w:t>led</w:t>
      </w:r>
      <w:r w:rsidR="69C8C535" w:rsidRPr="52E2F618">
        <w:rPr>
          <w:rFonts w:ascii="Arial" w:eastAsia="Arial" w:hAnsi="Arial" w:cs="Arial"/>
        </w:rPr>
        <w:t xml:space="preserve"> to the removal of EOPO 1 in version 3.0 of the ACCESS program logic.</w:t>
      </w:r>
      <w:r w:rsidR="622B4714" w:rsidRPr="52E2F618">
        <w:rPr>
          <w:rFonts w:ascii="Arial" w:eastAsia="Arial" w:hAnsi="Arial" w:cs="Arial"/>
        </w:rPr>
        <w:t xml:space="preserve"> Furthermore, EOPO 1 </w:t>
      </w:r>
      <w:r w:rsidR="77A38144" w:rsidRPr="52E2F618">
        <w:rPr>
          <w:rFonts w:ascii="Arial" w:eastAsia="Arial" w:hAnsi="Arial" w:cs="Arial"/>
        </w:rPr>
        <w:t xml:space="preserve">had no specific performance expectations </w:t>
      </w:r>
      <w:r w:rsidR="2C8BB89D" w:rsidRPr="52E2F618">
        <w:rPr>
          <w:rFonts w:ascii="Arial" w:eastAsia="Arial" w:hAnsi="Arial" w:cs="Arial"/>
        </w:rPr>
        <w:t xml:space="preserve">relating to budget allocation because it was </w:t>
      </w:r>
      <w:r w:rsidR="2529351C" w:rsidRPr="52E2F618">
        <w:rPr>
          <w:rFonts w:ascii="Arial" w:eastAsia="Arial" w:hAnsi="Arial" w:cs="Arial"/>
        </w:rPr>
        <w:t xml:space="preserve">viewed as a </w:t>
      </w:r>
      <w:r w:rsidR="7D0E490D" w:rsidRPr="52E2F618">
        <w:rPr>
          <w:rFonts w:ascii="Arial" w:eastAsia="Arial" w:hAnsi="Arial" w:cs="Arial"/>
        </w:rPr>
        <w:t xml:space="preserve">potentially sensitive </w:t>
      </w:r>
      <w:r w:rsidR="3EE8624D" w:rsidRPr="52E2F618">
        <w:rPr>
          <w:rFonts w:ascii="Arial" w:eastAsia="Arial" w:hAnsi="Arial" w:cs="Arial"/>
        </w:rPr>
        <w:t xml:space="preserve">government </w:t>
      </w:r>
      <w:r w:rsidR="2529351C" w:rsidRPr="52E2F618">
        <w:rPr>
          <w:rFonts w:ascii="Arial" w:eastAsia="Arial" w:hAnsi="Arial" w:cs="Arial"/>
        </w:rPr>
        <w:t>issue.</w:t>
      </w:r>
      <w:r w:rsidR="69C8C535" w:rsidRPr="52E2F618">
        <w:rPr>
          <w:rFonts w:ascii="Arial" w:eastAsia="Arial" w:hAnsi="Arial" w:cs="Arial"/>
        </w:rPr>
        <w:t xml:space="preserve"> </w:t>
      </w:r>
    </w:p>
    <w:p w14:paraId="4EDF48C4" w14:textId="1444C535" w:rsidR="78D4194F" w:rsidRDefault="78D4194F" w:rsidP="00D814E8">
      <w:pPr>
        <w:jc w:val="both"/>
      </w:pPr>
      <w:r w:rsidRPr="028856AA">
        <w:rPr>
          <w:rFonts w:ascii="Arial" w:eastAsia="Arial" w:hAnsi="Arial" w:cs="Arial"/>
        </w:rPr>
        <w:t xml:space="preserve">Several RGC stakeholders questioned the approach of the program in how it supported the </w:t>
      </w:r>
      <w:proofErr w:type="gramStart"/>
      <w:r w:rsidRPr="028856AA">
        <w:rPr>
          <w:rFonts w:ascii="Arial" w:eastAsia="Arial" w:hAnsi="Arial" w:cs="Arial"/>
        </w:rPr>
        <w:t>two line</w:t>
      </w:r>
      <w:proofErr w:type="gramEnd"/>
      <w:r w:rsidRPr="028856AA">
        <w:rPr>
          <w:rFonts w:ascii="Arial" w:eastAsia="Arial" w:hAnsi="Arial" w:cs="Arial"/>
        </w:rPr>
        <w:t xml:space="preserve"> ministries to prepare and advocate for budgets. This included working with technical staff rather than the decision-making level, and comment that the line ministries did not have the power to set increased budgets. They well understood the requirements and budget ceiling communicated by MEF, and so the expectation of advocating for increased budgets was misplaced – i</w:t>
      </w:r>
      <w:r w:rsidR="5A4B173E" w:rsidRPr="028856AA">
        <w:rPr>
          <w:rFonts w:ascii="Arial" w:eastAsia="Arial" w:hAnsi="Arial" w:cs="Arial"/>
        </w:rPr>
        <w:t>.</w:t>
      </w:r>
      <w:r w:rsidRPr="028856AA">
        <w:rPr>
          <w:rFonts w:ascii="Arial" w:eastAsia="Arial" w:hAnsi="Arial" w:cs="Arial"/>
        </w:rPr>
        <w:t>e. a point on</w:t>
      </w:r>
      <w:r w:rsidR="00FB4C32">
        <w:rPr>
          <w:rFonts w:ascii="Arial" w:eastAsia="Arial" w:hAnsi="Arial" w:cs="Arial"/>
        </w:rPr>
        <w:t xml:space="preserve"> understanding</w:t>
      </w:r>
      <w:r w:rsidRPr="028856AA">
        <w:rPr>
          <w:rFonts w:ascii="Arial" w:eastAsia="Arial" w:hAnsi="Arial" w:cs="Arial"/>
        </w:rPr>
        <w:t xml:space="preserve"> the political economy. In reply, ACCESS </w:t>
      </w:r>
      <w:r w:rsidRPr="028856AA">
        <w:rPr>
          <w:rFonts w:ascii="Arial" w:eastAsia="Arial" w:hAnsi="Arial" w:cs="Arial"/>
        </w:rPr>
        <w:lastRenderedPageBreak/>
        <w:t xml:space="preserve">cited instances of RGC requests for supporting the budgeting process, and development partners such as UNICEF are working on exactly this process too, so views diverge on this point. </w:t>
      </w:r>
    </w:p>
    <w:p w14:paraId="51F4809C" w14:textId="14C5DE0B" w:rsidR="00E90836" w:rsidRDefault="69C8C535" w:rsidP="11404BEF">
      <w:pPr>
        <w:jc w:val="both"/>
        <w:rPr>
          <w:rFonts w:ascii="Segoe UI" w:eastAsia="Segoe UI" w:hAnsi="Segoe UI" w:cs="Segoe UI"/>
          <w:color w:val="333333"/>
          <w:sz w:val="18"/>
          <w:szCs w:val="18"/>
        </w:rPr>
      </w:pPr>
      <w:r w:rsidRPr="52E2F618">
        <w:rPr>
          <w:rFonts w:ascii="Arial" w:eastAsia="Arial" w:hAnsi="Arial" w:cs="Arial"/>
          <w:b/>
          <w:bCs/>
        </w:rPr>
        <w:t>The limited engagement with the Ministry of Health is a key constraint.</w:t>
      </w:r>
      <w:r w:rsidRPr="52E2F618">
        <w:rPr>
          <w:rFonts w:ascii="Arial" w:eastAsia="Arial" w:hAnsi="Arial" w:cs="Arial"/>
        </w:rPr>
        <w:t xml:space="preserve"> Interaction with the health sector, including access to and referral from </w:t>
      </w:r>
      <w:r w:rsidR="11C519A0" w:rsidRPr="52E2F618">
        <w:rPr>
          <w:rFonts w:ascii="Arial" w:eastAsia="Arial" w:hAnsi="Arial" w:cs="Arial"/>
        </w:rPr>
        <w:t xml:space="preserve">clinical </w:t>
      </w:r>
      <w:r w:rsidRPr="52E2F618">
        <w:rPr>
          <w:rFonts w:ascii="Arial" w:eastAsia="Arial" w:hAnsi="Arial" w:cs="Arial"/>
        </w:rPr>
        <w:t xml:space="preserve">care, therapy and rehabilitation, is relevant to both survivors of violence and people with disabilities. Both disability and GBV are also public health issues that require a multisectoral approach. For violence survivors, the health sector is one of the first and few services that women will seek out, often on account of injury. Indeed, the SAQUS (2020) found </w:t>
      </w:r>
      <w:r w:rsidRPr="52E2F618">
        <w:rPr>
          <w:rFonts w:ascii="Arial" w:eastAsia="Arial" w:hAnsi="Arial" w:cs="Arial"/>
          <w:i/>
          <w:iCs/>
        </w:rPr>
        <w:t>‘84.2% of GBV survivors who accessed health services went for care for injuries and medical treatment’</w:t>
      </w:r>
      <w:r w:rsidRPr="52E2F618">
        <w:rPr>
          <w:rFonts w:ascii="Arial" w:eastAsia="Arial" w:hAnsi="Arial" w:cs="Arial"/>
        </w:rPr>
        <w:t>. ACCESS IP UNFPA was an important connection to the M</w:t>
      </w:r>
      <w:r w:rsidR="623D556B" w:rsidRPr="52E2F618">
        <w:rPr>
          <w:rFonts w:ascii="Arial" w:eastAsia="Arial" w:hAnsi="Arial" w:cs="Arial"/>
        </w:rPr>
        <w:t>o</w:t>
      </w:r>
      <w:r w:rsidRPr="52E2F618">
        <w:rPr>
          <w:rFonts w:ascii="Arial" w:eastAsia="Arial" w:hAnsi="Arial" w:cs="Arial"/>
        </w:rPr>
        <w:t xml:space="preserve">H including for implementation of the Essential Services Package for survivors (co-financed by DFAT global funding). </w:t>
      </w:r>
      <w:r w:rsidR="01B4FDA8" w:rsidRPr="52E2F618">
        <w:rPr>
          <w:rFonts w:ascii="Arial" w:eastAsia="Arial" w:hAnsi="Arial" w:cs="Arial"/>
        </w:rPr>
        <w:t>UNFPA trained cohorts of clinicians on responding to GBV and produced related guidelines. However, t</w:t>
      </w:r>
      <w:r w:rsidRPr="52E2F618">
        <w:rPr>
          <w:rFonts w:ascii="Arial" w:eastAsia="Arial" w:hAnsi="Arial" w:cs="Arial"/>
        </w:rPr>
        <w:t xml:space="preserve">his link was lost when UNFPA involvement concluded at the end of Stage 1. </w:t>
      </w:r>
      <w:r w:rsidR="01B4FDA8" w:rsidRPr="52E2F618">
        <w:rPr>
          <w:rFonts w:ascii="Arial" w:eastAsia="Arial" w:hAnsi="Arial" w:cs="Arial"/>
        </w:rPr>
        <w:t>Representatives from the provincial health department and district health office are trained as part of the ACCESS training of the GBV Response Working Group, but the link is not one of formal partner. Furthermore</w:t>
      </w:r>
      <w:r w:rsidRPr="52E2F618">
        <w:rPr>
          <w:rFonts w:ascii="Arial" w:eastAsia="Arial" w:hAnsi="Arial" w:cs="Arial"/>
        </w:rPr>
        <w:t>, for people with disabilities, hospitals are referral points to the PRCs and the M</w:t>
      </w:r>
      <w:r w:rsidR="623D556B" w:rsidRPr="52E2F618">
        <w:rPr>
          <w:rFonts w:ascii="Arial" w:eastAsia="Arial" w:hAnsi="Arial" w:cs="Arial"/>
        </w:rPr>
        <w:t>o</w:t>
      </w:r>
      <w:r w:rsidRPr="52E2F618">
        <w:rPr>
          <w:rFonts w:ascii="Arial" w:eastAsia="Arial" w:hAnsi="Arial" w:cs="Arial"/>
        </w:rPr>
        <w:t xml:space="preserve">H oversights the PRC workforce development. Interviewees agreed that it was important to </w:t>
      </w:r>
      <w:proofErr w:type="gramStart"/>
      <w:r w:rsidRPr="52E2F618">
        <w:rPr>
          <w:rFonts w:ascii="Arial" w:eastAsia="Arial" w:hAnsi="Arial" w:cs="Arial"/>
        </w:rPr>
        <w:t>more closely engage with the M</w:t>
      </w:r>
      <w:r w:rsidR="623D556B" w:rsidRPr="52E2F618">
        <w:rPr>
          <w:rFonts w:ascii="Arial" w:eastAsia="Arial" w:hAnsi="Arial" w:cs="Arial"/>
        </w:rPr>
        <w:t>o</w:t>
      </w:r>
      <w:r w:rsidRPr="52E2F618">
        <w:rPr>
          <w:rFonts w:ascii="Arial" w:eastAsia="Arial" w:hAnsi="Arial" w:cs="Arial"/>
        </w:rPr>
        <w:t>H</w:t>
      </w:r>
      <w:proofErr w:type="gramEnd"/>
      <w:r w:rsidRPr="52E2F618">
        <w:rPr>
          <w:rFonts w:ascii="Arial" w:eastAsia="Arial" w:hAnsi="Arial" w:cs="Arial"/>
        </w:rPr>
        <w:t xml:space="preserve"> in future programming since women survivors and people with disabilities are likely to need ongoing referrals for complex needs wit</w:t>
      </w:r>
      <w:r w:rsidRPr="52E2F618">
        <w:rPr>
          <w:rFonts w:cs="Arial"/>
        </w:rPr>
        <w:t xml:space="preserve">hin the public health and hospital system. </w:t>
      </w:r>
      <w:r w:rsidR="1A16616B" w:rsidRPr="52E2F618">
        <w:rPr>
          <w:rFonts w:cs="Arial"/>
        </w:rPr>
        <w:t>The shifting population health needs linked to Non-Communicable Diseases (NCDs) such as diabetes, stroke, and mental health will also lead to chronic</w:t>
      </w:r>
      <w:r w:rsidR="6227F21A" w:rsidRPr="52E2F618">
        <w:rPr>
          <w:rFonts w:cs="Arial"/>
        </w:rPr>
        <w:t xml:space="preserve"> and </w:t>
      </w:r>
      <w:r w:rsidR="1A16616B" w:rsidRPr="52E2F618">
        <w:rPr>
          <w:rFonts w:cs="Arial"/>
        </w:rPr>
        <w:t xml:space="preserve">complex disability needs </w:t>
      </w:r>
      <w:r w:rsidR="6250FF95" w:rsidRPr="52E2F618">
        <w:rPr>
          <w:rFonts w:cs="Arial"/>
        </w:rPr>
        <w:t xml:space="preserve">as a </w:t>
      </w:r>
      <w:r w:rsidR="1A16616B" w:rsidRPr="52E2F618">
        <w:rPr>
          <w:rFonts w:cs="Arial"/>
        </w:rPr>
        <w:t>result</w:t>
      </w:r>
      <w:r w:rsidR="1A16616B" w:rsidRPr="52E2F618">
        <w:rPr>
          <w:rFonts w:ascii="Segoe UI" w:eastAsia="Segoe UI" w:hAnsi="Segoe UI" w:cs="Segoe UI"/>
          <w:color w:val="333333"/>
          <w:sz w:val="18"/>
          <w:szCs w:val="18"/>
        </w:rPr>
        <w:t>.</w:t>
      </w:r>
    </w:p>
    <w:p w14:paraId="2896FCF5" w14:textId="77777777" w:rsidR="00812A11" w:rsidRPr="00D17FEC" w:rsidRDefault="00812A11" w:rsidP="00812A11">
      <w:pPr>
        <w:pBdr>
          <w:top w:val="single" w:sz="8" w:space="1" w:color="1D336D" w:themeColor="background2"/>
          <w:left w:val="single" w:sz="8" w:space="4" w:color="1D336D" w:themeColor="background2"/>
          <w:bottom w:val="single" w:sz="8" w:space="1" w:color="1D336D" w:themeColor="background2"/>
          <w:right w:val="single" w:sz="8" w:space="4" w:color="1D336D" w:themeColor="background2"/>
        </w:pBdr>
        <w:shd w:val="clear" w:color="auto" w:fill="EBEFF9"/>
        <w:rPr>
          <w:b/>
          <w:bCs/>
        </w:rPr>
      </w:pPr>
      <w:r w:rsidRPr="00D17FEC">
        <w:rPr>
          <w:b/>
          <w:bCs/>
        </w:rPr>
        <w:t>Success Snapshot</w:t>
      </w:r>
    </w:p>
    <w:p w14:paraId="437314C0" w14:textId="77777777" w:rsidR="00812A11" w:rsidRDefault="00812A11" w:rsidP="00812A11">
      <w:pPr>
        <w:pBdr>
          <w:top w:val="single" w:sz="8" w:space="1" w:color="1D336D" w:themeColor="background2"/>
          <w:left w:val="single" w:sz="8" w:space="4" w:color="1D336D" w:themeColor="background2"/>
          <w:bottom w:val="single" w:sz="8" w:space="1" w:color="1D336D" w:themeColor="background2"/>
          <w:right w:val="single" w:sz="8" w:space="4" w:color="1D336D" w:themeColor="background2"/>
        </w:pBdr>
        <w:shd w:val="clear" w:color="auto" w:fill="EBEFF9"/>
        <w:jc w:val="both"/>
      </w:pPr>
      <w:r>
        <w:t xml:space="preserve">A Women’s Support Group in a district in Kampong </w:t>
      </w:r>
      <w:proofErr w:type="spellStart"/>
      <w:r>
        <w:t>Speu</w:t>
      </w:r>
      <w:proofErr w:type="spellEnd"/>
      <w:r>
        <w:t xml:space="preserve">, established in 2020, received training by the Commune Council for Women and Children focal point through ACCESS. The Group carries out awareness raising on women’s rights and gender-based violence and plays a role in grassroots frontline response to GBV in their community, including referring women to support services, liaising with local authorities on GBV cases, and identifying safe accommodation and support to respond to women’s needs. </w:t>
      </w:r>
    </w:p>
    <w:p w14:paraId="5615F7D5" w14:textId="7B448E96" w:rsidR="00290A10" w:rsidRDefault="00812A11" w:rsidP="00812A11">
      <w:pPr>
        <w:pBdr>
          <w:top w:val="single" w:sz="8" w:space="1" w:color="1D336D" w:themeColor="background2"/>
          <w:left w:val="single" w:sz="8" w:space="4" w:color="1D336D" w:themeColor="background2"/>
          <w:bottom w:val="single" w:sz="8" w:space="1" w:color="1D336D" w:themeColor="background2"/>
          <w:right w:val="single" w:sz="8" w:space="4" w:color="1D336D" w:themeColor="background2"/>
        </w:pBdr>
        <w:shd w:val="clear" w:color="auto" w:fill="EBEFF9"/>
        <w:jc w:val="both"/>
      </w:pPr>
      <w:r>
        <w:t xml:space="preserve">Members of the group report that ACCESS’ support has seen them gain greater knowledge on GBV, which has served improvements in their own lives as well as the lives of others. Group members see themselves as filling a critical gap in GBV response at the grassroots level, now able to refer women to appropriate services and with self-confidence in their knowledge and skills in handling GBV cases. The Group feels there is now a greater level of awareness among women and men of women’s rights and options for non-violent problem resolutions. </w:t>
      </w:r>
    </w:p>
    <w:p w14:paraId="36B91EF5" w14:textId="12E25329" w:rsidR="00812A11" w:rsidRDefault="00812A11" w:rsidP="00812A11">
      <w:pPr>
        <w:pStyle w:val="Heading2"/>
      </w:pPr>
      <w:r>
        <w:t>Lessons Learned</w:t>
      </w:r>
    </w:p>
    <w:p w14:paraId="65384515" w14:textId="77777777" w:rsidR="00812A11" w:rsidRDefault="00812A11" w:rsidP="00812A11">
      <w:pPr>
        <w:pStyle w:val="ListParagraph"/>
        <w:numPr>
          <w:ilvl w:val="0"/>
          <w:numId w:val="42"/>
        </w:numPr>
        <w:ind w:left="714" w:hanging="357"/>
        <w:contextualSpacing w:val="0"/>
        <w:jc w:val="both"/>
        <w:rPr>
          <w:rFonts w:ascii="Arial" w:eastAsia="Arial" w:hAnsi="Arial" w:cs="Arial"/>
        </w:rPr>
      </w:pPr>
      <w:r w:rsidRPr="73DA2FDD">
        <w:rPr>
          <w:rFonts w:ascii="Arial" w:eastAsia="Arial" w:hAnsi="Arial" w:cs="Arial"/>
        </w:rPr>
        <w:t xml:space="preserve">ACCESS is unique in scale and scope in giving effect to Cambodia’s national plans and Australia’s core commitments to people with disabilities and addressing gender-based violence. </w:t>
      </w:r>
    </w:p>
    <w:p w14:paraId="3ABF2B5E" w14:textId="77777777" w:rsidR="00812A11" w:rsidRDefault="00812A11" w:rsidP="00812A11">
      <w:pPr>
        <w:pStyle w:val="ListParagraph"/>
        <w:numPr>
          <w:ilvl w:val="0"/>
          <w:numId w:val="42"/>
        </w:numPr>
        <w:ind w:left="714" w:hanging="357"/>
        <w:contextualSpacing w:val="0"/>
        <w:jc w:val="both"/>
        <w:rPr>
          <w:rFonts w:ascii="Arial" w:eastAsia="Arial" w:hAnsi="Arial" w:cs="Arial"/>
          <w:szCs w:val="20"/>
        </w:rPr>
      </w:pPr>
      <w:r w:rsidRPr="0318F25C">
        <w:rPr>
          <w:rFonts w:ascii="Arial" w:eastAsia="Arial" w:hAnsi="Arial" w:cs="Arial"/>
          <w:szCs w:val="20"/>
        </w:rPr>
        <w:t xml:space="preserve">The political economy of resource allocation and influence on strategic priorities is shifting in the context of decentralisation and </w:t>
      </w:r>
      <w:proofErr w:type="spellStart"/>
      <w:r w:rsidRPr="0318F25C">
        <w:rPr>
          <w:rFonts w:ascii="Arial" w:eastAsia="Arial" w:hAnsi="Arial" w:cs="Arial"/>
          <w:szCs w:val="20"/>
        </w:rPr>
        <w:t>deconcentration</w:t>
      </w:r>
      <w:proofErr w:type="spellEnd"/>
      <w:r w:rsidRPr="0318F25C">
        <w:rPr>
          <w:rFonts w:ascii="Arial" w:eastAsia="Arial" w:hAnsi="Arial" w:cs="Arial"/>
          <w:szCs w:val="20"/>
        </w:rPr>
        <w:t xml:space="preserve">, and Covid-19 fiscal constraints, and needs to underpin efforts to support change in this space. </w:t>
      </w:r>
    </w:p>
    <w:p w14:paraId="65D5ABA8" w14:textId="5530E992" w:rsidR="00812A11" w:rsidRPr="00812A11" w:rsidRDefault="00812A11" w:rsidP="00812A11">
      <w:pPr>
        <w:pStyle w:val="ListParagraph"/>
        <w:numPr>
          <w:ilvl w:val="0"/>
          <w:numId w:val="42"/>
        </w:numPr>
        <w:ind w:left="714" w:hanging="357"/>
        <w:contextualSpacing w:val="0"/>
        <w:jc w:val="both"/>
        <w:rPr>
          <w:rFonts w:ascii="Arial" w:eastAsia="Arial" w:hAnsi="Arial" w:cs="Arial"/>
          <w:szCs w:val="20"/>
        </w:rPr>
      </w:pPr>
      <w:r w:rsidRPr="0318F25C">
        <w:rPr>
          <w:rFonts w:ascii="Arial" w:eastAsia="Arial" w:hAnsi="Arial" w:cs="Arial"/>
          <w:szCs w:val="20"/>
        </w:rPr>
        <w:t>A balanced approach to engagement at the national and sub-national level, and in strengthening the capacity of service providers to then support service delivery is required if changes in the services are to be realised</w:t>
      </w:r>
      <w:r>
        <w:rPr>
          <w:rFonts w:ascii="Arial" w:eastAsia="Arial" w:hAnsi="Arial" w:cs="Arial"/>
          <w:szCs w:val="20"/>
        </w:rPr>
        <w:t>.</w:t>
      </w:r>
    </w:p>
    <w:p w14:paraId="6FC410C3" w14:textId="77777777" w:rsidR="00812A11" w:rsidRDefault="00812A11">
      <w:pPr>
        <w:spacing w:after="0" w:line="240" w:lineRule="auto"/>
        <w:rPr>
          <w:bCs/>
          <w:iCs/>
          <w:caps/>
          <w:color w:val="1D336D" w:themeColor="background2"/>
          <w:sz w:val="32"/>
          <w:szCs w:val="28"/>
        </w:rPr>
      </w:pPr>
      <w:bookmarkStart w:id="66" w:name="_Toc116327891"/>
      <w:bookmarkStart w:id="67" w:name="_Toc116328004"/>
      <w:bookmarkStart w:id="68" w:name="_Toc116328075"/>
      <w:bookmarkStart w:id="69" w:name="_Toc116371562"/>
      <w:bookmarkStart w:id="70" w:name="_Toc116371690"/>
      <w:bookmarkStart w:id="71" w:name="_Toc116371758"/>
      <w:bookmarkStart w:id="72" w:name="_Toc116378172"/>
      <w:r>
        <w:rPr>
          <w:b/>
          <w:bCs/>
        </w:rPr>
        <w:br w:type="page"/>
      </w:r>
    </w:p>
    <w:p w14:paraId="17D62971" w14:textId="0EF1DD50" w:rsidR="00157ABD" w:rsidRPr="007825FE" w:rsidRDefault="51049B5D" w:rsidP="007825FE">
      <w:pPr>
        <w:pStyle w:val="Heading1"/>
        <w:spacing w:before="360"/>
        <w:rPr>
          <w:b w:val="0"/>
          <w:bCs/>
        </w:rPr>
      </w:pPr>
      <w:bookmarkStart w:id="73" w:name="_Toc122460799"/>
      <w:r w:rsidRPr="007825FE">
        <w:rPr>
          <w:b w:val="0"/>
          <w:bCs/>
        </w:rPr>
        <w:lastRenderedPageBreak/>
        <w:t>Effectiveness</w:t>
      </w:r>
      <w:bookmarkEnd w:id="66"/>
      <w:bookmarkEnd w:id="67"/>
      <w:bookmarkEnd w:id="68"/>
      <w:bookmarkEnd w:id="69"/>
      <w:bookmarkEnd w:id="70"/>
      <w:bookmarkEnd w:id="71"/>
      <w:bookmarkEnd w:id="72"/>
      <w:bookmarkEnd w:id="73"/>
    </w:p>
    <w:p w14:paraId="7FFA3876" w14:textId="7C4C52DD" w:rsidR="00C604BA" w:rsidRPr="00A96293" w:rsidRDefault="00C604BA" w:rsidP="00802513">
      <w:pPr>
        <w:textAlignment w:val="baseline"/>
        <w:rPr>
          <w:b/>
          <w:iCs/>
          <w:color w:val="1D336D" w:themeColor="background2"/>
          <w:sz w:val="22"/>
        </w:rPr>
      </w:pPr>
      <w:r w:rsidRPr="00A96293">
        <w:rPr>
          <w:b/>
          <w:iCs/>
          <w:color w:val="1D336D" w:themeColor="background2"/>
          <w:sz w:val="22"/>
        </w:rPr>
        <w:t>Was ACCESS effective in achieving its intended outcomes? </w:t>
      </w:r>
    </w:p>
    <w:p w14:paraId="4A1CC75C" w14:textId="70477256" w:rsidR="005572AC" w:rsidRPr="00643463" w:rsidRDefault="005572AC" w:rsidP="00802513">
      <w:pPr>
        <w:textAlignment w:val="baseline"/>
        <w:rPr>
          <w:rFonts w:ascii="Arial" w:eastAsia="Times New Roman" w:hAnsi="Arial" w:cs="Arial"/>
          <w:color w:val="000000"/>
          <w:szCs w:val="20"/>
          <w:lang w:eastAsia="en-GB"/>
        </w:rPr>
      </w:pPr>
      <w:r>
        <w:rPr>
          <w:rFonts w:ascii="Arial" w:eastAsia="Times New Roman" w:hAnsi="Arial" w:cs="Arial"/>
          <w:color w:val="000000"/>
          <w:szCs w:val="20"/>
          <w:lang w:eastAsia="en-GB"/>
        </w:rPr>
        <w:t>There are a number of factors that had a significant bearing on the operating context for ACCESS and need to be considered in discussion of effectiveness:</w:t>
      </w:r>
    </w:p>
    <w:p w14:paraId="49869400" w14:textId="5EDDF641" w:rsidR="00802513" w:rsidRPr="00802513" w:rsidRDefault="00191D90" w:rsidP="1B23B6AA">
      <w:pPr>
        <w:pStyle w:val="ListParagraph"/>
        <w:numPr>
          <w:ilvl w:val="1"/>
          <w:numId w:val="22"/>
        </w:numPr>
        <w:jc w:val="both"/>
        <w:textAlignment w:val="baseline"/>
        <w:rPr>
          <w:rFonts w:ascii="Arial" w:eastAsia="Times New Roman" w:hAnsi="Arial" w:cs="Arial"/>
          <w:b/>
          <w:bCs/>
          <w:color w:val="000000"/>
          <w:lang w:eastAsia="en-GB"/>
        </w:rPr>
      </w:pPr>
      <w:r w:rsidRPr="1B23B6AA">
        <w:rPr>
          <w:rFonts w:ascii="Arial" w:eastAsia="Times New Roman" w:hAnsi="Arial" w:cs="Arial"/>
          <w:b/>
          <w:bCs/>
          <w:lang w:eastAsia="en-GB"/>
        </w:rPr>
        <w:t xml:space="preserve">The requirement for </w:t>
      </w:r>
      <w:r w:rsidR="005572AC" w:rsidRPr="1B23B6AA">
        <w:rPr>
          <w:rFonts w:ascii="Arial" w:eastAsia="Times New Roman" w:hAnsi="Arial" w:cs="Arial"/>
          <w:b/>
          <w:bCs/>
          <w:lang w:eastAsia="en-GB"/>
        </w:rPr>
        <w:t>RGC payment of DSA</w:t>
      </w:r>
      <w:r w:rsidR="00D821A9" w:rsidRPr="1B23B6AA">
        <w:rPr>
          <w:rFonts w:ascii="Arial" w:eastAsia="Times New Roman" w:hAnsi="Arial" w:cs="Arial"/>
          <w:b/>
          <w:bCs/>
          <w:lang w:eastAsia="en-GB"/>
        </w:rPr>
        <w:t>s</w:t>
      </w:r>
      <w:r w:rsidR="006951CE">
        <w:rPr>
          <w:rFonts w:ascii="Arial" w:eastAsia="Times New Roman" w:hAnsi="Arial" w:cs="Arial"/>
          <w:b/>
          <w:bCs/>
          <w:lang w:eastAsia="en-GB"/>
        </w:rPr>
        <w:t>.</w:t>
      </w:r>
      <w:r w:rsidR="005572AC" w:rsidRPr="1B23B6AA">
        <w:rPr>
          <w:rFonts w:ascii="Arial" w:eastAsia="Times New Roman" w:hAnsi="Arial" w:cs="Arial"/>
          <w:b/>
          <w:bCs/>
          <w:lang w:eastAsia="en-GB"/>
        </w:rPr>
        <w:t xml:space="preserve"> </w:t>
      </w:r>
      <w:r w:rsidR="005572AC" w:rsidRPr="1B23B6AA">
        <w:rPr>
          <w:rFonts w:ascii="Arial" w:eastAsia="Times New Roman" w:hAnsi="Arial" w:cs="Arial"/>
          <w:lang w:eastAsia="en-GB"/>
        </w:rPr>
        <w:t xml:space="preserve">ACCESS was the first program to implement DFAT’s new policy on the payment of the Daily Subsistence Allowance (DSA) (i.e. per diem). It is a long-standing tradition in Cambodia for development project budgets to cover the cost of DSA when RGC officials participate in project activities. DFAT, as a number of other donors did at the time, decided that it would request RGC to pay for the DSA </w:t>
      </w:r>
      <w:r w:rsidR="3488F559" w:rsidRPr="1B23B6AA">
        <w:rPr>
          <w:rFonts w:ascii="Arial" w:eastAsia="Times New Roman" w:hAnsi="Arial" w:cs="Arial"/>
          <w:lang w:eastAsia="en-GB"/>
        </w:rPr>
        <w:t xml:space="preserve">for official participation in </w:t>
      </w:r>
      <w:r w:rsidR="07926D4C" w:rsidRPr="1B23B6AA">
        <w:rPr>
          <w:rFonts w:ascii="Arial" w:eastAsia="Times New Roman" w:hAnsi="Arial" w:cs="Arial"/>
          <w:lang w:eastAsia="en-GB"/>
        </w:rPr>
        <w:t xml:space="preserve">ODA-funded </w:t>
      </w:r>
      <w:r w:rsidR="00414C81" w:rsidRPr="1B23B6AA">
        <w:rPr>
          <w:rFonts w:ascii="Arial" w:eastAsia="Times New Roman" w:hAnsi="Arial" w:cs="Arial"/>
          <w:lang w:eastAsia="en-GB"/>
        </w:rPr>
        <w:t>development pro</w:t>
      </w:r>
      <w:r w:rsidR="4418AEF9" w:rsidRPr="1B23B6AA">
        <w:rPr>
          <w:rFonts w:ascii="Arial" w:eastAsia="Times New Roman" w:hAnsi="Arial" w:cs="Arial"/>
          <w:lang w:eastAsia="en-GB"/>
        </w:rPr>
        <w:t>grams</w:t>
      </w:r>
      <w:r w:rsidR="572B65B8" w:rsidRPr="1B23B6AA">
        <w:rPr>
          <w:rFonts w:ascii="Arial" w:eastAsia="Times New Roman" w:hAnsi="Arial" w:cs="Arial"/>
          <w:lang w:eastAsia="en-GB"/>
        </w:rPr>
        <w:t>.</w:t>
      </w:r>
      <w:r w:rsidR="00807D53" w:rsidRPr="1B23B6AA">
        <w:rPr>
          <w:rFonts w:ascii="Arial" w:eastAsia="Times New Roman" w:hAnsi="Arial" w:cs="Arial"/>
          <w:lang w:eastAsia="en-GB"/>
        </w:rPr>
        <w:t xml:space="preserve"> </w:t>
      </w:r>
      <w:r w:rsidR="005572AC" w:rsidRPr="1B23B6AA">
        <w:rPr>
          <w:rFonts w:ascii="Arial" w:eastAsia="Times New Roman" w:hAnsi="Arial" w:cs="Arial"/>
          <w:lang w:eastAsia="en-GB"/>
        </w:rPr>
        <w:t xml:space="preserve">This was a bold stance, and the issue of DSA came up in virtually every RGC and IP meeting for this evaluation. Notably, ACCESS was chosen by DFAT to be the ‘pilot’ for the DSA stance, and the only DFAT program to do so. Being a large-value program, DSA costs under ACCESS would have been considerable. It is questionable why the program focused on equity issues and vulnerable groups was chosen as the pilot, with presumably less political capital with RGC than other kinds of ‘hard’ sector investments. </w:t>
      </w:r>
    </w:p>
    <w:p w14:paraId="36AC50CA" w14:textId="0570B2D0" w:rsidR="005572AC" w:rsidRPr="00802513" w:rsidRDefault="7BA2841E" w:rsidP="52E2F618">
      <w:pPr>
        <w:ind w:left="644"/>
        <w:jc w:val="both"/>
        <w:textAlignment w:val="baseline"/>
        <w:rPr>
          <w:rFonts w:ascii="Arial" w:eastAsia="Times New Roman" w:hAnsi="Arial" w:cs="Arial"/>
          <w:b/>
          <w:bCs/>
          <w:color w:val="000000"/>
          <w:lang w:eastAsia="en-GB"/>
        </w:rPr>
      </w:pPr>
      <w:r w:rsidRPr="52E2F618">
        <w:rPr>
          <w:rFonts w:ascii="Arial" w:eastAsia="Times New Roman" w:hAnsi="Arial" w:cs="Arial"/>
          <w:lang w:eastAsia="en-GB"/>
        </w:rPr>
        <w:t>Remarkably, and a credit to the ACCESS and DFAT teams in Year 1, ACCESS was successful in negotiating for RGC to cover DSA expenses</w:t>
      </w:r>
      <w:r w:rsidR="00BF3C7D">
        <w:rPr>
          <w:rFonts w:ascii="Arial" w:eastAsia="Times New Roman" w:hAnsi="Arial" w:cs="Arial"/>
          <w:lang w:eastAsia="en-GB"/>
        </w:rPr>
        <w:t xml:space="preserve"> (which amounted to a block grant of 50 </w:t>
      </w:r>
      <w:proofErr w:type="spellStart"/>
      <w:r w:rsidR="00BF3C7D">
        <w:rPr>
          <w:rFonts w:ascii="Arial" w:eastAsia="Times New Roman" w:hAnsi="Arial" w:cs="Arial"/>
          <w:lang w:eastAsia="en-GB"/>
        </w:rPr>
        <w:t>millon</w:t>
      </w:r>
      <w:proofErr w:type="spellEnd"/>
      <w:r w:rsidR="00BF3C7D">
        <w:rPr>
          <w:rFonts w:ascii="Arial" w:eastAsia="Times New Roman" w:hAnsi="Arial" w:cs="Arial"/>
          <w:lang w:eastAsia="en-GB"/>
        </w:rPr>
        <w:t xml:space="preserve"> riels)</w:t>
      </w:r>
      <w:r w:rsidRPr="52E2F618">
        <w:rPr>
          <w:rFonts w:ascii="Arial" w:eastAsia="Times New Roman" w:hAnsi="Arial" w:cs="Arial"/>
          <w:lang w:eastAsia="en-GB"/>
        </w:rPr>
        <w:t xml:space="preserve">. </w:t>
      </w:r>
      <w:r w:rsidR="00360226">
        <w:rPr>
          <w:rFonts w:ascii="Arial" w:eastAsia="Times New Roman" w:hAnsi="Arial" w:cs="Arial"/>
          <w:lang w:eastAsia="en-GB"/>
        </w:rPr>
        <w:t xml:space="preserve">While this commitment was maintained throughout, and reaffirmed at the ACCESS Steering Committee meeting in December 2021, there was a view expressed by one of the line ministries that they were not able to access the full DSA allocation, due to </w:t>
      </w:r>
      <w:r w:rsidRPr="52E2F618">
        <w:rPr>
          <w:rFonts w:ascii="Arial" w:eastAsia="Times New Roman" w:hAnsi="Arial" w:cs="Arial"/>
          <w:lang w:eastAsia="en-GB"/>
        </w:rPr>
        <w:t>the onset of COVID-19 in 2020 and with the reconsolidation of budgets to cover emergency assistance budgets.</w:t>
      </w:r>
      <w:r w:rsidR="00BF3C7D">
        <w:rPr>
          <w:rFonts w:ascii="Arial" w:eastAsia="Times New Roman" w:hAnsi="Arial" w:cs="Arial"/>
          <w:lang w:eastAsia="en-GB"/>
        </w:rPr>
        <w:t xml:space="preserve"> Due to the project’s position on DSA, t</w:t>
      </w:r>
      <w:r w:rsidRPr="52E2F618">
        <w:rPr>
          <w:rFonts w:ascii="Arial" w:eastAsia="Times New Roman" w:hAnsi="Arial" w:cs="Arial"/>
          <w:lang w:eastAsia="en-GB"/>
        </w:rPr>
        <w:t>he ACCESS team and IPs expended much time negotiating with RGC counterparts on a case-by-case basis about who would pay. This ultimately led to delays in the planning of activities.</w:t>
      </w:r>
    </w:p>
    <w:p w14:paraId="34895152" w14:textId="4AA9FC19" w:rsidR="005572AC" w:rsidRPr="00CC0D22" w:rsidRDefault="00D821A9" w:rsidP="00802513">
      <w:pPr>
        <w:pStyle w:val="ListParagraph"/>
        <w:numPr>
          <w:ilvl w:val="1"/>
          <w:numId w:val="22"/>
        </w:numPr>
        <w:contextualSpacing w:val="0"/>
        <w:jc w:val="both"/>
        <w:textAlignment w:val="baseline"/>
        <w:rPr>
          <w:rFonts w:ascii="Arial" w:eastAsia="Times New Roman" w:hAnsi="Arial" w:cs="Arial"/>
          <w:b/>
          <w:bCs/>
          <w:color w:val="000000"/>
          <w:szCs w:val="20"/>
          <w:lang w:eastAsia="en-GB"/>
        </w:rPr>
      </w:pPr>
      <w:r>
        <w:rPr>
          <w:rFonts w:ascii="Arial" w:eastAsia="Times New Roman" w:hAnsi="Arial" w:cs="Arial"/>
          <w:b/>
          <w:bCs/>
          <w:color w:val="000000"/>
          <w:szCs w:val="20"/>
          <w:lang w:eastAsia="en-GB"/>
        </w:rPr>
        <w:t>The o</w:t>
      </w:r>
      <w:r w:rsidR="005572AC" w:rsidRPr="00643463">
        <w:rPr>
          <w:rFonts w:ascii="Arial" w:eastAsia="Times New Roman" w:hAnsi="Arial" w:cs="Arial"/>
          <w:b/>
          <w:bCs/>
          <w:color w:val="000000"/>
          <w:szCs w:val="20"/>
          <w:lang w:eastAsia="en-GB"/>
        </w:rPr>
        <w:t>nset of COVID-19 immediately after Year 1 of the program.</w:t>
      </w:r>
      <w:r w:rsidR="005572AC">
        <w:rPr>
          <w:rFonts w:ascii="Arial" w:eastAsia="Times New Roman" w:hAnsi="Arial" w:cs="Arial"/>
          <w:b/>
          <w:bCs/>
          <w:color w:val="000000"/>
          <w:szCs w:val="20"/>
          <w:lang w:eastAsia="en-GB"/>
        </w:rPr>
        <w:t xml:space="preserve"> </w:t>
      </w:r>
      <w:r w:rsidR="005572AC" w:rsidRPr="004028FE">
        <w:rPr>
          <w:rFonts w:ascii="Arial" w:eastAsia="Times New Roman" w:hAnsi="Arial" w:cs="Arial"/>
          <w:color w:val="000000"/>
          <w:szCs w:val="20"/>
          <w:lang w:eastAsia="en-GB"/>
        </w:rPr>
        <w:t xml:space="preserve">COVID-19 </w:t>
      </w:r>
      <w:r w:rsidR="005572AC">
        <w:rPr>
          <w:rFonts w:ascii="Arial" w:eastAsia="Times New Roman" w:hAnsi="Arial" w:cs="Arial"/>
          <w:color w:val="000000"/>
          <w:szCs w:val="20"/>
          <w:lang w:eastAsia="en-GB"/>
        </w:rPr>
        <w:t xml:space="preserve">was universally disruptive and unprecedented in its effects. However, it coincided with Year 2 of ACCESS – a time when most complex and large programs first hit their strides. ACCESS deserves much credit for how it pivoted to COVID-19 conditions – including the distribution of Personal Protective Equipment (PPE) to IPs to enable them to maintain some service provision and outreach, and onward distribution of PPE to people with disabilities and women survivors of violence. </w:t>
      </w:r>
      <w:r w:rsidR="001D0B64">
        <w:rPr>
          <w:rFonts w:ascii="Arial" w:eastAsia="Times New Roman" w:hAnsi="Arial" w:cs="Arial"/>
          <w:color w:val="000000"/>
          <w:szCs w:val="20"/>
          <w:lang w:eastAsia="en-GB"/>
        </w:rPr>
        <w:t>ACCESS also provided support to UNICEF</w:t>
      </w:r>
      <w:r w:rsidR="005572AC">
        <w:rPr>
          <w:rFonts w:ascii="Arial" w:eastAsia="Times New Roman" w:hAnsi="Arial" w:cs="Arial"/>
          <w:color w:val="000000"/>
          <w:szCs w:val="20"/>
          <w:lang w:eastAsia="en-GB"/>
        </w:rPr>
        <w:t xml:space="preserve"> to register 230,000 people with disabilities on the </w:t>
      </w:r>
      <w:proofErr w:type="spellStart"/>
      <w:r w:rsidR="005572AC">
        <w:rPr>
          <w:rFonts w:ascii="Arial" w:eastAsia="Times New Roman" w:hAnsi="Arial" w:cs="Arial"/>
          <w:color w:val="000000"/>
          <w:szCs w:val="20"/>
          <w:lang w:eastAsia="en-GB"/>
        </w:rPr>
        <w:t>IDPoor</w:t>
      </w:r>
      <w:proofErr w:type="spellEnd"/>
      <w:r w:rsidR="005572AC">
        <w:rPr>
          <w:rFonts w:ascii="Arial" w:eastAsia="Times New Roman" w:hAnsi="Arial" w:cs="Arial"/>
          <w:color w:val="000000"/>
          <w:szCs w:val="20"/>
          <w:lang w:eastAsia="en-GB"/>
        </w:rPr>
        <w:t xml:space="preserve"> card scheme so that they would be entitled to emergency and ongoing social assistance transfers and poverty-targeted subsidies and services. As the client data provided later in this section shows, COVID-19 waves and related lockdowns had a major impact on GBV and disability service utilisation.</w:t>
      </w:r>
    </w:p>
    <w:p w14:paraId="2C3ACB33" w14:textId="2B5777E0" w:rsidR="00B670C2" w:rsidRPr="003F655F" w:rsidRDefault="00657DBE" w:rsidP="00B27907">
      <w:pPr>
        <w:pStyle w:val="ListParagraph"/>
        <w:numPr>
          <w:ilvl w:val="1"/>
          <w:numId w:val="22"/>
        </w:numPr>
        <w:contextualSpacing w:val="0"/>
        <w:jc w:val="both"/>
        <w:textAlignment w:val="baseline"/>
        <w:rPr>
          <w:rFonts w:ascii="Arial" w:eastAsia="Times New Roman" w:hAnsi="Arial" w:cs="Arial"/>
          <w:b/>
          <w:bCs/>
          <w:color w:val="000000"/>
          <w:szCs w:val="20"/>
          <w:lang w:eastAsia="en-GB"/>
        </w:rPr>
      </w:pPr>
      <w:r w:rsidRPr="003F655F">
        <w:rPr>
          <w:rFonts w:ascii="Arial" w:eastAsia="Times New Roman" w:hAnsi="Arial" w:cs="Arial"/>
          <w:b/>
          <w:lang w:eastAsia="en-GB"/>
        </w:rPr>
        <w:t>The development of t</w:t>
      </w:r>
      <w:r w:rsidR="005572AC" w:rsidRPr="003F655F">
        <w:rPr>
          <w:rFonts w:ascii="Arial" w:eastAsia="Times New Roman" w:hAnsi="Arial" w:cs="Arial"/>
          <w:b/>
          <w:lang w:eastAsia="en-GB"/>
        </w:rPr>
        <w:t xml:space="preserve">hree program logic frameworks in four years. </w:t>
      </w:r>
      <w:r w:rsidR="005572AC" w:rsidRPr="003F655F">
        <w:rPr>
          <w:rFonts w:ascii="Arial" w:eastAsia="Times New Roman" w:hAnsi="Arial" w:cs="Arial"/>
          <w:lang w:eastAsia="en-GB"/>
        </w:rPr>
        <w:t xml:space="preserve">The last factor of note in gauging effectiveness is that ACCESS has had three different results frameworks in four years. The </w:t>
      </w:r>
      <w:r w:rsidR="002D5DAE" w:rsidRPr="003F655F">
        <w:rPr>
          <w:rFonts w:ascii="Arial" w:eastAsia="Times New Roman" w:hAnsi="Arial" w:cs="Arial"/>
          <w:lang w:eastAsia="en-GB"/>
        </w:rPr>
        <w:t xml:space="preserve">program logic included in the design document was revised early in implementation. The </w:t>
      </w:r>
      <w:r w:rsidR="005572AC" w:rsidRPr="003F655F">
        <w:rPr>
          <w:rFonts w:ascii="Arial" w:eastAsia="Times New Roman" w:hAnsi="Arial" w:cs="Arial"/>
          <w:lang w:eastAsia="en-GB"/>
        </w:rPr>
        <w:t xml:space="preserve">Internal Rapid Review of ACCESS (April 2020) and onset of COVID-19 led to </w:t>
      </w:r>
      <w:r w:rsidR="009332C5" w:rsidRPr="003F655F">
        <w:rPr>
          <w:rFonts w:ascii="Arial" w:eastAsia="Times New Roman" w:hAnsi="Arial" w:cs="Arial"/>
          <w:lang w:eastAsia="en-GB"/>
        </w:rPr>
        <w:t xml:space="preserve">further </w:t>
      </w:r>
      <w:r w:rsidR="005572AC" w:rsidRPr="003F655F">
        <w:rPr>
          <w:rFonts w:ascii="Arial" w:eastAsia="Times New Roman" w:hAnsi="Arial" w:cs="Arial"/>
          <w:lang w:eastAsia="en-GB"/>
        </w:rPr>
        <w:t>modifications.</w:t>
      </w:r>
      <w:r w:rsidR="005572AC" w:rsidRPr="003F655F">
        <w:rPr>
          <w:rFonts w:ascii="Arial" w:eastAsia="Times New Roman" w:hAnsi="Arial" w:cs="Arial"/>
          <w:b/>
          <w:lang w:eastAsia="en-GB"/>
        </w:rPr>
        <w:t xml:space="preserve"> </w:t>
      </w:r>
      <w:r w:rsidR="005572AC" w:rsidRPr="003F655F">
        <w:rPr>
          <w:rFonts w:ascii="Arial" w:eastAsia="Times New Roman" w:hAnsi="Arial" w:cs="Arial"/>
          <w:lang w:eastAsia="en-GB"/>
        </w:rPr>
        <w:t xml:space="preserve">As a </w:t>
      </w:r>
      <w:proofErr w:type="gramStart"/>
      <w:r w:rsidR="005572AC" w:rsidRPr="003F655F">
        <w:rPr>
          <w:rFonts w:ascii="Arial" w:eastAsia="Times New Roman" w:hAnsi="Arial" w:cs="Arial"/>
          <w:lang w:eastAsia="en-GB"/>
        </w:rPr>
        <w:t>3+2 year</w:t>
      </w:r>
      <w:proofErr w:type="gramEnd"/>
      <w:r w:rsidR="005572AC" w:rsidRPr="003F655F">
        <w:rPr>
          <w:rFonts w:ascii="Arial" w:eastAsia="Times New Roman" w:hAnsi="Arial" w:cs="Arial"/>
          <w:lang w:eastAsia="en-GB"/>
        </w:rPr>
        <w:t xml:space="preserve"> program and implemented in two phases (Phase 1 – 2018-20, and Phase 2 – 2021-23), refinement of outcomes is also to be expected. Notably, though, it has led to three sets of End of Program Outcomes. </w:t>
      </w:r>
      <w:r w:rsidR="00456D69" w:rsidRPr="003F655F">
        <w:rPr>
          <w:rFonts w:ascii="Arial" w:eastAsia="Times New Roman" w:hAnsi="Arial" w:cs="Arial"/>
          <w:lang w:eastAsia="en-GB"/>
        </w:rPr>
        <w:t>In light of this, and with</w:t>
      </w:r>
      <w:r w:rsidR="005572AC" w:rsidRPr="003F655F">
        <w:rPr>
          <w:rFonts w:ascii="Arial" w:eastAsia="Times New Roman" w:hAnsi="Arial" w:cs="Arial"/>
          <w:lang w:eastAsia="en-GB"/>
        </w:rPr>
        <w:t xml:space="preserve"> the rephrasing and addition/removal of </w:t>
      </w:r>
      <w:r w:rsidR="001B7DE2" w:rsidRPr="003F655F">
        <w:rPr>
          <w:rFonts w:ascii="Arial" w:eastAsia="Times New Roman" w:hAnsi="Arial" w:cs="Arial"/>
          <w:lang w:eastAsia="en-GB"/>
        </w:rPr>
        <w:t xml:space="preserve">several </w:t>
      </w:r>
      <w:r w:rsidR="005572AC" w:rsidRPr="003F655F">
        <w:rPr>
          <w:rFonts w:ascii="Arial" w:eastAsia="Times New Roman" w:hAnsi="Arial" w:cs="Arial"/>
          <w:lang w:eastAsia="en-GB"/>
        </w:rPr>
        <w:t xml:space="preserve">Intermediate Outcomes (IOs), there is not a continuous line of sight on </w:t>
      </w:r>
      <w:r w:rsidR="007312F3" w:rsidRPr="003F655F">
        <w:rPr>
          <w:rFonts w:ascii="Arial" w:eastAsia="Times New Roman" w:hAnsi="Arial" w:cs="Arial"/>
          <w:lang w:eastAsia="en-GB"/>
        </w:rPr>
        <w:t xml:space="preserve">performance </w:t>
      </w:r>
      <w:r w:rsidR="005572AC" w:rsidRPr="003F655F">
        <w:rPr>
          <w:rFonts w:ascii="Arial" w:eastAsia="Times New Roman" w:hAnsi="Arial" w:cs="Arial"/>
          <w:lang w:eastAsia="en-GB"/>
        </w:rPr>
        <w:t xml:space="preserve">across the life of the program. </w:t>
      </w:r>
      <w:r w:rsidR="00334B9A" w:rsidRPr="003F655F">
        <w:rPr>
          <w:rFonts w:ascii="Arial" w:eastAsia="Times New Roman" w:hAnsi="Arial" w:cs="Arial"/>
          <w:lang w:eastAsia="en-GB"/>
        </w:rPr>
        <w:t xml:space="preserve">As noted in the methodology, this evaluation assesses against the Stage II program logic (see </w:t>
      </w:r>
      <w:r w:rsidR="000F5873" w:rsidRPr="003F655F">
        <w:rPr>
          <w:rFonts w:ascii="Arial" w:eastAsia="Times New Roman" w:hAnsi="Arial" w:cs="Arial"/>
          <w:lang w:eastAsia="en-GB"/>
        </w:rPr>
        <w:t>figure 2</w:t>
      </w:r>
      <w:r w:rsidR="00334B9A" w:rsidRPr="003F655F">
        <w:rPr>
          <w:rFonts w:ascii="Arial" w:eastAsia="Times New Roman" w:hAnsi="Arial" w:cs="Arial"/>
          <w:lang w:eastAsia="en-GB"/>
        </w:rPr>
        <w:t xml:space="preserve"> below). </w:t>
      </w:r>
    </w:p>
    <w:p w14:paraId="75B94CFD" w14:textId="77777777" w:rsidR="00B670C2" w:rsidRPr="00DA29D7" w:rsidRDefault="00B670C2" w:rsidP="00DA29D7">
      <w:pPr>
        <w:jc w:val="both"/>
        <w:textAlignment w:val="baseline"/>
        <w:rPr>
          <w:rFonts w:ascii="Arial" w:eastAsia="Times New Roman" w:hAnsi="Arial" w:cs="Arial"/>
          <w:b/>
          <w:bCs/>
          <w:color w:val="000000"/>
          <w:szCs w:val="20"/>
          <w:lang w:eastAsia="en-GB"/>
        </w:rPr>
      </w:pPr>
    </w:p>
    <w:p w14:paraId="7D857158" w14:textId="2CB6FEB5" w:rsidR="00650F55" w:rsidRDefault="00650F55" w:rsidP="005572AC">
      <w:pPr>
        <w:textAlignment w:val="baseline"/>
        <w:rPr>
          <w:rFonts w:ascii="Arial" w:eastAsia="Times New Roman" w:hAnsi="Arial" w:cs="Arial"/>
          <w:b/>
          <w:bCs/>
          <w:color w:val="000000"/>
          <w:szCs w:val="20"/>
          <w:lang w:eastAsia="en-GB"/>
        </w:rPr>
        <w:sectPr w:rsidR="00650F55" w:rsidSect="00B436D1">
          <w:type w:val="continuous"/>
          <w:pgSz w:w="11906" w:h="16838" w:code="9"/>
          <w:pgMar w:top="1814" w:right="1134" w:bottom="1134" w:left="1134" w:header="851" w:footer="454" w:gutter="0"/>
          <w:pgBorders w:offsetFrom="page">
            <w:top w:val="single" w:sz="48" w:space="0" w:color="507CB9"/>
            <w:left w:val="single" w:sz="48" w:space="0" w:color="507CB9"/>
            <w:bottom w:val="single" w:sz="48" w:space="0" w:color="507CB9"/>
            <w:right w:val="single" w:sz="48" w:space="0" w:color="507CB9"/>
          </w:pgBorders>
          <w:cols w:space="709"/>
          <w:docGrid w:linePitch="360"/>
        </w:sectPr>
      </w:pPr>
    </w:p>
    <w:p w14:paraId="2C841862" w14:textId="0FFC46DE" w:rsidR="005572AC" w:rsidRPr="00643F5A" w:rsidRDefault="005572AC" w:rsidP="0C022BA7">
      <w:pPr>
        <w:textAlignment w:val="baseline"/>
        <w:rPr>
          <w:rFonts w:ascii="Arial" w:eastAsia="Times New Roman" w:hAnsi="Arial" w:cs="Arial"/>
          <w:b/>
          <w:bCs/>
          <w:color w:val="1D336D" w:themeColor="background2"/>
          <w:lang w:eastAsia="en-GB"/>
        </w:rPr>
      </w:pPr>
      <w:r w:rsidRPr="00643F5A">
        <w:rPr>
          <w:rFonts w:ascii="Arial" w:eastAsia="Times New Roman" w:hAnsi="Arial" w:cs="Arial"/>
          <w:b/>
          <w:bCs/>
          <w:color w:val="1D336D" w:themeColor="background2"/>
          <w:lang w:eastAsia="en-GB"/>
        </w:rPr>
        <w:lastRenderedPageBreak/>
        <w:t xml:space="preserve">Figure </w:t>
      </w:r>
      <w:r w:rsidR="00802513" w:rsidRPr="00643F5A">
        <w:rPr>
          <w:rFonts w:ascii="Arial" w:eastAsia="Times New Roman" w:hAnsi="Arial" w:cs="Arial"/>
          <w:b/>
          <w:bCs/>
          <w:color w:val="1D336D" w:themeColor="background2"/>
          <w:lang w:eastAsia="en-GB"/>
        </w:rPr>
        <w:t>2</w:t>
      </w:r>
      <w:r w:rsidRPr="00643F5A">
        <w:rPr>
          <w:rFonts w:ascii="Arial" w:eastAsia="Times New Roman" w:hAnsi="Arial" w:cs="Arial"/>
          <w:b/>
          <w:bCs/>
          <w:color w:val="1D336D" w:themeColor="background2"/>
          <w:lang w:eastAsia="en-GB"/>
        </w:rPr>
        <w:t>: Overview of the three ACCESS program logic frameworks</w:t>
      </w:r>
    </w:p>
    <w:p w14:paraId="510B0618" w14:textId="03D67557" w:rsidR="0C022BA7" w:rsidRDefault="573240A5" w:rsidP="008C0E7D">
      <w:pPr>
        <w:jc w:val="center"/>
      </w:pPr>
      <w:r>
        <w:rPr>
          <w:noProof/>
        </w:rPr>
        <w:drawing>
          <wp:inline distT="0" distB="0" distL="0" distR="0" wp14:anchorId="76205D79" wp14:editId="22E9A71D">
            <wp:extent cx="9150846" cy="5090160"/>
            <wp:effectExtent l="0" t="0" r="0" b="0"/>
            <wp:docPr id="1629327882" name="Picture 1629327882" descr="A screenshot of a diagram portraying the changes in end of program and intermediate outcomes in each iteration of the ACCESS program logic framework. This covers the four program logic versions from the Investment Design logic, to the program logic version 1 (September 2018 to June 2021), version 2 (July 2021 to June 2022), and the final version guiding implemention from June 2022 to September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27882" name="Picture 1629327882" descr="A screenshot of a diagram portraying the changes in end of program and intermediate outcomes in each iteration of the ACCESS program logic framework. This covers the four program logic versions from the Investment Design logic, to the program logic version 1 (September 2018 to June 2021), version 2 (July 2021 to June 2022), and the final version guiding implemention from June 2022 to September 2023. "/>
                    <pic:cNvPicPr/>
                  </pic:nvPicPr>
                  <pic:blipFill>
                    <a:blip r:embed="rId23">
                      <a:extLst>
                        <a:ext uri="{28A0092B-C50C-407E-A947-70E740481C1C}">
                          <a14:useLocalDpi xmlns:a14="http://schemas.microsoft.com/office/drawing/2010/main" val="0"/>
                        </a:ext>
                      </a:extLst>
                    </a:blip>
                    <a:stretch>
                      <a:fillRect/>
                    </a:stretch>
                  </pic:blipFill>
                  <pic:spPr>
                    <a:xfrm>
                      <a:off x="0" y="0"/>
                      <a:ext cx="9150846" cy="5090160"/>
                    </a:xfrm>
                    <a:prstGeom prst="rect">
                      <a:avLst/>
                    </a:prstGeom>
                  </pic:spPr>
                </pic:pic>
              </a:graphicData>
            </a:graphic>
          </wp:inline>
        </w:drawing>
      </w:r>
    </w:p>
    <w:p w14:paraId="632484B8" w14:textId="03D67557" w:rsidR="3364F936" w:rsidRDefault="3364F936" w:rsidP="3364F936">
      <w:pPr>
        <w:rPr>
          <w:rFonts w:ascii="Arial" w:eastAsia="Times New Roman" w:hAnsi="Arial" w:cs="Arial"/>
          <w:b/>
          <w:bCs/>
          <w:lang w:eastAsia="en-GB"/>
        </w:rPr>
      </w:pPr>
    </w:p>
    <w:p w14:paraId="035A359B" w14:textId="23BB9CE7" w:rsidR="00683CAE" w:rsidRDefault="00683CAE" w:rsidP="005572AC">
      <w:pPr>
        <w:textAlignment w:val="baseline"/>
        <w:sectPr w:rsidR="00683CAE" w:rsidSect="00683CAE">
          <w:pgSz w:w="16838" w:h="11906" w:orient="landscape" w:code="9"/>
          <w:pgMar w:top="1134" w:right="1814" w:bottom="1134" w:left="1134" w:header="851" w:footer="454" w:gutter="0"/>
          <w:pgBorders w:offsetFrom="page">
            <w:top w:val="single" w:sz="48" w:space="0" w:color="507CB9"/>
            <w:left w:val="single" w:sz="48" w:space="0" w:color="507CB9"/>
            <w:bottom w:val="single" w:sz="48" w:space="0" w:color="507CB9"/>
            <w:right w:val="single" w:sz="48" w:space="0" w:color="507CB9"/>
          </w:pgBorders>
          <w:cols w:space="709"/>
          <w:docGrid w:linePitch="360"/>
        </w:sectPr>
      </w:pPr>
    </w:p>
    <w:p w14:paraId="72CC0643" w14:textId="5D3821D6" w:rsidR="0096584B" w:rsidRPr="00DA29D7" w:rsidRDefault="00552204" w:rsidP="00552204">
      <w:pPr>
        <w:pStyle w:val="Heading2NOTOC"/>
        <w:rPr>
          <w:color w:val="152651"/>
          <w:lang w:eastAsia="en-GB"/>
        </w:rPr>
      </w:pPr>
      <w:r>
        <w:rPr>
          <w:lang w:eastAsia="en-GB"/>
        </w:rPr>
        <w:lastRenderedPageBreak/>
        <w:t xml:space="preserve">Performance Against End of Program Outcomes </w:t>
      </w:r>
    </w:p>
    <w:p w14:paraId="14BBC29D" w14:textId="7B4AE9EA" w:rsidR="00897263" w:rsidRPr="00552204" w:rsidRDefault="009C207D" w:rsidP="00552204">
      <w:pPr>
        <w:pStyle w:val="Heading3"/>
        <w:rPr>
          <w:color w:val="1D336D" w:themeColor="background2"/>
        </w:rPr>
      </w:pPr>
      <w:r w:rsidRPr="00552204">
        <w:rPr>
          <w:color w:val="1D336D" w:themeColor="background2"/>
        </w:rPr>
        <w:t xml:space="preserve">1. </w:t>
      </w:r>
      <w:r w:rsidR="00AD3315" w:rsidRPr="00552204">
        <w:rPr>
          <w:color w:val="1D336D" w:themeColor="background2"/>
        </w:rPr>
        <w:t>EOPO relating to RGC, CSO and private sector sustainably improving the coverage, quality and inclusiveness of GBV and disability services.</w:t>
      </w:r>
    </w:p>
    <w:p w14:paraId="6507F1B6" w14:textId="3602F1D9" w:rsidR="002E6B59" w:rsidRPr="002E6B59" w:rsidRDefault="002E6B59" w:rsidP="002E6B59">
      <w:pPr>
        <w:rPr>
          <w:lang w:eastAsia="en-GB"/>
        </w:rPr>
      </w:pPr>
      <w:r w:rsidRPr="002E6B59">
        <w:rPr>
          <w:lang w:eastAsia="en-GB"/>
        </w:rPr>
        <w:t>This EOPO formed part of the ACCESS program logic, with slight variations, for the entire program duration</w:t>
      </w:r>
      <w:r>
        <w:rPr>
          <w:lang w:eastAsia="en-GB"/>
        </w:rPr>
        <w:t>.</w:t>
      </w:r>
    </w:p>
    <w:p w14:paraId="18192AE8" w14:textId="62FFDED8" w:rsidR="0096584B" w:rsidRDefault="29076BC6" w:rsidP="1B23B6AA">
      <w:pPr>
        <w:jc w:val="both"/>
        <w:textAlignment w:val="baseline"/>
        <w:rPr>
          <w:rFonts w:ascii="Arial" w:eastAsia="Times New Roman" w:hAnsi="Arial" w:cs="Arial"/>
          <w:color w:val="000000"/>
          <w:lang w:eastAsia="en-GB"/>
        </w:rPr>
      </w:pPr>
      <w:r w:rsidRPr="52E2F618">
        <w:rPr>
          <w:rFonts w:ascii="Arial" w:eastAsia="Times New Roman" w:hAnsi="Arial" w:cs="Arial"/>
          <w:b/>
          <w:bCs/>
          <w:lang w:eastAsia="en-GB"/>
        </w:rPr>
        <w:t>ACCESS has made substantial progress</w:t>
      </w:r>
      <w:r w:rsidRPr="52E2F618">
        <w:rPr>
          <w:rFonts w:ascii="Arial" w:eastAsia="Times New Roman" w:hAnsi="Arial" w:cs="Arial"/>
          <w:lang w:eastAsia="en-GB"/>
        </w:rPr>
        <w:t xml:space="preserve"> </w:t>
      </w:r>
      <w:r w:rsidRPr="52E2F618">
        <w:rPr>
          <w:rFonts w:ascii="Arial" w:eastAsia="Times New Roman" w:hAnsi="Arial" w:cs="Arial"/>
          <w:b/>
          <w:bCs/>
          <w:lang w:eastAsia="en-GB"/>
        </w:rPr>
        <w:t>in the continuous EOPO focus area of sustainably improving the coverage, quality and</w:t>
      </w:r>
      <w:r w:rsidR="14DA40C1" w:rsidRPr="52E2F618">
        <w:rPr>
          <w:rFonts w:ascii="Arial" w:eastAsia="Times New Roman" w:hAnsi="Arial" w:cs="Arial"/>
          <w:b/>
          <w:bCs/>
          <w:lang w:eastAsia="en-GB"/>
        </w:rPr>
        <w:t>, to a lesser extent, the</w:t>
      </w:r>
      <w:r w:rsidRPr="52E2F618">
        <w:rPr>
          <w:rFonts w:ascii="Arial" w:eastAsia="Times New Roman" w:hAnsi="Arial" w:cs="Arial"/>
          <w:b/>
          <w:bCs/>
          <w:lang w:eastAsia="en-GB"/>
        </w:rPr>
        <w:t xml:space="preserve"> inclusiveness of services</w:t>
      </w:r>
      <w:r w:rsidRPr="52E2F618">
        <w:rPr>
          <w:rFonts w:ascii="Arial" w:eastAsia="Times New Roman" w:hAnsi="Arial" w:cs="Arial"/>
          <w:lang w:eastAsia="en-GB"/>
        </w:rPr>
        <w:t xml:space="preserve">. The combination of </w:t>
      </w:r>
      <w:r w:rsidR="60775187" w:rsidRPr="52E2F618">
        <w:rPr>
          <w:rFonts w:ascii="Arial" w:eastAsia="Times New Roman" w:hAnsi="Arial" w:cs="Arial"/>
          <w:lang w:eastAsia="en-GB"/>
        </w:rPr>
        <w:t>ACCESS’</w:t>
      </w:r>
      <w:r w:rsidR="56D33D27" w:rsidRPr="52E2F618">
        <w:rPr>
          <w:rFonts w:ascii="Arial" w:eastAsia="Times New Roman" w:hAnsi="Arial" w:cs="Arial"/>
          <w:lang w:eastAsia="en-GB"/>
        </w:rPr>
        <w:t>s</w:t>
      </w:r>
      <w:r w:rsidRPr="52E2F618">
        <w:rPr>
          <w:rFonts w:ascii="Arial" w:eastAsia="Times New Roman" w:hAnsi="Arial" w:cs="Arial"/>
          <w:lang w:eastAsia="en-GB"/>
        </w:rPr>
        <w:t xml:space="preserve"> technical assistance to the RGC on the enabling environment, complemented by IP work on subnational service delivery has been effective for advancing the </w:t>
      </w:r>
      <w:r w:rsidRPr="52E2F618">
        <w:rPr>
          <w:rFonts w:ascii="Arial" w:eastAsia="Times New Roman" w:hAnsi="Arial" w:cs="Arial"/>
          <w:u w:val="single"/>
          <w:lang w:eastAsia="en-GB"/>
        </w:rPr>
        <w:t>coverage</w:t>
      </w:r>
      <w:r w:rsidRPr="52E2F618">
        <w:rPr>
          <w:rFonts w:ascii="Arial" w:eastAsia="Times New Roman" w:hAnsi="Arial" w:cs="Arial"/>
          <w:lang w:eastAsia="en-GB"/>
        </w:rPr>
        <w:t xml:space="preserve"> and </w:t>
      </w:r>
      <w:r w:rsidRPr="52E2F618">
        <w:rPr>
          <w:rFonts w:ascii="Arial" w:eastAsia="Times New Roman" w:hAnsi="Arial" w:cs="Arial"/>
          <w:u w:val="single"/>
          <w:lang w:eastAsia="en-GB"/>
        </w:rPr>
        <w:t xml:space="preserve">quality </w:t>
      </w:r>
      <w:r w:rsidR="310D6756" w:rsidRPr="52E2F618">
        <w:rPr>
          <w:rFonts w:ascii="Arial" w:eastAsia="Times New Roman" w:hAnsi="Arial" w:cs="Arial"/>
          <w:u w:val="single"/>
          <w:lang w:eastAsia="en-GB"/>
        </w:rPr>
        <w:t xml:space="preserve">(as defined by the </w:t>
      </w:r>
      <w:r w:rsidR="13C4B657" w:rsidRPr="52E2F618">
        <w:rPr>
          <w:rFonts w:ascii="Arial" w:eastAsia="Times New Roman" w:hAnsi="Arial" w:cs="Arial"/>
          <w:u w:val="single"/>
          <w:lang w:eastAsia="en-GB"/>
        </w:rPr>
        <w:t xml:space="preserve">SAQUS) </w:t>
      </w:r>
      <w:r w:rsidR="13C4B657" w:rsidRPr="52E2F618">
        <w:rPr>
          <w:rFonts w:ascii="Arial" w:eastAsia="Times New Roman" w:hAnsi="Arial" w:cs="Arial"/>
          <w:lang w:eastAsia="en-GB"/>
        </w:rPr>
        <w:t>of</w:t>
      </w:r>
      <w:r w:rsidRPr="52E2F618">
        <w:rPr>
          <w:rFonts w:ascii="Arial" w:eastAsia="Times New Roman" w:hAnsi="Arial" w:cs="Arial"/>
          <w:lang w:eastAsia="en-GB"/>
        </w:rPr>
        <w:t xml:space="preserve"> services, in particular. It has also served to support achievements in social protection specific to people with disabilities. </w:t>
      </w:r>
      <w:r w:rsidRPr="52E2F618">
        <w:rPr>
          <w:rFonts w:ascii="Arial" w:eastAsia="Times New Roman" w:hAnsi="Arial" w:cs="Arial"/>
          <w:u w:val="single"/>
          <w:lang w:eastAsia="en-GB"/>
        </w:rPr>
        <w:t>Inclusiveness</w:t>
      </w:r>
      <w:r w:rsidRPr="52E2F618">
        <w:rPr>
          <w:rFonts w:ascii="Arial" w:eastAsia="Times New Roman" w:hAnsi="Arial" w:cs="Arial"/>
          <w:lang w:eastAsia="en-GB"/>
        </w:rPr>
        <w:t xml:space="preserve"> in terms of gender responsiveness and disability inclusiveness, and attention to factors such as ethnicity and diversity in disabilities </w:t>
      </w:r>
      <w:r w:rsidR="4524767F" w:rsidRPr="52E2F618">
        <w:rPr>
          <w:rFonts w:ascii="Arial" w:eastAsia="Times New Roman" w:hAnsi="Arial" w:cs="Arial"/>
          <w:lang w:eastAsia="en-GB"/>
        </w:rPr>
        <w:t xml:space="preserve">was belated, but it </w:t>
      </w:r>
      <w:r w:rsidRPr="52E2F618">
        <w:rPr>
          <w:rFonts w:ascii="Arial" w:eastAsia="Times New Roman" w:hAnsi="Arial" w:cs="Arial"/>
          <w:lang w:eastAsia="en-GB"/>
        </w:rPr>
        <w:t xml:space="preserve">has increased over time. In terms of the sustainability of services, the gauge of effectiveness is more challenging. </w:t>
      </w:r>
    </w:p>
    <w:p w14:paraId="43637DE1" w14:textId="55EA6D88" w:rsidR="00CE74F8" w:rsidRDefault="00CE74F8" w:rsidP="04700E66">
      <w:pPr>
        <w:jc w:val="both"/>
        <w:textAlignment w:val="baseline"/>
        <w:rPr>
          <w:rFonts w:ascii="Arial" w:eastAsia="Times New Roman" w:hAnsi="Arial" w:cs="Arial"/>
          <w:lang w:eastAsia="en-GB"/>
        </w:rPr>
      </w:pPr>
      <w:r w:rsidRPr="04700E66">
        <w:rPr>
          <w:rFonts w:ascii="Arial" w:eastAsia="Times New Roman" w:hAnsi="Arial" w:cs="Arial"/>
          <w:lang w:eastAsia="en-GB"/>
        </w:rPr>
        <w:t>A summary of selected ACCESS results on coverage, quality and inclusiveness are provided in Table 1. </w:t>
      </w:r>
    </w:p>
    <w:p w14:paraId="7B1756E9" w14:textId="2CE81009" w:rsidR="00552204" w:rsidRDefault="00552204" w:rsidP="00552204">
      <w:pPr>
        <w:pStyle w:val="TableHeadingBlue"/>
      </w:pPr>
      <w:r w:rsidRPr="04700E66">
        <w:t>Table 1: Key achievements of ACCESS in the three focus areas for improving service delivery capacity </w:t>
      </w:r>
    </w:p>
    <w:tbl>
      <w:tblPr>
        <w:tblStyle w:val="DefaultTable"/>
        <w:tblW w:w="0" w:type="auto"/>
        <w:tblLook w:val="04A0" w:firstRow="1" w:lastRow="0" w:firstColumn="1" w:lastColumn="0" w:noHBand="0" w:noVBand="1"/>
        <w:tblCaption w:val="Table 1: Key achievements of ACCESS in the three focus areas for improving service delivery capacity"/>
        <w:tblDescription w:val="Achievements listed for each of the three focus areas: coverage, quality, and inclusiveness"/>
      </w:tblPr>
      <w:tblGrid>
        <w:gridCol w:w="2122"/>
        <w:gridCol w:w="7506"/>
      </w:tblGrid>
      <w:tr w:rsidR="005E3125" w:rsidRPr="005E3125" w14:paraId="1231D85A" w14:textId="77777777" w:rsidTr="00B3291F">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122" w:type="dxa"/>
          </w:tcPr>
          <w:p w14:paraId="4A83E52C" w14:textId="1FF6C431" w:rsidR="005E3125" w:rsidRPr="00A85281" w:rsidRDefault="005E3125" w:rsidP="005E3125">
            <w:pPr>
              <w:pStyle w:val="TableText"/>
              <w:rPr>
                <w:b/>
                <w:bCs/>
                <w:color w:val="E4EAF8"/>
              </w:rPr>
            </w:pPr>
            <w:r w:rsidRPr="00A85281">
              <w:rPr>
                <w:b/>
                <w:bCs/>
                <w:color w:val="E4EAF8"/>
              </w:rPr>
              <w:t>Focus area</w:t>
            </w:r>
          </w:p>
        </w:tc>
        <w:tc>
          <w:tcPr>
            <w:tcW w:w="7506" w:type="dxa"/>
          </w:tcPr>
          <w:p w14:paraId="40FBAD3D" w14:textId="7C128FC1" w:rsidR="005E3125" w:rsidRPr="00A85281" w:rsidRDefault="005E3125" w:rsidP="005E3125">
            <w:pPr>
              <w:pStyle w:val="TableText"/>
              <w:cnfStyle w:val="100000000000" w:firstRow="1" w:lastRow="0" w:firstColumn="0" w:lastColumn="0" w:oddVBand="0" w:evenVBand="0" w:oddHBand="0" w:evenHBand="0" w:firstRowFirstColumn="0" w:firstRowLastColumn="0" w:lastRowFirstColumn="0" w:lastRowLastColumn="0"/>
              <w:rPr>
                <w:b/>
                <w:bCs/>
                <w:color w:val="E4EAF8"/>
              </w:rPr>
            </w:pPr>
            <w:r w:rsidRPr="00A85281">
              <w:rPr>
                <w:b/>
                <w:bCs/>
                <w:color w:val="E4EAF8"/>
              </w:rPr>
              <w:t>Key achievements</w:t>
            </w:r>
          </w:p>
        </w:tc>
      </w:tr>
      <w:tr w:rsidR="005E3125" w14:paraId="117C1241" w14:textId="77777777" w:rsidTr="005E3125">
        <w:tc>
          <w:tcPr>
            <w:cnfStyle w:val="001000000000" w:firstRow="0" w:lastRow="0" w:firstColumn="1" w:lastColumn="0" w:oddVBand="0" w:evenVBand="0" w:oddHBand="0" w:evenHBand="0" w:firstRowFirstColumn="0" w:firstRowLastColumn="0" w:lastRowFirstColumn="0" w:lastRowLastColumn="0"/>
            <w:tcW w:w="2122" w:type="dxa"/>
            <w:shd w:val="clear" w:color="auto" w:fill="EBEFF9"/>
          </w:tcPr>
          <w:p w14:paraId="1D45AA59" w14:textId="019B727A" w:rsidR="005E3125" w:rsidRPr="005E3125" w:rsidRDefault="005E3125" w:rsidP="005E3125">
            <w:pPr>
              <w:pStyle w:val="TableText"/>
              <w:rPr>
                <w:b/>
                <w:bCs/>
              </w:rPr>
            </w:pPr>
            <w:r w:rsidRPr="005E3125">
              <w:rPr>
                <w:b/>
                <w:bCs/>
              </w:rPr>
              <w:t>Coverage</w:t>
            </w:r>
          </w:p>
        </w:tc>
        <w:tc>
          <w:tcPr>
            <w:tcW w:w="7506" w:type="dxa"/>
          </w:tcPr>
          <w:p w14:paraId="15C206D9" w14:textId="77777777" w:rsidR="005E3125" w:rsidRPr="00B177F8" w:rsidRDefault="005E3125" w:rsidP="005E3125">
            <w:pPr>
              <w:numPr>
                <w:ilvl w:val="0"/>
                <w:numId w:val="48"/>
              </w:numPr>
              <w:tabs>
                <w:tab w:val="clear" w:pos="555"/>
                <w:tab w:val="num" w:pos="426"/>
              </w:tabs>
              <w:spacing w:line="240" w:lineRule="auto"/>
              <w:ind w:left="425" w:hanging="284"/>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4700E66">
              <w:rPr>
                <w:rFonts w:ascii="Arial" w:eastAsia="Times New Roman" w:hAnsi="Arial" w:cs="Arial"/>
                <w:sz w:val="18"/>
                <w:szCs w:val="18"/>
                <w:lang w:eastAsia="en-GB"/>
              </w:rPr>
              <w:t>Exceeded targets to increase the number of people with disabilities accessing ACCESS-supported PRCs.  </w:t>
            </w:r>
          </w:p>
          <w:p w14:paraId="4F8D6136" w14:textId="77777777" w:rsidR="005E3125" w:rsidRPr="00B177F8" w:rsidRDefault="005E3125" w:rsidP="005E3125">
            <w:pPr>
              <w:numPr>
                <w:ilvl w:val="0"/>
                <w:numId w:val="48"/>
              </w:numPr>
              <w:tabs>
                <w:tab w:val="clear" w:pos="555"/>
                <w:tab w:val="num" w:pos="426"/>
              </w:tabs>
              <w:spacing w:line="240" w:lineRule="auto"/>
              <w:ind w:left="425" w:hanging="284"/>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4700E66">
              <w:rPr>
                <w:rFonts w:ascii="Arial" w:eastAsia="Times New Roman" w:hAnsi="Arial" w:cs="Arial"/>
                <w:sz w:val="18"/>
                <w:szCs w:val="18"/>
                <w:lang w:eastAsia="en-GB"/>
              </w:rPr>
              <w:t>Increased the number of GBV survivors receiving support. </w:t>
            </w:r>
          </w:p>
          <w:p w14:paraId="3769258E" w14:textId="77777777" w:rsidR="005E3125" w:rsidRPr="005E3125" w:rsidRDefault="005E3125" w:rsidP="005E3125">
            <w:pPr>
              <w:numPr>
                <w:ilvl w:val="0"/>
                <w:numId w:val="48"/>
              </w:numPr>
              <w:tabs>
                <w:tab w:val="clear" w:pos="555"/>
                <w:tab w:val="num" w:pos="426"/>
              </w:tabs>
              <w:spacing w:line="240" w:lineRule="auto"/>
              <w:ind w:left="425" w:hanging="284"/>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4700E66">
              <w:rPr>
                <w:rFonts w:ascii="Arial" w:eastAsia="Times New Roman" w:hAnsi="Arial" w:cs="Arial"/>
                <w:sz w:val="18"/>
                <w:szCs w:val="18"/>
                <w:lang w:eastAsia="en-GB"/>
              </w:rPr>
              <w:t>GBV Response Working Groups now in place in 6 provinces and 33 districts. </w:t>
            </w:r>
          </w:p>
          <w:p w14:paraId="14A4CDE9" w14:textId="4D32F837" w:rsidR="005E3125" w:rsidRPr="005E3125" w:rsidRDefault="005E3125" w:rsidP="005E3125">
            <w:pPr>
              <w:numPr>
                <w:ilvl w:val="0"/>
                <w:numId w:val="48"/>
              </w:numPr>
              <w:tabs>
                <w:tab w:val="clear" w:pos="555"/>
                <w:tab w:val="num" w:pos="426"/>
              </w:tabs>
              <w:spacing w:line="240" w:lineRule="auto"/>
              <w:ind w:left="425" w:hanging="284"/>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05E3125">
              <w:rPr>
                <w:rFonts w:ascii="Arial" w:eastAsia="Times New Roman" w:hAnsi="Arial" w:cs="Arial"/>
                <w:sz w:val="18"/>
                <w:szCs w:val="18"/>
                <w:lang w:eastAsia="en-GB"/>
              </w:rPr>
              <w:t>Exceeded the number of disability stakeholders trained in developing skills to facilitate access to economic opportunities. </w:t>
            </w:r>
          </w:p>
        </w:tc>
      </w:tr>
      <w:tr w:rsidR="005E3125" w14:paraId="4BD68A07" w14:textId="77777777" w:rsidTr="005E31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EBEFF9"/>
          </w:tcPr>
          <w:p w14:paraId="5FD4FA57" w14:textId="326C64DB" w:rsidR="005E3125" w:rsidRPr="005E3125" w:rsidRDefault="005E3125" w:rsidP="005E3125">
            <w:pPr>
              <w:pStyle w:val="TableText"/>
              <w:rPr>
                <w:b/>
                <w:bCs/>
              </w:rPr>
            </w:pPr>
            <w:r w:rsidRPr="005E3125">
              <w:rPr>
                <w:b/>
                <w:bCs/>
              </w:rPr>
              <w:t>Quality</w:t>
            </w:r>
          </w:p>
        </w:tc>
        <w:tc>
          <w:tcPr>
            <w:tcW w:w="7506" w:type="dxa"/>
            <w:shd w:val="clear" w:color="auto" w:fill="auto"/>
          </w:tcPr>
          <w:p w14:paraId="666BEF4E" w14:textId="77777777" w:rsidR="005E3125" w:rsidRPr="00B177F8" w:rsidRDefault="005E3125" w:rsidP="005E3125">
            <w:pPr>
              <w:numPr>
                <w:ilvl w:val="0"/>
                <w:numId w:val="48"/>
              </w:numPr>
              <w:tabs>
                <w:tab w:val="clear" w:pos="555"/>
                <w:tab w:val="num" w:pos="426"/>
              </w:tabs>
              <w:spacing w:line="240" w:lineRule="auto"/>
              <w:ind w:left="425" w:hanging="284"/>
              <w:textAlignment w:val="baseline"/>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n-GB"/>
              </w:rPr>
            </w:pPr>
            <w:r>
              <w:rPr>
                <w:rFonts w:ascii="Arial" w:eastAsia="Times New Roman" w:hAnsi="Arial" w:cs="Arial"/>
                <w:sz w:val="18"/>
                <w:szCs w:val="18"/>
                <w:lang w:eastAsia="en-GB"/>
              </w:rPr>
              <w:t xml:space="preserve">Development of standards for PRCs. </w:t>
            </w:r>
            <w:r w:rsidRPr="04700E66">
              <w:rPr>
                <w:rFonts w:ascii="Arial" w:eastAsia="Times New Roman" w:hAnsi="Arial" w:cs="Arial"/>
                <w:sz w:val="18"/>
                <w:szCs w:val="18"/>
                <w:lang w:eastAsia="en-GB"/>
              </w:rPr>
              <w:t>Endorsement and training package on five essential GBV service standards.  </w:t>
            </w:r>
          </w:p>
          <w:p w14:paraId="55C867BD" w14:textId="77777777" w:rsidR="005E3125" w:rsidRPr="00106C87" w:rsidRDefault="005E3125" w:rsidP="005E3125">
            <w:pPr>
              <w:numPr>
                <w:ilvl w:val="0"/>
                <w:numId w:val="48"/>
              </w:numPr>
              <w:tabs>
                <w:tab w:val="clear" w:pos="555"/>
                <w:tab w:val="num" w:pos="426"/>
              </w:tabs>
              <w:spacing w:line="240" w:lineRule="auto"/>
              <w:ind w:left="425" w:hanging="284"/>
              <w:textAlignment w:val="baseline"/>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n-GB"/>
              </w:rPr>
            </w:pPr>
            <w:r w:rsidRPr="04700E66">
              <w:rPr>
                <w:rFonts w:ascii="Arial" w:eastAsia="Times New Roman" w:hAnsi="Arial" w:cs="Arial"/>
                <w:sz w:val="18"/>
                <w:szCs w:val="18"/>
                <w:lang w:eastAsia="en-GB"/>
              </w:rPr>
              <w:t xml:space="preserve">Development of a range of training packages including gender equality and disability inclusion (GEDI) </w:t>
            </w:r>
            <w:proofErr w:type="spellStart"/>
            <w:r w:rsidRPr="04700E66">
              <w:rPr>
                <w:rFonts w:ascii="Arial" w:eastAsia="Times New Roman" w:hAnsi="Arial" w:cs="Arial"/>
                <w:sz w:val="18"/>
                <w:szCs w:val="18"/>
                <w:lang w:eastAsia="en-GB"/>
              </w:rPr>
              <w:t>ToT</w:t>
            </w:r>
            <w:proofErr w:type="spellEnd"/>
            <w:r w:rsidRPr="04700E66">
              <w:rPr>
                <w:rFonts w:ascii="Arial" w:eastAsia="Times New Roman" w:hAnsi="Arial" w:cs="Arial"/>
                <w:sz w:val="18"/>
                <w:szCs w:val="18"/>
                <w:lang w:eastAsia="en-GB"/>
              </w:rPr>
              <w:t xml:space="preserve"> training rolled for 27 master trainers from RGC; gender equality and social inclusion training for district level GBV Response Working Groups; and Gender Equality training including for disability service providers. </w:t>
            </w:r>
          </w:p>
          <w:p w14:paraId="0440B241" w14:textId="77777777" w:rsidR="005E3125" w:rsidRPr="00106C87" w:rsidRDefault="005E3125" w:rsidP="005E3125">
            <w:pPr>
              <w:numPr>
                <w:ilvl w:val="0"/>
                <w:numId w:val="48"/>
              </w:numPr>
              <w:tabs>
                <w:tab w:val="clear" w:pos="555"/>
                <w:tab w:val="num" w:pos="426"/>
              </w:tabs>
              <w:spacing w:line="240" w:lineRule="auto"/>
              <w:ind w:left="425" w:hanging="284"/>
              <w:textAlignment w:val="baseline"/>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n-GB"/>
              </w:rPr>
            </w:pPr>
            <w:r>
              <w:rPr>
                <w:rFonts w:ascii="Arial" w:eastAsia="Times New Roman" w:hAnsi="Arial" w:cs="Arial"/>
                <w:sz w:val="18"/>
                <w:szCs w:val="18"/>
                <w:lang w:eastAsia="en-GB"/>
              </w:rPr>
              <w:t>Modelled accessible ramps at 22 communes.</w:t>
            </w:r>
          </w:p>
          <w:p w14:paraId="0894B453" w14:textId="0CF9E3A3" w:rsidR="005E3125" w:rsidRPr="005E3125" w:rsidRDefault="005E3125" w:rsidP="005E3125">
            <w:pPr>
              <w:numPr>
                <w:ilvl w:val="0"/>
                <w:numId w:val="48"/>
              </w:numPr>
              <w:tabs>
                <w:tab w:val="clear" w:pos="555"/>
                <w:tab w:val="num" w:pos="426"/>
              </w:tabs>
              <w:spacing w:line="240" w:lineRule="auto"/>
              <w:ind w:left="425" w:hanging="284"/>
              <w:textAlignment w:val="baseline"/>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18"/>
                <w:szCs w:val="18"/>
                <w:lang w:eastAsia="en-GB"/>
              </w:rPr>
            </w:pPr>
            <w:r w:rsidRPr="59D65CDC">
              <w:rPr>
                <w:rFonts w:ascii="Arial" w:eastAsia="Times New Roman" w:hAnsi="Arial" w:cs="Arial"/>
                <w:sz w:val="18"/>
                <w:szCs w:val="18"/>
                <w:lang w:eastAsia="en-GB"/>
              </w:rPr>
              <w:t>Modelled private GBV counselling rooms.</w:t>
            </w:r>
          </w:p>
        </w:tc>
      </w:tr>
      <w:tr w:rsidR="005E3125" w14:paraId="2A90B03C" w14:textId="77777777" w:rsidTr="005E3125">
        <w:tc>
          <w:tcPr>
            <w:cnfStyle w:val="001000000000" w:firstRow="0" w:lastRow="0" w:firstColumn="1" w:lastColumn="0" w:oddVBand="0" w:evenVBand="0" w:oddHBand="0" w:evenHBand="0" w:firstRowFirstColumn="0" w:firstRowLastColumn="0" w:lastRowFirstColumn="0" w:lastRowLastColumn="0"/>
            <w:tcW w:w="2122" w:type="dxa"/>
            <w:shd w:val="clear" w:color="auto" w:fill="EBEFF9"/>
          </w:tcPr>
          <w:p w14:paraId="0079F907" w14:textId="33B2D4BD" w:rsidR="005E3125" w:rsidRPr="005E3125" w:rsidRDefault="005E3125" w:rsidP="005E3125">
            <w:pPr>
              <w:pStyle w:val="TableText"/>
              <w:rPr>
                <w:b/>
                <w:bCs/>
              </w:rPr>
            </w:pPr>
            <w:r w:rsidRPr="005E3125">
              <w:rPr>
                <w:b/>
                <w:bCs/>
              </w:rPr>
              <w:t>Inclusiveness</w:t>
            </w:r>
          </w:p>
        </w:tc>
        <w:tc>
          <w:tcPr>
            <w:tcW w:w="7506" w:type="dxa"/>
          </w:tcPr>
          <w:p w14:paraId="53B24173" w14:textId="77777777" w:rsidR="005E3125" w:rsidRPr="00B177F8" w:rsidRDefault="005E3125" w:rsidP="005E3125">
            <w:pPr>
              <w:numPr>
                <w:ilvl w:val="0"/>
                <w:numId w:val="48"/>
              </w:numPr>
              <w:tabs>
                <w:tab w:val="clear" w:pos="555"/>
                <w:tab w:val="num" w:pos="426"/>
              </w:tabs>
              <w:spacing w:line="240" w:lineRule="auto"/>
              <w:ind w:left="425" w:hanging="284"/>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1B23B6AA">
              <w:rPr>
                <w:rFonts w:ascii="Arial" w:eastAsia="Times New Roman" w:hAnsi="Arial" w:cs="Arial"/>
                <w:sz w:val="18"/>
                <w:szCs w:val="18"/>
                <w:lang w:eastAsia="en-GB"/>
              </w:rPr>
              <w:t>Development of technical standards on physical accessibility for people with disabilities. </w:t>
            </w:r>
          </w:p>
          <w:p w14:paraId="7885BDED" w14:textId="77777777" w:rsidR="005E3125" w:rsidRPr="00B177F8" w:rsidRDefault="005E3125" w:rsidP="005E3125">
            <w:pPr>
              <w:numPr>
                <w:ilvl w:val="0"/>
                <w:numId w:val="48"/>
              </w:numPr>
              <w:tabs>
                <w:tab w:val="clear" w:pos="555"/>
                <w:tab w:val="num" w:pos="426"/>
              </w:tabs>
              <w:spacing w:line="240" w:lineRule="auto"/>
              <w:ind w:left="425" w:hanging="284"/>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59D65CDC">
              <w:rPr>
                <w:rFonts w:ascii="Arial" w:eastAsia="Times New Roman" w:hAnsi="Arial" w:cs="Arial"/>
                <w:sz w:val="18"/>
                <w:szCs w:val="18"/>
                <w:lang w:eastAsia="en-GB"/>
              </w:rPr>
              <w:t xml:space="preserve">CARE’s integration of a GBV response in its multisectoral work with ethnic minority people in </w:t>
            </w:r>
            <w:proofErr w:type="spellStart"/>
            <w:r w:rsidRPr="59D65CDC">
              <w:rPr>
                <w:rFonts w:ascii="Arial" w:eastAsia="Times New Roman" w:hAnsi="Arial" w:cs="Arial"/>
                <w:sz w:val="18"/>
                <w:szCs w:val="18"/>
                <w:lang w:eastAsia="en-GB"/>
              </w:rPr>
              <w:t>Ratanakiri</w:t>
            </w:r>
            <w:proofErr w:type="spellEnd"/>
            <w:r w:rsidRPr="59D65CDC">
              <w:rPr>
                <w:rFonts w:ascii="Arial" w:eastAsia="Times New Roman" w:hAnsi="Arial" w:cs="Arial"/>
                <w:sz w:val="18"/>
                <w:szCs w:val="18"/>
                <w:lang w:eastAsia="en-GB"/>
              </w:rPr>
              <w:t>. </w:t>
            </w:r>
          </w:p>
          <w:p w14:paraId="23513E75" w14:textId="77777777" w:rsidR="005E3125" w:rsidRPr="005E3125" w:rsidRDefault="005E3125" w:rsidP="005E3125">
            <w:pPr>
              <w:numPr>
                <w:ilvl w:val="0"/>
                <w:numId w:val="48"/>
              </w:numPr>
              <w:tabs>
                <w:tab w:val="clear" w:pos="555"/>
                <w:tab w:val="num" w:pos="426"/>
              </w:tabs>
              <w:spacing w:line="240" w:lineRule="auto"/>
              <w:ind w:left="425" w:hanging="284"/>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59D65CDC">
              <w:rPr>
                <w:rFonts w:ascii="Arial" w:eastAsia="Times New Roman" w:hAnsi="Arial" w:cs="Arial"/>
                <w:sz w:val="18"/>
                <w:szCs w:val="18"/>
                <w:lang w:eastAsia="en-GB"/>
              </w:rPr>
              <w:t>CWCC and ADD consultancy on ‘intersectionality’ to provide training on gender responsiveness and disability inclusion. </w:t>
            </w:r>
          </w:p>
          <w:p w14:paraId="625323C9" w14:textId="516ED0E8" w:rsidR="005E3125" w:rsidRPr="005E3125" w:rsidRDefault="005E3125" w:rsidP="005E3125">
            <w:pPr>
              <w:numPr>
                <w:ilvl w:val="0"/>
                <w:numId w:val="48"/>
              </w:numPr>
              <w:tabs>
                <w:tab w:val="clear" w:pos="555"/>
                <w:tab w:val="num" w:pos="426"/>
              </w:tabs>
              <w:spacing w:line="240" w:lineRule="auto"/>
              <w:ind w:left="425" w:hanging="284"/>
              <w:textAlignment w:val="baseline"/>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en-GB"/>
              </w:rPr>
            </w:pPr>
            <w:r w:rsidRPr="005E3125">
              <w:rPr>
                <w:rFonts w:ascii="Arial" w:eastAsia="Times New Roman" w:hAnsi="Arial" w:cs="Arial"/>
                <w:sz w:val="18"/>
                <w:szCs w:val="18"/>
                <w:lang w:eastAsia="en-GB"/>
              </w:rPr>
              <w:t xml:space="preserve">Registration of people with disabilities from poor households in the </w:t>
            </w:r>
            <w:proofErr w:type="spellStart"/>
            <w:r w:rsidRPr="005E3125">
              <w:rPr>
                <w:rFonts w:ascii="Arial" w:eastAsia="Times New Roman" w:hAnsi="Arial" w:cs="Arial"/>
                <w:sz w:val="18"/>
                <w:szCs w:val="18"/>
                <w:lang w:eastAsia="en-GB"/>
              </w:rPr>
              <w:t>IDPoor</w:t>
            </w:r>
            <w:proofErr w:type="spellEnd"/>
            <w:r w:rsidRPr="005E3125">
              <w:rPr>
                <w:rFonts w:ascii="Arial" w:eastAsia="Times New Roman" w:hAnsi="Arial" w:cs="Arial"/>
                <w:sz w:val="18"/>
                <w:szCs w:val="18"/>
                <w:lang w:eastAsia="en-GB"/>
              </w:rPr>
              <w:t xml:space="preserve"> card scheme. </w:t>
            </w:r>
          </w:p>
        </w:tc>
      </w:tr>
    </w:tbl>
    <w:p w14:paraId="4AE0E33D" w14:textId="3915AB77" w:rsidR="00635E1B" w:rsidRPr="00326B0B" w:rsidRDefault="00635E1B" w:rsidP="00F24D58">
      <w:pPr>
        <w:pStyle w:val="Heading4"/>
        <w:rPr>
          <w:lang w:eastAsia="en-GB"/>
        </w:rPr>
      </w:pPr>
      <w:r w:rsidRPr="00326B0B">
        <w:rPr>
          <w:lang w:eastAsia="en-GB"/>
        </w:rPr>
        <w:lastRenderedPageBreak/>
        <w:t>Quality</w:t>
      </w:r>
    </w:p>
    <w:p w14:paraId="3A9AC794" w14:textId="4E7763EA" w:rsidR="00EC54CF" w:rsidRPr="00DA6852" w:rsidRDefault="00730B49" w:rsidP="00405277">
      <w:pPr>
        <w:jc w:val="both"/>
        <w:textAlignment w:val="baseline"/>
        <w:rPr>
          <w:rFonts w:ascii="Arial" w:eastAsia="Times New Roman" w:hAnsi="Arial" w:cs="Arial"/>
          <w:color w:val="498205"/>
          <w:u w:val="single"/>
          <w:lang w:eastAsia="en-GB"/>
        </w:rPr>
      </w:pPr>
      <w:r w:rsidRPr="00730B49">
        <w:rPr>
          <w:rFonts w:ascii="Arial" w:eastAsia="Times New Roman" w:hAnsi="Arial" w:cs="Arial"/>
          <w:b/>
          <w:bCs/>
          <w:color w:val="000000"/>
          <w:lang w:eastAsia="en-GB"/>
        </w:rPr>
        <w:t xml:space="preserve">Building on the strong foundations of predecessor investments, ACCESS made strong progress </w:t>
      </w:r>
      <w:r w:rsidR="00ED1700">
        <w:rPr>
          <w:rFonts w:ascii="Arial" w:eastAsia="Times New Roman" w:hAnsi="Arial" w:cs="Arial"/>
          <w:b/>
          <w:bCs/>
          <w:color w:val="000000"/>
          <w:lang w:eastAsia="en-GB"/>
        </w:rPr>
        <w:t xml:space="preserve">on </w:t>
      </w:r>
      <w:r w:rsidRPr="00730B49">
        <w:rPr>
          <w:rFonts w:ascii="Arial" w:eastAsia="Times New Roman" w:hAnsi="Arial" w:cs="Arial"/>
          <w:b/>
          <w:bCs/>
          <w:color w:val="000000"/>
          <w:u w:val="single"/>
          <w:lang w:eastAsia="en-GB"/>
        </w:rPr>
        <w:t>quality</w:t>
      </w:r>
      <w:r w:rsidR="007C5D12">
        <w:rPr>
          <w:rFonts w:ascii="Arial" w:eastAsia="Times New Roman" w:hAnsi="Arial" w:cs="Arial"/>
          <w:b/>
          <w:bCs/>
          <w:color w:val="000000"/>
          <w:u w:val="single"/>
          <w:lang w:eastAsia="en-GB"/>
        </w:rPr>
        <w:t>,</w:t>
      </w:r>
      <w:r w:rsidRPr="00730B49">
        <w:rPr>
          <w:rFonts w:ascii="Arial" w:eastAsia="Times New Roman" w:hAnsi="Arial" w:cs="Arial"/>
          <w:b/>
          <w:bCs/>
          <w:color w:val="000000"/>
          <w:lang w:eastAsia="en-GB"/>
        </w:rPr>
        <w:t xml:space="preserve"> supporting the development, adoption, and operationalisation of service standards for women affected by GBV.</w:t>
      </w:r>
      <w:r>
        <w:rPr>
          <w:rFonts w:ascii="Arial" w:eastAsia="Times New Roman" w:hAnsi="Arial" w:cs="Arial"/>
          <w:color w:val="000000"/>
          <w:lang w:eastAsia="en-GB"/>
        </w:rPr>
        <w:t xml:space="preserve"> This included using essential service standards guidelines developed and endorsed through the predecessor EVAW program i</w:t>
      </w:r>
      <w:r w:rsidR="00EC54CF" w:rsidRPr="00730B49">
        <w:rPr>
          <w:rFonts w:ascii="Arial" w:eastAsia="Times New Roman" w:hAnsi="Arial" w:cs="Arial"/>
          <w:color w:val="000000"/>
          <w:lang w:eastAsia="en-GB"/>
        </w:rPr>
        <w:t xml:space="preserve">n training and planning. ACCESS also built on existing efforts to improve functioning and institutionalisation of the national-level Technical Working Group on Gender-Sub Committee on GBV (TWGG-GBV) and subnational GBV Response Working Groups. Importantly, the program was able to make headway on the sensitive issue of the use of mediation in ‘resolving’ GBV cases because of foundational work that had been done in this space. The </w:t>
      </w:r>
      <w:r w:rsidR="00D336A8">
        <w:rPr>
          <w:rFonts w:ascii="Arial" w:eastAsia="Times New Roman" w:hAnsi="Arial" w:cs="Arial"/>
          <w:color w:val="000000"/>
          <w:lang w:eastAsia="en-GB"/>
        </w:rPr>
        <w:t>G</w:t>
      </w:r>
      <w:r w:rsidR="00EC54CF" w:rsidRPr="00730B49">
        <w:rPr>
          <w:rFonts w:ascii="Arial" w:eastAsia="Times New Roman" w:hAnsi="Arial" w:cs="Arial"/>
          <w:color w:val="000000"/>
          <w:lang w:eastAsia="en-GB"/>
        </w:rPr>
        <w:t xml:space="preserve">uidelines on the </w:t>
      </w:r>
      <w:r w:rsidR="00D336A8">
        <w:rPr>
          <w:rFonts w:ascii="Arial" w:eastAsia="Times New Roman" w:hAnsi="Arial" w:cs="Arial"/>
          <w:color w:val="000000"/>
          <w:lang w:eastAsia="en-GB"/>
        </w:rPr>
        <w:t>L</w:t>
      </w:r>
      <w:r w:rsidR="00EC54CF" w:rsidRPr="00730B49">
        <w:rPr>
          <w:rFonts w:ascii="Arial" w:eastAsia="Times New Roman" w:hAnsi="Arial" w:cs="Arial"/>
          <w:color w:val="000000"/>
          <w:lang w:eastAsia="en-GB"/>
        </w:rPr>
        <w:t xml:space="preserve">imited </w:t>
      </w:r>
      <w:r w:rsidR="00D336A8">
        <w:rPr>
          <w:rFonts w:ascii="Arial" w:eastAsia="Times New Roman" w:hAnsi="Arial" w:cs="Arial"/>
          <w:color w:val="000000"/>
          <w:lang w:eastAsia="en-GB"/>
        </w:rPr>
        <w:t>U</w:t>
      </w:r>
      <w:r w:rsidR="00EC54CF" w:rsidRPr="00730B49">
        <w:rPr>
          <w:rFonts w:ascii="Arial" w:eastAsia="Times New Roman" w:hAnsi="Arial" w:cs="Arial"/>
          <w:color w:val="000000"/>
          <w:lang w:eastAsia="en-GB"/>
        </w:rPr>
        <w:t xml:space="preserve">se of </w:t>
      </w:r>
      <w:r w:rsidR="00D336A8">
        <w:rPr>
          <w:rFonts w:ascii="Arial" w:eastAsia="Times New Roman" w:hAnsi="Arial" w:cs="Arial"/>
          <w:color w:val="000000"/>
          <w:lang w:eastAsia="en-GB"/>
        </w:rPr>
        <w:t>M</w:t>
      </w:r>
      <w:r w:rsidR="00EC54CF" w:rsidRPr="00730B49">
        <w:rPr>
          <w:rFonts w:ascii="Arial" w:eastAsia="Times New Roman" w:hAnsi="Arial" w:cs="Arial"/>
          <w:color w:val="000000"/>
          <w:lang w:eastAsia="en-GB"/>
        </w:rPr>
        <w:t>ediation have just been approve</w:t>
      </w:r>
      <w:r w:rsidR="009A2A58">
        <w:rPr>
          <w:rFonts w:ascii="Arial" w:eastAsia="Times New Roman" w:hAnsi="Arial" w:cs="Arial"/>
          <w:color w:val="000000"/>
          <w:lang w:eastAsia="en-GB"/>
        </w:rPr>
        <w:t>d and a training package is be</w:t>
      </w:r>
      <w:r w:rsidR="009C207D">
        <w:rPr>
          <w:rFonts w:ascii="Arial" w:eastAsia="Times New Roman" w:hAnsi="Arial" w:cs="Arial"/>
          <w:color w:val="000000"/>
          <w:lang w:eastAsia="en-GB"/>
        </w:rPr>
        <w:t xml:space="preserve">ing developed. </w:t>
      </w:r>
      <w:r w:rsidR="00EC54CF" w:rsidRPr="00730B49">
        <w:rPr>
          <w:rFonts w:ascii="Arial" w:eastAsia="Times New Roman" w:hAnsi="Arial" w:cs="Arial"/>
          <w:color w:val="000000"/>
          <w:lang w:eastAsia="en-GB"/>
        </w:rPr>
        <w:t>There was anecdotal evidence of positive attitudinal change with district policing being better equipped to manage GBV interviews and more willing to share information on cases. This needs to be understood in a context where traditional attitudes persist that in GBV victim-blaming and that disability is a result of sin in a previous life</w:t>
      </w:r>
      <w:r w:rsidR="009C207D">
        <w:rPr>
          <w:rFonts w:ascii="Arial" w:eastAsia="Times New Roman" w:hAnsi="Arial" w:cs="Arial"/>
          <w:color w:val="000000"/>
          <w:lang w:eastAsia="en-GB"/>
        </w:rPr>
        <w:t xml:space="preserve">. In the case of disability services, support to the PRCs had been challenging for the DRIC program, and so </w:t>
      </w:r>
      <w:r w:rsidR="00EC54CF" w:rsidRPr="00730B49">
        <w:rPr>
          <w:rFonts w:ascii="Arial" w:eastAsia="Times New Roman" w:hAnsi="Arial" w:cs="Arial"/>
          <w:color w:val="000000"/>
          <w:lang w:eastAsia="en-GB"/>
        </w:rPr>
        <w:t>ACCESS had the benefit of the DRIC mid-term review recommendations to guide its work. ACCESS also supported disability coordination at DAC.</w:t>
      </w:r>
      <w:r w:rsidR="00EC54CF" w:rsidRPr="07283E86">
        <w:rPr>
          <w:rFonts w:ascii="Arial" w:eastAsia="Times New Roman" w:hAnsi="Arial" w:cs="Arial"/>
          <w:color w:val="498205"/>
          <w:u w:val="single"/>
          <w:lang w:eastAsia="en-GB"/>
        </w:rPr>
        <w:t xml:space="preserve"> </w:t>
      </w:r>
    </w:p>
    <w:p w14:paraId="768D6FF8" w14:textId="77777777" w:rsidR="00674391" w:rsidRDefault="00754D1F" w:rsidP="5B501C36">
      <w:pPr>
        <w:jc w:val="both"/>
        <w:rPr>
          <w:rFonts w:ascii="Arial" w:eastAsia="Arial" w:hAnsi="Arial" w:cs="Arial"/>
        </w:rPr>
      </w:pPr>
      <w:r w:rsidRPr="4BE0582D">
        <w:rPr>
          <w:rFonts w:ascii="Arial" w:eastAsia="Arial" w:hAnsi="Arial" w:cs="Arial"/>
          <w:b/>
        </w:rPr>
        <w:t xml:space="preserve">Coordinated, referral networks have been the backbone of the ACCESS response to GBV at national and </w:t>
      </w:r>
      <w:r>
        <w:rPr>
          <w:rFonts w:ascii="Arial" w:eastAsia="Arial" w:hAnsi="Arial" w:cs="Arial"/>
          <w:b/>
        </w:rPr>
        <w:t>sub-national</w:t>
      </w:r>
      <w:r w:rsidRPr="4BE0582D">
        <w:rPr>
          <w:rFonts w:ascii="Arial" w:eastAsia="Arial" w:hAnsi="Arial" w:cs="Arial"/>
          <w:b/>
        </w:rPr>
        <w:t xml:space="preserve"> levels.</w:t>
      </w:r>
      <w:r w:rsidRPr="5B501C36">
        <w:rPr>
          <w:rFonts w:ascii="Arial" w:eastAsia="Arial" w:hAnsi="Arial" w:cs="Arial"/>
        </w:rPr>
        <w:t xml:space="preserve"> Data indicates that GBV coordination and referral networks have been strengthened, with GBV Response Working Groups now in place in 6 provinces and 33 districts. Feedback on the program reinforced the substantial work that the program did to improve stakeholder coordination. For example, CDPO and C</w:t>
      </w:r>
      <w:r w:rsidR="303B05F4" w:rsidRPr="5B501C36">
        <w:rPr>
          <w:rFonts w:ascii="Arial" w:eastAsia="Arial" w:hAnsi="Arial" w:cs="Arial"/>
        </w:rPr>
        <w:t>CW</w:t>
      </w:r>
      <w:r w:rsidRPr="5B501C36">
        <w:rPr>
          <w:rFonts w:ascii="Arial" w:eastAsia="Arial" w:hAnsi="Arial" w:cs="Arial"/>
        </w:rPr>
        <w:t xml:space="preserve">C were satisfied with the support they received from ACCESS as primary coordinating bodies. ACCESS also supported disability coordination at DAC and improved functional coordination of the Technical Working Group on Gender-Sub Committee on GBV (TWGG-GBV) and GBV Response Working Groups supporting the development of referral networks in the provinces and implementation of Annual Operating Plans (AOP).  The </w:t>
      </w:r>
      <w:proofErr w:type="spellStart"/>
      <w:r w:rsidRPr="5B501C36">
        <w:rPr>
          <w:rFonts w:ascii="Arial" w:eastAsia="Arial" w:hAnsi="Arial" w:cs="Arial"/>
        </w:rPr>
        <w:t>MoWA</w:t>
      </w:r>
      <w:proofErr w:type="spellEnd"/>
      <w:r w:rsidRPr="5B501C36">
        <w:rPr>
          <w:rFonts w:ascii="Arial" w:eastAsia="Arial" w:hAnsi="Arial" w:cs="Arial"/>
        </w:rPr>
        <w:t xml:space="preserve"> coordination groups have become further institutionalised. However, the governance structure of the referral networks and lack of RGC budget means they are not yet financially sustainable or fully functional. They require a network of volunteers using their own funds to cover victim accommodation and transport costs. ACCESS has also supported private, furnished, women and children-friendly counselling rooms in some </w:t>
      </w:r>
      <w:proofErr w:type="spellStart"/>
      <w:r w:rsidRPr="5B501C36">
        <w:rPr>
          <w:rFonts w:ascii="Arial" w:eastAsia="Arial" w:hAnsi="Arial" w:cs="Arial"/>
        </w:rPr>
        <w:t>PDoWA</w:t>
      </w:r>
      <w:proofErr w:type="spellEnd"/>
      <w:r w:rsidRPr="5B501C36">
        <w:rPr>
          <w:rFonts w:ascii="Arial" w:eastAsia="Arial" w:hAnsi="Arial" w:cs="Arial"/>
        </w:rPr>
        <w:t xml:space="preserve"> offices. </w:t>
      </w:r>
      <w:r w:rsidRPr="00913293">
        <w:rPr>
          <w:rFonts w:ascii="Arial" w:eastAsia="Arial" w:hAnsi="Arial" w:cs="Arial"/>
        </w:rPr>
        <w:t>However, there are critical elements of GBV services that are not available. Cambodia does not yet have a national hotline service with connections to province-level frontline responders, nor any state co-/financed shelters or emergency accommodation for survivors.</w:t>
      </w:r>
      <w:r w:rsidRPr="5B501C36">
        <w:rPr>
          <w:rFonts w:ascii="Arial" w:eastAsia="Arial" w:hAnsi="Arial" w:cs="Arial"/>
        </w:rPr>
        <w:t xml:space="preserve"> </w:t>
      </w:r>
    </w:p>
    <w:p w14:paraId="072C1BC3" w14:textId="7C1AFE4D" w:rsidR="00754D1F" w:rsidRDefault="54F668FA" w:rsidP="52E2F618">
      <w:pPr>
        <w:jc w:val="both"/>
        <w:rPr>
          <w:rFonts w:ascii="Arial" w:eastAsia="Arial" w:hAnsi="Arial" w:cs="Arial"/>
          <w:color w:val="222222"/>
        </w:rPr>
      </w:pPr>
      <w:r w:rsidRPr="52E2F618">
        <w:rPr>
          <w:rFonts w:ascii="Arial" w:eastAsia="Arial" w:hAnsi="Arial" w:cs="Arial"/>
          <w:b/>
          <w:bCs/>
        </w:rPr>
        <w:t>ACCESS made notable contributions to progressing disability inclusive</w:t>
      </w:r>
      <w:r w:rsidR="3413CCF3" w:rsidRPr="52E2F618">
        <w:rPr>
          <w:rFonts w:ascii="Arial" w:eastAsia="Arial" w:hAnsi="Arial" w:cs="Arial"/>
          <w:b/>
          <w:bCs/>
        </w:rPr>
        <w:t xml:space="preserve"> employment.</w:t>
      </w:r>
      <w:r w:rsidR="3413CCF3" w:rsidRPr="52E2F618">
        <w:rPr>
          <w:rFonts w:ascii="Arial" w:eastAsia="Arial" w:hAnsi="Arial" w:cs="Arial"/>
        </w:rPr>
        <w:t xml:space="preserve"> </w:t>
      </w:r>
      <w:r w:rsidR="77A05D36" w:rsidRPr="52E2F618">
        <w:rPr>
          <w:rFonts w:ascii="Arial" w:eastAsia="Arial" w:hAnsi="Arial" w:cs="Arial"/>
        </w:rPr>
        <w:t>According to Disability Rights Administration</w:t>
      </w:r>
      <w:r w:rsidR="77A05D36" w:rsidRPr="52E2F618">
        <w:rPr>
          <w:rFonts w:ascii="Segoe UI" w:eastAsia="Segoe UI" w:hAnsi="Segoe UI" w:cs="Segoe UI"/>
        </w:rPr>
        <w:t xml:space="preserve"> </w:t>
      </w:r>
      <w:r w:rsidR="77A05D36" w:rsidRPr="52E2F618">
        <w:rPr>
          <w:rFonts w:ascii="Arial" w:eastAsia="Arial" w:hAnsi="Arial" w:cs="Arial"/>
        </w:rPr>
        <w:t xml:space="preserve">(DRA), as of December 2021, a total of 3,621 (23% female) were employed by 37 government entities, an increase of 17% compared to 2020 (3,091). In the same period, 5,235 (65% female) were employed by private institutions, an increase of 35% compared to 2020 (3,891). This was made possible with </w:t>
      </w:r>
      <w:r w:rsidR="60775187" w:rsidRPr="52E2F618">
        <w:rPr>
          <w:rFonts w:ascii="Arial" w:eastAsia="Arial" w:hAnsi="Arial" w:cs="Arial"/>
        </w:rPr>
        <w:t>ACCESS’</w:t>
      </w:r>
      <w:r w:rsidR="56D33D27" w:rsidRPr="52E2F618">
        <w:rPr>
          <w:rFonts w:ascii="Arial" w:eastAsia="Arial" w:hAnsi="Arial" w:cs="Arial"/>
        </w:rPr>
        <w:t>s</w:t>
      </w:r>
      <w:r w:rsidR="77A05D36" w:rsidRPr="52E2F618">
        <w:rPr>
          <w:rFonts w:ascii="Arial" w:eastAsia="Arial" w:hAnsi="Arial" w:cs="Arial"/>
        </w:rPr>
        <w:t xml:space="preserve"> direct support to sector coordination mechanism, capacity development of key stakeholders, implementation of inclusive TVET-employment guidelines, finalisation, and introduction of ‘</w:t>
      </w:r>
      <w:proofErr w:type="spellStart"/>
      <w:r w:rsidR="77A05D36" w:rsidRPr="52E2F618">
        <w:rPr>
          <w:rFonts w:ascii="Arial" w:eastAsia="Arial" w:hAnsi="Arial" w:cs="Arial"/>
        </w:rPr>
        <w:t>Oakas</w:t>
      </w:r>
      <w:proofErr w:type="spellEnd"/>
      <w:r w:rsidR="77A05D36" w:rsidRPr="52E2F618">
        <w:rPr>
          <w:rFonts w:ascii="Arial" w:eastAsia="Arial" w:hAnsi="Arial" w:cs="Arial"/>
        </w:rPr>
        <w:t>’, and documentation and sharing of good practices on inclusive employment. A new rubric-based indicator</w:t>
      </w:r>
      <w:r w:rsidR="77A05D36" w:rsidRPr="1A12D52F">
        <w:rPr>
          <w:rFonts w:ascii="Arial" w:eastAsia="Arial" w:hAnsi="Arial" w:cs="Arial"/>
          <w:color w:val="222222"/>
          <w:sz w:val="16"/>
          <w:szCs w:val="16"/>
          <w:vertAlign w:val="superscript"/>
        </w:rPr>
        <w:t>15</w:t>
      </w:r>
      <w:r w:rsidR="77A05D36" w:rsidRPr="52E2F618">
        <w:rPr>
          <w:rFonts w:ascii="Arial" w:eastAsia="Arial" w:hAnsi="Arial" w:cs="Arial"/>
        </w:rPr>
        <w:t xml:space="preserve"> to measure the functionality of the coordination mechanism </w:t>
      </w:r>
      <w:r w:rsidR="77A05D36" w:rsidRPr="52E2F618">
        <w:rPr>
          <w:rFonts w:ascii="Arial" w:eastAsia="Arial" w:hAnsi="Arial" w:cs="Arial"/>
          <w:color w:val="222222"/>
        </w:rPr>
        <w:t>has been finalised and an assessment is planned for September 2022.</w:t>
      </w:r>
    </w:p>
    <w:p w14:paraId="20003A9B" w14:textId="60EF3C9F" w:rsidR="00EC54CF" w:rsidRDefault="00EC54CF" w:rsidP="07283E86">
      <w:pPr>
        <w:jc w:val="both"/>
        <w:textAlignment w:val="baseline"/>
        <w:rPr>
          <w:rFonts w:ascii="Arial" w:eastAsia="Arial" w:hAnsi="Arial" w:cs="Arial"/>
        </w:rPr>
      </w:pPr>
      <w:r w:rsidRPr="07283E86">
        <w:rPr>
          <w:rFonts w:ascii="Arial" w:eastAsia="Times New Roman" w:hAnsi="Arial" w:cs="Arial"/>
          <w:b/>
          <w:bCs/>
          <w:lang w:eastAsia="en-GB"/>
        </w:rPr>
        <w:t>In terms of strengthening the legal framework underpinning services</w:t>
      </w:r>
      <w:r w:rsidRPr="07283E86">
        <w:rPr>
          <w:rFonts w:ascii="Arial" w:eastAsia="Times New Roman" w:hAnsi="Arial" w:cs="Arial"/>
          <w:lang w:eastAsia="en-GB"/>
        </w:rPr>
        <w:t>, ACCESS coordinated with CDPO and its 75 member organisations to facilitate a dialogue for people’s input into the draft Disability Law, while also liaising between DAC-SG and the Australian Human Rights Commission (approached by the Embassy) to support greater alignment with the C</w:t>
      </w:r>
      <w:r w:rsidR="655D84EB" w:rsidRPr="07283E86">
        <w:rPr>
          <w:rFonts w:ascii="Arial" w:eastAsia="Times New Roman" w:hAnsi="Arial" w:cs="Arial"/>
          <w:lang w:eastAsia="en-GB"/>
        </w:rPr>
        <w:t>onvention on the Rights of Persons with Disabilities (C</w:t>
      </w:r>
      <w:r w:rsidRPr="07283E86">
        <w:rPr>
          <w:rFonts w:ascii="Arial" w:eastAsia="Times New Roman" w:hAnsi="Arial" w:cs="Arial"/>
          <w:lang w:eastAsia="en-GB"/>
        </w:rPr>
        <w:t>RPD</w:t>
      </w:r>
      <w:r w:rsidR="4E911F81" w:rsidRPr="07283E86">
        <w:rPr>
          <w:rFonts w:ascii="Arial" w:eastAsia="Times New Roman" w:hAnsi="Arial" w:cs="Arial"/>
          <w:lang w:eastAsia="en-GB"/>
        </w:rPr>
        <w:t>)</w:t>
      </w:r>
      <w:r w:rsidRPr="07283E86">
        <w:rPr>
          <w:rFonts w:ascii="Arial" w:eastAsia="Times New Roman" w:hAnsi="Arial" w:cs="Arial"/>
          <w:lang w:eastAsia="en-GB"/>
        </w:rPr>
        <w:t xml:space="preserve">. Although one of many actors involved, it was a priority engagement for ACCESS. The program also supported the production of plain language, explanatory notes for the Law on Domestic Violence. A shift in focus to supporting the implementation or monitoring of these laws will be important, once passed. In terms of evidence-based </w:t>
      </w:r>
      <w:r w:rsidRPr="07283E86">
        <w:rPr>
          <w:rFonts w:ascii="Arial" w:eastAsia="Times New Roman" w:hAnsi="Arial" w:cs="Arial"/>
          <w:lang w:eastAsia="en-GB"/>
        </w:rPr>
        <w:lastRenderedPageBreak/>
        <w:t>inputs, program invested in developing the internal Amelia database to improve the programs’ MEL data capture and visualisation. It may well constitute an important supplement to the current gaps in administrative data on disability and GBV.  </w:t>
      </w:r>
    </w:p>
    <w:p w14:paraId="0108BD7B" w14:textId="59BCB994" w:rsidR="00822D3D" w:rsidRDefault="00AD02D6" w:rsidP="5B501C36">
      <w:pPr>
        <w:jc w:val="both"/>
        <w:textAlignment w:val="baseline"/>
        <w:rPr>
          <w:rFonts w:ascii="Arial" w:eastAsia="Times New Roman" w:hAnsi="Arial" w:cs="Arial"/>
          <w:color w:val="000000"/>
          <w:lang w:eastAsia="en-GB"/>
        </w:rPr>
      </w:pPr>
      <w:r>
        <w:rPr>
          <w:rFonts w:ascii="Arial" w:eastAsia="Times New Roman" w:hAnsi="Arial" w:cs="Arial"/>
          <w:b/>
          <w:bCs/>
          <w:color w:val="000000"/>
          <w:lang w:eastAsia="en-GB"/>
        </w:rPr>
        <w:t>ACCESS’</w:t>
      </w:r>
      <w:r w:rsidR="009F2B4C">
        <w:rPr>
          <w:rFonts w:ascii="Arial" w:eastAsia="Times New Roman" w:hAnsi="Arial" w:cs="Arial"/>
          <w:b/>
          <w:bCs/>
          <w:color w:val="000000"/>
          <w:lang w:eastAsia="en-GB"/>
        </w:rPr>
        <w:t>s</w:t>
      </w:r>
      <w:r w:rsidR="00C1521C" w:rsidRPr="61A81771">
        <w:rPr>
          <w:rFonts w:ascii="Arial" w:eastAsia="Times New Roman" w:hAnsi="Arial" w:cs="Arial"/>
          <w:b/>
          <w:bCs/>
          <w:color w:val="000000"/>
          <w:lang w:eastAsia="en-GB"/>
        </w:rPr>
        <w:t xml:space="preserve"> work with the private sector is marginal, and mostly confined to the IPs in the disability workstream working on economic livelihoods, jobs, entrepreneur training and business incubation, and access to finance. </w:t>
      </w:r>
      <w:r w:rsidR="00C1521C" w:rsidRPr="07283E86">
        <w:rPr>
          <w:rFonts w:ascii="Arial" w:eastAsia="Times New Roman" w:hAnsi="Arial" w:cs="Arial"/>
          <w:color w:val="000000"/>
          <w:lang w:eastAsia="en-GB"/>
        </w:rPr>
        <w:t xml:space="preserve">(Notably, the GBV workstream does not have economic livelihood partners). The evaluation found the programs by Agile and </w:t>
      </w:r>
      <w:proofErr w:type="spellStart"/>
      <w:r w:rsidR="00C1521C" w:rsidRPr="07283E86">
        <w:rPr>
          <w:rFonts w:ascii="Arial" w:eastAsia="Times New Roman" w:hAnsi="Arial" w:cs="Arial"/>
          <w:color w:val="000000"/>
          <w:lang w:eastAsia="en-GB"/>
        </w:rPr>
        <w:t>PAfID</w:t>
      </w:r>
      <w:proofErr w:type="spellEnd"/>
      <w:r w:rsidR="00C1521C" w:rsidRPr="07283E86">
        <w:rPr>
          <w:rFonts w:ascii="Arial" w:eastAsia="Times New Roman" w:hAnsi="Arial" w:cs="Arial"/>
          <w:color w:val="000000"/>
          <w:lang w:eastAsia="en-GB"/>
        </w:rPr>
        <w:t xml:space="preserve"> to be interesting and well rated</w:t>
      </w:r>
      <w:r w:rsidR="1EDD4A7E" w:rsidRPr="07283E86">
        <w:rPr>
          <w:rFonts w:ascii="Arial" w:eastAsia="Times New Roman" w:hAnsi="Arial" w:cs="Arial"/>
          <w:color w:val="000000"/>
          <w:lang w:eastAsia="en-GB"/>
        </w:rPr>
        <w:t xml:space="preserve"> technically</w:t>
      </w:r>
      <w:r w:rsidR="00C1521C" w:rsidRPr="07283E86">
        <w:rPr>
          <w:rFonts w:ascii="Arial" w:eastAsia="Times New Roman" w:hAnsi="Arial" w:cs="Arial"/>
          <w:color w:val="000000"/>
          <w:lang w:eastAsia="en-GB"/>
        </w:rPr>
        <w:t xml:space="preserve"> in the ACCESS Partner Performance Rating for Stage 1, albeit small in value. The </w:t>
      </w:r>
      <w:proofErr w:type="spellStart"/>
      <w:r w:rsidR="00C1521C" w:rsidRPr="07283E86">
        <w:rPr>
          <w:rFonts w:ascii="Arial" w:eastAsia="Times New Roman" w:hAnsi="Arial" w:cs="Arial"/>
          <w:color w:val="000000"/>
          <w:lang w:eastAsia="en-GB"/>
        </w:rPr>
        <w:t>Chamroeun</w:t>
      </w:r>
      <w:proofErr w:type="spellEnd"/>
      <w:r w:rsidR="00C1521C" w:rsidRPr="07283E86">
        <w:rPr>
          <w:rFonts w:ascii="Arial" w:eastAsia="Times New Roman" w:hAnsi="Arial" w:cs="Arial"/>
          <w:color w:val="000000"/>
          <w:lang w:eastAsia="en-GB"/>
        </w:rPr>
        <w:t xml:space="preserve"> / Good Return program on access to finance raised some concerns for the evaluation team about </w:t>
      </w:r>
      <w:r w:rsidR="00C1521C" w:rsidRPr="07283E86">
        <w:rPr>
          <w:rFonts w:ascii="Arial" w:eastAsia="Times New Roman" w:hAnsi="Arial" w:cs="Arial"/>
          <w:lang w:eastAsia="en-GB"/>
        </w:rPr>
        <w:t>practices that carry a high risk of exploitation</w:t>
      </w:r>
      <w:r w:rsidR="00C1521C" w:rsidRPr="07283E86">
        <w:rPr>
          <w:rFonts w:ascii="Arial" w:eastAsia="Times New Roman" w:hAnsi="Arial" w:cs="Arial"/>
          <w:color w:val="000000"/>
          <w:lang w:eastAsia="en-GB"/>
        </w:rPr>
        <w:t xml:space="preserve">, such as </w:t>
      </w:r>
      <w:r w:rsidR="00A33239" w:rsidRPr="59D65CDC">
        <w:rPr>
          <w:rFonts w:ascii="Arial" w:eastAsia="Times New Roman" w:hAnsi="Arial" w:cs="Arial"/>
          <w:lang w:eastAsia="en-GB"/>
        </w:rPr>
        <w:t>doorst</w:t>
      </w:r>
      <w:r w:rsidR="08EA355C" w:rsidRPr="59D65CDC">
        <w:rPr>
          <w:rFonts w:ascii="Arial" w:eastAsia="Times New Roman" w:hAnsi="Arial" w:cs="Arial"/>
          <w:lang w:eastAsia="en-GB"/>
        </w:rPr>
        <w:t>o</w:t>
      </w:r>
      <w:r w:rsidR="00A33239" w:rsidRPr="59D65CDC">
        <w:rPr>
          <w:rFonts w:ascii="Arial" w:eastAsia="Times New Roman" w:hAnsi="Arial" w:cs="Arial"/>
          <w:lang w:eastAsia="en-GB"/>
        </w:rPr>
        <w:t>p banking</w:t>
      </w:r>
      <w:r w:rsidR="00C1521C" w:rsidRPr="07283E86">
        <w:rPr>
          <w:rFonts w:ascii="Arial" w:eastAsia="Times New Roman" w:hAnsi="Arial" w:cs="Arial"/>
          <w:color w:val="000000"/>
          <w:lang w:eastAsia="en-GB"/>
        </w:rPr>
        <w:t xml:space="preserve">. The economic livelihoods of people with disabilities is essential to independence, however the ACCESS approach to working on economic opportunities warrants further strategizing. </w:t>
      </w:r>
      <w:r w:rsidR="00752E02" w:rsidRPr="07283E86">
        <w:rPr>
          <w:rFonts w:ascii="Arial" w:eastAsia="Times New Roman" w:hAnsi="Arial" w:cs="Arial"/>
          <w:color w:val="000000"/>
          <w:lang w:eastAsia="en-GB"/>
        </w:rPr>
        <w:t xml:space="preserve"> </w:t>
      </w:r>
      <w:r w:rsidR="002851E2" w:rsidRPr="07283E86">
        <w:rPr>
          <w:rFonts w:ascii="Arial" w:eastAsia="Times New Roman" w:hAnsi="Arial" w:cs="Arial"/>
          <w:color w:val="000000"/>
          <w:lang w:eastAsia="en-GB"/>
        </w:rPr>
        <w:t xml:space="preserve">In addition, </w:t>
      </w:r>
      <w:r w:rsidR="00020FF0" w:rsidRPr="07283E86">
        <w:rPr>
          <w:rFonts w:ascii="Arial" w:eastAsia="Times New Roman" w:hAnsi="Arial" w:cs="Arial"/>
          <w:color w:val="000000"/>
          <w:lang w:eastAsia="en-GB"/>
        </w:rPr>
        <w:t>support for</w:t>
      </w:r>
      <w:r w:rsidR="00C1521C" w:rsidRPr="07283E86">
        <w:rPr>
          <w:rFonts w:ascii="Arial" w:eastAsia="Times New Roman" w:hAnsi="Arial" w:cs="Arial"/>
          <w:color w:val="000000"/>
          <w:lang w:eastAsia="en-GB"/>
        </w:rPr>
        <w:t xml:space="preserve"> the pilot </w:t>
      </w:r>
      <w:r w:rsidR="0095641B" w:rsidRPr="07283E86">
        <w:rPr>
          <w:rFonts w:ascii="Arial" w:eastAsia="Times New Roman" w:hAnsi="Arial" w:cs="Arial"/>
          <w:color w:val="000000"/>
          <w:lang w:eastAsia="en-GB"/>
        </w:rPr>
        <w:t>of</w:t>
      </w:r>
      <w:r w:rsidR="00C1521C" w:rsidRPr="07283E86">
        <w:rPr>
          <w:rFonts w:ascii="Arial" w:eastAsia="Times New Roman" w:hAnsi="Arial" w:cs="Arial"/>
          <w:color w:val="000000"/>
          <w:lang w:eastAsia="en-GB"/>
        </w:rPr>
        <w:t xml:space="preserve"> </w:t>
      </w:r>
      <w:proofErr w:type="spellStart"/>
      <w:r w:rsidR="00C1521C" w:rsidRPr="07283E86">
        <w:rPr>
          <w:rFonts w:ascii="Arial" w:eastAsia="Times New Roman" w:hAnsi="Arial" w:cs="Arial"/>
          <w:color w:val="000000"/>
          <w:lang w:eastAsia="en-GB"/>
        </w:rPr>
        <w:t>MoWA’s</w:t>
      </w:r>
      <w:proofErr w:type="spellEnd"/>
      <w:r w:rsidR="00C1521C" w:rsidRPr="07283E86">
        <w:rPr>
          <w:rFonts w:ascii="Arial" w:eastAsia="Times New Roman" w:hAnsi="Arial" w:cs="Arial"/>
          <w:color w:val="000000"/>
          <w:lang w:eastAsia="en-GB"/>
        </w:rPr>
        <w:t xml:space="preserve"> Women’s Development Centre (WDC) for women at risk of (not defined) or experiencing GBV in Kampong </w:t>
      </w:r>
      <w:proofErr w:type="spellStart"/>
      <w:r w:rsidR="00C1521C" w:rsidRPr="07283E86">
        <w:rPr>
          <w:rFonts w:ascii="Arial" w:eastAsia="Times New Roman" w:hAnsi="Arial" w:cs="Arial"/>
          <w:color w:val="000000"/>
          <w:lang w:eastAsia="en-GB"/>
        </w:rPr>
        <w:t>Spe</w:t>
      </w:r>
      <w:r w:rsidR="003A15FC" w:rsidRPr="07283E86">
        <w:rPr>
          <w:rFonts w:ascii="Arial" w:eastAsia="Times New Roman" w:hAnsi="Arial" w:cs="Arial"/>
          <w:color w:val="000000"/>
          <w:lang w:eastAsia="en-GB"/>
        </w:rPr>
        <w:t>u</w:t>
      </w:r>
      <w:proofErr w:type="spellEnd"/>
      <w:r w:rsidR="003A15FC" w:rsidRPr="07283E86">
        <w:rPr>
          <w:rFonts w:ascii="Arial" w:eastAsia="Times New Roman" w:hAnsi="Arial" w:cs="Arial"/>
          <w:color w:val="000000"/>
          <w:lang w:eastAsia="en-GB"/>
        </w:rPr>
        <w:t xml:space="preserve"> </w:t>
      </w:r>
      <w:r w:rsidR="00C1521C" w:rsidRPr="07283E86">
        <w:rPr>
          <w:rFonts w:ascii="Arial" w:eastAsia="Times New Roman" w:hAnsi="Arial" w:cs="Arial"/>
          <w:color w:val="000000"/>
          <w:lang w:eastAsia="en-GB"/>
        </w:rPr>
        <w:t xml:space="preserve">sits aside from a focus on improving GBV services. The evaluation visit to the WDC found that </w:t>
      </w:r>
      <w:r w:rsidR="00312722">
        <w:rPr>
          <w:rFonts w:ascii="Arial" w:eastAsia="Times New Roman" w:hAnsi="Arial" w:cs="Arial"/>
          <w:color w:val="000000"/>
          <w:lang w:eastAsia="en-GB"/>
        </w:rPr>
        <w:t xml:space="preserve">it </w:t>
      </w:r>
      <w:r w:rsidR="00C1521C" w:rsidRPr="07283E86">
        <w:rPr>
          <w:rFonts w:ascii="Arial" w:eastAsia="Times New Roman" w:hAnsi="Arial" w:cs="Arial"/>
          <w:color w:val="000000"/>
          <w:lang w:eastAsia="en-GB"/>
        </w:rPr>
        <w:t>is a vocational centre teaching skills in garment making</w:t>
      </w:r>
      <w:r w:rsidR="65268CAF" w:rsidRPr="59D65CDC">
        <w:rPr>
          <w:rFonts w:ascii="Arial" w:eastAsia="Times New Roman" w:hAnsi="Arial" w:cs="Arial"/>
          <w:lang w:eastAsia="en-GB"/>
        </w:rPr>
        <w:t xml:space="preserve">, as a way for survivors to </w:t>
      </w:r>
      <w:r w:rsidR="65158AD3" w:rsidRPr="59D65CDC">
        <w:rPr>
          <w:rFonts w:ascii="Arial" w:eastAsia="Times New Roman" w:hAnsi="Arial" w:cs="Arial"/>
          <w:lang w:eastAsia="en-GB"/>
        </w:rPr>
        <w:t>gain employment</w:t>
      </w:r>
      <w:r w:rsidR="00C1521C" w:rsidRPr="61A81771">
        <w:rPr>
          <w:rFonts w:ascii="Arial" w:eastAsia="Times New Roman" w:hAnsi="Arial" w:cs="Arial"/>
          <w:lang w:eastAsia="en-GB"/>
        </w:rPr>
        <w:t xml:space="preserve">. </w:t>
      </w:r>
      <w:r w:rsidR="6A835D47" w:rsidRPr="59D65CDC">
        <w:rPr>
          <w:rFonts w:ascii="Arial" w:eastAsia="Times New Roman" w:hAnsi="Arial" w:cs="Arial"/>
          <w:lang w:eastAsia="en-GB"/>
        </w:rPr>
        <w:t xml:space="preserve">Teaching garment making </w:t>
      </w:r>
      <w:r w:rsidR="00C1521C" w:rsidRPr="61A81771">
        <w:rPr>
          <w:rFonts w:ascii="Arial" w:eastAsia="Times New Roman" w:hAnsi="Arial" w:cs="Arial"/>
          <w:lang w:eastAsia="en-GB"/>
        </w:rPr>
        <w:t>is not negative in itself, even if gender stereotypical</w:t>
      </w:r>
      <w:r w:rsidR="18D13439" w:rsidRPr="59D65CDC">
        <w:rPr>
          <w:rFonts w:ascii="Arial" w:eastAsia="Times New Roman" w:hAnsi="Arial" w:cs="Arial"/>
          <w:lang w:eastAsia="en-GB"/>
        </w:rPr>
        <w:t>, as compared</w:t>
      </w:r>
      <w:r w:rsidR="04DA4F67" w:rsidRPr="59D65CDC">
        <w:rPr>
          <w:rFonts w:ascii="Arial" w:eastAsia="Times New Roman" w:hAnsi="Arial" w:cs="Arial"/>
          <w:lang w:eastAsia="en-GB"/>
        </w:rPr>
        <w:t xml:space="preserve"> with</w:t>
      </w:r>
      <w:r w:rsidR="00C1521C" w:rsidRPr="61A81771">
        <w:rPr>
          <w:rFonts w:ascii="Arial" w:eastAsia="Times New Roman" w:hAnsi="Arial" w:cs="Arial"/>
          <w:lang w:eastAsia="en-GB"/>
        </w:rPr>
        <w:t xml:space="preserve"> skills for the digital economy.</w:t>
      </w:r>
      <w:r w:rsidR="4F378F8F" w:rsidRPr="59D65CDC">
        <w:rPr>
          <w:rFonts w:ascii="Arial" w:eastAsia="Times New Roman" w:hAnsi="Arial" w:cs="Arial"/>
          <w:lang w:eastAsia="en-GB"/>
        </w:rPr>
        <w:t xml:space="preserve"> </w:t>
      </w:r>
      <w:r w:rsidR="4F378F8F" w:rsidRPr="00106C87">
        <w:rPr>
          <w:rFonts w:cs="Arial"/>
          <w:lang w:eastAsia="en-GB"/>
        </w:rPr>
        <w:t>The issue is that the industry is highly feminised and exploitative, it usually does not provide a living wage and gains to employers outweigh gains to employees. Countries are moving away from garment manufacturing</w:t>
      </w:r>
      <w:r w:rsidR="3B8B0B2D" w:rsidRPr="59D65CDC">
        <w:rPr>
          <w:rFonts w:cs="Arial"/>
          <w:lang w:eastAsia="en-GB"/>
        </w:rPr>
        <w:t>,</w:t>
      </w:r>
      <w:r w:rsidR="4F378F8F" w:rsidRPr="00106C87">
        <w:rPr>
          <w:rFonts w:cs="Arial"/>
          <w:lang w:eastAsia="en-GB"/>
        </w:rPr>
        <w:t xml:space="preserve"> in genera</w:t>
      </w:r>
      <w:r w:rsidR="4F378F8F" w:rsidRPr="59D65CDC">
        <w:rPr>
          <w:rFonts w:ascii="Segoe UI" w:eastAsia="Segoe UI" w:hAnsi="Segoe UI" w:cs="Segoe UI"/>
          <w:color w:val="333333"/>
          <w:sz w:val="18"/>
          <w:szCs w:val="18"/>
        </w:rPr>
        <w:t>l.</w:t>
      </w:r>
      <w:r w:rsidR="00C1521C" w:rsidRPr="07283E86">
        <w:rPr>
          <w:rFonts w:ascii="Arial" w:eastAsia="Times New Roman" w:hAnsi="Arial" w:cs="Arial"/>
          <w:color w:val="000000"/>
          <w:lang w:eastAsia="en-GB"/>
        </w:rPr>
        <w:t xml:space="preserve"> </w:t>
      </w:r>
      <w:r w:rsidR="640BC087" w:rsidRPr="07283E86">
        <w:rPr>
          <w:rFonts w:ascii="Arial" w:eastAsia="Times New Roman" w:hAnsi="Arial" w:cs="Arial"/>
          <w:color w:val="000000"/>
          <w:lang w:eastAsia="en-GB"/>
        </w:rPr>
        <w:t xml:space="preserve">The WDC visited </w:t>
      </w:r>
      <w:r w:rsidR="70A34BAD" w:rsidRPr="07283E86">
        <w:rPr>
          <w:rFonts w:ascii="Arial" w:eastAsia="Times New Roman" w:hAnsi="Arial" w:cs="Arial"/>
          <w:color w:val="000000"/>
          <w:lang w:eastAsia="en-GB"/>
        </w:rPr>
        <w:t xml:space="preserve">was </w:t>
      </w:r>
      <w:r w:rsidR="00C1521C" w:rsidRPr="07283E86">
        <w:rPr>
          <w:rFonts w:ascii="Arial" w:eastAsia="Times New Roman" w:hAnsi="Arial" w:cs="Arial"/>
          <w:color w:val="000000"/>
          <w:lang w:eastAsia="en-GB"/>
        </w:rPr>
        <w:t xml:space="preserve">close to the garment factories in the industrial zone in Kampong </w:t>
      </w:r>
      <w:proofErr w:type="spellStart"/>
      <w:r w:rsidR="00C1521C" w:rsidRPr="07283E86">
        <w:rPr>
          <w:rFonts w:ascii="Arial" w:eastAsia="Times New Roman" w:hAnsi="Arial" w:cs="Arial"/>
          <w:color w:val="000000"/>
          <w:lang w:eastAsia="en-GB"/>
        </w:rPr>
        <w:t>Speu</w:t>
      </w:r>
      <w:proofErr w:type="spellEnd"/>
      <w:r w:rsidR="00C1521C" w:rsidRPr="07283E86">
        <w:rPr>
          <w:rFonts w:ascii="Arial" w:eastAsia="Times New Roman" w:hAnsi="Arial" w:cs="Arial"/>
          <w:lang w:eastAsia="en-GB"/>
        </w:rPr>
        <w:t xml:space="preserve"> which raises the risk of </w:t>
      </w:r>
      <w:r w:rsidR="00C1521C" w:rsidRPr="07283E86">
        <w:rPr>
          <w:rFonts w:ascii="Arial" w:eastAsia="Times New Roman" w:hAnsi="Arial" w:cs="Arial"/>
          <w:color w:val="000000"/>
          <w:lang w:eastAsia="en-GB"/>
        </w:rPr>
        <w:t>ACCESS</w:t>
      </w:r>
      <w:r w:rsidR="008D153E" w:rsidRPr="07283E86" w:rsidDel="00C1521C">
        <w:rPr>
          <w:rFonts w:ascii="Arial" w:eastAsia="Times New Roman" w:hAnsi="Arial" w:cs="Arial"/>
          <w:color w:val="000000"/>
          <w:lang w:eastAsia="en-GB"/>
        </w:rPr>
        <w:t xml:space="preserve"> </w:t>
      </w:r>
      <w:r w:rsidR="00C1521C" w:rsidRPr="07283E86">
        <w:rPr>
          <w:rFonts w:ascii="Arial" w:eastAsia="Times New Roman" w:hAnsi="Arial" w:cs="Arial"/>
          <w:color w:val="000000"/>
          <w:lang w:eastAsia="en-GB"/>
        </w:rPr>
        <w:t xml:space="preserve">potentially preparing women for transition to these </w:t>
      </w:r>
      <w:proofErr w:type="gramStart"/>
      <w:r w:rsidR="00C1521C" w:rsidRPr="07283E86">
        <w:rPr>
          <w:rFonts w:ascii="Arial" w:eastAsia="Times New Roman" w:hAnsi="Arial" w:cs="Arial"/>
          <w:color w:val="000000"/>
          <w:lang w:eastAsia="en-GB"/>
        </w:rPr>
        <w:t>low income</w:t>
      </w:r>
      <w:proofErr w:type="gramEnd"/>
      <w:r w:rsidR="00C1521C" w:rsidRPr="07283E86">
        <w:rPr>
          <w:rFonts w:ascii="Arial" w:eastAsia="Times New Roman" w:hAnsi="Arial" w:cs="Arial"/>
          <w:color w:val="000000"/>
          <w:lang w:eastAsia="en-GB"/>
        </w:rPr>
        <w:t xml:space="preserve"> jobs, with high levels of exploitation. </w:t>
      </w:r>
    </w:p>
    <w:p w14:paraId="572234B0" w14:textId="77777777" w:rsidR="006A33B3" w:rsidRPr="006A33B3" w:rsidRDefault="006A33B3" w:rsidP="006A33B3">
      <w:pPr>
        <w:rPr>
          <w:b/>
          <w:bCs/>
          <w:color w:val="1D336D" w:themeColor="background2"/>
          <w:szCs w:val="20"/>
        </w:rPr>
      </w:pPr>
      <w:r w:rsidRPr="006A33B3">
        <w:rPr>
          <w:b/>
          <w:bCs/>
          <w:color w:val="1D336D" w:themeColor="background2"/>
          <w:szCs w:val="20"/>
        </w:rPr>
        <w:t>Performance against selected IO targets:</w:t>
      </w:r>
    </w:p>
    <w:p w14:paraId="564C1BC1" w14:textId="77777777" w:rsidR="006A33B3" w:rsidRPr="009C207D" w:rsidRDefault="006A33B3" w:rsidP="006A33B3">
      <w:pPr>
        <w:pStyle w:val="ListParagraph"/>
        <w:numPr>
          <w:ilvl w:val="0"/>
          <w:numId w:val="55"/>
        </w:numPr>
        <w:tabs>
          <w:tab w:val="num" w:pos="360"/>
        </w:tabs>
        <w:ind w:left="714" w:hanging="357"/>
        <w:contextualSpacing w:val="0"/>
        <w:rPr>
          <w:szCs w:val="20"/>
        </w:rPr>
      </w:pPr>
      <w:r w:rsidRPr="009C207D">
        <w:rPr>
          <w:szCs w:val="20"/>
        </w:rPr>
        <w:t xml:space="preserve">ACCESS exceeded the number of disability stakeholders trained in developing skills to facilitate access to economic opportunities from 1307 to 1541. </w:t>
      </w:r>
    </w:p>
    <w:p w14:paraId="40D19075" w14:textId="77777777" w:rsidR="006A33B3" w:rsidRDefault="006A33B3" w:rsidP="006A33B3">
      <w:pPr>
        <w:pStyle w:val="ListParagraph"/>
        <w:numPr>
          <w:ilvl w:val="0"/>
          <w:numId w:val="55"/>
        </w:numPr>
        <w:tabs>
          <w:tab w:val="num" w:pos="360"/>
        </w:tabs>
        <w:ind w:left="714" w:hanging="357"/>
        <w:contextualSpacing w:val="0"/>
        <w:rPr>
          <w:szCs w:val="20"/>
        </w:rPr>
      </w:pPr>
      <w:r w:rsidRPr="009C207D">
        <w:rPr>
          <w:szCs w:val="20"/>
        </w:rPr>
        <w:t>DPWD launched the ‘</w:t>
      </w:r>
      <w:proofErr w:type="spellStart"/>
      <w:r w:rsidRPr="009C207D">
        <w:rPr>
          <w:szCs w:val="20"/>
        </w:rPr>
        <w:t>Oakas</w:t>
      </w:r>
      <w:proofErr w:type="spellEnd"/>
      <w:r w:rsidRPr="009C207D">
        <w:rPr>
          <w:szCs w:val="20"/>
        </w:rPr>
        <w:t xml:space="preserve">’ employment app </w:t>
      </w:r>
      <w:r>
        <w:rPr>
          <w:szCs w:val="20"/>
        </w:rPr>
        <w:t>which has</w:t>
      </w:r>
      <w:r>
        <w:t xml:space="preserve"> directly supported economic inclusion of 1,541 persons with disabilities (47% female).</w:t>
      </w:r>
    </w:p>
    <w:p w14:paraId="429FAE12" w14:textId="77777777" w:rsidR="006A33B3" w:rsidRPr="009C207D" w:rsidRDefault="006A33B3" w:rsidP="006A33B3">
      <w:pPr>
        <w:pStyle w:val="ListParagraph"/>
        <w:numPr>
          <w:ilvl w:val="0"/>
          <w:numId w:val="55"/>
        </w:numPr>
        <w:tabs>
          <w:tab w:val="num" w:pos="360"/>
        </w:tabs>
        <w:ind w:left="714" w:hanging="357"/>
        <w:contextualSpacing w:val="0"/>
        <w:rPr>
          <w:szCs w:val="20"/>
        </w:rPr>
      </w:pPr>
      <w:r w:rsidRPr="00C44646">
        <w:rPr>
          <w:rFonts w:ascii="Arial" w:eastAsia="Arial" w:hAnsi="Arial" w:cs="Arial"/>
        </w:rPr>
        <w:t>ACCESS reported that it had contributed in part to a 17 per cent and a 35 per cent increase in public and private sector employment, respectively between 2020 and 2021.</w:t>
      </w:r>
    </w:p>
    <w:p w14:paraId="02E5D304" w14:textId="77777777" w:rsidR="006A33B3" w:rsidRPr="00F35448" w:rsidRDefault="006A33B3" w:rsidP="006A33B3">
      <w:pPr>
        <w:pStyle w:val="ListParagraph"/>
        <w:numPr>
          <w:ilvl w:val="0"/>
          <w:numId w:val="55"/>
        </w:numPr>
        <w:tabs>
          <w:tab w:val="num" w:pos="360"/>
        </w:tabs>
        <w:ind w:left="714" w:hanging="357"/>
        <w:contextualSpacing w:val="0"/>
        <w:rPr>
          <w:szCs w:val="20"/>
        </w:rPr>
      </w:pPr>
      <w:r w:rsidRPr="00F35448">
        <w:rPr>
          <w:szCs w:val="20"/>
        </w:rPr>
        <w:t>ACCESS did not meet the target of 100 employers sensitised about disability inclusion policies, reaching 45 instead.</w:t>
      </w:r>
      <w:r>
        <w:rPr>
          <w:szCs w:val="20"/>
        </w:rPr>
        <w:t xml:space="preserve"> This was due to delays in finalising the DI E-learning tool relevant to this work.</w:t>
      </w:r>
    </w:p>
    <w:p w14:paraId="45DCF833" w14:textId="77777777" w:rsidR="006A33B3" w:rsidRPr="009C207D" w:rsidRDefault="006A33B3" w:rsidP="006A33B3">
      <w:pPr>
        <w:pStyle w:val="ListParagraph"/>
        <w:numPr>
          <w:ilvl w:val="0"/>
          <w:numId w:val="55"/>
        </w:numPr>
        <w:tabs>
          <w:tab w:val="num" w:pos="360"/>
        </w:tabs>
        <w:ind w:left="714" w:hanging="357"/>
        <w:contextualSpacing w:val="0"/>
        <w:rPr>
          <w:szCs w:val="20"/>
        </w:rPr>
      </w:pPr>
      <w:r w:rsidRPr="009C207D">
        <w:rPr>
          <w:szCs w:val="20"/>
        </w:rPr>
        <w:t>ACCESS met the targeted number of 8 OPDs engaging with RGC to improve social protection for disability inclusion. For example, OPDs supported 838 members to access social protection payments.</w:t>
      </w:r>
    </w:p>
    <w:p w14:paraId="754228D7" w14:textId="52C1DCEF" w:rsidR="00312722" w:rsidRPr="006A33B3" w:rsidRDefault="006A33B3" w:rsidP="006A33B3">
      <w:pPr>
        <w:pStyle w:val="ListParagraph"/>
        <w:numPr>
          <w:ilvl w:val="0"/>
          <w:numId w:val="55"/>
        </w:numPr>
        <w:tabs>
          <w:tab w:val="num" w:pos="360"/>
        </w:tabs>
        <w:ind w:left="714" w:hanging="357"/>
        <w:contextualSpacing w:val="0"/>
        <w:rPr>
          <w:szCs w:val="20"/>
        </w:rPr>
      </w:pPr>
      <w:r w:rsidRPr="009C207D">
        <w:rPr>
          <w:szCs w:val="20"/>
        </w:rPr>
        <w:t xml:space="preserve">ACCESS met its targets </w:t>
      </w:r>
      <w:r w:rsidRPr="009C207D" w:rsidDel="002B1088">
        <w:rPr>
          <w:szCs w:val="20"/>
        </w:rPr>
        <w:t xml:space="preserve">on </w:t>
      </w:r>
      <w:r>
        <w:rPr>
          <w:szCs w:val="20"/>
        </w:rPr>
        <w:t>to ensure</w:t>
      </w:r>
      <w:r w:rsidRPr="009C207D">
        <w:rPr>
          <w:szCs w:val="20"/>
        </w:rPr>
        <w:t xml:space="preserve"> that 10 CIPs were better aligned with NDSP and NAPVAW, and in fact exceeded its target in relation to inclusion of disability services (a 57% rating above the 35 % target). </w:t>
      </w:r>
      <w:r w:rsidR="00312722">
        <w:rPr>
          <w:lang w:eastAsia="en-GB"/>
        </w:rPr>
        <w:br w:type="page"/>
      </w:r>
    </w:p>
    <w:p w14:paraId="4556DAE4" w14:textId="1A6379BE" w:rsidR="00C95B8C" w:rsidRPr="007A6327" w:rsidRDefault="00C95B8C" w:rsidP="00F24D58">
      <w:pPr>
        <w:pStyle w:val="Heading4"/>
        <w:rPr>
          <w:lang w:eastAsia="en-GB"/>
        </w:rPr>
      </w:pPr>
      <w:r w:rsidRPr="007A6327">
        <w:rPr>
          <w:lang w:eastAsia="en-GB"/>
        </w:rPr>
        <w:lastRenderedPageBreak/>
        <w:t>Coverage</w:t>
      </w:r>
    </w:p>
    <w:p w14:paraId="3018468E" w14:textId="586C9E89" w:rsidR="00C95B8C" w:rsidRPr="00316336" w:rsidRDefault="00C95B8C" w:rsidP="00C95B8C">
      <w:pPr>
        <w:textAlignment w:val="baseline"/>
        <w:rPr>
          <w:rFonts w:ascii="Arial" w:eastAsia="Times New Roman" w:hAnsi="Arial" w:cs="Arial"/>
          <w:color w:val="000000"/>
          <w:szCs w:val="20"/>
          <w:lang w:eastAsia="en-GB"/>
        </w:rPr>
      </w:pPr>
      <w:r w:rsidRPr="005F2355">
        <w:rPr>
          <w:rFonts w:ascii="Arial" w:eastAsia="Times New Roman" w:hAnsi="Arial" w:cs="Arial"/>
          <w:b/>
          <w:bCs/>
          <w:color w:val="000000"/>
          <w:szCs w:val="20"/>
          <w:lang w:eastAsia="en-GB"/>
        </w:rPr>
        <w:t xml:space="preserve">ACCESS has exceeded its targets on </w:t>
      </w:r>
      <w:r>
        <w:rPr>
          <w:rFonts w:ascii="Arial" w:eastAsia="Times New Roman" w:hAnsi="Arial" w:cs="Arial"/>
          <w:b/>
          <w:bCs/>
          <w:color w:val="000000"/>
          <w:szCs w:val="20"/>
          <w:lang w:eastAsia="en-GB"/>
        </w:rPr>
        <w:t xml:space="preserve">service </w:t>
      </w:r>
      <w:r w:rsidRPr="005F2355">
        <w:rPr>
          <w:rFonts w:ascii="Arial" w:eastAsia="Times New Roman" w:hAnsi="Arial" w:cs="Arial"/>
          <w:b/>
          <w:bCs/>
          <w:color w:val="000000"/>
          <w:szCs w:val="20"/>
          <w:lang w:eastAsia="en-GB"/>
        </w:rPr>
        <w:t>coverage.</w:t>
      </w:r>
      <w:r>
        <w:rPr>
          <w:rFonts w:ascii="Arial" w:eastAsia="Times New Roman" w:hAnsi="Arial" w:cs="Arial"/>
          <w:b/>
          <w:bCs/>
          <w:color w:val="000000"/>
          <w:szCs w:val="20"/>
          <w:lang w:eastAsia="en-GB"/>
        </w:rPr>
        <w:t xml:space="preserve"> </w:t>
      </w:r>
      <w:r>
        <w:rPr>
          <w:rFonts w:ascii="Arial" w:eastAsia="Times New Roman" w:hAnsi="Arial" w:cs="Arial"/>
          <w:color w:val="000000"/>
          <w:szCs w:val="20"/>
          <w:lang w:eastAsia="en-GB"/>
        </w:rPr>
        <w:t>By its own measures, ACCESS and its IPs have steadily increased client utilisation of GBV and disability services over the four years. This is more than a mere technical achievement and represents the program’s ability to address the multi-faceted barriers and discouragements for people with disabilities and survivors of violence to seek assistance.</w:t>
      </w:r>
    </w:p>
    <w:p w14:paraId="2E577461" w14:textId="77777777" w:rsidR="00C95B8C" w:rsidRPr="009C207D" w:rsidRDefault="00C95B8C" w:rsidP="00C95B8C">
      <w:pPr>
        <w:textAlignment w:val="baseline"/>
        <w:rPr>
          <w:rFonts w:ascii="Arial" w:eastAsia="Times New Roman" w:hAnsi="Arial" w:cs="Arial"/>
          <w:b/>
          <w:bCs/>
          <w:szCs w:val="20"/>
          <w:u w:val="single"/>
          <w:lang w:eastAsia="en-GB"/>
        </w:rPr>
      </w:pPr>
      <w:r w:rsidRPr="009C207D">
        <w:rPr>
          <w:rFonts w:ascii="Arial" w:eastAsia="Times New Roman" w:hAnsi="Arial" w:cs="Arial"/>
          <w:b/>
          <w:bCs/>
          <w:szCs w:val="20"/>
          <w:u w:val="single"/>
          <w:lang w:eastAsia="en-GB"/>
        </w:rPr>
        <w:t>Disability</w:t>
      </w:r>
    </w:p>
    <w:p w14:paraId="6C1868F4" w14:textId="100F63E5" w:rsidR="00C95B8C" w:rsidRDefault="00C95B8C" w:rsidP="00C95B8C">
      <w:pPr>
        <w:jc w:val="both"/>
        <w:textAlignment w:val="baseline"/>
      </w:pPr>
      <w:r w:rsidRPr="05C97889">
        <w:rPr>
          <w:rFonts w:ascii="Arial" w:eastAsia="Times New Roman" w:hAnsi="Arial" w:cs="Arial"/>
          <w:b/>
          <w:lang w:eastAsia="en-GB"/>
        </w:rPr>
        <w:t>ACCESS supported six PRCs between September 2019 to June 2022, assisting 16,998 p</w:t>
      </w:r>
      <w:r w:rsidR="6858F4AE" w:rsidRPr="401877F5">
        <w:rPr>
          <w:rFonts w:ascii="Arial" w:eastAsia="Times New Roman" w:hAnsi="Arial" w:cs="Arial"/>
          <w:b/>
          <w:bCs/>
          <w:lang w:eastAsia="en-GB"/>
        </w:rPr>
        <w:t>eople</w:t>
      </w:r>
      <w:r w:rsidRPr="401877F5">
        <w:rPr>
          <w:rFonts w:ascii="Arial" w:eastAsia="Times New Roman" w:hAnsi="Arial" w:cs="Arial"/>
          <w:b/>
          <w:lang w:eastAsia="en-GB"/>
        </w:rPr>
        <w:t xml:space="preserve"> </w:t>
      </w:r>
      <w:r w:rsidRPr="05C97889">
        <w:rPr>
          <w:rFonts w:ascii="Arial" w:eastAsia="Times New Roman" w:hAnsi="Arial" w:cs="Arial"/>
          <w:b/>
          <w:lang w:eastAsia="en-GB"/>
        </w:rPr>
        <w:t>with disabilit</w:t>
      </w:r>
      <w:r w:rsidR="76471593" w:rsidRPr="401877F5">
        <w:rPr>
          <w:rFonts w:ascii="Arial" w:eastAsia="Times New Roman" w:hAnsi="Arial" w:cs="Arial"/>
          <w:b/>
          <w:bCs/>
          <w:lang w:eastAsia="en-GB"/>
        </w:rPr>
        <w:t>ies</w:t>
      </w:r>
      <w:r w:rsidRPr="05C97889">
        <w:rPr>
          <w:rFonts w:ascii="Arial" w:eastAsia="Times New Roman" w:hAnsi="Arial" w:cs="Arial"/>
          <w:b/>
          <w:lang w:eastAsia="en-GB"/>
        </w:rPr>
        <w:t xml:space="preserve"> (clients).</w:t>
      </w:r>
      <w:r w:rsidRPr="401877F5">
        <w:rPr>
          <w:rFonts w:ascii="Arial" w:eastAsia="Times New Roman" w:hAnsi="Arial" w:cs="Arial"/>
          <w:lang w:eastAsia="en-GB"/>
        </w:rPr>
        <w:t xml:space="preserve"> The two top PRCs in terms of client volume in this period were the ACCESS target province of Kampong Cham (5,251 clients) and </w:t>
      </w:r>
      <w:proofErr w:type="spellStart"/>
      <w:r w:rsidRPr="401877F5">
        <w:rPr>
          <w:rFonts w:ascii="Arial" w:eastAsia="Times New Roman" w:hAnsi="Arial" w:cs="Arial"/>
          <w:lang w:eastAsia="en-GB"/>
        </w:rPr>
        <w:t>Kien</w:t>
      </w:r>
      <w:proofErr w:type="spellEnd"/>
      <w:r w:rsidRPr="401877F5">
        <w:rPr>
          <w:rFonts w:ascii="Arial" w:eastAsia="Times New Roman" w:hAnsi="Arial" w:cs="Arial"/>
          <w:lang w:eastAsia="en-GB"/>
        </w:rPr>
        <w:t xml:space="preserve"> </w:t>
      </w:r>
      <w:proofErr w:type="spellStart"/>
      <w:r w:rsidRPr="401877F5">
        <w:rPr>
          <w:rFonts w:ascii="Arial" w:eastAsia="Times New Roman" w:hAnsi="Arial" w:cs="Arial"/>
          <w:lang w:eastAsia="en-GB"/>
        </w:rPr>
        <w:t>Kleang</w:t>
      </w:r>
      <w:proofErr w:type="spellEnd"/>
      <w:r w:rsidRPr="401877F5">
        <w:rPr>
          <w:rFonts w:ascii="Arial" w:eastAsia="Times New Roman" w:hAnsi="Arial" w:cs="Arial"/>
          <w:lang w:eastAsia="en-GB"/>
        </w:rPr>
        <w:t xml:space="preserve"> (4,003 clients). The busiest six-monthly period was between January to June 2022 (3,587 clients), and July to December 2020 (3,504 clients). Visits to the PRCs decreased from 3,504 between July to December 2020, to 1,682 visits the following January to June 2021. This coincides with COVID-19 lockdowns that occurred across Cambodia over March to May 2021, particularly in parts of Phnom Penh and </w:t>
      </w:r>
      <w:proofErr w:type="spellStart"/>
      <w:r w:rsidRPr="401877F5">
        <w:rPr>
          <w:rFonts w:ascii="Arial" w:eastAsia="Times New Roman" w:hAnsi="Arial" w:cs="Arial"/>
          <w:lang w:eastAsia="en-GB"/>
        </w:rPr>
        <w:t>Siem</w:t>
      </w:r>
      <w:proofErr w:type="spellEnd"/>
      <w:r w:rsidRPr="401877F5">
        <w:rPr>
          <w:rFonts w:ascii="Arial" w:eastAsia="Times New Roman" w:hAnsi="Arial" w:cs="Arial"/>
          <w:lang w:eastAsia="en-GB"/>
        </w:rPr>
        <w:t xml:space="preserve"> Reap. </w:t>
      </w:r>
      <w:r w:rsidRPr="05C97889">
        <w:rPr>
          <w:rFonts w:ascii="Arial" w:eastAsia="Times New Roman" w:hAnsi="Arial" w:cs="Arial"/>
          <w:b/>
          <w:lang w:eastAsia="en-GB"/>
        </w:rPr>
        <w:t>This demonstrates how the PRCs being supported by ACCESS were able to resume service provision, and in the majority of PRCs steadily increased client numbers.</w:t>
      </w:r>
    </w:p>
    <w:p w14:paraId="6E500EA4" w14:textId="59147E64" w:rsidR="000534A4" w:rsidRDefault="000534A4" w:rsidP="07283E86">
      <w:pPr>
        <w:jc w:val="both"/>
        <w:rPr>
          <w:rFonts w:ascii="Arial" w:eastAsia="Times New Roman" w:hAnsi="Arial" w:cs="Arial"/>
          <w:lang w:eastAsia="en-GB"/>
        </w:rPr>
      </w:pPr>
      <w:r w:rsidRPr="07283E86">
        <w:rPr>
          <w:rFonts w:ascii="Arial" w:eastAsia="Times New Roman" w:hAnsi="Arial" w:cs="Arial"/>
          <w:lang w:eastAsia="en-GB"/>
        </w:rPr>
        <w:t xml:space="preserve">Analysis of PRC visits reveal that the PRCs that served the largest numbers of </w:t>
      </w:r>
      <w:r w:rsidRPr="07283E86">
        <w:rPr>
          <w:rFonts w:ascii="Arial" w:eastAsia="Times New Roman" w:hAnsi="Arial" w:cs="Arial"/>
          <w:u w:val="single"/>
          <w:lang w:eastAsia="en-GB"/>
        </w:rPr>
        <w:t>women</w:t>
      </w:r>
      <w:r w:rsidRPr="07283E86">
        <w:rPr>
          <w:rFonts w:ascii="Arial" w:eastAsia="Times New Roman" w:hAnsi="Arial" w:cs="Arial"/>
          <w:lang w:eastAsia="en-GB"/>
        </w:rPr>
        <w:t xml:space="preserve"> were Kampong Cham (1,894 clients / 31</w:t>
      </w:r>
      <w:r w:rsidR="0090624D">
        <w:rPr>
          <w:rFonts w:ascii="Arial" w:eastAsia="Times New Roman" w:hAnsi="Arial" w:cs="Arial"/>
          <w:lang w:eastAsia="en-GB"/>
        </w:rPr>
        <w:t>.</w:t>
      </w:r>
      <w:r w:rsidRPr="07283E86">
        <w:rPr>
          <w:rFonts w:ascii="Arial" w:eastAsia="Times New Roman" w:hAnsi="Arial" w:cs="Arial"/>
          <w:lang w:eastAsia="en-GB"/>
        </w:rPr>
        <w:t xml:space="preserve">9 per cent of total clients), and </w:t>
      </w:r>
      <w:proofErr w:type="spellStart"/>
      <w:r w:rsidRPr="07283E86">
        <w:rPr>
          <w:rFonts w:ascii="Arial" w:eastAsia="Times New Roman" w:hAnsi="Arial" w:cs="Arial"/>
          <w:lang w:eastAsia="en-GB"/>
        </w:rPr>
        <w:t>Kien</w:t>
      </w:r>
      <w:proofErr w:type="spellEnd"/>
      <w:r w:rsidRPr="07283E86">
        <w:rPr>
          <w:rFonts w:ascii="Arial" w:eastAsia="Times New Roman" w:hAnsi="Arial" w:cs="Arial"/>
          <w:lang w:eastAsia="en-GB"/>
        </w:rPr>
        <w:t xml:space="preserve"> </w:t>
      </w:r>
      <w:proofErr w:type="spellStart"/>
      <w:r w:rsidRPr="07283E86">
        <w:rPr>
          <w:rFonts w:ascii="Arial" w:eastAsia="Times New Roman" w:hAnsi="Arial" w:cs="Arial"/>
          <w:lang w:eastAsia="en-GB"/>
        </w:rPr>
        <w:t>Kleang</w:t>
      </w:r>
      <w:proofErr w:type="spellEnd"/>
      <w:r w:rsidRPr="07283E86">
        <w:rPr>
          <w:rFonts w:ascii="Arial" w:eastAsia="Times New Roman" w:hAnsi="Arial" w:cs="Arial"/>
          <w:lang w:eastAsia="en-GB"/>
        </w:rPr>
        <w:t xml:space="preserve"> (31 per cent of clients were women</w:t>
      </w:r>
      <w:r w:rsidR="00907B1E" w:rsidRPr="07283E86">
        <w:rPr>
          <w:rFonts w:ascii="Arial" w:eastAsia="Times New Roman" w:hAnsi="Arial" w:cs="Arial"/>
          <w:lang w:eastAsia="en-GB"/>
        </w:rPr>
        <w:t xml:space="preserve">/ </w:t>
      </w:r>
      <w:r w:rsidRPr="07283E86">
        <w:rPr>
          <w:rFonts w:ascii="Arial" w:eastAsia="Times New Roman" w:hAnsi="Arial" w:cs="Arial"/>
          <w:lang w:eastAsia="en-GB"/>
        </w:rPr>
        <w:t xml:space="preserve">1,520 clients) between September 2019 to June 2022. The PRCs located in </w:t>
      </w:r>
      <w:proofErr w:type="spellStart"/>
      <w:r w:rsidRPr="07283E86">
        <w:rPr>
          <w:rFonts w:ascii="Arial" w:eastAsia="Times New Roman" w:hAnsi="Arial" w:cs="Arial"/>
          <w:lang w:eastAsia="en-GB"/>
        </w:rPr>
        <w:t>Kratie</w:t>
      </w:r>
      <w:proofErr w:type="spellEnd"/>
      <w:r w:rsidRPr="07283E86">
        <w:rPr>
          <w:rFonts w:ascii="Arial" w:eastAsia="Times New Roman" w:hAnsi="Arial" w:cs="Arial"/>
          <w:lang w:eastAsia="en-GB"/>
        </w:rPr>
        <w:t xml:space="preserve"> and ACCESS target province </w:t>
      </w:r>
      <w:proofErr w:type="spellStart"/>
      <w:r w:rsidRPr="07283E86">
        <w:rPr>
          <w:rFonts w:ascii="Arial" w:eastAsia="Times New Roman" w:hAnsi="Arial" w:cs="Arial"/>
          <w:lang w:eastAsia="en-GB"/>
        </w:rPr>
        <w:t>Siem</w:t>
      </w:r>
      <w:proofErr w:type="spellEnd"/>
      <w:r w:rsidRPr="07283E86">
        <w:rPr>
          <w:rFonts w:ascii="Arial" w:eastAsia="Times New Roman" w:hAnsi="Arial" w:cs="Arial"/>
          <w:lang w:eastAsia="en-GB"/>
        </w:rPr>
        <w:t xml:space="preserve"> Reap saw the lowest numbers of women, at 7 and 3 per cent, respectively, of their total clients over the period September 2019 to June 2022. </w:t>
      </w:r>
      <w:r w:rsidRPr="05C97889">
        <w:rPr>
          <w:rFonts w:ascii="Arial" w:eastAsia="Times New Roman" w:hAnsi="Arial" w:cs="Arial"/>
          <w:b/>
          <w:lang w:eastAsia="en-GB"/>
        </w:rPr>
        <w:t>It would be instructive for ACCESS (including the disability and GESI teams) to look into the 2022 SAQUS data and better understand the reason for this low coverage of women.</w:t>
      </w:r>
      <w:r w:rsidRPr="07283E86">
        <w:rPr>
          <w:rFonts w:ascii="Arial" w:eastAsia="Times New Roman" w:hAnsi="Arial" w:cs="Arial"/>
          <w:lang w:eastAsia="en-GB"/>
        </w:rPr>
        <w:t xml:space="preserve"> PRC visits by </w:t>
      </w:r>
      <w:r w:rsidRPr="07283E86">
        <w:rPr>
          <w:rFonts w:ascii="Arial" w:eastAsia="Times New Roman" w:hAnsi="Arial" w:cs="Arial"/>
          <w:u w:val="single"/>
          <w:lang w:eastAsia="en-GB"/>
        </w:rPr>
        <w:t>children under 18 years of age</w:t>
      </w:r>
      <w:r w:rsidRPr="07283E86">
        <w:rPr>
          <w:rFonts w:ascii="Arial" w:eastAsia="Times New Roman" w:hAnsi="Arial" w:cs="Arial"/>
          <w:lang w:eastAsia="en-GB"/>
        </w:rPr>
        <w:t xml:space="preserve"> with a disability was highest in </w:t>
      </w:r>
      <w:proofErr w:type="spellStart"/>
      <w:r w:rsidRPr="07283E86">
        <w:rPr>
          <w:rFonts w:ascii="Arial" w:eastAsia="Times New Roman" w:hAnsi="Arial" w:cs="Arial"/>
          <w:lang w:eastAsia="en-GB"/>
        </w:rPr>
        <w:t>Kien</w:t>
      </w:r>
      <w:proofErr w:type="spellEnd"/>
      <w:r w:rsidRPr="07283E86">
        <w:rPr>
          <w:rFonts w:ascii="Arial" w:eastAsia="Times New Roman" w:hAnsi="Arial" w:cs="Arial"/>
          <w:lang w:eastAsia="en-GB"/>
        </w:rPr>
        <w:t xml:space="preserve"> </w:t>
      </w:r>
      <w:proofErr w:type="spellStart"/>
      <w:r w:rsidRPr="07283E86">
        <w:rPr>
          <w:rFonts w:ascii="Arial" w:eastAsia="Times New Roman" w:hAnsi="Arial" w:cs="Arial"/>
          <w:lang w:eastAsia="en-GB"/>
        </w:rPr>
        <w:t>Kleang</w:t>
      </w:r>
      <w:proofErr w:type="spellEnd"/>
      <w:r w:rsidRPr="07283E86">
        <w:rPr>
          <w:rFonts w:ascii="Arial" w:eastAsia="Times New Roman" w:hAnsi="Arial" w:cs="Arial"/>
          <w:lang w:eastAsia="en-GB"/>
        </w:rPr>
        <w:t xml:space="preserve"> (2,487 clients or 42 per cent of total clients) and Kampong Cham (1,944 clients / 33 per cent of clients) between September 2019 to June 2022. </w:t>
      </w:r>
      <w:proofErr w:type="spellStart"/>
      <w:r w:rsidRPr="07283E86">
        <w:rPr>
          <w:rFonts w:ascii="Arial" w:eastAsia="Times New Roman" w:hAnsi="Arial" w:cs="Arial"/>
          <w:lang w:eastAsia="en-GB"/>
        </w:rPr>
        <w:t>Kratie</w:t>
      </w:r>
      <w:proofErr w:type="spellEnd"/>
      <w:r w:rsidRPr="07283E86">
        <w:rPr>
          <w:rFonts w:ascii="Arial" w:eastAsia="Times New Roman" w:hAnsi="Arial" w:cs="Arial"/>
          <w:lang w:eastAsia="en-GB"/>
        </w:rPr>
        <w:t xml:space="preserve"> (162 clients, 3%) and </w:t>
      </w:r>
      <w:proofErr w:type="spellStart"/>
      <w:r w:rsidRPr="07283E86">
        <w:rPr>
          <w:rFonts w:ascii="Arial" w:eastAsia="Times New Roman" w:hAnsi="Arial" w:cs="Arial"/>
          <w:lang w:eastAsia="en-GB"/>
        </w:rPr>
        <w:t>Siem</w:t>
      </w:r>
      <w:proofErr w:type="spellEnd"/>
      <w:r w:rsidRPr="07283E86">
        <w:rPr>
          <w:rFonts w:ascii="Arial" w:eastAsia="Times New Roman" w:hAnsi="Arial" w:cs="Arial"/>
          <w:lang w:eastAsia="en-GB"/>
        </w:rPr>
        <w:t xml:space="preserve"> Reap (79</w:t>
      </w:r>
      <w:r w:rsidR="62745104" w:rsidRPr="07283E86">
        <w:rPr>
          <w:rFonts w:ascii="Arial" w:eastAsia="Times New Roman" w:hAnsi="Arial" w:cs="Arial"/>
          <w:lang w:eastAsia="en-GB"/>
        </w:rPr>
        <w:t xml:space="preserve"> clients</w:t>
      </w:r>
      <w:r w:rsidRPr="07283E86">
        <w:rPr>
          <w:rFonts w:ascii="Arial" w:eastAsia="Times New Roman" w:hAnsi="Arial" w:cs="Arial"/>
          <w:lang w:eastAsia="en-GB"/>
        </w:rPr>
        <w:t>, 1</w:t>
      </w:r>
      <w:r w:rsidR="19DA7965" w:rsidRPr="07283E86">
        <w:rPr>
          <w:rFonts w:ascii="Arial" w:eastAsia="Times New Roman" w:hAnsi="Arial" w:cs="Arial"/>
          <w:lang w:eastAsia="en-GB"/>
        </w:rPr>
        <w:t xml:space="preserve"> per cent</w:t>
      </w:r>
      <w:r w:rsidRPr="07283E86">
        <w:rPr>
          <w:rFonts w:ascii="Arial" w:eastAsia="Times New Roman" w:hAnsi="Arial" w:cs="Arial"/>
          <w:lang w:eastAsia="en-GB"/>
        </w:rPr>
        <w:t xml:space="preserve">) again were the PRCs reporting the lowest number of visits by children to date (September 2019 to June 2022 data). </w:t>
      </w:r>
      <w:r w:rsidRPr="05C97889">
        <w:rPr>
          <w:rFonts w:ascii="Arial" w:eastAsia="Times New Roman" w:hAnsi="Arial" w:cs="Arial"/>
          <w:b/>
          <w:lang w:eastAsia="en-GB"/>
        </w:rPr>
        <w:t>This highlights the relatively high demand for disability services for children</w:t>
      </w:r>
      <w:r w:rsidRPr="07283E86">
        <w:rPr>
          <w:rFonts w:ascii="Arial" w:eastAsia="Times New Roman" w:hAnsi="Arial" w:cs="Arial"/>
          <w:lang w:eastAsia="en-GB"/>
        </w:rPr>
        <w:t xml:space="preserve">. It did not represent a focus of this evaluation but child-sensitive service provision and child protection advice may be pertinent to any ongoing support to disability services. </w:t>
      </w:r>
    </w:p>
    <w:p w14:paraId="324BC392" w14:textId="77777777" w:rsidR="00643F5A" w:rsidRPr="00643F5A" w:rsidRDefault="00643F5A" w:rsidP="00643F5A">
      <w:pPr>
        <w:textAlignment w:val="baseline"/>
        <w:rPr>
          <w:rFonts w:ascii="Arial" w:eastAsia="Times New Roman" w:hAnsi="Arial" w:cs="Arial"/>
          <w:b/>
          <w:bCs/>
          <w:color w:val="1D336D" w:themeColor="background2"/>
          <w:lang w:eastAsia="en-GB"/>
        </w:rPr>
      </w:pPr>
      <w:r w:rsidRPr="00643F5A">
        <w:rPr>
          <w:rFonts w:ascii="Arial" w:eastAsia="Times New Roman" w:hAnsi="Arial" w:cs="Arial"/>
          <w:b/>
          <w:bCs/>
          <w:color w:val="1D336D" w:themeColor="background2"/>
          <w:lang w:eastAsia="en-GB"/>
        </w:rPr>
        <w:t>Figure 3: Client numbers over time, by province</w:t>
      </w:r>
    </w:p>
    <w:p w14:paraId="1F8BC313" w14:textId="3EE57498" w:rsidR="00040B00" w:rsidRDefault="009C207D" w:rsidP="00C174F4">
      <w:pPr>
        <w:jc w:val="both"/>
        <w:textAlignment w:val="baseline"/>
        <w:rPr>
          <w:rFonts w:ascii="Arial" w:eastAsia="Times New Roman" w:hAnsi="Arial" w:cs="Arial"/>
          <w:b/>
          <w:lang w:eastAsia="en-GB"/>
        </w:rPr>
      </w:pPr>
      <w:r>
        <w:rPr>
          <w:noProof/>
        </w:rPr>
        <w:drawing>
          <wp:inline distT="0" distB="0" distL="0" distR="0" wp14:anchorId="24B7F6E4" wp14:editId="227F74FC">
            <wp:extent cx="5222240" cy="2804160"/>
            <wp:effectExtent l="0" t="0" r="0" b="0"/>
            <wp:docPr id="52" name="Picture 52" descr="Bar chart indicating client numbers at the Physical Rehabilitation Centres in five provinces - Kien Kleang, Kampong Cham, Kratie, Prey Veng, Siem Reap, and Takeo, and overtime between September 2019 and June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Bar chart indicating client numbers at the Physical Rehabilitation Centres in five provinces - Kien Kleang, Kampong Cham, Kratie, Prey Veng, Siem Reap, and Takeo, and overtime between September 2019 and June 2022.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22240" cy="2804160"/>
                    </a:xfrm>
                    <a:prstGeom prst="rect">
                      <a:avLst/>
                    </a:prstGeom>
                    <a:noFill/>
                  </pic:spPr>
                </pic:pic>
              </a:graphicData>
            </a:graphic>
          </wp:inline>
        </w:drawing>
      </w:r>
    </w:p>
    <w:p w14:paraId="3D27EC00" w14:textId="57FC65FD" w:rsidR="005572AC" w:rsidRPr="009C207D" w:rsidRDefault="005572AC" w:rsidP="00C174F4">
      <w:pPr>
        <w:jc w:val="both"/>
        <w:textAlignment w:val="baseline"/>
        <w:rPr>
          <w:rFonts w:ascii="Arial" w:eastAsia="Times New Roman" w:hAnsi="Arial" w:cs="Arial"/>
          <w:b/>
          <w:bCs/>
          <w:szCs w:val="20"/>
          <w:u w:val="single"/>
          <w:lang w:eastAsia="en-GB"/>
        </w:rPr>
      </w:pPr>
      <w:r w:rsidRPr="009C207D">
        <w:rPr>
          <w:rFonts w:ascii="Arial" w:eastAsia="Times New Roman" w:hAnsi="Arial" w:cs="Arial"/>
          <w:b/>
          <w:bCs/>
          <w:szCs w:val="20"/>
          <w:u w:val="single"/>
          <w:lang w:eastAsia="en-GB"/>
        </w:rPr>
        <w:lastRenderedPageBreak/>
        <w:t>Gender-based violence</w:t>
      </w:r>
    </w:p>
    <w:p w14:paraId="5BB41943" w14:textId="711F6504" w:rsidR="0087652E" w:rsidRDefault="005572AC" w:rsidP="00C174F4">
      <w:pPr>
        <w:jc w:val="both"/>
        <w:rPr>
          <w:rFonts w:ascii="Arial" w:eastAsia="Times New Roman" w:hAnsi="Arial" w:cs="Arial"/>
          <w:lang w:eastAsia="en-GB"/>
        </w:rPr>
      </w:pPr>
      <w:r w:rsidRPr="05C97889">
        <w:rPr>
          <w:rFonts w:ascii="Arial" w:eastAsia="Times New Roman" w:hAnsi="Arial" w:cs="Arial"/>
          <w:b/>
          <w:lang w:eastAsia="en-GB"/>
        </w:rPr>
        <w:t>ACCESS IPs provided GBV services to a total of 4,831 clients between September 2019 and June 2022.</w:t>
      </w:r>
      <w:r w:rsidRPr="05C97889">
        <w:rPr>
          <w:rFonts w:ascii="Arial" w:eastAsia="Times New Roman" w:hAnsi="Arial" w:cs="Arial"/>
          <w:lang w:eastAsia="en-GB"/>
        </w:rPr>
        <w:t xml:space="preserve"> Of the four main GBV IP service providers, CWCC assisted the highest number of clients (57 per cent of total clients served by ACCESS / 2,558 clients) followed by TPO (24 per cent / 1,094 clients), LAC (13 per cent / 593 clients) and CARE (6 per cent / 265 clients). Cambodia’s national prevalence study on violence against women (2015) found that only one in four women experiencing violence seek out supportive services. </w:t>
      </w:r>
      <w:r w:rsidR="00AD02D6">
        <w:rPr>
          <w:rFonts w:ascii="Arial" w:eastAsia="Times New Roman" w:hAnsi="Arial" w:cs="Arial"/>
          <w:lang w:eastAsia="en-GB"/>
        </w:rPr>
        <w:t>ACCESS’</w:t>
      </w:r>
      <w:r w:rsidR="009F2B4C">
        <w:rPr>
          <w:rFonts w:ascii="Arial" w:eastAsia="Times New Roman" w:hAnsi="Arial" w:cs="Arial"/>
          <w:lang w:eastAsia="en-GB"/>
        </w:rPr>
        <w:t>s</w:t>
      </w:r>
      <w:r w:rsidR="008D4607">
        <w:rPr>
          <w:rFonts w:ascii="Arial" w:eastAsia="Times New Roman" w:hAnsi="Arial" w:cs="Arial"/>
          <w:lang w:eastAsia="en-GB"/>
        </w:rPr>
        <w:t xml:space="preserve"> </w:t>
      </w:r>
      <w:r w:rsidRPr="05C97889">
        <w:rPr>
          <w:rFonts w:ascii="Arial" w:eastAsia="Times New Roman" w:hAnsi="Arial" w:cs="Arial"/>
          <w:lang w:eastAsia="en-GB"/>
        </w:rPr>
        <w:t>client numbers need to be read in that light.</w:t>
      </w:r>
      <w:r w:rsidR="00C1098D" w:rsidRPr="05C97889">
        <w:rPr>
          <w:rFonts w:ascii="Arial" w:eastAsia="Times New Roman" w:hAnsi="Arial" w:cs="Arial"/>
          <w:lang w:eastAsia="en-GB"/>
        </w:rPr>
        <w:t xml:space="preserve"> </w:t>
      </w:r>
    </w:p>
    <w:p w14:paraId="36DFDD0B" w14:textId="745B5905" w:rsidR="00631B65" w:rsidRDefault="005572AC" w:rsidP="59D65CDC">
      <w:pPr>
        <w:jc w:val="both"/>
        <w:rPr>
          <w:rFonts w:ascii="Arial" w:eastAsia="Times New Roman" w:hAnsi="Arial" w:cs="Arial"/>
          <w:color w:val="000000"/>
          <w:szCs w:val="20"/>
          <w:lang w:eastAsia="en-GB"/>
        </w:rPr>
      </w:pPr>
      <w:r>
        <w:rPr>
          <w:rFonts w:ascii="Arial" w:eastAsia="Times New Roman" w:hAnsi="Arial" w:cs="Arial"/>
          <w:color w:val="000000"/>
          <w:szCs w:val="20"/>
          <w:lang w:eastAsia="en-GB"/>
        </w:rPr>
        <w:t xml:space="preserve">IPs </w:t>
      </w:r>
      <w:r w:rsidRPr="005A0DF8">
        <w:rPr>
          <w:rFonts w:ascii="Arial" w:eastAsia="Times New Roman" w:hAnsi="Arial" w:cs="Arial"/>
          <w:color w:val="000000"/>
          <w:szCs w:val="20"/>
          <w:lang w:eastAsia="en-GB"/>
        </w:rPr>
        <w:t xml:space="preserve">provided </w:t>
      </w:r>
      <w:r w:rsidR="008A7D48">
        <w:rPr>
          <w:rFonts w:ascii="Arial" w:eastAsia="Times New Roman" w:hAnsi="Arial" w:cs="Arial"/>
          <w:color w:val="000000"/>
          <w:szCs w:val="20"/>
          <w:lang w:eastAsia="en-GB"/>
        </w:rPr>
        <w:t>eight</w:t>
      </w:r>
      <w:r w:rsidRPr="005A0DF8">
        <w:rPr>
          <w:rFonts w:ascii="Arial" w:eastAsia="Times New Roman" w:hAnsi="Arial" w:cs="Arial"/>
          <w:color w:val="000000"/>
          <w:szCs w:val="20"/>
          <w:lang w:eastAsia="en-GB"/>
        </w:rPr>
        <w:t xml:space="preserve"> types of services to clients including: physical treatments, forensic exams, legal consultations, legal representations, mediation, mental health (psychosocial) counselling, shelter, </w:t>
      </w:r>
      <w:r>
        <w:rPr>
          <w:rFonts w:ascii="Arial" w:eastAsia="Times New Roman" w:hAnsi="Arial" w:cs="Arial"/>
          <w:color w:val="000000"/>
          <w:szCs w:val="20"/>
          <w:lang w:eastAsia="en-GB"/>
        </w:rPr>
        <w:t xml:space="preserve">and </w:t>
      </w:r>
      <w:r w:rsidRPr="005A0DF8">
        <w:rPr>
          <w:rFonts w:ascii="Arial" w:eastAsia="Times New Roman" w:hAnsi="Arial" w:cs="Arial"/>
          <w:color w:val="000000"/>
          <w:szCs w:val="20"/>
          <w:lang w:eastAsia="en-GB"/>
        </w:rPr>
        <w:t>economic empowerment</w:t>
      </w:r>
      <w:r>
        <w:rPr>
          <w:rFonts w:ascii="Arial" w:eastAsia="Times New Roman" w:hAnsi="Arial" w:cs="Arial"/>
          <w:color w:val="000000"/>
          <w:szCs w:val="20"/>
          <w:lang w:eastAsia="en-GB"/>
        </w:rPr>
        <w:t xml:space="preserve"> (presumably livelihood) options</w:t>
      </w:r>
      <w:r w:rsidRPr="005A0DF8">
        <w:rPr>
          <w:rFonts w:ascii="Arial" w:eastAsia="Times New Roman" w:hAnsi="Arial" w:cs="Arial"/>
          <w:color w:val="000000"/>
          <w:szCs w:val="20"/>
          <w:lang w:eastAsia="en-GB"/>
        </w:rPr>
        <w:t>. Legal consultation was the most requested service and CWCC provided 1</w:t>
      </w:r>
      <w:r>
        <w:rPr>
          <w:rFonts w:ascii="Arial" w:eastAsia="Times New Roman" w:hAnsi="Arial" w:cs="Arial"/>
          <w:color w:val="000000"/>
          <w:szCs w:val="20"/>
          <w:lang w:eastAsia="en-GB"/>
        </w:rPr>
        <w:t>,</w:t>
      </w:r>
      <w:r w:rsidRPr="005A0DF8">
        <w:rPr>
          <w:rFonts w:ascii="Arial" w:eastAsia="Times New Roman" w:hAnsi="Arial" w:cs="Arial"/>
          <w:color w:val="000000"/>
          <w:szCs w:val="20"/>
          <w:lang w:eastAsia="en-GB"/>
        </w:rPr>
        <w:t>117 legal consultations in the period</w:t>
      </w:r>
      <w:r>
        <w:rPr>
          <w:rFonts w:ascii="Arial" w:eastAsia="Times New Roman" w:hAnsi="Arial" w:cs="Arial"/>
          <w:color w:val="000000"/>
          <w:szCs w:val="20"/>
          <w:lang w:eastAsia="en-GB"/>
        </w:rPr>
        <w:t xml:space="preserve"> (equivalent to 67 per cent of total legal advice cases),</w:t>
      </w:r>
      <w:r w:rsidRPr="005A0DF8">
        <w:rPr>
          <w:rFonts w:ascii="Arial" w:eastAsia="Times New Roman" w:hAnsi="Arial" w:cs="Arial"/>
          <w:color w:val="000000"/>
          <w:szCs w:val="20"/>
          <w:lang w:eastAsia="en-GB"/>
        </w:rPr>
        <w:t xml:space="preserve"> followed by LAC (</w:t>
      </w:r>
      <w:r>
        <w:rPr>
          <w:rFonts w:ascii="Arial" w:eastAsia="Times New Roman" w:hAnsi="Arial" w:cs="Arial"/>
          <w:color w:val="000000"/>
          <w:szCs w:val="20"/>
          <w:lang w:eastAsia="en-GB"/>
        </w:rPr>
        <w:t xml:space="preserve">21 per cent / </w:t>
      </w:r>
      <w:r w:rsidRPr="005A0DF8">
        <w:rPr>
          <w:rFonts w:ascii="Arial" w:eastAsia="Times New Roman" w:hAnsi="Arial" w:cs="Arial"/>
          <w:color w:val="000000"/>
          <w:szCs w:val="20"/>
          <w:lang w:eastAsia="en-GB"/>
        </w:rPr>
        <w:t>344</w:t>
      </w:r>
      <w:r>
        <w:rPr>
          <w:rFonts w:ascii="Arial" w:eastAsia="Times New Roman" w:hAnsi="Arial" w:cs="Arial"/>
          <w:color w:val="000000"/>
          <w:szCs w:val="20"/>
          <w:lang w:eastAsia="en-GB"/>
        </w:rPr>
        <w:t xml:space="preserve"> clients</w:t>
      </w:r>
      <w:r w:rsidRPr="005A0DF8">
        <w:rPr>
          <w:rFonts w:ascii="Arial" w:eastAsia="Times New Roman" w:hAnsi="Arial" w:cs="Arial"/>
          <w:color w:val="000000"/>
          <w:szCs w:val="20"/>
          <w:lang w:eastAsia="en-GB"/>
        </w:rPr>
        <w:t>), CARE (</w:t>
      </w:r>
      <w:r>
        <w:rPr>
          <w:rFonts w:ascii="Arial" w:eastAsia="Times New Roman" w:hAnsi="Arial" w:cs="Arial"/>
          <w:color w:val="000000"/>
          <w:szCs w:val="20"/>
          <w:lang w:eastAsia="en-GB"/>
        </w:rPr>
        <w:t xml:space="preserve">6 per cent / </w:t>
      </w:r>
      <w:r w:rsidRPr="005A0DF8">
        <w:rPr>
          <w:rFonts w:ascii="Arial" w:eastAsia="Times New Roman" w:hAnsi="Arial" w:cs="Arial"/>
          <w:color w:val="000000"/>
          <w:szCs w:val="20"/>
          <w:lang w:eastAsia="en-GB"/>
        </w:rPr>
        <w:t>93</w:t>
      </w:r>
      <w:r>
        <w:rPr>
          <w:rFonts w:ascii="Arial" w:eastAsia="Times New Roman" w:hAnsi="Arial" w:cs="Arial"/>
          <w:color w:val="000000"/>
          <w:szCs w:val="20"/>
          <w:lang w:eastAsia="en-GB"/>
        </w:rPr>
        <w:t xml:space="preserve"> clients)</w:t>
      </w:r>
      <w:r w:rsidRPr="005A0DF8">
        <w:rPr>
          <w:rFonts w:ascii="Arial" w:eastAsia="Times New Roman" w:hAnsi="Arial" w:cs="Arial"/>
          <w:color w:val="000000"/>
          <w:szCs w:val="20"/>
          <w:lang w:eastAsia="en-GB"/>
        </w:rPr>
        <w:t xml:space="preserve"> and TPO (</w:t>
      </w:r>
      <w:r>
        <w:rPr>
          <w:rFonts w:ascii="Arial" w:eastAsia="Times New Roman" w:hAnsi="Arial" w:cs="Arial"/>
          <w:color w:val="000000"/>
          <w:szCs w:val="20"/>
          <w:lang w:eastAsia="en-GB"/>
        </w:rPr>
        <w:t>4 per cent / 72 clients</w:t>
      </w:r>
      <w:r w:rsidRPr="005A0DF8">
        <w:rPr>
          <w:rFonts w:ascii="Arial" w:eastAsia="Times New Roman" w:hAnsi="Arial" w:cs="Arial"/>
          <w:color w:val="000000"/>
          <w:szCs w:val="20"/>
          <w:lang w:eastAsia="en-GB"/>
        </w:rPr>
        <w:t>).</w:t>
      </w:r>
      <w:r w:rsidR="00D60E0A">
        <w:rPr>
          <w:rFonts w:ascii="Arial" w:eastAsia="Times New Roman" w:hAnsi="Arial" w:cs="Arial"/>
          <w:color w:val="000000"/>
          <w:szCs w:val="20"/>
          <w:lang w:eastAsia="en-GB"/>
        </w:rPr>
        <w:t xml:space="preserve"> </w:t>
      </w:r>
    </w:p>
    <w:p w14:paraId="69EABC5C" w14:textId="2778BBC7" w:rsidR="005572AC" w:rsidRDefault="7BA2841E" w:rsidP="52E2F618">
      <w:pPr>
        <w:jc w:val="both"/>
        <w:rPr>
          <w:rFonts w:ascii="Arial" w:eastAsia="Times New Roman" w:hAnsi="Arial" w:cs="Arial"/>
          <w:color w:val="000000"/>
          <w:lang w:eastAsia="en-GB"/>
        </w:rPr>
      </w:pPr>
      <w:r w:rsidRPr="59D65CDC">
        <w:rPr>
          <w:rFonts w:ascii="Arial" w:eastAsia="Times New Roman" w:hAnsi="Arial" w:cs="Arial"/>
          <w:b/>
          <w:bCs/>
          <w:color w:val="000000"/>
          <w:lang w:eastAsia="en-GB"/>
        </w:rPr>
        <w:t>In the same period, ACCESS partners provided 773 clients with mediation services.</w:t>
      </w:r>
      <w:r w:rsidRPr="07283E86">
        <w:rPr>
          <w:rFonts w:ascii="Arial" w:eastAsia="Times New Roman" w:hAnsi="Arial" w:cs="Arial"/>
          <w:color w:val="000000"/>
          <w:lang w:eastAsia="en-GB"/>
        </w:rPr>
        <w:t xml:space="preserve"> TPO</w:t>
      </w:r>
      <w:r w:rsidR="1FE644E5" w:rsidRPr="07283E86">
        <w:rPr>
          <w:rFonts w:ascii="Arial" w:eastAsia="Times New Roman" w:hAnsi="Arial" w:cs="Arial"/>
          <w:color w:val="000000"/>
          <w:lang w:eastAsia="en-GB"/>
        </w:rPr>
        <w:t>,</w:t>
      </w:r>
      <w:r w:rsidRPr="07283E86">
        <w:rPr>
          <w:rFonts w:ascii="Arial" w:eastAsia="Times New Roman" w:hAnsi="Arial" w:cs="Arial"/>
          <w:color w:val="000000"/>
          <w:lang w:eastAsia="en-GB"/>
        </w:rPr>
        <w:t xml:space="preserve"> which has counselling rooms at government health sites, provided the highest number of mediation services at 56 per cent of the total number of ACCESS client (429 clients), followed by LAC (22 per cent / 173 clients), CWCC (15 per cent / 114 clients) and CARE (7 per cent / 57). It is important to highlight that mediation is a formal dispute resolution process. It is enshrined in law in Cambodia and a highly promoted practice, but it is contrary to international guidelines. More background information is needed to understand whether these cases were referred from local authorities and the police, and whether these clients received other GBV services alongside mediation (which is presumably so in the case of these ACCESS IPs, but not verified by this evaluation), and the proportion of time that IPs spend on this service provision. </w:t>
      </w:r>
      <w:r w:rsidR="2D03298A" w:rsidRPr="59D65CDC">
        <w:rPr>
          <w:rFonts w:ascii="Arial" w:eastAsia="Times New Roman" w:hAnsi="Arial" w:cs="Arial"/>
          <w:b/>
          <w:bCs/>
          <w:color w:val="000000"/>
          <w:lang w:eastAsia="en-GB"/>
        </w:rPr>
        <w:t>In summary, this data</w:t>
      </w:r>
      <w:r w:rsidRPr="59D65CDC">
        <w:rPr>
          <w:rFonts w:ascii="Arial" w:eastAsia="Times New Roman" w:hAnsi="Arial" w:cs="Arial"/>
          <w:b/>
          <w:bCs/>
          <w:color w:val="000000"/>
          <w:lang w:eastAsia="en-GB"/>
        </w:rPr>
        <w:t xml:space="preserve"> represents the clients who perhaps underwent a more skilled and compassionate mediation experience, but for a service that is not regarded as an advisable GBV response. ACCESS recognises this moral quandary, and both the EVAW and ACCESS programs elected to take a harm reduction approach by trying to improve the counselling skills of the providers involved in these high frequency referrals.</w:t>
      </w:r>
      <w:r w:rsidRPr="07283E86">
        <w:rPr>
          <w:rFonts w:ascii="Arial" w:eastAsia="Times New Roman" w:hAnsi="Arial" w:cs="Arial"/>
          <w:color w:val="000000"/>
          <w:lang w:eastAsia="en-GB"/>
        </w:rPr>
        <w:t xml:space="preserve"> The development of guidelines on its limited use by </w:t>
      </w:r>
      <w:r w:rsidR="00D336A8">
        <w:rPr>
          <w:rFonts w:ascii="Arial" w:eastAsia="Times New Roman" w:hAnsi="Arial" w:cs="Arial"/>
          <w:color w:val="000000"/>
          <w:lang w:eastAsia="en-GB"/>
        </w:rPr>
        <w:t xml:space="preserve">Women Peace Makers – a sub-grantee of </w:t>
      </w:r>
      <w:r w:rsidRPr="07283E86">
        <w:rPr>
          <w:rFonts w:ascii="Arial" w:eastAsia="Times New Roman" w:hAnsi="Arial" w:cs="Arial"/>
          <w:color w:val="000000"/>
          <w:lang w:eastAsia="en-GB"/>
        </w:rPr>
        <w:t>ACCESS IP TAF</w:t>
      </w:r>
      <w:r w:rsidR="00D336A8">
        <w:rPr>
          <w:rFonts w:ascii="Arial" w:eastAsia="Times New Roman" w:hAnsi="Arial" w:cs="Arial"/>
          <w:color w:val="000000"/>
          <w:lang w:eastAsia="en-GB"/>
        </w:rPr>
        <w:t xml:space="preserve"> - </w:t>
      </w:r>
      <w:r w:rsidRPr="07283E86">
        <w:rPr>
          <w:rFonts w:ascii="Arial" w:eastAsia="Times New Roman" w:hAnsi="Arial" w:cs="Arial"/>
          <w:color w:val="000000"/>
          <w:lang w:eastAsia="en-GB"/>
        </w:rPr>
        <w:t xml:space="preserve">also highlights attempts to progressively reduce the practice. </w:t>
      </w:r>
      <w:r w:rsidR="00D83B29">
        <w:rPr>
          <w:rFonts w:ascii="Arial" w:eastAsia="Times New Roman" w:hAnsi="Arial" w:cs="Arial"/>
          <w:color w:val="000000"/>
          <w:lang w:eastAsia="en-GB"/>
        </w:rPr>
        <w:t xml:space="preserve">The evaluation team recognise that Cambodia has a tradition of mediation and that the current program has sought to improve, namely restrict, the implementation of this practice – based on the ACCESS management assessment that it would not be possible to eliminate the practice in the short term. </w:t>
      </w:r>
      <w:r w:rsidR="00A84237">
        <w:rPr>
          <w:rFonts w:ascii="Arial" w:eastAsia="Times New Roman" w:hAnsi="Arial" w:cs="Arial"/>
          <w:color w:val="000000"/>
          <w:lang w:eastAsia="en-GB"/>
        </w:rPr>
        <w:t xml:space="preserve">Any withdrawal </w:t>
      </w:r>
      <w:r w:rsidR="00D83B29">
        <w:rPr>
          <w:rFonts w:ascii="Arial" w:eastAsia="Times New Roman" w:hAnsi="Arial" w:cs="Arial"/>
          <w:color w:val="000000"/>
          <w:lang w:eastAsia="en-GB"/>
        </w:rPr>
        <w:t xml:space="preserve">of ODA support to </w:t>
      </w:r>
      <w:r w:rsidR="00A84237">
        <w:rPr>
          <w:rFonts w:ascii="Arial" w:eastAsia="Times New Roman" w:hAnsi="Arial" w:cs="Arial"/>
          <w:color w:val="000000"/>
          <w:lang w:eastAsia="en-GB"/>
        </w:rPr>
        <w:t>this area</w:t>
      </w:r>
      <w:r w:rsidR="7BE70F7B" w:rsidRPr="59D65CDC">
        <w:rPr>
          <w:rFonts w:ascii="Arial" w:eastAsia="Times New Roman" w:hAnsi="Arial" w:cs="Arial"/>
          <w:color w:val="000000"/>
          <w:lang w:eastAsia="en-GB"/>
        </w:rPr>
        <w:t xml:space="preserve"> should </w:t>
      </w:r>
      <w:r w:rsidR="34AF744C" w:rsidRPr="59D65CDC">
        <w:rPr>
          <w:rFonts w:ascii="Arial" w:eastAsia="Times New Roman" w:hAnsi="Arial" w:cs="Arial"/>
          <w:color w:val="000000"/>
          <w:lang w:eastAsia="en-GB"/>
        </w:rPr>
        <w:t xml:space="preserve">be done </w:t>
      </w:r>
      <w:r w:rsidR="7BE70F7B" w:rsidRPr="59D65CDC">
        <w:rPr>
          <w:rFonts w:ascii="Arial" w:eastAsia="Times New Roman" w:hAnsi="Arial" w:cs="Arial"/>
          <w:color w:val="000000"/>
          <w:lang w:eastAsia="en-GB"/>
        </w:rPr>
        <w:t xml:space="preserve">in full consultation with IPs </w:t>
      </w:r>
      <w:r w:rsidR="00D336A8">
        <w:rPr>
          <w:rFonts w:ascii="Arial" w:eastAsia="Times New Roman" w:hAnsi="Arial" w:cs="Arial"/>
          <w:color w:val="000000"/>
          <w:lang w:eastAsia="en-GB"/>
        </w:rPr>
        <w:t xml:space="preserve">and other advisers or </w:t>
      </w:r>
      <w:r w:rsidR="00D83B29">
        <w:rPr>
          <w:rFonts w:ascii="Arial" w:eastAsia="Times New Roman" w:hAnsi="Arial" w:cs="Arial"/>
          <w:color w:val="000000"/>
          <w:lang w:eastAsia="en-GB"/>
        </w:rPr>
        <w:t xml:space="preserve">women’s </w:t>
      </w:r>
      <w:r w:rsidR="00D336A8">
        <w:rPr>
          <w:rFonts w:ascii="Arial" w:eastAsia="Times New Roman" w:hAnsi="Arial" w:cs="Arial"/>
          <w:color w:val="000000"/>
          <w:lang w:eastAsia="en-GB"/>
        </w:rPr>
        <w:t xml:space="preserve">groups </w:t>
      </w:r>
      <w:r w:rsidR="7BE70F7B" w:rsidRPr="59D65CDC">
        <w:rPr>
          <w:rFonts w:ascii="Arial" w:eastAsia="Times New Roman" w:hAnsi="Arial" w:cs="Arial"/>
          <w:color w:val="000000"/>
          <w:lang w:eastAsia="en-GB"/>
        </w:rPr>
        <w:t xml:space="preserve">to ensure that </w:t>
      </w:r>
      <w:r w:rsidR="00D83B29">
        <w:rPr>
          <w:rFonts w:ascii="Arial" w:eastAsia="Times New Roman" w:hAnsi="Arial" w:cs="Arial"/>
          <w:color w:val="000000"/>
          <w:lang w:eastAsia="en-GB"/>
        </w:rPr>
        <w:t>it is</w:t>
      </w:r>
      <w:r w:rsidR="7BE70F7B" w:rsidRPr="59D65CDC">
        <w:rPr>
          <w:rFonts w:ascii="Arial" w:eastAsia="Times New Roman" w:hAnsi="Arial" w:cs="Arial"/>
          <w:color w:val="000000"/>
          <w:lang w:eastAsia="en-GB"/>
        </w:rPr>
        <w:t xml:space="preserve"> sequenced in a way tha</w:t>
      </w:r>
      <w:r w:rsidR="6847A47D" w:rsidRPr="59D65CDC">
        <w:rPr>
          <w:rFonts w:ascii="Arial" w:eastAsia="Times New Roman" w:hAnsi="Arial" w:cs="Arial"/>
          <w:color w:val="000000"/>
          <w:lang w:eastAsia="en-GB"/>
        </w:rPr>
        <w:t>t</w:t>
      </w:r>
      <w:r w:rsidR="0F2F28D0" w:rsidRPr="59D65CDC">
        <w:rPr>
          <w:rFonts w:ascii="Arial" w:eastAsia="Times New Roman" w:hAnsi="Arial" w:cs="Arial"/>
          <w:color w:val="000000"/>
          <w:lang w:eastAsia="en-GB"/>
        </w:rPr>
        <w:t xml:space="preserve"> avoids risk or harm for survivors.</w:t>
      </w:r>
    </w:p>
    <w:p w14:paraId="5E4D3D05" w14:textId="77777777" w:rsidR="008B7CD0" w:rsidRPr="00043707" w:rsidRDefault="008B7CD0" w:rsidP="008B7CD0">
      <w:pPr>
        <w:textAlignment w:val="baseline"/>
        <w:rPr>
          <w:rFonts w:ascii="Arial" w:eastAsia="Times New Roman" w:hAnsi="Arial" w:cs="Arial"/>
          <w:b/>
          <w:bCs/>
          <w:color w:val="1D336D" w:themeColor="background2"/>
          <w:lang w:eastAsia="en-GB"/>
        </w:rPr>
      </w:pPr>
      <w:r w:rsidRPr="00043707">
        <w:rPr>
          <w:rFonts w:ascii="Arial" w:eastAsia="Times New Roman" w:hAnsi="Arial" w:cs="Arial"/>
          <w:b/>
          <w:bCs/>
          <w:color w:val="1D336D" w:themeColor="background2"/>
          <w:lang w:eastAsia="en-GB"/>
        </w:rPr>
        <w:t>Figure 4: GBV services data summary</w:t>
      </w:r>
    </w:p>
    <w:p w14:paraId="542AC7F9" w14:textId="77777777" w:rsidR="008B7CD0" w:rsidRDefault="008B7CD0" w:rsidP="008B7CD0">
      <w:pPr>
        <w:jc w:val="both"/>
        <w:rPr>
          <w:rFonts w:ascii="Arial" w:eastAsia="Times New Roman" w:hAnsi="Arial" w:cs="Arial"/>
          <w:color w:val="000000"/>
          <w:szCs w:val="20"/>
          <w:lang w:eastAsia="en-GB"/>
        </w:rPr>
      </w:pPr>
      <w:r>
        <w:rPr>
          <w:noProof/>
        </w:rPr>
        <w:drawing>
          <wp:inline distT="0" distB="0" distL="0" distR="0" wp14:anchorId="08468F86" wp14:editId="228FBE98">
            <wp:extent cx="2554816" cy="2084882"/>
            <wp:effectExtent l="19050" t="19050" r="17145" b="10795"/>
            <wp:docPr id="15" name="Picture 15" descr="A pie chart of the eight types of gender-based violence services provided between September 2019 and June 2022. The results are: shelter 7%, Mental health/psychosocial counseling 19%, mediation 17%, legal representation 11%, legal consultation 36%, forensic exam 5%, physical treatment 2%, economic empowerme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e chart of the eight types of gender-based violence services provided between September 2019 and June 2022. The results are: shelter 7%, Mental health/psychosocial counseling 19%, mediation 17%, legal representation 11%, legal consultation 36%, forensic exam 5%, physical treatment 2%, economic empowerment 3%."/>
                    <pic:cNvPicPr>
                      <a:picLocks noChangeAspect="1"/>
                    </pic:cNvPicPr>
                  </pic:nvPicPr>
                  <pic:blipFill rotWithShape="1">
                    <a:blip r:embed="rId25" cstate="print">
                      <a:extLst>
                        <a:ext uri="{28A0092B-C50C-407E-A947-70E740481C1C}">
                          <a14:useLocalDpi xmlns:a14="http://schemas.microsoft.com/office/drawing/2010/main" val="0"/>
                        </a:ext>
                      </a:extLst>
                    </a:blip>
                    <a:srcRect l="4516" t="1617" r="1412" b="582"/>
                    <a:stretch/>
                  </pic:blipFill>
                  <pic:spPr bwMode="auto">
                    <a:xfrm>
                      <a:off x="0" y="0"/>
                      <a:ext cx="2561387" cy="2090244"/>
                    </a:xfrm>
                    <a:prstGeom prst="rect">
                      <a:avLst/>
                    </a:prstGeom>
                    <a:noFill/>
                    <a:ln>
                      <a:solidFill>
                        <a:schemeClr val="bg1">
                          <a:lumMod val="85000"/>
                        </a:schemeClr>
                      </a:solidFill>
                    </a:ln>
                  </pic:spPr>
                </pic:pic>
              </a:graphicData>
            </a:graphic>
          </wp:inline>
        </w:drawing>
      </w:r>
      <w:r>
        <w:rPr>
          <w:rFonts w:ascii="Arial" w:eastAsia="Times New Roman" w:hAnsi="Arial" w:cs="Arial"/>
          <w:noProof/>
          <w:color w:val="000000"/>
          <w:szCs w:val="20"/>
          <w:lang w:eastAsia="en-GB"/>
        </w:rPr>
        <w:drawing>
          <wp:inline distT="0" distB="0" distL="0" distR="0" wp14:anchorId="1DB88748" wp14:editId="0A729D2D">
            <wp:extent cx="2461683" cy="2084611"/>
            <wp:effectExtent l="19050" t="19050" r="15240" b="11430"/>
            <wp:docPr id="55" name="Picture 55" descr="A pie chart of mediation services provided by implementing partners from september 2019 to june 2022. CARE 7%, CWCC 15%, TPO 56% and LA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e chart of mediation services provided by implementing partners from september 2019 to june 2022. CARE 7%, CWCC 15%, TPO 56% and LAC 22%."/>
                    <pic:cNvPicPr>
                      <a:picLocks noChangeAspect="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465484" cy="2087830"/>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5C2522E8" w14:textId="310C47D5" w:rsidR="00C54725" w:rsidRPr="004D652B" w:rsidRDefault="00C54725" w:rsidP="007047F5">
      <w:pPr>
        <w:pStyle w:val="Heading4"/>
        <w:rPr>
          <w:lang w:eastAsia="en-GB"/>
        </w:rPr>
      </w:pPr>
      <w:r w:rsidRPr="004D652B">
        <w:rPr>
          <w:lang w:eastAsia="en-GB"/>
        </w:rPr>
        <w:lastRenderedPageBreak/>
        <w:t>Inclusiveness and intersectionality</w:t>
      </w:r>
    </w:p>
    <w:p w14:paraId="24BBD03C" w14:textId="509EF6A6" w:rsidR="005572AC" w:rsidRPr="00883B96" w:rsidRDefault="005572AC" w:rsidP="07283E86">
      <w:pPr>
        <w:jc w:val="both"/>
        <w:textAlignment w:val="baseline"/>
        <w:rPr>
          <w:rFonts w:ascii="Arial" w:eastAsia="Times New Roman" w:hAnsi="Arial" w:cs="Arial"/>
          <w:color w:val="000000"/>
          <w:lang w:eastAsia="en-GB"/>
        </w:rPr>
      </w:pPr>
      <w:r w:rsidRPr="07283E86">
        <w:rPr>
          <w:rFonts w:ascii="Arial" w:eastAsia="Times New Roman" w:hAnsi="Arial" w:cs="Arial"/>
          <w:b/>
          <w:bCs/>
          <w:lang w:eastAsia="en-GB"/>
        </w:rPr>
        <w:t xml:space="preserve">ACCESS </w:t>
      </w:r>
      <w:r w:rsidR="495F5954" w:rsidRPr="07283E86">
        <w:rPr>
          <w:rFonts w:ascii="Arial" w:eastAsia="Times New Roman" w:hAnsi="Arial" w:cs="Arial"/>
          <w:b/>
          <w:bCs/>
          <w:lang w:eastAsia="en-GB"/>
        </w:rPr>
        <w:t>is</w:t>
      </w:r>
      <w:r w:rsidRPr="07283E86">
        <w:rPr>
          <w:rFonts w:ascii="Arial" w:eastAsia="Times New Roman" w:hAnsi="Arial" w:cs="Arial"/>
          <w:b/>
          <w:bCs/>
          <w:lang w:eastAsia="en-GB"/>
        </w:rPr>
        <w:t xml:space="preserve"> taking increasing account of inclusiveness and ‘intersectionality’ </w:t>
      </w:r>
      <w:r w:rsidR="3C6C06C3" w:rsidRPr="07283E86">
        <w:rPr>
          <w:rFonts w:ascii="Arial" w:eastAsia="Times New Roman" w:hAnsi="Arial" w:cs="Arial"/>
          <w:b/>
          <w:bCs/>
          <w:lang w:eastAsia="en-GB"/>
        </w:rPr>
        <w:t xml:space="preserve">but it is uneven across IPs, </w:t>
      </w:r>
      <w:r w:rsidRPr="07283E86">
        <w:rPr>
          <w:rFonts w:ascii="Arial" w:eastAsia="Times New Roman" w:hAnsi="Arial" w:cs="Arial"/>
          <w:b/>
          <w:bCs/>
          <w:lang w:eastAsia="en-GB"/>
        </w:rPr>
        <w:t xml:space="preserve">with CARE’s work being a </w:t>
      </w:r>
      <w:r w:rsidR="001056BC">
        <w:rPr>
          <w:rFonts w:ascii="Arial" w:eastAsia="Times New Roman" w:hAnsi="Arial" w:cs="Arial"/>
          <w:b/>
          <w:bCs/>
          <w:lang w:eastAsia="en-GB"/>
        </w:rPr>
        <w:t>standout</w:t>
      </w:r>
      <w:r w:rsidRPr="07283E86">
        <w:rPr>
          <w:rFonts w:ascii="Arial" w:eastAsia="Times New Roman" w:hAnsi="Arial" w:cs="Arial"/>
          <w:b/>
          <w:bCs/>
          <w:lang w:eastAsia="en-GB"/>
        </w:rPr>
        <w:t xml:space="preserve">. </w:t>
      </w:r>
      <w:r w:rsidRPr="07283E86">
        <w:rPr>
          <w:rFonts w:ascii="Arial" w:eastAsia="Times New Roman" w:hAnsi="Arial" w:cs="Arial"/>
          <w:lang w:eastAsia="en-GB"/>
        </w:rPr>
        <w:t xml:space="preserve">It needs to be acknowledged that ACCESS is fundamentally about inclusion in the first place. The </w:t>
      </w:r>
      <w:r w:rsidR="00456FB6" w:rsidRPr="07283E86">
        <w:rPr>
          <w:rFonts w:ascii="Arial" w:eastAsia="Times New Roman" w:hAnsi="Arial" w:cs="Arial"/>
          <w:lang w:eastAsia="en-GB"/>
        </w:rPr>
        <w:t>primary purpose of</w:t>
      </w:r>
      <w:r w:rsidRPr="07283E86">
        <w:rPr>
          <w:rFonts w:ascii="Arial" w:eastAsia="Times New Roman" w:hAnsi="Arial" w:cs="Arial"/>
          <w:lang w:eastAsia="en-GB"/>
        </w:rPr>
        <w:t xml:space="preserve"> the program is to overcome the physical, institutional, attitudinal and service barriers that prevent people from access</w:t>
      </w:r>
      <w:r w:rsidR="00F661CA">
        <w:rPr>
          <w:rFonts w:ascii="Arial" w:eastAsia="Times New Roman" w:hAnsi="Arial" w:cs="Arial"/>
          <w:lang w:eastAsia="en-GB"/>
        </w:rPr>
        <w:t>ing</w:t>
      </w:r>
      <w:r w:rsidRPr="07283E86">
        <w:rPr>
          <w:rFonts w:ascii="Arial" w:eastAsia="Times New Roman" w:hAnsi="Arial" w:cs="Arial"/>
          <w:lang w:eastAsia="en-GB"/>
        </w:rPr>
        <w:t xml:space="preserve"> GBV and disability services. Greater inclusiveness is therefore understood here as ensuring that ACCESS is conscious of reaching the full diversity of users of GBV and disability services – with attention </w:t>
      </w:r>
      <w:r w:rsidR="0016233C">
        <w:rPr>
          <w:rFonts w:ascii="Arial" w:eastAsia="Times New Roman" w:hAnsi="Arial" w:cs="Arial"/>
          <w:lang w:eastAsia="en-GB"/>
        </w:rPr>
        <w:t xml:space="preserve">to </w:t>
      </w:r>
      <w:r w:rsidRPr="07283E86">
        <w:rPr>
          <w:rFonts w:ascii="Arial" w:eastAsia="Times New Roman" w:hAnsi="Arial" w:cs="Arial"/>
          <w:lang w:eastAsia="en-GB"/>
        </w:rPr>
        <w:t>gender, ethnicity, residence and socio-economic means. Certainly, consideration of outreach and cross referral of people with disabilities experiencing violence and of survivors of violence with disabilities would be an important starting point.</w:t>
      </w:r>
    </w:p>
    <w:p w14:paraId="5CB1D02A" w14:textId="37031F1F" w:rsidR="005572AC" w:rsidRPr="009B357D" w:rsidRDefault="005572AC" w:rsidP="07283E86">
      <w:pPr>
        <w:jc w:val="both"/>
        <w:textAlignment w:val="baseline"/>
        <w:rPr>
          <w:rFonts w:ascii="Arial" w:eastAsia="Times New Roman" w:hAnsi="Arial" w:cs="Arial"/>
          <w:b/>
          <w:bCs/>
          <w:color w:val="000000"/>
          <w:lang w:eastAsia="en-GB"/>
        </w:rPr>
      </w:pPr>
      <w:r w:rsidRPr="07283E86">
        <w:rPr>
          <w:rFonts w:ascii="Arial" w:eastAsia="Times New Roman" w:hAnsi="Arial" w:cs="Arial"/>
          <w:b/>
          <w:bCs/>
          <w:lang w:eastAsia="en-GB"/>
        </w:rPr>
        <w:t xml:space="preserve">In Phase 1, evidence of inclusiveness was limited and GEDSI advice was not </w:t>
      </w:r>
      <w:r w:rsidR="006D3A43" w:rsidRPr="07283E86">
        <w:rPr>
          <w:rFonts w:ascii="Arial" w:eastAsia="Times New Roman" w:hAnsi="Arial" w:cs="Arial"/>
          <w:b/>
          <w:bCs/>
          <w:lang w:eastAsia="en-GB"/>
        </w:rPr>
        <w:t xml:space="preserve">sufficiently </w:t>
      </w:r>
      <w:r w:rsidRPr="07283E86">
        <w:rPr>
          <w:rFonts w:ascii="Arial" w:eastAsia="Times New Roman" w:hAnsi="Arial" w:cs="Arial"/>
          <w:b/>
          <w:bCs/>
          <w:lang w:eastAsia="en-GB"/>
        </w:rPr>
        <w:t xml:space="preserve">resourced. </w:t>
      </w:r>
      <w:r w:rsidRPr="07283E86">
        <w:rPr>
          <w:rFonts w:ascii="Arial" w:eastAsia="Times New Roman" w:hAnsi="Arial" w:cs="Arial"/>
          <w:lang w:eastAsia="en-GB"/>
        </w:rPr>
        <w:t xml:space="preserve">ACCESS established separate disability and GBV workstreams with </w:t>
      </w:r>
      <w:r w:rsidR="00B90099" w:rsidRPr="07283E86">
        <w:rPr>
          <w:rFonts w:ascii="Arial" w:eastAsia="Times New Roman" w:hAnsi="Arial" w:cs="Arial"/>
          <w:lang w:eastAsia="en-GB"/>
        </w:rPr>
        <w:t xml:space="preserve">IPs, which </w:t>
      </w:r>
      <w:r w:rsidRPr="07283E86">
        <w:rPr>
          <w:rFonts w:ascii="Arial" w:eastAsia="Times New Roman" w:hAnsi="Arial" w:cs="Arial"/>
          <w:lang w:eastAsia="en-GB"/>
        </w:rPr>
        <w:t xml:space="preserve">makes sense from a coordination perspective, however, </w:t>
      </w:r>
      <w:r w:rsidR="00F04D38" w:rsidRPr="07283E86">
        <w:rPr>
          <w:rFonts w:ascii="Arial" w:eastAsia="Times New Roman" w:hAnsi="Arial" w:cs="Arial"/>
          <w:lang w:eastAsia="en-GB"/>
        </w:rPr>
        <w:t>stakeholders reported that</w:t>
      </w:r>
      <w:r w:rsidRPr="07283E86">
        <w:rPr>
          <w:rFonts w:ascii="Arial" w:eastAsia="Times New Roman" w:hAnsi="Arial" w:cs="Arial"/>
          <w:lang w:eastAsia="en-GB"/>
        </w:rPr>
        <w:t xml:space="preserve"> it had the unintended effect of creating silos. This meant that opportunities for promoting the gender responsiveness or disability inclusiveness of services were missed. Notably, the ACCESS design provided for the recruitment of GBV and disability inclusion advisors (long term, but on a consultant basis up to a certain number of days per year) but it did not include recruitment of a separate Gender Equality and Social Inclusion advisor – despite having a GESI strategy. It has been a learning for the program, as acknowledged by the Team Leader, that GESI skills were needed to better support the interaction or joint activities between the workstreams, and to take an intersectional and holistic lens to the program and consider intersecting forms of discrimination and disadvantage. ACCESS did commission two GESI reviews (2020, 2022). Additional to the above points, key findings of these reviews included ACCESS having a ‘narrow’ definition of intersectionality - understood as joint work between disability and GBV IPs; situating GBV in a broader discussion of gender inequality, women’s rights and the do no harm principle; and taking simple, practical actions to promote and monitor GESI.</w:t>
      </w:r>
    </w:p>
    <w:p w14:paraId="0B32DDC5" w14:textId="2951F600" w:rsidR="005572AC" w:rsidRPr="00B3353E" w:rsidRDefault="005572AC" w:rsidP="00C6283B">
      <w:pPr>
        <w:jc w:val="both"/>
        <w:textAlignment w:val="baseline"/>
        <w:rPr>
          <w:rFonts w:ascii="Arial" w:eastAsia="Times New Roman" w:hAnsi="Arial" w:cs="Arial"/>
          <w:color w:val="000000"/>
          <w:szCs w:val="20"/>
          <w:lang w:eastAsia="en-GB"/>
        </w:rPr>
      </w:pPr>
      <w:r>
        <w:rPr>
          <w:rFonts w:ascii="Arial" w:eastAsia="Times New Roman" w:hAnsi="Arial" w:cs="Arial"/>
          <w:color w:val="000000"/>
          <w:szCs w:val="20"/>
          <w:lang w:eastAsia="en-GB"/>
        </w:rPr>
        <w:t xml:space="preserve">The </w:t>
      </w:r>
      <w:r w:rsidRPr="00F901C5">
        <w:rPr>
          <w:rFonts w:ascii="Arial" w:eastAsia="Times New Roman" w:hAnsi="Arial" w:cs="Arial"/>
          <w:b/>
          <w:bCs/>
          <w:color w:val="000000"/>
          <w:szCs w:val="20"/>
          <w:lang w:eastAsia="en-GB"/>
        </w:rPr>
        <w:t xml:space="preserve">main example of an inclusive approach </w:t>
      </w:r>
      <w:r>
        <w:rPr>
          <w:rFonts w:ascii="Arial" w:eastAsia="Times New Roman" w:hAnsi="Arial" w:cs="Arial"/>
          <w:b/>
          <w:bCs/>
          <w:color w:val="000000"/>
          <w:szCs w:val="20"/>
          <w:lang w:eastAsia="en-GB"/>
        </w:rPr>
        <w:t>in Phase 1</w:t>
      </w:r>
      <w:r w:rsidRPr="00F901C5">
        <w:rPr>
          <w:rFonts w:ascii="Arial" w:eastAsia="Times New Roman" w:hAnsi="Arial" w:cs="Arial"/>
          <w:b/>
          <w:bCs/>
          <w:color w:val="000000"/>
          <w:szCs w:val="20"/>
          <w:lang w:eastAsia="en-GB"/>
        </w:rPr>
        <w:t xml:space="preserve"> was CARE</w:t>
      </w:r>
      <w:r>
        <w:rPr>
          <w:rFonts w:ascii="Arial" w:eastAsia="Times New Roman" w:hAnsi="Arial" w:cs="Arial"/>
          <w:color w:val="000000"/>
          <w:szCs w:val="20"/>
          <w:lang w:eastAsia="en-GB"/>
        </w:rPr>
        <w:t xml:space="preserve"> </w:t>
      </w:r>
      <w:r w:rsidRPr="00DA29D7">
        <w:rPr>
          <w:rFonts w:ascii="Arial" w:eastAsia="Times New Roman" w:hAnsi="Arial" w:cs="Arial"/>
          <w:b/>
          <w:bCs/>
          <w:color w:val="000000"/>
          <w:szCs w:val="20"/>
          <w:lang w:eastAsia="en-GB"/>
        </w:rPr>
        <w:t xml:space="preserve">International’s support to multi-sectoral services in </w:t>
      </w:r>
      <w:proofErr w:type="spellStart"/>
      <w:r w:rsidRPr="00DA29D7">
        <w:rPr>
          <w:rFonts w:ascii="Arial" w:eastAsia="Times New Roman" w:hAnsi="Arial" w:cs="Arial"/>
          <w:b/>
          <w:bCs/>
          <w:color w:val="000000"/>
          <w:szCs w:val="20"/>
          <w:lang w:eastAsia="en-GB"/>
        </w:rPr>
        <w:t>Ratanakiri</w:t>
      </w:r>
      <w:proofErr w:type="spellEnd"/>
      <w:r w:rsidRPr="00DA29D7">
        <w:rPr>
          <w:rFonts w:ascii="Arial" w:eastAsia="Times New Roman" w:hAnsi="Arial" w:cs="Arial"/>
          <w:b/>
          <w:bCs/>
          <w:color w:val="000000"/>
          <w:szCs w:val="20"/>
          <w:lang w:eastAsia="en-GB"/>
        </w:rPr>
        <w:t xml:space="preserve"> Province,</w:t>
      </w:r>
      <w:r>
        <w:rPr>
          <w:rFonts w:ascii="Arial" w:eastAsia="Times New Roman" w:hAnsi="Arial" w:cs="Arial"/>
          <w:color w:val="000000"/>
          <w:szCs w:val="20"/>
          <w:lang w:eastAsia="en-GB"/>
        </w:rPr>
        <w:t xml:space="preserve"> </w:t>
      </w:r>
      <w:r w:rsidRPr="00DA29D7">
        <w:rPr>
          <w:rFonts w:ascii="Arial" w:eastAsia="Times New Roman" w:hAnsi="Arial" w:cs="Arial"/>
          <w:b/>
          <w:bCs/>
          <w:color w:val="000000"/>
          <w:szCs w:val="20"/>
          <w:lang w:eastAsia="en-GB"/>
        </w:rPr>
        <w:t>working with ethnic minority communities</w:t>
      </w:r>
      <w:r>
        <w:rPr>
          <w:rFonts w:ascii="Arial" w:eastAsia="Times New Roman" w:hAnsi="Arial" w:cs="Arial"/>
          <w:color w:val="000000"/>
          <w:szCs w:val="20"/>
          <w:lang w:eastAsia="en-GB"/>
        </w:rPr>
        <w:t>. ACCESS funding enabled CARE to extend its work into GBV service provision. CARE has had a long -</w:t>
      </w:r>
      <w:r w:rsidR="00B3396B">
        <w:rPr>
          <w:rFonts w:ascii="Arial" w:eastAsia="Times New Roman" w:hAnsi="Arial" w:cs="Arial"/>
          <w:color w:val="000000"/>
          <w:szCs w:val="20"/>
          <w:lang w:eastAsia="en-GB"/>
        </w:rPr>
        <w:t>s</w:t>
      </w:r>
      <w:r>
        <w:rPr>
          <w:rFonts w:ascii="Arial" w:eastAsia="Times New Roman" w:hAnsi="Arial" w:cs="Arial"/>
          <w:color w:val="000000"/>
          <w:szCs w:val="20"/>
          <w:lang w:eastAsia="en-GB"/>
        </w:rPr>
        <w:t xml:space="preserve">tanding presence in the province, with staff fluent in local languages and experienced in culturally appropriate ways to support community development. Their understanding of local conditions and customs is important to note when pursuing greater inclusion of ethnic minority people. </w:t>
      </w:r>
      <w:r w:rsidR="006F1D5A">
        <w:rPr>
          <w:rFonts w:ascii="Arial" w:eastAsia="Times New Roman" w:hAnsi="Arial" w:cs="Arial"/>
          <w:color w:val="000000"/>
          <w:szCs w:val="20"/>
          <w:lang w:eastAsia="en-GB"/>
        </w:rPr>
        <w:t>Aside from this,</w:t>
      </w:r>
      <w:r>
        <w:rPr>
          <w:rFonts w:ascii="Arial" w:eastAsia="Times New Roman" w:hAnsi="Arial" w:cs="Arial"/>
          <w:color w:val="000000"/>
          <w:szCs w:val="20"/>
          <w:lang w:eastAsia="en-GB"/>
        </w:rPr>
        <w:t xml:space="preserve"> examples of inclusion in </w:t>
      </w:r>
      <w:r w:rsidR="006F1D5A">
        <w:rPr>
          <w:rFonts w:ascii="Arial" w:eastAsia="Times New Roman" w:hAnsi="Arial" w:cs="Arial"/>
          <w:color w:val="000000"/>
          <w:szCs w:val="20"/>
          <w:lang w:eastAsia="en-GB"/>
        </w:rPr>
        <w:t>phase one were limited</w:t>
      </w:r>
      <w:r>
        <w:rPr>
          <w:rFonts w:ascii="Arial" w:eastAsia="Times New Roman" w:hAnsi="Arial" w:cs="Arial"/>
          <w:color w:val="000000"/>
          <w:szCs w:val="20"/>
          <w:lang w:eastAsia="en-GB"/>
        </w:rPr>
        <w:t>. Data from disability service providers interviewed in the 2019-20 SAQUS highlighted that only one quarter of people seeking services were women. This was acknowledged by the ACCESS team</w:t>
      </w:r>
      <w:r w:rsidR="00DF676B">
        <w:rPr>
          <w:rFonts w:ascii="Arial" w:eastAsia="Times New Roman" w:hAnsi="Arial" w:cs="Arial"/>
          <w:color w:val="000000"/>
          <w:szCs w:val="20"/>
          <w:lang w:eastAsia="en-GB"/>
        </w:rPr>
        <w:t>.</w:t>
      </w:r>
    </w:p>
    <w:p w14:paraId="77D43E99" w14:textId="5594B58F" w:rsidR="005572AC" w:rsidRPr="00B3353E" w:rsidRDefault="005572AC" w:rsidP="07283E86">
      <w:pPr>
        <w:jc w:val="both"/>
        <w:textAlignment w:val="baseline"/>
        <w:rPr>
          <w:rFonts w:ascii="Arial" w:eastAsia="Times New Roman" w:hAnsi="Arial" w:cs="Arial"/>
          <w:b/>
          <w:bCs/>
          <w:color w:val="000000"/>
          <w:lang w:eastAsia="en-GB"/>
        </w:rPr>
      </w:pPr>
      <w:r w:rsidRPr="07283E86">
        <w:rPr>
          <w:rFonts w:ascii="Arial" w:eastAsia="Times New Roman" w:hAnsi="Arial" w:cs="Arial"/>
          <w:b/>
          <w:bCs/>
          <w:lang w:eastAsia="en-GB"/>
        </w:rPr>
        <w:t xml:space="preserve">By Phase 2, there was evidence of ACCESS and IPs taking a more intentional approach to inclusion. </w:t>
      </w:r>
      <w:r w:rsidRPr="07283E86">
        <w:rPr>
          <w:rFonts w:ascii="Arial" w:eastAsia="Times New Roman" w:hAnsi="Arial" w:cs="Arial"/>
          <w:lang w:eastAsia="en-GB"/>
        </w:rPr>
        <w:t xml:space="preserve">In this phase, ACCESS appointed a full time national GESI advisor and an international advisor on an STA-basis. ACCESS has now developed a Gender Equality and Disability Inclusion (GEDI) training package which it has rolled out to ACCESS stakeholders. </w:t>
      </w:r>
      <w:r w:rsidR="00C9484E" w:rsidRPr="07283E86">
        <w:rPr>
          <w:rFonts w:ascii="Arial" w:eastAsia="Times New Roman" w:hAnsi="Arial" w:cs="Arial"/>
          <w:lang w:eastAsia="en-GB"/>
        </w:rPr>
        <w:t>Two</w:t>
      </w:r>
      <w:r w:rsidRPr="07283E86">
        <w:rPr>
          <w:rFonts w:ascii="Arial" w:eastAsia="Times New Roman" w:hAnsi="Arial" w:cs="Arial"/>
          <w:lang w:eastAsia="en-GB"/>
        </w:rPr>
        <w:t xml:space="preserve"> IPs – CWCC and ADD International</w:t>
      </w:r>
      <w:r w:rsidR="00A978B2" w:rsidRPr="07283E86">
        <w:rPr>
          <w:rFonts w:ascii="Arial" w:eastAsia="Times New Roman" w:hAnsi="Arial" w:cs="Arial"/>
          <w:lang w:eastAsia="en-GB"/>
        </w:rPr>
        <w:t xml:space="preserve"> –</w:t>
      </w:r>
      <w:r w:rsidRPr="07283E86">
        <w:rPr>
          <w:rFonts w:ascii="Arial" w:eastAsia="Times New Roman" w:hAnsi="Arial" w:cs="Arial"/>
          <w:lang w:eastAsia="en-GB"/>
        </w:rPr>
        <w:t xml:space="preserve"> </w:t>
      </w:r>
      <w:r w:rsidR="00C9484E" w:rsidRPr="07283E86">
        <w:rPr>
          <w:rFonts w:ascii="Arial" w:eastAsia="Times New Roman" w:hAnsi="Arial" w:cs="Arial"/>
          <w:lang w:eastAsia="en-GB"/>
        </w:rPr>
        <w:t xml:space="preserve">have </w:t>
      </w:r>
      <w:r w:rsidRPr="07283E86">
        <w:rPr>
          <w:rFonts w:ascii="Arial" w:eastAsia="Times New Roman" w:hAnsi="Arial" w:cs="Arial"/>
          <w:lang w:eastAsia="en-GB"/>
        </w:rPr>
        <w:t>submitted a proposal to ACESS to support integrated training on disability-inclusive GBV service provision and GBV-responsive disability service provision. CWCC noted that it is starting to support women with disabilities experiencing violence and is interested in further reach and support to this community of women.</w:t>
      </w:r>
    </w:p>
    <w:p w14:paraId="5444099D" w14:textId="2CB33A62" w:rsidR="005572AC" w:rsidRDefault="005572AC" w:rsidP="009E3677">
      <w:pPr>
        <w:jc w:val="both"/>
        <w:textAlignment w:val="baseline"/>
        <w:rPr>
          <w:rFonts w:ascii="Arial" w:eastAsia="Times New Roman" w:hAnsi="Arial" w:cs="Arial"/>
          <w:color w:val="000000"/>
          <w:szCs w:val="20"/>
          <w:lang w:eastAsia="en-GB"/>
        </w:rPr>
      </w:pPr>
      <w:r>
        <w:rPr>
          <w:rFonts w:ascii="Arial" w:eastAsia="Times New Roman" w:hAnsi="Arial" w:cs="Arial"/>
          <w:color w:val="000000"/>
          <w:szCs w:val="20"/>
          <w:lang w:eastAsia="en-GB"/>
        </w:rPr>
        <w:t>The evaluation noted that t</w:t>
      </w:r>
      <w:r w:rsidRPr="00B85FAA">
        <w:rPr>
          <w:rFonts w:ascii="Arial" w:eastAsia="Times New Roman" w:hAnsi="Arial" w:cs="Arial"/>
          <w:color w:val="000000"/>
          <w:szCs w:val="20"/>
          <w:lang w:eastAsia="en-GB"/>
        </w:rPr>
        <w:t xml:space="preserve">he PRCs, </w:t>
      </w:r>
      <w:r>
        <w:rPr>
          <w:rFonts w:ascii="Arial" w:eastAsia="Times New Roman" w:hAnsi="Arial" w:cs="Arial"/>
          <w:color w:val="000000"/>
          <w:szCs w:val="20"/>
          <w:lang w:eastAsia="en-GB"/>
        </w:rPr>
        <w:t xml:space="preserve">the core of </w:t>
      </w:r>
      <w:r w:rsidR="00AD02D6">
        <w:rPr>
          <w:rFonts w:ascii="Arial" w:eastAsia="Times New Roman" w:hAnsi="Arial" w:cs="Arial"/>
          <w:color w:val="000000"/>
          <w:szCs w:val="20"/>
          <w:lang w:eastAsia="en-GB"/>
        </w:rPr>
        <w:t>ACCESS’</w:t>
      </w:r>
      <w:r w:rsidR="009F2B4C">
        <w:rPr>
          <w:rFonts w:ascii="Arial" w:eastAsia="Times New Roman" w:hAnsi="Arial" w:cs="Arial"/>
          <w:color w:val="000000"/>
          <w:szCs w:val="20"/>
          <w:lang w:eastAsia="en-GB"/>
        </w:rPr>
        <w:t>s</w:t>
      </w:r>
      <w:r>
        <w:rPr>
          <w:rFonts w:ascii="Arial" w:eastAsia="Times New Roman" w:hAnsi="Arial" w:cs="Arial"/>
          <w:color w:val="000000"/>
          <w:szCs w:val="20"/>
          <w:lang w:eastAsia="en-GB"/>
        </w:rPr>
        <w:t xml:space="preserve"> disability service provision,</w:t>
      </w:r>
      <w:r w:rsidRPr="00B85FAA">
        <w:rPr>
          <w:rFonts w:ascii="Arial" w:eastAsia="Times New Roman" w:hAnsi="Arial" w:cs="Arial"/>
          <w:color w:val="000000"/>
          <w:szCs w:val="20"/>
          <w:lang w:eastAsia="en-GB"/>
        </w:rPr>
        <w:t xml:space="preserve"> on</w:t>
      </w:r>
      <w:r>
        <w:rPr>
          <w:rFonts w:ascii="Arial" w:eastAsia="Times New Roman" w:hAnsi="Arial" w:cs="Arial"/>
          <w:color w:val="000000"/>
          <w:szCs w:val="20"/>
          <w:lang w:eastAsia="en-GB"/>
        </w:rPr>
        <w:t>ly focus on</w:t>
      </w:r>
      <w:r w:rsidRPr="00B85FAA">
        <w:rPr>
          <w:rFonts w:ascii="Arial" w:eastAsia="Times New Roman" w:hAnsi="Arial" w:cs="Arial"/>
          <w:color w:val="000000"/>
          <w:szCs w:val="20"/>
          <w:lang w:eastAsia="en-GB"/>
        </w:rPr>
        <w:t xml:space="preserve"> physical and mobility-related disabilities</w:t>
      </w:r>
      <w:r>
        <w:rPr>
          <w:rFonts w:ascii="Arial" w:eastAsia="Times New Roman" w:hAnsi="Arial" w:cs="Arial"/>
          <w:color w:val="000000"/>
          <w:szCs w:val="20"/>
          <w:lang w:eastAsia="en-GB"/>
        </w:rPr>
        <w:t>. W</w:t>
      </w:r>
      <w:r w:rsidRPr="00B85FAA">
        <w:rPr>
          <w:rFonts w:ascii="Arial" w:eastAsia="Times New Roman" w:hAnsi="Arial" w:cs="Arial"/>
          <w:color w:val="000000"/>
          <w:szCs w:val="20"/>
          <w:lang w:eastAsia="en-GB"/>
        </w:rPr>
        <w:t>hile</w:t>
      </w:r>
      <w:r>
        <w:rPr>
          <w:rFonts w:ascii="Arial" w:eastAsia="Times New Roman" w:hAnsi="Arial" w:cs="Arial"/>
          <w:color w:val="000000"/>
          <w:szCs w:val="20"/>
          <w:lang w:eastAsia="en-GB"/>
        </w:rPr>
        <w:t xml:space="preserve"> PRCs have </w:t>
      </w:r>
      <w:r w:rsidRPr="00B85FAA">
        <w:rPr>
          <w:rFonts w:ascii="Arial" w:eastAsia="Times New Roman" w:hAnsi="Arial" w:cs="Arial"/>
          <w:color w:val="000000"/>
          <w:szCs w:val="20"/>
          <w:lang w:eastAsia="en-GB"/>
        </w:rPr>
        <w:t>deaf and low vision clients</w:t>
      </w:r>
      <w:r>
        <w:rPr>
          <w:rFonts w:ascii="Arial" w:eastAsia="Times New Roman" w:hAnsi="Arial" w:cs="Arial"/>
          <w:color w:val="000000"/>
          <w:szCs w:val="20"/>
          <w:lang w:eastAsia="en-GB"/>
        </w:rPr>
        <w:t xml:space="preserve"> who come for physiotherapy and prosthetic and orthotic (P&amp;O) services</w:t>
      </w:r>
      <w:r w:rsidRPr="00B85FAA">
        <w:rPr>
          <w:rFonts w:ascii="Arial" w:eastAsia="Times New Roman" w:hAnsi="Arial" w:cs="Arial"/>
          <w:color w:val="000000"/>
          <w:szCs w:val="20"/>
          <w:lang w:eastAsia="en-GB"/>
        </w:rPr>
        <w:t xml:space="preserve">, </w:t>
      </w:r>
      <w:r>
        <w:rPr>
          <w:rFonts w:ascii="Arial" w:eastAsia="Times New Roman" w:hAnsi="Arial" w:cs="Arial"/>
          <w:color w:val="000000"/>
          <w:szCs w:val="20"/>
          <w:lang w:eastAsia="en-GB"/>
        </w:rPr>
        <w:t xml:space="preserve">they do not provide hearing or vision </w:t>
      </w:r>
      <w:r w:rsidRPr="00B85FAA">
        <w:rPr>
          <w:rFonts w:ascii="Arial" w:eastAsia="Times New Roman" w:hAnsi="Arial" w:cs="Arial"/>
          <w:color w:val="000000"/>
          <w:szCs w:val="20"/>
          <w:lang w:eastAsia="en-GB"/>
        </w:rPr>
        <w:t>services</w:t>
      </w:r>
      <w:r w:rsidR="003F2577">
        <w:rPr>
          <w:rFonts w:ascii="Arial" w:eastAsia="Times New Roman" w:hAnsi="Arial" w:cs="Arial"/>
          <w:color w:val="000000"/>
          <w:szCs w:val="20"/>
          <w:lang w:eastAsia="en-GB"/>
        </w:rPr>
        <w:t>,</w:t>
      </w:r>
      <w:r>
        <w:rPr>
          <w:rFonts w:ascii="Arial" w:eastAsia="Times New Roman" w:hAnsi="Arial" w:cs="Arial"/>
          <w:color w:val="000000"/>
          <w:szCs w:val="20"/>
          <w:lang w:eastAsia="en-GB"/>
        </w:rPr>
        <w:t xml:space="preserve"> not cater for people </w:t>
      </w:r>
      <w:r w:rsidR="00607F85">
        <w:rPr>
          <w:rFonts w:ascii="Arial" w:eastAsia="Times New Roman" w:hAnsi="Arial" w:cs="Arial"/>
          <w:color w:val="000000"/>
          <w:szCs w:val="20"/>
          <w:lang w:eastAsia="en-GB"/>
        </w:rPr>
        <w:t xml:space="preserve">with </w:t>
      </w:r>
      <w:r w:rsidRPr="00B85FAA">
        <w:rPr>
          <w:rFonts w:ascii="Arial" w:eastAsia="Times New Roman" w:hAnsi="Arial" w:cs="Arial"/>
          <w:color w:val="000000"/>
          <w:szCs w:val="20"/>
          <w:lang w:eastAsia="en-GB"/>
        </w:rPr>
        <w:t>more ‘invisible’ disabilities</w:t>
      </w:r>
      <w:r>
        <w:rPr>
          <w:rFonts w:ascii="Arial" w:eastAsia="Times New Roman" w:hAnsi="Arial" w:cs="Arial"/>
          <w:color w:val="000000"/>
          <w:szCs w:val="20"/>
          <w:lang w:eastAsia="en-GB"/>
        </w:rPr>
        <w:t>, such as cognitive or communication-related disabilities</w:t>
      </w:r>
      <w:r w:rsidRPr="00B85FAA">
        <w:rPr>
          <w:rFonts w:ascii="Arial" w:eastAsia="Times New Roman" w:hAnsi="Arial" w:cs="Arial"/>
          <w:color w:val="000000"/>
          <w:szCs w:val="20"/>
          <w:lang w:eastAsia="en-GB"/>
        </w:rPr>
        <w:t>. ACCESS has taken some steps to expand the inclusiveness</w:t>
      </w:r>
      <w:r>
        <w:rPr>
          <w:rFonts w:ascii="Arial" w:eastAsia="Times New Roman" w:hAnsi="Arial" w:cs="Arial"/>
          <w:color w:val="000000"/>
          <w:szCs w:val="20"/>
          <w:lang w:eastAsia="en-GB"/>
        </w:rPr>
        <w:t xml:space="preserve"> of its disability work. This includes t</w:t>
      </w:r>
      <w:r w:rsidRPr="00B85FAA">
        <w:rPr>
          <w:rFonts w:ascii="Arial" w:eastAsia="Times New Roman" w:hAnsi="Arial" w:cs="Arial"/>
          <w:color w:val="000000"/>
          <w:szCs w:val="20"/>
          <w:lang w:eastAsia="en-GB"/>
        </w:rPr>
        <w:t xml:space="preserve">he commissioning of a study on autism, </w:t>
      </w:r>
      <w:r w:rsidR="00E772E0">
        <w:rPr>
          <w:rFonts w:ascii="Arial" w:eastAsia="Times New Roman" w:hAnsi="Arial" w:cs="Arial"/>
          <w:color w:val="000000"/>
          <w:szCs w:val="20"/>
          <w:lang w:eastAsia="en-GB"/>
        </w:rPr>
        <w:t xml:space="preserve">and several initiatives focussed on </w:t>
      </w:r>
      <w:r w:rsidR="00BB6AA0">
        <w:rPr>
          <w:rFonts w:ascii="Arial" w:eastAsia="Times New Roman" w:hAnsi="Arial" w:cs="Arial"/>
          <w:color w:val="000000"/>
          <w:szCs w:val="20"/>
          <w:lang w:eastAsia="en-GB"/>
        </w:rPr>
        <w:t xml:space="preserve">support for </w:t>
      </w:r>
      <w:r w:rsidR="00CF46DB">
        <w:rPr>
          <w:rFonts w:ascii="Arial" w:eastAsia="Times New Roman" w:hAnsi="Arial" w:cs="Arial"/>
          <w:color w:val="000000"/>
          <w:szCs w:val="20"/>
          <w:lang w:eastAsia="en-GB"/>
        </w:rPr>
        <w:t>blind people.</w:t>
      </w:r>
      <w:r w:rsidRPr="00B85FAA">
        <w:rPr>
          <w:rFonts w:ascii="Arial" w:eastAsia="Times New Roman" w:hAnsi="Arial" w:cs="Arial"/>
          <w:color w:val="000000"/>
          <w:szCs w:val="20"/>
          <w:lang w:eastAsia="en-GB"/>
        </w:rPr>
        <w:t> </w:t>
      </w:r>
    </w:p>
    <w:p w14:paraId="0A8965BF" w14:textId="77777777" w:rsidR="006450C8" w:rsidRDefault="006450C8">
      <w:pPr>
        <w:spacing w:after="0" w:line="240" w:lineRule="auto"/>
        <w:rPr>
          <w:rFonts w:ascii="Arial" w:eastAsia="Times New Roman" w:hAnsi="Arial" w:cs="Arial"/>
          <w:b/>
          <w:bCs/>
          <w:color w:val="000000"/>
          <w:szCs w:val="20"/>
          <w:u w:val="single"/>
          <w:lang w:eastAsia="en-GB"/>
        </w:rPr>
      </w:pPr>
      <w:r>
        <w:rPr>
          <w:rFonts w:ascii="Arial" w:eastAsia="Times New Roman" w:hAnsi="Arial" w:cs="Arial"/>
          <w:b/>
          <w:bCs/>
          <w:color w:val="000000"/>
          <w:szCs w:val="20"/>
          <w:u w:val="single"/>
          <w:lang w:eastAsia="en-GB"/>
        </w:rPr>
        <w:br w:type="page"/>
      </w:r>
    </w:p>
    <w:p w14:paraId="6175243F" w14:textId="0AF23FE2" w:rsidR="00D67486" w:rsidRPr="009C207D" w:rsidRDefault="00D67486" w:rsidP="009E3677">
      <w:pPr>
        <w:jc w:val="both"/>
        <w:textAlignment w:val="baseline"/>
        <w:rPr>
          <w:rFonts w:ascii="Arial" w:eastAsia="Times New Roman" w:hAnsi="Arial" w:cs="Arial"/>
          <w:b/>
          <w:bCs/>
          <w:color w:val="000000"/>
          <w:szCs w:val="20"/>
          <w:u w:val="single"/>
          <w:lang w:eastAsia="en-GB"/>
        </w:rPr>
      </w:pPr>
      <w:r w:rsidRPr="009C207D">
        <w:rPr>
          <w:rFonts w:ascii="Arial" w:eastAsia="Times New Roman" w:hAnsi="Arial" w:cs="Arial"/>
          <w:b/>
          <w:bCs/>
          <w:color w:val="000000"/>
          <w:szCs w:val="20"/>
          <w:u w:val="single"/>
          <w:lang w:eastAsia="en-GB"/>
        </w:rPr>
        <w:lastRenderedPageBreak/>
        <w:t>Social protection</w:t>
      </w:r>
    </w:p>
    <w:p w14:paraId="004557CB" w14:textId="626496D0" w:rsidR="005572AC" w:rsidRDefault="00314789" w:rsidP="005572AC">
      <w:pPr>
        <w:jc w:val="both"/>
        <w:textAlignment w:val="baseline"/>
        <w:rPr>
          <w:rFonts w:ascii="Arial" w:eastAsia="Times New Roman" w:hAnsi="Arial" w:cs="Arial"/>
          <w:color w:val="000000"/>
          <w:lang w:eastAsia="en-GB"/>
        </w:rPr>
      </w:pPr>
      <w:r w:rsidRPr="07283E86">
        <w:rPr>
          <w:rFonts w:ascii="Arial" w:eastAsia="Times New Roman" w:hAnsi="Arial" w:cs="Arial"/>
          <w:b/>
          <w:bCs/>
          <w:lang w:eastAsia="en-GB"/>
        </w:rPr>
        <w:t>ACCESS had s</w:t>
      </w:r>
      <w:r w:rsidR="005572AC" w:rsidRPr="07283E86">
        <w:rPr>
          <w:rFonts w:ascii="Arial" w:eastAsia="Times New Roman" w:hAnsi="Arial" w:cs="Arial"/>
          <w:b/>
          <w:bCs/>
          <w:lang w:eastAsia="en-GB"/>
        </w:rPr>
        <w:t xml:space="preserve">trong achievements on social protection for people with disabilities, but not for GBV survivors. </w:t>
      </w:r>
      <w:r w:rsidR="005572AC" w:rsidRPr="07283E86">
        <w:rPr>
          <w:rFonts w:ascii="Arial" w:eastAsia="Times New Roman" w:hAnsi="Arial" w:cs="Arial"/>
          <w:lang w:eastAsia="en-GB"/>
        </w:rPr>
        <w:t xml:space="preserve">The onset of COVID-19 put social protection firmly on the agenda for many countries where it had not yet been a priority. ACCESS has been extremely effective in taking advantage of this increased political interest and openness to social protection by RGC, particularly for people with disabilities. Key results include the ACCESS team working with IPs such as CDPO to successfully identify 230,000 people with disabilities (figure noted in interviews) to be registered with the </w:t>
      </w:r>
      <w:proofErr w:type="spellStart"/>
      <w:r w:rsidR="005572AC" w:rsidRPr="07283E86">
        <w:rPr>
          <w:rFonts w:ascii="Arial" w:eastAsia="Times New Roman" w:hAnsi="Arial" w:cs="Arial"/>
          <w:lang w:eastAsia="en-GB"/>
        </w:rPr>
        <w:t>IDPoor</w:t>
      </w:r>
      <w:proofErr w:type="spellEnd"/>
      <w:r w:rsidR="005572AC" w:rsidRPr="07283E86">
        <w:rPr>
          <w:rFonts w:ascii="Arial" w:eastAsia="Times New Roman" w:hAnsi="Arial" w:cs="Arial"/>
          <w:lang w:eastAsia="en-GB"/>
        </w:rPr>
        <w:t xml:space="preserve"> Card scheme</w:t>
      </w:r>
      <w:r w:rsidR="00AA01CE">
        <w:rPr>
          <w:rFonts w:ascii="Arial" w:eastAsia="Times New Roman" w:hAnsi="Arial" w:cs="Arial"/>
          <w:lang w:eastAsia="en-GB"/>
        </w:rPr>
        <w:t xml:space="preserve"> – an initiative led by UNICEF</w:t>
      </w:r>
      <w:r w:rsidR="005572AC" w:rsidRPr="07283E86">
        <w:rPr>
          <w:rFonts w:ascii="Arial" w:eastAsia="Times New Roman" w:hAnsi="Arial" w:cs="Arial"/>
          <w:lang w:eastAsia="en-GB"/>
        </w:rPr>
        <w:t xml:space="preserve">. This registration work is ongoing with </w:t>
      </w:r>
      <w:proofErr w:type="spellStart"/>
      <w:r w:rsidR="005572AC" w:rsidRPr="07283E86">
        <w:rPr>
          <w:rFonts w:ascii="Arial" w:eastAsia="Times New Roman" w:hAnsi="Arial" w:cs="Arial"/>
          <w:lang w:eastAsia="en-GB"/>
        </w:rPr>
        <w:t>MoSVY</w:t>
      </w:r>
      <w:proofErr w:type="spellEnd"/>
      <w:r w:rsidR="005572AC" w:rsidRPr="07283E86">
        <w:rPr>
          <w:rFonts w:ascii="Arial" w:eastAsia="Times New Roman" w:hAnsi="Arial" w:cs="Arial"/>
          <w:lang w:eastAsia="en-GB"/>
        </w:rPr>
        <w:t>. CDPO and its OPD members has also identified 838 members with disabilities to immediately access social assistance payments.</w:t>
      </w:r>
      <w:r w:rsidR="007F53C3" w:rsidRPr="07283E86">
        <w:rPr>
          <w:rFonts w:ascii="Arial" w:eastAsia="Times New Roman" w:hAnsi="Arial" w:cs="Arial"/>
          <w:lang w:eastAsia="en-GB"/>
        </w:rPr>
        <w:t xml:space="preserve"> </w:t>
      </w:r>
      <w:r w:rsidR="005572AC" w:rsidRPr="07283E86">
        <w:rPr>
          <w:rFonts w:ascii="Arial" w:eastAsia="Times New Roman" w:hAnsi="Arial" w:cs="Arial"/>
          <w:lang w:eastAsia="en-GB"/>
        </w:rPr>
        <w:t xml:space="preserve">ACCESS also funded a study on disability inclusive social protection by Development Pathways to contribute to the development of a national disability benefit, which ACCESS is using as the basis of planning with </w:t>
      </w:r>
      <w:proofErr w:type="spellStart"/>
      <w:r w:rsidR="005572AC" w:rsidRPr="07283E86">
        <w:rPr>
          <w:rFonts w:ascii="Arial" w:eastAsia="Times New Roman" w:hAnsi="Arial" w:cs="Arial"/>
          <w:lang w:eastAsia="en-GB"/>
        </w:rPr>
        <w:t>MoSVY</w:t>
      </w:r>
      <w:proofErr w:type="spellEnd"/>
      <w:r w:rsidR="005572AC" w:rsidRPr="07283E86">
        <w:rPr>
          <w:rFonts w:ascii="Arial" w:eastAsia="Times New Roman" w:hAnsi="Arial" w:cs="Arial"/>
          <w:lang w:eastAsia="en-GB"/>
        </w:rPr>
        <w:t xml:space="preserve"> and MEF. Additionally, ACCESS is in dialogue with </w:t>
      </w:r>
      <w:proofErr w:type="spellStart"/>
      <w:r w:rsidR="0A9D2E1F" w:rsidRPr="07283E86">
        <w:rPr>
          <w:rFonts w:ascii="Arial" w:eastAsia="Times New Roman" w:hAnsi="Arial" w:cs="Arial"/>
          <w:lang w:eastAsia="en-GB"/>
        </w:rPr>
        <w:t>MoSVY</w:t>
      </w:r>
      <w:proofErr w:type="spellEnd"/>
      <w:r w:rsidR="005572AC" w:rsidRPr="07283E86">
        <w:rPr>
          <w:rFonts w:ascii="Arial" w:eastAsia="Times New Roman" w:hAnsi="Arial" w:cs="Arial"/>
          <w:lang w:eastAsia="en-GB"/>
        </w:rPr>
        <w:t xml:space="preserve"> for innovative financing options for PRCs, such as performance-based payments for PRCs on the basis of service provision, and an insurance model. While not strictly a social protection measure, it will assist in expanding the coverage and quality of free disability services.</w:t>
      </w:r>
      <w:r w:rsidR="003F093F" w:rsidRPr="07283E86">
        <w:rPr>
          <w:rFonts w:ascii="Arial" w:eastAsia="Times New Roman" w:hAnsi="Arial" w:cs="Arial"/>
          <w:lang w:eastAsia="en-GB"/>
        </w:rPr>
        <w:t xml:space="preserve"> </w:t>
      </w:r>
      <w:r w:rsidR="005572AC" w:rsidRPr="05C97889">
        <w:rPr>
          <w:rFonts w:ascii="Arial" w:eastAsia="Times New Roman" w:hAnsi="Arial" w:cs="Arial"/>
          <w:b/>
          <w:lang w:eastAsia="en-GB"/>
        </w:rPr>
        <w:t>With this window of opportunity for social protection in Cambodia, it is notable that ACCESS does not appear to have pursued social protection dialogue or policy change for the survivors of violence.</w:t>
      </w:r>
      <w:r w:rsidR="005572AC" w:rsidRPr="05C97889">
        <w:rPr>
          <w:rFonts w:ascii="Arial" w:eastAsia="Times New Roman" w:hAnsi="Arial" w:cs="Arial"/>
          <w:lang w:eastAsia="en-GB"/>
        </w:rPr>
        <w:t xml:space="preserve"> Acknowledging that </w:t>
      </w:r>
      <w:r w:rsidR="001D0B64">
        <w:rPr>
          <w:rFonts w:ascii="Arial" w:eastAsia="Times New Roman" w:hAnsi="Arial" w:cs="Arial"/>
          <w:lang w:eastAsia="en-GB"/>
        </w:rPr>
        <w:t xml:space="preserve">influencing social protection as regards GBV was not a priority target of ACCESS from the outset, and that </w:t>
      </w:r>
      <w:r w:rsidR="005572AC" w:rsidRPr="05C97889">
        <w:rPr>
          <w:rFonts w:ascii="Arial" w:eastAsia="Times New Roman" w:hAnsi="Arial" w:cs="Arial"/>
          <w:lang w:eastAsia="en-GB"/>
        </w:rPr>
        <w:t xml:space="preserve">a gender lens on social protection and GBV-responsive social protection is still gaining traction internationally, measures such as emergency social assistance payments for women who access shelters or access to subsidised medical and legal care for non-poor women experiencing violence would align well with </w:t>
      </w:r>
      <w:r w:rsidR="00AD02D6">
        <w:rPr>
          <w:rFonts w:ascii="Arial" w:eastAsia="Times New Roman" w:hAnsi="Arial" w:cs="Arial"/>
          <w:lang w:eastAsia="en-GB"/>
        </w:rPr>
        <w:t>ACCESS’</w:t>
      </w:r>
      <w:r w:rsidR="009500C0">
        <w:rPr>
          <w:rFonts w:ascii="Arial" w:eastAsia="Times New Roman" w:hAnsi="Arial" w:cs="Arial"/>
          <w:lang w:eastAsia="en-GB"/>
        </w:rPr>
        <w:t>s</w:t>
      </w:r>
      <w:r w:rsidR="005572AC" w:rsidRPr="05C97889">
        <w:rPr>
          <w:rFonts w:ascii="Arial" w:eastAsia="Times New Roman" w:hAnsi="Arial" w:cs="Arial"/>
          <w:lang w:eastAsia="en-GB"/>
        </w:rPr>
        <w:t xml:space="preserve"> objectives.  </w:t>
      </w:r>
    </w:p>
    <w:p w14:paraId="4D9FA46A" w14:textId="72887AB8" w:rsidR="00BA32E3" w:rsidRDefault="00BA32E3" w:rsidP="07283E86">
      <w:pPr>
        <w:jc w:val="both"/>
        <w:textAlignment w:val="baseline"/>
        <w:rPr>
          <w:rFonts w:ascii="Arial" w:eastAsia="Times New Roman" w:hAnsi="Arial" w:cs="Arial"/>
          <w:color w:val="000000"/>
          <w:lang w:eastAsia="en-GB"/>
        </w:rPr>
      </w:pPr>
      <w:r w:rsidRPr="07283E86">
        <w:rPr>
          <w:rFonts w:ascii="Arial" w:eastAsia="Times New Roman" w:hAnsi="Arial" w:cs="Arial"/>
          <w:lang w:eastAsia="en-GB"/>
        </w:rPr>
        <w:t xml:space="preserve">The final word on effectiveness is on </w:t>
      </w:r>
      <w:r w:rsidR="00105BE3">
        <w:rPr>
          <w:rFonts w:ascii="Arial" w:eastAsia="Times New Roman" w:hAnsi="Arial" w:cs="Arial"/>
          <w:lang w:eastAsia="en-GB"/>
        </w:rPr>
        <w:t>the point that</w:t>
      </w:r>
      <w:r w:rsidRPr="07283E86">
        <w:rPr>
          <w:rFonts w:ascii="Arial" w:eastAsia="Times New Roman" w:hAnsi="Arial" w:cs="Arial"/>
          <w:lang w:eastAsia="en-GB"/>
        </w:rPr>
        <w:t xml:space="preserve"> people with disabilities and women survivors of violence are the ultimate beneficiaries of ACCESS. </w:t>
      </w:r>
      <w:r w:rsidRPr="07283E86">
        <w:rPr>
          <w:rFonts w:ascii="Arial" w:eastAsia="Times New Roman" w:hAnsi="Arial" w:cs="Arial"/>
          <w:b/>
          <w:bCs/>
          <w:lang w:eastAsia="en-GB"/>
        </w:rPr>
        <w:t>ACCESS was not designed to focus on movement building with representative organisations of people with disabilities and survivors of violence or women’s rights groups - or the demand side of service delivery.</w:t>
      </w:r>
      <w:r w:rsidRPr="07283E86">
        <w:rPr>
          <w:rFonts w:ascii="Arial" w:eastAsia="Times New Roman" w:hAnsi="Arial" w:cs="Arial"/>
          <w:lang w:eastAsia="en-GB"/>
        </w:rPr>
        <w:t xml:space="preserve"> However, there would be value in better foregrounding the voice of OPDs and supporting the Nothing Without Us principle. On GBV, the evaluation noted that local women’s rights organisations and gender equality advocates were not part of the GBV workstream. It is not known whether GBV survivors work within IPs, although experience or exposure to GBV is one driver for people to work on the GBV response. </w:t>
      </w:r>
      <w:r w:rsidR="48E9604C" w:rsidRPr="11404BEF">
        <w:rPr>
          <w:rFonts w:ascii="Arial" w:eastAsia="Times New Roman" w:hAnsi="Arial" w:cs="Arial"/>
          <w:lang w:eastAsia="en-GB"/>
        </w:rPr>
        <w:t xml:space="preserve">Supporting all of these organisations in their advocacy work and organisational capacity is needed, and worth considering. </w:t>
      </w:r>
      <w:r w:rsidRPr="07283E86">
        <w:rPr>
          <w:rFonts w:ascii="Arial" w:eastAsia="Times New Roman" w:hAnsi="Arial" w:cs="Arial"/>
          <w:lang w:eastAsia="en-GB"/>
        </w:rPr>
        <w:t>Women’s organisations have been regarded as the single most important factor in achieving progress on a national GBV response.</w:t>
      </w:r>
      <w:hyperlink r:id="rId27" w:anchor="_ftn1">
        <w:r w:rsidRPr="07283E86">
          <w:rPr>
            <w:rFonts w:ascii="Arial" w:eastAsia="Times New Roman" w:hAnsi="Arial" w:cs="Arial"/>
            <w:color w:val="1D336D" w:themeColor="background2"/>
            <w:sz w:val="16"/>
            <w:szCs w:val="16"/>
            <w:u w:val="single"/>
            <w:vertAlign w:val="superscript"/>
            <w:lang w:eastAsia="en-GB"/>
          </w:rPr>
          <w:t>[1]</w:t>
        </w:r>
      </w:hyperlink>
      <w:r w:rsidRPr="07283E86">
        <w:rPr>
          <w:rFonts w:ascii="Arial" w:eastAsia="Times New Roman" w:hAnsi="Arial" w:cs="Arial"/>
          <w:lang w:eastAsia="en-GB"/>
        </w:rPr>
        <w:t xml:space="preserve"> There is also a new generation of disability and gender/feminist advocates emerging in Cambodia, including among the Australia Awards alumni cohort. The greater involvement of these groups is vital. </w:t>
      </w:r>
    </w:p>
    <w:p w14:paraId="16946043" w14:textId="29392646" w:rsidR="00420F45" w:rsidRPr="007047F5" w:rsidRDefault="009C207D" w:rsidP="007047F5">
      <w:pPr>
        <w:pStyle w:val="Heading3"/>
        <w:rPr>
          <w:color w:val="1D336D" w:themeColor="background2"/>
        </w:rPr>
      </w:pPr>
      <w:r w:rsidRPr="007047F5">
        <w:rPr>
          <w:color w:val="1D336D" w:themeColor="background2"/>
        </w:rPr>
        <w:t xml:space="preserve">2. </w:t>
      </w:r>
      <w:r w:rsidR="00A93DD0" w:rsidRPr="007047F5">
        <w:rPr>
          <w:color w:val="1D336D" w:themeColor="background2"/>
        </w:rPr>
        <w:t xml:space="preserve">EOPO relating to public financial management (PFM), and RGC improving planning and utilising their resources more effectively in accordance with MEF guidelines. </w:t>
      </w:r>
    </w:p>
    <w:p w14:paraId="43BB2B68" w14:textId="2C605F1D" w:rsidR="00A93DD0" w:rsidRPr="0010578A" w:rsidRDefault="00A93DD0" w:rsidP="00A93DD0">
      <w:pPr>
        <w:jc w:val="both"/>
        <w:textAlignment w:val="baseline"/>
        <w:rPr>
          <w:rFonts w:ascii="Arial" w:eastAsia="Times New Roman" w:hAnsi="Arial" w:cs="Arial"/>
          <w:color w:val="000000"/>
          <w:szCs w:val="20"/>
          <w:lang w:eastAsia="en-GB"/>
        </w:rPr>
      </w:pPr>
      <w:r w:rsidRPr="00061A43">
        <w:rPr>
          <w:rFonts w:ascii="Arial" w:eastAsia="Times New Roman" w:hAnsi="Arial" w:cs="Arial"/>
          <w:b/>
          <w:bCs/>
          <w:color w:val="000000"/>
          <w:szCs w:val="20"/>
          <w:lang w:eastAsia="en-GB"/>
        </w:rPr>
        <w:t>On the best available evidence, accounting for complexities in measurement and the political economy, ACCESS only made partial progress against this end of program outcome</w:t>
      </w:r>
      <w:r w:rsidR="00FC355A">
        <w:rPr>
          <w:rFonts w:ascii="Arial" w:eastAsia="Times New Roman" w:hAnsi="Arial" w:cs="Arial"/>
          <w:b/>
          <w:bCs/>
          <w:color w:val="000000"/>
          <w:szCs w:val="20"/>
          <w:lang w:eastAsia="en-GB"/>
        </w:rPr>
        <w:t xml:space="preserve">. </w:t>
      </w:r>
      <w:r w:rsidRPr="0010578A">
        <w:rPr>
          <w:rFonts w:ascii="Arial" w:eastAsia="Times New Roman" w:hAnsi="Arial" w:cs="Arial"/>
          <w:color w:val="000000"/>
          <w:szCs w:val="20"/>
          <w:lang w:eastAsia="en-GB"/>
        </w:rPr>
        <w:t xml:space="preserve">Public investment in GBV and disability services is the ultimate basis for their sustainability. It makes sense that this was an explicit area of engagement for ACCESS. However, it is also unsurprising that this was the most challenging and uncertain undertaking for the program. Measuring the effectiveness of the </w:t>
      </w:r>
      <w:r w:rsidR="00AD02D6">
        <w:rPr>
          <w:rFonts w:ascii="Arial" w:eastAsia="Times New Roman" w:hAnsi="Arial" w:cs="Arial"/>
          <w:color w:val="000000"/>
          <w:szCs w:val="20"/>
          <w:lang w:eastAsia="en-GB"/>
        </w:rPr>
        <w:t>ACCESS’</w:t>
      </w:r>
      <w:r w:rsidR="009500C0">
        <w:rPr>
          <w:rFonts w:ascii="Arial" w:eastAsia="Times New Roman" w:hAnsi="Arial" w:cs="Arial"/>
          <w:color w:val="000000"/>
          <w:szCs w:val="20"/>
          <w:lang w:eastAsia="en-GB"/>
        </w:rPr>
        <w:t>s</w:t>
      </w:r>
      <w:r w:rsidRPr="0010578A">
        <w:rPr>
          <w:rFonts w:ascii="Arial" w:eastAsia="Times New Roman" w:hAnsi="Arial" w:cs="Arial"/>
          <w:color w:val="000000"/>
          <w:szCs w:val="20"/>
          <w:lang w:eastAsia="en-GB"/>
        </w:rPr>
        <w:t xml:space="preserve"> PFM efforts is not straightforward, for several reasons. Firstly, the PFM EOPO was demoted to being an IO in the current version of the program logic, with the more limited scope that ‘RGC strengthens planning and budget </w:t>
      </w:r>
      <w:proofErr w:type="gramStart"/>
      <w:r w:rsidRPr="0010578A">
        <w:rPr>
          <w:rFonts w:ascii="Arial" w:eastAsia="Times New Roman" w:hAnsi="Arial" w:cs="Arial"/>
          <w:color w:val="000000"/>
          <w:szCs w:val="20"/>
          <w:lang w:eastAsia="en-GB"/>
        </w:rPr>
        <w:t>processes’</w:t>
      </w:r>
      <w:proofErr w:type="gramEnd"/>
      <w:r w:rsidRPr="0010578A">
        <w:rPr>
          <w:rFonts w:ascii="Arial" w:eastAsia="Times New Roman" w:hAnsi="Arial" w:cs="Arial"/>
          <w:color w:val="000000"/>
          <w:szCs w:val="20"/>
          <w:lang w:eastAsia="en-GB"/>
        </w:rPr>
        <w:t xml:space="preserve">. </w:t>
      </w:r>
      <w:r w:rsidR="00452DF7">
        <w:rPr>
          <w:rFonts w:ascii="Arial" w:eastAsia="Times New Roman" w:hAnsi="Arial" w:cs="Arial"/>
          <w:color w:val="000000"/>
          <w:szCs w:val="20"/>
          <w:lang w:eastAsia="en-GB"/>
        </w:rPr>
        <w:t>Subsequently, routine monitoring data is no longer collected to measure the EOPO.</w:t>
      </w:r>
      <w:r w:rsidRPr="0010578A">
        <w:rPr>
          <w:rFonts w:ascii="Arial" w:eastAsia="Times New Roman" w:hAnsi="Arial" w:cs="Arial"/>
          <w:color w:val="000000"/>
          <w:szCs w:val="20"/>
          <w:lang w:eastAsia="en-GB"/>
        </w:rPr>
        <w:t xml:space="preserve"> The Internal Rapid Review had recommended prioritising PFM by identifying areas ‘where engagement was most needed and most likely to have </w:t>
      </w:r>
      <w:proofErr w:type="gramStart"/>
      <w:r w:rsidRPr="0010578A">
        <w:rPr>
          <w:rFonts w:ascii="Arial" w:eastAsia="Times New Roman" w:hAnsi="Arial" w:cs="Arial"/>
          <w:color w:val="000000"/>
          <w:szCs w:val="20"/>
          <w:lang w:eastAsia="en-GB"/>
        </w:rPr>
        <w:t>success</w:t>
      </w:r>
      <w:r w:rsidR="00B6163A">
        <w:rPr>
          <w:rFonts w:ascii="Arial" w:eastAsia="Times New Roman" w:hAnsi="Arial" w:cs="Arial"/>
          <w:color w:val="000000"/>
          <w:szCs w:val="20"/>
          <w:lang w:eastAsia="en-GB"/>
        </w:rPr>
        <w:t>’</w:t>
      </w:r>
      <w:proofErr w:type="gramEnd"/>
      <w:r w:rsidRPr="0010578A">
        <w:rPr>
          <w:rFonts w:ascii="Arial" w:eastAsia="Times New Roman" w:hAnsi="Arial" w:cs="Arial"/>
          <w:color w:val="000000"/>
          <w:szCs w:val="20"/>
          <w:lang w:eastAsia="en-GB"/>
        </w:rPr>
        <w:t xml:space="preserve">. However, the Review is silent on the EOPO. Secondly, the indicator used for the original EOPO monitored whether budget strategic plans and program budgets were completed. It did not specifically monitor budget allocation changes, or aspects such as the inclusion of new budget lines for GBV and disability. </w:t>
      </w:r>
      <w:r w:rsidRPr="0010578A">
        <w:rPr>
          <w:rFonts w:ascii="Arial" w:eastAsia="Times New Roman" w:hAnsi="Arial" w:cs="Arial"/>
          <w:color w:val="000000"/>
          <w:szCs w:val="20"/>
          <w:lang w:eastAsia="en-GB"/>
        </w:rPr>
        <w:lastRenderedPageBreak/>
        <w:t>The Stage 1 Results Matrix (October 2019) explains why, noting ‘</w:t>
      </w:r>
      <w:r w:rsidRPr="0010578A">
        <w:rPr>
          <w:rFonts w:ascii="Arial" w:eastAsia="Times New Roman" w:hAnsi="Arial" w:cs="Arial"/>
          <w:i/>
          <w:iCs/>
          <w:color w:val="000000"/>
          <w:szCs w:val="20"/>
          <w:lang w:eastAsia="en-GB"/>
        </w:rPr>
        <w:t xml:space="preserve">no specific performance expectation has been defined relating to budget allocation, as this is a sovereign decision of RGC.’ </w:t>
      </w:r>
      <w:r w:rsidRPr="0010578A">
        <w:rPr>
          <w:rFonts w:ascii="Arial" w:eastAsia="Times New Roman" w:hAnsi="Arial" w:cs="Arial"/>
          <w:color w:val="000000"/>
          <w:szCs w:val="20"/>
          <w:lang w:eastAsia="en-GB"/>
        </w:rPr>
        <w:t>ACCESS did however prepare Annual Budget Monitoring Reports</w:t>
      </w:r>
      <w:r w:rsidRPr="00E93A5B">
        <w:rPr>
          <w:rFonts w:ascii="Arial" w:eastAsia="Times New Roman" w:hAnsi="Arial" w:cs="Arial"/>
          <w:color w:val="000000"/>
          <w:szCs w:val="20"/>
          <w:lang w:eastAsia="en-GB"/>
        </w:rPr>
        <w:t xml:space="preserve">, to supplement. </w:t>
      </w:r>
    </w:p>
    <w:p w14:paraId="7E7D1AC1" w14:textId="4E48F835" w:rsidR="00A93DD0" w:rsidRPr="00E93A5B" w:rsidRDefault="00AD02D6" w:rsidP="00A93DD0">
      <w:pPr>
        <w:jc w:val="both"/>
        <w:textAlignment w:val="baseline"/>
      </w:pPr>
      <w:r>
        <w:rPr>
          <w:rFonts w:ascii="Arial" w:eastAsia="Times New Roman" w:hAnsi="Arial" w:cs="Arial"/>
          <w:b/>
          <w:bCs/>
          <w:color w:val="000000"/>
          <w:szCs w:val="20"/>
          <w:lang w:eastAsia="en-GB"/>
        </w:rPr>
        <w:t>ACCESS’</w:t>
      </w:r>
      <w:r w:rsidR="009500C0">
        <w:rPr>
          <w:rFonts w:ascii="Arial" w:eastAsia="Times New Roman" w:hAnsi="Arial" w:cs="Arial"/>
          <w:b/>
          <w:bCs/>
          <w:color w:val="000000"/>
          <w:szCs w:val="20"/>
          <w:lang w:eastAsia="en-GB"/>
        </w:rPr>
        <w:t>s</w:t>
      </w:r>
      <w:r w:rsidR="00A93DD0" w:rsidRPr="00061A43">
        <w:rPr>
          <w:rFonts w:ascii="Arial" w:eastAsia="Times New Roman" w:hAnsi="Arial" w:cs="Arial"/>
          <w:b/>
          <w:bCs/>
          <w:color w:val="000000"/>
          <w:szCs w:val="20"/>
          <w:lang w:eastAsia="en-GB"/>
        </w:rPr>
        <w:t xml:space="preserve"> approach was to build the capacity of </w:t>
      </w:r>
      <w:proofErr w:type="spellStart"/>
      <w:r w:rsidR="00A93DD0" w:rsidRPr="00061A43">
        <w:rPr>
          <w:rFonts w:ascii="Arial" w:eastAsia="Times New Roman" w:hAnsi="Arial" w:cs="Arial"/>
          <w:b/>
          <w:bCs/>
          <w:color w:val="000000"/>
          <w:szCs w:val="20"/>
          <w:lang w:eastAsia="en-GB"/>
        </w:rPr>
        <w:t>MoWA</w:t>
      </w:r>
      <w:proofErr w:type="spellEnd"/>
      <w:r w:rsidR="00A93DD0" w:rsidRPr="00061A43">
        <w:rPr>
          <w:rFonts w:ascii="Arial" w:eastAsia="Times New Roman" w:hAnsi="Arial" w:cs="Arial"/>
          <w:b/>
          <w:bCs/>
          <w:color w:val="000000"/>
          <w:szCs w:val="20"/>
          <w:lang w:eastAsia="en-GB"/>
        </w:rPr>
        <w:t xml:space="preserve"> and </w:t>
      </w:r>
      <w:proofErr w:type="spellStart"/>
      <w:r w:rsidR="00A93DD0" w:rsidRPr="00061A43">
        <w:rPr>
          <w:rFonts w:ascii="Arial" w:eastAsia="Times New Roman" w:hAnsi="Arial" w:cs="Arial"/>
          <w:b/>
          <w:bCs/>
          <w:color w:val="000000"/>
          <w:szCs w:val="20"/>
          <w:lang w:eastAsia="en-GB"/>
        </w:rPr>
        <w:t>MoSVY</w:t>
      </w:r>
      <w:proofErr w:type="spellEnd"/>
      <w:r w:rsidR="00A93DD0" w:rsidRPr="00061A43">
        <w:rPr>
          <w:rFonts w:ascii="Arial" w:eastAsia="Times New Roman" w:hAnsi="Arial" w:cs="Arial"/>
          <w:b/>
          <w:bCs/>
          <w:color w:val="000000"/>
          <w:szCs w:val="20"/>
          <w:lang w:eastAsia="en-GB"/>
        </w:rPr>
        <w:t xml:space="preserve"> to improve the preparation of their annual budgets to MEF, and equip them to advocate to MEF for increased allocations</w:t>
      </w:r>
      <w:r w:rsidR="00A93DD0" w:rsidRPr="0010578A">
        <w:rPr>
          <w:rFonts w:ascii="Arial" w:eastAsia="Times New Roman" w:hAnsi="Arial" w:cs="Arial"/>
          <w:color w:val="000000"/>
          <w:szCs w:val="20"/>
          <w:lang w:eastAsia="en-GB"/>
        </w:rPr>
        <w:t>. Politically speaking, ACCESS noted the following in its Story of Significant Change: Building the Royal Government of Cambodia Capacity in Developing the Annual Budget Documentation</w:t>
      </w:r>
      <w:r w:rsidR="00A93DD0" w:rsidRPr="00E93A5B">
        <w:rPr>
          <w:rFonts w:ascii="Arial" w:eastAsia="Times New Roman" w:hAnsi="Arial" w:cs="Arial"/>
          <w:color w:val="000000"/>
          <w:szCs w:val="20"/>
          <w:lang w:eastAsia="en-GB"/>
        </w:rPr>
        <w:t>:</w:t>
      </w:r>
    </w:p>
    <w:p w14:paraId="2078667C" w14:textId="77777777" w:rsidR="00A93DD0" w:rsidRPr="00A85281" w:rsidRDefault="00A93DD0" w:rsidP="00A85281">
      <w:pPr>
        <w:pStyle w:val="IntroCopySolid"/>
        <w:shd w:val="clear" w:color="auto" w:fill="E4EAF8"/>
        <w:rPr>
          <w:color w:val="auto"/>
          <w:sz w:val="20"/>
          <w:szCs w:val="20"/>
          <w:lang w:eastAsia="en-GB"/>
        </w:rPr>
      </w:pPr>
      <w:r w:rsidRPr="00A85281">
        <w:rPr>
          <w:color w:val="auto"/>
          <w:sz w:val="20"/>
          <w:szCs w:val="20"/>
          <w:lang w:eastAsia="en-GB"/>
        </w:rPr>
        <w:t xml:space="preserve">‘There is also a lack of transparency or explanation for how or why specific decisions are made by MEF and amongst </w:t>
      </w:r>
      <w:proofErr w:type="spellStart"/>
      <w:r w:rsidRPr="00A85281">
        <w:rPr>
          <w:color w:val="auto"/>
          <w:sz w:val="20"/>
          <w:szCs w:val="20"/>
          <w:lang w:eastAsia="en-GB"/>
        </w:rPr>
        <w:t>MoSVY</w:t>
      </w:r>
      <w:proofErr w:type="spellEnd"/>
      <w:r w:rsidRPr="00A85281">
        <w:rPr>
          <w:color w:val="auto"/>
          <w:sz w:val="20"/>
          <w:szCs w:val="20"/>
          <w:lang w:eastAsia="en-GB"/>
        </w:rPr>
        <w:t xml:space="preserve"> senior management responsible for budget finances. Many factors influence the final budget resource allocations/decisions, most of which ACCESS cannot (easily) directly influence or reach. This was acknowledged by RGC staff as well. Successes will most likely involve incremental changes representing the results of long-term capacity building, but improved budget outcomes must also have clear political backing and policy commitment/prioritisation from MEF.’  </w:t>
      </w:r>
    </w:p>
    <w:p w14:paraId="19627D8E" w14:textId="2B9E7170" w:rsidR="00A93DD0" w:rsidRPr="00E93A5B" w:rsidRDefault="231ED21F" w:rsidP="07283E86">
      <w:pPr>
        <w:jc w:val="both"/>
        <w:textAlignment w:val="baseline"/>
        <w:rPr>
          <w:rFonts w:ascii="Arial" w:eastAsia="Times New Roman" w:hAnsi="Arial" w:cs="Arial"/>
          <w:color w:val="000000"/>
          <w:lang w:eastAsia="en-GB"/>
        </w:rPr>
      </w:pPr>
      <w:r w:rsidRPr="52E2F618">
        <w:rPr>
          <w:rFonts w:ascii="Arial" w:eastAsia="Times New Roman" w:hAnsi="Arial" w:cs="Arial"/>
          <w:b/>
          <w:bCs/>
          <w:lang w:eastAsia="en-GB"/>
        </w:rPr>
        <w:t>ACCESS effort did not translate to any increase in budget allocations at the national level, towards implementation of the NDSP and NAPVAW.</w:t>
      </w:r>
      <w:r w:rsidRPr="52E2F618">
        <w:rPr>
          <w:rFonts w:ascii="Arial" w:eastAsia="Times New Roman" w:hAnsi="Arial" w:cs="Arial"/>
          <w:lang w:eastAsia="en-GB"/>
        </w:rPr>
        <w:t xml:space="preserve"> </w:t>
      </w:r>
      <w:r w:rsidR="02A7215A" w:rsidRPr="52E2F618">
        <w:rPr>
          <w:rFonts w:ascii="Arial" w:eastAsia="Times New Roman" w:hAnsi="Arial" w:cs="Arial"/>
          <w:lang w:eastAsia="en-GB"/>
        </w:rPr>
        <w:t>The evaluation has found that the</w:t>
      </w:r>
      <w:r w:rsidRPr="52E2F618">
        <w:rPr>
          <w:rFonts w:ascii="Arial" w:eastAsia="Times New Roman" w:hAnsi="Arial" w:cs="Arial"/>
          <w:lang w:eastAsia="en-GB"/>
        </w:rPr>
        <w:t xml:space="preserve"> assumption in the program logic about budget allocation processes that quality of budget proposals was a significant influencing factor in funding allocation by MEF</w:t>
      </w:r>
      <w:r w:rsidR="3FE8F476" w:rsidRPr="52E2F618">
        <w:rPr>
          <w:rFonts w:ascii="Arial" w:eastAsia="Times New Roman" w:hAnsi="Arial" w:cs="Arial"/>
          <w:lang w:eastAsia="en-GB"/>
        </w:rPr>
        <w:t xml:space="preserve"> did not hold</w:t>
      </w:r>
      <w:r w:rsidRPr="52E2F618">
        <w:rPr>
          <w:rFonts w:ascii="Arial" w:eastAsia="Times New Roman" w:hAnsi="Arial" w:cs="Arial"/>
          <w:lang w:eastAsia="en-GB"/>
        </w:rPr>
        <w:t xml:space="preserve">. </w:t>
      </w:r>
      <w:r w:rsidR="6F43FAA7" w:rsidRPr="52E2F618">
        <w:rPr>
          <w:rFonts w:ascii="Arial" w:eastAsia="Times New Roman" w:hAnsi="Arial" w:cs="Arial"/>
          <w:lang w:eastAsia="en-GB"/>
        </w:rPr>
        <w:t xml:space="preserve">Stakeholders’ </w:t>
      </w:r>
      <w:r w:rsidR="674FDAFE" w:rsidRPr="52E2F618">
        <w:rPr>
          <w:rFonts w:ascii="Arial" w:eastAsia="Times New Roman" w:hAnsi="Arial" w:cs="Arial"/>
          <w:lang w:eastAsia="en-GB"/>
        </w:rPr>
        <w:t xml:space="preserve">feedback on </w:t>
      </w:r>
      <w:r w:rsidR="60775187" w:rsidRPr="52E2F618">
        <w:rPr>
          <w:rFonts w:ascii="Arial" w:eastAsia="Times New Roman" w:hAnsi="Arial" w:cs="Arial"/>
          <w:lang w:eastAsia="en-GB"/>
        </w:rPr>
        <w:t>ACCESS’</w:t>
      </w:r>
      <w:r w:rsidR="70B684A7" w:rsidRPr="52E2F618">
        <w:rPr>
          <w:rFonts w:ascii="Arial" w:eastAsia="Times New Roman" w:hAnsi="Arial" w:cs="Arial"/>
          <w:lang w:eastAsia="en-GB"/>
        </w:rPr>
        <w:t>s</w:t>
      </w:r>
      <w:r w:rsidR="674FDAFE" w:rsidRPr="52E2F618">
        <w:rPr>
          <w:rFonts w:ascii="Arial" w:eastAsia="Times New Roman" w:hAnsi="Arial" w:cs="Arial"/>
          <w:lang w:eastAsia="en-GB"/>
        </w:rPr>
        <w:t xml:space="preserve"> approach was mixed. </w:t>
      </w:r>
      <w:r w:rsidR="674FDAFE" w:rsidRPr="52E2F618">
        <w:rPr>
          <w:rFonts w:ascii="Arial" w:eastAsia="Times New Roman" w:hAnsi="Arial" w:cs="Arial"/>
          <w:b/>
          <w:bCs/>
          <w:lang w:eastAsia="en-GB"/>
        </w:rPr>
        <w:t xml:space="preserve">Some stakeholders appreciated ACCESS support, others felt that efforts should have been directed to more senior government officials </w:t>
      </w:r>
      <w:r w:rsidRPr="52E2F618">
        <w:rPr>
          <w:rFonts w:ascii="Arial" w:eastAsia="Times New Roman" w:hAnsi="Arial" w:cs="Arial"/>
          <w:b/>
          <w:bCs/>
          <w:lang w:eastAsia="en-GB"/>
        </w:rPr>
        <w:t xml:space="preserve">and that the quality of budgets proposals was </w:t>
      </w:r>
      <w:r w:rsidR="062ABA2D" w:rsidRPr="52E2F618">
        <w:rPr>
          <w:rFonts w:ascii="Arial" w:eastAsia="Times New Roman" w:hAnsi="Arial" w:cs="Arial"/>
          <w:b/>
          <w:bCs/>
          <w:lang w:eastAsia="en-GB"/>
        </w:rPr>
        <w:t xml:space="preserve">not the </w:t>
      </w:r>
      <w:r w:rsidRPr="52E2F618">
        <w:rPr>
          <w:rFonts w:ascii="Arial" w:eastAsia="Times New Roman" w:hAnsi="Arial" w:cs="Arial"/>
          <w:b/>
          <w:bCs/>
          <w:lang w:eastAsia="en-GB"/>
        </w:rPr>
        <w:t>determining factor in the volume of funding allocated to them</w:t>
      </w:r>
      <w:r w:rsidRPr="52E2F618">
        <w:rPr>
          <w:rFonts w:ascii="Arial" w:eastAsia="Times New Roman" w:hAnsi="Arial" w:cs="Arial"/>
          <w:lang w:eastAsia="en-GB"/>
        </w:rPr>
        <w:t>. ACCESS itself has highlighted that MEF officials</w:t>
      </w:r>
      <w:r w:rsidR="27BCAC97" w:rsidRPr="52E2F618">
        <w:rPr>
          <w:rFonts w:ascii="Arial" w:eastAsia="Times New Roman" w:hAnsi="Arial" w:cs="Arial"/>
          <w:lang w:eastAsia="en-GB"/>
        </w:rPr>
        <w:t xml:space="preserve"> need</w:t>
      </w:r>
      <w:r w:rsidRPr="52E2F618">
        <w:rPr>
          <w:rFonts w:ascii="Arial" w:eastAsia="Times New Roman" w:hAnsi="Arial" w:cs="Arial"/>
          <w:lang w:eastAsia="en-GB"/>
        </w:rPr>
        <w:t xml:space="preserve"> to actually visit a PRC or GBV counselling service to understand that there is a material need for financing, and that it meets a need of citizens. Support is still needed to socialise RGC counterparts about the needs of persons with a disability and survivors of violence. </w:t>
      </w:r>
    </w:p>
    <w:p w14:paraId="51A73ECB" w14:textId="1AE7D60B" w:rsidR="00A93DD0" w:rsidRPr="0010578A" w:rsidRDefault="00A93DD0" w:rsidP="07283E86">
      <w:pPr>
        <w:jc w:val="both"/>
        <w:textAlignment w:val="baseline"/>
        <w:rPr>
          <w:rFonts w:ascii="Arial" w:eastAsia="Times New Roman" w:hAnsi="Arial" w:cs="Arial"/>
          <w:color w:val="000000"/>
          <w:shd w:val="clear" w:color="auto" w:fill="FFFF00"/>
          <w:lang w:eastAsia="en-GB"/>
        </w:rPr>
      </w:pPr>
      <w:r w:rsidRPr="07283E86">
        <w:rPr>
          <w:rFonts w:ascii="Arial" w:eastAsia="Times New Roman" w:hAnsi="Arial" w:cs="Arial"/>
          <w:color w:val="000000"/>
          <w:lang w:eastAsia="en-GB"/>
        </w:rPr>
        <w:t>That said, the program did have some PFM ‘</w:t>
      </w:r>
      <w:proofErr w:type="gramStart"/>
      <w:r w:rsidRPr="07283E86">
        <w:rPr>
          <w:rFonts w:ascii="Arial" w:eastAsia="Times New Roman" w:hAnsi="Arial" w:cs="Arial"/>
          <w:color w:val="000000"/>
          <w:lang w:eastAsia="en-GB"/>
        </w:rPr>
        <w:t>wins’</w:t>
      </w:r>
      <w:proofErr w:type="gramEnd"/>
      <w:r w:rsidRPr="07283E86">
        <w:rPr>
          <w:rFonts w:ascii="Arial" w:eastAsia="Times New Roman" w:hAnsi="Arial" w:cs="Arial"/>
          <w:color w:val="000000"/>
          <w:lang w:eastAsia="en-GB"/>
        </w:rPr>
        <w:t xml:space="preserve">. </w:t>
      </w:r>
      <w:r w:rsidRPr="009C207D">
        <w:rPr>
          <w:rFonts w:ascii="Arial" w:eastAsia="Times New Roman" w:hAnsi="Arial" w:cs="Arial"/>
          <w:b/>
          <w:bCs/>
          <w:color w:val="000000"/>
          <w:lang w:eastAsia="en-GB"/>
        </w:rPr>
        <w:t xml:space="preserve">Securing an agreement in Year 1 for MEF to cover the DSA of RGC official participation in ACCESS is a prominent achievement. </w:t>
      </w:r>
      <w:r w:rsidRPr="07283E86">
        <w:rPr>
          <w:rFonts w:ascii="Arial" w:eastAsia="Times New Roman" w:hAnsi="Arial" w:cs="Arial"/>
          <w:color w:val="000000"/>
          <w:lang w:eastAsia="en-GB"/>
        </w:rPr>
        <w:t xml:space="preserve">ACCESS advocacy contributed to MEF including a reference to budgeting for people with disabilities in the </w:t>
      </w:r>
      <w:r w:rsidR="5878239B" w:rsidRPr="07283E86">
        <w:rPr>
          <w:rFonts w:ascii="Arial" w:eastAsia="Times New Roman" w:hAnsi="Arial" w:cs="Arial"/>
          <w:color w:val="000000"/>
          <w:lang w:eastAsia="en-GB"/>
        </w:rPr>
        <w:t xml:space="preserve">abovementioned </w:t>
      </w:r>
      <w:r w:rsidRPr="07283E86">
        <w:rPr>
          <w:rFonts w:ascii="Arial" w:eastAsia="Times New Roman" w:hAnsi="Arial" w:cs="Arial"/>
          <w:color w:val="000000"/>
          <w:lang w:eastAsia="en-GB"/>
        </w:rPr>
        <w:t>Circular on Technical Procedures for Preparation of the 2023 Budget Proposal of Sub-national Administrations. ACCESS reported that this stemmed from the conclusions to an ACCESS-funded workshop in 2022 where the key priorities of the NDSP were presented to MEF, DAC-GS and GD-SNAF. </w:t>
      </w:r>
      <w:r w:rsidRPr="07283E86">
        <w:rPr>
          <w:rFonts w:ascii="Arial" w:eastAsia="Times New Roman" w:hAnsi="Arial" w:cs="Arial"/>
          <w:b/>
          <w:bCs/>
          <w:color w:val="000000"/>
          <w:lang w:eastAsia="en-GB"/>
        </w:rPr>
        <w:t>Another positive result was that ACCESS funded an in-depth study on Gender Responsive Budgeting (GRB).</w:t>
      </w:r>
      <w:r w:rsidRPr="07283E86">
        <w:rPr>
          <w:rFonts w:ascii="Arial" w:eastAsia="Times New Roman" w:hAnsi="Arial" w:cs="Arial"/>
          <w:color w:val="000000"/>
          <w:lang w:eastAsia="en-GB"/>
        </w:rPr>
        <w:t xml:space="preserve"> The findings of this study on GRB processes w</w:t>
      </w:r>
      <w:r w:rsidR="00365B53">
        <w:rPr>
          <w:rFonts w:ascii="Arial" w:eastAsia="Times New Roman" w:hAnsi="Arial" w:cs="Arial"/>
          <w:color w:val="000000"/>
          <w:lang w:eastAsia="en-GB"/>
        </w:rPr>
        <w:t>ere</w:t>
      </w:r>
      <w:r w:rsidRPr="07283E86">
        <w:rPr>
          <w:rFonts w:ascii="Arial" w:eastAsia="Times New Roman" w:hAnsi="Arial" w:cs="Arial"/>
          <w:color w:val="000000"/>
          <w:lang w:eastAsia="en-GB"/>
        </w:rPr>
        <w:t xml:space="preserve"> shared with MOWA and MEF and the General Secretariat for the PFM Reform Program, and they have been integrated within a GRB Roadmap being developed for MOWA by UNDP.  </w:t>
      </w:r>
    </w:p>
    <w:p w14:paraId="1820DF12" w14:textId="4F320733" w:rsidR="00A93DD0" w:rsidRDefault="00A93DD0" w:rsidP="00A93DD0">
      <w:pPr>
        <w:jc w:val="both"/>
        <w:textAlignment w:val="baseline"/>
        <w:rPr>
          <w:rFonts w:ascii="Arial" w:eastAsia="Times New Roman" w:hAnsi="Arial" w:cs="Arial"/>
          <w:color w:val="000000"/>
          <w:lang w:eastAsia="en-GB"/>
        </w:rPr>
      </w:pPr>
      <w:r w:rsidRPr="07283E86">
        <w:rPr>
          <w:rFonts w:ascii="Arial" w:eastAsia="Times New Roman" w:hAnsi="Arial" w:cs="Arial"/>
          <w:b/>
          <w:bCs/>
          <w:color w:val="000000"/>
          <w:lang w:eastAsia="en-GB"/>
        </w:rPr>
        <w:t xml:space="preserve">More financing progress has been evident at the subnational level. ACCESS directly supported MOWA to socialise the Annual Operational Plan and budgeting process at provincial and district level. </w:t>
      </w:r>
      <w:r w:rsidRPr="07283E86">
        <w:rPr>
          <w:rFonts w:ascii="Arial" w:eastAsia="Times New Roman" w:hAnsi="Arial" w:cs="Arial"/>
          <w:color w:val="000000"/>
          <w:lang w:eastAsia="en-GB"/>
        </w:rPr>
        <w:t xml:space="preserve">These AOPs demonstrated better adherence to the NAPVAW than was the case with line ministries at the national level, and </w:t>
      </w:r>
      <w:r w:rsidR="00AD02D6">
        <w:rPr>
          <w:rFonts w:ascii="Arial" w:eastAsia="Times New Roman" w:hAnsi="Arial" w:cs="Arial"/>
          <w:color w:val="000000"/>
          <w:lang w:eastAsia="en-GB"/>
        </w:rPr>
        <w:t>ACCESS’</w:t>
      </w:r>
      <w:r w:rsidR="009500C0">
        <w:rPr>
          <w:rFonts w:ascii="Arial" w:eastAsia="Times New Roman" w:hAnsi="Arial" w:cs="Arial"/>
          <w:color w:val="000000"/>
          <w:lang w:eastAsia="en-GB"/>
        </w:rPr>
        <w:t>s</w:t>
      </w:r>
      <w:r w:rsidRPr="07283E86">
        <w:rPr>
          <w:rFonts w:ascii="Arial" w:eastAsia="Times New Roman" w:hAnsi="Arial" w:cs="Arial"/>
          <w:color w:val="000000"/>
          <w:lang w:eastAsia="en-GB"/>
        </w:rPr>
        <w:t xml:space="preserve"> analysis of the 2022 budget found that </w:t>
      </w:r>
      <w:proofErr w:type="spellStart"/>
      <w:r w:rsidRPr="07283E86">
        <w:rPr>
          <w:rFonts w:ascii="Arial" w:eastAsia="Times New Roman" w:hAnsi="Arial" w:cs="Arial"/>
          <w:color w:val="000000"/>
          <w:lang w:eastAsia="en-GB"/>
        </w:rPr>
        <w:t>PDoWA</w:t>
      </w:r>
      <w:proofErr w:type="spellEnd"/>
      <w:r w:rsidRPr="07283E86">
        <w:rPr>
          <w:rFonts w:ascii="Arial" w:eastAsia="Times New Roman" w:hAnsi="Arial" w:cs="Arial"/>
          <w:color w:val="000000"/>
          <w:lang w:eastAsia="en-GB"/>
        </w:rPr>
        <w:t xml:space="preserve"> budgets for GBV legal protection had increased in five provinces that ACCESS has supported. </w:t>
      </w:r>
      <w:r w:rsidRPr="009C207D">
        <w:rPr>
          <w:rFonts w:ascii="Arial" w:eastAsia="Times New Roman" w:hAnsi="Arial" w:cs="Arial"/>
          <w:b/>
          <w:bCs/>
          <w:color w:val="000000"/>
          <w:lang w:eastAsia="en-GB"/>
        </w:rPr>
        <w:t>ACCESS had identified but not properly embarked upon support to the sub-national level to plan and utilise CIP budgets, especially the 20 per cent social affairs budget line which could be applied to disability and GBV services</w:t>
      </w:r>
      <w:r w:rsidRPr="009C207D">
        <w:rPr>
          <w:rFonts w:ascii="Arial" w:eastAsia="Times New Roman" w:hAnsi="Arial" w:cs="Arial"/>
          <w:color w:val="000000"/>
          <w:lang w:eastAsia="en-GB"/>
        </w:rPr>
        <w:t xml:space="preserve">. The evaluation found that sub-national authorities were uncertain as to how to utilise the social affairs budget line in the CIP budget template. This was in part due to due concerns about complying with procurement regulations for ‘soft’ services, and remains an area for support. On disability services, ACCESS supported UNDP to strengthen commitment to funding services at the provincial level. One province allocated budget for P-DAC meetings, which has been attributed to ACCESS inviting MEF and General Directorate for Subnational Administration </w:t>
      </w:r>
      <w:r w:rsidRPr="009C207D">
        <w:rPr>
          <w:rFonts w:ascii="Arial" w:eastAsia="Times New Roman" w:hAnsi="Arial" w:cs="Arial"/>
          <w:color w:val="000000"/>
          <w:lang w:eastAsia="en-GB"/>
        </w:rPr>
        <w:lastRenderedPageBreak/>
        <w:t xml:space="preserve">Finance (GD-SNAF) to P-DAC meetings to promote the need for funding. More substantially, the Provincial Administration in </w:t>
      </w:r>
      <w:proofErr w:type="spellStart"/>
      <w:r w:rsidRPr="009C207D">
        <w:rPr>
          <w:rFonts w:ascii="Arial" w:eastAsia="Times New Roman" w:hAnsi="Arial" w:cs="Arial"/>
          <w:color w:val="000000"/>
          <w:lang w:eastAsia="en-GB"/>
        </w:rPr>
        <w:t>Siem</w:t>
      </w:r>
      <w:proofErr w:type="spellEnd"/>
      <w:r w:rsidRPr="009C207D">
        <w:rPr>
          <w:rFonts w:ascii="Arial" w:eastAsia="Times New Roman" w:hAnsi="Arial" w:cs="Arial"/>
          <w:color w:val="000000"/>
          <w:lang w:eastAsia="en-GB"/>
        </w:rPr>
        <w:t xml:space="preserve"> Reap allocated 57 million riels towards the disability sector in its 2022 budget, including first time funding of P-DAC meetings (10 million riels). </w:t>
      </w:r>
      <w:r w:rsidRPr="07283E86">
        <w:rPr>
          <w:rFonts w:ascii="Arial" w:eastAsia="Times New Roman" w:hAnsi="Arial" w:cs="Arial"/>
          <w:color w:val="000000"/>
          <w:lang w:eastAsia="en-GB"/>
        </w:rPr>
        <w:t> </w:t>
      </w:r>
    </w:p>
    <w:p w14:paraId="7B2113B3" w14:textId="69EFEF7E" w:rsidR="006A33B3" w:rsidRDefault="006A33B3" w:rsidP="006A33B3">
      <w:pPr>
        <w:pStyle w:val="Heading2"/>
        <w:rPr>
          <w:lang w:eastAsia="en-GB"/>
        </w:rPr>
      </w:pPr>
      <w:r>
        <w:rPr>
          <w:lang w:eastAsia="en-GB"/>
        </w:rPr>
        <w:t>Lessons Learned</w:t>
      </w:r>
    </w:p>
    <w:p w14:paraId="5FEFF7DB" w14:textId="77777777" w:rsidR="006A33B3" w:rsidRPr="004E183B" w:rsidRDefault="006A33B3" w:rsidP="006A33B3">
      <w:pPr>
        <w:pStyle w:val="ListParagraph"/>
        <w:numPr>
          <w:ilvl w:val="0"/>
          <w:numId w:val="43"/>
        </w:numPr>
        <w:ind w:left="714" w:hanging="357"/>
        <w:contextualSpacing w:val="0"/>
        <w:jc w:val="both"/>
        <w:rPr>
          <w:rFonts w:ascii="Arial" w:eastAsia="Arial" w:hAnsi="Arial" w:cs="Arial"/>
          <w:szCs w:val="20"/>
        </w:rPr>
      </w:pPr>
      <w:r w:rsidRPr="0318F25C">
        <w:rPr>
          <w:rFonts w:ascii="Arial" w:eastAsia="Arial" w:hAnsi="Arial" w:cs="Arial"/>
          <w:szCs w:val="20"/>
        </w:rPr>
        <w:t xml:space="preserve">Consolidating and building on gains from predecessor programs and investing time in developing strong relationships with RGC counterparts was central to </w:t>
      </w:r>
      <w:r>
        <w:rPr>
          <w:rFonts w:ascii="Arial" w:eastAsia="Arial" w:hAnsi="Arial" w:cs="Arial"/>
          <w:szCs w:val="20"/>
        </w:rPr>
        <w:t>ACCESS’</w:t>
      </w:r>
      <w:r w:rsidRPr="0318F25C">
        <w:rPr>
          <w:rFonts w:ascii="Arial" w:eastAsia="Arial" w:hAnsi="Arial" w:cs="Arial"/>
          <w:szCs w:val="20"/>
        </w:rPr>
        <w:t>s success in advancing its outcomes, including in challenging areas.</w:t>
      </w:r>
    </w:p>
    <w:p w14:paraId="14046AF9" w14:textId="77777777" w:rsidR="006A33B3" w:rsidRPr="004E183B" w:rsidRDefault="006A33B3" w:rsidP="006A33B3">
      <w:pPr>
        <w:pStyle w:val="ListParagraph"/>
        <w:numPr>
          <w:ilvl w:val="0"/>
          <w:numId w:val="43"/>
        </w:numPr>
        <w:ind w:left="714" w:hanging="357"/>
        <w:contextualSpacing w:val="0"/>
        <w:jc w:val="both"/>
        <w:rPr>
          <w:rFonts w:ascii="Arial" w:eastAsia="Arial" w:hAnsi="Arial" w:cs="Arial"/>
          <w:szCs w:val="20"/>
        </w:rPr>
      </w:pPr>
      <w:r w:rsidRPr="0318F25C">
        <w:rPr>
          <w:rFonts w:ascii="Arial" w:eastAsia="Arial" w:hAnsi="Arial" w:cs="Arial"/>
          <w:szCs w:val="20"/>
        </w:rPr>
        <w:t>Strengthening coordination and emerging referral processes has been a strength of ACCESS, which is critical in underpinning integrated service delivery for survivors of GBV and people with disabilities.</w:t>
      </w:r>
    </w:p>
    <w:p w14:paraId="1452F41A" w14:textId="77777777" w:rsidR="006A33B3" w:rsidRDefault="006A33B3" w:rsidP="006A33B3">
      <w:pPr>
        <w:pStyle w:val="ListParagraph"/>
        <w:numPr>
          <w:ilvl w:val="0"/>
          <w:numId w:val="43"/>
        </w:numPr>
        <w:ind w:left="714" w:hanging="357"/>
        <w:contextualSpacing w:val="0"/>
        <w:jc w:val="both"/>
        <w:rPr>
          <w:rFonts w:ascii="Arial" w:eastAsia="Arial" w:hAnsi="Arial" w:cs="Arial"/>
          <w:szCs w:val="20"/>
        </w:rPr>
      </w:pPr>
      <w:r w:rsidRPr="0318F25C">
        <w:rPr>
          <w:rFonts w:ascii="Arial" w:eastAsia="Arial" w:hAnsi="Arial" w:cs="Arial"/>
          <w:szCs w:val="20"/>
        </w:rPr>
        <w:t xml:space="preserve">The assumption in the design, that improvements in the quality of budget preparation processes and supporting </w:t>
      </w:r>
      <w:proofErr w:type="spellStart"/>
      <w:r w:rsidRPr="0318F25C">
        <w:rPr>
          <w:rFonts w:ascii="Arial" w:eastAsia="Arial" w:hAnsi="Arial" w:cs="Arial"/>
          <w:szCs w:val="20"/>
        </w:rPr>
        <w:t>MoSVY</w:t>
      </w:r>
      <w:proofErr w:type="spellEnd"/>
      <w:r w:rsidRPr="0318F25C">
        <w:rPr>
          <w:rFonts w:ascii="Arial" w:eastAsia="Arial" w:hAnsi="Arial" w:cs="Arial"/>
          <w:szCs w:val="20"/>
        </w:rPr>
        <w:t xml:space="preserve"> and </w:t>
      </w:r>
      <w:proofErr w:type="spellStart"/>
      <w:r w:rsidRPr="0318F25C">
        <w:rPr>
          <w:rFonts w:ascii="Arial" w:eastAsia="Arial" w:hAnsi="Arial" w:cs="Arial"/>
          <w:szCs w:val="20"/>
        </w:rPr>
        <w:t>MoWA</w:t>
      </w:r>
      <w:proofErr w:type="spellEnd"/>
      <w:r w:rsidRPr="0318F25C">
        <w:rPr>
          <w:rFonts w:ascii="Arial" w:eastAsia="Arial" w:hAnsi="Arial" w:cs="Arial"/>
          <w:szCs w:val="20"/>
        </w:rPr>
        <w:t xml:space="preserve"> on ‘arguing the case’ would lead to increased budget allocations did not hold. </w:t>
      </w:r>
    </w:p>
    <w:p w14:paraId="67182DA5" w14:textId="46CF2889" w:rsidR="006A33B3" w:rsidRPr="006A33B3" w:rsidRDefault="006A33B3" w:rsidP="006A33B3">
      <w:pPr>
        <w:pStyle w:val="ListParagraph"/>
        <w:numPr>
          <w:ilvl w:val="0"/>
          <w:numId w:val="43"/>
        </w:numPr>
        <w:ind w:left="714" w:hanging="357"/>
        <w:contextualSpacing w:val="0"/>
        <w:jc w:val="both"/>
        <w:rPr>
          <w:rFonts w:ascii="Arial" w:eastAsia="Arial" w:hAnsi="Arial" w:cs="Arial"/>
          <w:szCs w:val="20"/>
        </w:rPr>
      </w:pPr>
      <w:r w:rsidRPr="006A33B3">
        <w:rPr>
          <w:rFonts w:ascii="Arial" w:eastAsia="Arial" w:hAnsi="Arial" w:cs="Arial"/>
          <w:szCs w:val="20"/>
        </w:rPr>
        <w:t>Initiatives that seek to advance economic empowerment of survivors of GBV and people with disabilities need to be designed to ensure they are likely to fulfill their empowerment objectives and mitigate risks.</w:t>
      </w:r>
    </w:p>
    <w:p w14:paraId="63F5FF94" w14:textId="77777777" w:rsidR="006A33B3" w:rsidRPr="00E93A5B" w:rsidRDefault="006A33B3" w:rsidP="00BF1042">
      <w:pPr>
        <w:spacing w:before="360"/>
        <w:jc w:val="both"/>
        <w:textAlignment w:val="baseline"/>
        <w:rPr>
          <w:rFonts w:ascii="Arial" w:eastAsia="Times New Roman" w:hAnsi="Arial" w:cs="Arial"/>
          <w:lang w:eastAsia="en-GB"/>
        </w:rPr>
      </w:pPr>
      <w:bookmarkStart w:id="74" w:name="_Toc116327898"/>
      <w:bookmarkStart w:id="75" w:name="_Toc116328011"/>
      <w:bookmarkStart w:id="76" w:name="_Toc116328076"/>
      <w:bookmarkStart w:id="77" w:name="_Toc116371563"/>
      <w:bookmarkStart w:id="78" w:name="_Toc116371691"/>
      <w:bookmarkStart w:id="79" w:name="_Toc116371759"/>
      <w:bookmarkStart w:id="80" w:name="_Toc116378177"/>
      <w:r>
        <w:rPr>
          <w:noProof/>
        </w:rPr>
        <w:drawing>
          <wp:inline distT="0" distB="0" distL="0" distR="0" wp14:anchorId="062FD863" wp14:editId="748D0363">
            <wp:extent cx="6108065" cy="2598420"/>
            <wp:effectExtent l="0" t="0" r="6985" b="0"/>
            <wp:docPr id="292645546" name="Picture 15" descr="A field with a number of sugar palm trees in Kampong Speu. The sun is setting and the sky has soft light and pale colours. It looks like a late afternoon storm is fo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645546" name="Picture 15" descr="A field with a number of sugar palm trees in Kampong Speu. The sun is setting and the sky has soft light and pale colours. It looks like a late afternoon storm is forming."/>
                    <pic:cNvPicPr/>
                  </pic:nvPicPr>
                  <pic:blipFill rotWithShape="1">
                    <a:blip r:embed="rId28">
                      <a:extLst>
                        <a:ext uri="{28A0092B-C50C-407E-A947-70E740481C1C}">
                          <a14:useLocalDpi xmlns:a14="http://schemas.microsoft.com/office/drawing/2010/main" val="0"/>
                        </a:ext>
                      </a:extLst>
                    </a:blip>
                    <a:srcRect l="8403"/>
                    <a:stretch/>
                  </pic:blipFill>
                  <pic:spPr bwMode="auto">
                    <a:xfrm>
                      <a:off x="0" y="0"/>
                      <a:ext cx="6108065" cy="2598420"/>
                    </a:xfrm>
                    <a:prstGeom prst="rect">
                      <a:avLst/>
                    </a:prstGeom>
                    <a:ln>
                      <a:noFill/>
                    </a:ln>
                    <a:extLst>
                      <a:ext uri="{53640926-AAD7-44D8-BBD7-CCE9431645EC}">
                        <a14:shadowObscured xmlns:a14="http://schemas.microsoft.com/office/drawing/2010/main"/>
                      </a:ext>
                    </a:extLst>
                  </pic:spPr>
                </pic:pic>
              </a:graphicData>
            </a:graphic>
          </wp:inline>
        </w:drawing>
      </w:r>
    </w:p>
    <w:p w14:paraId="6F5AB71D" w14:textId="77777777" w:rsidR="006A33B3" w:rsidRPr="00952C7C" w:rsidRDefault="006A33B3" w:rsidP="006A33B3">
      <w:pPr>
        <w:spacing w:after="120"/>
        <w:rPr>
          <w:sz w:val="18"/>
          <w:szCs w:val="18"/>
        </w:rPr>
      </w:pPr>
      <w:r w:rsidRPr="00952C7C">
        <w:rPr>
          <w:sz w:val="18"/>
          <w:szCs w:val="18"/>
          <w:u w:val="single"/>
        </w:rPr>
        <w:t>Image:</w:t>
      </w:r>
      <w:r w:rsidRPr="00952C7C">
        <w:rPr>
          <w:sz w:val="18"/>
          <w:szCs w:val="18"/>
        </w:rPr>
        <w:t xml:space="preserve"> </w:t>
      </w:r>
      <w:r>
        <w:rPr>
          <w:sz w:val="18"/>
          <w:szCs w:val="18"/>
        </w:rPr>
        <w:t>A landscape of sugar palms at sunset near</w:t>
      </w:r>
      <w:r w:rsidRPr="00952C7C">
        <w:rPr>
          <w:sz w:val="18"/>
          <w:szCs w:val="18"/>
        </w:rPr>
        <w:t xml:space="preserve"> Kampong </w:t>
      </w:r>
      <w:proofErr w:type="spellStart"/>
      <w:r>
        <w:rPr>
          <w:sz w:val="18"/>
          <w:szCs w:val="18"/>
        </w:rPr>
        <w:t>Speu</w:t>
      </w:r>
      <w:proofErr w:type="spellEnd"/>
      <w:r w:rsidRPr="00952C7C">
        <w:rPr>
          <w:sz w:val="18"/>
          <w:szCs w:val="18"/>
        </w:rPr>
        <w:t xml:space="preserve"> PRC. </w:t>
      </w:r>
    </w:p>
    <w:p w14:paraId="7C54B332" w14:textId="77777777" w:rsidR="009D70BC" w:rsidRDefault="009D70BC">
      <w:pPr>
        <w:spacing w:after="0" w:line="240" w:lineRule="auto"/>
        <w:rPr>
          <w:bCs/>
          <w:iCs/>
          <w:caps/>
          <w:color w:val="1D336D" w:themeColor="background2"/>
          <w:sz w:val="32"/>
          <w:szCs w:val="28"/>
        </w:rPr>
      </w:pPr>
      <w:r>
        <w:rPr>
          <w:b/>
          <w:bCs/>
        </w:rPr>
        <w:br w:type="page"/>
      </w:r>
    </w:p>
    <w:p w14:paraId="34A0A6ED" w14:textId="40579DFC" w:rsidR="58E58D99" w:rsidRPr="007825FE" w:rsidRDefault="58E58D99" w:rsidP="00326D32">
      <w:pPr>
        <w:pStyle w:val="Heading1"/>
        <w:rPr>
          <w:b w:val="0"/>
          <w:bCs/>
        </w:rPr>
      </w:pPr>
      <w:bookmarkStart w:id="81" w:name="_Toc122460800"/>
      <w:r w:rsidRPr="007825FE">
        <w:rPr>
          <w:b w:val="0"/>
          <w:bCs/>
        </w:rPr>
        <w:lastRenderedPageBreak/>
        <w:t>Eff</w:t>
      </w:r>
      <w:r w:rsidR="3A733EA7" w:rsidRPr="007825FE">
        <w:rPr>
          <w:b w:val="0"/>
          <w:bCs/>
        </w:rPr>
        <w:t>iciency</w:t>
      </w:r>
      <w:bookmarkEnd w:id="74"/>
      <w:bookmarkEnd w:id="75"/>
      <w:bookmarkEnd w:id="76"/>
      <w:bookmarkEnd w:id="77"/>
      <w:bookmarkEnd w:id="78"/>
      <w:bookmarkEnd w:id="79"/>
      <w:bookmarkEnd w:id="80"/>
      <w:bookmarkEnd w:id="81"/>
    </w:p>
    <w:p w14:paraId="58E5321A" w14:textId="4E65841B" w:rsidR="58E58D99" w:rsidRPr="007047F5" w:rsidRDefault="47D92DF8">
      <w:pPr>
        <w:rPr>
          <w:color w:val="1D336D" w:themeColor="background2"/>
          <w:sz w:val="22"/>
          <w:szCs w:val="28"/>
        </w:rPr>
      </w:pPr>
      <w:r w:rsidRPr="007047F5">
        <w:rPr>
          <w:rFonts w:ascii="Arial" w:eastAsia="Arial" w:hAnsi="Arial" w:cs="Arial"/>
          <w:b/>
          <w:bCs/>
          <w:color w:val="1D336D" w:themeColor="background2"/>
          <w:sz w:val="22"/>
          <w:szCs w:val="22"/>
        </w:rPr>
        <w:t xml:space="preserve">To what extent has ACCESS been an efficient and effective program model to deliver outcomes?    </w:t>
      </w:r>
    </w:p>
    <w:p w14:paraId="6DD621AA" w14:textId="4EA07F76" w:rsidR="58E58D99" w:rsidRDefault="47D92DF8" w:rsidP="00701509">
      <w:pPr>
        <w:jc w:val="both"/>
      </w:pPr>
      <w:r w:rsidRPr="71FAFF1E">
        <w:rPr>
          <w:rFonts w:ascii="Arial" w:eastAsia="Arial" w:hAnsi="Arial" w:cs="Arial"/>
        </w:rPr>
        <w:t xml:space="preserve">The discussion of efficiency in this section is in relation to the ACCESS model as designed; the efficiency in how </w:t>
      </w:r>
      <w:r w:rsidR="00F81BAA">
        <w:rPr>
          <w:rFonts w:ascii="Arial" w:eastAsia="Arial" w:hAnsi="Arial" w:cs="Arial"/>
        </w:rPr>
        <w:t xml:space="preserve">the </w:t>
      </w:r>
      <w:r w:rsidRPr="71FAFF1E">
        <w:rPr>
          <w:rFonts w:ascii="Arial" w:eastAsia="Arial" w:hAnsi="Arial" w:cs="Arial"/>
        </w:rPr>
        <w:t>ACCESS model has been implemented; and expenditure and value for money considerations.</w:t>
      </w:r>
    </w:p>
    <w:p w14:paraId="3CED27E7" w14:textId="3735046A" w:rsidR="00643F5A" w:rsidRDefault="005C2315" w:rsidP="00643F5A">
      <w:pPr>
        <w:jc w:val="both"/>
        <w:rPr>
          <w:rFonts w:ascii="Arial" w:eastAsia="Arial" w:hAnsi="Arial" w:cs="Arial"/>
        </w:rPr>
      </w:pPr>
      <w:r>
        <w:rPr>
          <w:rFonts w:ascii="Arial" w:eastAsia="Arial" w:hAnsi="Arial" w:cs="Arial"/>
          <w:b/>
          <w:bCs/>
        </w:rPr>
        <w:t>ACCESS</w:t>
      </w:r>
      <w:r w:rsidR="00852CA4" w:rsidRPr="10D527AA">
        <w:rPr>
          <w:rFonts w:ascii="Arial" w:eastAsia="Arial" w:hAnsi="Arial" w:cs="Arial"/>
          <w:b/>
          <w:bCs/>
        </w:rPr>
        <w:t xml:space="preserve"> is on track to </w:t>
      </w:r>
      <w:r w:rsidR="00064D77">
        <w:rPr>
          <w:rFonts w:ascii="Arial" w:eastAsia="Arial" w:hAnsi="Arial" w:cs="Arial"/>
          <w:b/>
          <w:bCs/>
        </w:rPr>
        <w:t>fully expense</w:t>
      </w:r>
      <w:r w:rsidR="00E25961">
        <w:rPr>
          <w:rFonts w:ascii="Arial" w:eastAsia="Arial" w:hAnsi="Arial" w:cs="Arial"/>
          <w:b/>
          <w:bCs/>
        </w:rPr>
        <w:t xml:space="preserve"> its program </w:t>
      </w:r>
      <w:r w:rsidR="005D2A4B">
        <w:rPr>
          <w:rFonts w:ascii="Arial" w:eastAsia="Arial" w:hAnsi="Arial" w:cs="Arial"/>
          <w:b/>
          <w:bCs/>
        </w:rPr>
        <w:t>budget</w:t>
      </w:r>
      <w:r w:rsidR="00852CA4" w:rsidRPr="10D527AA">
        <w:rPr>
          <w:rFonts w:ascii="Arial" w:eastAsia="Arial" w:hAnsi="Arial" w:cs="Arial"/>
          <w:b/>
          <w:bCs/>
        </w:rPr>
        <w:t xml:space="preserve"> by September 2023.</w:t>
      </w:r>
      <w:r w:rsidR="00852CA4" w:rsidRPr="10D527AA">
        <w:rPr>
          <w:rFonts w:ascii="Arial" w:eastAsia="Arial" w:hAnsi="Arial" w:cs="Arial"/>
        </w:rPr>
        <w:t xml:space="preserve"> At the end of Year 4 (June 2022), ACCESS had disbursed </w:t>
      </w:r>
      <w:r w:rsidR="00092ED3">
        <w:rPr>
          <w:rFonts w:ascii="Arial" w:eastAsia="Arial" w:hAnsi="Arial" w:cs="Arial"/>
        </w:rPr>
        <w:t xml:space="preserve">approximately </w:t>
      </w:r>
      <w:r w:rsidR="00852CA4" w:rsidRPr="10D527AA">
        <w:rPr>
          <w:rFonts w:ascii="Arial" w:eastAsia="Arial" w:hAnsi="Arial" w:cs="Arial"/>
        </w:rPr>
        <w:t>AUD</w:t>
      </w:r>
      <w:r w:rsidR="00092ED3">
        <w:rPr>
          <w:rFonts w:ascii="Arial" w:eastAsia="Arial" w:hAnsi="Arial" w:cs="Arial"/>
        </w:rPr>
        <w:t>20 million</w:t>
      </w:r>
      <w:r w:rsidR="006D0DA4">
        <w:rPr>
          <w:rFonts w:ascii="Arial" w:eastAsia="Arial" w:hAnsi="Arial" w:cs="Arial"/>
        </w:rPr>
        <w:t xml:space="preserve">, or around 80% of its </w:t>
      </w:r>
      <w:r w:rsidR="00852CA4" w:rsidRPr="10D527AA">
        <w:rPr>
          <w:rFonts w:ascii="Arial" w:eastAsia="Arial" w:hAnsi="Arial" w:cs="Arial"/>
        </w:rPr>
        <w:t>total approved AUD 25 million budget</w:t>
      </w:r>
      <w:r w:rsidR="004D6A4C">
        <w:rPr>
          <w:rFonts w:ascii="Arial" w:eastAsia="Arial" w:hAnsi="Arial" w:cs="Arial"/>
        </w:rPr>
        <w:t>.</w:t>
      </w:r>
      <w:r w:rsidR="00852CA4" w:rsidRPr="10D527AA">
        <w:rPr>
          <w:rFonts w:ascii="Arial" w:eastAsia="Arial" w:hAnsi="Arial" w:cs="Arial"/>
        </w:rPr>
        <w:t xml:space="preserve"> Variance between</w:t>
      </w:r>
      <w:r w:rsidR="00F023BF">
        <w:rPr>
          <w:rFonts w:ascii="Arial" w:eastAsia="Arial" w:hAnsi="Arial" w:cs="Arial"/>
        </w:rPr>
        <w:t xml:space="preserve"> annual</w:t>
      </w:r>
      <w:r w:rsidR="00852CA4" w:rsidRPr="10D527AA">
        <w:rPr>
          <w:rFonts w:ascii="Arial" w:eastAsia="Arial" w:hAnsi="Arial" w:cs="Arial"/>
        </w:rPr>
        <w:t xml:space="preserve"> budget</w:t>
      </w:r>
      <w:r w:rsidR="00F023BF">
        <w:rPr>
          <w:rFonts w:ascii="Arial" w:eastAsia="Arial" w:hAnsi="Arial" w:cs="Arial"/>
        </w:rPr>
        <w:t>s</w:t>
      </w:r>
      <w:r w:rsidR="00852CA4" w:rsidRPr="10D527AA">
        <w:rPr>
          <w:rFonts w:ascii="Arial" w:eastAsia="Arial" w:hAnsi="Arial" w:cs="Arial"/>
        </w:rPr>
        <w:t xml:space="preserve"> and actual </w:t>
      </w:r>
      <w:r w:rsidR="00F023BF">
        <w:rPr>
          <w:rFonts w:ascii="Arial" w:eastAsia="Arial" w:hAnsi="Arial" w:cs="Arial"/>
        </w:rPr>
        <w:t xml:space="preserve">expenditure </w:t>
      </w:r>
      <w:r w:rsidR="00852CA4" w:rsidRPr="10D527AA">
        <w:rPr>
          <w:rFonts w:ascii="Arial" w:eastAsia="Arial" w:hAnsi="Arial" w:cs="Arial"/>
        </w:rPr>
        <w:t xml:space="preserve">has been </w:t>
      </w:r>
      <w:r w:rsidR="00701509">
        <w:rPr>
          <w:rFonts w:ascii="Arial" w:eastAsia="Arial" w:hAnsi="Arial" w:cs="Arial"/>
        </w:rPr>
        <w:t>negligible in</w:t>
      </w:r>
      <w:r w:rsidR="00852CA4" w:rsidRPr="10D527AA">
        <w:rPr>
          <w:rFonts w:ascii="Arial" w:eastAsia="Arial" w:hAnsi="Arial" w:cs="Arial"/>
        </w:rPr>
        <w:t xml:space="preserve"> dollar term</w:t>
      </w:r>
      <w:r w:rsidR="008D692D">
        <w:rPr>
          <w:rFonts w:ascii="Arial" w:eastAsia="Arial" w:hAnsi="Arial" w:cs="Arial"/>
        </w:rPr>
        <w:t>s</w:t>
      </w:r>
      <w:r w:rsidR="000810C5">
        <w:rPr>
          <w:rFonts w:ascii="Arial" w:eastAsia="Arial" w:hAnsi="Arial" w:cs="Arial"/>
        </w:rPr>
        <w:t xml:space="preserve"> </w:t>
      </w:r>
      <w:r w:rsidR="00852CA4" w:rsidRPr="10D527AA">
        <w:rPr>
          <w:rFonts w:ascii="Arial" w:eastAsia="Arial" w:hAnsi="Arial" w:cs="Arial"/>
        </w:rPr>
        <w:t>according to the financial data provided by ACCESS</w:t>
      </w:r>
      <w:r w:rsidR="008D692D">
        <w:rPr>
          <w:rFonts w:ascii="Arial" w:eastAsia="Arial" w:hAnsi="Arial" w:cs="Arial"/>
        </w:rPr>
        <w:t xml:space="preserve">. </w:t>
      </w:r>
      <w:r w:rsidR="00852CA4" w:rsidRPr="10D527AA">
        <w:rPr>
          <w:rFonts w:ascii="Arial" w:eastAsia="Arial" w:hAnsi="Arial" w:cs="Arial"/>
        </w:rPr>
        <w:t>However, when comparing budget and actuals by IOs, it is significant in percentage terms for a number of IOs such as IO 1.1 and IO 1.2</w:t>
      </w:r>
      <w:r w:rsidR="00701509">
        <w:rPr>
          <w:rFonts w:ascii="Arial" w:eastAsia="Arial" w:hAnsi="Arial" w:cs="Arial"/>
        </w:rPr>
        <w:t xml:space="preserve"> relating to budgeting preparation and </w:t>
      </w:r>
      <w:r w:rsidR="0087378E">
        <w:rPr>
          <w:rFonts w:ascii="Arial" w:eastAsia="Arial" w:hAnsi="Arial" w:cs="Arial"/>
        </w:rPr>
        <w:t>sub-national</w:t>
      </w:r>
      <w:r w:rsidR="00701509">
        <w:rPr>
          <w:rFonts w:ascii="Arial" w:eastAsia="Arial" w:hAnsi="Arial" w:cs="Arial"/>
        </w:rPr>
        <w:t xml:space="preserve"> resourcing</w:t>
      </w:r>
      <w:r w:rsidR="00852CA4" w:rsidRPr="10D527AA">
        <w:rPr>
          <w:rFonts w:ascii="Arial" w:eastAsia="Arial" w:hAnsi="Arial" w:cs="Arial"/>
        </w:rPr>
        <w:t xml:space="preserve"> (see </w:t>
      </w:r>
      <w:r w:rsidR="00B67BE7">
        <w:rPr>
          <w:rFonts w:ascii="Arial" w:eastAsia="Arial" w:hAnsi="Arial" w:cs="Arial"/>
        </w:rPr>
        <w:t>Figure 6</w:t>
      </w:r>
      <w:r w:rsidR="00852CA4" w:rsidRPr="10D527AA">
        <w:rPr>
          <w:rFonts w:ascii="Arial" w:eastAsia="Arial" w:hAnsi="Arial" w:cs="Arial"/>
        </w:rPr>
        <w:t xml:space="preserve">). As shown in Figure </w:t>
      </w:r>
      <w:r w:rsidR="00B67BE7">
        <w:rPr>
          <w:rFonts w:ascii="Arial" w:eastAsia="Arial" w:hAnsi="Arial" w:cs="Arial"/>
        </w:rPr>
        <w:t>5</w:t>
      </w:r>
      <w:r w:rsidR="00852CA4" w:rsidRPr="10D527AA">
        <w:rPr>
          <w:rFonts w:ascii="Arial" w:eastAsia="Arial" w:hAnsi="Arial" w:cs="Arial"/>
        </w:rPr>
        <w:t xml:space="preserve">, almost one quarter of the budget (24 per cent) has been applied to IO 2.1 on the adoption and operationalisation of essential service standards for women experiencing GBV and also to IO 2.2 on </w:t>
      </w:r>
      <w:proofErr w:type="spellStart"/>
      <w:r w:rsidR="00A2192B">
        <w:rPr>
          <w:rFonts w:ascii="Arial" w:eastAsia="Arial" w:hAnsi="Arial" w:cs="Arial"/>
        </w:rPr>
        <w:t>MoWA</w:t>
      </w:r>
      <w:r w:rsidR="00852CA4" w:rsidRPr="10D527AA">
        <w:rPr>
          <w:rFonts w:ascii="Arial" w:eastAsia="Arial" w:hAnsi="Arial" w:cs="Arial"/>
        </w:rPr>
        <w:t>’s</w:t>
      </w:r>
      <w:proofErr w:type="spellEnd"/>
      <w:r w:rsidR="00852CA4" w:rsidRPr="10D527AA">
        <w:rPr>
          <w:rFonts w:ascii="Arial" w:eastAsia="Arial" w:hAnsi="Arial" w:cs="Arial"/>
        </w:rPr>
        <w:t xml:space="preserve"> support to coordination and referral networks at the national and </w:t>
      </w:r>
      <w:r w:rsidR="0087378E">
        <w:rPr>
          <w:rFonts w:ascii="Arial" w:eastAsia="Arial" w:hAnsi="Arial" w:cs="Arial"/>
        </w:rPr>
        <w:t>sub-national</w:t>
      </w:r>
      <w:r w:rsidR="00852CA4" w:rsidRPr="10D527AA">
        <w:rPr>
          <w:rFonts w:ascii="Arial" w:eastAsia="Arial" w:hAnsi="Arial" w:cs="Arial"/>
        </w:rPr>
        <w:t xml:space="preserve"> levels. The lowest spend (3 per cent) has been on IO 1.1 on improving the quality of budget processes for the NDSP and NAPVAW, and on IO 2.6 (5 per cent) for </w:t>
      </w:r>
      <w:r w:rsidR="0087378E">
        <w:rPr>
          <w:rFonts w:ascii="Arial" w:eastAsia="Arial" w:hAnsi="Arial" w:cs="Arial"/>
        </w:rPr>
        <w:t>sub-national</w:t>
      </w:r>
      <w:r w:rsidR="00852CA4" w:rsidRPr="10D527AA">
        <w:rPr>
          <w:rFonts w:ascii="Arial" w:eastAsia="Arial" w:hAnsi="Arial" w:cs="Arial"/>
        </w:rPr>
        <w:t xml:space="preserve"> authorities and CSOs to promote disability inclusive and gender responsive Commune Investment P</w:t>
      </w:r>
      <w:r w:rsidR="004750B3">
        <w:rPr>
          <w:rFonts w:ascii="Arial" w:eastAsia="Arial" w:hAnsi="Arial" w:cs="Arial"/>
        </w:rPr>
        <w:t>lans</w:t>
      </w:r>
      <w:r w:rsidR="00852CA4" w:rsidRPr="10D527AA">
        <w:rPr>
          <w:rFonts w:ascii="Arial" w:eastAsia="Arial" w:hAnsi="Arial" w:cs="Arial"/>
        </w:rPr>
        <w:t>.</w:t>
      </w:r>
    </w:p>
    <w:p w14:paraId="5CC509CD" w14:textId="1130991D" w:rsidR="00043707" w:rsidRDefault="00043707" w:rsidP="00643F5A">
      <w:pPr>
        <w:jc w:val="both"/>
        <w:rPr>
          <w:rFonts w:ascii="Arial" w:eastAsia="Arial" w:hAnsi="Arial" w:cs="Arial"/>
          <w:b/>
          <w:bCs/>
          <w:color w:val="1D336D" w:themeColor="background2"/>
          <w:szCs w:val="20"/>
        </w:rPr>
      </w:pPr>
      <w:r w:rsidRPr="00643F5A">
        <w:rPr>
          <w:rFonts w:ascii="Arial" w:eastAsia="Arial" w:hAnsi="Arial" w:cs="Arial"/>
          <w:b/>
          <w:bCs/>
          <w:color w:val="1D336D" w:themeColor="background2"/>
          <w:szCs w:val="20"/>
        </w:rPr>
        <w:t xml:space="preserve">Figure 5: Activity spend by IO, </w:t>
      </w:r>
      <w:r w:rsidR="006450C8">
        <w:rPr>
          <w:rFonts w:ascii="Arial" w:eastAsia="Arial" w:hAnsi="Arial" w:cs="Arial"/>
          <w:b/>
          <w:bCs/>
          <w:color w:val="1D336D" w:themeColor="background2"/>
          <w:szCs w:val="20"/>
        </w:rPr>
        <w:t>July 2019</w:t>
      </w:r>
      <w:r w:rsidRPr="00643F5A">
        <w:rPr>
          <w:rFonts w:ascii="Arial" w:eastAsia="Arial" w:hAnsi="Arial" w:cs="Arial"/>
          <w:b/>
          <w:bCs/>
          <w:color w:val="1D336D" w:themeColor="background2"/>
          <w:szCs w:val="20"/>
        </w:rPr>
        <w:t xml:space="preserve"> – June 2022</w:t>
      </w:r>
    </w:p>
    <w:p w14:paraId="46C22FBE" w14:textId="41B1CAFC" w:rsidR="00043707" w:rsidRPr="00643F5A" w:rsidRDefault="00043707" w:rsidP="00043707">
      <w:pPr>
        <w:jc w:val="center"/>
        <w:rPr>
          <w:rFonts w:ascii="Arial" w:eastAsia="Arial" w:hAnsi="Arial" w:cs="Arial"/>
        </w:rPr>
      </w:pPr>
      <w:r>
        <w:rPr>
          <w:noProof/>
        </w:rPr>
        <w:drawing>
          <wp:inline distT="0" distB="0" distL="0" distR="0" wp14:anchorId="4A56DE29" wp14:editId="701B9E99">
            <wp:extent cx="4678045" cy="3187472"/>
            <wp:effectExtent l="0" t="0" r="8255" b="0"/>
            <wp:docPr id="2111752334" name="Picture 2111752334" descr="Pie chart showing activity spend for each intermediate outcome as a proportion of total activity spend for the period July 2019 and Jun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52334" name="Picture 2111752334" descr="Pie chart showing activity spend for each intermediate outcome as a proportion of total activity spend for the period July 2019 and June 2022."/>
                    <pic:cNvPicPr/>
                  </pic:nvPicPr>
                  <pic:blipFill>
                    <a:blip r:embed="rId29">
                      <a:extLst>
                        <a:ext uri="{28A0092B-C50C-407E-A947-70E740481C1C}">
                          <a14:useLocalDpi xmlns:a14="http://schemas.microsoft.com/office/drawing/2010/main" val="0"/>
                        </a:ext>
                      </a:extLst>
                    </a:blip>
                    <a:stretch>
                      <a:fillRect/>
                    </a:stretch>
                  </pic:blipFill>
                  <pic:spPr>
                    <a:xfrm>
                      <a:off x="0" y="0"/>
                      <a:ext cx="4694084" cy="3198400"/>
                    </a:xfrm>
                    <a:prstGeom prst="rect">
                      <a:avLst/>
                    </a:prstGeom>
                  </pic:spPr>
                </pic:pic>
              </a:graphicData>
            </a:graphic>
          </wp:inline>
        </w:drawing>
      </w:r>
    </w:p>
    <w:p w14:paraId="5EB29208" w14:textId="64ED79B2" w:rsidR="00852CA4" w:rsidRDefault="00771BC4" w:rsidP="73DA2FDD">
      <w:pPr>
        <w:jc w:val="both"/>
        <w:rPr>
          <w:rFonts w:ascii="Arial" w:eastAsia="Arial" w:hAnsi="Arial" w:cs="Arial"/>
        </w:rPr>
      </w:pPr>
      <w:r w:rsidRPr="73DA2FDD">
        <w:rPr>
          <w:rFonts w:ascii="Arial" w:eastAsia="Arial" w:hAnsi="Arial" w:cs="Arial"/>
          <w:b/>
          <w:bCs/>
        </w:rPr>
        <w:t xml:space="preserve">The ACCESS team has been proactive in adapting the program model and being responsive to change. </w:t>
      </w:r>
      <w:r w:rsidRPr="73DA2FDD">
        <w:rPr>
          <w:rFonts w:ascii="Arial" w:eastAsia="Arial" w:hAnsi="Arial" w:cs="Arial"/>
        </w:rPr>
        <w:t xml:space="preserve">A key example is in relation to COVID-19. Not only did the ACCESS program distribute PPE, but ACCESS recognised that the pandemic crisis would acutely increase the hardship and isolation faced by survivors of violence and people with disabilities. Program funds were diverted to meet challenges of COVID-19 to support IPs in their service delivery, and regular workshops were held to support their COVID response and adaptation. ACCESS pivoted </w:t>
      </w:r>
      <w:r w:rsidR="009C0994" w:rsidRPr="73DA2FDD">
        <w:rPr>
          <w:rFonts w:ascii="Arial" w:eastAsia="Arial" w:hAnsi="Arial" w:cs="Arial"/>
        </w:rPr>
        <w:t>to use</w:t>
      </w:r>
      <w:r w:rsidRPr="73DA2FDD">
        <w:rPr>
          <w:rFonts w:ascii="Arial" w:eastAsia="Arial" w:hAnsi="Arial" w:cs="Arial"/>
        </w:rPr>
        <w:t xml:space="preserve"> new technologies such as zoom to increase number of participants in online training workshops to improve service delivery. Significantly, it also seized the opportunity to register people with disabilities for </w:t>
      </w:r>
      <w:proofErr w:type="spellStart"/>
      <w:r w:rsidRPr="73DA2FDD">
        <w:rPr>
          <w:rFonts w:ascii="Arial" w:eastAsia="Arial" w:hAnsi="Arial" w:cs="Arial"/>
        </w:rPr>
        <w:t>IDPoor</w:t>
      </w:r>
      <w:proofErr w:type="spellEnd"/>
      <w:r w:rsidRPr="73DA2FDD">
        <w:rPr>
          <w:rFonts w:ascii="Arial" w:eastAsia="Arial" w:hAnsi="Arial" w:cs="Arial"/>
        </w:rPr>
        <w:t xml:space="preserve"> cards so that they could receive emergency assistance. The COVID-19 response accelerated the program’s relationship with RGC, was commended by RGC stakeholders and seemingly </w:t>
      </w:r>
      <w:r w:rsidRPr="73DA2FDD">
        <w:rPr>
          <w:rFonts w:ascii="Arial" w:eastAsia="Arial" w:hAnsi="Arial" w:cs="Arial"/>
        </w:rPr>
        <w:lastRenderedPageBreak/>
        <w:t xml:space="preserve">gained valuable high-level support for GBV and disability in the process. The team has been unflaggingly responsive, over the course of many years. </w:t>
      </w:r>
    </w:p>
    <w:p w14:paraId="451855E2" w14:textId="63AA4C53" w:rsidR="00043707" w:rsidRPr="00043707" w:rsidRDefault="00043707" w:rsidP="00043707">
      <w:pPr>
        <w:rPr>
          <w:rFonts w:ascii="Arial" w:eastAsia="Arial" w:hAnsi="Arial" w:cs="Arial"/>
          <w:b/>
          <w:bCs/>
          <w:color w:val="1D336D" w:themeColor="background2"/>
          <w:szCs w:val="20"/>
        </w:rPr>
      </w:pPr>
      <w:r w:rsidRPr="00043707">
        <w:rPr>
          <w:rFonts w:ascii="Arial" w:eastAsia="Arial" w:hAnsi="Arial" w:cs="Arial"/>
          <w:b/>
          <w:bCs/>
          <w:color w:val="1D336D" w:themeColor="background2"/>
          <w:szCs w:val="20"/>
        </w:rPr>
        <w:t>Figure 6: Budget variance by IO, September 2018 – June 2022</w:t>
      </w:r>
    </w:p>
    <w:p w14:paraId="5F51E68F" w14:textId="77777777" w:rsidR="00A70D32" w:rsidRDefault="2A6C6E3D" w:rsidP="007825FE">
      <w:pPr>
        <w:jc w:val="center"/>
      </w:pPr>
      <w:r>
        <w:rPr>
          <w:noProof/>
        </w:rPr>
        <w:drawing>
          <wp:inline distT="0" distB="0" distL="0" distR="0" wp14:anchorId="7849B543" wp14:editId="64AF53F1">
            <wp:extent cx="6087851" cy="2371725"/>
            <wp:effectExtent l="0" t="0" r="8255" b="0"/>
            <wp:docPr id="1" name="Picture 1" descr="Bar chart showing approved budget versus actual spend for each intermediate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ar chart showing approved budget versus actual spend for each intermediate outcome."/>
                    <pic:cNvPicPr/>
                  </pic:nvPicPr>
                  <pic:blipFill>
                    <a:blip r:embed="rId30">
                      <a:extLst>
                        <a:ext uri="{28A0092B-C50C-407E-A947-70E740481C1C}">
                          <a14:useLocalDpi xmlns:a14="http://schemas.microsoft.com/office/drawing/2010/main" val="0"/>
                        </a:ext>
                      </a:extLst>
                    </a:blip>
                    <a:stretch>
                      <a:fillRect/>
                    </a:stretch>
                  </pic:blipFill>
                  <pic:spPr>
                    <a:xfrm>
                      <a:off x="0" y="0"/>
                      <a:ext cx="6087851" cy="2371725"/>
                    </a:xfrm>
                    <a:prstGeom prst="rect">
                      <a:avLst/>
                    </a:prstGeom>
                  </pic:spPr>
                </pic:pic>
              </a:graphicData>
            </a:graphic>
          </wp:inline>
        </w:drawing>
      </w:r>
    </w:p>
    <w:p w14:paraId="404BAFB8" w14:textId="004A3B2E" w:rsidR="000511F1" w:rsidRDefault="00DE23BD" w:rsidP="00457DE0">
      <w:pPr>
        <w:pStyle w:val="Heading2"/>
      </w:pPr>
      <w:bookmarkStart w:id="82" w:name="_Toc116327899"/>
      <w:bookmarkStart w:id="83" w:name="_Toc116328012"/>
      <w:bookmarkStart w:id="84" w:name="_Toc116378178"/>
      <w:r>
        <w:t>Partnerships</w:t>
      </w:r>
      <w:r w:rsidR="000511F1">
        <w:t xml:space="preserve"> and </w:t>
      </w:r>
      <w:bookmarkEnd w:id="82"/>
      <w:bookmarkEnd w:id="83"/>
      <w:bookmarkEnd w:id="84"/>
      <w:r w:rsidR="00184DDF">
        <w:t>s</w:t>
      </w:r>
      <w:r w:rsidR="00D2064D">
        <w:t>takeholder relations</w:t>
      </w:r>
    </w:p>
    <w:p w14:paraId="4A7953A7" w14:textId="37E2FA71" w:rsidR="006C3522" w:rsidRDefault="006C3522" w:rsidP="00B261AD">
      <w:pPr>
        <w:jc w:val="both"/>
        <w:rPr>
          <w:rFonts w:ascii="Arial" w:eastAsia="Arial" w:hAnsi="Arial" w:cs="Arial"/>
          <w:szCs w:val="20"/>
        </w:rPr>
      </w:pPr>
      <w:r w:rsidRPr="009D79EA">
        <w:rPr>
          <w:rFonts w:ascii="Arial" w:eastAsia="Arial" w:hAnsi="Arial" w:cs="Arial"/>
          <w:b/>
          <w:bCs/>
          <w:szCs w:val="20"/>
        </w:rPr>
        <w:t xml:space="preserve">Investing in strong stakeholder relations was central to </w:t>
      </w:r>
      <w:r w:rsidR="00AD02D6">
        <w:rPr>
          <w:rFonts w:ascii="Arial" w:eastAsia="Arial" w:hAnsi="Arial" w:cs="Arial"/>
          <w:b/>
          <w:bCs/>
          <w:szCs w:val="20"/>
        </w:rPr>
        <w:t>ACCESS’</w:t>
      </w:r>
      <w:r w:rsidR="009500C0">
        <w:rPr>
          <w:rFonts w:ascii="Arial" w:eastAsia="Arial" w:hAnsi="Arial" w:cs="Arial"/>
          <w:b/>
          <w:bCs/>
          <w:szCs w:val="20"/>
        </w:rPr>
        <w:t>s</w:t>
      </w:r>
      <w:r w:rsidRPr="009D79EA">
        <w:rPr>
          <w:rFonts w:ascii="Arial" w:eastAsia="Arial" w:hAnsi="Arial" w:cs="Arial"/>
          <w:b/>
          <w:bCs/>
          <w:szCs w:val="20"/>
        </w:rPr>
        <w:t xml:space="preserve"> ability to facilitate efficient activity delivery by IPs and rapidly adapt to changes in context</w:t>
      </w:r>
      <w:r>
        <w:rPr>
          <w:rFonts w:ascii="Arial" w:eastAsia="Arial" w:hAnsi="Arial" w:cs="Arial"/>
          <w:szCs w:val="20"/>
        </w:rPr>
        <w:t>.</w:t>
      </w:r>
      <w:r w:rsidR="004957F5">
        <w:rPr>
          <w:rFonts w:ascii="Arial" w:eastAsia="Arial" w:hAnsi="Arial" w:cs="Arial"/>
          <w:szCs w:val="20"/>
        </w:rPr>
        <w:t xml:space="preserve"> ACCESS and IPs described how the year spent identifying and forging relationships with relevant RGC officials at the commencement of ACCESS has underpinned many of the program’s achievements. </w:t>
      </w:r>
    </w:p>
    <w:p w14:paraId="1E2D491A" w14:textId="038E94F6" w:rsidR="00D85494" w:rsidRPr="007825FE" w:rsidRDefault="00C268F9" w:rsidP="05C97889">
      <w:pPr>
        <w:jc w:val="both"/>
      </w:pPr>
      <w:r w:rsidRPr="59D65CDC">
        <w:rPr>
          <w:rFonts w:ascii="Arial" w:eastAsia="Times New Roman" w:hAnsi="Arial" w:cs="Arial"/>
          <w:b/>
          <w:bCs/>
          <w:lang w:eastAsia="en-GB"/>
        </w:rPr>
        <w:t xml:space="preserve">ACCESS has worked effectively with </w:t>
      </w:r>
      <w:proofErr w:type="spellStart"/>
      <w:r w:rsidRPr="59D65CDC">
        <w:rPr>
          <w:rFonts w:ascii="Arial" w:eastAsia="Times New Roman" w:hAnsi="Arial" w:cs="Arial"/>
          <w:b/>
          <w:bCs/>
          <w:lang w:eastAsia="en-GB"/>
        </w:rPr>
        <w:t>MoSVY</w:t>
      </w:r>
      <w:proofErr w:type="spellEnd"/>
      <w:r w:rsidRPr="59D65CDC">
        <w:rPr>
          <w:rFonts w:ascii="Arial" w:eastAsia="Times New Roman" w:hAnsi="Arial" w:cs="Arial"/>
          <w:b/>
          <w:bCs/>
          <w:lang w:eastAsia="en-GB"/>
        </w:rPr>
        <w:t xml:space="preserve"> and </w:t>
      </w:r>
      <w:proofErr w:type="spellStart"/>
      <w:r w:rsidRPr="59D65CDC">
        <w:rPr>
          <w:rFonts w:ascii="Arial" w:eastAsia="Times New Roman" w:hAnsi="Arial" w:cs="Arial"/>
          <w:b/>
          <w:bCs/>
          <w:lang w:eastAsia="en-GB"/>
        </w:rPr>
        <w:t>MoWA</w:t>
      </w:r>
      <w:proofErr w:type="spellEnd"/>
      <w:r w:rsidRPr="59D65CDC">
        <w:rPr>
          <w:rFonts w:ascii="Arial" w:eastAsia="Times New Roman" w:hAnsi="Arial" w:cs="Arial"/>
          <w:b/>
          <w:bCs/>
          <w:lang w:eastAsia="en-GB"/>
        </w:rPr>
        <w:t xml:space="preserve">, adapting to changes in structures and personnel (in the case of </w:t>
      </w:r>
      <w:proofErr w:type="spellStart"/>
      <w:r w:rsidRPr="59D65CDC">
        <w:rPr>
          <w:rFonts w:ascii="Arial" w:eastAsia="Times New Roman" w:hAnsi="Arial" w:cs="Arial"/>
          <w:b/>
          <w:bCs/>
          <w:lang w:eastAsia="en-GB"/>
        </w:rPr>
        <w:t>MoSVY</w:t>
      </w:r>
      <w:proofErr w:type="spellEnd"/>
      <w:r w:rsidRPr="59D65CDC">
        <w:rPr>
          <w:rFonts w:ascii="Arial" w:eastAsia="Times New Roman" w:hAnsi="Arial" w:cs="Arial"/>
          <w:b/>
          <w:bCs/>
          <w:lang w:eastAsia="en-GB"/>
        </w:rPr>
        <w:t>), being reform-minded while maintaining good working relationships, and working at a pace that is compatible for the two ministries.</w:t>
      </w:r>
      <w:r w:rsidRPr="59D65CDC">
        <w:rPr>
          <w:rFonts w:ascii="Arial" w:eastAsia="Times New Roman" w:hAnsi="Arial" w:cs="Arial"/>
          <w:lang w:eastAsia="en-GB"/>
        </w:rPr>
        <w:t xml:space="preserve"> The ACCESS team reports that there was solid engagement of the RGC in the co-design process of the CIM Panel, and the ultimate selection of the IPs. There was anecdotal data on this point only.</w:t>
      </w:r>
      <w:r w:rsidR="00313CCF" w:rsidRPr="59D65CDC">
        <w:rPr>
          <w:rFonts w:ascii="Arial" w:eastAsia="Times New Roman" w:hAnsi="Arial" w:cs="Arial"/>
          <w:lang w:eastAsia="en-GB"/>
        </w:rPr>
        <w:t xml:space="preserve"> </w:t>
      </w:r>
      <w:r w:rsidR="0000780B" w:rsidRPr="59D65CDC">
        <w:rPr>
          <w:rFonts w:ascii="Arial" w:eastAsia="Arial" w:hAnsi="Arial" w:cs="Arial"/>
        </w:rPr>
        <w:t xml:space="preserve">Key examples in the case of ACCESS include navigating the DSA policy position in a way that did not impair relations or that avoided the disengagement of RGC officials. IPs in the GBV workstream commended ACCESS on their extensive government relations work in the first 18 months of the program, so that IPs knew exactly which counterparts to approach relevant to their activities. </w:t>
      </w:r>
    </w:p>
    <w:p w14:paraId="55F8628C" w14:textId="1EDCC7EC" w:rsidR="00D85494" w:rsidRPr="007825FE" w:rsidRDefault="0000780B" w:rsidP="05C97889">
      <w:pPr>
        <w:jc w:val="both"/>
      </w:pPr>
      <w:r w:rsidRPr="05C97889">
        <w:rPr>
          <w:rFonts w:ascii="Arial" w:eastAsia="Arial" w:hAnsi="Arial" w:cs="Arial"/>
        </w:rPr>
        <w:t xml:space="preserve">With the restructuring at </w:t>
      </w:r>
      <w:proofErr w:type="spellStart"/>
      <w:r w:rsidRPr="05C97889">
        <w:rPr>
          <w:rFonts w:ascii="Arial" w:eastAsia="Arial" w:hAnsi="Arial" w:cs="Arial"/>
        </w:rPr>
        <w:t>MoSVY</w:t>
      </w:r>
      <w:proofErr w:type="spellEnd"/>
      <w:r w:rsidRPr="05C97889">
        <w:rPr>
          <w:rFonts w:ascii="Arial" w:eastAsia="Arial" w:hAnsi="Arial" w:cs="Arial"/>
        </w:rPr>
        <w:t xml:space="preserve">, ACCESS has demonstrated its good upkeep of relations with the key government officials. It has also made astute decisions in terms of pursuing new financing options, such as dialogue with the National Social Assistance Framework-Directorate General on a potential insurance or performance-based assessment model for the PRCs, and shifting to a focus on supporting utilisation of the (albeit modest) social affairs line item in commune investment budgets. </w:t>
      </w:r>
      <w:r w:rsidR="00D85494" w:rsidRPr="05C97889">
        <w:rPr>
          <w:rFonts w:ascii="Arial" w:eastAsia="Arial" w:hAnsi="Arial" w:cs="Arial"/>
        </w:rPr>
        <w:t xml:space="preserve">ACCESS was successful in inviting the </w:t>
      </w:r>
      <w:proofErr w:type="spellStart"/>
      <w:r w:rsidR="00D85494" w:rsidRPr="05C97889">
        <w:rPr>
          <w:rFonts w:ascii="Arial" w:eastAsia="Arial" w:hAnsi="Arial" w:cs="Arial"/>
        </w:rPr>
        <w:t>MoI</w:t>
      </w:r>
      <w:proofErr w:type="spellEnd"/>
      <w:r w:rsidR="00D85494" w:rsidRPr="05C97889">
        <w:rPr>
          <w:rFonts w:ascii="Arial" w:eastAsia="Arial" w:hAnsi="Arial" w:cs="Arial"/>
        </w:rPr>
        <w:t>, PWDF and Provincial Deputy Governors onto the ASC</w:t>
      </w:r>
      <w:r w:rsidR="00E62109">
        <w:rPr>
          <w:rFonts w:ascii="Arial" w:eastAsia="Arial" w:hAnsi="Arial" w:cs="Arial"/>
        </w:rPr>
        <w:t>.</w:t>
      </w:r>
      <w:r w:rsidR="00D85494" w:rsidRPr="05C97889">
        <w:rPr>
          <w:rFonts w:ascii="Arial" w:eastAsia="Arial" w:hAnsi="Arial" w:cs="Arial"/>
        </w:rPr>
        <w:t xml:space="preserve"> The program a</w:t>
      </w:r>
      <w:r w:rsidRPr="05C97889">
        <w:rPr>
          <w:rFonts w:ascii="Arial" w:eastAsia="Arial" w:hAnsi="Arial" w:cs="Arial"/>
        </w:rPr>
        <w:t>lso held its first ASC outside of Phnom Penh in mid</w:t>
      </w:r>
      <w:r w:rsidR="00A748EB" w:rsidRPr="05C97889">
        <w:rPr>
          <w:rFonts w:ascii="Arial" w:eastAsia="Arial" w:hAnsi="Arial" w:cs="Arial"/>
        </w:rPr>
        <w:t>-</w:t>
      </w:r>
      <w:r w:rsidRPr="05C97889">
        <w:rPr>
          <w:rFonts w:ascii="Arial" w:eastAsia="Arial" w:hAnsi="Arial" w:cs="Arial"/>
        </w:rPr>
        <w:t xml:space="preserve">2022, in Kampong </w:t>
      </w:r>
      <w:proofErr w:type="spellStart"/>
      <w:r w:rsidRPr="05C97889">
        <w:rPr>
          <w:rFonts w:ascii="Arial" w:eastAsia="Arial" w:hAnsi="Arial" w:cs="Arial"/>
        </w:rPr>
        <w:t>Speu</w:t>
      </w:r>
      <w:proofErr w:type="spellEnd"/>
      <w:r w:rsidRPr="05C97889">
        <w:rPr>
          <w:rFonts w:ascii="Arial" w:eastAsia="Arial" w:hAnsi="Arial" w:cs="Arial"/>
        </w:rPr>
        <w:t>, to foster stronger engagement with provincial leadership and partner</w:t>
      </w:r>
      <w:r w:rsidR="002237F7" w:rsidRPr="05C97889">
        <w:rPr>
          <w:rFonts w:ascii="Arial" w:eastAsia="Arial" w:hAnsi="Arial" w:cs="Arial"/>
        </w:rPr>
        <w:t>s</w:t>
      </w:r>
      <w:r w:rsidRPr="05C97889">
        <w:rPr>
          <w:rFonts w:ascii="Arial" w:eastAsia="Arial" w:hAnsi="Arial" w:cs="Arial"/>
        </w:rPr>
        <w:t xml:space="preserve">. </w:t>
      </w:r>
    </w:p>
    <w:p w14:paraId="72EDC186" w14:textId="6CE258C2" w:rsidR="0000780B" w:rsidRPr="007825FE" w:rsidRDefault="0000780B" w:rsidP="05C97889">
      <w:pPr>
        <w:jc w:val="both"/>
        <w:rPr>
          <w:rFonts w:ascii="Arial" w:eastAsia="Arial" w:hAnsi="Arial" w:cs="Arial"/>
        </w:rPr>
      </w:pPr>
      <w:r w:rsidRPr="05C97889">
        <w:rPr>
          <w:rFonts w:ascii="Arial" w:eastAsia="Arial" w:hAnsi="Arial" w:cs="Arial"/>
        </w:rPr>
        <w:t xml:space="preserve">With Australia’s encouragement, ACCESS also responded to requests from </w:t>
      </w:r>
      <w:proofErr w:type="spellStart"/>
      <w:r w:rsidR="00A2192B" w:rsidRPr="05C97889">
        <w:rPr>
          <w:rFonts w:ascii="Arial" w:eastAsia="Arial" w:hAnsi="Arial" w:cs="Arial"/>
        </w:rPr>
        <w:t>MoWA</w:t>
      </w:r>
      <w:proofErr w:type="spellEnd"/>
      <w:r w:rsidRPr="05C97889">
        <w:rPr>
          <w:rFonts w:ascii="Arial" w:eastAsia="Arial" w:hAnsi="Arial" w:cs="Arial"/>
        </w:rPr>
        <w:t xml:space="preserve"> to support its priority on women’s economic empowerment, leading to the pilot project with the Women’s Development Centre in Kampong </w:t>
      </w:r>
      <w:proofErr w:type="spellStart"/>
      <w:r w:rsidRPr="05C97889">
        <w:rPr>
          <w:rFonts w:ascii="Arial" w:eastAsia="Arial" w:hAnsi="Arial" w:cs="Arial"/>
        </w:rPr>
        <w:t>Speu</w:t>
      </w:r>
      <w:proofErr w:type="spellEnd"/>
      <w:r w:rsidRPr="05C97889">
        <w:rPr>
          <w:rFonts w:ascii="Arial" w:eastAsia="Arial" w:hAnsi="Arial" w:cs="Arial"/>
        </w:rPr>
        <w:t xml:space="preserve">. Opportunities and platforms for advocacy will arise from the 12th ASEAN Para Games and the </w:t>
      </w:r>
      <w:r w:rsidR="27BD43FB" w:rsidRPr="05C97889">
        <w:rPr>
          <w:rFonts w:ascii="Arial" w:eastAsia="Arial" w:hAnsi="Arial" w:cs="Arial"/>
        </w:rPr>
        <w:t>Asia Pacific Community Based Inclusive Development</w:t>
      </w:r>
      <w:r w:rsidRPr="05C97889">
        <w:rPr>
          <w:rFonts w:ascii="Arial" w:eastAsia="Arial" w:hAnsi="Arial" w:cs="Arial"/>
        </w:rPr>
        <w:t xml:space="preserve"> Conference being held in Cambodia in 2023. It is expected that ACCESS responds, based on the record to date.</w:t>
      </w:r>
    </w:p>
    <w:p w14:paraId="5ACB2AEA" w14:textId="139BCD4A" w:rsidR="00AA7E19" w:rsidRPr="00053E8A" w:rsidRDefault="00476FD5" w:rsidP="00D338C6">
      <w:pPr>
        <w:jc w:val="both"/>
        <w:rPr>
          <w:rFonts w:eastAsiaTheme="minorEastAsia" w:cstheme="minorBidi"/>
        </w:rPr>
      </w:pPr>
      <w:r>
        <w:rPr>
          <w:b/>
          <w:bCs/>
        </w:rPr>
        <w:lastRenderedPageBreak/>
        <w:t>A</w:t>
      </w:r>
      <w:r w:rsidR="006C3522" w:rsidRPr="4BE0582D">
        <w:rPr>
          <w:b/>
          <w:bCs/>
        </w:rPr>
        <w:t xml:space="preserve"> </w:t>
      </w:r>
      <w:r w:rsidR="006C3522" w:rsidRPr="009D79EA">
        <w:rPr>
          <w:b/>
          <w:bCs/>
        </w:rPr>
        <w:t>more collaborative</w:t>
      </w:r>
      <w:r w:rsidR="00721002">
        <w:rPr>
          <w:b/>
          <w:bCs/>
        </w:rPr>
        <w:t>, partnerships</w:t>
      </w:r>
      <w:r w:rsidR="00116494">
        <w:rPr>
          <w:b/>
          <w:bCs/>
        </w:rPr>
        <w:t>-based approach</w:t>
      </w:r>
      <w:r w:rsidR="00D56DC8">
        <w:rPr>
          <w:b/>
          <w:bCs/>
        </w:rPr>
        <w:t xml:space="preserve"> to</w:t>
      </w:r>
      <w:r w:rsidR="00116494">
        <w:rPr>
          <w:b/>
          <w:bCs/>
        </w:rPr>
        <w:t xml:space="preserve"> </w:t>
      </w:r>
      <w:r w:rsidR="003B6188">
        <w:rPr>
          <w:b/>
          <w:bCs/>
        </w:rPr>
        <w:t>IPs and adviser</w:t>
      </w:r>
      <w:r w:rsidR="00116494">
        <w:rPr>
          <w:b/>
          <w:bCs/>
        </w:rPr>
        <w:t xml:space="preserve"> engagement could have better harnessed </w:t>
      </w:r>
      <w:r w:rsidR="006C3522" w:rsidRPr="009D79EA">
        <w:rPr>
          <w:b/>
          <w:bCs/>
        </w:rPr>
        <w:t xml:space="preserve">their </w:t>
      </w:r>
      <w:r w:rsidR="006F3DFC">
        <w:rPr>
          <w:b/>
          <w:bCs/>
        </w:rPr>
        <w:t>expertise and increase</w:t>
      </w:r>
      <w:r w:rsidR="0062510A">
        <w:rPr>
          <w:b/>
          <w:bCs/>
        </w:rPr>
        <w:t>d</w:t>
      </w:r>
      <w:r w:rsidR="006F3DFC">
        <w:rPr>
          <w:b/>
          <w:bCs/>
        </w:rPr>
        <w:t xml:space="preserve"> </w:t>
      </w:r>
      <w:r w:rsidR="00AD02D6">
        <w:rPr>
          <w:b/>
          <w:bCs/>
        </w:rPr>
        <w:t>ACCESS’</w:t>
      </w:r>
      <w:r w:rsidR="009500C0">
        <w:rPr>
          <w:b/>
          <w:bCs/>
        </w:rPr>
        <w:t>s</w:t>
      </w:r>
      <w:r w:rsidR="006F3DFC" w:rsidRPr="009D79EA">
        <w:rPr>
          <w:b/>
          <w:bCs/>
        </w:rPr>
        <w:t xml:space="preserve"> </w:t>
      </w:r>
      <w:r w:rsidR="00053E8A">
        <w:rPr>
          <w:b/>
          <w:bCs/>
        </w:rPr>
        <w:t xml:space="preserve">collective </w:t>
      </w:r>
      <w:r w:rsidR="006C3522" w:rsidRPr="009D79EA">
        <w:rPr>
          <w:b/>
          <w:bCs/>
        </w:rPr>
        <w:t>impact</w:t>
      </w:r>
      <w:r w:rsidR="006C3522">
        <w:t xml:space="preserve">. </w:t>
      </w:r>
      <w:r w:rsidR="006C3522" w:rsidRPr="4BE0582D">
        <w:rPr>
          <w:rFonts w:ascii="Arial" w:eastAsia="Arial" w:hAnsi="Arial" w:cs="Arial"/>
        </w:rPr>
        <w:t xml:space="preserve">The Phase 1 Implementing Partner Performance Assessment Report highlights the </w:t>
      </w:r>
      <w:r w:rsidR="003D05EA" w:rsidRPr="4BE0582D">
        <w:rPr>
          <w:rFonts w:ascii="Arial" w:eastAsia="Arial" w:hAnsi="Arial" w:cs="Arial"/>
        </w:rPr>
        <w:t>comprehensive management of IPs by the</w:t>
      </w:r>
      <w:r w:rsidR="006C3522" w:rsidRPr="4BE0582D">
        <w:rPr>
          <w:rFonts w:ascii="Arial" w:eastAsia="Arial" w:hAnsi="Arial" w:cs="Arial"/>
        </w:rPr>
        <w:t xml:space="preserve"> ACCESS </w:t>
      </w:r>
      <w:r w:rsidR="003D05EA" w:rsidRPr="4BE0582D">
        <w:rPr>
          <w:rFonts w:ascii="Arial" w:eastAsia="Arial" w:hAnsi="Arial" w:cs="Arial"/>
        </w:rPr>
        <w:t xml:space="preserve">team, </w:t>
      </w:r>
      <w:r w:rsidR="006C3522" w:rsidRPr="4BE0582D">
        <w:rPr>
          <w:rFonts w:ascii="Arial" w:eastAsia="Arial" w:hAnsi="Arial" w:cs="Arial"/>
        </w:rPr>
        <w:t xml:space="preserve">ranging from project results to risks. However, a number of IPs expressed that </w:t>
      </w:r>
      <w:r w:rsidR="00F439AA" w:rsidRPr="4BE0582D">
        <w:rPr>
          <w:rFonts w:ascii="Arial" w:eastAsia="Arial" w:hAnsi="Arial" w:cs="Arial"/>
        </w:rPr>
        <w:t>their relationship with ACCESS is more akin to sub-</w:t>
      </w:r>
      <w:r w:rsidR="006C3522" w:rsidRPr="4BE0582D">
        <w:rPr>
          <w:rFonts w:ascii="Arial" w:eastAsia="Arial" w:hAnsi="Arial" w:cs="Arial"/>
        </w:rPr>
        <w:t xml:space="preserve">contractors or NGO service providers, rather than being regarded as strategic partners </w:t>
      </w:r>
      <w:r w:rsidR="00DC072D">
        <w:rPr>
          <w:rFonts w:ascii="Arial" w:eastAsia="Arial" w:hAnsi="Arial" w:cs="Arial"/>
        </w:rPr>
        <w:t>who are</w:t>
      </w:r>
      <w:r w:rsidR="00DC072D" w:rsidRPr="4BE0582D">
        <w:rPr>
          <w:rFonts w:ascii="Arial" w:eastAsia="Arial" w:hAnsi="Arial" w:cs="Arial"/>
        </w:rPr>
        <w:t xml:space="preserve"> </w:t>
      </w:r>
      <w:r w:rsidR="006C3522" w:rsidRPr="4BE0582D">
        <w:rPr>
          <w:rFonts w:ascii="Arial" w:eastAsia="Arial" w:hAnsi="Arial" w:cs="Arial"/>
        </w:rPr>
        <w:t>brought into decisions on priority setting and approaches.</w:t>
      </w:r>
      <w:r w:rsidR="009023D5">
        <w:rPr>
          <w:rFonts w:ascii="Arial" w:eastAsia="Arial" w:hAnsi="Arial" w:cs="Arial"/>
        </w:rPr>
        <w:t xml:space="preserve"> Under the CIM,</w:t>
      </w:r>
      <w:r w:rsidR="006C3522" w:rsidRPr="4BE0582D">
        <w:rPr>
          <w:rFonts w:ascii="Arial" w:eastAsia="Arial" w:hAnsi="Arial" w:cs="Arial"/>
        </w:rPr>
        <w:t xml:space="preserve"> </w:t>
      </w:r>
      <w:r w:rsidR="00334E71" w:rsidRPr="4BE0582D">
        <w:rPr>
          <w:rFonts w:ascii="Arial" w:eastAsia="Arial" w:hAnsi="Arial" w:cs="Arial"/>
        </w:rPr>
        <w:t>IPs described no</w:t>
      </w:r>
      <w:r w:rsidR="009636B9">
        <w:rPr>
          <w:rFonts w:ascii="Arial" w:eastAsia="Arial" w:hAnsi="Arial" w:cs="Arial"/>
        </w:rPr>
        <w:t>t</w:t>
      </w:r>
      <w:r w:rsidR="00334E71" w:rsidRPr="4BE0582D">
        <w:rPr>
          <w:rFonts w:ascii="Arial" w:eastAsia="Arial" w:hAnsi="Arial" w:cs="Arial"/>
        </w:rPr>
        <w:t xml:space="preserve"> be</w:t>
      </w:r>
      <w:r w:rsidR="009636B9">
        <w:rPr>
          <w:rFonts w:ascii="Arial" w:eastAsia="Arial" w:hAnsi="Arial" w:cs="Arial"/>
        </w:rPr>
        <w:t>ing</w:t>
      </w:r>
      <w:r w:rsidR="00334E71" w:rsidRPr="4BE0582D">
        <w:rPr>
          <w:rFonts w:ascii="Arial" w:eastAsia="Arial" w:hAnsi="Arial" w:cs="Arial"/>
        </w:rPr>
        <w:t xml:space="preserve"> fully aware of the activities of the ACCESS team</w:t>
      </w:r>
      <w:r w:rsidR="005C4A7E" w:rsidRPr="4BE0582D">
        <w:rPr>
          <w:rFonts w:ascii="Arial" w:eastAsia="Arial" w:hAnsi="Arial" w:cs="Arial"/>
        </w:rPr>
        <w:t xml:space="preserve"> and noted there was </w:t>
      </w:r>
      <w:r w:rsidR="00BC10F8" w:rsidRPr="4BE0582D">
        <w:rPr>
          <w:rFonts w:ascii="Arial" w:eastAsia="Arial" w:hAnsi="Arial" w:cs="Arial"/>
        </w:rPr>
        <w:t xml:space="preserve">perceived competition </w:t>
      </w:r>
      <w:r w:rsidR="00F61167">
        <w:rPr>
          <w:rFonts w:ascii="Arial" w:eastAsia="Arial" w:hAnsi="Arial" w:cs="Arial"/>
        </w:rPr>
        <w:t xml:space="preserve">in </w:t>
      </w:r>
      <w:r w:rsidR="00BC10F8" w:rsidRPr="4BE0582D">
        <w:rPr>
          <w:rFonts w:ascii="Arial" w:eastAsia="Arial" w:hAnsi="Arial" w:cs="Arial"/>
        </w:rPr>
        <w:t>the IP grants</w:t>
      </w:r>
      <w:r w:rsidR="002B5BB8" w:rsidRPr="4BE0582D">
        <w:rPr>
          <w:rFonts w:ascii="Arial" w:eastAsia="Arial" w:hAnsi="Arial" w:cs="Arial"/>
        </w:rPr>
        <w:t xml:space="preserve"> portfolio and the technical advisory </w:t>
      </w:r>
      <w:r w:rsidR="00C62041" w:rsidRPr="4BE0582D">
        <w:rPr>
          <w:rFonts w:ascii="Arial" w:eastAsia="Arial" w:hAnsi="Arial" w:cs="Arial"/>
        </w:rPr>
        <w:t xml:space="preserve">services provided by ACCESS. </w:t>
      </w:r>
      <w:r w:rsidR="006C3522" w:rsidRPr="4BE0582D">
        <w:rPr>
          <w:rFonts w:ascii="Arial" w:eastAsia="Arial" w:hAnsi="Arial" w:cs="Arial"/>
        </w:rPr>
        <w:t xml:space="preserve">The </w:t>
      </w:r>
      <w:r w:rsidR="003812AE">
        <w:rPr>
          <w:rFonts w:ascii="Arial" w:eastAsia="Arial" w:hAnsi="Arial" w:cs="Arial"/>
        </w:rPr>
        <w:t>evaluation</w:t>
      </w:r>
      <w:r w:rsidR="006C3522" w:rsidRPr="4BE0582D">
        <w:rPr>
          <w:rFonts w:ascii="Arial" w:eastAsia="Arial" w:hAnsi="Arial" w:cs="Arial"/>
        </w:rPr>
        <w:t xml:space="preserve"> team felt this could also apply to the international strategic advisers in the ACCESS program. Engaged on an STA basis, the advisers are contracted to undertake discrete, assigned tasks and do not appear to be part of the management group or involved in overarching strategy. </w:t>
      </w:r>
      <w:r w:rsidR="00F07992">
        <w:rPr>
          <w:rFonts w:ascii="Arial" w:eastAsia="Arial" w:hAnsi="Arial" w:cs="Arial"/>
        </w:rPr>
        <w:t xml:space="preserve">While </w:t>
      </w:r>
      <w:r w:rsidR="0005175F">
        <w:rPr>
          <w:rFonts w:ascii="Arial" w:eastAsia="Arial" w:hAnsi="Arial" w:cs="Arial"/>
        </w:rPr>
        <w:t xml:space="preserve">the advisers do not compete with each other, they are uninformed of what each is doing.  </w:t>
      </w:r>
    </w:p>
    <w:p w14:paraId="1EFA0D61" w14:textId="2ABA1E09" w:rsidR="00AE1D0D" w:rsidRPr="00470164" w:rsidRDefault="00AE1D0D" w:rsidP="00D338C6">
      <w:pPr>
        <w:jc w:val="both"/>
        <w:textAlignment w:val="baseline"/>
        <w:rPr>
          <w:rFonts w:ascii="Arial" w:eastAsia="Times New Roman" w:hAnsi="Arial" w:cs="Arial"/>
          <w:color w:val="000000"/>
          <w:szCs w:val="20"/>
          <w:lang w:eastAsia="en-GB"/>
        </w:rPr>
      </w:pPr>
      <w:r w:rsidRPr="4CBAECB8">
        <w:rPr>
          <w:rFonts w:ascii="Arial" w:eastAsia="Times New Roman" w:hAnsi="Arial" w:cs="Arial"/>
          <w:b/>
          <w:lang w:eastAsia="en-GB"/>
        </w:rPr>
        <w:t>On the governance of the program between RGC and Australia/ACCESS, progress has been good in terms of both governments being willing to engage in the ACCESS Steering Committee.</w:t>
      </w:r>
      <w:r w:rsidRPr="4CBAECB8">
        <w:rPr>
          <w:rFonts w:ascii="Arial" w:eastAsia="Times New Roman" w:hAnsi="Arial" w:cs="Arial"/>
          <w:lang w:eastAsia="en-GB"/>
        </w:rPr>
        <w:t xml:space="preserve"> Evidence of its satisfactory functioning is in the endorsement of changes to its membership, and of issues discussed. Adding </w:t>
      </w:r>
      <w:proofErr w:type="spellStart"/>
      <w:r w:rsidRPr="4CBAECB8">
        <w:rPr>
          <w:rFonts w:ascii="Arial" w:eastAsia="Times New Roman" w:hAnsi="Arial" w:cs="Arial"/>
          <w:lang w:eastAsia="en-GB"/>
        </w:rPr>
        <w:t>MoI</w:t>
      </w:r>
      <w:proofErr w:type="spellEnd"/>
      <w:r w:rsidRPr="4CBAECB8">
        <w:rPr>
          <w:rFonts w:ascii="Arial" w:eastAsia="Times New Roman" w:hAnsi="Arial" w:cs="Arial"/>
          <w:lang w:eastAsia="en-GB"/>
        </w:rPr>
        <w:t>, PWDF and Deputy Provincial Governors</w:t>
      </w:r>
      <w:r w:rsidR="00BD26AD">
        <w:rPr>
          <w:rFonts w:ascii="Arial" w:eastAsia="Times New Roman" w:hAnsi="Arial" w:cs="Arial"/>
          <w:lang w:eastAsia="en-GB"/>
        </w:rPr>
        <w:t>, in charge of social sectors</w:t>
      </w:r>
      <w:r w:rsidRPr="4CBAECB8">
        <w:rPr>
          <w:rFonts w:ascii="Arial" w:eastAsia="Times New Roman" w:hAnsi="Arial" w:cs="Arial"/>
          <w:lang w:eastAsia="en-GB"/>
        </w:rPr>
        <w:t xml:space="preserve"> to the membership was a sound move, as was the recent hosting</w:t>
      </w:r>
      <w:r w:rsidR="004D5FE1">
        <w:rPr>
          <w:rFonts w:ascii="Arial" w:eastAsia="Times New Roman" w:hAnsi="Arial" w:cs="Arial"/>
          <w:lang w:eastAsia="en-GB"/>
        </w:rPr>
        <w:t xml:space="preserve"> of the ASC</w:t>
      </w:r>
      <w:r w:rsidRPr="4CBAECB8">
        <w:rPr>
          <w:rFonts w:ascii="Arial" w:eastAsia="Times New Roman" w:hAnsi="Arial" w:cs="Arial"/>
          <w:lang w:eastAsia="en-GB"/>
        </w:rPr>
        <w:t xml:space="preserve"> in the target province of Kampong </w:t>
      </w:r>
      <w:proofErr w:type="spellStart"/>
      <w:r w:rsidRPr="4CBAECB8">
        <w:rPr>
          <w:rFonts w:ascii="Arial" w:eastAsia="Times New Roman" w:hAnsi="Arial" w:cs="Arial"/>
          <w:lang w:eastAsia="en-GB"/>
        </w:rPr>
        <w:t>Speu</w:t>
      </w:r>
      <w:proofErr w:type="spellEnd"/>
      <w:r w:rsidRPr="4CBAECB8">
        <w:rPr>
          <w:rFonts w:ascii="Arial" w:eastAsia="Times New Roman" w:hAnsi="Arial" w:cs="Arial"/>
          <w:lang w:eastAsia="en-GB"/>
        </w:rPr>
        <w:t xml:space="preserve"> to deepen subnational engagement. MoH’s inclusion on the ASC is worth revisiting, as would the membership of a GBV survivors or support group in keeping with the current representation by people with disabilities. It is notable that in addition to predictable discussion of DSA, that some other more contentious issues have been tabled at this forum such as seeking further explanation of the interest rates being charged by </w:t>
      </w:r>
      <w:proofErr w:type="spellStart"/>
      <w:r w:rsidRPr="4CBAECB8">
        <w:rPr>
          <w:rFonts w:ascii="Arial" w:eastAsia="Times New Roman" w:hAnsi="Arial" w:cs="Arial"/>
          <w:lang w:eastAsia="en-GB"/>
        </w:rPr>
        <w:t>Chamroeun</w:t>
      </w:r>
      <w:proofErr w:type="spellEnd"/>
      <w:r w:rsidRPr="4CBAECB8">
        <w:rPr>
          <w:rFonts w:ascii="Arial" w:eastAsia="Times New Roman" w:hAnsi="Arial" w:cs="Arial"/>
          <w:lang w:eastAsia="en-GB"/>
        </w:rPr>
        <w:t>/Good Return</w:t>
      </w:r>
      <w:r w:rsidR="00CF1029">
        <w:rPr>
          <w:rFonts w:ascii="Arial" w:eastAsia="Times New Roman" w:hAnsi="Arial" w:cs="Arial"/>
          <w:lang w:eastAsia="en-GB"/>
        </w:rPr>
        <w:t xml:space="preserve"> for their tailored loan product</w:t>
      </w:r>
      <w:r w:rsidRPr="4CBAECB8">
        <w:rPr>
          <w:rFonts w:ascii="Arial" w:eastAsia="Times New Roman" w:hAnsi="Arial" w:cs="Arial"/>
          <w:lang w:eastAsia="en-GB"/>
        </w:rPr>
        <w:t xml:space="preserve">. </w:t>
      </w:r>
    </w:p>
    <w:p w14:paraId="32A0F425" w14:textId="36D97C4E" w:rsidR="000511F1" w:rsidRDefault="00AD02D6" w:rsidP="00701509">
      <w:pPr>
        <w:jc w:val="both"/>
      </w:pPr>
      <w:r>
        <w:rPr>
          <w:b/>
          <w:bCs/>
        </w:rPr>
        <w:t>ACCESS’</w:t>
      </w:r>
      <w:r w:rsidR="00564378">
        <w:rPr>
          <w:b/>
          <w:bCs/>
        </w:rPr>
        <w:t>s</w:t>
      </w:r>
      <w:r w:rsidR="00113BE1">
        <w:rPr>
          <w:b/>
          <w:bCs/>
        </w:rPr>
        <w:t xml:space="preserve"> </w:t>
      </w:r>
      <w:r w:rsidR="00BE2EDF">
        <w:rPr>
          <w:b/>
          <w:bCs/>
        </w:rPr>
        <w:t xml:space="preserve">profile and </w:t>
      </w:r>
      <w:r w:rsidR="00F51CBB">
        <w:rPr>
          <w:b/>
          <w:bCs/>
        </w:rPr>
        <w:t>DFAT’s strong e</w:t>
      </w:r>
      <w:r w:rsidR="0066754D">
        <w:rPr>
          <w:b/>
          <w:bCs/>
        </w:rPr>
        <w:t xml:space="preserve">ngagement </w:t>
      </w:r>
      <w:r w:rsidR="00F51CBB">
        <w:rPr>
          <w:b/>
          <w:bCs/>
        </w:rPr>
        <w:t xml:space="preserve">with the program </w:t>
      </w:r>
      <w:r w:rsidR="00F22A7C">
        <w:rPr>
          <w:b/>
          <w:bCs/>
        </w:rPr>
        <w:t xml:space="preserve">has </w:t>
      </w:r>
      <w:r w:rsidR="00F51CBB">
        <w:rPr>
          <w:b/>
          <w:bCs/>
        </w:rPr>
        <w:t>supported strong relationships to be built</w:t>
      </w:r>
      <w:r w:rsidR="00D8604F">
        <w:rPr>
          <w:b/>
          <w:bCs/>
        </w:rPr>
        <w:t xml:space="preserve"> with RGC counterparts</w:t>
      </w:r>
      <w:r w:rsidR="009A43D1">
        <w:rPr>
          <w:b/>
          <w:bCs/>
        </w:rPr>
        <w:t>.</w:t>
      </w:r>
      <w:r w:rsidR="00F22A7C">
        <w:rPr>
          <w:b/>
          <w:bCs/>
        </w:rPr>
        <w:t xml:space="preserve"> </w:t>
      </w:r>
      <w:r w:rsidR="000511F1" w:rsidRPr="00EF5565">
        <w:t xml:space="preserve">There is a high level of interaction between DFAT and the ACCESS team, and with ACCESS counterparts in the RGC. DFAT reported having a pretext to visit </w:t>
      </w:r>
      <w:proofErr w:type="spellStart"/>
      <w:r w:rsidR="000511F1" w:rsidRPr="00EF5565">
        <w:t>MoSVY</w:t>
      </w:r>
      <w:proofErr w:type="spellEnd"/>
      <w:r w:rsidR="000511F1" w:rsidRPr="00EF5565">
        <w:t xml:space="preserve"> weekly on ACCESS matters, with less frequent contact with </w:t>
      </w:r>
      <w:proofErr w:type="spellStart"/>
      <w:r w:rsidR="00A2192B">
        <w:t>MoWA</w:t>
      </w:r>
      <w:proofErr w:type="spellEnd"/>
      <w:r w:rsidR="000511F1" w:rsidRPr="00EF5565">
        <w:t xml:space="preserve">, in part due to the distance to their office. </w:t>
      </w:r>
      <w:r w:rsidR="009C420B">
        <w:t>While</w:t>
      </w:r>
      <w:r w:rsidR="000511F1" w:rsidRPr="00EF5565">
        <w:t xml:space="preserve"> </w:t>
      </w:r>
      <w:proofErr w:type="spellStart"/>
      <w:r w:rsidR="00A2192B">
        <w:t>MoWA</w:t>
      </w:r>
      <w:proofErr w:type="spellEnd"/>
      <w:r w:rsidR="000511F1" w:rsidRPr="00EF5565">
        <w:t xml:space="preserve"> has been a longstanding DFAT partner since the </w:t>
      </w:r>
      <w:r w:rsidR="003E1F55">
        <w:t xml:space="preserve">predecessor </w:t>
      </w:r>
      <w:r w:rsidR="000511F1" w:rsidRPr="00EF5565">
        <w:t xml:space="preserve">EVAW program, the relationship with </w:t>
      </w:r>
      <w:proofErr w:type="spellStart"/>
      <w:r w:rsidR="000511F1" w:rsidRPr="00EF5565">
        <w:t>MoSVY</w:t>
      </w:r>
      <w:proofErr w:type="spellEnd"/>
      <w:r w:rsidR="000511F1" w:rsidRPr="00EF5565">
        <w:t xml:space="preserve"> </w:t>
      </w:r>
      <w:r w:rsidR="003E1F55">
        <w:t xml:space="preserve">has </w:t>
      </w:r>
      <w:r w:rsidR="00585C26">
        <w:t>primarily been developed through the</w:t>
      </w:r>
      <w:r w:rsidR="003E1F55" w:rsidRPr="00EF5565">
        <w:t xml:space="preserve"> </w:t>
      </w:r>
      <w:r w:rsidR="000511F1" w:rsidRPr="00EF5565">
        <w:t>ACCESS</w:t>
      </w:r>
      <w:r w:rsidR="00585C26">
        <w:t xml:space="preserve"> program</w:t>
      </w:r>
      <w:r w:rsidR="000511F1" w:rsidRPr="00EF5565">
        <w:t xml:space="preserve">. In a future phase, it would be worth considering whether ACCESS technical staff should be co-located with </w:t>
      </w:r>
      <w:proofErr w:type="spellStart"/>
      <w:r w:rsidR="00A2192B">
        <w:t>MoWA</w:t>
      </w:r>
      <w:proofErr w:type="spellEnd"/>
      <w:r w:rsidR="000511F1" w:rsidRPr="00EF5565">
        <w:t xml:space="preserve"> and </w:t>
      </w:r>
      <w:proofErr w:type="spellStart"/>
      <w:r w:rsidR="000511F1" w:rsidRPr="00EF5565">
        <w:t>MoSVY</w:t>
      </w:r>
      <w:proofErr w:type="spellEnd"/>
      <w:r w:rsidR="00220A01">
        <w:t xml:space="preserve"> </w:t>
      </w:r>
      <w:r w:rsidR="00303075">
        <w:t>for some part of their time to further</w:t>
      </w:r>
      <w:r w:rsidR="000511F1" w:rsidRPr="00EF5565">
        <w:t xml:space="preserve"> deepen the</w:t>
      </w:r>
      <w:r w:rsidR="00E35E35">
        <w:t>se</w:t>
      </w:r>
      <w:r w:rsidR="000511F1" w:rsidRPr="00EF5565">
        <w:t xml:space="preserve"> relationship</w:t>
      </w:r>
      <w:r w:rsidR="00E35E35">
        <w:t>s</w:t>
      </w:r>
      <w:r w:rsidR="000511F1" w:rsidRPr="00EF5565">
        <w:t>.</w:t>
      </w:r>
      <w:r w:rsidR="00EF2835">
        <w:t xml:space="preserve"> </w:t>
      </w:r>
      <w:r>
        <w:t xml:space="preserve">There is scope for greater DFAT policy engagement with MEF on gender equality, disability and social inclusion initiatives </w:t>
      </w:r>
      <w:r w:rsidR="006D1758">
        <w:t>(i</w:t>
      </w:r>
      <w:r w:rsidR="00245638">
        <w:t>.</w:t>
      </w:r>
      <w:r w:rsidR="006D1758">
        <w:t>e</w:t>
      </w:r>
      <w:r w:rsidR="00A51CC1">
        <w:t>.,</w:t>
      </w:r>
      <w:r w:rsidR="006D1758">
        <w:t xml:space="preserve"> </w:t>
      </w:r>
      <w:r w:rsidR="004473DC">
        <w:t>mooted new social assistance schemes and gender-respon</w:t>
      </w:r>
      <w:r w:rsidR="006C7D47">
        <w:t>s</w:t>
      </w:r>
      <w:r w:rsidR="004473DC">
        <w:t xml:space="preserve">ive budgeting) </w:t>
      </w:r>
      <w:r w:rsidR="00987E7D">
        <w:t>by leveraging relationships built through other DFAT-funded initiatives</w:t>
      </w:r>
      <w:r w:rsidR="00AD67AB">
        <w:t xml:space="preserve">. </w:t>
      </w:r>
      <w:r w:rsidR="00205874">
        <w:t xml:space="preserve">Similarly, exploring opportunities </w:t>
      </w:r>
      <w:r w:rsidR="009F71DA">
        <w:t>for DFAT</w:t>
      </w:r>
      <w:r w:rsidR="00205874">
        <w:t xml:space="preserve"> engage</w:t>
      </w:r>
      <w:r w:rsidR="009F71DA">
        <w:t>ment</w:t>
      </w:r>
      <w:r w:rsidR="00205874">
        <w:t xml:space="preserve"> with M</w:t>
      </w:r>
      <w:r w:rsidR="00A2192B">
        <w:t>o</w:t>
      </w:r>
      <w:r w:rsidR="00205874">
        <w:t xml:space="preserve">H on GBV and disability service delivery </w:t>
      </w:r>
      <w:r w:rsidR="008A1601">
        <w:t>would be valuable.</w:t>
      </w:r>
    </w:p>
    <w:p w14:paraId="47CDA2BC" w14:textId="0303DE82" w:rsidR="00BB6012" w:rsidRDefault="000511F1" w:rsidP="00701509">
      <w:pPr>
        <w:jc w:val="both"/>
      </w:pPr>
      <w:r w:rsidRPr="3F091A31">
        <w:rPr>
          <w:rFonts w:ascii="Arial" w:eastAsia="Arial" w:hAnsi="Arial" w:cs="Arial"/>
          <w:b/>
          <w:bCs/>
          <w:szCs w:val="20"/>
        </w:rPr>
        <w:t xml:space="preserve">There is scope to shift from public diplomacy to </w:t>
      </w:r>
      <w:r w:rsidR="0023414C">
        <w:rPr>
          <w:rFonts w:ascii="Arial" w:eastAsia="Arial" w:hAnsi="Arial" w:cs="Arial"/>
          <w:b/>
          <w:bCs/>
          <w:szCs w:val="20"/>
        </w:rPr>
        <w:t>more</w:t>
      </w:r>
      <w:r w:rsidRPr="3F091A31">
        <w:rPr>
          <w:rFonts w:ascii="Arial" w:eastAsia="Arial" w:hAnsi="Arial" w:cs="Arial"/>
          <w:b/>
          <w:bCs/>
          <w:szCs w:val="20"/>
        </w:rPr>
        <w:t xml:space="preserve"> policy</w:t>
      </w:r>
      <w:r w:rsidR="001C4625">
        <w:rPr>
          <w:rFonts w:ascii="Arial" w:eastAsia="Arial" w:hAnsi="Arial" w:cs="Arial"/>
          <w:b/>
          <w:bCs/>
          <w:szCs w:val="20"/>
        </w:rPr>
        <w:t>-</w:t>
      </w:r>
      <w:r w:rsidR="0023414C">
        <w:rPr>
          <w:rFonts w:ascii="Arial" w:eastAsia="Arial" w:hAnsi="Arial" w:cs="Arial"/>
          <w:b/>
          <w:bCs/>
          <w:szCs w:val="20"/>
        </w:rPr>
        <w:t>oriented engagement</w:t>
      </w:r>
      <w:r w:rsidRPr="3F091A31">
        <w:rPr>
          <w:rFonts w:ascii="Arial" w:eastAsia="Arial" w:hAnsi="Arial" w:cs="Arial"/>
          <w:b/>
          <w:bCs/>
          <w:szCs w:val="20"/>
        </w:rPr>
        <w:t xml:space="preserve">. </w:t>
      </w:r>
      <w:r w:rsidRPr="3F091A31">
        <w:rPr>
          <w:rFonts w:ascii="Arial" w:eastAsia="Arial" w:hAnsi="Arial" w:cs="Arial"/>
          <w:szCs w:val="20"/>
        </w:rPr>
        <w:t xml:space="preserve">It is clear that DFAT takes its representational role seriously on ACCESS, endeavouring to be a regular presence at program events and reiterate Australia’s support to GBV and disability services. </w:t>
      </w:r>
      <w:r w:rsidRPr="00106C87">
        <w:rPr>
          <w:rFonts w:ascii="Arial" w:eastAsia="Arial" w:hAnsi="Arial" w:cs="Arial"/>
          <w:b/>
          <w:bCs/>
          <w:szCs w:val="20"/>
        </w:rPr>
        <w:t>The high volume of activities, though, mean that much time is consumed on attending event</w:t>
      </w:r>
      <w:r w:rsidR="002C63B0">
        <w:rPr>
          <w:rFonts w:ascii="Arial" w:eastAsia="Arial" w:hAnsi="Arial" w:cs="Arial"/>
          <w:b/>
          <w:bCs/>
          <w:szCs w:val="20"/>
        </w:rPr>
        <w:t>s</w:t>
      </w:r>
      <w:r w:rsidRPr="00106C87">
        <w:rPr>
          <w:rFonts w:ascii="Arial" w:eastAsia="Arial" w:hAnsi="Arial" w:cs="Arial"/>
          <w:b/>
          <w:bCs/>
          <w:szCs w:val="20"/>
        </w:rPr>
        <w:t xml:space="preserve"> such as training launches with less time available for substantive policy engagement. This would be an area to rebalance in the final year, utilising long run program learnings and insights</w:t>
      </w:r>
      <w:r w:rsidR="007D5999" w:rsidRPr="00106C87">
        <w:rPr>
          <w:rFonts w:ascii="Arial" w:eastAsia="Arial" w:hAnsi="Arial" w:cs="Arial"/>
          <w:b/>
          <w:bCs/>
          <w:szCs w:val="20"/>
        </w:rPr>
        <w:t xml:space="preserve"> to support policy dialogue.</w:t>
      </w:r>
    </w:p>
    <w:p w14:paraId="003B80BC" w14:textId="038D26E1" w:rsidR="008F1A7B" w:rsidRDefault="008F1A7B" w:rsidP="00457DE0">
      <w:pPr>
        <w:pStyle w:val="Heading2"/>
      </w:pPr>
      <w:bookmarkStart w:id="85" w:name="_Toc116327900"/>
      <w:bookmarkStart w:id="86" w:name="_Toc116328013"/>
      <w:bookmarkStart w:id="87" w:name="_Toc116378179"/>
      <w:r>
        <w:t>Delivery Approach</w:t>
      </w:r>
      <w:bookmarkEnd w:id="85"/>
      <w:bookmarkEnd w:id="86"/>
      <w:bookmarkEnd w:id="87"/>
    </w:p>
    <w:p w14:paraId="506404CC" w14:textId="2436C67D" w:rsidR="0092198B" w:rsidRDefault="4128D877" w:rsidP="59D65CDC">
      <w:pPr>
        <w:jc w:val="both"/>
        <w:rPr>
          <w:rFonts w:ascii="Arial" w:eastAsia="Arial" w:hAnsi="Arial" w:cs="Arial"/>
        </w:rPr>
      </w:pPr>
      <w:r w:rsidRPr="59D65CDC">
        <w:rPr>
          <w:rFonts w:ascii="Arial" w:eastAsia="Arial" w:hAnsi="Arial" w:cs="Arial"/>
          <w:b/>
          <w:bCs/>
        </w:rPr>
        <w:t xml:space="preserve">Design choices have meant that ACCESS is a </w:t>
      </w:r>
      <w:r w:rsidR="007851FF" w:rsidRPr="59D65CDC">
        <w:rPr>
          <w:rFonts w:ascii="Arial" w:eastAsia="Arial" w:hAnsi="Arial" w:cs="Arial"/>
          <w:b/>
          <w:bCs/>
        </w:rPr>
        <w:t>resource-intensive</w:t>
      </w:r>
      <w:r w:rsidRPr="59D65CDC">
        <w:rPr>
          <w:rFonts w:ascii="Arial" w:eastAsia="Arial" w:hAnsi="Arial" w:cs="Arial"/>
          <w:b/>
          <w:bCs/>
        </w:rPr>
        <w:t xml:space="preserve"> model</w:t>
      </w:r>
      <w:r w:rsidR="005C6E4D" w:rsidRPr="59D65CDC">
        <w:rPr>
          <w:rFonts w:ascii="Arial" w:eastAsia="Arial" w:hAnsi="Arial" w:cs="Arial"/>
          <w:b/>
          <w:bCs/>
        </w:rPr>
        <w:t xml:space="preserve"> to implement.</w:t>
      </w:r>
      <w:r w:rsidRPr="59D65CDC">
        <w:rPr>
          <w:rFonts w:ascii="Arial" w:eastAsia="Arial" w:hAnsi="Arial" w:cs="Arial"/>
          <w:b/>
          <w:bCs/>
        </w:rPr>
        <w:t xml:space="preserve"> </w:t>
      </w:r>
      <w:r w:rsidRPr="59D65CDC">
        <w:rPr>
          <w:rFonts w:ascii="Arial" w:eastAsia="Arial" w:hAnsi="Arial" w:cs="Arial"/>
        </w:rPr>
        <w:t xml:space="preserve">ACCESS management and staff </w:t>
      </w:r>
      <w:r w:rsidR="00A92C47" w:rsidRPr="59D65CDC">
        <w:rPr>
          <w:rFonts w:ascii="Arial" w:eastAsia="Arial" w:hAnsi="Arial" w:cs="Arial"/>
        </w:rPr>
        <w:t xml:space="preserve">have </w:t>
      </w:r>
      <w:r w:rsidR="008725F1" w:rsidRPr="59D65CDC">
        <w:rPr>
          <w:rFonts w:ascii="Arial" w:eastAsia="Arial" w:hAnsi="Arial" w:cs="Arial"/>
        </w:rPr>
        <w:t>managed an impressive</w:t>
      </w:r>
      <w:r w:rsidRPr="59D65CDC">
        <w:rPr>
          <w:rFonts w:ascii="Arial" w:eastAsia="Arial" w:hAnsi="Arial" w:cs="Arial"/>
        </w:rPr>
        <w:t xml:space="preserve"> scope of work </w:t>
      </w:r>
      <w:r w:rsidR="008725F1" w:rsidRPr="59D65CDC">
        <w:rPr>
          <w:rFonts w:ascii="Arial" w:eastAsia="Arial" w:hAnsi="Arial" w:cs="Arial"/>
        </w:rPr>
        <w:t>with motivation</w:t>
      </w:r>
      <w:r w:rsidRPr="59D65CDC">
        <w:rPr>
          <w:rFonts w:ascii="Arial" w:eastAsia="Arial" w:hAnsi="Arial" w:cs="Arial"/>
        </w:rPr>
        <w:t xml:space="preserve"> and </w:t>
      </w:r>
      <w:r w:rsidR="008725F1" w:rsidRPr="59D65CDC">
        <w:rPr>
          <w:rFonts w:ascii="Arial" w:eastAsia="Arial" w:hAnsi="Arial" w:cs="Arial"/>
        </w:rPr>
        <w:t>enthusiasm</w:t>
      </w:r>
      <w:r w:rsidRPr="59D65CDC">
        <w:rPr>
          <w:rFonts w:ascii="Arial" w:eastAsia="Arial" w:hAnsi="Arial" w:cs="Arial"/>
        </w:rPr>
        <w:t xml:space="preserve"> to make a difference for people with disabilities and survivors of violence. </w:t>
      </w:r>
      <w:r w:rsidR="00E04969" w:rsidRPr="59D65CDC">
        <w:rPr>
          <w:rFonts w:ascii="Arial" w:eastAsia="Arial" w:hAnsi="Arial" w:cs="Arial"/>
        </w:rPr>
        <w:t xml:space="preserve">However, key staff are over-stretched by unrealistic scopes of work. </w:t>
      </w:r>
      <w:r w:rsidR="00965C8C" w:rsidRPr="59D65CDC">
        <w:rPr>
          <w:rFonts w:ascii="Arial" w:eastAsia="Arial" w:hAnsi="Arial" w:cs="Arial"/>
        </w:rPr>
        <w:t>The</w:t>
      </w:r>
      <w:r w:rsidRPr="59D65CDC">
        <w:rPr>
          <w:rFonts w:ascii="Arial" w:eastAsia="Arial" w:hAnsi="Arial" w:cs="Arial"/>
        </w:rPr>
        <w:t xml:space="preserve"> program was designed with a minimal management and technical layer</w:t>
      </w:r>
      <w:r w:rsidR="000A3B4C" w:rsidRPr="59D65CDC">
        <w:rPr>
          <w:rFonts w:ascii="Arial" w:eastAsia="Arial" w:hAnsi="Arial" w:cs="Arial"/>
        </w:rPr>
        <w:t xml:space="preserve">, </w:t>
      </w:r>
      <w:r w:rsidR="000A3B4C" w:rsidRPr="59D65CDC">
        <w:rPr>
          <w:rFonts w:ascii="Arial" w:eastAsia="Arial" w:hAnsi="Arial" w:cs="Arial"/>
        </w:rPr>
        <w:lastRenderedPageBreak/>
        <w:t>including with t</w:t>
      </w:r>
      <w:r w:rsidRPr="59D65CDC">
        <w:rPr>
          <w:rFonts w:ascii="Arial" w:eastAsia="Arial" w:hAnsi="Arial" w:cs="Arial"/>
        </w:rPr>
        <w:t xml:space="preserve">he Team Leader </w:t>
      </w:r>
      <w:r w:rsidR="000A3B4C" w:rsidRPr="59D65CDC">
        <w:rPr>
          <w:rFonts w:ascii="Arial" w:eastAsia="Arial" w:hAnsi="Arial" w:cs="Arial"/>
        </w:rPr>
        <w:t>as</w:t>
      </w:r>
      <w:r w:rsidRPr="59D65CDC">
        <w:rPr>
          <w:rFonts w:ascii="Arial" w:eastAsia="Arial" w:hAnsi="Arial" w:cs="Arial"/>
        </w:rPr>
        <w:t xml:space="preserve"> the sole management personnel for the first 1</w:t>
      </w:r>
      <w:r w:rsidR="3C1ADF2C" w:rsidRPr="59D65CDC">
        <w:rPr>
          <w:rFonts w:ascii="Arial" w:eastAsia="Arial" w:hAnsi="Arial" w:cs="Arial"/>
        </w:rPr>
        <w:t>4</w:t>
      </w:r>
      <w:r w:rsidRPr="59D65CDC">
        <w:rPr>
          <w:rFonts w:ascii="Arial" w:eastAsia="Arial" w:hAnsi="Arial" w:cs="Arial"/>
        </w:rPr>
        <w:t xml:space="preserve"> months of the program, until a Deputy Team Leader position was created. </w:t>
      </w:r>
      <w:r w:rsidR="00B914FE" w:rsidRPr="59D65CDC">
        <w:rPr>
          <w:rFonts w:ascii="Arial" w:eastAsia="Arial" w:hAnsi="Arial" w:cs="Arial"/>
        </w:rPr>
        <w:t>C</w:t>
      </w:r>
      <w:r w:rsidRPr="59D65CDC">
        <w:rPr>
          <w:rFonts w:ascii="Arial" w:eastAsia="Arial" w:hAnsi="Arial" w:cs="Arial"/>
        </w:rPr>
        <w:t xml:space="preserve">ore technical teams were small (three for the disability workstream and two for GBV), with international advisers working on an STA basis. </w:t>
      </w:r>
      <w:r w:rsidR="00FD49FB" w:rsidRPr="59D65CDC">
        <w:rPr>
          <w:rFonts w:ascii="Arial" w:eastAsia="Arial" w:hAnsi="Arial" w:cs="Arial"/>
        </w:rPr>
        <w:t>This was inadequate for a</w:t>
      </w:r>
      <w:r w:rsidR="182D6881" w:rsidRPr="59D65CDC">
        <w:rPr>
          <w:rFonts w:ascii="Arial" w:eastAsia="Arial" w:hAnsi="Arial" w:cs="Arial"/>
        </w:rPr>
        <w:t>n</w:t>
      </w:r>
      <w:r w:rsidRPr="59D65CDC">
        <w:rPr>
          <w:rFonts w:ascii="Arial" w:eastAsia="Arial" w:hAnsi="Arial" w:cs="Arial"/>
        </w:rPr>
        <w:t xml:space="preserve"> AUD 25 million program, working at national and </w:t>
      </w:r>
      <w:r w:rsidR="0087378E" w:rsidRPr="59D65CDC">
        <w:rPr>
          <w:rFonts w:ascii="Arial" w:eastAsia="Arial" w:hAnsi="Arial" w:cs="Arial"/>
        </w:rPr>
        <w:t>sub-national</w:t>
      </w:r>
      <w:r w:rsidRPr="59D65CDC">
        <w:rPr>
          <w:rFonts w:ascii="Arial" w:eastAsia="Arial" w:hAnsi="Arial" w:cs="Arial"/>
        </w:rPr>
        <w:t xml:space="preserve"> levels, across 15 provinces and 14 partners.</w:t>
      </w:r>
      <w:r w:rsidR="00B546DC" w:rsidRPr="59D65CDC">
        <w:rPr>
          <w:rFonts w:ascii="Arial" w:eastAsia="Arial" w:hAnsi="Arial" w:cs="Arial"/>
        </w:rPr>
        <w:t xml:space="preserve"> The rationale for </w:t>
      </w:r>
      <w:r w:rsidR="00EA7224" w:rsidRPr="59D65CDC">
        <w:rPr>
          <w:rFonts w:ascii="Arial" w:eastAsia="Arial" w:hAnsi="Arial" w:cs="Arial"/>
        </w:rPr>
        <w:t xml:space="preserve">this breadth of geographic </w:t>
      </w:r>
      <w:r w:rsidR="00CC4B2B" w:rsidRPr="59D65CDC">
        <w:rPr>
          <w:rFonts w:ascii="Arial" w:eastAsia="Arial" w:hAnsi="Arial" w:cs="Arial"/>
        </w:rPr>
        <w:t>engagement should be reconsidered in future designs.</w:t>
      </w:r>
      <w:r w:rsidR="4F5ADC64" w:rsidRPr="59D65CDC">
        <w:rPr>
          <w:rFonts w:ascii="Arial" w:eastAsia="Arial" w:hAnsi="Arial" w:cs="Arial"/>
        </w:rPr>
        <w:t xml:space="preserve"> </w:t>
      </w:r>
    </w:p>
    <w:p w14:paraId="34CCB5A8" w14:textId="09F60BD3" w:rsidR="58E58D99" w:rsidRPr="00B546DC" w:rsidRDefault="00172C82" w:rsidP="00D338C6">
      <w:pPr>
        <w:jc w:val="both"/>
        <w:textAlignment w:val="baseline"/>
        <w:rPr>
          <w:rFonts w:ascii="Arial" w:eastAsia="Times New Roman" w:hAnsi="Arial" w:cs="Arial"/>
          <w:color w:val="000000"/>
          <w:szCs w:val="20"/>
          <w:lang w:eastAsia="en-GB"/>
        </w:rPr>
      </w:pPr>
      <w:r w:rsidRPr="00172C82">
        <w:rPr>
          <w:rFonts w:ascii="Arial" w:eastAsia="Times New Roman" w:hAnsi="Arial" w:cs="Arial"/>
          <w:b/>
          <w:bCs/>
          <w:color w:val="000000"/>
          <w:szCs w:val="20"/>
          <w:lang w:eastAsia="en-GB"/>
        </w:rPr>
        <w:t xml:space="preserve">In addition, for </w:t>
      </w:r>
      <w:r w:rsidR="0092198B" w:rsidRPr="00172C82">
        <w:rPr>
          <w:rFonts w:ascii="Arial" w:eastAsia="Times New Roman" w:hAnsi="Arial" w:cs="Arial"/>
          <w:b/>
          <w:bCs/>
          <w:color w:val="000000"/>
          <w:szCs w:val="20"/>
          <w:lang w:eastAsia="en-GB"/>
        </w:rPr>
        <w:t>a program of its size, spanning technical assistance to RGC and IP programming and workstream management, the GBV and disability teams are under resourced.</w:t>
      </w:r>
      <w:r w:rsidR="0092198B" w:rsidRPr="0010578A">
        <w:rPr>
          <w:rFonts w:ascii="Arial" w:eastAsia="Times New Roman" w:hAnsi="Arial" w:cs="Arial"/>
          <w:color w:val="000000"/>
          <w:szCs w:val="20"/>
          <w:lang w:eastAsia="en-GB"/>
        </w:rPr>
        <w:t xml:space="preserve"> GBV has two staff members, and the disability team has three. The two national leads are incredibly dedicated, and each bring a great degree of skill, experience and insight to their roles. However, they are overstretched. This is not a reflection on their capacity, but on the arguably impossible scope of the role for one person. Secondly, the international GBV and disability advisors engage as consultant advisors, with a limited number of days per year rather than an FTE amount. They are assigned to work on discrete tasks and do not appear to engage with the program on priority setting and strategy. It is fitting that the full time national GBV and disability leads are part of the management team for ACCESS, however in a program of this complexity with its need for nuanced strategizing with RGC, it would be advisable that these international roles are better integrated into the program. In the case of disability, the Team Leader’s disability work background means ACCESS has an in-house source of expertise on international approaches to disability. However, the evaluation team felt that this was a gap for GBV, simply due to how the international advisor role is structured. In the absence of such links, the GBV and disability leads are potentially technically isolated, and certainly with limited time to pursue information on new international approaches and guidance. There were plans for a study visit to Australia before COVID-19 arose. The evaluation team has concluded that this exchange with Australian and international expertise and institutions is an important aspect to deepen in future.</w:t>
      </w:r>
      <w:r w:rsidR="0092198B" w:rsidRPr="00E93A5B">
        <w:rPr>
          <w:rFonts w:ascii="Arial" w:eastAsia="Times New Roman" w:hAnsi="Arial" w:cs="Arial"/>
          <w:color w:val="000000"/>
          <w:szCs w:val="20"/>
          <w:lang w:eastAsia="en-GB"/>
        </w:rPr>
        <w:t xml:space="preserve"> </w:t>
      </w:r>
    </w:p>
    <w:p w14:paraId="5DD2CB6A" w14:textId="5BC76577" w:rsidR="58E58D99" w:rsidRDefault="00455312" w:rsidP="00701509">
      <w:pPr>
        <w:jc w:val="both"/>
      </w:pPr>
      <w:r w:rsidRPr="00A72C47">
        <w:rPr>
          <w:rFonts w:ascii="Arial" w:eastAsia="Arial" w:hAnsi="Arial" w:cs="Arial"/>
          <w:b/>
          <w:bCs/>
          <w:szCs w:val="20"/>
        </w:rPr>
        <w:t>The separation of</w:t>
      </w:r>
      <w:r w:rsidR="47D92DF8" w:rsidRPr="00A72C47">
        <w:rPr>
          <w:rFonts w:ascii="Arial" w:eastAsia="Arial" w:hAnsi="Arial" w:cs="Arial"/>
          <w:b/>
          <w:bCs/>
          <w:szCs w:val="20"/>
        </w:rPr>
        <w:t xml:space="preserve"> workstreams for GBV and disability </w:t>
      </w:r>
      <w:r w:rsidRPr="00A72C47">
        <w:rPr>
          <w:rFonts w:ascii="Arial" w:eastAsia="Arial" w:hAnsi="Arial" w:cs="Arial"/>
          <w:b/>
          <w:bCs/>
          <w:szCs w:val="20"/>
        </w:rPr>
        <w:t xml:space="preserve">is understandable given the Cambodian context in which these services were delivered, but meant that </w:t>
      </w:r>
      <w:proofErr w:type="spellStart"/>
      <w:r w:rsidRPr="00A72C47">
        <w:rPr>
          <w:rFonts w:ascii="Arial" w:eastAsia="Arial" w:hAnsi="Arial" w:cs="Arial"/>
          <w:b/>
          <w:bCs/>
          <w:szCs w:val="20"/>
        </w:rPr>
        <w:t>intersectionalities</w:t>
      </w:r>
      <w:proofErr w:type="spellEnd"/>
      <w:r w:rsidRPr="00A72C47">
        <w:rPr>
          <w:rFonts w:ascii="Arial" w:eastAsia="Arial" w:hAnsi="Arial" w:cs="Arial"/>
          <w:b/>
          <w:bCs/>
          <w:szCs w:val="20"/>
        </w:rPr>
        <w:t xml:space="preserve"> and potential opportunities for integration of activities were not </w:t>
      </w:r>
      <w:r w:rsidR="00A2192B">
        <w:rPr>
          <w:rFonts w:ascii="Arial" w:eastAsia="Arial" w:hAnsi="Arial" w:cs="Arial"/>
          <w:b/>
          <w:bCs/>
          <w:szCs w:val="20"/>
        </w:rPr>
        <w:t>explored</w:t>
      </w:r>
      <w:r w:rsidRPr="00A72C47">
        <w:rPr>
          <w:rFonts w:ascii="Arial" w:eastAsia="Arial" w:hAnsi="Arial" w:cs="Arial"/>
          <w:b/>
          <w:bCs/>
          <w:szCs w:val="20"/>
        </w:rPr>
        <w:t xml:space="preserve"> until later in the program</w:t>
      </w:r>
      <w:r>
        <w:rPr>
          <w:rFonts w:ascii="Arial" w:eastAsia="Arial" w:hAnsi="Arial" w:cs="Arial"/>
          <w:szCs w:val="20"/>
        </w:rPr>
        <w:t xml:space="preserve">. </w:t>
      </w:r>
      <w:r w:rsidR="0011536C">
        <w:rPr>
          <w:rFonts w:ascii="Arial" w:eastAsia="Arial" w:hAnsi="Arial" w:cs="Arial"/>
          <w:szCs w:val="20"/>
        </w:rPr>
        <w:t>Having</w:t>
      </w:r>
      <w:r w:rsidR="001000AE">
        <w:rPr>
          <w:rFonts w:ascii="Arial" w:eastAsia="Arial" w:hAnsi="Arial" w:cs="Arial"/>
          <w:szCs w:val="20"/>
        </w:rPr>
        <w:t xml:space="preserve"> </w:t>
      </w:r>
      <w:r w:rsidR="0011536C">
        <w:rPr>
          <w:rFonts w:ascii="Arial" w:eastAsia="Arial" w:hAnsi="Arial" w:cs="Arial"/>
          <w:szCs w:val="20"/>
        </w:rPr>
        <w:t xml:space="preserve">two </w:t>
      </w:r>
      <w:r w:rsidR="00A2192B">
        <w:rPr>
          <w:rFonts w:ascii="Arial" w:eastAsia="Arial" w:hAnsi="Arial" w:cs="Arial"/>
          <w:szCs w:val="20"/>
        </w:rPr>
        <w:t xml:space="preserve">workstreams </w:t>
      </w:r>
      <w:r w:rsidR="001000AE">
        <w:rPr>
          <w:rFonts w:ascii="Arial" w:eastAsia="Arial" w:hAnsi="Arial" w:cs="Arial"/>
          <w:szCs w:val="20"/>
        </w:rPr>
        <w:t>meant that</w:t>
      </w:r>
      <w:r w:rsidR="47D92DF8" w:rsidRPr="3F091A31">
        <w:rPr>
          <w:rFonts w:ascii="Arial" w:eastAsia="Arial" w:hAnsi="Arial" w:cs="Arial"/>
          <w:szCs w:val="20"/>
        </w:rPr>
        <w:t xml:space="preserve"> lessons and p</w:t>
      </w:r>
      <w:r w:rsidR="001000AE">
        <w:rPr>
          <w:rFonts w:ascii="Arial" w:eastAsia="Arial" w:hAnsi="Arial" w:cs="Arial"/>
          <w:szCs w:val="20"/>
        </w:rPr>
        <w:t>otential</w:t>
      </w:r>
      <w:r w:rsidR="47D92DF8" w:rsidRPr="3F091A31">
        <w:rPr>
          <w:rFonts w:ascii="Arial" w:eastAsia="Arial" w:hAnsi="Arial" w:cs="Arial"/>
          <w:szCs w:val="20"/>
        </w:rPr>
        <w:t xml:space="preserve"> synergies </w:t>
      </w:r>
      <w:r w:rsidR="001000AE">
        <w:rPr>
          <w:rFonts w:ascii="Arial" w:eastAsia="Arial" w:hAnsi="Arial" w:cs="Arial"/>
          <w:szCs w:val="20"/>
        </w:rPr>
        <w:t xml:space="preserve">across programs </w:t>
      </w:r>
      <w:r w:rsidR="00DD63B5">
        <w:rPr>
          <w:rFonts w:ascii="Arial" w:eastAsia="Arial" w:hAnsi="Arial" w:cs="Arial"/>
          <w:szCs w:val="20"/>
        </w:rPr>
        <w:t xml:space="preserve">were not sufficiently </w:t>
      </w:r>
      <w:r w:rsidR="00A94D00">
        <w:rPr>
          <w:rFonts w:ascii="Arial" w:eastAsia="Arial" w:hAnsi="Arial" w:cs="Arial"/>
          <w:szCs w:val="20"/>
        </w:rPr>
        <w:t xml:space="preserve">harnessed. </w:t>
      </w:r>
      <w:r w:rsidR="0080358D">
        <w:rPr>
          <w:rFonts w:ascii="Arial" w:eastAsia="Arial" w:hAnsi="Arial" w:cs="Arial"/>
          <w:szCs w:val="20"/>
        </w:rPr>
        <w:t>This included</w:t>
      </w:r>
      <w:r w:rsidR="47D92DF8" w:rsidRPr="3F091A31">
        <w:rPr>
          <w:rFonts w:ascii="Arial" w:eastAsia="Arial" w:hAnsi="Arial" w:cs="Arial"/>
          <w:szCs w:val="20"/>
        </w:rPr>
        <w:t xml:space="preserve"> how to ensure both GBV and disability services are more gender sensitive and disability inclusive</w:t>
      </w:r>
      <w:r w:rsidR="00A2192B">
        <w:rPr>
          <w:rFonts w:ascii="Arial" w:eastAsia="Arial" w:hAnsi="Arial" w:cs="Arial"/>
          <w:szCs w:val="20"/>
        </w:rPr>
        <w:t xml:space="preserve">. </w:t>
      </w:r>
      <w:r w:rsidR="47D92DF8" w:rsidRPr="3F091A31">
        <w:rPr>
          <w:rFonts w:ascii="Arial" w:eastAsia="Arial" w:hAnsi="Arial" w:cs="Arial"/>
          <w:szCs w:val="20"/>
        </w:rPr>
        <w:t xml:space="preserve">The joint </w:t>
      </w:r>
      <w:r w:rsidR="47D92DF8" w:rsidRPr="00701509">
        <w:rPr>
          <w:rFonts w:ascii="Arial" w:eastAsia="Arial" w:hAnsi="Arial" w:cs="Arial"/>
          <w:szCs w:val="20"/>
        </w:rPr>
        <w:t xml:space="preserve">training of IPs conducted by ADD International and the Cambodian Women’s Crisis Centre </w:t>
      </w:r>
      <w:r w:rsidR="00A2192B" w:rsidRPr="00701509">
        <w:rPr>
          <w:rFonts w:ascii="Arial" w:eastAsia="Arial" w:hAnsi="Arial" w:cs="Arial"/>
          <w:szCs w:val="20"/>
        </w:rPr>
        <w:t xml:space="preserve">(CWCC) </w:t>
      </w:r>
      <w:r w:rsidR="47D92DF8" w:rsidRPr="00701509">
        <w:rPr>
          <w:rFonts w:ascii="Arial" w:eastAsia="Arial" w:hAnsi="Arial" w:cs="Arial"/>
          <w:szCs w:val="20"/>
        </w:rPr>
        <w:t>from 2021, is one of</w:t>
      </w:r>
      <w:r w:rsidR="47D92DF8" w:rsidRPr="3F091A31">
        <w:rPr>
          <w:rFonts w:ascii="Arial" w:eastAsia="Arial" w:hAnsi="Arial" w:cs="Arial"/>
          <w:szCs w:val="20"/>
        </w:rPr>
        <w:t xml:space="preserve"> the first examples of integrated work, initiated by the IPs themselves. This is a promising direction</w:t>
      </w:r>
      <w:r w:rsidR="005F66D3">
        <w:rPr>
          <w:rFonts w:ascii="Arial" w:eastAsia="Arial" w:hAnsi="Arial" w:cs="Arial"/>
          <w:szCs w:val="20"/>
        </w:rPr>
        <w:t>.</w:t>
      </w:r>
      <w:r w:rsidR="47D92DF8" w:rsidRPr="3F091A31">
        <w:rPr>
          <w:rFonts w:ascii="Arial" w:eastAsia="Arial" w:hAnsi="Arial" w:cs="Arial"/>
          <w:szCs w:val="20"/>
        </w:rPr>
        <w:t xml:space="preserve"> The GBV IPs consulted for the </w:t>
      </w:r>
      <w:r w:rsidR="003812AE">
        <w:rPr>
          <w:rFonts w:ascii="Arial" w:eastAsia="Arial" w:hAnsi="Arial" w:cs="Arial"/>
          <w:szCs w:val="20"/>
        </w:rPr>
        <w:t>evaluation</w:t>
      </w:r>
      <w:r w:rsidR="47D92DF8" w:rsidRPr="3F091A31">
        <w:rPr>
          <w:rFonts w:ascii="Arial" w:eastAsia="Arial" w:hAnsi="Arial" w:cs="Arial"/>
          <w:szCs w:val="20"/>
        </w:rPr>
        <w:t xml:space="preserve"> were united in support for joint workstream meetings and communications.</w:t>
      </w:r>
    </w:p>
    <w:p w14:paraId="74316B8C" w14:textId="52887508" w:rsidR="005937CF" w:rsidRDefault="47D92DF8" w:rsidP="00691814">
      <w:pPr>
        <w:jc w:val="both"/>
        <w:rPr>
          <w:rFonts w:eastAsiaTheme="minorEastAsia" w:cstheme="minorBidi"/>
          <w:b/>
          <w:bCs/>
        </w:rPr>
      </w:pPr>
      <w:r w:rsidRPr="59D65CDC">
        <w:rPr>
          <w:rFonts w:eastAsiaTheme="minorEastAsia" w:cstheme="minorBidi"/>
          <w:b/>
          <w:bCs/>
        </w:rPr>
        <w:t>The competitive investment mechanism (CIM) has had unintended effects.</w:t>
      </w:r>
      <w:r w:rsidRPr="59D65CDC">
        <w:rPr>
          <w:rFonts w:eastAsiaTheme="minorEastAsia" w:cstheme="minorBidi"/>
        </w:rPr>
        <w:t xml:space="preserve"> The CIM was included in the ACCESS design as complementary to the RGC budget and intended to ‘fund TA and activities (delivered by activity implementers) to </w:t>
      </w:r>
      <w:r w:rsidRPr="59D65CDC">
        <w:rPr>
          <w:rFonts w:eastAsiaTheme="minorEastAsia" w:cstheme="minorBidi"/>
          <w:u w:val="single"/>
        </w:rPr>
        <w:t xml:space="preserve">fill government GBV and disability service provision </w:t>
      </w:r>
      <w:proofErr w:type="gramStart"/>
      <w:r w:rsidRPr="59D65CDC">
        <w:rPr>
          <w:rFonts w:eastAsiaTheme="minorEastAsia" w:cstheme="minorBidi"/>
          <w:u w:val="single"/>
        </w:rPr>
        <w:t>gaps</w:t>
      </w:r>
      <w:r w:rsidRPr="59D65CDC">
        <w:rPr>
          <w:rFonts w:eastAsiaTheme="minorEastAsia" w:cstheme="minorBidi"/>
        </w:rPr>
        <w:t>’</w:t>
      </w:r>
      <w:proofErr w:type="gramEnd"/>
      <w:r w:rsidRPr="59D65CDC">
        <w:rPr>
          <w:rFonts w:eastAsiaTheme="minorEastAsia" w:cstheme="minorBidi"/>
        </w:rPr>
        <w:t xml:space="preserve">. This rationale makes sense from an efficiency point of view, and it did achieve the dispersal of funds to civil society, multilateral organisations and the private sector. However, the efficiency the CIM model can be questioned on </w:t>
      </w:r>
      <w:r w:rsidR="002B7962" w:rsidRPr="59D65CDC">
        <w:rPr>
          <w:rFonts w:eastAsiaTheme="minorEastAsia" w:cstheme="minorBidi"/>
        </w:rPr>
        <w:t xml:space="preserve">five </w:t>
      </w:r>
      <w:r w:rsidRPr="59D65CDC">
        <w:rPr>
          <w:rFonts w:eastAsiaTheme="minorEastAsia" w:cstheme="minorBidi"/>
        </w:rPr>
        <w:t>counts. The first is that the CIM was a lengthy process</w:t>
      </w:r>
      <w:r w:rsidR="0062646D">
        <w:rPr>
          <w:rFonts w:eastAsiaTheme="minorEastAsia" w:cstheme="minorBidi"/>
        </w:rPr>
        <w:t xml:space="preserve">. The process took 6 – 7 months after the call for EOIs was launched in March 2019, </w:t>
      </w:r>
      <w:r w:rsidRPr="59D65CDC">
        <w:rPr>
          <w:rFonts w:eastAsiaTheme="minorEastAsia" w:cstheme="minorBidi"/>
        </w:rPr>
        <w:t>taking the ACCESS team close to 1</w:t>
      </w:r>
      <w:r w:rsidR="004D3E83">
        <w:rPr>
          <w:rFonts w:eastAsiaTheme="minorEastAsia" w:cstheme="minorBidi"/>
        </w:rPr>
        <w:t>3</w:t>
      </w:r>
      <w:r w:rsidRPr="59D65CDC">
        <w:rPr>
          <w:rFonts w:eastAsiaTheme="minorEastAsia" w:cstheme="minorBidi"/>
        </w:rPr>
        <w:t xml:space="preserve"> months</w:t>
      </w:r>
      <w:r w:rsidR="0062646D">
        <w:rPr>
          <w:rFonts w:eastAsiaTheme="minorEastAsia" w:cstheme="minorBidi"/>
        </w:rPr>
        <w:t xml:space="preserve"> overall</w:t>
      </w:r>
      <w:r w:rsidRPr="59D65CDC">
        <w:rPr>
          <w:rFonts w:eastAsiaTheme="minorEastAsia" w:cstheme="minorBidi"/>
        </w:rPr>
        <w:t xml:space="preserve"> </w:t>
      </w:r>
      <w:r w:rsidR="0062646D">
        <w:rPr>
          <w:rFonts w:eastAsiaTheme="minorEastAsia" w:cstheme="minorBidi"/>
        </w:rPr>
        <w:t xml:space="preserve">from </w:t>
      </w:r>
      <w:r w:rsidRPr="59D65CDC">
        <w:rPr>
          <w:rFonts w:eastAsiaTheme="minorEastAsia" w:cstheme="minorBidi"/>
        </w:rPr>
        <w:t xml:space="preserve">the development of the documents for the grant window and the signing of the agreement with all 14 original partners. The process also entailed investigating the tax implications for private sector partners which the relevant IPs noted was a long limbo period. Secondly, </w:t>
      </w:r>
      <w:r w:rsidR="00E707CC" w:rsidRPr="59D65CDC">
        <w:rPr>
          <w:rFonts w:eastAsiaTheme="minorEastAsia" w:cstheme="minorBidi"/>
        </w:rPr>
        <w:t>rather than promoting coordination of IPs’</w:t>
      </w:r>
      <w:r w:rsidRPr="59D65CDC">
        <w:rPr>
          <w:rFonts w:eastAsiaTheme="minorEastAsia" w:cstheme="minorBidi"/>
        </w:rPr>
        <w:t xml:space="preserve"> GBV and disability </w:t>
      </w:r>
      <w:r w:rsidR="006050DD" w:rsidRPr="59D65CDC">
        <w:rPr>
          <w:rFonts w:eastAsiaTheme="minorEastAsia" w:cstheme="minorBidi"/>
        </w:rPr>
        <w:t>activities,</w:t>
      </w:r>
      <w:r w:rsidR="000F0F18" w:rsidRPr="59D65CDC">
        <w:rPr>
          <w:rFonts w:eastAsiaTheme="minorEastAsia" w:cstheme="minorBidi"/>
        </w:rPr>
        <w:t xml:space="preserve"> </w:t>
      </w:r>
      <w:r w:rsidR="00964BAD" w:rsidRPr="59D65CDC">
        <w:rPr>
          <w:rFonts w:eastAsiaTheme="minorEastAsia" w:cstheme="minorBidi"/>
        </w:rPr>
        <w:t xml:space="preserve">the CIM created a competitive environment where </w:t>
      </w:r>
      <w:r w:rsidRPr="59D65CDC">
        <w:rPr>
          <w:rFonts w:eastAsiaTheme="minorEastAsia" w:cstheme="minorBidi"/>
        </w:rPr>
        <w:t xml:space="preserve">IPs </w:t>
      </w:r>
      <w:r w:rsidR="00964BAD" w:rsidRPr="59D65CDC">
        <w:rPr>
          <w:rFonts w:eastAsiaTheme="minorEastAsia" w:cstheme="minorBidi"/>
        </w:rPr>
        <w:t>were vying</w:t>
      </w:r>
      <w:r w:rsidRPr="59D65CDC">
        <w:rPr>
          <w:rFonts w:eastAsiaTheme="minorEastAsia" w:cstheme="minorBidi"/>
        </w:rPr>
        <w:t xml:space="preserve"> for </w:t>
      </w:r>
      <w:r w:rsidR="00964BAD" w:rsidRPr="59D65CDC">
        <w:rPr>
          <w:rFonts w:eastAsiaTheme="minorEastAsia" w:cstheme="minorBidi"/>
        </w:rPr>
        <w:t>resources</w:t>
      </w:r>
      <w:r w:rsidRPr="59D65CDC">
        <w:rPr>
          <w:rFonts w:eastAsiaTheme="minorEastAsia" w:cstheme="minorBidi"/>
        </w:rPr>
        <w:t>. The ACCESS team have tried to address this in their facilitation of workstreams</w:t>
      </w:r>
      <w:r w:rsidR="002A1A02" w:rsidRPr="59D65CDC">
        <w:rPr>
          <w:rFonts w:eastAsiaTheme="minorEastAsia" w:cstheme="minorBidi"/>
        </w:rPr>
        <w:t>.</w:t>
      </w:r>
      <w:r w:rsidR="00B32877" w:rsidRPr="59D65CDC">
        <w:rPr>
          <w:rFonts w:eastAsiaTheme="minorEastAsia" w:cstheme="minorBidi"/>
        </w:rPr>
        <w:t xml:space="preserve"> Thirdly, by </w:t>
      </w:r>
      <w:r w:rsidR="009B5ABA" w:rsidRPr="59D65CDC">
        <w:rPr>
          <w:rFonts w:eastAsiaTheme="minorEastAsia" w:cstheme="minorBidi"/>
        </w:rPr>
        <w:t>disbursing a large number of small-value grants, the activities supported through</w:t>
      </w:r>
      <w:r w:rsidR="00AA2856" w:rsidRPr="59D65CDC">
        <w:rPr>
          <w:rFonts w:eastAsiaTheme="minorEastAsia" w:cstheme="minorBidi"/>
        </w:rPr>
        <w:t xml:space="preserve"> ACCESS were</w:t>
      </w:r>
      <w:r w:rsidRPr="59D65CDC">
        <w:rPr>
          <w:rFonts w:eastAsiaTheme="minorEastAsia" w:cstheme="minorBidi"/>
        </w:rPr>
        <w:t xml:space="preserve"> piecemeal, and </w:t>
      </w:r>
      <w:r w:rsidR="00656905" w:rsidRPr="59D65CDC">
        <w:rPr>
          <w:rFonts w:eastAsiaTheme="minorEastAsia" w:cstheme="minorBidi"/>
        </w:rPr>
        <w:t xml:space="preserve">did not have a sufficient standalone or collective impact to support durable change. </w:t>
      </w:r>
      <w:r w:rsidR="00BC0D24" w:rsidRPr="59D65CDC">
        <w:rPr>
          <w:rFonts w:eastAsiaTheme="minorEastAsia" w:cstheme="minorBidi"/>
        </w:rPr>
        <w:t>Fourth</w:t>
      </w:r>
      <w:r w:rsidR="7208BB23" w:rsidRPr="59D65CDC">
        <w:rPr>
          <w:rFonts w:eastAsiaTheme="minorEastAsia" w:cstheme="minorBidi"/>
        </w:rPr>
        <w:t>ly</w:t>
      </w:r>
      <w:r w:rsidR="00BC0D24" w:rsidRPr="59D65CDC">
        <w:rPr>
          <w:rFonts w:eastAsiaTheme="minorEastAsia" w:cstheme="minorBidi"/>
        </w:rPr>
        <w:t xml:space="preserve">, the original three target provinces </w:t>
      </w:r>
      <w:r w:rsidR="007D3F3D" w:rsidRPr="59D65CDC">
        <w:rPr>
          <w:rFonts w:eastAsiaTheme="minorEastAsia" w:cstheme="minorBidi"/>
        </w:rPr>
        <w:t>extended</w:t>
      </w:r>
      <w:r w:rsidR="001E4A7F" w:rsidRPr="59D65CDC">
        <w:rPr>
          <w:rFonts w:eastAsiaTheme="minorEastAsia" w:cstheme="minorBidi"/>
        </w:rPr>
        <w:t xml:space="preserve"> to fifteen</w:t>
      </w:r>
      <w:r w:rsidR="15E27730" w:rsidRPr="59D65CDC">
        <w:rPr>
          <w:rFonts w:eastAsiaTheme="minorEastAsia" w:cstheme="minorBidi"/>
        </w:rPr>
        <w:t xml:space="preserve">, reflecting the IPs </w:t>
      </w:r>
      <w:r w:rsidR="47CF9911" w:rsidRPr="59D65CDC">
        <w:rPr>
          <w:rFonts w:eastAsiaTheme="minorEastAsia" w:cstheme="minorBidi"/>
        </w:rPr>
        <w:t>pre-</w:t>
      </w:r>
      <w:r w:rsidR="15E27730" w:rsidRPr="59D65CDC">
        <w:rPr>
          <w:rFonts w:eastAsiaTheme="minorEastAsia" w:cstheme="minorBidi"/>
        </w:rPr>
        <w:t>existing</w:t>
      </w:r>
      <w:r w:rsidR="001E4A7F" w:rsidRPr="59D65CDC">
        <w:rPr>
          <w:rFonts w:eastAsiaTheme="minorEastAsia" w:cstheme="minorBidi"/>
        </w:rPr>
        <w:t xml:space="preserve"> network</w:t>
      </w:r>
      <w:r w:rsidR="007D3F3D" w:rsidRPr="59D65CDC">
        <w:rPr>
          <w:rFonts w:eastAsiaTheme="minorEastAsia" w:cstheme="minorBidi"/>
        </w:rPr>
        <w:t>s</w:t>
      </w:r>
      <w:r w:rsidR="2A2984D1" w:rsidRPr="59D65CDC">
        <w:rPr>
          <w:rFonts w:eastAsiaTheme="minorEastAsia" w:cstheme="minorBidi"/>
        </w:rPr>
        <w:t xml:space="preserve"> in those locations</w:t>
      </w:r>
      <w:r w:rsidR="007D3F3D" w:rsidRPr="59D65CDC">
        <w:rPr>
          <w:rFonts w:eastAsiaTheme="minorEastAsia" w:cstheme="minorBidi"/>
        </w:rPr>
        <w:t xml:space="preserve">. </w:t>
      </w:r>
      <w:r w:rsidR="004A5DCE" w:rsidRPr="59D65CDC">
        <w:rPr>
          <w:rFonts w:eastAsiaTheme="minorEastAsia" w:cstheme="minorBidi"/>
        </w:rPr>
        <w:t xml:space="preserve">Finally, the model was not fit for purpose for UN partners which saw UNFPA </w:t>
      </w:r>
      <w:r w:rsidR="003609A2" w:rsidRPr="59D65CDC">
        <w:rPr>
          <w:rFonts w:eastAsiaTheme="minorEastAsia" w:cstheme="minorBidi"/>
        </w:rPr>
        <w:t>discontinue involvement in the program in the second grants round.</w:t>
      </w:r>
      <w:r w:rsidR="00691814" w:rsidRPr="59D65CDC">
        <w:rPr>
          <w:rFonts w:eastAsiaTheme="minorEastAsia" w:cstheme="minorBidi"/>
        </w:rPr>
        <w:t xml:space="preserve"> </w:t>
      </w:r>
      <w:r w:rsidR="008B6CBF" w:rsidRPr="59D65CDC">
        <w:rPr>
          <w:rFonts w:eastAsiaTheme="minorEastAsia" w:cstheme="minorBidi"/>
        </w:rPr>
        <w:t xml:space="preserve">In addition, </w:t>
      </w:r>
      <w:r w:rsidR="008B6CBF" w:rsidRPr="59D65CDC">
        <w:rPr>
          <w:rFonts w:eastAsiaTheme="minorEastAsia" w:cstheme="minorBidi"/>
          <w:b/>
          <w:bCs/>
        </w:rPr>
        <w:lastRenderedPageBreak/>
        <w:t>f</w:t>
      </w:r>
      <w:r w:rsidR="00691814" w:rsidRPr="59D65CDC">
        <w:rPr>
          <w:rFonts w:eastAsiaTheme="minorEastAsia" w:cstheme="minorBidi"/>
          <w:b/>
          <w:bCs/>
        </w:rPr>
        <w:t xml:space="preserve">inancial processes </w:t>
      </w:r>
      <w:r w:rsidR="002C75DE" w:rsidRPr="59D65CDC">
        <w:rPr>
          <w:rFonts w:eastAsiaTheme="minorEastAsia" w:cstheme="minorBidi"/>
          <w:b/>
          <w:bCs/>
        </w:rPr>
        <w:t xml:space="preserve">associated with the CIM </w:t>
      </w:r>
      <w:r w:rsidR="00691814" w:rsidRPr="59D65CDC">
        <w:rPr>
          <w:rFonts w:eastAsiaTheme="minorEastAsia" w:cstheme="minorBidi"/>
          <w:b/>
          <w:bCs/>
        </w:rPr>
        <w:t xml:space="preserve">such as quarterly reporting were reported to be burdensome for all parties. </w:t>
      </w:r>
    </w:p>
    <w:p w14:paraId="7C0EE45E" w14:textId="70A01A71" w:rsidR="00643F5A" w:rsidRDefault="00643F5A" w:rsidP="00643F5A">
      <w:pPr>
        <w:pStyle w:val="TableHeadingBlue"/>
        <w:rPr>
          <w:rFonts w:eastAsiaTheme="minorEastAsia" w:cstheme="minorBidi"/>
        </w:rPr>
      </w:pPr>
      <w:r>
        <w:rPr>
          <w:rFonts w:eastAsiaTheme="minorEastAsia" w:cstheme="minorBidi"/>
        </w:rPr>
        <w:t xml:space="preserve">Table 2: </w:t>
      </w:r>
      <w:r w:rsidRPr="00106C87">
        <w:t>ACCESS Implementing Partner Grants Phase 1</w:t>
      </w:r>
    </w:p>
    <w:tbl>
      <w:tblPr>
        <w:tblStyle w:val="TableGrid20"/>
        <w:tblW w:w="9634" w:type="dxa"/>
        <w:tblLayout w:type="fixed"/>
        <w:tblLook w:val="04A0" w:firstRow="1" w:lastRow="0" w:firstColumn="1" w:lastColumn="0" w:noHBand="0" w:noVBand="1"/>
        <w:tblCaption w:val="Table 2: ACCESS implementing partner grants Phase 1"/>
        <w:tblDescription w:val="Grant funding provided to each implementing partner under Phase 1 of ACCESS"/>
      </w:tblPr>
      <w:tblGrid>
        <w:gridCol w:w="559"/>
        <w:gridCol w:w="1594"/>
        <w:gridCol w:w="1614"/>
        <w:gridCol w:w="1615"/>
        <w:gridCol w:w="1275"/>
        <w:gridCol w:w="1276"/>
        <w:gridCol w:w="1701"/>
      </w:tblGrid>
      <w:tr w:rsidR="006823DE" w:rsidRPr="006873F4" w14:paraId="59470A24" w14:textId="77777777" w:rsidTr="00B3291F">
        <w:trPr>
          <w:trHeight w:val="290"/>
          <w:tblHeader/>
        </w:trPr>
        <w:tc>
          <w:tcPr>
            <w:tcW w:w="559" w:type="dxa"/>
            <w:shd w:val="clear" w:color="auto" w:fill="1D336D" w:themeFill="background2"/>
          </w:tcPr>
          <w:p w14:paraId="07155464" w14:textId="3C45CE1C" w:rsidR="006823DE" w:rsidRPr="00A85281" w:rsidRDefault="006823DE" w:rsidP="59D65CDC">
            <w:pPr>
              <w:spacing w:after="0" w:line="240" w:lineRule="auto"/>
              <w:jc w:val="center"/>
              <w:rPr>
                <w:rFonts w:cstheme="minorBidi"/>
                <w:b/>
                <w:bCs/>
                <w:color w:val="E4EAF8"/>
                <w:sz w:val="18"/>
                <w:szCs w:val="18"/>
              </w:rPr>
            </w:pPr>
            <w:r w:rsidRPr="00A85281">
              <w:rPr>
                <w:rFonts w:cstheme="minorBidi"/>
                <w:b/>
                <w:bCs/>
                <w:color w:val="E4EAF8"/>
                <w:sz w:val="18"/>
                <w:szCs w:val="18"/>
              </w:rPr>
              <w:t>No.</w:t>
            </w:r>
          </w:p>
        </w:tc>
        <w:tc>
          <w:tcPr>
            <w:tcW w:w="1594" w:type="dxa"/>
            <w:shd w:val="clear" w:color="auto" w:fill="1D336D" w:themeFill="background2"/>
          </w:tcPr>
          <w:p w14:paraId="58532F75" w14:textId="7903518A" w:rsidR="006823DE" w:rsidRPr="00A85281" w:rsidRDefault="006823DE" w:rsidP="59D65CDC">
            <w:pPr>
              <w:jc w:val="center"/>
              <w:rPr>
                <w:rFonts w:cstheme="minorBidi"/>
                <w:b/>
                <w:bCs/>
                <w:color w:val="E4EAF8"/>
                <w:sz w:val="18"/>
                <w:szCs w:val="18"/>
              </w:rPr>
            </w:pPr>
            <w:r w:rsidRPr="00A85281">
              <w:rPr>
                <w:rFonts w:cstheme="minorBidi"/>
                <w:b/>
                <w:bCs/>
                <w:color w:val="E4EAF8"/>
                <w:sz w:val="18"/>
                <w:szCs w:val="18"/>
              </w:rPr>
              <w:t>Partner</w:t>
            </w:r>
          </w:p>
        </w:tc>
        <w:tc>
          <w:tcPr>
            <w:tcW w:w="1614" w:type="dxa"/>
            <w:shd w:val="clear" w:color="auto" w:fill="1D336D" w:themeFill="background2"/>
          </w:tcPr>
          <w:p w14:paraId="0A507F03" w14:textId="4DFD0A06" w:rsidR="006823DE" w:rsidRPr="00A85281" w:rsidRDefault="006823DE" w:rsidP="59D65CDC">
            <w:pPr>
              <w:jc w:val="center"/>
              <w:rPr>
                <w:rFonts w:cstheme="minorBidi"/>
                <w:b/>
                <w:bCs/>
                <w:color w:val="E4EAF8"/>
                <w:sz w:val="18"/>
                <w:szCs w:val="18"/>
              </w:rPr>
            </w:pPr>
            <w:r w:rsidRPr="00A85281">
              <w:rPr>
                <w:rFonts w:cstheme="minorBidi"/>
                <w:b/>
                <w:bCs/>
                <w:color w:val="E4EAF8"/>
                <w:sz w:val="18"/>
                <w:szCs w:val="18"/>
              </w:rPr>
              <w:t>Total Budget ACCESS (AUD)</w:t>
            </w:r>
          </w:p>
        </w:tc>
        <w:tc>
          <w:tcPr>
            <w:tcW w:w="1615" w:type="dxa"/>
            <w:shd w:val="clear" w:color="auto" w:fill="1D336D" w:themeFill="background2"/>
          </w:tcPr>
          <w:p w14:paraId="4D2551F5" w14:textId="3C268178" w:rsidR="006823DE" w:rsidRPr="00A85281" w:rsidRDefault="006823DE" w:rsidP="59D65CDC">
            <w:pPr>
              <w:jc w:val="center"/>
              <w:rPr>
                <w:rFonts w:cstheme="minorBidi"/>
                <w:b/>
                <w:bCs/>
                <w:color w:val="E4EAF8"/>
                <w:sz w:val="18"/>
                <w:szCs w:val="18"/>
              </w:rPr>
            </w:pPr>
            <w:r w:rsidRPr="00A85281">
              <w:rPr>
                <w:rFonts w:cstheme="minorBidi"/>
                <w:b/>
                <w:bCs/>
                <w:color w:val="E4EAF8"/>
                <w:sz w:val="18"/>
                <w:szCs w:val="18"/>
              </w:rPr>
              <w:t>Co-funding (AUD)</w:t>
            </w:r>
          </w:p>
        </w:tc>
        <w:tc>
          <w:tcPr>
            <w:tcW w:w="1275" w:type="dxa"/>
            <w:shd w:val="clear" w:color="auto" w:fill="1D336D" w:themeFill="background2"/>
          </w:tcPr>
          <w:p w14:paraId="73C4965E" w14:textId="4B343CDE" w:rsidR="006823DE" w:rsidRPr="00A85281" w:rsidRDefault="006823DE" w:rsidP="59D65CDC">
            <w:pPr>
              <w:jc w:val="center"/>
              <w:rPr>
                <w:rFonts w:cstheme="minorBidi"/>
                <w:b/>
                <w:bCs/>
                <w:color w:val="E4EAF8"/>
                <w:sz w:val="18"/>
                <w:szCs w:val="18"/>
              </w:rPr>
            </w:pPr>
            <w:r w:rsidRPr="00A85281">
              <w:rPr>
                <w:rFonts w:cstheme="minorBidi"/>
                <w:b/>
                <w:bCs/>
                <w:color w:val="E4EAF8"/>
                <w:sz w:val="18"/>
                <w:szCs w:val="18"/>
              </w:rPr>
              <w:t>Project Start Date</w:t>
            </w:r>
          </w:p>
        </w:tc>
        <w:tc>
          <w:tcPr>
            <w:tcW w:w="1276" w:type="dxa"/>
            <w:shd w:val="clear" w:color="auto" w:fill="1D336D" w:themeFill="background2"/>
          </w:tcPr>
          <w:p w14:paraId="2BC602DD" w14:textId="5A557AD2" w:rsidR="006823DE" w:rsidRPr="00A85281" w:rsidRDefault="006823DE" w:rsidP="59D65CDC">
            <w:pPr>
              <w:jc w:val="center"/>
              <w:rPr>
                <w:rFonts w:cstheme="minorBidi"/>
                <w:b/>
                <w:bCs/>
                <w:color w:val="E4EAF8"/>
                <w:sz w:val="18"/>
                <w:szCs w:val="18"/>
              </w:rPr>
            </w:pPr>
            <w:r w:rsidRPr="00A85281">
              <w:rPr>
                <w:rFonts w:cstheme="minorBidi"/>
                <w:b/>
                <w:bCs/>
                <w:color w:val="E4EAF8"/>
                <w:sz w:val="18"/>
                <w:szCs w:val="18"/>
              </w:rPr>
              <w:t>Project End Date</w:t>
            </w:r>
          </w:p>
        </w:tc>
        <w:tc>
          <w:tcPr>
            <w:tcW w:w="1701" w:type="dxa"/>
            <w:shd w:val="clear" w:color="auto" w:fill="1D336D" w:themeFill="background2"/>
          </w:tcPr>
          <w:p w14:paraId="6668B079" w14:textId="103FE479" w:rsidR="006823DE" w:rsidRPr="00A85281" w:rsidRDefault="006823DE" w:rsidP="59D65CDC">
            <w:pPr>
              <w:jc w:val="center"/>
              <w:rPr>
                <w:rFonts w:cstheme="minorBidi"/>
                <w:b/>
                <w:bCs/>
                <w:color w:val="E4EAF8"/>
                <w:sz w:val="18"/>
                <w:szCs w:val="18"/>
              </w:rPr>
            </w:pPr>
            <w:r w:rsidRPr="00A85281">
              <w:rPr>
                <w:rFonts w:cstheme="minorBidi"/>
                <w:b/>
                <w:bCs/>
                <w:color w:val="E4EAF8"/>
                <w:sz w:val="18"/>
                <w:szCs w:val="18"/>
              </w:rPr>
              <w:t>Workstream</w:t>
            </w:r>
          </w:p>
        </w:tc>
      </w:tr>
      <w:tr w:rsidR="004F26EE" w:rsidRPr="006873F4" w14:paraId="1C917DA8" w14:textId="77777777" w:rsidTr="00B3291F">
        <w:trPr>
          <w:trHeight w:val="290"/>
        </w:trPr>
        <w:tc>
          <w:tcPr>
            <w:tcW w:w="559" w:type="dxa"/>
            <w:noWrap/>
            <w:hideMark/>
          </w:tcPr>
          <w:p w14:paraId="0E48B92C" w14:textId="77777777" w:rsidR="006873F4" w:rsidRPr="006873F4" w:rsidRDefault="0D0EC794" w:rsidP="59D65CDC">
            <w:pPr>
              <w:jc w:val="right"/>
              <w:rPr>
                <w:rFonts w:cstheme="minorBidi"/>
                <w:color w:val="000000"/>
                <w:sz w:val="18"/>
                <w:szCs w:val="18"/>
              </w:rPr>
            </w:pPr>
            <w:r w:rsidRPr="59D65CDC">
              <w:rPr>
                <w:rFonts w:cstheme="minorBidi"/>
                <w:sz w:val="18"/>
                <w:szCs w:val="18"/>
              </w:rPr>
              <w:t>1</w:t>
            </w:r>
          </w:p>
        </w:tc>
        <w:tc>
          <w:tcPr>
            <w:tcW w:w="1594" w:type="dxa"/>
            <w:noWrap/>
            <w:hideMark/>
          </w:tcPr>
          <w:p w14:paraId="16F48542" w14:textId="77777777" w:rsidR="006873F4" w:rsidRPr="006873F4" w:rsidRDefault="0D0EC794" w:rsidP="59D65CDC">
            <w:pPr>
              <w:rPr>
                <w:rFonts w:cstheme="minorBidi"/>
                <w:color w:val="000000"/>
                <w:sz w:val="18"/>
                <w:szCs w:val="18"/>
              </w:rPr>
            </w:pPr>
            <w:r w:rsidRPr="59D65CDC">
              <w:rPr>
                <w:rFonts w:cstheme="minorBidi"/>
                <w:sz w:val="18"/>
                <w:szCs w:val="18"/>
              </w:rPr>
              <w:t>CWCC</w:t>
            </w:r>
          </w:p>
        </w:tc>
        <w:tc>
          <w:tcPr>
            <w:tcW w:w="1614" w:type="dxa"/>
            <w:noWrap/>
            <w:hideMark/>
          </w:tcPr>
          <w:p w14:paraId="3DA8F843" w14:textId="344E8F1D" w:rsidR="006873F4" w:rsidRPr="006873F4" w:rsidRDefault="0D0EC794" w:rsidP="00106C87">
            <w:pPr>
              <w:jc w:val="center"/>
              <w:rPr>
                <w:rFonts w:cstheme="minorBidi"/>
                <w:color w:val="000000"/>
                <w:sz w:val="18"/>
                <w:szCs w:val="18"/>
              </w:rPr>
            </w:pPr>
            <w:r w:rsidRPr="59D65CDC">
              <w:rPr>
                <w:rFonts w:cstheme="minorBidi"/>
                <w:sz w:val="18"/>
                <w:szCs w:val="18"/>
              </w:rPr>
              <w:t xml:space="preserve">  480,445.14 </w:t>
            </w:r>
          </w:p>
        </w:tc>
        <w:tc>
          <w:tcPr>
            <w:tcW w:w="1615" w:type="dxa"/>
            <w:noWrap/>
            <w:hideMark/>
          </w:tcPr>
          <w:p w14:paraId="16490087" w14:textId="586E0CE7" w:rsidR="006873F4" w:rsidRPr="006873F4" w:rsidRDefault="0D0EC794" w:rsidP="00106C87">
            <w:pPr>
              <w:jc w:val="center"/>
              <w:rPr>
                <w:rFonts w:cstheme="minorBidi"/>
                <w:color w:val="000000"/>
                <w:sz w:val="18"/>
                <w:szCs w:val="18"/>
              </w:rPr>
            </w:pPr>
            <w:r w:rsidRPr="59D65CDC">
              <w:rPr>
                <w:rFonts w:cstheme="minorBidi"/>
                <w:sz w:val="18"/>
                <w:szCs w:val="18"/>
              </w:rPr>
              <w:t xml:space="preserve">  497,378.97 </w:t>
            </w:r>
          </w:p>
        </w:tc>
        <w:tc>
          <w:tcPr>
            <w:tcW w:w="1275" w:type="dxa"/>
            <w:noWrap/>
            <w:hideMark/>
          </w:tcPr>
          <w:p w14:paraId="09A5FAE3" w14:textId="77777777" w:rsidR="006873F4" w:rsidRPr="006873F4" w:rsidRDefault="0D0EC794" w:rsidP="59D65CDC">
            <w:pPr>
              <w:jc w:val="right"/>
              <w:rPr>
                <w:rFonts w:cstheme="minorBidi"/>
                <w:color w:val="000000"/>
                <w:sz w:val="18"/>
                <w:szCs w:val="18"/>
              </w:rPr>
            </w:pPr>
            <w:r w:rsidRPr="59D65CDC">
              <w:rPr>
                <w:rFonts w:cstheme="minorBidi"/>
                <w:sz w:val="18"/>
                <w:szCs w:val="18"/>
              </w:rPr>
              <w:t>13/09/2019</w:t>
            </w:r>
          </w:p>
        </w:tc>
        <w:tc>
          <w:tcPr>
            <w:tcW w:w="1276" w:type="dxa"/>
            <w:noWrap/>
            <w:hideMark/>
          </w:tcPr>
          <w:p w14:paraId="3F9680A6"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0BD24443" w14:textId="77777777" w:rsidR="006873F4" w:rsidRPr="006873F4" w:rsidRDefault="0D0EC794" w:rsidP="59D65CDC">
            <w:pPr>
              <w:jc w:val="center"/>
              <w:rPr>
                <w:rFonts w:cstheme="minorBidi"/>
                <w:color w:val="000000"/>
                <w:sz w:val="18"/>
                <w:szCs w:val="18"/>
              </w:rPr>
            </w:pPr>
            <w:r w:rsidRPr="59D65CDC">
              <w:rPr>
                <w:rFonts w:cstheme="minorBidi"/>
                <w:sz w:val="18"/>
                <w:szCs w:val="18"/>
              </w:rPr>
              <w:t>GBV</w:t>
            </w:r>
          </w:p>
        </w:tc>
      </w:tr>
      <w:tr w:rsidR="004F26EE" w:rsidRPr="006873F4" w14:paraId="078A84ED" w14:textId="77777777" w:rsidTr="00B3291F">
        <w:trPr>
          <w:trHeight w:val="290"/>
        </w:trPr>
        <w:tc>
          <w:tcPr>
            <w:tcW w:w="559" w:type="dxa"/>
            <w:noWrap/>
            <w:hideMark/>
          </w:tcPr>
          <w:p w14:paraId="148E5C2B" w14:textId="77777777" w:rsidR="006873F4" w:rsidRPr="006873F4" w:rsidRDefault="0D0EC794" w:rsidP="59D65CDC">
            <w:pPr>
              <w:jc w:val="right"/>
              <w:rPr>
                <w:rFonts w:cstheme="minorBidi"/>
                <w:color w:val="000000"/>
                <w:sz w:val="18"/>
                <w:szCs w:val="18"/>
              </w:rPr>
            </w:pPr>
            <w:r w:rsidRPr="59D65CDC">
              <w:rPr>
                <w:rFonts w:cstheme="minorBidi"/>
                <w:sz w:val="18"/>
                <w:szCs w:val="18"/>
              </w:rPr>
              <w:t>2</w:t>
            </w:r>
          </w:p>
        </w:tc>
        <w:tc>
          <w:tcPr>
            <w:tcW w:w="1594" w:type="dxa"/>
            <w:noWrap/>
            <w:hideMark/>
          </w:tcPr>
          <w:p w14:paraId="347291B3" w14:textId="77777777" w:rsidR="006873F4" w:rsidRPr="006873F4" w:rsidRDefault="0D0EC794" w:rsidP="59D65CDC">
            <w:pPr>
              <w:rPr>
                <w:rFonts w:cstheme="minorBidi"/>
                <w:color w:val="000000"/>
                <w:sz w:val="18"/>
                <w:szCs w:val="18"/>
              </w:rPr>
            </w:pPr>
            <w:r w:rsidRPr="59D65CDC">
              <w:rPr>
                <w:rFonts w:cstheme="minorBidi"/>
                <w:sz w:val="18"/>
                <w:szCs w:val="18"/>
              </w:rPr>
              <w:t>TAF</w:t>
            </w:r>
          </w:p>
        </w:tc>
        <w:tc>
          <w:tcPr>
            <w:tcW w:w="1614" w:type="dxa"/>
            <w:noWrap/>
            <w:hideMark/>
          </w:tcPr>
          <w:p w14:paraId="2A4C3CB9" w14:textId="7DF4C62F" w:rsidR="006873F4" w:rsidRPr="006873F4" w:rsidRDefault="0D0EC794" w:rsidP="00106C87">
            <w:pPr>
              <w:jc w:val="center"/>
              <w:rPr>
                <w:rFonts w:cstheme="minorBidi"/>
                <w:color w:val="000000"/>
                <w:sz w:val="18"/>
                <w:szCs w:val="18"/>
              </w:rPr>
            </w:pPr>
            <w:r w:rsidRPr="59D65CDC">
              <w:rPr>
                <w:rFonts w:cstheme="minorBidi"/>
                <w:sz w:val="18"/>
                <w:szCs w:val="18"/>
              </w:rPr>
              <w:t xml:space="preserve"> 422,738.85 </w:t>
            </w:r>
          </w:p>
        </w:tc>
        <w:tc>
          <w:tcPr>
            <w:tcW w:w="1615" w:type="dxa"/>
            <w:noWrap/>
            <w:hideMark/>
          </w:tcPr>
          <w:p w14:paraId="49C23DA1" w14:textId="59F00155" w:rsidR="006873F4" w:rsidRPr="006873F4" w:rsidRDefault="0D0EC794" w:rsidP="00106C87">
            <w:pPr>
              <w:jc w:val="center"/>
              <w:rPr>
                <w:rFonts w:cstheme="minorBidi"/>
                <w:color w:val="000000"/>
                <w:sz w:val="18"/>
                <w:szCs w:val="18"/>
              </w:rPr>
            </w:pPr>
            <w:r w:rsidRPr="59D65CDC">
              <w:rPr>
                <w:rFonts w:cstheme="minorBidi"/>
                <w:sz w:val="18"/>
                <w:szCs w:val="18"/>
              </w:rPr>
              <w:t xml:space="preserve"> 25,094.59 </w:t>
            </w:r>
          </w:p>
        </w:tc>
        <w:tc>
          <w:tcPr>
            <w:tcW w:w="1275" w:type="dxa"/>
            <w:noWrap/>
            <w:hideMark/>
          </w:tcPr>
          <w:p w14:paraId="3BC31AB6" w14:textId="77777777" w:rsidR="006873F4" w:rsidRPr="006873F4" w:rsidRDefault="0D0EC794" w:rsidP="59D65CDC">
            <w:pPr>
              <w:jc w:val="right"/>
              <w:rPr>
                <w:rFonts w:cstheme="minorBidi"/>
                <w:color w:val="000000"/>
                <w:sz w:val="18"/>
                <w:szCs w:val="18"/>
              </w:rPr>
            </w:pPr>
            <w:r w:rsidRPr="59D65CDC">
              <w:rPr>
                <w:rFonts w:cstheme="minorBidi"/>
                <w:sz w:val="18"/>
                <w:szCs w:val="18"/>
              </w:rPr>
              <w:t>13/09/2019</w:t>
            </w:r>
          </w:p>
        </w:tc>
        <w:tc>
          <w:tcPr>
            <w:tcW w:w="1276" w:type="dxa"/>
            <w:noWrap/>
            <w:hideMark/>
          </w:tcPr>
          <w:p w14:paraId="46E48E0F"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492ABC67" w14:textId="77777777" w:rsidR="006873F4" w:rsidRPr="006873F4" w:rsidRDefault="0D0EC794" w:rsidP="59D65CDC">
            <w:pPr>
              <w:jc w:val="center"/>
              <w:rPr>
                <w:rFonts w:cstheme="minorBidi"/>
                <w:color w:val="000000"/>
                <w:sz w:val="18"/>
                <w:szCs w:val="18"/>
              </w:rPr>
            </w:pPr>
            <w:r w:rsidRPr="59D65CDC">
              <w:rPr>
                <w:rFonts w:cstheme="minorBidi"/>
                <w:sz w:val="18"/>
                <w:szCs w:val="18"/>
              </w:rPr>
              <w:t>GBV</w:t>
            </w:r>
          </w:p>
        </w:tc>
      </w:tr>
      <w:tr w:rsidR="004F26EE" w:rsidRPr="006873F4" w14:paraId="3CF8A302" w14:textId="77777777" w:rsidTr="00B3291F">
        <w:trPr>
          <w:trHeight w:val="290"/>
        </w:trPr>
        <w:tc>
          <w:tcPr>
            <w:tcW w:w="559" w:type="dxa"/>
            <w:noWrap/>
            <w:hideMark/>
          </w:tcPr>
          <w:p w14:paraId="681A32D7" w14:textId="77777777" w:rsidR="006873F4" w:rsidRPr="006873F4" w:rsidRDefault="0D0EC794" w:rsidP="59D65CDC">
            <w:pPr>
              <w:jc w:val="right"/>
              <w:rPr>
                <w:rFonts w:cstheme="minorBidi"/>
                <w:color w:val="000000"/>
                <w:sz w:val="18"/>
                <w:szCs w:val="18"/>
              </w:rPr>
            </w:pPr>
            <w:r w:rsidRPr="59D65CDC">
              <w:rPr>
                <w:rFonts w:cstheme="minorBidi"/>
                <w:sz w:val="18"/>
                <w:szCs w:val="18"/>
              </w:rPr>
              <w:t>3</w:t>
            </w:r>
          </w:p>
        </w:tc>
        <w:tc>
          <w:tcPr>
            <w:tcW w:w="1594" w:type="dxa"/>
            <w:noWrap/>
            <w:hideMark/>
          </w:tcPr>
          <w:p w14:paraId="501D4B87" w14:textId="77777777" w:rsidR="006873F4" w:rsidRPr="006873F4" w:rsidRDefault="0D0EC794" w:rsidP="59D65CDC">
            <w:pPr>
              <w:rPr>
                <w:rFonts w:cstheme="minorBidi"/>
                <w:color w:val="000000"/>
                <w:sz w:val="18"/>
                <w:szCs w:val="18"/>
              </w:rPr>
            </w:pPr>
            <w:r w:rsidRPr="59D65CDC">
              <w:rPr>
                <w:rFonts w:cstheme="minorBidi"/>
                <w:sz w:val="18"/>
                <w:szCs w:val="18"/>
              </w:rPr>
              <w:t>TPO</w:t>
            </w:r>
          </w:p>
        </w:tc>
        <w:tc>
          <w:tcPr>
            <w:tcW w:w="1614" w:type="dxa"/>
            <w:noWrap/>
            <w:hideMark/>
          </w:tcPr>
          <w:p w14:paraId="0EE769B0" w14:textId="709F0058" w:rsidR="006873F4" w:rsidRPr="006873F4" w:rsidRDefault="0D0EC794" w:rsidP="00106C87">
            <w:pPr>
              <w:jc w:val="center"/>
              <w:rPr>
                <w:rFonts w:cstheme="minorBidi"/>
                <w:color w:val="000000"/>
                <w:sz w:val="18"/>
                <w:szCs w:val="18"/>
              </w:rPr>
            </w:pPr>
            <w:r w:rsidRPr="59D65CDC">
              <w:rPr>
                <w:rFonts w:cstheme="minorBidi"/>
                <w:sz w:val="18"/>
                <w:szCs w:val="18"/>
              </w:rPr>
              <w:t xml:space="preserve"> 350,904.24 </w:t>
            </w:r>
          </w:p>
        </w:tc>
        <w:tc>
          <w:tcPr>
            <w:tcW w:w="1615" w:type="dxa"/>
            <w:noWrap/>
            <w:hideMark/>
          </w:tcPr>
          <w:p w14:paraId="5ECE5123" w14:textId="73FC0EDA" w:rsidR="006873F4" w:rsidRPr="006873F4" w:rsidRDefault="0D0EC794" w:rsidP="00106C87">
            <w:pPr>
              <w:jc w:val="center"/>
              <w:rPr>
                <w:rFonts w:cstheme="minorBidi"/>
                <w:color w:val="000000"/>
                <w:sz w:val="18"/>
                <w:szCs w:val="18"/>
              </w:rPr>
            </w:pPr>
            <w:r w:rsidRPr="59D65CDC">
              <w:rPr>
                <w:rFonts w:cstheme="minorBidi"/>
                <w:sz w:val="18"/>
                <w:szCs w:val="18"/>
              </w:rPr>
              <w:t xml:space="preserve"> 91,271.06 </w:t>
            </w:r>
          </w:p>
        </w:tc>
        <w:tc>
          <w:tcPr>
            <w:tcW w:w="1275" w:type="dxa"/>
            <w:noWrap/>
            <w:hideMark/>
          </w:tcPr>
          <w:p w14:paraId="2C0BA181" w14:textId="77777777" w:rsidR="006873F4" w:rsidRPr="006873F4" w:rsidRDefault="0D0EC794" w:rsidP="59D65CDC">
            <w:pPr>
              <w:jc w:val="right"/>
              <w:rPr>
                <w:rFonts w:cstheme="minorBidi"/>
                <w:color w:val="000000"/>
                <w:sz w:val="18"/>
                <w:szCs w:val="18"/>
              </w:rPr>
            </w:pPr>
            <w:r w:rsidRPr="59D65CDC">
              <w:rPr>
                <w:rFonts w:cstheme="minorBidi"/>
                <w:sz w:val="18"/>
                <w:szCs w:val="18"/>
              </w:rPr>
              <w:t>13/09/2019</w:t>
            </w:r>
          </w:p>
        </w:tc>
        <w:tc>
          <w:tcPr>
            <w:tcW w:w="1276" w:type="dxa"/>
            <w:noWrap/>
            <w:hideMark/>
          </w:tcPr>
          <w:p w14:paraId="553F9A05"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04048896" w14:textId="77777777" w:rsidR="006873F4" w:rsidRPr="006873F4" w:rsidRDefault="0D0EC794" w:rsidP="59D65CDC">
            <w:pPr>
              <w:jc w:val="center"/>
              <w:rPr>
                <w:rFonts w:cstheme="minorBidi"/>
                <w:color w:val="000000"/>
                <w:sz w:val="18"/>
                <w:szCs w:val="18"/>
              </w:rPr>
            </w:pPr>
            <w:r w:rsidRPr="59D65CDC">
              <w:rPr>
                <w:rFonts w:cstheme="minorBidi"/>
                <w:sz w:val="18"/>
                <w:szCs w:val="18"/>
              </w:rPr>
              <w:t>GBV</w:t>
            </w:r>
          </w:p>
        </w:tc>
      </w:tr>
      <w:tr w:rsidR="004F26EE" w:rsidRPr="006873F4" w14:paraId="4C8B14D3" w14:textId="77777777" w:rsidTr="00B3291F">
        <w:trPr>
          <w:trHeight w:val="290"/>
        </w:trPr>
        <w:tc>
          <w:tcPr>
            <w:tcW w:w="559" w:type="dxa"/>
            <w:noWrap/>
            <w:hideMark/>
          </w:tcPr>
          <w:p w14:paraId="29924644" w14:textId="77777777" w:rsidR="006873F4" w:rsidRPr="006873F4" w:rsidRDefault="0D0EC794" w:rsidP="59D65CDC">
            <w:pPr>
              <w:jc w:val="right"/>
              <w:rPr>
                <w:rFonts w:cstheme="minorBidi"/>
                <w:color w:val="000000"/>
                <w:sz w:val="18"/>
                <w:szCs w:val="18"/>
              </w:rPr>
            </w:pPr>
            <w:r w:rsidRPr="59D65CDC">
              <w:rPr>
                <w:rFonts w:cstheme="minorBidi"/>
                <w:sz w:val="18"/>
                <w:szCs w:val="18"/>
              </w:rPr>
              <w:t>4</w:t>
            </w:r>
          </w:p>
        </w:tc>
        <w:tc>
          <w:tcPr>
            <w:tcW w:w="1594" w:type="dxa"/>
            <w:noWrap/>
            <w:hideMark/>
          </w:tcPr>
          <w:p w14:paraId="6B9E5D91" w14:textId="77777777" w:rsidR="006873F4" w:rsidRPr="006873F4" w:rsidRDefault="0D0EC794" w:rsidP="59D65CDC">
            <w:pPr>
              <w:rPr>
                <w:rFonts w:cstheme="minorBidi"/>
                <w:color w:val="000000"/>
                <w:sz w:val="18"/>
                <w:szCs w:val="18"/>
              </w:rPr>
            </w:pPr>
            <w:r w:rsidRPr="59D65CDC">
              <w:rPr>
                <w:rFonts w:cstheme="minorBidi"/>
                <w:sz w:val="18"/>
                <w:szCs w:val="18"/>
              </w:rPr>
              <w:t>LAC</w:t>
            </w:r>
          </w:p>
        </w:tc>
        <w:tc>
          <w:tcPr>
            <w:tcW w:w="1614" w:type="dxa"/>
            <w:noWrap/>
            <w:hideMark/>
          </w:tcPr>
          <w:p w14:paraId="35786CBA" w14:textId="10E2A1B2" w:rsidR="006873F4" w:rsidRPr="006873F4" w:rsidRDefault="0D0EC794" w:rsidP="00106C87">
            <w:pPr>
              <w:jc w:val="center"/>
              <w:rPr>
                <w:rFonts w:cstheme="minorBidi"/>
                <w:color w:val="000000"/>
                <w:sz w:val="18"/>
                <w:szCs w:val="18"/>
              </w:rPr>
            </w:pPr>
            <w:r w:rsidRPr="59D65CDC">
              <w:rPr>
                <w:rFonts w:cstheme="minorBidi"/>
                <w:sz w:val="18"/>
                <w:szCs w:val="18"/>
              </w:rPr>
              <w:t xml:space="preserve"> 444,425.91 </w:t>
            </w:r>
          </w:p>
        </w:tc>
        <w:tc>
          <w:tcPr>
            <w:tcW w:w="1615" w:type="dxa"/>
            <w:noWrap/>
            <w:hideMark/>
          </w:tcPr>
          <w:p w14:paraId="67EFE885" w14:textId="6AF157C9" w:rsidR="006873F4" w:rsidRPr="006873F4" w:rsidRDefault="0D0EC794" w:rsidP="00106C87">
            <w:pPr>
              <w:jc w:val="center"/>
              <w:rPr>
                <w:rFonts w:cstheme="minorBidi"/>
                <w:color w:val="000000"/>
                <w:sz w:val="18"/>
                <w:szCs w:val="18"/>
              </w:rPr>
            </w:pPr>
            <w:r w:rsidRPr="59D65CDC">
              <w:rPr>
                <w:rFonts w:cstheme="minorBidi"/>
                <w:sz w:val="18"/>
                <w:szCs w:val="18"/>
              </w:rPr>
              <w:t xml:space="preserve"> 58,102.17 </w:t>
            </w:r>
          </w:p>
        </w:tc>
        <w:tc>
          <w:tcPr>
            <w:tcW w:w="1275" w:type="dxa"/>
            <w:noWrap/>
            <w:hideMark/>
          </w:tcPr>
          <w:p w14:paraId="79B8250F" w14:textId="77777777" w:rsidR="006873F4" w:rsidRPr="006873F4" w:rsidRDefault="0D0EC794" w:rsidP="59D65CDC">
            <w:pPr>
              <w:jc w:val="right"/>
              <w:rPr>
                <w:rFonts w:cstheme="minorBidi"/>
                <w:color w:val="000000"/>
                <w:sz w:val="18"/>
                <w:szCs w:val="18"/>
              </w:rPr>
            </w:pPr>
            <w:r w:rsidRPr="59D65CDC">
              <w:rPr>
                <w:rFonts w:cstheme="minorBidi"/>
                <w:sz w:val="18"/>
                <w:szCs w:val="18"/>
              </w:rPr>
              <w:t>13/09/2019</w:t>
            </w:r>
          </w:p>
        </w:tc>
        <w:tc>
          <w:tcPr>
            <w:tcW w:w="1276" w:type="dxa"/>
            <w:noWrap/>
            <w:hideMark/>
          </w:tcPr>
          <w:p w14:paraId="28729C1F"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4FDC2BD9" w14:textId="77777777" w:rsidR="006873F4" w:rsidRPr="006873F4" w:rsidRDefault="0D0EC794" w:rsidP="59D65CDC">
            <w:pPr>
              <w:jc w:val="center"/>
              <w:rPr>
                <w:rFonts w:cstheme="minorBidi"/>
                <w:color w:val="000000"/>
                <w:sz w:val="18"/>
                <w:szCs w:val="18"/>
              </w:rPr>
            </w:pPr>
            <w:r w:rsidRPr="59D65CDC">
              <w:rPr>
                <w:rFonts w:cstheme="minorBidi"/>
                <w:sz w:val="18"/>
                <w:szCs w:val="18"/>
              </w:rPr>
              <w:t>GBV</w:t>
            </w:r>
          </w:p>
        </w:tc>
      </w:tr>
      <w:tr w:rsidR="004F26EE" w:rsidRPr="006873F4" w14:paraId="446ACD33" w14:textId="77777777" w:rsidTr="00B3291F">
        <w:trPr>
          <w:trHeight w:val="290"/>
        </w:trPr>
        <w:tc>
          <w:tcPr>
            <w:tcW w:w="559" w:type="dxa"/>
            <w:noWrap/>
            <w:hideMark/>
          </w:tcPr>
          <w:p w14:paraId="0EAAB933" w14:textId="77777777" w:rsidR="006873F4" w:rsidRPr="006873F4" w:rsidRDefault="0D0EC794" w:rsidP="59D65CDC">
            <w:pPr>
              <w:jc w:val="right"/>
              <w:rPr>
                <w:rFonts w:cstheme="minorBidi"/>
                <w:color w:val="000000"/>
                <w:sz w:val="18"/>
                <w:szCs w:val="18"/>
              </w:rPr>
            </w:pPr>
            <w:r w:rsidRPr="59D65CDC">
              <w:rPr>
                <w:rFonts w:cstheme="minorBidi"/>
                <w:sz w:val="18"/>
                <w:szCs w:val="18"/>
              </w:rPr>
              <w:t>5</w:t>
            </w:r>
          </w:p>
        </w:tc>
        <w:tc>
          <w:tcPr>
            <w:tcW w:w="1594" w:type="dxa"/>
            <w:noWrap/>
            <w:hideMark/>
          </w:tcPr>
          <w:p w14:paraId="468F8523" w14:textId="77777777" w:rsidR="006873F4" w:rsidRPr="006873F4" w:rsidRDefault="0D0EC794" w:rsidP="59D65CDC">
            <w:pPr>
              <w:rPr>
                <w:rFonts w:cstheme="minorBidi"/>
                <w:color w:val="000000"/>
                <w:sz w:val="18"/>
                <w:szCs w:val="18"/>
              </w:rPr>
            </w:pPr>
            <w:r w:rsidRPr="59D65CDC">
              <w:rPr>
                <w:rFonts w:cstheme="minorBidi"/>
                <w:sz w:val="18"/>
                <w:szCs w:val="18"/>
              </w:rPr>
              <w:t>CARE Cambodia</w:t>
            </w:r>
          </w:p>
        </w:tc>
        <w:tc>
          <w:tcPr>
            <w:tcW w:w="1614" w:type="dxa"/>
            <w:noWrap/>
            <w:hideMark/>
          </w:tcPr>
          <w:p w14:paraId="0AF35E9E" w14:textId="4318F33F" w:rsidR="006873F4" w:rsidRPr="006873F4" w:rsidRDefault="0D0EC794" w:rsidP="00106C87">
            <w:pPr>
              <w:jc w:val="center"/>
              <w:rPr>
                <w:rFonts w:cstheme="minorBidi"/>
                <w:color w:val="000000"/>
                <w:sz w:val="18"/>
                <w:szCs w:val="18"/>
              </w:rPr>
            </w:pPr>
            <w:r w:rsidRPr="59D65CDC">
              <w:rPr>
                <w:rFonts w:cstheme="minorBidi"/>
                <w:sz w:val="18"/>
                <w:szCs w:val="18"/>
              </w:rPr>
              <w:t xml:space="preserve"> 385,001.00 </w:t>
            </w:r>
          </w:p>
        </w:tc>
        <w:tc>
          <w:tcPr>
            <w:tcW w:w="1615" w:type="dxa"/>
            <w:noWrap/>
            <w:hideMark/>
          </w:tcPr>
          <w:p w14:paraId="35819124" w14:textId="1349FBDA" w:rsidR="006873F4" w:rsidRPr="006873F4" w:rsidRDefault="0D0EC794" w:rsidP="00106C87">
            <w:pPr>
              <w:jc w:val="center"/>
              <w:rPr>
                <w:rFonts w:cstheme="minorBidi"/>
                <w:color w:val="000000"/>
                <w:sz w:val="18"/>
                <w:szCs w:val="18"/>
              </w:rPr>
            </w:pPr>
            <w:r w:rsidRPr="59D65CDC">
              <w:rPr>
                <w:rFonts w:cstheme="minorBidi"/>
                <w:sz w:val="18"/>
                <w:szCs w:val="18"/>
              </w:rPr>
              <w:t xml:space="preserve">70,000.00 </w:t>
            </w:r>
          </w:p>
        </w:tc>
        <w:tc>
          <w:tcPr>
            <w:tcW w:w="1275" w:type="dxa"/>
            <w:noWrap/>
            <w:hideMark/>
          </w:tcPr>
          <w:p w14:paraId="46A9DF54" w14:textId="77777777" w:rsidR="006873F4" w:rsidRPr="006873F4" w:rsidRDefault="0D0EC794" w:rsidP="59D65CDC">
            <w:pPr>
              <w:jc w:val="right"/>
              <w:rPr>
                <w:rFonts w:cstheme="minorBidi"/>
                <w:color w:val="000000"/>
                <w:sz w:val="18"/>
                <w:szCs w:val="18"/>
              </w:rPr>
            </w:pPr>
            <w:r w:rsidRPr="59D65CDC">
              <w:rPr>
                <w:rFonts w:cstheme="minorBidi"/>
                <w:sz w:val="18"/>
                <w:szCs w:val="18"/>
              </w:rPr>
              <w:t>20/09/2019</w:t>
            </w:r>
          </w:p>
        </w:tc>
        <w:tc>
          <w:tcPr>
            <w:tcW w:w="1276" w:type="dxa"/>
            <w:noWrap/>
            <w:hideMark/>
          </w:tcPr>
          <w:p w14:paraId="7DE97DC4"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018AC9C2" w14:textId="77777777" w:rsidR="006873F4" w:rsidRPr="006873F4" w:rsidRDefault="0D0EC794" w:rsidP="59D65CDC">
            <w:pPr>
              <w:jc w:val="center"/>
              <w:rPr>
                <w:rFonts w:cstheme="minorBidi"/>
                <w:color w:val="000000"/>
                <w:sz w:val="18"/>
                <w:szCs w:val="18"/>
              </w:rPr>
            </w:pPr>
            <w:r w:rsidRPr="59D65CDC">
              <w:rPr>
                <w:rFonts w:cstheme="minorBidi"/>
                <w:sz w:val="18"/>
                <w:szCs w:val="18"/>
              </w:rPr>
              <w:t>GBV</w:t>
            </w:r>
          </w:p>
        </w:tc>
      </w:tr>
      <w:tr w:rsidR="004F26EE" w:rsidRPr="006873F4" w14:paraId="0A171B91" w14:textId="77777777" w:rsidTr="00B3291F">
        <w:trPr>
          <w:trHeight w:val="290"/>
        </w:trPr>
        <w:tc>
          <w:tcPr>
            <w:tcW w:w="559" w:type="dxa"/>
            <w:noWrap/>
            <w:hideMark/>
          </w:tcPr>
          <w:p w14:paraId="504F006F" w14:textId="77777777" w:rsidR="006873F4" w:rsidRPr="006873F4" w:rsidRDefault="0D0EC794" w:rsidP="59D65CDC">
            <w:pPr>
              <w:jc w:val="right"/>
              <w:rPr>
                <w:rFonts w:cstheme="minorBidi"/>
                <w:color w:val="000000"/>
                <w:sz w:val="18"/>
                <w:szCs w:val="18"/>
              </w:rPr>
            </w:pPr>
            <w:r w:rsidRPr="59D65CDC">
              <w:rPr>
                <w:rFonts w:cstheme="minorBidi"/>
                <w:sz w:val="18"/>
                <w:szCs w:val="18"/>
              </w:rPr>
              <w:t>6</w:t>
            </w:r>
          </w:p>
        </w:tc>
        <w:tc>
          <w:tcPr>
            <w:tcW w:w="1594" w:type="dxa"/>
            <w:noWrap/>
            <w:hideMark/>
          </w:tcPr>
          <w:p w14:paraId="01D07EA4" w14:textId="77777777" w:rsidR="006873F4" w:rsidRPr="006873F4" w:rsidRDefault="0D0EC794" w:rsidP="59D65CDC">
            <w:pPr>
              <w:rPr>
                <w:rFonts w:cstheme="minorBidi"/>
                <w:color w:val="000000"/>
                <w:sz w:val="18"/>
                <w:szCs w:val="18"/>
              </w:rPr>
            </w:pPr>
            <w:r w:rsidRPr="59D65CDC">
              <w:rPr>
                <w:rFonts w:cstheme="minorBidi"/>
                <w:sz w:val="18"/>
                <w:szCs w:val="18"/>
              </w:rPr>
              <w:t>UNFPA</w:t>
            </w:r>
          </w:p>
        </w:tc>
        <w:tc>
          <w:tcPr>
            <w:tcW w:w="1614" w:type="dxa"/>
            <w:noWrap/>
            <w:hideMark/>
          </w:tcPr>
          <w:p w14:paraId="369704AA" w14:textId="2E4264DB" w:rsidR="006873F4" w:rsidRPr="006873F4" w:rsidRDefault="0D0EC794" w:rsidP="00106C87">
            <w:pPr>
              <w:jc w:val="center"/>
              <w:rPr>
                <w:rFonts w:cstheme="minorBidi"/>
                <w:color w:val="000000"/>
                <w:sz w:val="18"/>
                <w:szCs w:val="18"/>
              </w:rPr>
            </w:pPr>
            <w:r w:rsidRPr="59D65CDC">
              <w:rPr>
                <w:rFonts w:cstheme="minorBidi"/>
                <w:sz w:val="18"/>
                <w:szCs w:val="18"/>
              </w:rPr>
              <w:t xml:space="preserve">499,639.50 </w:t>
            </w:r>
          </w:p>
        </w:tc>
        <w:tc>
          <w:tcPr>
            <w:tcW w:w="1615" w:type="dxa"/>
            <w:noWrap/>
            <w:hideMark/>
          </w:tcPr>
          <w:p w14:paraId="5A9AB23E" w14:textId="57D3A32D" w:rsidR="006873F4" w:rsidRPr="006873F4" w:rsidRDefault="0D0EC794" w:rsidP="00106C87">
            <w:pPr>
              <w:jc w:val="center"/>
              <w:rPr>
                <w:rFonts w:cstheme="minorBidi"/>
                <w:color w:val="000000"/>
                <w:sz w:val="18"/>
                <w:szCs w:val="18"/>
              </w:rPr>
            </w:pPr>
            <w:r w:rsidRPr="59D65CDC">
              <w:rPr>
                <w:rFonts w:cstheme="minorBidi"/>
                <w:sz w:val="18"/>
                <w:szCs w:val="18"/>
              </w:rPr>
              <w:t xml:space="preserve">275,800.00 </w:t>
            </w:r>
          </w:p>
        </w:tc>
        <w:tc>
          <w:tcPr>
            <w:tcW w:w="1275" w:type="dxa"/>
            <w:noWrap/>
            <w:hideMark/>
          </w:tcPr>
          <w:p w14:paraId="7BB4E61D" w14:textId="77777777" w:rsidR="006873F4" w:rsidRPr="006873F4" w:rsidRDefault="0D0EC794" w:rsidP="59D65CDC">
            <w:pPr>
              <w:jc w:val="right"/>
              <w:rPr>
                <w:rFonts w:cstheme="minorBidi"/>
                <w:color w:val="000000"/>
                <w:sz w:val="18"/>
                <w:szCs w:val="18"/>
              </w:rPr>
            </w:pPr>
            <w:r w:rsidRPr="59D65CDC">
              <w:rPr>
                <w:rFonts w:cstheme="minorBidi"/>
                <w:sz w:val="18"/>
                <w:szCs w:val="18"/>
              </w:rPr>
              <w:t>29/11/2019</w:t>
            </w:r>
          </w:p>
        </w:tc>
        <w:tc>
          <w:tcPr>
            <w:tcW w:w="1276" w:type="dxa"/>
            <w:noWrap/>
            <w:hideMark/>
          </w:tcPr>
          <w:p w14:paraId="65ECCE75"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48B95C4F" w14:textId="77777777" w:rsidR="006873F4" w:rsidRPr="006873F4" w:rsidRDefault="0D0EC794" w:rsidP="59D65CDC">
            <w:pPr>
              <w:jc w:val="center"/>
              <w:rPr>
                <w:rFonts w:cstheme="minorBidi"/>
                <w:color w:val="000000"/>
                <w:sz w:val="18"/>
                <w:szCs w:val="18"/>
              </w:rPr>
            </w:pPr>
            <w:r w:rsidRPr="59D65CDC">
              <w:rPr>
                <w:rFonts w:cstheme="minorBidi"/>
                <w:sz w:val="18"/>
                <w:szCs w:val="18"/>
              </w:rPr>
              <w:t>GBV</w:t>
            </w:r>
          </w:p>
        </w:tc>
      </w:tr>
      <w:tr w:rsidR="004F26EE" w:rsidRPr="006873F4" w14:paraId="2BEA7BEB" w14:textId="77777777" w:rsidTr="00B3291F">
        <w:trPr>
          <w:trHeight w:val="290"/>
        </w:trPr>
        <w:tc>
          <w:tcPr>
            <w:tcW w:w="559" w:type="dxa"/>
            <w:noWrap/>
            <w:hideMark/>
          </w:tcPr>
          <w:p w14:paraId="33894D7D" w14:textId="77777777" w:rsidR="006873F4" w:rsidRPr="006873F4" w:rsidRDefault="0D0EC794" w:rsidP="59D65CDC">
            <w:pPr>
              <w:jc w:val="right"/>
              <w:rPr>
                <w:rFonts w:cstheme="minorBidi"/>
                <w:color w:val="000000"/>
                <w:sz w:val="18"/>
                <w:szCs w:val="18"/>
              </w:rPr>
            </w:pPr>
            <w:r w:rsidRPr="59D65CDC">
              <w:rPr>
                <w:rFonts w:cstheme="minorBidi"/>
                <w:sz w:val="18"/>
                <w:szCs w:val="18"/>
              </w:rPr>
              <w:t>7</w:t>
            </w:r>
          </w:p>
        </w:tc>
        <w:tc>
          <w:tcPr>
            <w:tcW w:w="1594" w:type="dxa"/>
            <w:noWrap/>
            <w:hideMark/>
          </w:tcPr>
          <w:p w14:paraId="356E76A6" w14:textId="77777777" w:rsidR="006873F4" w:rsidRPr="006873F4" w:rsidRDefault="0D0EC794" w:rsidP="59D65CDC">
            <w:pPr>
              <w:rPr>
                <w:rFonts w:cstheme="minorBidi"/>
                <w:color w:val="000000"/>
                <w:sz w:val="18"/>
                <w:szCs w:val="18"/>
              </w:rPr>
            </w:pPr>
            <w:r w:rsidRPr="59D65CDC">
              <w:rPr>
                <w:rFonts w:cstheme="minorBidi"/>
                <w:sz w:val="18"/>
                <w:szCs w:val="18"/>
              </w:rPr>
              <w:t>UN Women</w:t>
            </w:r>
          </w:p>
        </w:tc>
        <w:tc>
          <w:tcPr>
            <w:tcW w:w="1614" w:type="dxa"/>
            <w:noWrap/>
            <w:hideMark/>
          </w:tcPr>
          <w:p w14:paraId="69CA87A8" w14:textId="448A8C69" w:rsidR="006873F4" w:rsidRPr="006873F4" w:rsidRDefault="0D0EC794" w:rsidP="00106C87">
            <w:pPr>
              <w:jc w:val="center"/>
              <w:rPr>
                <w:rFonts w:cstheme="minorBidi"/>
                <w:color w:val="000000"/>
                <w:sz w:val="18"/>
                <w:szCs w:val="18"/>
              </w:rPr>
            </w:pPr>
            <w:r w:rsidRPr="59D65CDC">
              <w:rPr>
                <w:rFonts w:cstheme="minorBidi"/>
                <w:sz w:val="18"/>
                <w:szCs w:val="18"/>
              </w:rPr>
              <w:t xml:space="preserve">426,588.00 </w:t>
            </w:r>
          </w:p>
        </w:tc>
        <w:tc>
          <w:tcPr>
            <w:tcW w:w="1615" w:type="dxa"/>
            <w:noWrap/>
            <w:hideMark/>
          </w:tcPr>
          <w:p w14:paraId="19C33191" w14:textId="6D14F781" w:rsidR="006873F4" w:rsidRPr="006873F4" w:rsidRDefault="0D0EC794" w:rsidP="00106C87">
            <w:pPr>
              <w:jc w:val="center"/>
              <w:rPr>
                <w:rFonts w:cstheme="minorBidi"/>
                <w:color w:val="000000"/>
                <w:sz w:val="18"/>
                <w:szCs w:val="18"/>
              </w:rPr>
            </w:pPr>
            <w:r w:rsidRPr="59D65CDC">
              <w:rPr>
                <w:rFonts w:cstheme="minorBidi"/>
                <w:sz w:val="18"/>
                <w:szCs w:val="18"/>
              </w:rPr>
              <w:t xml:space="preserve">87,800.00 </w:t>
            </w:r>
          </w:p>
        </w:tc>
        <w:tc>
          <w:tcPr>
            <w:tcW w:w="1275" w:type="dxa"/>
            <w:noWrap/>
            <w:hideMark/>
          </w:tcPr>
          <w:p w14:paraId="705152FA" w14:textId="77777777" w:rsidR="006873F4" w:rsidRPr="006873F4" w:rsidRDefault="0D0EC794" w:rsidP="59D65CDC">
            <w:pPr>
              <w:jc w:val="right"/>
              <w:rPr>
                <w:rFonts w:cstheme="minorBidi"/>
                <w:color w:val="000000"/>
                <w:sz w:val="18"/>
                <w:szCs w:val="18"/>
              </w:rPr>
            </w:pPr>
            <w:r w:rsidRPr="59D65CDC">
              <w:rPr>
                <w:rFonts w:cstheme="minorBidi"/>
                <w:sz w:val="18"/>
                <w:szCs w:val="18"/>
              </w:rPr>
              <w:t>29/11/2019</w:t>
            </w:r>
          </w:p>
        </w:tc>
        <w:tc>
          <w:tcPr>
            <w:tcW w:w="1276" w:type="dxa"/>
            <w:noWrap/>
            <w:hideMark/>
          </w:tcPr>
          <w:p w14:paraId="7AE92FB6"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5ED852B9" w14:textId="77777777" w:rsidR="006873F4" w:rsidRPr="006873F4" w:rsidRDefault="0D0EC794" w:rsidP="59D65CDC">
            <w:pPr>
              <w:jc w:val="center"/>
              <w:rPr>
                <w:rFonts w:cstheme="minorBidi"/>
                <w:color w:val="000000"/>
                <w:sz w:val="18"/>
                <w:szCs w:val="18"/>
              </w:rPr>
            </w:pPr>
            <w:r w:rsidRPr="59D65CDC">
              <w:rPr>
                <w:rFonts w:cstheme="minorBidi"/>
                <w:sz w:val="18"/>
                <w:szCs w:val="18"/>
              </w:rPr>
              <w:t>GBV</w:t>
            </w:r>
          </w:p>
        </w:tc>
      </w:tr>
      <w:tr w:rsidR="004F26EE" w:rsidRPr="006873F4" w14:paraId="4DA21D8C" w14:textId="77777777" w:rsidTr="00B3291F">
        <w:trPr>
          <w:trHeight w:val="290"/>
        </w:trPr>
        <w:tc>
          <w:tcPr>
            <w:tcW w:w="559" w:type="dxa"/>
            <w:noWrap/>
            <w:hideMark/>
          </w:tcPr>
          <w:p w14:paraId="5DA0B1BF" w14:textId="77777777" w:rsidR="006873F4" w:rsidRPr="006873F4" w:rsidRDefault="0D0EC794" w:rsidP="59D65CDC">
            <w:pPr>
              <w:jc w:val="right"/>
              <w:rPr>
                <w:rFonts w:cstheme="minorBidi"/>
                <w:color w:val="000000"/>
                <w:sz w:val="18"/>
                <w:szCs w:val="18"/>
              </w:rPr>
            </w:pPr>
            <w:r w:rsidRPr="59D65CDC">
              <w:rPr>
                <w:rFonts w:cstheme="minorBidi"/>
                <w:sz w:val="18"/>
                <w:szCs w:val="18"/>
              </w:rPr>
              <w:t>8</w:t>
            </w:r>
          </w:p>
        </w:tc>
        <w:tc>
          <w:tcPr>
            <w:tcW w:w="1594" w:type="dxa"/>
            <w:noWrap/>
            <w:hideMark/>
          </w:tcPr>
          <w:p w14:paraId="78CFE23F" w14:textId="77777777" w:rsidR="006873F4" w:rsidRPr="006873F4" w:rsidRDefault="0D0EC794" w:rsidP="59D65CDC">
            <w:pPr>
              <w:rPr>
                <w:rFonts w:cstheme="minorBidi"/>
                <w:color w:val="000000"/>
                <w:sz w:val="18"/>
                <w:szCs w:val="18"/>
              </w:rPr>
            </w:pPr>
            <w:r w:rsidRPr="59D65CDC">
              <w:rPr>
                <w:rFonts w:cstheme="minorBidi"/>
                <w:sz w:val="18"/>
                <w:szCs w:val="18"/>
              </w:rPr>
              <w:t>CDPO</w:t>
            </w:r>
          </w:p>
        </w:tc>
        <w:tc>
          <w:tcPr>
            <w:tcW w:w="1614" w:type="dxa"/>
            <w:noWrap/>
            <w:hideMark/>
          </w:tcPr>
          <w:p w14:paraId="5A27805F" w14:textId="1788F9DB" w:rsidR="006873F4" w:rsidRPr="006873F4" w:rsidRDefault="0D0EC794" w:rsidP="00106C87">
            <w:pPr>
              <w:jc w:val="center"/>
              <w:rPr>
                <w:rFonts w:cstheme="minorBidi"/>
                <w:color w:val="000000"/>
                <w:sz w:val="18"/>
                <w:szCs w:val="18"/>
              </w:rPr>
            </w:pPr>
            <w:r w:rsidRPr="59D65CDC">
              <w:rPr>
                <w:rFonts w:cstheme="minorBidi"/>
                <w:sz w:val="18"/>
                <w:szCs w:val="18"/>
              </w:rPr>
              <w:t xml:space="preserve">545,861.00 </w:t>
            </w:r>
          </w:p>
        </w:tc>
        <w:tc>
          <w:tcPr>
            <w:tcW w:w="1615" w:type="dxa"/>
            <w:noWrap/>
            <w:hideMark/>
          </w:tcPr>
          <w:p w14:paraId="3874B586" w14:textId="332C4CA2" w:rsidR="006873F4" w:rsidRPr="006873F4" w:rsidRDefault="0D0EC794" w:rsidP="00106C87">
            <w:pPr>
              <w:jc w:val="center"/>
              <w:rPr>
                <w:rFonts w:cstheme="minorBidi"/>
                <w:color w:val="000000"/>
                <w:sz w:val="18"/>
                <w:szCs w:val="18"/>
              </w:rPr>
            </w:pPr>
            <w:r w:rsidRPr="59D65CDC">
              <w:rPr>
                <w:rFonts w:cstheme="minorBidi"/>
                <w:sz w:val="18"/>
                <w:szCs w:val="18"/>
              </w:rPr>
              <w:t xml:space="preserve">21,139.00 </w:t>
            </w:r>
          </w:p>
        </w:tc>
        <w:tc>
          <w:tcPr>
            <w:tcW w:w="1275" w:type="dxa"/>
            <w:noWrap/>
            <w:hideMark/>
          </w:tcPr>
          <w:p w14:paraId="70649691" w14:textId="77777777" w:rsidR="006873F4" w:rsidRPr="006873F4" w:rsidRDefault="0D0EC794" w:rsidP="59D65CDC">
            <w:pPr>
              <w:jc w:val="right"/>
              <w:rPr>
                <w:rFonts w:cstheme="minorBidi"/>
                <w:color w:val="000000"/>
                <w:sz w:val="18"/>
                <w:szCs w:val="18"/>
              </w:rPr>
            </w:pPr>
            <w:r w:rsidRPr="59D65CDC">
              <w:rPr>
                <w:rFonts w:cstheme="minorBidi"/>
                <w:sz w:val="18"/>
                <w:szCs w:val="18"/>
              </w:rPr>
              <w:t>6/09/2019</w:t>
            </w:r>
          </w:p>
        </w:tc>
        <w:tc>
          <w:tcPr>
            <w:tcW w:w="1276" w:type="dxa"/>
            <w:noWrap/>
            <w:hideMark/>
          </w:tcPr>
          <w:p w14:paraId="5DF11E0D"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061ACFCA" w14:textId="77777777" w:rsidR="006873F4" w:rsidRPr="006873F4" w:rsidRDefault="0D0EC794" w:rsidP="59D65CDC">
            <w:pPr>
              <w:jc w:val="center"/>
              <w:rPr>
                <w:rFonts w:cstheme="minorBidi"/>
                <w:color w:val="000000"/>
                <w:sz w:val="18"/>
                <w:szCs w:val="18"/>
              </w:rPr>
            </w:pPr>
            <w:r w:rsidRPr="59D65CDC">
              <w:rPr>
                <w:rFonts w:cstheme="minorBidi"/>
                <w:sz w:val="18"/>
                <w:szCs w:val="18"/>
              </w:rPr>
              <w:t>Disability</w:t>
            </w:r>
          </w:p>
        </w:tc>
      </w:tr>
      <w:tr w:rsidR="004F26EE" w:rsidRPr="006873F4" w14:paraId="4C3C4624" w14:textId="77777777" w:rsidTr="00B3291F">
        <w:trPr>
          <w:trHeight w:val="290"/>
        </w:trPr>
        <w:tc>
          <w:tcPr>
            <w:tcW w:w="559" w:type="dxa"/>
            <w:noWrap/>
            <w:hideMark/>
          </w:tcPr>
          <w:p w14:paraId="5F54614B" w14:textId="77777777" w:rsidR="006873F4" w:rsidRPr="006873F4" w:rsidRDefault="0D0EC794" w:rsidP="59D65CDC">
            <w:pPr>
              <w:jc w:val="right"/>
              <w:rPr>
                <w:rFonts w:cstheme="minorBidi"/>
                <w:color w:val="000000"/>
                <w:sz w:val="18"/>
                <w:szCs w:val="18"/>
              </w:rPr>
            </w:pPr>
            <w:r w:rsidRPr="59D65CDC">
              <w:rPr>
                <w:rFonts w:cstheme="minorBidi"/>
                <w:sz w:val="18"/>
                <w:szCs w:val="18"/>
              </w:rPr>
              <w:t>9</w:t>
            </w:r>
          </w:p>
        </w:tc>
        <w:tc>
          <w:tcPr>
            <w:tcW w:w="1594" w:type="dxa"/>
            <w:noWrap/>
            <w:hideMark/>
          </w:tcPr>
          <w:p w14:paraId="4325677E" w14:textId="77777777" w:rsidR="006873F4" w:rsidRPr="006873F4" w:rsidRDefault="0D0EC794" w:rsidP="59D65CDC">
            <w:pPr>
              <w:rPr>
                <w:rFonts w:cstheme="minorBidi"/>
                <w:color w:val="000000"/>
                <w:sz w:val="18"/>
                <w:szCs w:val="18"/>
              </w:rPr>
            </w:pPr>
            <w:r w:rsidRPr="59D65CDC">
              <w:rPr>
                <w:rFonts w:cstheme="minorBidi"/>
                <w:sz w:val="18"/>
                <w:szCs w:val="18"/>
              </w:rPr>
              <w:t>LFTW</w:t>
            </w:r>
          </w:p>
        </w:tc>
        <w:tc>
          <w:tcPr>
            <w:tcW w:w="1614" w:type="dxa"/>
            <w:noWrap/>
            <w:hideMark/>
          </w:tcPr>
          <w:p w14:paraId="0D00202C" w14:textId="5A559E8F" w:rsidR="006873F4" w:rsidRPr="006873F4" w:rsidRDefault="0D0EC794" w:rsidP="00106C87">
            <w:pPr>
              <w:jc w:val="center"/>
              <w:rPr>
                <w:rFonts w:cstheme="minorBidi"/>
                <w:color w:val="000000"/>
                <w:sz w:val="18"/>
                <w:szCs w:val="18"/>
              </w:rPr>
            </w:pPr>
            <w:r w:rsidRPr="59D65CDC">
              <w:rPr>
                <w:rFonts w:cstheme="minorBidi"/>
                <w:sz w:val="18"/>
                <w:szCs w:val="18"/>
              </w:rPr>
              <w:t xml:space="preserve">363,866.00 </w:t>
            </w:r>
          </w:p>
        </w:tc>
        <w:tc>
          <w:tcPr>
            <w:tcW w:w="1615" w:type="dxa"/>
            <w:noWrap/>
            <w:hideMark/>
          </w:tcPr>
          <w:p w14:paraId="58DEF1D4" w14:textId="449868AD" w:rsidR="006873F4" w:rsidRPr="006873F4" w:rsidRDefault="0D0EC794" w:rsidP="00106C87">
            <w:pPr>
              <w:jc w:val="center"/>
              <w:rPr>
                <w:rFonts w:cstheme="minorBidi"/>
                <w:color w:val="000000"/>
                <w:sz w:val="18"/>
                <w:szCs w:val="18"/>
              </w:rPr>
            </w:pPr>
            <w:r w:rsidRPr="59D65CDC">
              <w:rPr>
                <w:rFonts w:cstheme="minorBidi"/>
                <w:sz w:val="18"/>
                <w:szCs w:val="18"/>
              </w:rPr>
              <w:t xml:space="preserve">84,774.00 </w:t>
            </w:r>
          </w:p>
        </w:tc>
        <w:tc>
          <w:tcPr>
            <w:tcW w:w="1275" w:type="dxa"/>
            <w:noWrap/>
            <w:hideMark/>
          </w:tcPr>
          <w:p w14:paraId="7BF0348B" w14:textId="77777777" w:rsidR="006873F4" w:rsidRPr="006873F4" w:rsidRDefault="0D0EC794" w:rsidP="59D65CDC">
            <w:pPr>
              <w:jc w:val="right"/>
              <w:rPr>
                <w:rFonts w:cstheme="minorBidi"/>
                <w:color w:val="000000"/>
                <w:sz w:val="18"/>
                <w:szCs w:val="18"/>
              </w:rPr>
            </w:pPr>
            <w:r w:rsidRPr="59D65CDC">
              <w:rPr>
                <w:rFonts w:cstheme="minorBidi"/>
                <w:sz w:val="18"/>
                <w:szCs w:val="18"/>
              </w:rPr>
              <w:t>12/09/2019</w:t>
            </w:r>
          </w:p>
        </w:tc>
        <w:tc>
          <w:tcPr>
            <w:tcW w:w="1276" w:type="dxa"/>
            <w:noWrap/>
            <w:hideMark/>
          </w:tcPr>
          <w:p w14:paraId="491CB33A"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6D14A64A" w14:textId="77777777" w:rsidR="006873F4" w:rsidRPr="006873F4" w:rsidRDefault="0D0EC794" w:rsidP="59D65CDC">
            <w:pPr>
              <w:jc w:val="center"/>
              <w:rPr>
                <w:rFonts w:cstheme="minorBidi"/>
                <w:color w:val="000000"/>
                <w:sz w:val="18"/>
                <w:szCs w:val="18"/>
              </w:rPr>
            </w:pPr>
            <w:r w:rsidRPr="59D65CDC">
              <w:rPr>
                <w:rFonts w:cstheme="minorBidi"/>
                <w:sz w:val="18"/>
                <w:szCs w:val="18"/>
              </w:rPr>
              <w:t>Disability</w:t>
            </w:r>
          </w:p>
        </w:tc>
      </w:tr>
      <w:tr w:rsidR="004F26EE" w:rsidRPr="006873F4" w14:paraId="6C37869A" w14:textId="77777777" w:rsidTr="00B3291F">
        <w:trPr>
          <w:trHeight w:val="290"/>
        </w:trPr>
        <w:tc>
          <w:tcPr>
            <w:tcW w:w="559" w:type="dxa"/>
            <w:noWrap/>
            <w:hideMark/>
          </w:tcPr>
          <w:p w14:paraId="3F5BA43A" w14:textId="77777777" w:rsidR="006873F4" w:rsidRPr="006873F4" w:rsidRDefault="0D0EC794" w:rsidP="59D65CDC">
            <w:pPr>
              <w:jc w:val="right"/>
              <w:rPr>
                <w:rFonts w:cstheme="minorBidi"/>
                <w:color w:val="000000"/>
                <w:sz w:val="18"/>
                <w:szCs w:val="18"/>
              </w:rPr>
            </w:pPr>
            <w:r w:rsidRPr="59D65CDC">
              <w:rPr>
                <w:rFonts w:cstheme="minorBidi"/>
                <w:sz w:val="18"/>
                <w:szCs w:val="18"/>
              </w:rPr>
              <w:t>10</w:t>
            </w:r>
          </w:p>
        </w:tc>
        <w:tc>
          <w:tcPr>
            <w:tcW w:w="1594" w:type="dxa"/>
            <w:noWrap/>
            <w:hideMark/>
          </w:tcPr>
          <w:p w14:paraId="39B8140C" w14:textId="77777777" w:rsidR="006873F4" w:rsidRPr="006873F4" w:rsidRDefault="0D0EC794" w:rsidP="59D65CDC">
            <w:pPr>
              <w:rPr>
                <w:rFonts w:cstheme="minorBidi"/>
                <w:color w:val="000000"/>
                <w:sz w:val="18"/>
                <w:szCs w:val="18"/>
              </w:rPr>
            </w:pPr>
            <w:r w:rsidRPr="59D65CDC">
              <w:rPr>
                <w:rFonts w:cstheme="minorBidi"/>
                <w:sz w:val="18"/>
                <w:szCs w:val="18"/>
              </w:rPr>
              <w:t>HI</w:t>
            </w:r>
          </w:p>
        </w:tc>
        <w:tc>
          <w:tcPr>
            <w:tcW w:w="1614" w:type="dxa"/>
            <w:noWrap/>
            <w:hideMark/>
          </w:tcPr>
          <w:p w14:paraId="65E5D511" w14:textId="1A2205E2" w:rsidR="006873F4" w:rsidRPr="006873F4" w:rsidRDefault="0D0EC794" w:rsidP="00106C87">
            <w:pPr>
              <w:jc w:val="center"/>
              <w:rPr>
                <w:rFonts w:cstheme="minorBidi"/>
                <w:color w:val="000000"/>
                <w:sz w:val="18"/>
                <w:szCs w:val="18"/>
              </w:rPr>
            </w:pPr>
            <w:r w:rsidRPr="59D65CDC">
              <w:rPr>
                <w:rFonts w:cstheme="minorBidi"/>
                <w:sz w:val="18"/>
                <w:szCs w:val="18"/>
              </w:rPr>
              <w:t xml:space="preserve">641,750.00 </w:t>
            </w:r>
          </w:p>
        </w:tc>
        <w:tc>
          <w:tcPr>
            <w:tcW w:w="1615" w:type="dxa"/>
            <w:noWrap/>
            <w:hideMark/>
          </w:tcPr>
          <w:p w14:paraId="3D2BDCAB" w14:textId="5810EC49" w:rsidR="006873F4" w:rsidRPr="006873F4" w:rsidRDefault="0D0EC794" w:rsidP="00106C87">
            <w:pPr>
              <w:jc w:val="center"/>
              <w:rPr>
                <w:rFonts w:cstheme="minorBidi"/>
                <w:color w:val="000000"/>
                <w:sz w:val="18"/>
                <w:szCs w:val="18"/>
              </w:rPr>
            </w:pPr>
            <w:r w:rsidRPr="59D65CDC">
              <w:rPr>
                <w:rFonts w:cstheme="minorBidi"/>
                <w:sz w:val="18"/>
                <w:szCs w:val="18"/>
              </w:rPr>
              <w:t xml:space="preserve">66,058.00 </w:t>
            </w:r>
          </w:p>
        </w:tc>
        <w:tc>
          <w:tcPr>
            <w:tcW w:w="1275" w:type="dxa"/>
            <w:noWrap/>
            <w:hideMark/>
          </w:tcPr>
          <w:p w14:paraId="56BD70C0" w14:textId="77777777" w:rsidR="006873F4" w:rsidRPr="006873F4" w:rsidRDefault="0D0EC794" w:rsidP="59D65CDC">
            <w:pPr>
              <w:jc w:val="right"/>
              <w:rPr>
                <w:rFonts w:cstheme="minorBidi"/>
                <w:color w:val="000000"/>
                <w:sz w:val="18"/>
                <w:szCs w:val="18"/>
              </w:rPr>
            </w:pPr>
            <w:r w:rsidRPr="59D65CDC">
              <w:rPr>
                <w:rFonts w:cstheme="minorBidi"/>
                <w:sz w:val="18"/>
                <w:szCs w:val="18"/>
              </w:rPr>
              <w:t>13/09/2019</w:t>
            </w:r>
          </w:p>
        </w:tc>
        <w:tc>
          <w:tcPr>
            <w:tcW w:w="1276" w:type="dxa"/>
            <w:noWrap/>
            <w:hideMark/>
          </w:tcPr>
          <w:p w14:paraId="3C9B4D6B"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2CF5C947" w14:textId="77777777" w:rsidR="006873F4" w:rsidRPr="006873F4" w:rsidRDefault="0D0EC794" w:rsidP="59D65CDC">
            <w:pPr>
              <w:jc w:val="center"/>
              <w:rPr>
                <w:rFonts w:cstheme="minorBidi"/>
                <w:color w:val="000000"/>
                <w:sz w:val="18"/>
                <w:szCs w:val="18"/>
              </w:rPr>
            </w:pPr>
            <w:r w:rsidRPr="59D65CDC">
              <w:rPr>
                <w:rFonts w:cstheme="minorBidi"/>
                <w:sz w:val="18"/>
                <w:szCs w:val="18"/>
              </w:rPr>
              <w:t>Disability</w:t>
            </w:r>
          </w:p>
        </w:tc>
      </w:tr>
      <w:tr w:rsidR="004F26EE" w:rsidRPr="006873F4" w14:paraId="61CEEFBF" w14:textId="77777777" w:rsidTr="00B3291F">
        <w:trPr>
          <w:trHeight w:val="290"/>
        </w:trPr>
        <w:tc>
          <w:tcPr>
            <w:tcW w:w="559" w:type="dxa"/>
            <w:noWrap/>
            <w:hideMark/>
          </w:tcPr>
          <w:p w14:paraId="2933ABAC" w14:textId="77777777" w:rsidR="006873F4" w:rsidRPr="006873F4" w:rsidRDefault="0D0EC794" w:rsidP="59D65CDC">
            <w:pPr>
              <w:jc w:val="right"/>
              <w:rPr>
                <w:rFonts w:cstheme="minorBidi"/>
                <w:color w:val="000000"/>
                <w:sz w:val="18"/>
                <w:szCs w:val="18"/>
              </w:rPr>
            </w:pPr>
            <w:r w:rsidRPr="59D65CDC">
              <w:rPr>
                <w:rFonts w:cstheme="minorBidi"/>
                <w:sz w:val="18"/>
                <w:szCs w:val="18"/>
              </w:rPr>
              <w:t>11</w:t>
            </w:r>
          </w:p>
        </w:tc>
        <w:tc>
          <w:tcPr>
            <w:tcW w:w="1594" w:type="dxa"/>
            <w:noWrap/>
            <w:hideMark/>
          </w:tcPr>
          <w:p w14:paraId="3E4DA45A" w14:textId="77777777" w:rsidR="006873F4" w:rsidRPr="006873F4" w:rsidRDefault="0D0EC794" w:rsidP="59D65CDC">
            <w:pPr>
              <w:rPr>
                <w:rFonts w:cstheme="minorBidi"/>
                <w:color w:val="000000"/>
                <w:sz w:val="18"/>
                <w:szCs w:val="18"/>
              </w:rPr>
            </w:pPr>
            <w:r w:rsidRPr="59D65CDC">
              <w:rPr>
                <w:rFonts w:cstheme="minorBidi"/>
                <w:sz w:val="18"/>
                <w:szCs w:val="18"/>
              </w:rPr>
              <w:t>Agile</w:t>
            </w:r>
          </w:p>
        </w:tc>
        <w:tc>
          <w:tcPr>
            <w:tcW w:w="1614" w:type="dxa"/>
            <w:noWrap/>
            <w:hideMark/>
          </w:tcPr>
          <w:p w14:paraId="43A6D362" w14:textId="1EE7C0F0" w:rsidR="006873F4" w:rsidRPr="006873F4" w:rsidRDefault="0D0EC794" w:rsidP="00106C87">
            <w:pPr>
              <w:jc w:val="center"/>
              <w:rPr>
                <w:rFonts w:cstheme="minorBidi"/>
                <w:color w:val="000000"/>
                <w:sz w:val="18"/>
                <w:szCs w:val="18"/>
              </w:rPr>
            </w:pPr>
            <w:r w:rsidRPr="59D65CDC">
              <w:rPr>
                <w:rFonts w:cstheme="minorBidi"/>
                <w:sz w:val="18"/>
                <w:szCs w:val="18"/>
              </w:rPr>
              <w:t xml:space="preserve">202,158.81 </w:t>
            </w:r>
          </w:p>
        </w:tc>
        <w:tc>
          <w:tcPr>
            <w:tcW w:w="1615" w:type="dxa"/>
            <w:noWrap/>
            <w:hideMark/>
          </w:tcPr>
          <w:p w14:paraId="72082366" w14:textId="093CEEF4" w:rsidR="006873F4" w:rsidRPr="006873F4" w:rsidRDefault="0D0EC794" w:rsidP="00106C87">
            <w:pPr>
              <w:jc w:val="center"/>
              <w:rPr>
                <w:rFonts w:cstheme="minorBidi"/>
                <w:color w:val="000000"/>
                <w:sz w:val="18"/>
                <w:szCs w:val="18"/>
              </w:rPr>
            </w:pPr>
            <w:r w:rsidRPr="59D65CDC">
              <w:rPr>
                <w:rFonts w:cstheme="minorBidi"/>
                <w:sz w:val="18"/>
                <w:szCs w:val="18"/>
              </w:rPr>
              <w:t xml:space="preserve">5,560.17 </w:t>
            </w:r>
          </w:p>
        </w:tc>
        <w:tc>
          <w:tcPr>
            <w:tcW w:w="1275" w:type="dxa"/>
            <w:noWrap/>
            <w:hideMark/>
          </w:tcPr>
          <w:p w14:paraId="3D43073A" w14:textId="77777777" w:rsidR="006873F4" w:rsidRPr="006873F4" w:rsidRDefault="0D0EC794" w:rsidP="59D65CDC">
            <w:pPr>
              <w:jc w:val="right"/>
              <w:rPr>
                <w:rFonts w:cstheme="minorBidi"/>
                <w:color w:val="000000"/>
                <w:sz w:val="18"/>
                <w:szCs w:val="18"/>
              </w:rPr>
            </w:pPr>
            <w:r w:rsidRPr="59D65CDC">
              <w:rPr>
                <w:rFonts w:cstheme="minorBidi"/>
                <w:sz w:val="18"/>
                <w:szCs w:val="18"/>
              </w:rPr>
              <w:t>3/10/2019</w:t>
            </w:r>
          </w:p>
        </w:tc>
        <w:tc>
          <w:tcPr>
            <w:tcW w:w="1276" w:type="dxa"/>
            <w:noWrap/>
            <w:hideMark/>
          </w:tcPr>
          <w:p w14:paraId="4F79099F" w14:textId="77777777" w:rsidR="006873F4" w:rsidRPr="006873F4" w:rsidRDefault="0D0EC794" w:rsidP="59D65CDC">
            <w:pPr>
              <w:jc w:val="right"/>
              <w:rPr>
                <w:rFonts w:cstheme="minorBidi"/>
                <w:color w:val="000000"/>
                <w:sz w:val="18"/>
                <w:szCs w:val="18"/>
              </w:rPr>
            </w:pPr>
            <w:r w:rsidRPr="59D65CDC">
              <w:rPr>
                <w:rFonts w:cstheme="minorBidi"/>
                <w:sz w:val="18"/>
                <w:szCs w:val="18"/>
              </w:rPr>
              <w:t>31/03/2021</w:t>
            </w:r>
          </w:p>
        </w:tc>
        <w:tc>
          <w:tcPr>
            <w:tcW w:w="1701" w:type="dxa"/>
            <w:noWrap/>
            <w:hideMark/>
          </w:tcPr>
          <w:p w14:paraId="7172F286" w14:textId="77777777" w:rsidR="006873F4" w:rsidRPr="006873F4" w:rsidRDefault="0D0EC794" w:rsidP="59D65CDC">
            <w:pPr>
              <w:jc w:val="center"/>
              <w:rPr>
                <w:rFonts w:cstheme="minorBidi"/>
                <w:color w:val="000000"/>
                <w:sz w:val="18"/>
                <w:szCs w:val="18"/>
              </w:rPr>
            </w:pPr>
            <w:r w:rsidRPr="59D65CDC">
              <w:rPr>
                <w:rFonts w:cstheme="minorBidi"/>
                <w:sz w:val="18"/>
                <w:szCs w:val="18"/>
              </w:rPr>
              <w:t>Disability</w:t>
            </w:r>
          </w:p>
        </w:tc>
      </w:tr>
      <w:tr w:rsidR="004F26EE" w:rsidRPr="006873F4" w14:paraId="2B3A7A78" w14:textId="77777777" w:rsidTr="00B3291F">
        <w:trPr>
          <w:trHeight w:val="290"/>
        </w:trPr>
        <w:tc>
          <w:tcPr>
            <w:tcW w:w="559" w:type="dxa"/>
            <w:noWrap/>
            <w:hideMark/>
          </w:tcPr>
          <w:p w14:paraId="5AD04FF9" w14:textId="77777777" w:rsidR="006873F4" w:rsidRPr="006873F4" w:rsidRDefault="0D0EC794" w:rsidP="59D65CDC">
            <w:pPr>
              <w:jc w:val="right"/>
              <w:rPr>
                <w:rFonts w:cstheme="minorBidi"/>
                <w:color w:val="000000"/>
                <w:sz w:val="18"/>
                <w:szCs w:val="18"/>
              </w:rPr>
            </w:pPr>
            <w:r w:rsidRPr="59D65CDC">
              <w:rPr>
                <w:rFonts w:cstheme="minorBidi"/>
                <w:sz w:val="18"/>
                <w:szCs w:val="18"/>
              </w:rPr>
              <w:t>12</w:t>
            </w:r>
          </w:p>
        </w:tc>
        <w:tc>
          <w:tcPr>
            <w:tcW w:w="1594" w:type="dxa"/>
            <w:noWrap/>
            <w:hideMark/>
          </w:tcPr>
          <w:p w14:paraId="0498D848" w14:textId="77777777" w:rsidR="006873F4" w:rsidRPr="006873F4" w:rsidRDefault="0D0EC794" w:rsidP="59D65CDC">
            <w:pPr>
              <w:rPr>
                <w:rFonts w:cstheme="minorBidi"/>
                <w:color w:val="000000"/>
                <w:sz w:val="18"/>
                <w:szCs w:val="18"/>
              </w:rPr>
            </w:pPr>
            <w:proofErr w:type="spellStart"/>
            <w:r w:rsidRPr="59D65CDC">
              <w:rPr>
                <w:rFonts w:cstheme="minorBidi"/>
                <w:sz w:val="18"/>
                <w:szCs w:val="18"/>
              </w:rPr>
              <w:t>Chamroeun</w:t>
            </w:r>
            <w:proofErr w:type="spellEnd"/>
            <w:r w:rsidRPr="59D65CDC">
              <w:rPr>
                <w:rFonts w:cstheme="minorBidi"/>
                <w:sz w:val="18"/>
                <w:szCs w:val="18"/>
              </w:rPr>
              <w:t xml:space="preserve"> / Good Return</w:t>
            </w:r>
          </w:p>
        </w:tc>
        <w:tc>
          <w:tcPr>
            <w:tcW w:w="1614" w:type="dxa"/>
            <w:noWrap/>
            <w:hideMark/>
          </w:tcPr>
          <w:p w14:paraId="76ADE6F1" w14:textId="0212AAF6" w:rsidR="006873F4" w:rsidRPr="006873F4" w:rsidRDefault="0D0EC794" w:rsidP="00106C87">
            <w:pPr>
              <w:jc w:val="center"/>
              <w:rPr>
                <w:rFonts w:cstheme="minorBidi"/>
                <w:color w:val="000000"/>
                <w:sz w:val="18"/>
                <w:szCs w:val="18"/>
              </w:rPr>
            </w:pPr>
            <w:r w:rsidRPr="59D65CDC">
              <w:rPr>
                <w:rFonts w:cstheme="minorBidi"/>
                <w:sz w:val="18"/>
                <w:szCs w:val="18"/>
              </w:rPr>
              <w:t xml:space="preserve">233,174.00 </w:t>
            </w:r>
          </w:p>
        </w:tc>
        <w:tc>
          <w:tcPr>
            <w:tcW w:w="1615" w:type="dxa"/>
            <w:noWrap/>
            <w:hideMark/>
          </w:tcPr>
          <w:p w14:paraId="0881B2E0" w14:textId="778D813A" w:rsidR="006873F4" w:rsidRPr="006873F4" w:rsidRDefault="0D0EC794" w:rsidP="00106C87">
            <w:pPr>
              <w:jc w:val="center"/>
              <w:rPr>
                <w:rFonts w:cstheme="minorBidi"/>
                <w:color w:val="000000"/>
                <w:sz w:val="18"/>
                <w:szCs w:val="18"/>
              </w:rPr>
            </w:pPr>
            <w:r w:rsidRPr="59D65CDC">
              <w:rPr>
                <w:rFonts w:cstheme="minorBidi"/>
                <w:sz w:val="18"/>
                <w:szCs w:val="18"/>
              </w:rPr>
              <w:t xml:space="preserve">96,347.00 </w:t>
            </w:r>
          </w:p>
        </w:tc>
        <w:tc>
          <w:tcPr>
            <w:tcW w:w="1275" w:type="dxa"/>
            <w:noWrap/>
            <w:hideMark/>
          </w:tcPr>
          <w:p w14:paraId="72B7F0A5" w14:textId="77777777" w:rsidR="006873F4" w:rsidRPr="006873F4" w:rsidRDefault="0D0EC794" w:rsidP="59D65CDC">
            <w:pPr>
              <w:jc w:val="right"/>
              <w:rPr>
                <w:rFonts w:cstheme="minorBidi"/>
                <w:color w:val="000000"/>
                <w:sz w:val="18"/>
                <w:szCs w:val="18"/>
              </w:rPr>
            </w:pPr>
            <w:r w:rsidRPr="59D65CDC">
              <w:rPr>
                <w:rFonts w:cstheme="minorBidi"/>
                <w:sz w:val="18"/>
                <w:szCs w:val="18"/>
              </w:rPr>
              <w:t>8/11/2019</w:t>
            </w:r>
          </w:p>
        </w:tc>
        <w:tc>
          <w:tcPr>
            <w:tcW w:w="1276" w:type="dxa"/>
            <w:noWrap/>
            <w:hideMark/>
          </w:tcPr>
          <w:p w14:paraId="1597EFC4" w14:textId="77777777" w:rsidR="006873F4" w:rsidRPr="006873F4" w:rsidRDefault="0D0EC794" w:rsidP="59D65CDC">
            <w:pPr>
              <w:jc w:val="right"/>
              <w:rPr>
                <w:rFonts w:cstheme="minorBidi"/>
                <w:color w:val="000000"/>
                <w:sz w:val="18"/>
                <w:szCs w:val="18"/>
              </w:rPr>
            </w:pPr>
            <w:r w:rsidRPr="59D65CDC">
              <w:rPr>
                <w:rFonts w:cstheme="minorBidi"/>
                <w:sz w:val="18"/>
                <w:szCs w:val="18"/>
              </w:rPr>
              <w:t>31/12/2021</w:t>
            </w:r>
          </w:p>
        </w:tc>
        <w:tc>
          <w:tcPr>
            <w:tcW w:w="1701" w:type="dxa"/>
            <w:noWrap/>
            <w:hideMark/>
          </w:tcPr>
          <w:p w14:paraId="00D5F591" w14:textId="77777777" w:rsidR="006873F4" w:rsidRPr="006873F4" w:rsidRDefault="0D0EC794" w:rsidP="59D65CDC">
            <w:pPr>
              <w:jc w:val="center"/>
              <w:rPr>
                <w:rFonts w:cstheme="minorBidi"/>
                <w:color w:val="000000"/>
                <w:sz w:val="18"/>
                <w:szCs w:val="18"/>
              </w:rPr>
            </w:pPr>
            <w:r w:rsidRPr="59D65CDC">
              <w:rPr>
                <w:rFonts w:cstheme="minorBidi"/>
                <w:sz w:val="18"/>
                <w:szCs w:val="18"/>
              </w:rPr>
              <w:t>Disability</w:t>
            </w:r>
          </w:p>
        </w:tc>
      </w:tr>
      <w:tr w:rsidR="004F26EE" w:rsidRPr="006873F4" w14:paraId="19127897" w14:textId="77777777" w:rsidTr="00B3291F">
        <w:trPr>
          <w:trHeight w:val="290"/>
        </w:trPr>
        <w:tc>
          <w:tcPr>
            <w:tcW w:w="559" w:type="dxa"/>
            <w:noWrap/>
            <w:hideMark/>
          </w:tcPr>
          <w:p w14:paraId="7D79094F" w14:textId="77777777" w:rsidR="006873F4" w:rsidRPr="006873F4" w:rsidRDefault="0D0EC794" w:rsidP="59D65CDC">
            <w:pPr>
              <w:jc w:val="right"/>
              <w:rPr>
                <w:rFonts w:cstheme="minorBidi"/>
                <w:color w:val="000000"/>
                <w:sz w:val="18"/>
                <w:szCs w:val="18"/>
              </w:rPr>
            </w:pPr>
            <w:r w:rsidRPr="59D65CDC">
              <w:rPr>
                <w:rFonts w:cstheme="minorBidi"/>
                <w:sz w:val="18"/>
                <w:szCs w:val="18"/>
              </w:rPr>
              <w:t>13</w:t>
            </w:r>
          </w:p>
        </w:tc>
        <w:tc>
          <w:tcPr>
            <w:tcW w:w="1594" w:type="dxa"/>
            <w:noWrap/>
            <w:hideMark/>
          </w:tcPr>
          <w:p w14:paraId="27671E7D" w14:textId="77777777" w:rsidR="006873F4" w:rsidRPr="006873F4" w:rsidRDefault="0D0EC794" w:rsidP="59D65CDC">
            <w:pPr>
              <w:rPr>
                <w:rFonts w:cstheme="minorBidi"/>
                <w:color w:val="000000"/>
                <w:sz w:val="18"/>
                <w:szCs w:val="18"/>
              </w:rPr>
            </w:pPr>
            <w:r w:rsidRPr="59D65CDC">
              <w:rPr>
                <w:rFonts w:cstheme="minorBidi"/>
                <w:sz w:val="18"/>
                <w:szCs w:val="18"/>
              </w:rPr>
              <w:t>ADD</w:t>
            </w:r>
          </w:p>
        </w:tc>
        <w:tc>
          <w:tcPr>
            <w:tcW w:w="1614" w:type="dxa"/>
            <w:noWrap/>
            <w:hideMark/>
          </w:tcPr>
          <w:p w14:paraId="3A096A2B" w14:textId="6AE27F78" w:rsidR="006873F4" w:rsidRPr="006873F4" w:rsidRDefault="0D0EC794" w:rsidP="00106C87">
            <w:pPr>
              <w:jc w:val="center"/>
              <w:rPr>
                <w:rFonts w:cstheme="minorBidi"/>
                <w:color w:val="000000"/>
                <w:sz w:val="18"/>
                <w:szCs w:val="18"/>
              </w:rPr>
            </w:pPr>
            <w:r w:rsidRPr="59D65CDC">
              <w:rPr>
                <w:rFonts w:cstheme="minorBidi"/>
                <w:sz w:val="18"/>
                <w:szCs w:val="18"/>
              </w:rPr>
              <w:t xml:space="preserve">363,962.73 </w:t>
            </w:r>
          </w:p>
        </w:tc>
        <w:tc>
          <w:tcPr>
            <w:tcW w:w="1615" w:type="dxa"/>
            <w:noWrap/>
            <w:hideMark/>
          </w:tcPr>
          <w:p w14:paraId="163AB569" w14:textId="6F1B4FA4" w:rsidR="006873F4" w:rsidRPr="006873F4" w:rsidRDefault="0D0EC794" w:rsidP="00106C87">
            <w:pPr>
              <w:jc w:val="center"/>
              <w:rPr>
                <w:rFonts w:cstheme="minorBidi"/>
                <w:color w:val="000000"/>
                <w:sz w:val="18"/>
                <w:szCs w:val="18"/>
              </w:rPr>
            </w:pPr>
            <w:r w:rsidRPr="59D65CDC">
              <w:rPr>
                <w:rFonts w:cstheme="minorBidi"/>
                <w:sz w:val="18"/>
                <w:szCs w:val="18"/>
              </w:rPr>
              <w:t xml:space="preserve">87,958.00 </w:t>
            </w:r>
          </w:p>
        </w:tc>
        <w:tc>
          <w:tcPr>
            <w:tcW w:w="1275" w:type="dxa"/>
            <w:noWrap/>
            <w:hideMark/>
          </w:tcPr>
          <w:p w14:paraId="654E430D" w14:textId="77777777" w:rsidR="006873F4" w:rsidRPr="006873F4" w:rsidRDefault="0D0EC794" w:rsidP="59D65CDC">
            <w:pPr>
              <w:jc w:val="right"/>
              <w:rPr>
                <w:rFonts w:cstheme="minorBidi"/>
                <w:color w:val="000000"/>
                <w:sz w:val="18"/>
                <w:szCs w:val="18"/>
              </w:rPr>
            </w:pPr>
            <w:r w:rsidRPr="59D65CDC">
              <w:rPr>
                <w:rFonts w:cstheme="minorBidi"/>
                <w:sz w:val="18"/>
                <w:szCs w:val="18"/>
              </w:rPr>
              <w:t>27/05/2019</w:t>
            </w:r>
          </w:p>
        </w:tc>
        <w:tc>
          <w:tcPr>
            <w:tcW w:w="1276" w:type="dxa"/>
            <w:noWrap/>
            <w:hideMark/>
          </w:tcPr>
          <w:p w14:paraId="066F35A0"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7368DDD0" w14:textId="77777777" w:rsidR="006873F4" w:rsidRPr="006873F4" w:rsidRDefault="0D0EC794" w:rsidP="59D65CDC">
            <w:pPr>
              <w:jc w:val="center"/>
              <w:rPr>
                <w:rFonts w:cstheme="minorBidi"/>
                <w:color w:val="000000"/>
                <w:sz w:val="18"/>
                <w:szCs w:val="18"/>
              </w:rPr>
            </w:pPr>
            <w:r w:rsidRPr="59D65CDC">
              <w:rPr>
                <w:rFonts w:cstheme="minorBidi"/>
                <w:sz w:val="18"/>
                <w:szCs w:val="18"/>
              </w:rPr>
              <w:t>Disability</w:t>
            </w:r>
          </w:p>
        </w:tc>
      </w:tr>
      <w:tr w:rsidR="004F26EE" w:rsidRPr="006873F4" w14:paraId="1ABD3B0A" w14:textId="77777777" w:rsidTr="00B3291F">
        <w:trPr>
          <w:trHeight w:val="290"/>
        </w:trPr>
        <w:tc>
          <w:tcPr>
            <w:tcW w:w="559" w:type="dxa"/>
            <w:noWrap/>
            <w:hideMark/>
          </w:tcPr>
          <w:p w14:paraId="74A8EE6D" w14:textId="77777777" w:rsidR="006873F4" w:rsidRPr="006873F4" w:rsidRDefault="0D0EC794" w:rsidP="59D65CDC">
            <w:pPr>
              <w:jc w:val="right"/>
              <w:rPr>
                <w:rFonts w:cstheme="minorBidi"/>
                <w:color w:val="000000"/>
                <w:sz w:val="18"/>
                <w:szCs w:val="18"/>
              </w:rPr>
            </w:pPr>
            <w:r w:rsidRPr="59D65CDC">
              <w:rPr>
                <w:rFonts w:cstheme="minorBidi"/>
                <w:sz w:val="18"/>
                <w:szCs w:val="18"/>
              </w:rPr>
              <w:t>14</w:t>
            </w:r>
          </w:p>
        </w:tc>
        <w:tc>
          <w:tcPr>
            <w:tcW w:w="1594" w:type="dxa"/>
            <w:noWrap/>
            <w:hideMark/>
          </w:tcPr>
          <w:p w14:paraId="0FCFC6EF" w14:textId="77777777" w:rsidR="006873F4" w:rsidRPr="006873F4" w:rsidRDefault="0D0EC794" w:rsidP="59D65CDC">
            <w:pPr>
              <w:rPr>
                <w:rFonts w:cstheme="minorBidi"/>
                <w:color w:val="000000"/>
                <w:sz w:val="18"/>
                <w:szCs w:val="18"/>
              </w:rPr>
            </w:pPr>
            <w:r w:rsidRPr="59D65CDC">
              <w:rPr>
                <w:rFonts w:cstheme="minorBidi"/>
                <w:sz w:val="18"/>
                <w:szCs w:val="18"/>
              </w:rPr>
              <w:t>UNDP</w:t>
            </w:r>
          </w:p>
        </w:tc>
        <w:tc>
          <w:tcPr>
            <w:tcW w:w="1614" w:type="dxa"/>
            <w:noWrap/>
            <w:hideMark/>
          </w:tcPr>
          <w:p w14:paraId="310F71B4" w14:textId="04B8E903" w:rsidR="006873F4" w:rsidRPr="006873F4" w:rsidRDefault="0D0EC794" w:rsidP="00106C87">
            <w:pPr>
              <w:jc w:val="center"/>
              <w:rPr>
                <w:rFonts w:cstheme="minorBidi"/>
                <w:color w:val="000000"/>
                <w:sz w:val="18"/>
                <w:szCs w:val="18"/>
              </w:rPr>
            </w:pPr>
            <w:r w:rsidRPr="59D65CDC">
              <w:rPr>
                <w:rFonts w:cstheme="minorBidi"/>
                <w:sz w:val="18"/>
                <w:szCs w:val="18"/>
              </w:rPr>
              <w:t xml:space="preserve">585,000.00 </w:t>
            </w:r>
          </w:p>
        </w:tc>
        <w:tc>
          <w:tcPr>
            <w:tcW w:w="1615" w:type="dxa"/>
            <w:noWrap/>
            <w:hideMark/>
          </w:tcPr>
          <w:p w14:paraId="3889C6AE" w14:textId="258AC674" w:rsidR="006873F4" w:rsidRPr="006873F4" w:rsidRDefault="0D0EC794" w:rsidP="00106C87">
            <w:pPr>
              <w:jc w:val="center"/>
              <w:rPr>
                <w:rFonts w:cstheme="minorBidi"/>
                <w:color w:val="000000"/>
                <w:sz w:val="18"/>
                <w:szCs w:val="18"/>
              </w:rPr>
            </w:pPr>
            <w:r w:rsidRPr="59D65CDC">
              <w:rPr>
                <w:rFonts w:cstheme="minorBidi"/>
                <w:sz w:val="18"/>
                <w:szCs w:val="18"/>
              </w:rPr>
              <w:t xml:space="preserve">169,515.00 </w:t>
            </w:r>
          </w:p>
        </w:tc>
        <w:tc>
          <w:tcPr>
            <w:tcW w:w="1275" w:type="dxa"/>
            <w:noWrap/>
            <w:hideMark/>
          </w:tcPr>
          <w:p w14:paraId="1897D535" w14:textId="77777777" w:rsidR="006873F4" w:rsidRPr="006873F4" w:rsidRDefault="0D0EC794" w:rsidP="59D65CDC">
            <w:pPr>
              <w:jc w:val="right"/>
              <w:rPr>
                <w:rFonts w:cstheme="minorBidi"/>
                <w:color w:val="000000"/>
                <w:sz w:val="18"/>
                <w:szCs w:val="18"/>
              </w:rPr>
            </w:pPr>
            <w:r w:rsidRPr="59D65CDC">
              <w:rPr>
                <w:rFonts w:cstheme="minorBidi"/>
                <w:sz w:val="18"/>
                <w:szCs w:val="18"/>
              </w:rPr>
              <w:t>29/11/2019</w:t>
            </w:r>
          </w:p>
        </w:tc>
        <w:tc>
          <w:tcPr>
            <w:tcW w:w="1276" w:type="dxa"/>
            <w:noWrap/>
            <w:hideMark/>
          </w:tcPr>
          <w:p w14:paraId="13DB1D7C" w14:textId="77777777" w:rsidR="006873F4" w:rsidRPr="006873F4" w:rsidRDefault="0D0EC794" w:rsidP="59D65CDC">
            <w:pPr>
              <w:jc w:val="right"/>
              <w:rPr>
                <w:rFonts w:cstheme="minorBidi"/>
                <w:color w:val="000000"/>
                <w:sz w:val="18"/>
                <w:szCs w:val="18"/>
              </w:rPr>
            </w:pPr>
            <w:r w:rsidRPr="59D65CDC">
              <w:rPr>
                <w:rFonts w:cstheme="minorBidi"/>
                <w:sz w:val="18"/>
                <w:szCs w:val="18"/>
              </w:rPr>
              <w:t>30/06/2021</w:t>
            </w:r>
          </w:p>
        </w:tc>
        <w:tc>
          <w:tcPr>
            <w:tcW w:w="1701" w:type="dxa"/>
            <w:noWrap/>
            <w:hideMark/>
          </w:tcPr>
          <w:p w14:paraId="5806DF9C" w14:textId="77777777" w:rsidR="006873F4" w:rsidRPr="006873F4" w:rsidRDefault="0D0EC794" w:rsidP="59D65CDC">
            <w:pPr>
              <w:jc w:val="center"/>
              <w:rPr>
                <w:rFonts w:cstheme="minorBidi"/>
                <w:color w:val="000000"/>
                <w:sz w:val="18"/>
                <w:szCs w:val="18"/>
              </w:rPr>
            </w:pPr>
            <w:r w:rsidRPr="59D65CDC">
              <w:rPr>
                <w:rFonts w:cstheme="minorBidi"/>
                <w:sz w:val="18"/>
                <w:szCs w:val="18"/>
              </w:rPr>
              <w:t>Disability</w:t>
            </w:r>
          </w:p>
        </w:tc>
      </w:tr>
    </w:tbl>
    <w:p w14:paraId="5BE0A205" w14:textId="698EBA50" w:rsidR="00E45502" w:rsidRDefault="00ED62EA" w:rsidP="59D65CDC">
      <w:pPr>
        <w:jc w:val="both"/>
        <w:textAlignment w:val="baseline"/>
        <w:rPr>
          <w:rFonts w:ascii="Arial" w:eastAsia="Times New Roman" w:hAnsi="Arial" w:cs="Arial"/>
          <w:lang w:eastAsia="en-GB"/>
        </w:rPr>
      </w:pPr>
      <w:r w:rsidRPr="59D65CDC">
        <w:rPr>
          <w:rFonts w:ascii="Arial" w:eastAsia="Times New Roman" w:hAnsi="Arial" w:cs="Arial"/>
          <w:b/>
          <w:bCs/>
          <w:lang w:eastAsia="en-GB"/>
        </w:rPr>
        <w:t>That notwithstanding, the CIM p</w:t>
      </w:r>
      <w:r w:rsidR="00295C1B" w:rsidRPr="59D65CDC">
        <w:rPr>
          <w:rFonts w:ascii="Arial" w:eastAsia="Times New Roman" w:hAnsi="Arial" w:cs="Arial"/>
          <w:b/>
          <w:bCs/>
          <w:lang w:eastAsia="en-GB"/>
        </w:rPr>
        <w:t xml:space="preserve">rocess has allowed </w:t>
      </w:r>
      <w:r w:rsidR="00E45502" w:rsidRPr="59D65CDC">
        <w:rPr>
          <w:rFonts w:ascii="Arial" w:eastAsia="Times New Roman" w:hAnsi="Arial" w:cs="Arial"/>
          <w:b/>
          <w:bCs/>
          <w:lang w:eastAsia="en-GB"/>
        </w:rPr>
        <w:t xml:space="preserve">ACCESS </w:t>
      </w:r>
      <w:r w:rsidR="00295C1B" w:rsidRPr="59D65CDC">
        <w:rPr>
          <w:rFonts w:ascii="Arial" w:eastAsia="Times New Roman" w:hAnsi="Arial" w:cs="Arial"/>
          <w:b/>
          <w:bCs/>
          <w:lang w:eastAsia="en-GB"/>
        </w:rPr>
        <w:t>to deliver on the outcome of</w:t>
      </w:r>
      <w:r w:rsidR="00E45502" w:rsidRPr="59D65CDC">
        <w:rPr>
          <w:rFonts w:ascii="Arial" w:eastAsia="Times New Roman" w:hAnsi="Arial" w:cs="Arial"/>
          <w:b/>
          <w:bCs/>
          <w:lang w:eastAsia="en-GB"/>
        </w:rPr>
        <w:t xml:space="preserve"> supporting CSO partners, with some caveats.</w:t>
      </w:r>
      <w:r w:rsidR="00E45502" w:rsidRPr="59D65CDC">
        <w:rPr>
          <w:rFonts w:ascii="Arial" w:eastAsia="Times New Roman" w:hAnsi="Arial" w:cs="Arial"/>
          <w:lang w:eastAsia="en-GB"/>
        </w:rPr>
        <w:t xml:space="preserve"> It appears there has been a tendency towards a more transactional approach to these partnerships – based on ACCESS provision of funding, and CSOs meeting </w:t>
      </w:r>
      <w:r w:rsidR="00AD02D6">
        <w:rPr>
          <w:rFonts w:ascii="Arial" w:eastAsia="Times New Roman" w:hAnsi="Arial" w:cs="Arial"/>
          <w:lang w:eastAsia="en-GB"/>
        </w:rPr>
        <w:t>ACCESS’</w:t>
      </w:r>
      <w:r w:rsidR="009500C0">
        <w:rPr>
          <w:rFonts w:ascii="Arial" w:eastAsia="Times New Roman" w:hAnsi="Arial" w:cs="Arial"/>
          <w:lang w:eastAsia="en-GB"/>
        </w:rPr>
        <w:t>s</w:t>
      </w:r>
      <w:r w:rsidR="00E45502" w:rsidRPr="59D65CDC">
        <w:rPr>
          <w:rFonts w:ascii="Arial" w:eastAsia="Times New Roman" w:hAnsi="Arial" w:cs="Arial"/>
          <w:lang w:eastAsia="en-GB"/>
        </w:rPr>
        <w:t xml:space="preserve"> program delivery, MEL and reporting requirements. This is an understandable result of a busy program, small and overstretched workstream teams. However, there is scope and certainly mutual interest in a more strategic, two-way engagement for the sake of improved services for GBV survivors and people with disabilities. </w:t>
      </w:r>
      <w:r w:rsidR="009405F2" w:rsidRPr="59D65CDC">
        <w:rPr>
          <w:rFonts w:ascii="Arial" w:eastAsia="Times New Roman" w:hAnsi="Arial" w:cs="Arial"/>
          <w:lang w:eastAsia="en-GB"/>
        </w:rPr>
        <w:t xml:space="preserve">This could include </w:t>
      </w:r>
      <w:r w:rsidR="00B20931" w:rsidRPr="59D65CDC">
        <w:rPr>
          <w:rFonts w:ascii="Arial" w:eastAsia="Times New Roman" w:hAnsi="Arial" w:cs="Arial"/>
          <w:lang w:eastAsia="en-GB"/>
        </w:rPr>
        <w:t>engagement</w:t>
      </w:r>
      <w:r w:rsidR="00E45502" w:rsidRPr="59D65CDC">
        <w:rPr>
          <w:rFonts w:ascii="Arial" w:eastAsia="Times New Roman" w:hAnsi="Arial" w:cs="Arial"/>
          <w:lang w:eastAsia="en-GB"/>
        </w:rPr>
        <w:t xml:space="preserve"> and voice of IPs in </w:t>
      </w:r>
      <w:r w:rsidR="00AD02D6">
        <w:rPr>
          <w:rFonts w:ascii="Arial" w:eastAsia="Times New Roman" w:hAnsi="Arial" w:cs="Arial"/>
          <w:lang w:eastAsia="en-GB"/>
        </w:rPr>
        <w:t>ACCESS’</w:t>
      </w:r>
      <w:r w:rsidR="009500C0">
        <w:rPr>
          <w:rFonts w:ascii="Arial" w:eastAsia="Times New Roman" w:hAnsi="Arial" w:cs="Arial"/>
          <w:lang w:eastAsia="en-GB"/>
        </w:rPr>
        <w:t>s</w:t>
      </w:r>
      <w:r w:rsidR="00E45502" w:rsidRPr="59D65CDC">
        <w:rPr>
          <w:rFonts w:ascii="Arial" w:eastAsia="Times New Roman" w:hAnsi="Arial" w:cs="Arial"/>
          <w:lang w:eastAsia="en-GB"/>
        </w:rPr>
        <w:t xml:space="preserve"> workplan priorities, especially with RGC; forums for sharing lessons learned from partners across workstreams; and more opportunities for the voice and representation of people with disabilities and GBV survivors - where personally willing – to input into understanding of general and service-specific needs and preferences. </w:t>
      </w:r>
      <w:r w:rsidR="00012CFC" w:rsidRPr="59D65CDC">
        <w:rPr>
          <w:rFonts w:ascii="Arial" w:eastAsia="Times New Roman" w:hAnsi="Arial" w:cs="Arial"/>
          <w:lang w:eastAsia="en-GB"/>
        </w:rPr>
        <w:t xml:space="preserve">It should be noted that the </w:t>
      </w:r>
      <w:r w:rsidR="00E45502" w:rsidRPr="59D65CDC">
        <w:rPr>
          <w:rFonts w:ascii="Arial" w:eastAsia="Times New Roman" w:hAnsi="Arial" w:cs="Arial"/>
          <w:lang w:eastAsia="en-GB"/>
        </w:rPr>
        <w:t xml:space="preserve">ACCESS team has noted that the ‘high’ due diligence requirements </w:t>
      </w:r>
      <w:r w:rsidR="00012CFC" w:rsidRPr="59D65CDC">
        <w:rPr>
          <w:rFonts w:ascii="Arial" w:eastAsia="Times New Roman" w:hAnsi="Arial" w:cs="Arial"/>
          <w:lang w:eastAsia="en-GB"/>
        </w:rPr>
        <w:t>largely</w:t>
      </w:r>
      <w:r w:rsidR="00E45502" w:rsidRPr="59D65CDC">
        <w:rPr>
          <w:rFonts w:ascii="Arial" w:eastAsia="Times New Roman" w:hAnsi="Arial" w:cs="Arial"/>
          <w:lang w:eastAsia="en-GB"/>
        </w:rPr>
        <w:t xml:space="preserve"> excluded small and grassroots CSOs from becoming IPs. While the ACCESS team have proposed the potential for a small grants window for such groups, the evaluation team recommends that a broader approach to CSO engagement – especially with OPDs and GBV survivor / supporter groups – should be reconsidered; not limiting CSOs to being ‘</w:t>
      </w:r>
      <w:proofErr w:type="gramStart"/>
      <w:r w:rsidR="00E45502" w:rsidRPr="59D65CDC">
        <w:rPr>
          <w:rFonts w:ascii="Arial" w:eastAsia="Times New Roman" w:hAnsi="Arial" w:cs="Arial"/>
          <w:lang w:eastAsia="en-GB"/>
        </w:rPr>
        <w:t>grantees’</w:t>
      </w:r>
      <w:proofErr w:type="gramEnd"/>
      <w:r w:rsidR="00E45502" w:rsidRPr="59D65CDC">
        <w:rPr>
          <w:rFonts w:ascii="Arial" w:eastAsia="Times New Roman" w:hAnsi="Arial" w:cs="Arial"/>
          <w:lang w:eastAsia="en-GB"/>
        </w:rPr>
        <w:t xml:space="preserve">. </w:t>
      </w:r>
      <w:r w:rsidR="72941DA3" w:rsidRPr="59D65CDC">
        <w:rPr>
          <w:rFonts w:ascii="Arial" w:eastAsia="Times New Roman" w:hAnsi="Arial" w:cs="Arial"/>
          <w:lang w:eastAsia="en-GB"/>
        </w:rPr>
        <w:t>This could include devising an overarching engagement or program strategy to guide civil society involvement, including support to streng</w:t>
      </w:r>
      <w:r w:rsidR="5E9E538C" w:rsidRPr="59D65CDC">
        <w:rPr>
          <w:rFonts w:ascii="Arial" w:eastAsia="Times New Roman" w:hAnsi="Arial" w:cs="Arial"/>
          <w:lang w:eastAsia="en-GB"/>
        </w:rPr>
        <w:t>then organisational development, advocacy capacity and networks.</w:t>
      </w:r>
      <w:r w:rsidR="72941DA3" w:rsidRPr="59D65CDC">
        <w:rPr>
          <w:rFonts w:ascii="Arial" w:eastAsia="Times New Roman" w:hAnsi="Arial" w:cs="Arial"/>
          <w:lang w:eastAsia="en-GB"/>
        </w:rPr>
        <w:t xml:space="preserve"> </w:t>
      </w:r>
    </w:p>
    <w:p w14:paraId="3DB89F93" w14:textId="0F20D816" w:rsidR="00701509" w:rsidRDefault="00331B63" w:rsidP="00701509">
      <w:pPr>
        <w:jc w:val="both"/>
        <w:rPr>
          <w:rFonts w:ascii="Arial" w:eastAsia="Arial" w:hAnsi="Arial" w:cs="Arial"/>
        </w:rPr>
      </w:pPr>
      <w:r>
        <w:rPr>
          <w:rFonts w:ascii="Arial" w:eastAsia="Arial" w:hAnsi="Arial" w:cs="Arial"/>
          <w:b/>
          <w:bCs/>
        </w:rPr>
        <w:t xml:space="preserve">The </w:t>
      </w:r>
      <w:r w:rsidR="009A0DD0">
        <w:rPr>
          <w:rFonts w:ascii="Arial" w:eastAsia="Arial" w:hAnsi="Arial" w:cs="Arial"/>
          <w:b/>
          <w:bCs/>
        </w:rPr>
        <w:t xml:space="preserve">expenditure profile of ACCESS, both in terms of cost-consciousness and the proportion of funding allocated </w:t>
      </w:r>
      <w:r w:rsidR="004609B6">
        <w:rPr>
          <w:rFonts w:ascii="Arial" w:eastAsia="Arial" w:hAnsi="Arial" w:cs="Arial"/>
          <w:b/>
          <w:bCs/>
        </w:rPr>
        <w:t xml:space="preserve">to </w:t>
      </w:r>
      <w:r w:rsidR="00006210">
        <w:rPr>
          <w:rFonts w:ascii="Arial" w:eastAsia="Arial" w:hAnsi="Arial" w:cs="Arial"/>
          <w:b/>
          <w:bCs/>
        </w:rPr>
        <w:t xml:space="preserve">management fees were raised by stakeholders through the </w:t>
      </w:r>
      <w:r w:rsidR="003812AE">
        <w:rPr>
          <w:rFonts w:ascii="Arial" w:eastAsia="Arial" w:hAnsi="Arial" w:cs="Arial"/>
          <w:b/>
          <w:bCs/>
        </w:rPr>
        <w:t>evaluation</w:t>
      </w:r>
      <w:r w:rsidR="47D92DF8" w:rsidRPr="6E41B7B7">
        <w:rPr>
          <w:rFonts w:ascii="Arial" w:eastAsia="Arial" w:hAnsi="Arial" w:cs="Arial"/>
          <w:b/>
          <w:bCs/>
        </w:rPr>
        <w:t xml:space="preserve">. </w:t>
      </w:r>
      <w:r w:rsidR="007C0D89">
        <w:rPr>
          <w:rFonts w:ascii="Arial" w:eastAsia="Arial" w:hAnsi="Arial" w:cs="Arial"/>
        </w:rPr>
        <w:t xml:space="preserve">There was a widely </w:t>
      </w:r>
      <w:r w:rsidR="007C0D89">
        <w:rPr>
          <w:rFonts w:ascii="Arial" w:eastAsia="Arial" w:hAnsi="Arial" w:cs="Arial"/>
        </w:rPr>
        <w:lastRenderedPageBreak/>
        <w:t>held perception</w:t>
      </w:r>
      <w:r w:rsidR="47D92DF8" w:rsidRPr="6E41B7B7">
        <w:rPr>
          <w:rFonts w:ascii="Arial" w:eastAsia="Arial" w:hAnsi="Arial" w:cs="Arial"/>
        </w:rPr>
        <w:t xml:space="preserve"> that 50 per cent of the AUD 25 million ACCESS budget was ‘taken by the managing contractor’ (suggesting in management fees or profit) and only 50 per cent </w:t>
      </w:r>
      <w:r w:rsidR="00263822">
        <w:rPr>
          <w:rFonts w:ascii="Arial" w:eastAsia="Arial" w:hAnsi="Arial" w:cs="Arial"/>
        </w:rPr>
        <w:t>was provided</w:t>
      </w:r>
      <w:r w:rsidR="47D92DF8" w:rsidRPr="6E41B7B7">
        <w:rPr>
          <w:rFonts w:ascii="Arial" w:eastAsia="Arial" w:hAnsi="Arial" w:cs="Arial"/>
        </w:rPr>
        <w:t xml:space="preserve"> to ‘the people’ it is meant to benefit. Analysis of the financial data provided to the </w:t>
      </w:r>
      <w:r w:rsidR="003812AE">
        <w:rPr>
          <w:rFonts w:ascii="Arial" w:eastAsia="Arial" w:hAnsi="Arial" w:cs="Arial"/>
        </w:rPr>
        <w:t>evaluation</w:t>
      </w:r>
      <w:r w:rsidR="47D92DF8" w:rsidRPr="6E41B7B7">
        <w:rPr>
          <w:rFonts w:ascii="Arial" w:eastAsia="Arial" w:hAnsi="Arial" w:cs="Arial"/>
        </w:rPr>
        <w:t xml:space="preserve"> team confirmed that </w:t>
      </w:r>
      <w:r w:rsidR="0021792D">
        <w:rPr>
          <w:rFonts w:ascii="Arial" w:eastAsia="Arial" w:hAnsi="Arial" w:cs="Arial"/>
        </w:rPr>
        <w:t>the budget profile of ACCESS is reasonable</w:t>
      </w:r>
      <w:r w:rsidR="0099125B">
        <w:rPr>
          <w:rFonts w:ascii="Arial" w:eastAsia="Arial" w:hAnsi="Arial" w:cs="Arial"/>
        </w:rPr>
        <w:t xml:space="preserve"> and that management fees were </w:t>
      </w:r>
      <w:r w:rsidR="00AA256A">
        <w:rPr>
          <w:rFonts w:ascii="Arial" w:eastAsia="Arial" w:hAnsi="Arial" w:cs="Arial"/>
        </w:rPr>
        <w:t xml:space="preserve">within standard expectations. While </w:t>
      </w:r>
      <w:r w:rsidR="00C93DF7">
        <w:rPr>
          <w:rFonts w:ascii="Arial" w:eastAsia="Arial" w:hAnsi="Arial" w:cs="Arial"/>
        </w:rPr>
        <w:t xml:space="preserve">50 per cent of the program budget was provided to IPs, approximately </w:t>
      </w:r>
      <w:r w:rsidR="00E605CF">
        <w:rPr>
          <w:rFonts w:ascii="Arial" w:eastAsia="Arial" w:hAnsi="Arial" w:cs="Arial"/>
        </w:rPr>
        <w:t>30 per cent of the program budget was dedicated to technical assistance</w:t>
      </w:r>
      <w:r w:rsidR="00255DE9">
        <w:rPr>
          <w:rFonts w:ascii="Arial" w:eastAsia="Arial" w:hAnsi="Arial" w:cs="Arial"/>
        </w:rPr>
        <w:t>, and</w:t>
      </w:r>
      <w:r w:rsidR="006F11A2">
        <w:rPr>
          <w:rFonts w:ascii="Arial" w:eastAsia="Arial" w:hAnsi="Arial" w:cs="Arial"/>
        </w:rPr>
        <w:t xml:space="preserve"> </w:t>
      </w:r>
      <w:r w:rsidR="009910AD">
        <w:rPr>
          <w:rFonts w:ascii="Arial" w:eastAsia="Arial" w:hAnsi="Arial" w:cs="Arial"/>
        </w:rPr>
        <w:t>beyond that were operational costs and dedicated gender equality funding.</w:t>
      </w:r>
      <w:r w:rsidR="005F6C3B">
        <w:rPr>
          <w:rFonts w:ascii="Arial" w:eastAsia="Arial" w:hAnsi="Arial" w:cs="Arial"/>
        </w:rPr>
        <w:t xml:space="preserve"> </w:t>
      </w:r>
      <w:r w:rsidR="00DB7DD8">
        <w:rPr>
          <w:rFonts w:ascii="Arial" w:eastAsia="Arial" w:hAnsi="Arial" w:cs="Arial"/>
        </w:rPr>
        <w:t>The perceptio</w:t>
      </w:r>
      <w:r w:rsidR="00444F63">
        <w:rPr>
          <w:rFonts w:ascii="Arial" w:eastAsia="Arial" w:hAnsi="Arial" w:cs="Arial"/>
        </w:rPr>
        <w:t xml:space="preserve">ns around the program budget </w:t>
      </w:r>
      <w:r w:rsidR="00720E1F">
        <w:rPr>
          <w:rFonts w:ascii="Arial" w:eastAsia="Arial" w:hAnsi="Arial" w:cs="Arial"/>
        </w:rPr>
        <w:t xml:space="preserve">reflect the conflation of adviser costs with </w:t>
      </w:r>
      <w:r w:rsidR="00B800BC">
        <w:rPr>
          <w:rFonts w:ascii="Arial" w:eastAsia="Arial" w:hAnsi="Arial" w:cs="Arial"/>
        </w:rPr>
        <w:t>the</w:t>
      </w:r>
      <w:r w:rsidR="47D92DF8" w:rsidRPr="6E41B7B7">
        <w:rPr>
          <w:rFonts w:ascii="Arial" w:eastAsia="Arial" w:hAnsi="Arial" w:cs="Arial"/>
        </w:rPr>
        <w:t xml:space="preserve"> ‘managing contractor’ fee income</w:t>
      </w:r>
      <w:r w:rsidR="00757808">
        <w:rPr>
          <w:rFonts w:ascii="Arial" w:eastAsia="Arial" w:hAnsi="Arial" w:cs="Arial"/>
        </w:rPr>
        <w:t xml:space="preserve">, and greater communication of the budget breakdown </w:t>
      </w:r>
      <w:r w:rsidR="00FE2D42">
        <w:rPr>
          <w:rFonts w:ascii="Arial" w:eastAsia="Arial" w:hAnsi="Arial" w:cs="Arial"/>
        </w:rPr>
        <w:t xml:space="preserve">is required </w:t>
      </w:r>
      <w:r w:rsidR="001631E9">
        <w:rPr>
          <w:rFonts w:ascii="Arial" w:eastAsia="Arial" w:hAnsi="Arial" w:cs="Arial"/>
        </w:rPr>
        <w:t xml:space="preserve">to clarify these concerns. </w:t>
      </w:r>
      <w:r w:rsidR="00776B02">
        <w:rPr>
          <w:rFonts w:ascii="Arial" w:eastAsia="Arial" w:hAnsi="Arial" w:cs="Arial"/>
        </w:rPr>
        <w:t xml:space="preserve">It is </w:t>
      </w:r>
      <w:r w:rsidR="47D92DF8" w:rsidRPr="6E41B7B7">
        <w:rPr>
          <w:rFonts w:ascii="Arial" w:eastAsia="Arial" w:hAnsi="Arial" w:cs="Arial"/>
        </w:rPr>
        <w:t>notable</w:t>
      </w:r>
      <w:r w:rsidR="00776B02">
        <w:rPr>
          <w:rFonts w:ascii="Arial" w:eastAsia="Arial" w:hAnsi="Arial" w:cs="Arial"/>
        </w:rPr>
        <w:t>, however,</w:t>
      </w:r>
      <w:r w:rsidR="47D92DF8" w:rsidRPr="6E41B7B7">
        <w:rPr>
          <w:rFonts w:ascii="Arial" w:eastAsia="Arial" w:hAnsi="Arial" w:cs="Arial"/>
        </w:rPr>
        <w:t xml:space="preserve"> that IP</w:t>
      </w:r>
      <w:r w:rsidR="005F5D63">
        <w:rPr>
          <w:rFonts w:ascii="Arial" w:eastAsia="Arial" w:hAnsi="Arial" w:cs="Arial"/>
        </w:rPr>
        <w:t xml:space="preserve"> grants</w:t>
      </w:r>
      <w:r w:rsidR="47D92DF8" w:rsidRPr="6E41B7B7">
        <w:rPr>
          <w:rFonts w:ascii="Arial" w:eastAsia="Arial" w:hAnsi="Arial" w:cs="Arial"/>
        </w:rPr>
        <w:t xml:space="preserve"> would also </w:t>
      </w:r>
      <w:r w:rsidR="005F5D63">
        <w:rPr>
          <w:rFonts w:ascii="Arial" w:eastAsia="Arial" w:hAnsi="Arial" w:cs="Arial"/>
        </w:rPr>
        <w:t xml:space="preserve">comprise a </w:t>
      </w:r>
      <w:r w:rsidR="47D92DF8" w:rsidRPr="6E41B7B7">
        <w:rPr>
          <w:rFonts w:ascii="Arial" w:eastAsia="Arial" w:hAnsi="Arial" w:cs="Arial"/>
        </w:rPr>
        <w:t>management fee,</w:t>
      </w:r>
      <w:r w:rsidR="00B1626A">
        <w:rPr>
          <w:rFonts w:ascii="Arial" w:eastAsia="Arial" w:hAnsi="Arial" w:cs="Arial"/>
        </w:rPr>
        <w:t xml:space="preserve"> </w:t>
      </w:r>
      <w:r w:rsidR="001E5750">
        <w:rPr>
          <w:rFonts w:ascii="Arial" w:eastAsia="Arial" w:hAnsi="Arial" w:cs="Arial"/>
        </w:rPr>
        <w:t xml:space="preserve">meaning the </w:t>
      </w:r>
      <w:r w:rsidR="00224C44">
        <w:rPr>
          <w:rFonts w:ascii="Arial" w:eastAsia="Arial" w:hAnsi="Arial" w:cs="Arial"/>
        </w:rPr>
        <w:t xml:space="preserve">CIM process did culminate in </w:t>
      </w:r>
      <w:r w:rsidR="00233CE0">
        <w:rPr>
          <w:rFonts w:ascii="Arial" w:eastAsia="Arial" w:hAnsi="Arial" w:cs="Arial"/>
        </w:rPr>
        <w:t>higher levels of management costs than some other modalities may</w:t>
      </w:r>
      <w:r w:rsidR="47D92DF8" w:rsidRPr="6E41B7B7">
        <w:rPr>
          <w:rFonts w:ascii="Arial" w:eastAsia="Arial" w:hAnsi="Arial" w:cs="Arial"/>
        </w:rPr>
        <w:t xml:space="preserve">. A connected observation is that ACCESS has embraced profiling the program through monogrammed merchandise, extending even to </w:t>
      </w:r>
      <w:proofErr w:type="gramStart"/>
      <w:r w:rsidR="47D92DF8" w:rsidRPr="6E41B7B7">
        <w:rPr>
          <w:rFonts w:ascii="Arial" w:eastAsia="Arial" w:hAnsi="Arial" w:cs="Arial"/>
        </w:rPr>
        <w:t>less</w:t>
      </w:r>
      <w:proofErr w:type="gramEnd"/>
      <w:r w:rsidR="47D92DF8" w:rsidRPr="6E41B7B7">
        <w:rPr>
          <w:rFonts w:ascii="Arial" w:eastAsia="Arial" w:hAnsi="Arial" w:cs="Arial"/>
        </w:rPr>
        <w:t xml:space="preserve"> standard items such as umbrellas. While the promotion of the ACCESS identity and of the GBV and disability service access that it advances is a positive, there may be prudence in </w:t>
      </w:r>
      <w:r w:rsidR="00D03F47">
        <w:rPr>
          <w:rFonts w:ascii="Arial" w:eastAsia="Arial" w:hAnsi="Arial" w:cs="Arial"/>
        </w:rPr>
        <w:t>rationalising</w:t>
      </w:r>
      <w:r w:rsidR="47D92DF8" w:rsidRPr="6E41B7B7">
        <w:rPr>
          <w:rFonts w:ascii="Arial" w:eastAsia="Arial" w:hAnsi="Arial" w:cs="Arial"/>
        </w:rPr>
        <w:t xml:space="preserve"> </w:t>
      </w:r>
      <w:r w:rsidR="00DB7665">
        <w:rPr>
          <w:rFonts w:ascii="Arial" w:eastAsia="Arial" w:hAnsi="Arial" w:cs="Arial"/>
        </w:rPr>
        <w:t xml:space="preserve">merchandise designed to raise visibility </w:t>
      </w:r>
      <w:r w:rsidR="0097733E">
        <w:rPr>
          <w:rFonts w:ascii="Arial" w:eastAsia="Arial" w:hAnsi="Arial" w:cs="Arial"/>
        </w:rPr>
        <w:t>to ensure the program is perceived to be cost-conscious.</w:t>
      </w:r>
    </w:p>
    <w:p w14:paraId="55070023" w14:textId="7334C6AA" w:rsidR="006823DE" w:rsidRDefault="006823DE" w:rsidP="006823DE">
      <w:pPr>
        <w:pStyle w:val="Heading2"/>
      </w:pPr>
      <w:r>
        <w:t>Lessons Learned</w:t>
      </w:r>
    </w:p>
    <w:p w14:paraId="52D47458" w14:textId="77777777" w:rsidR="006823DE" w:rsidRPr="00CD1D8E" w:rsidRDefault="006823DE" w:rsidP="006823DE">
      <w:pPr>
        <w:pStyle w:val="ListParagraph"/>
        <w:numPr>
          <w:ilvl w:val="0"/>
          <w:numId w:val="42"/>
        </w:numPr>
        <w:ind w:left="714" w:hanging="357"/>
        <w:contextualSpacing w:val="0"/>
        <w:jc w:val="both"/>
        <w:rPr>
          <w:rFonts w:ascii="Arial" w:eastAsia="Arial" w:hAnsi="Arial" w:cs="Arial"/>
          <w:szCs w:val="20"/>
        </w:rPr>
      </w:pPr>
      <w:r w:rsidRPr="0318F25C">
        <w:rPr>
          <w:rFonts w:ascii="Arial" w:eastAsia="Arial" w:hAnsi="Arial" w:cs="Arial"/>
          <w:szCs w:val="20"/>
        </w:rPr>
        <w:t>Design choices have meant that ACCESS is a resource-intensive model to implement, in terms of geographic, technical and partner breadth, and working at national and subnational levels.</w:t>
      </w:r>
    </w:p>
    <w:p w14:paraId="3B80323B" w14:textId="77777777" w:rsidR="006823DE" w:rsidRPr="00CD1D8E" w:rsidRDefault="006823DE" w:rsidP="006823DE">
      <w:pPr>
        <w:pStyle w:val="ListParagraph"/>
        <w:numPr>
          <w:ilvl w:val="0"/>
          <w:numId w:val="42"/>
        </w:numPr>
        <w:ind w:left="714" w:hanging="357"/>
        <w:contextualSpacing w:val="0"/>
        <w:jc w:val="both"/>
        <w:rPr>
          <w:rFonts w:ascii="Arial" w:eastAsia="Arial" w:hAnsi="Arial" w:cs="Arial"/>
          <w:szCs w:val="20"/>
        </w:rPr>
      </w:pPr>
      <w:r w:rsidRPr="0318F25C">
        <w:rPr>
          <w:rFonts w:ascii="Arial" w:eastAsia="Arial" w:hAnsi="Arial" w:cs="Arial"/>
          <w:szCs w:val="20"/>
        </w:rPr>
        <w:t>The geographic and institutional footprint and number of partners engaged in the ACCESS program were highly ambitious and necessitated a high volume of management oversight and resourcing</w:t>
      </w:r>
      <w:r>
        <w:rPr>
          <w:rFonts w:ascii="Arial" w:eastAsia="Arial" w:hAnsi="Arial" w:cs="Arial"/>
          <w:szCs w:val="20"/>
        </w:rPr>
        <w:t xml:space="preserve"> from both ACCESS and DFAT</w:t>
      </w:r>
      <w:r w:rsidRPr="0318F25C">
        <w:rPr>
          <w:rFonts w:ascii="Arial" w:eastAsia="Arial" w:hAnsi="Arial" w:cs="Arial"/>
          <w:szCs w:val="20"/>
        </w:rPr>
        <w:t xml:space="preserve">. </w:t>
      </w:r>
    </w:p>
    <w:p w14:paraId="7055C89E" w14:textId="67F40DF9" w:rsidR="00BF1042" w:rsidRDefault="006823DE" w:rsidP="006823DE">
      <w:pPr>
        <w:pStyle w:val="ListParagraph"/>
        <w:numPr>
          <w:ilvl w:val="0"/>
          <w:numId w:val="42"/>
        </w:numPr>
        <w:ind w:left="714" w:hanging="357"/>
        <w:contextualSpacing w:val="0"/>
        <w:jc w:val="both"/>
        <w:rPr>
          <w:rFonts w:ascii="Arial" w:eastAsia="Arial" w:hAnsi="Arial" w:cs="Arial"/>
          <w:szCs w:val="20"/>
        </w:rPr>
      </w:pPr>
      <w:r w:rsidRPr="0318F25C">
        <w:rPr>
          <w:rFonts w:ascii="Arial" w:eastAsia="Arial" w:hAnsi="Arial" w:cs="Arial"/>
          <w:szCs w:val="20"/>
        </w:rPr>
        <w:t xml:space="preserve">Approaches to engaging implementing partners and ACCESS advisors should be designed to harness their expertise and promote collaboration and two-way learning. </w:t>
      </w:r>
    </w:p>
    <w:p w14:paraId="638471A2" w14:textId="2EE05CD3" w:rsidR="006823DE" w:rsidRPr="00BF1042" w:rsidRDefault="006823DE" w:rsidP="006823DE">
      <w:pPr>
        <w:pStyle w:val="ListParagraph"/>
        <w:numPr>
          <w:ilvl w:val="0"/>
          <w:numId w:val="42"/>
        </w:numPr>
        <w:ind w:left="714" w:hanging="357"/>
        <w:contextualSpacing w:val="0"/>
        <w:jc w:val="both"/>
        <w:rPr>
          <w:rFonts w:ascii="Arial" w:eastAsia="Arial" w:hAnsi="Arial" w:cs="Arial"/>
          <w:szCs w:val="20"/>
        </w:rPr>
      </w:pPr>
      <w:r w:rsidRPr="00BF1042">
        <w:rPr>
          <w:rFonts w:ascii="Arial" w:eastAsia="Arial" w:hAnsi="Arial" w:cs="Arial"/>
          <w:szCs w:val="20"/>
        </w:rPr>
        <w:t>It is important that cost consciousness is embedded in all program decision-making, from program operations through to visibility and branding.</w:t>
      </w:r>
    </w:p>
    <w:p w14:paraId="1BD6F4BE" w14:textId="7EFDD2EF" w:rsidR="7BD182DA" w:rsidRPr="007825FE" w:rsidRDefault="004E4A46" w:rsidP="00326D32">
      <w:pPr>
        <w:pStyle w:val="Heading1"/>
        <w:rPr>
          <w:b w:val="0"/>
          <w:bCs/>
        </w:rPr>
      </w:pPr>
      <w:bookmarkStart w:id="88" w:name="_Toc122460801"/>
      <w:r>
        <w:rPr>
          <w:b w:val="0"/>
          <w:bCs/>
        </w:rPr>
        <w:t>S</w:t>
      </w:r>
      <w:r w:rsidRPr="007825FE">
        <w:rPr>
          <w:b w:val="0"/>
          <w:bCs/>
        </w:rPr>
        <w:t>ustainability</w:t>
      </w:r>
      <w:bookmarkEnd w:id="88"/>
    </w:p>
    <w:p w14:paraId="2B9373E1" w14:textId="4741126F" w:rsidR="7BD182DA" w:rsidRDefault="305E97B0" w:rsidP="00A2192B">
      <w:pPr>
        <w:jc w:val="both"/>
        <w:rPr>
          <w:rFonts w:ascii="Arial" w:eastAsia="Arial" w:hAnsi="Arial" w:cs="Arial"/>
        </w:rPr>
      </w:pPr>
      <w:r w:rsidRPr="4BE0582D">
        <w:rPr>
          <w:rFonts w:ascii="Arial" w:eastAsia="Arial" w:hAnsi="Arial" w:cs="Arial"/>
        </w:rPr>
        <w:t xml:space="preserve">The program’s strategic focus on partnership with RGC has been advantageous towards ensuring the sustainability of ACCESS outcomes. The discussion in this section highlights evidence on changes in financing, capacity development and political commitment to GBV and disability services that would sustain </w:t>
      </w:r>
      <w:r w:rsidR="00AD02D6">
        <w:rPr>
          <w:rFonts w:ascii="Arial" w:eastAsia="Arial" w:hAnsi="Arial" w:cs="Arial"/>
        </w:rPr>
        <w:t>ACCESS’</w:t>
      </w:r>
      <w:r w:rsidRPr="4BE0582D">
        <w:rPr>
          <w:rFonts w:ascii="Arial" w:eastAsia="Arial" w:hAnsi="Arial" w:cs="Arial"/>
        </w:rPr>
        <w:t xml:space="preserve">s impacts, and identification of </w:t>
      </w:r>
      <w:r w:rsidR="00AD02D6">
        <w:rPr>
          <w:rFonts w:ascii="Arial" w:eastAsia="Arial" w:hAnsi="Arial" w:cs="Arial"/>
        </w:rPr>
        <w:t>ACCESS’</w:t>
      </w:r>
      <w:r w:rsidR="00E20018">
        <w:rPr>
          <w:rFonts w:ascii="Arial" w:eastAsia="Arial" w:hAnsi="Arial" w:cs="Arial"/>
        </w:rPr>
        <w:t>s</w:t>
      </w:r>
      <w:r w:rsidRPr="4BE0582D">
        <w:rPr>
          <w:rFonts w:ascii="Arial" w:eastAsia="Arial" w:hAnsi="Arial" w:cs="Arial"/>
        </w:rPr>
        <w:t xml:space="preserve"> contribution.</w:t>
      </w:r>
    </w:p>
    <w:p w14:paraId="4860009B" w14:textId="43712737" w:rsidR="7BD182DA" w:rsidRPr="000A0D46" w:rsidRDefault="00502F72" w:rsidP="00457DE0">
      <w:pPr>
        <w:pStyle w:val="Heading2"/>
      </w:pPr>
      <w:bookmarkStart w:id="89" w:name="_Toc116378181"/>
      <w:r>
        <w:t xml:space="preserve">Government </w:t>
      </w:r>
      <w:r w:rsidR="00425CAB">
        <w:t>resource allocation</w:t>
      </w:r>
      <w:bookmarkEnd w:id="89"/>
    </w:p>
    <w:p w14:paraId="74E5E062" w14:textId="11510D80" w:rsidR="002B31B1" w:rsidRPr="009B1CF9" w:rsidRDefault="2600548F" w:rsidP="00A2192B">
      <w:pPr>
        <w:jc w:val="both"/>
        <w:rPr>
          <w:rFonts w:ascii="Arial" w:eastAsia="Arial" w:hAnsi="Arial" w:cs="Arial"/>
        </w:rPr>
      </w:pPr>
      <w:r w:rsidRPr="52E2F618">
        <w:rPr>
          <w:rFonts w:ascii="Arial" w:eastAsia="Arial" w:hAnsi="Arial" w:cs="Arial"/>
          <w:b/>
          <w:bCs/>
        </w:rPr>
        <w:t>The ACCESS team itself has characterised progress on PFM outcomes as ‘challenging’ to achieve</w:t>
      </w:r>
      <w:r w:rsidRPr="52E2F618">
        <w:rPr>
          <w:rFonts w:ascii="Arial" w:eastAsia="Arial" w:hAnsi="Arial" w:cs="Arial"/>
        </w:rPr>
        <w:t xml:space="preserve"> (Year 4 Report), especially at the national level. This is not unexpected, given that GBV and disability services typically require long-term advocacy and sensitisation of decision makers, fiscal constraints from COVID-19, and that budget processes are political. During the </w:t>
      </w:r>
      <w:r w:rsidR="01B4FDA8" w:rsidRPr="52E2F618">
        <w:rPr>
          <w:rFonts w:ascii="Arial" w:eastAsia="Arial" w:hAnsi="Arial" w:cs="Arial"/>
        </w:rPr>
        <w:t>evaluation</w:t>
      </w:r>
      <w:r w:rsidRPr="52E2F618">
        <w:rPr>
          <w:rFonts w:ascii="Arial" w:eastAsia="Arial" w:hAnsi="Arial" w:cs="Arial"/>
        </w:rPr>
        <w:t xml:space="preserve">, </w:t>
      </w:r>
      <w:proofErr w:type="spellStart"/>
      <w:r w:rsidR="623D556B" w:rsidRPr="52E2F618">
        <w:rPr>
          <w:rFonts w:ascii="Arial" w:eastAsia="Arial" w:hAnsi="Arial" w:cs="Arial"/>
        </w:rPr>
        <w:t>MoWA</w:t>
      </w:r>
      <w:proofErr w:type="spellEnd"/>
      <w:r w:rsidRPr="52E2F618">
        <w:rPr>
          <w:rFonts w:ascii="Arial" w:eastAsia="Arial" w:hAnsi="Arial" w:cs="Arial"/>
        </w:rPr>
        <w:t xml:space="preserve"> and MOSVY each referred to themselves as being perceived as ‘spending’ rather than ‘income generating’ ministries, and so the challenges are considerable. </w:t>
      </w:r>
      <w:r w:rsidR="60775187" w:rsidRPr="52E2F618">
        <w:rPr>
          <w:rFonts w:ascii="Arial" w:eastAsia="Arial" w:hAnsi="Arial" w:cs="Arial"/>
        </w:rPr>
        <w:t>ACCESS’</w:t>
      </w:r>
      <w:r w:rsidR="5096109D" w:rsidRPr="52E2F618">
        <w:rPr>
          <w:rFonts w:ascii="Arial" w:eastAsia="Arial" w:hAnsi="Arial" w:cs="Arial"/>
        </w:rPr>
        <w:t>s</w:t>
      </w:r>
      <w:r w:rsidR="29D3A347" w:rsidRPr="52E2F618">
        <w:rPr>
          <w:rFonts w:ascii="Arial" w:eastAsia="Arial" w:hAnsi="Arial" w:cs="Arial"/>
        </w:rPr>
        <w:t xml:space="preserve"> Story of Significant Change highlights the complexity of budgetary processes within RGC, and the bias towards tangible, economic sector line items such as infrastructure. </w:t>
      </w:r>
      <w:r w:rsidR="29FAD0AE" w:rsidRPr="52E2F618">
        <w:rPr>
          <w:rFonts w:ascii="Arial" w:eastAsia="Arial" w:hAnsi="Arial" w:cs="Arial"/>
        </w:rPr>
        <w:t>Advice from line ministries concurred that s</w:t>
      </w:r>
      <w:r w:rsidR="29D3A347" w:rsidRPr="52E2F618">
        <w:rPr>
          <w:rFonts w:ascii="Arial" w:eastAsia="Arial" w:hAnsi="Arial" w:cs="Arial"/>
        </w:rPr>
        <w:t>upport is still needed to socialise RGC counterparts about the needs of persons with a disability and survivors of violence. In the face of setbacks, ACCESS plays a vital role in working with RGC to address funding shortfalls for disability and GBV services for the improved health and livelihood of all Cambodians.</w:t>
      </w:r>
    </w:p>
    <w:p w14:paraId="3BE98D90" w14:textId="52F9180F" w:rsidR="009011D6" w:rsidRDefault="305E97B0" w:rsidP="00D40691">
      <w:pPr>
        <w:jc w:val="both"/>
        <w:rPr>
          <w:color w:val="auto"/>
        </w:rPr>
      </w:pPr>
      <w:bookmarkStart w:id="90" w:name="_Toc116371565"/>
      <w:r w:rsidRPr="0628D608">
        <w:rPr>
          <w:b/>
          <w:color w:val="auto"/>
        </w:rPr>
        <w:lastRenderedPageBreak/>
        <w:t xml:space="preserve">At the national level, a positive result for disability inclusion is that MEF included reference to people with disabilities and vulnerable groups in its </w:t>
      </w:r>
      <w:r w:rsidRPr="0628D608">
        <w:rPr>
          <w:b/>
          <w:i/>
          <w:color w:val="auto"/>
        </w:rPr>
        <w:t>Circular on Technical Procedures for Preparation of the 2023 Budget Proposal of SNAs</w:t>
      </w:r>
      <w:r w:rsidRPr="0628D608">
        <w:rPr>
          <w:i/>
          <w:color w:val="auto"/>
        </w:rPr>
        <w:t xml:space="preserve">. </w:t>
      </w:r>
      <w:r w:rsidRPr="401877F5">
        <w:rPr>
          <w:color w:val="auto"/>
        </w:rPr>
        <w:t>ACCES</w:t>
      </w:r>
      <w:r w:rsidR="00F73782" w:rsidRPr="401877F5">
        <w:rPr>
          <w:color w:val="auto"/>
        </w:rPr>
        <w:t>S</w:t>
      </w:r>
      <w:r w:rsidRPr="0628D608">
        <w:rPr>
          <w:color w:val="auto"/>
        </w:rPr>
        <w:t xml:space="preserve"> reported that this stemmed from the conclusions to an ACCESS-funded workshop in 2022 where the key priorities of the NDSP were presented to MEF, DAC-GS and GD-SNAF. However, MEF did not ultimately provide any increase in budgets towards ND</w:t>
      </w:r>
      <w:r w:rsidR="30215AA2" w:rsidRPr="0628D608">
        <w:rPr>
          <w:color w:val="auto"/>
        </w:rPr>
        <w:t>S</w:t>
      </w:r>
      <w:r w:rsidRPr="0628D608">
        <w:rPr>
          <w:color w:val="auto"/>
        </w:rPr>
        <w:t xml:space="preserve">P implementation, or the PRCs in particular. Improvement in the preparation of budgets is still an achievement. In the ACCESS Story of Significant Change on building RGC capacity in developing the national budget, one DAC official noted that ACCESS advice to MOSVY had enabled senior officials to ‘argue’ in support of increased funding with MEF. A second </w:t>
      </w:r>
      <w:proofErr w:type="spellStart"/>
      <w:r w:rsidRPr="0628D608">
        <w:rPr>
          <w:color w:val="auto"/>
        </w:rPr>
        <w:t>MoSVY</w:t>
      </w:r>
      <w:proofErr w:type="spellEnd"/>
      <w:r w:rsidRPr="0628D608">
        <w:rPr>
          <w:color w:val="auto"/>
        </w:rPr>
        <w:t xml:space="preserve"> official credited ACCESS with supporting the ministry to improve communications with MEF and the quality of the budget – which </w:t>
      </w:r>
      <w:r w:rsidRPr="00D40691">
        <w:rPr>
          <w:rFonts w:ascii="Arial" w:eastAsia="Arial" w:hAnsi="Arial" w:cs="Arial"/>
        </w:rPr>
        <w:t>augurs</w:t>
      </w:r>
      <w:r w:rsidRPr="0628D608">
        <w:rPr>
          <w:color w:val="auto"/>
        </w:rPr>
        <w:t xml:space="preserve"> well for closer cooperation.</w:t>
      </w:r>
    </w:p>
    <w:p w14:paraId="5198AF10" w14:textId="63C24E88" w:rsidR="7BD182DA" w:rsidRPr="003176A1" w:rsidRDefault="305E97B0" w:rsidP="001E2977">
      <w:pPr>
        <w:jc w:val="both"/>
        <w:rPr>
          <w:color w:val="auto"/>
          <w:szCs w:val="20"/>
        </w:rPr>
      </w:pPr>
      <w:r w:rsidRPr="007825FE">
        <w:rPr>
          <w:b/>
          <w:bCs/>
          <w:color w:val="auto"/>
          <w:szCs w:val="20"/>
        </w:rPr>
        <w:t>Another positive result was an in-depth study on Gender Responsive Budgeting (GRB)</w:t>
      </w:r>
      <w:r w:rsidR="00A25DB6" w:rsidRPr="007825FE">
        <w:rPr>
          <w:b/>
          <w:bCs/>
          <w:color w:val="auto"/>
          <w:szCs w:val="20"/>
        </w:rPr>
        <w:t xml:space="preserve"> funded by ACCESS has been</w:t>
      </w:r>
      <w:r w:rsidRPr="007825FE">
        <w:rPr>
          <w:b/>
          <w:bCs/>
          <w:color w:val="auto"/>
          <w:szCs w:val="20"/>
        </w:rPr>
        <w:t xml:space="preserve"> integrated within a GRB Roadmap being developed for </w:t>
      </w:r>
      <w:proofErr w:type="spellStart"/>
      <w:r w:rsidR="00A2192B" w:rsidRPr="007825FE">
        <w:rPr>
          <w:b/>
          <w:bCs/>
          <w:color w:val="auto"/>
          <w:szCs w:val="20"/>
        </w:rPr>
        <w:t>MoWA</w:t>
      </w:r>
      <w:proofErr w:type="spellEnd"/>
      <w:r w:rsidRPr="007825FE">
        <w:rPr>
          <w:b/>
          <w:bCs/>
          <w:color w:val="auto"/>
          <w:szCs w:val="20"/>
        </w:rPr>
        <w:t xml:space="preserve"> by UNDP.</w:t>
      </w:r>
      <w:r w:rsidRPr="003176A1">
        <w:rPr>
          <w:color w:val="auto"/>
          <w:szCs w:val="20"/>
        </w:rPr>
        <w:t xml:space="preserve"> While GRB targets all-sector budgets and is broader than GBV, it </w:t>
      </w:r>
      <w:r w:rsidR="007752BE">
        <w:rPr>
          <w:color w:val="auto"/>
          <w:szCs w:val="20"/>
        </w:rPr>
        <w:t>c</w:t>
      </w:r>
      <w:r w:rsidRPr="003176A1">
        <w:rPr>
          <w:color w:val="auto"/>
          <w:szCs w:val="20"/>
        </w:rPr>
        <w:t xml:space="preserve">ould result in increased allocations to the GBV response. </w:t>
      </w:r>
      <w:proofErr w:type="spellStart"/>
      <w:r w:rsidRPr="003176A1">
        <w:rPr>
          <w:color w:val="auto"/>
          <w:szCs w:val="20"/>
        </w:rPr>
        <w:t>M</w:t>
      </w:r>
      <w:r w:rsidR="00A2192B" w:rsidRPr="003176A1">
        <w:rPr>
          <w:color w:val="auto"/>
          <w:szCs w:val="20"/>
        </w:rPr>
        <w:t>o</w:t>
      </w:r>
      <w:r w:rsidRPr="003176A1">
        <w:rPr>
          <w:color w:val="auto"/>
          <w:szCs w:val="20"/>
        </w:rPr>
        <w:t>WA</w:t>
      </w:r>
      <w:proofErr w:type="spellEnd"/>
      <w:r w:rsidRPr="003176A1">
        <w:rPr>
          <w:color w:val="auto"/>
          <w:szCs w:val="20"/>
        </w:rPr>
        <w:t xml:space="preserve"> has expressed appreciation for ACCESS GRB efforts, and this should be followed up. Less fruitful was </w:t>
      </w:r>
      <w:proofErr w:type="spellStart"/>
      <w:r w:rsidRPr="003176A1">
        <w:rPr>
          <w:color w:val="auto"/>
          <w:szCs w:val="20"/>
        </w:rPr>
        <w:t>M</w:t>
      </w:r>
      <w:r w:rsidR="00A2192B" w:rsidRPr="003176A1">
        <w:rPr>
          <w:color w:val="auto"/>
          <w:szCs w:val="20"/>
        </w:rPr>
        <w:t>o</w:t>
      </w:r>
      <w:r w:rsidRPr="003176A1">
        <w:rPr>
          <w:color w:val="auto"/>
          <w:szCs w:val="20"/>
        </w:rPr>
        <w:t>WA’s</w:t>
      </w:r>
      <w:proofErr w:type="spellEnd"/>
      <w:r w:rsidRPr="003176A1">
        <w:rPr>
          <w:color w:val="auto"/>
          <w:szCs w:val="20"/>
        </w:rPr>
        <w:t xml:space="preserve"> work with line ministries/agencies to develop Annual Operational Plans (AOPs) with costed activities relevant to NAPVAW. Of the 15 agencies that responded, the AOPs did not entail as many NAPVAW-aligned activities as anticipated. ACCESS plans to support </w:t>
      </w:r>
      <w:proofErr w:type="spellStart"/>
      <w:r w:rsidRPr="003176A1">
        <w:rPr>
          <w:color w:val="auto"/>
          <w:szCs w:val="20"/>
        </w:rPr>
        <w:t>M</w:t>
      </w:r>
      <w:r w:rsidR="00A2192B" w:rsidRPr="003176A1">
        <w:rPr>
          <w:color w:val="auto"/>
          <w:szCs w:val="20"/>
        </w:rPr>
        <w:t>o</w:t>
      </w:r>
      <w:r w:rsidRPr="003176A1">
        <w:rPr>
          <w:color w:val="auto"/>
          <w:szCs w:val="20"/>
        </w:rPr>
        <w:t>WA</w:t>
      </w:r>
      <w:proofErr w:type="spellEnd"/>
      <w:r w:rsidRPr="003176A1">
        <w:rPr>
          <w:color w:val="auto"/>
          <w:szCs w:val="20"/>
        </w:rPr>
        <w:t xml:space="preserve"> in Year 5 to focus its support on 5 – 6 agencies to improve NAPVAW activity </w:t>
      </w:r>
      <w:r w:rsidRPr="001E2977">
        <w:rPr>
          <w:rFonts w:ascii="Arial" w:eastAsia="Arial" w:hAnsi="Arial" w:cs="Arial"/>
        </w:rPr>
        <w:t>integration</w:t>
      </w:r>
      <w:r w:rsidRPr="003176A1">
        <w:rPr>
          <w:color w:val="auto"/>
          <w:szCs w:val="20"/>
        </w:rPr>
        <w:t xml:space="preserve"> into AOPs, but the success of these efforts is uncertain.</w:t>
      </w:r>
      <w:bookmarkEnd w:id="90"/>
    </w:p>
    <w:p w14:paraId="1F1927E5" w14:textId="28CEAB2E" w:rsidR="7BD182DA" w:rsidRDefault="305E97B0" w:rsidP="00A2192B">
      <w:pPr>
        <w:jc w:val="both"/>
      </w:pPr>
      <w:r w:rsidRPr="4BE0582D">
        <w:rPr>
          <w:rFonts w:ascii="Arial" w:eastAsia="Arial" w:hAnsi="Arial" w:cs="Arial"/>
          <w:b/>
        </w:rPr>
        <w:t xml:space="preserve">More progress has been evident at the </w:t>
      </w:r>
      <w:r w:rsidR="0087378E">
        <w:rPr>
          <w:rFonts w:ascii="Arial" w:eastAsia="Arial" w:hAnsi="Arial" w:cs="Arial"/>
          <w:b/>
        </w:rPr>
        <w:t>sub-national</w:t>
      </w:r>
      <w:r w:rsidRPr="4BE0582D">
        <w:rPr>
          <w:rFonts w:ascii="Arial" w:eastAsia="Arial" w:hAnsi="Arial" w:cs="Arial"/>
          <w:b/>
        </w:rPr>
        <w:t xml:space="preserve"> level</w:t>
      </w:r>
      <w:r w:rsidRPr="4BE0582D">
        <w:rPr>
          <w:rFonts w:ascii="Arial" w:eastAsia="Arial" w:hAnsi="Arial" w:cs="Arial"/>
        </w:rPr>
        <w:t xml:space="preserve">. ACCESS directly supported </w:t>
      </w:r>
      <w:proofErr w:type="spellStart"/>
      <w:r w:rsidRPr="4BE0582D">
        <w:rPr>
          <w:rFonts w:ascii="Arial" w:eastAsia="Arial" w:hAnsi="Arial" w:cs="Arial"/>
        </w:rPr>
        <w:t>M</w:t>
      </w:r>
      <w:r w:rsidR="00A2192B">
        <w:rPr>
          <w:rFonts w:ascii="Arial" w:eastAsia="Arial" w:hAnsi="Arial" w:cs="Arial"/>
        </w:rPr>
        <w:t>o</w:t>
      </w:r>
      <w:r w:rsidRPr="4BE0582D">
        <w:rPr>
          <w:rFonts w:ascii="Arial" w:eastAsia="Arial" w:hAnsi="Arial" w:cs="Arial"/>
        </w:rPr>
        <w:t>WA</w:t>
      </w:r>
      <w:proofErr w:type="spellEnd"/>
      <w:r w:rsidRPr="4BE0582D">
        <w:rPr>
          <w:rFonts w:ascii="Arial" w:eastAsia="Arial" w:hAnsi="Arial" w:cs="Arial"/>
        </w:rPr>
        <w:t xml:space="preserve"> to socialise the AOP process at provincial and district level. These AOPs demonstrated better adherence to </w:t>
      </w:r>
      <w:proofErr w:type="spellStart"/>
      <w:r w:rsidRPr="4BE0582D">
        <w:rPr>
          <w:rFonts w:ascii="Arial" w:eastAsia="Arial" w:hAnsi="Arial" w:cs="Arial"/>
        </w:rPr>
        <w:t>M</w:t>
      </w:r>
      <w:r w:rsidR="00A2192B">
        <w:rPr>
          <w:rFonts w:ascii="Arial" w:eastAsia="Arial" w:hAnsi="Arial" w:cs="Arial"/>
        </w:rPr>
        <w:t>o</w:t>
      </w:r>
      <w:r w:rsidRPr="4BE0582D">
        <w:rPr>
          <w:rFonts w:ascii="Arial" w:eastAsia="Arial" w:hAnsi="Arial" w:cs="Arial"/>
        </w:rPr>
        <w:t>WA’s</w:t>
      </w:r>
      <w:proofErr w:type="spellEnd"/>
      <w:r w:rsidRPr="4BE0582D">
        <w:rPr>
          <w:rFonts w:ascii="Arial" w:eastAsia="Arial" w:hAnsi="Arial" w:cs="Arial"/>
        </w:rPr>
        <w:t xml:space="preserve"> advice, and </w:t>
      </w:r>
      <w:r w:rsidR="00AD02D6">
        <w:rPr>
          <w:rFonts w:ascii="Arial" w:eastAsia="Arial" w:hAnsi="Arial" w:cs="Arial"/>
        </w:rPr>
        <w:t>ACCESS’</w:t>
      </w:r>
      <w:r w:rsidR="00CC7116">
        <w:rPr>
          <w:rFonts w:ascii="Arial" w:eastAsia="Arial" w:hAnsi="Arial" w:cs="Arial"/>
        </w:rPr>
        <w:t>s</w:t>
      </w:r>
      <w:r w:rsidRPr="4BE0582D">
        <w:rPr>
          <w:rFonts w:ascii="Arial" w:eastAsia="Arial" w:hAnsi="Arial" w:cs="Arial"/>
        </w:rPr>
        <w:t xml:space="preserve"> analysis of the 2022 budget found that </w:t>
      </w:r>
      <w:proofErr w:type="spellStart"/>
      <w:r w:rsidRPr="4BE0582D">
        <w:rPr>
          <w:rFonts w:ascii="Arial" w:eastAsia="Arial" w:hAnsi="Arial" w:cs="Arial"/>
        </w:rPr>
        <w:t>PDoWA</w:t>
      </w:r>
      <w:proofErr w:type="spellEnd"/>
      <w:r w:rsidRPr="4BE0582D">
        <w:rPr>
          <w:rFonts w:ascii="Arial" w:eastAsia="Arial" w:hAnsi="Arial" w:cs="Arial"/>
        </w:rPr>
        <w:t xml:space="preserve"> budgets for GBV legal protection had increased in five provinces that ACCESS has supported. While a credit to ACCESS, this is ultimately one dimension of the multi-sectoral response needed. On disability services, ACCESS supported UNDP to strengthen </w:t>
      </w:r>
      <w:r w:rsidR="00147544">
        <w:rPr>
          <w:rFonts w:ascii="Arial" w:eastAsia="Arial" w:hAnsi="Arial" w:cs="Arial"/>
        </w:rPr>
        <w:t>some provincial governments’ commitment</w:t>
      </w:r>
      <w:r w:rsidR="00147544" w:rsidRPr="4BE0582D">
        <w:rPr>
          <w:rFonts w:ascii="Arial" w:eastAsia="Arial" w:hAnsi="Arial" w:cs="Arial"/>
        </w:rPr>
        <w:t xml:space="preserve"> </w:t>
      </w:r>
      <w:r w:rsidRPr="4BE0582D">
        <w:rPr>
          <w:rFonts w:ascii="Arial" w:eastAsia="Arial" w:hAnsi="Arial" w:cs="Arial"/>
        </w:rPr>
        <w:t xml:space="preserve">to funding services. </w:t>
      </w:r>
      <w:r w:rsidR="002D6123">
        <w:rPr>
          <w:rFonts w:ascii="Arial" w:eastAsia="Arial" w:hAnsi="Arial" w:cs="Arial"/>
        </w:rPr>
        <w:t>T</w:t>
      </w:r>
      <w:r w:rsidR="002D6123" w:rsidRPr="4BE0582D">
        <w:rPr>
          <w:rFonts w:ascii="Arial" w:eastAsia="Arial" w:hAnsi="Arial" w:cs="Arial"/>
        </w:rPr>
        <w:t xml:space="preserve">he Provincial Administration in </w:t>
      </w:r>
      <w:proofErr w:type="spellStart"/>
      <w:r w:rsidR="002D6123" w:rsidRPr="4BE0582D">
        <w:rPr>
          <w:rFonts w:ascii="Arial" w:eastAsia="Arial" w:hAnsi="Arial" w:cs="Arial"/>
        </w:rPr>
        <w:t>Siem</w:t>
      </w:r>
      <w:proofErr w:type="spellEnd"/>
      <w:r w:rsidR="002D6123" w:rsidRPr="4BE0582D">
        <w:rPr>
          <w:rFonts w:ascii="Arial" w:eastAsia="Arial" w:hAnsi="Arial" w:cs="Arial"/>
        </w:rPr>
        <w:t xml:space="preserve"> Reap allocated 57 million riels towards the disability sector in its 2022 budget, including first time funding of P-DAC meetings (10 million riels). </w:t>
      </w:r>
      <w:r w:rsidRPr="4BE0582D">
        <w:rPr>
          <w:rFonts w:ascii="Arial" w:eastAsia="Arial" w:hAnsi="Arial" w:cs="Arial"/>
        </w:rPr>
        <w:t>One province</w:t>
      </w:r>
      <w:r w:rsidR="002D6123">
        <w:rPr>
          <w:rFonts w:ascii="Arial" w:eastAsia="Arial" w:hAnsi="Arial" w:cs="Arial"/>
        </w:rPr>
        <w:t xml:space="preserve"> also</w:t>
      </w:r>
      <w:r w:rsidRPr="4BE0582D">
        <w:rPr>
          <w:rFonts w:ascii="Arial" w:eastAsia="Arial" w:hAnsi="Arial" w:cs="Arial"/>
        </w:rPr>
        <w:t xml:space="preserve"> allocated budget for P-DAC meetings, which has been attributed to ACCESS inviting MEF and General Directorate for </w:t>
      </w:r>
      <w:r w:rsidR="0087378E">
        <w:rPr>
          <w:rFonts w:ascii="Arial" w:eastAsia="Arial" w:hAnsi="Arial" w:cs="Arial"/>
        </w:rPr>
        <w:t>Sub-national</w:t>
      </w:r>
      <w:r w:rsidRPr="4BE0582D">
        <w:rPr>
          <w:rFonts w:ascii="Arial" w:eastAsia="Arial" w:hAnsi="Arial" w:cs="Arial"/>
        </w:rPr>
        <w:t xml:space="preserve"> Administration Finance (GD-SNAF) to P-DAC meetings to promote the need for funding. </w:t>
      </w:r>
      <w:r w:rsidR="007E1F7A" w:rsidRPr="4BE0582D">
        <w:rPr>
          <w:rFonts w:ascii="Arial" w:eastAsia="Arial" w:hAnsi="Arial" w:cs="Arial"/>
        </w:rPr>
        <w:t xml:space="preserve">The new focus on commune level investment plans is worthwhile but ultimately modest in value. </w:t>
      </w:r>
    </w:p>
    <w:p w14:paraId="54972B81" w14:textId="1952AAFA" w:rsidR="7BD182DA" w:rsidRPr="000B1E71" w:rsidRDefault="00177A37" w:rsidP="00457DE0">
      <w:pPr>
        <w:pStyle w:val="Heading2"/>
      </w:pPr>
      <w:bookmarkStart w:id="91" w:name="_Toc116378182"/>
      <w:r>
        <w:t>Raising</w:t>
      </w:r>
      <w:r w:rsidRPr="00952C7C">
        <w:t xml:space="preserve"> </w:t>
      </w:r>
      <w:r w:rsidR="006F4B48" w:rsidRPr="00952C7C">
        <w:t>awareness of GBV and disability service delivery</w:t>
      </w:r>
      <w:bookmarkEnd w:id="91"/>
    </w:p>
    <w:p w14:paraId="0D3A885D" w14:textId="14E902C4" w:rsidR="7BD182DA" w:rsidRDefault="001F7371" w:rsidP="00A2192B">
      <w:pPr>
        <w:jc w:val="both"/>
        <w:rPr>
          <w:rFonts w:ascii="Arial" w:eastAsia="Arial" w:hAnsi="Arial" w:cs="Arial"/>
        </w:rPr>
      </w:pPr>
      <w:r w:rsidRPr="4BE0582D">
        <w:rPr>
          <w:rFonts w:ascii="Arial" w:eastAsia="Arial" w:hAnsi="Arial" w:cs="Arial"/>
          <w:b/>
        </w:rPr>
        <w:t>ACCESS has increased political awareness dynamically through the course of its work with RGC.</w:t>
      </w:r>
      <w:r w:rsidRPr="4BE0582D">
        <w:rPr>
          <w:rFonts w:ascii="Arial" w:eastAsia="Arial" w:hAnsi="Arial" w:cs="Arial"/>
        </w:rPr>
        <w:t xml:space="preserve"> </w:t>
      </w:r>
      <w:r w:rsidR="305E97B0" w:rsidRPr="4BE0582D">
        <w:rPr>
          <w:rFonts w:ascii="Arial" w:eastAsia="Arial" w:hAnsi="Arial" w:cs="Arial"/>
        </w:rPr>
        <w:t xml:space="preserve">ACCESS was described as the only program working with and through RGC on disability, and the only one on GBV services to this scale. The work of ACCESS has fundamentally centred on raising political awareness and a sense of accountability of the need for and right to quality disability and GBV services. This is evidenced by the training of RGC officials, engagement in strengthening of the national legal framework such as the draft Law on Disability and the disability benefit, the facilitation of workshops on financing, and radio-based campaigns. These results are well documented in </w:t>
      </w:r>
      <w:r w:rsidR="00AD02D6">
        <w:rPr>
          <w:rFonts w:ascii="Arial" w:eastAsia="Arial" w:hAnsi="Arial" w:cs="Arial"/>
        </w:rPr>
        <w:t>ACCESS’</w:t>
      </w:r>
      <w:r w:rsidR="000E2CA9">
        <w:rPr>
          <w:rFonts w:ascii="Arial" w:eastAsia="Arial" w:hAnsi="Arial" w:cs="Arial"/>
        </w:rPr>
        <w:t>s</w:t>
      </w:r>
      <w:r w:rsidR="305E97B0" w:rsidRPr="4BE0582D">
        <w:rPr>
          <w:rFonts w:ascii="Arial" w:eastAsia="Arial" w:hAnsi="Arial" w:cs="Arial"/>
        </w:rPr>
        <w:t xml:space="preserve"> narrative reporting, and they are captured to some extent in Stories of Significant Change (against IO 6 which measures instances of improved quality of GBV/ disability policy frameworks through ACCESS technical support). However, the indicator does not measure changes in </w:t>
      </w:r>
      <w:r w:rsidR="00A2192B">
        <w:rPr>
          <w:rFonts w:ascii="Arial" w:eastAsia="Arial" w:hAnsi="Arial" w:cs="Arial"/>
        </w:rPr>
        <w:t xml:space="preserve">the </w:t>
      </w:r>
      <w:r w:rsidR="305E97B0" w:rsidRPr="4BE0582D">
        <w:rPr>
          <w:rFonts w:ascii="Arial" w:eastAsia="Arial" w:hAnsi="Arial" w:cs="Arial"/>
        </w:rPr>
        <w:t xml:space="preserve">awareness and attitudes </w:t>
      </w:r>
      <w:r w:rsidR="00A2192B">
        <w:rPr>
          <w:rFonts w:ascii="Arial" w:eastAsia="Arial" w:hAnsi="Arial" w:cs="Arial"/>
        </w:rPr>
        <w:t>of policy makers</w:t>
      </w:r>
      <w:r w:rsidR="305E97B0" w:rsidRPr="4BE0582D">
        <w:rPr>
          <w:rFonts w:ascii="Arial" w:eastAsia="Arial" w:hAnsi="Arial" w:cs="Arial"/>
        </w:rPr>
        <w:t xml:space="preserve">, as such. The program documents and interviews revealed much conversational data on relationships, but this is not clearly documented as part of normal data capture. Some of </w:t>
      </w:r>
      <w:r w:rsidR="00AD02D6">
        <w:rPr>
          <w:rFonts w:ascii="Arial" w:eastAsia="Arial" w:hAnsi="Arial" w:cs="Arial"/>
        </w:rPr>
        <w:t>ACCESS’</w:t>
      </w:r>
      <w:r w:rsidR="00CE526B">
        <w:rPr>
          <w:rFonts w:ascii="Arial" w:eastAsia="Arial" w:hAnsi="Arial" w:cs="Arial"/>
        </w:rPr>
        <w:t>s</w:t>
      </w:r>
      <w:r w:rsidR="305E97B0" w:rsidRPr="4BE0582D">
        <w:rPr>
          <w:rFonts w:ascii="Arial" w:eastAsia="Arial" w:hAnsi="Arial" w:cs="Arial"/>
        </w:rPr>
        <w:t xml:space="preserve"> influence on RGC may not be adequately captured in the MEL framework at this time. </w:t>
      </w:r>
    </w:p>
    <w:p w14:paraId="19FDF014" w14:textId="33BEF34A" w:rsidR="7BD182DA" w:rsidRDefault="00D97274" w:rsidP="001513DF">
      <w:pPr>
        <w:jc w:val="both"/>
        <w:rPr>
          <w:lang w:val="en-GB"/>
        </w:rPr>
      </w:pPr>
      <w:r w:rsidRPr="002F2780">
        <w:rPr>
          <w:rFonts w:eastAsiaTheme="minorEastAsia" w:cstheme="minorBidi"/>
          <w:b/>
          <w:bCs/>
        </w:rPr>
        <w:t xml:space="preserve">COVID-19 opened the door for conversations with RGC regarding </w:t>
      </w:r>
      <w:proofErr w:type="spellStart"/>
      <w:r w:rsidRPr="002F2780">
        <w:rPr>
          <w:rFonts w:eastAsiaTheme="minorEastAsia" w:cstheme="minorBidi"/>
          <w:b/>
          <w:bCs/>
        </w:rPr>
        <w:t>IDPoor</w:t>
      </w:r>
      <w:proofErr w:type="spellEnd"/>
      <w:r w:rsidRPr="002F2780">
        <w:rPr>
          <w:rFonts w:eastAsiaTheme="minorEastAsia" w:cstheme="minorBidi"/>
          <w:b/>
          <w:bCs/>
        </w:rPr>
        <w:t xml:space="preserve"> and social protection, which is a good start to addressing vulnerable people</w:t>
      </w:r>
      <w:r w:rsidR="00DF5C2F">
        <w:rPr>
          <w:rFonts w:eastAsiaTheme="minorEastAsia" w:cstheme="minorBidi"/>
          <w:b/>
          <w:bCs/>
        </w:rPr>
        <w:t>’</w:t>
      </w:r>
      <w:r w:rsidRPr="002F2780">
        <w:rPr>
          <w:rFonts w:eastAsiaTheme="minorEastAsia" w:cstheme="minorBidi"/>
          <w:b/>
          <w:bCs/>
        </w:rPr>
        <w:t>s access to services, especially disability</w:t>
      </w:r>
      <w:r w:rsidRPr="4BE0582D">
        <w:rPr>
          <w:rFonts w:eastAsiaTheme="minorEastAsia" w:cstheme="minorBidi"/>
        </w:rPr>
        <w:t xml:space="preserve">. This </w:t>
      </w:r>
      <w:r w:rsidRPr="4BE0582D">
        <w:rPr>
          <w:rFonts w:eastAsiaTheme="minorEastAsia" w:cstheme="minorBidi"/>
        </w:rPr>
        <w:lastRenderedPageBreak/>
        <w:t>conversation is opening the way for further discussion on how the government can shift away from the social welfare model towards right-based initiatives to services.</w:t>
      </w:r>
      <w:r>
        <w:rPr>
          <w:rFonts w:eastAsiaTheme="minorEastAsia" w:cstheme="minorBidi"/>
        </w:rPr>
        <w:t xml:space="preserve"> </w:t>
      </w:r>
    </w:p>
    <w:p w14:paraId="644D689D" w14:textId="15993A1C" w:rsidR="7BD182DA" w:rsidRDefault="00FD2BEE" w:rsidP="001513DF">
      <w:pPr>
        <w:pStyle w:val="NumberedList1"/>
        <w:spacing w:before="160"/>
        <w:ind w:left="0" w:firstLine="0"/>
        <w:jc w:val="both"/>
        <w:rPr>
          <w:color w:val="auto"/>
          <w:sz w:val="20"/>
          <w:szCs w:val="20"/>
        </w:rPr>
      </w:pPr>
      <w:bookmarkStart w:id="92" w:name="_Toc116371566"/>
      <w:r w:rsidRPr="59D65CDC">
        <w:rPr>
          <w:b/>
          <w:bCs/>
          <w:color w:val="auto"/>
          <w:sz w:val="20"/>
          <w:szCs w:val="20"/>
        </w:rPr>
        <w:t xml:space="preserve">There are </w:t>
      </w:r>
      <w:proofErr w:type="gramStart"/>
      <w:r w:rsidRPr="59D65CDC">
        <w:rPr>
          <w:b/>
          <w:bCs/>
          <w:color w:val="auto"/>
          <w:sz w:val="20"/>
          <w:szCs w:val="20"/>
        </w:rPr>
        <w:t>a number of</w:t>
      </w:r>
      <w:proofErr w:type="gramEnd"/>
      <w:r w:rsidR="305E97B0" w:rsidRPr="59D65CDC">
        <w:rPr>
          <w:color w:val="auto"/>
          <w:sz w:val="20"/>
          <w:szCs w:val="20"/>
        </w:rPr>
        <w:t xml:space="preserve"> </w:t>
      </w:r>
      <w:r w:rsidR="305E97B0" w:rsidRPr="59D65CDC">
        <w:rPr>
          <w:b/>
          <w:bCs/>
          <w:color w:val="auto"/>
          <w:sz w:val="20"/>
          <w:szCs w:val="20"/>
        </w:rPr>
        <w:t xml:space="preserve">examples </w:t>
      </w:r>
      <w:r w:rsidRPr="59D65CDC">
        <w:rPr>
          <w:b/>
          <w:bCs/>
          <w:color w:val="auto"/>
          <w:sz w:val="20"/>
          <w:szCs w:val="20"/>
        </w:rPr>
        <w:t>of ACCESS influencing o</w:t>
      </w:r>
      <w:r w:rsidR="305E97B0" w:rsidRPr="59D65CDC">
        <w:rPr>
          <w:b/>
          <w:bCs/>
          <w:color w:val="auto"/>
          <w:sz w:val="20"/>
          <w:szCs w:val="20"/>
        </w:rPr>
        <w:t>ther organisations</w:t>
      </w:r>
      <w:r w:rsidRPr="59D65CDC">
        <w:rPr>
          <w:b/>
          <w:bCs/>
          <w:color w:val="auto"/>
          <w:sz w:val="20"/>
          <w:szCs w:val="20"/>
        </w:rPr>
        <w:t>’ policies and practice</w:t>
      </w:r>
      <w:r w:rsidR="305E97B0" w:rsidRPr="59D65CDC">
        <w:rPr>
          <w:color w:val="auto"/>
          <w:sz w:val="20"/>
          <w:szCs w:val="20"/>
        </w:rPr>
        <w:t>. Starting with DFAT, ACCESS provided disability inclusion training to focal points within the Embassy, and it has delivered disability inclusive training to other investment partners. ACCESS see</w:t>
      </w:r>
      <w:r w:rsidR="00CE3BBE">
        <w:rPr>
          <w:color w:val="auto"/>
          <w:sz w:val="20"/>
          <w:szCs w:val="20"/>
        </w:rPr>
        <w:t>s</w:t>
      </w:r>
      <w:r w:rsidR="305E97B0" w:rsidRPr="59D65CDC">
        <w:rPr>
          <w:color w:val="auto"/>
          <w:sz w:val="20"/>
          <w:szCs w:val="20"/>
        </w:rPr>
        <w:t xml:space="preserve"> this as a value-add </w:t>
      </w:r>
      <w:proofErr w:type="gramStart"/>
      <w:r w:rsidR="305E97B0" w:rsidRPr="59D65CDC">
        <w:rPr>
          <w:color w:val="auto"/>
          <w:sz w:val="20"/>
          <w:szCs w:val="20"/>
        </w:rPr>
        <w:t>contribution, and</w:t>
      </w:r>
      <w:proofErr w:type="gramEnd"/>
      <w:r w:rsidR="305E97B0" w:rsidRPr="59D65CDC">
        <w:rPr>
          <w:color w:val="auto"/>
          <w:sz w:val="20"/>
          <w:szCs w:val="20"/>
        </w:rPr>
        <w:t xml:space="preserve"> would like to expand upon this with DFAT. ACCESS also advised the concept </w:t>
      </w:r>
      <w:proofErr w:type="gramStart"/>
      <w:r w:rsidR="305E97B0" w:rsidRPr="59D65CDC">
        <w:rPr>
          <w:color w:val="auto"/>
          <w:sz w:val="20"/>
          <w:szCs w:val="20"/>
        </w:rPr>
        <w:t>note</w:t>
      </w:r>
      <w:proofErr w:type="gramEnd"/>
      <w:r w:rsidR="305E97B0" w:rsidRPr="59D65CDC">
        <w:rPr>
          <w:color w:val="auto"/>
          <w:sz w:val="20"/>
          <w:szCs w:val="20"/>
        </w:rPr>
        <w:t xml:space="preserve"> for the forthcoming program on assistive devices led by the Clinton Health Access Initiative (CHAI) (see annexure on alignment for more details). Funded by US, </w:t>
      </w:r>
      <w:proofErr w:type="gramStart"/>
      <w:r w:rsidR="305E97B0" w:rsidRPr="59D65CDC">
        <w:rPr>
          <w:color w:val="auto"/>
          <w:sz w:val="20"/>
          <w:szCs w:val="20"/>
        </w:rPr>
        <w:t>UK</w:t>
      </w:r>
      <w:proofErr w:type="gramEnd"/>
      <w:r w:rsidR="305E97B0" w:rsidRPr="59D65CDC">
        <w:rPr>
          <w:color w:val="auto"/>
          <w:sz w:val="20"/>
          <w:szCs w:val="20"/>
        </w:rPr>
        <w:t xml:space="preserve"> and Demark, at this stage, ACCESS expertise has guided the design of this complementary program. Regarding the IPs themselves, partners such as CDPO and CWCC have enhanced the inclusiveness of their services on account of the exposure to GBV, GESI and disability, respectively. Another major institutional change is of course </w:t>
      </w:r>
      <w:proofErr w:type="spellStart"/>
      <w:r w:rsidR="305E97B0" w:rsidRPr="59D65CDC">
        <w:rPr>
          <w:color w:val="auto"/>
          <w:sz w:val="20"/>
          <w:szCs w:val="20"/>
        </w:rPr>
        <w:t>MoSVY</w:t>
      </w:r>
      <w:proofErr w:type="spellEnd"/>
      <w:r w:rsidR="305E97B0" w:rsidRPr="59D65CDC">
        <w:rPr>
          <w:color w:val="auto"/>
          <w:sz w:val="20"/>
          <w:szCs w:val="20"/>
        </w:rPr>
        <w:t xml:space="preserve"> embracing the recommendation to include people with disabilities within the national </w:t>
      </w:r>
      <w:proofErr w:type="spellStart"/>
      <w:r w:rsidR="305E97B0" w:rsidRPr="59D65CDC">
        <w:rPr>
          <w:color w:val="auto"/>
          <w:sz w:val="20"/>
          <w:szCs w:val="20"/>
        </w:rPr>
        <w:t>I</w:t>
      </w:r>
      <w:r w:rsidR="00CA3C1C" w:rsidRPr="59D65CDC">
        <w:rPr>
          <w:color w:val="auto"/>
          <w:sz w:val="20"/>
          <w:szCs w:val="20"/>
        </w:rPr>
        <w:t>D</w:t>
      </w:r>
      <w:r w:rsidR="305E97B0" w:rsidRPr="59D65CDC">
        <w:rPr>
          <w:color w:val="auto"/>
          <w:sz w:val="20"/>
          <w:szCs w:val="20"/>
        </w:rPr>
        <w:t>Poor</w:t>
      </w:r>
      <w:proofErr w:type="spellEnd"/>
      <w:r w:rsidR="305E97B0" w:rsidRPr="59D65CDC">
        <w:rPr>
          <w:color w:val="auto"/>
          <w:sz w:val="20"/>
          <w:szCs w:val="20"/>
        </w:rPr>
        <w:t xml:space="preserve"> card scheme. With finite funds available for poverty-targeted schemes, securing agreement to extend benefits to new groups reflects that ACCESS has influenced the settings of the organisation also. On GBV, </w:t>
      </w:r>
      <w:proofErr w:type="spellStart"/>
      <w:r w:rsidR="305E97B0" w:rsidRPr="59D65CDC">
        <w:rPr>
          <w:color w:val="auto"/>
          <w:sz w:val="20"/>
          <w:szCs w:val="20"/>
        </w:rPr>
        <w:t>M</w:t>
      </w:r>
      <w:r w:rsidR="00A2192B" w:rsidRPr="59D65CDC">
        <w:rPr>
          <w:color w:val="auto"/>
          <w:sz w:val="20"/>
          <w:szCs w:val="20"/>
        </w:rPr>
        <w:t>o</w:t>
      </w:r>
      <w:r w:rsidR="305E97B0" w:rsidRPr="59D65CDC">
        <w:rPr>
          <w:color w:val="auto"/>
          <w:sz w:val="20"/>
          <w:szCs w:val="20"/>
        </w:rPr>
        <w:t>WA</w:t>
      </w:r>
      <w:r w:rsidR="00A2192B" w:rsidRPr="59D65CDC">
        <w:rPr>
          <w:color w:val="auto"/>
          <w:sz w:val="20"/>
          <w:szCs w:val="20"/>
        </w:rPr>
        <w:t>’</w:t>
      </w:r>
      <w:r w:rsidR="305E97B0" w:rsidRPr="59D65CDC">
        <w:rPr>
          <w:color w:val="auto"/>
          <w:sz w:val="20"/>
          <w:szCs w:val="20"/>
        </w:rPr>
        <w:t>s</w:t>
      </w:r>
      <w:proofErr w:type="spellEnd"/>
      <w:r w:rsidR="305E97B0" w:rsidRPr="59D65CDC">
        <w:rPr>
          <w:color w:val="auto"/>
          <w:sz w:val="20"/>
          <w:szCs w:val="20"/>
        </w:rPr>
        <w:t xml:space="preserve"> approach to GBV is slowly being transformed with the increased evidence base presented by ACCESS. We can see shifts towards a multisectoral and case management approach. Several RGC officials noted that</w:t>
      </w:r>
      <w:r w:rsidR="108B756E" w:rsidRPr="59D65CDC">
        <w:rPr>
          <w:color w:val="auto"/>
          <w:sz w:val="20"/>
          <w:szCs w:val="20"/>
        </w:rPr>
        <w:t xml:space="preserve"> </w:t>
      </w:r>
      <w:r w:rsidR="006C71F8" w:rsidRPr="59D65CDC">
        <w:rPr>
          <w:color w:val="auto"/>
          <w:sz w:val="20"/>
          <w:szCs w:val="20"/>
        </w:rPr>
        <w:t xml:space="preserve">115 </w:t>
      </w:r>
      <w:r w:rsidR="305E97B0" w:rsidRPr="59D65CDC">
        <w:rPr>
          <w:color w:val="auto"/>
          <w:sz w:val="20"/>
          <w:szCs w:val="20"/>
        </w:rPr>
        <w:t xml:space="preserve">police at </w:t>
      </w:r>
      <w:r w:rsidR="0087378E" w:rsidRPr="59D65CDC">
        <w:rPr>
          <w:color w:val="auto"/>
          <w:sz w:val="20"/>
          <w:szCs w:val="20"/>
        </w:rPr>
        <w:t>sub-national</w:t>
      </w:r>
      <w:r w:rsidR="305E97B0" w:rsidRPr="59D65CDC">
        <w:rPr>
          <w:color w:val="auto"/>
          <w:sz w:val="20"/>
          <w:szCs w:val="20"/>
        </w:rPr>
        <w:t xml:space="preserve"> level involved in </w:t>
      </w:r>
      <w:r w:rsidR="0087378E" w:rsidRPr="59D65CDC">
        <w:rPr>
          <w:color w:val="auto"/>
          <w:sz w:val="20"/>
          <w:szCs w:val="20"/>
        </w:rPr>
        <w:t>sub-national</w:t>
      </w:r>
      <w:r w:rsidR="305E97B0" w:rsidRPr="59D65CDC">
        <w:rPr>
          <w:color w:val="auto"/>
          <w:sz w:val="20"/>
          <w:szCs w:val="20"/>
        </w:rPr>
        <w:t xml:space="preserve"> GBV Response Working Groups were participating in ACCESS GBV sensitisation training, and individual police officers reported adopting safer practices when interviewing GBV survivors. ACCESS inputs to strengthening the legal framework will also have a downstream effect on institutional practices and culture. Key examples include Guidelines on the Limited Use of Mediation and Guidelines for management of PRCs.</w:t>
      </w:r>
      <w:bookmarkEnd w:id="92"/>
    </w:p>
    <w:p w14:paraId="7E8F4C02" w14:textId="77777777" w:rsidR="00BF1042" w:rsidRPr="00A215D3" w:rsidRDefault="00BF1042" w:rsidP="00BF1042">
      <w:pPr>
        <w:pBdr>
          <w:top w:val="single" w:sz="8" w:space="1" w:color="1D336D" w:themeColor="background2"/>
          <w:left w:val="single" w:sz="8" w:space="4" w:color="1D336D" w:themeColor="background2"/>
          <w:bottom w:val="single" w:sz="8" w:space="1" w:color="1D336D" w:themeColor="background2"/>
          <w:right w:val="single" w:sz="8" w:space="4" w:color="1D336D" w:themeColor="background2"/>
        </w:pBdr>
        <w:shd w:val="clear" w:color="auto" w:fill="EBEFF9"/>
        <w:jc w:val="both"/>
        <w:rPr>
          <w:b/>
          <w:bCs/>
        </w:rPr>
      </w:pPr>
      <w:r w:rsidRPr="00A215D3">
        <w:rPr>
          <w:b/>
          <w:bCs/>
        </w:rPr>
        <w:t>Success Snapshot</w:t>
      </w:r>
    </w:p>
    <w:p w14:paraId="7F7E2239" w14:textId="028B44E1" w:rsidR="00BF1042" w:rsidRPr="00BF1042" w:rsidRDefault="00BF1042" w:rsidP="00BF1042">
      <w:pPr>
        <w:pBdr>
          <w:top w:val="single" w:sz="8" w:space="1" w:color="1D336D" w:themeColor="background2"/>
          <w:left w:val="single" w:sz="8" w:space="4" w:color="1D336D" w:themeColor="background2"/>
          <w:bottom w:val="single" w:sz="8" w:space="1" w:color="1D336D" w:themeColor="background2"/>
          <w:right w:val="single" w:sz="8" w:space="4" w:color="1D336D" w:themeColor="background2"/>
        </w:pBdr>
        <w:shd w:val="clear" w:color="auto" w:fill="EBEFF9"/>
        <w:jc w:val="both"/>
      </w:pPr>
      <w:r>
        <w:t xml:space="preserve">As a result of training provided through ACCESS, staff at the Kampong Cham Physical Rehabilitation </w:t>
      </w:r>
      <w:proofErr w:type="spellStart"/>
      <w:r>
        <w:t>Center</w:t>
      </w:r>
      <w:proofErr w:type="spellEnd"/>
      <w:r>
        <w:t xml:space="preserve"> have greater knowledge on </w:t>
      </w:r>
      <w:proofErr w:type="spellStart"/>
      <w:r>
        <w:t>center</w:t>
      </w:r>
      <w:proofErr w:type="spellEnd"/>
      <w:r>
        <w:t xml:space="preserve"> management, governance, leadership and planning. The overall management of the </w:t>
      </w:r>
      <w:proofErr w:type="spellStart"/>
      <w:r>
        <w:t>Center</w:t>
      </w:r>
      <w:proofErr w:type="spellEnd"/>
      <w:r>
        <w:t xml:space="preserve"> is reported to have improved, with staff having a greater understanding of their roles and procedures, and improved services being provided to clients. Clients of the PRC report the </w:t>
      </w:r>
      <w:proofErr w:type="spellStart"/>
      <w:r>
        <w:t>center</w:t>
      </w:r>
      <w:proofErr w:type="spellEnd"/>
      <w:r>
        <w:t xml:space="preserve"> stands out in comparison to others, feeling that staff give clients greater attention at Kampong Cham PRC and treat clients with more respect and kindness.</w:t>
      </w:r>
    </w:p>
    <w:p w14:paraId="715E1F8E" w14:textId="6467B5EE" w:rsidR="7BD182DA" w:rsidRDefault="00356B98" w:rsidP="00457DE0">
      <w:pPr>
        <w:pStyle w:val="Heading2"/>
      </w:pPr>
      <w:bookmarkStart w:id="93" w:name="_Toc116378183"/>
      <w:r>
        <w:t xml:space="preserve">Sustainability of </w:t>
      </w:r>
      <w:r w:rsidR="008844D5">
        <w:t>improvements to service delivery</w:t>
      </w:r>
      <w:bookmarkEnd w:id="93"/>
    </w:p>
    <w:p w14:paraId="6D7F25F7" w14:textId="5E0CFDD2" w:rsidR="00DA58B0" w:rsidRDefault="00DA58B0" w:rsidP="00A2192B">
      <w:pPr>
        <w:jc w:val="both"/>
        <w:rPr>
          <w:rFonts w:ascii="Arial" w:eastAsia="Arial" w:hAnsi="Arial" w:cs="Arial"/>
          <w:szCs w:val="20"/>
        </w:rPr>
      </w:pPr>
      <w:r w:rsidRPr="554CC3B8">
        <w:rPr>
          <w:rFonts w:ascii="Arial" w:eastAsia="Arial" w:hAnsi="Arial" w:cs="Arial"/>
          <w:b/>
          <w:bCs/>
          <w:szCs w:val="20"/>
        </w:rPr>
        <w:t>ACCESS has taken a comprehensive and staged approach to the capacity building of RGC and service providers.</w:t>
      </w:r>
      <w:r w:rsidRPr="554CC3B8">
        <w:rPr>
          <w:rFonts w:ascii="Arial" w:eastAsia="Arial" w:hAnsi="Arial" w:cs="Arial"/>
          <w:szCs w:val="20"/>
        </w:rPr>
        <w:t xml:space="preserve"> </w:t>
      </w:r>
      <w:r w:rsidR="004957F5" w:rsidRPr="5083990D">
        <w:rPr>
          <w:rFonts w:ascii="Arial" w:eastAsia="Arial" w:hAnsi="Arial" w:cs="Arial"/>
        </w:rPr>
        <w:t xml:space="preserve">Building capacity for service delivery is a natural pre-requisite to improving service delivery, </w:t>
      </w:r>
      <w:r w:rsidR="004957F5">
        <w:rPr>
          <w:rFonts w:ascii="Arial" w:eastAsia="Arial" w:hAnsi="Arial" w:cs="Arial"/>
        </w:rPr>
        <w:t xml:space="preserve">but the </w:t>
      </w:r>
      <w:r w:rsidRPr="554CC3B8">
        <w:rPr>
          <w:rFonts w:ascii="Arial" w:eastAsia="Arial" w:hAnsi="Arial" w:cs="Arial"/>
          <w:szCs w:val="20"/>
        </w:rPr>
        <w:t>crux of th</w:t>
      </w:r>
      <w:r w:rsidR="004957F5">
        <w:rPr>
          <w:rFonts w:ascii="Arial" w:eastAsia="Arial" w:hAnsi="Arial" w:cs="Arial"/>
          <w:szCs w:val="20"/>
        </w:rPr>
        <w:t xml:space="preserve">e sustainability issue </w:t>
      </w:r>
      <w:r w:rsidRPr="554CC3B8">
        <w:rPr>
          <w:rFonts w:ascii="Arial" w:eastAsia="Arial" w:hAnsi="Arial" w:cs="Arial"/>
          <w:szCs w:val="20"/>
        </w:rPr>
        <w:t xml:space="preserve">is </w:t>
      </w:r>
      <w:r w:rsidR="004957F5">
        <w:rPr>
          <w:rFonts w:ascii="Arial" w:eastAsia="Arial" w:hAnsi="Arial" w:cs="Arial"/>
          <w:szCs w:val="20"/>
        </w:rPr>
        <w:t>whether</w:t>
      </w:r>
      <w:r w:rsidRPr="554CC3B8">
        <w:rPr>
          <w:rFonts w:ascii="Arial" w:eastAsia="Arial" w:hAnsi="Arial" w:cs="Arial"/>
          <w:szCs w:val="20"/>
        </w:rPr>
        <w:t xml:space="preserve"> ACCESS training </w:t>
      </w:r>
      <w:r w:rsidR="004957F5">
        <w:rPr>
          <w:rFonts w:ascii="Arial" w:eastAsia="Arial" w:hAnsi="Arial" w:cs="Arial"/>
          <w:szCs w:val="20"/>
        </w:rPr>
        <w:t>has developed lasting service delivery</w:t>
      </w:r>
      <w:r w:rsidRPr="554CC3B8">
        <w:rPr>
          <w:rFonts w:ascii="Arial" w:eastAsia="Arial" w:hAnsi="Arial" w:cs="Arial"/>
          <w:szCs w:val="20"/>
        </w:rPr>
        <w:t xml:space="preserve"> competencies</w:t>
      </w:r>
      <w:r w:rsidR="004957F5">
        <w:rPr>
          <w:rFonts w:ascii="Arial" w:eastAsia="Arial" w:hAnsi="Arial" w:cs="Arial"/>
          <w:szCs w:val="20"/>
        </w:rPr>
        <w:t xml:space="preserve"> among those trained</w:t>
      </w:r>
      <w:r w:rsidRPr="554CC3B8">
        <w:rPr>
          <w:rFonts w:ascii="Arial" w:eastAsia="Arial" w:hAnsi="Arial" w:cs="Arial"/>
          <w:szCs w:val="20"/>
        </w:rPr>
        <w:t xml:space="preserve">. </w:t>
      </w:r>
      <w:r w:rsidR="004957F5">
        <w:rPr>
          <w:rFonts w:ascii="Arial" w:eastAsia="Arial" w:hAnsi="Arial" w:cs="Arial"/>
          <w:szCs w:val="20"/>
        </w:rPr>
        <w:t>A</w:t>
      </w:r>
      <w:r w:rsidR="004957F5" w:rsidRPr="554CC3B8">
        <w:rPr>
          <w:rFonts w:ascii="Arial" w:eastAsia="Arial" w:hAnsi="Arial" w:cs="Arial"/>
          <w:szCs w:val="20"/>
        </w:rPr>
        <w:t xml:space="preserve">necdotal evidence from this </w:t>
      </w:r>
      <w:r w:rsidR="004957F5">
        <w:rPr>
          <w:rFonts w:ascii="Arial" w:eastAsia="Arial" w:hAnsi="Arial" w:cs="Arial"/>
          <w:szCs w:val="20"/>
        </w:rPr>
        <w:t>evaluation</w:t>
      </w:r>
      <w:r w:rsidR="004957F5" w:rsidRPr="554CC3B8">
        <w:rPr>
          <w:rFonts w:ascii="Arial" w:eastAsia="Arial" w:hAnsi="Arial" w:cs="Arial"/>
          <w:szCs w:val="20"/>
        </w:rPr>
        <w:t xml:space="preserve"> </w:t>
      </w:r>
      <w:r w:rsidR="004957F5">
        <w:rPr>
          <w:rFonts w:ascii="Arial" w:eastAsia="Arial" w:hAnsi="Arial" w:cs="Arial"/>
          <w:szCs w:val="20"/>
        </w:rPr>
        <w:t xml:space="preserve">– across </w:t>
      </w:r>
      <w:r w:rsidR="004957F5" w:rsidRPr="554CC3B8">
        <w:rPr>
          <w:rFonts w:ascii="Arial" w:eastAsia="Arial" w:hAnsi="Arial" w:cs="Arial"/>
          <w:szCs w:val="20"/>
        </w:rPr>
        <w:t xml:space="preserve">stakeholders ranging from police, </w:t>
      </w:r>
      <w:proofErr w:type="spellStart"/>
      <w:r w:rsidR="004957F5" w:rsidRPr="554CC3B8">
        <w:rPr>
          <w:rFonts w:ascii="Arial" w:eastAsia="Arial" w:hAnsi="Arial" w:cs="Arial"/>
          <w:szCs w:val="20"/>
        </w:rPr>
        <w:t>PDoWA</w:t>
      </w:r>
      <w:proofErr w:type="spellEnd"/>
      <w:r w:rsidR="004957F5" w:rsidRPr="554CC3B8">
        <w:rPr>
          <w:rFonts w:ascii="Arial" w:eastAsia="Arial" w:hAnsi="Arial" w:cs="Arial"/>
          <w:szCs w:val="20"/>
        </w:rPr>
        <w:t xml:space="preserve"> and CCWC officials to IP partners </w:t>
      </w:r>
      <w:r w:rsidR="004957F5">
        <w:rPr>
          <w:rFonts w:ascii="Arial" w:eastAsia="Arial" w:hAnsi="Arial" w:cs="Arial"/>
          <w:szCs w:val="20"/>
        </w:rPr>
        <w:t xml:space="preserve">- </w:t>
      </w:r>
      <w:r w:rsidR="004957F5" w:rsidRPr="554CC3B8">
        <w:rPr>
          <w:rFonts w:ascii="Arial" w:eastAsia="Arial" w:hAnsi="Arial" w:cs="Arial"/>
          <w:szCs w:val="20"/>
        </w:rPr>
        <w:t xml:space="preserve">attest to having increased confidence and knowledge on people with disabilities and survivors of violence and their service needs. </w:t>
      </w:r>
      <w:r w:rsidR="004957F5">
        <w:rPr>
          <w:rFonts w:ascii="Arial" w:eastAsia="Arial" w:hAnsi="Arial" w:cs="Arial"/>
          <w:szCs w:val="20"/>
        </w:rPr>
        <w:t xml:space="preserve">However, the forthcoming SAQUS report with results from service providers will be an important source of verification about sustainable improvements to service delivery. ACCESS has been astute in training a cohort of master or </w:t>
      </w:r>
      <w:proofErr w:type="spellStart"/>
      <w:r w:rsidR="004957F5">
        <w:rPr>
          <w:rFonts w:ascii="Arial" w:eastAsia="Arial" w:hAnsi="Arial" w:cs="Arial"/>
          <w:szCs w:val="20"/>
        </w:rPr>
        <w:t>ToT</w:t>
      </w:r>
      <w:proofErr w:type="spellEnd"/>
      <w:r w:rsidR="004957F5">
        <w:rPr>
          <w:rFonts w:ascii="Arial" w:eastAsia="Arial" w:hAnsi="Arial" w:cs="Arial"/>
          <w:szCs w:val="20"/>
        </w:rPr>
        <w:t xml:space="preserve"> trainers so that expertise resides in more than one individual. However, o</w:t>
      </w:r>
      <w:r w:rsidRPr="554CC3B8">
        <w:rPr>
          <w:rFonts w:ascii="Arial" w:eastAsia="Arial" w:hAnsi="Arial" w:cs="Arial"/>
          <w:szCs w:val="20"/>
        </w:rPr>
        <w:t xml:space="preserve">ne word of qualification is that training has used </w:t>
      </w:r>
      <w:r w:rsidR="00BE24A1">
        <w:rPr>
          <w:rFonts w:ascii="Arial" w:eastAsia="Arial" w:hAnsi="Arial" w:cs="Arial"/>
          <w:szCs w:val="20"/>
        </w:rPr>
        <w:t>a</w:t>
      </w:r>
      <w:r w:rsidRPr="554CC3B8">
        <w:rPr>
          <w:rFonts w:ascii="Arial" w:eastAsia="Arial" w:hAnsi="Arial" w:cs="Arial"/>
          <w:szCs w:val="20"/>
        </w:rPr>
        <w:t xml:space="preserve"> cascade mode</w:t>
      </w:r>
      <w:r w:rsidR="004957F5">
        <w:rPr>
          <w:rFonts w:ascii="Arial" w:eastAsia="Arial" w:hAnsi="Arial" w:cs="Arial"/>
          <w:szCs w:val="20"/>
        </w:rPr>
        <w:t>l – whereby one training graduate goes on to train another</w:t>
      </w:r>
      <w:r w:rsidRPr="554CC3B8">
        <w:rPr>
          <w:rFonts w:ascii="Arial" w:eastAsia="Arial" w:hAnsi="Arial" w:cs="Arial"/>
          <w:szCs w:val="20"/>
        </w:rPr>
        <w:t xml:space="preserve">. There are debates about whether the quality of the training and the skill in imparting knowledge diminishes with each wave of </w:t>
      </w:r>
      <w:r w:rsidR="004957F5">
        <w:rPr>
          <w:rFonts w:ascii="Arial" w:eastAsia="Arial" w:hAnsi="Arial" w:cs="Arial"/>
          <w:szCs w:val="20"/>
        </w:rPr>
        <w:t xml:space="preserve">cascade </w:t>
      </w:r>
      <w:r w:rsidRPr="554CC3B8">
        <w:rPr>
          <w:rFonts w:ascii="Arial" w:eastAsia="Arial" w:hAnsi="Arial" w:cs="Arial"/>
          <w:szCs w:val="20"/>
        </w:rPr>
        <w:t>training</w:t>
      </w:r>
      <w:r w:rsidR="004957F5">
        <w:rPr>
          <w:rFonts w:ascii="Arial" w:eastAsia="Arial" w:hAnsi="Arial" w:cs="Arial"/>
          <w:szCs w:val="20"/>
        </w:rPr>
        <w:t xml:space="preserve">. </w:t>
      </w:r>
      <w:r w:rsidR="00AC2DD6">
        <w:rPr>
          <w:rFonts w:ascii="Arial" w:eastAsia="Arial" w:hAnsi="Arial" w:cs="Arial"/>
          <w:szCs w:val="20"/>
        </w:rPr>
        <w:t>Th</w:t>
      </w:r>
      <w:r w:rsidRPr="554CC3B8">
        <w:rPr>
          <w:rFonts w:ascii="Arial" w:eastAsia="Arial" w:hAnsi="Arial" w:cs="Arial"/>
          <w:szCs w:val="20"/>
        </w:rPr>
        <w:t>e</w:t>
      </w:r>
      <w:r w:rsidR="004957F5">
        <w:rPr>
          <w:rFonts w:ascii="Arial" w:eastAsia="Arial" w:hAnsi="Arial" w:cs="Arial"/>
          <w:szCs w:val="20"/>
        </w:rPr>
        <w:t>re may be merit in follow up or spot checks</w:t>
      </w:r>
      <w:r w:rsidR="00AC2DD6">
        <w:rPr>
          <w:rFonts w:ascii="Arial" w:eastAsia="Arial" w:hAnsi="Arial" w:cs="Arial"/>
          <w:szCs w:val="20"/>
        </w:rPr>
        <w:t xml:space="preserve"> at</w:t>
      </w:r>
      <w:r w:rsidR="004957F5">
        <w:rPr>
          <w:rFonts w:ascii="Arial" w:eastAsia="Arial" w:hAnsi="Arial" w:cs="Arial"/>
          <w:szCs w:val="20"/>
        </w:rPr>
        <w:t xml:space="preserve"> the end of ACCESS. </w:t>
      </w:r>
    </w:p>
    <w:p w14:paraId="5344AB43" w14:textId="0DB2C3FF" w:rsidR="7BD182DA" w:rsidRDefault="305E97B0" w:rsidP="00A2192B">
      <w:pPr>
        <w:jc w:val="both"/>
        <w:rPr>
          <w:rFonts w:eastAsiaTheme="minorEastAsia" w:cstheme="minorBidi"/>
        </w:rPr>
      </w:pPr>
      <w:r w:rsidRPr="4BE0582D">
        <w:rPr>
          <w:rFonts w:eastAsiaTheme="minorEastAsia" w:cstheme="minorBidi"/>
          <w:b/>
        </w:rPr>
        <w:t>When considering people with disability and survivors of violence as vulnerable groups, there are examples where change in IP practice mean that some improvements in service delivery will endure beyond ACCESS.</w:t>
      </w:r>
      <w:r w:rsidRPr="4BE0582D">
        <w:rPr>
          <w:rFonts w:eastAsiaTheme="minorEastAsia" w:cstheme="minorBidi"/>
        </w:rPr>
        <w:t xml:space="preserve"> These include CWCC and ADD taking an intersectional lens to their activities and services, and changes reported by referral network members</w:t>
      </w:r>
      <w:r w:rsidR="004957F5">
        <w:rPr>
          <w:rFonts w:eastAsiaTheme="minorEastAsia" w:cstheme="minorBidi"/>
        </w:rPr>
        <w:t>,</w:t>
      </w:r>
      <w:r w:rsidRPr="4BE0582D">
        <w:rPr>
          <w:rFonts w:eastAsiaTheme="minorEastAsia" w:cstheme="minorBidi"/>
        </w:rPr>
        <w:t xml:space="preserve"> as noted above. When considering groups such as ethnic minorities, CARE’s work i</w:t>
      </w:r>
      <w:r w:rsidR="006509A9">
        <w:rPr>
          <w:rFonts w:eastAsiaTheme="minorEastAsia" w:cstheme="minorBidi"/>
        </w:rPr>
        <w:t>n</w:t>
      </w:r>
      <w:r w:rsidRPr="4BE0582D">
        <w:rPr>
          <w:rFonts w:eastAsiaTheme="minorEastAsia" w:cstheme="minorBidi"/>
        </w:rPr>
        <w:t xml:space="preserve"> </w:t>
      </w:r>
      <w:proofErr w:type="spellStart"/>
      <w:r w:rsidRPr="4BE0582D">
        <w:rPr>
          <w:rFonts w:eastAsiaTheme="minorEastAsia" w:cstheme="minorBidi"/>
        </w:rPr>
        <w:t>Ratanakiri</w:t>
      </w:r>
      <w:proofErr w:type="spellEnd"/>
      <w:r w:rsidRPr="4BE0582D">
        <w:rPr>
          <w:rFonts w:eastAsiaTheme="minorEastAsia" w:cstheme="minorBidi"/>
        </w:rPr>
        <w:t xml:space="preserve"> may endure in part. </w:t>
      </w:r>
      <w:r w:rsidR="003F1EAA">
        <w:rPr>
          <w:rFonts w:eastAsiaTheme="minorEastAsia" w:cstheme="minorBidi"/>
        </w:rPr>
        <w:t>If funding ceased this may risk some of the gains</w:t>
      </w:r>
      <w:r w:rsidR="004C18A5">
        <w:rPr>
          <w:rFonts w:eastAsiaTheme="minorEastAsia" w:cstheme="minorBidi"/>
        </w:rPr>
        <w:t xml:space="preserve"> made</w:t>
      </w:r>
      <w:r w:rsidR="003F1EAA">
        <w:rPr>
          <w:rFonts w:eastAsiaTheme="minorEastAsia" w:cstheme="minorBidi"/>
        </w:rPr>
        <w:t xml:space="preserve">, however </w:t>
      </w:r>
      <w:r w:rsidRPr="4BE0582D">
        <w:rPr>
          <w:rFonts w:eastAsiaTheme="minorEastAsia" w:cstheme="minorBidi"/>
        </w:rPr>
        <w:t xml:space="preserve">CARE is effectively building a pool of local staff who will be able to provide GBV services long </w:t>
      </w:r>
      <w:r w:rsidRPr="4BE0582D">
        <w:rPr>
          <w:rFonts w:eastAsiaTheme="minorEastAsia" w:cstheme="minorBidi"/>
        </w:rPr>
        <w:lastRenderedPageBreak/>
        <w:t xml:space="preserve">after CARE completes its project. Local staff with extensive training from ACCESS and years of experience in the </w:t>
      </w:r>
      <w:proofErr w:type="spellStart"/>
      <w:r w:rsidRPr="4BE0582D">
        <w:rPr>
          <w:rFonts w:eastAsiaTheme="minorEastAsia" w:cstheme="minorBidi"/>
        </w:rPr>
        <w:t>Ratanakiri</w:t>
      </w:r>
      <w:proofErr w:type="spellEnd"/>
      <w:r w:rsidRPr="4BE0582D">
        <w:rPr>
          <w:rFonts w:eastAsiaTheme="minorEastAsia" w:cstheme="minorBidi"/>
        </w:rPr>
        <w:t xml:space="preserve"> program will be well-placed to practice their skills in government hospitals and clinics. Staff may also be equipped to run GBV sensitisation courses which may benefit government-run clinics. Included in the CARE pilot is the work to reach </w:t>
      </w:r>
      <w:r w:rsidR="008C6896">
        <w:rPr>
          <w:rFonts w:eastAsiaTheme="minorEastAsia" w:cstheme="minorBidi"/>
        </w:rPr>
        <w:t>I</w:t>
      </w:r>
      <w:r w:rsidRPr="4BE0582D">
        <w:rPr>
          <w:rFonts w:eastAsiaTheme="minorEastAsia" w:cstheme="minorBidi"/>
        </w:rPr>
        <w:t xml:space="preserve">ndigenous people, and although this is only one province, this work is incredibly important as a pilot that demonstrates how GBV multisectoral services can be responsive and respectful to this community.  </w:t>
      </w:r>
    </w:p>
    <w:p w14:paraId="23EDB32B" w14:textId="3BC9BA30" w:rsidR="00CD46A9" w:rsidRPr="007825FE" w:rsidRDefault="00CD46A9" w:rsidP="00A2192B">
      <w:pPr>
        <w:jc w:val="both"/>
        <w:rPr>
          <w:rFonts w:ascii="Arial" w:eastAsia="Arial" w:hAnsi="Arial" w:cs="Arial"/>
          <w:szCs w:val="20"/>
        </w:rPr>
      </w:pPr>
      <w:r w:rsidRPr="00952C7C">
        <w:rPr>
          <w:rFonts w:ascii="Arial" w:eastAsia="Arial" w:hAnsi="Arial" w:cs="Arial"/>
          <w:b/>
          <w:bCs/>
          <w:szCs w:val="20"/>
        </w:rPr>
        <w:t>There were conflicting views between stakeholders about who owns and drives the ACCE</w:t>
      </w:r>
      <w:r>
        <w:rPr>
          <w:rFonts w:ascii="Arial" w:eastAsia="Arial" w:hAnsi="Arial" w:cs="Arial"/>
          <w:b/>
          <w:bCs/>
          <w:szCs w:val="20"/>
        </w:rPr>
        <w:t>S</w:t>
      </w:r>
      <w:r w:rsidRPr="00952C7C">
        <w:rPr>
          <w:rFonts w:ascii="Arial" w:eastAsia="Arial" w:hAnsi="Arial" w:cs="Arial"/>
          <w:b/>
          <w:bCs/>
          <w:szCs w:val="20"/>
        </w:rPr>
        <w:t>S program and is responsible for achievement of its outcomes</w:t>
      </w:r>
      <w:r w:rsidRPr="554CC3B8">
        <w:rPr>
          <w:rFonts w:ascii="Arial" w:eastAsia="Arial" w:hAnsi="Arial" w:cs="Arial"/>
          <w:szCs w:val="20"/>
        </w:rPr>
        <w:t>. Cultivating ownership is not straightforward in donor-designed projects, without budget support</w:t>
      </w:r>
      <w:r>
        <w:rPr>
          <w:rFonts w:ascii="Arial" w:eastAsia="Arial" w:hAnsi="Arial" w:cs="Arial"/>
          <w:szCs w:val="20"/>
        </w:rPr>
        <w:t xml:space="preserve">. </w:t>
      </w:r>
      <w:r w:rsidRPr="554CC3B8">
        <w:rPr>
          <w:rFonts w:ascii="Arial" w:eastAsia="Arial" w:hAnsi="Arial" w:cs="Arial"/>
          <w:szCs w:val="20"/>
        </w:rPr>
        <w:t>While described by ACCESS as an RGC program, the evaluation found that RGC stakeholders referred to the program as belonging to Australia or the managing contractor. (This contra</w:t>
      </w:r>
      <w:r>
        <w:rPr>
          <w:rFonts w:ascii="Arial" w:eastAsia="Arial" w:hAnsi="Arial" w:cs="Arial"/>
          <w:szCs w:val="20"/>
        </w:rPr>
        <w:t>s</w:t>
      </w:r>
      <w:r w:rsidRPr="554CC3B8">
        <w:rPr>
          <w:rFonts w:ascii="Arial" w:eastAsia="Arial" w:hAnsi="Arial" w:cs="Arial"/>
          <w:szCs w:val="20"/>
        </w:rPr>
        <w:t xml:space="preserve">ts with findings of the Rapid Internal </w:t>
      </w:r>
      <w:r>
        <w:rPr>
          <w:rFonts w:ascii="Arial" w:eastAsia="Arial" w:hAnsi="Arial" w:cs="Arial"/>
          <w:szCs w:val="20"/>
        </w:rPr>
        <w:t>Review</w:t>
      </w:r>
      <w:r w:rsidRPr="554CC3B8">
        <w:rPr>
          <w:rFonts w:ascii="Arial" w:eastAsia="Arial" w:hAnsi="Arial" w:cs="Arial"/>
          <w:szCs w:val="20"/>
        </w:rPr>
        <w:t xml:space="preserve"> in 2020). ACCESS engagement with RGC has been extensive however th</w:t>
      </w:r>
      <w:r>
        <w:rPr>
          <w:rFonts w:ascii="Arial" w:eastAsia="Arial" w:hAnsi="Arial" w:cs="Arial"/>
          <w:szCs w:val="20"/>
        </w:rPr>
        <w:t>is</w:t>
      </w:r>
      <w:r w:rsidRPr="554CC3B8">
        <w:rPr>
          <w:rFonts w:ascii="Arial" w:eastAsia="Arial" w:hAnsi="Arial" w:cs="Arial"/>
          <w:szCs w:val="20"/>
        </w:rPr>
        <w:t xml:space="preserve"> </w:t>
      </w:r>
      <w:r>
        <w:rPr>
          <w:rFonts w:ascii="Arial" w:eastAsia="Arial" w:hAnsi="Arial" w:cs="Arial"/>
          <w:szCs w:val="20"/>
        </w:rPr>
        <w:t>evaluation</w:t>
      </w:r>
      <w:r w:rsidRPr="554CC3B8">
        <w:rPr>
          <w:rFonts w:ascii="Arial" w:eastAsia="Arial" w:hAnsi="Arial" w:cs="Arial"/>
          <w:szCs w:val="20"/>
        </w:rPr>
        <w:t xml:space="preserve"> found limitations relating to </w:t>
      </w:r>
      <w:r w:rsidR="00AD02D6">
        <w:rPr>
          <w:rFonts w:ascii="Arial" w:eastAsia="Arial" w:hAnsi="Arial" w:cs="Arial"/>
          <w:szCs w:val="20"/>
        </w:rPr>
        <w:t>ACCESS’</w:t>
      </w:r>
      <w:r w:rsidR="009F2B4C">
        <w:rPr>
          <w:rFonts w:ascii="Arial" w:eastAsia="Arial" w:hAnsi="Arial" w:cs="Arial"/>
          <w:szCs w:val="20"/>
        </w:rPr>
        <w:t>s</w:t>
      </w:r>
      <w:r w:rsidRPr="554CC3B8">
        <w:rPr>
          <w:rFonts w:ascii="Arial" w:eastAsia="Arial" w:hAnsi="Arial" w:cs="Arial"/>
          <w:szCs w:val="20"/>
        </w:rPr>
        <w:t xml:space="preserve"> sphere of influence which hindered the program’s ability to achieve outcomes, especially on financial sustainability. A clear understanding of </w:t>
      </w:r>
      <w:r w:rsidR="00AD02D6">
        <w:rPr>
          <w:rFonts w:ascii="Arial" w:eastAsia="Arial" w:hAnsi="Arial" w:cs="Arial"/>
          <w:szCs w:val="20"/>
        </w:rPr>
        <w:t>ACCESS’</w:t>
      </w:r>
      <w:r w:rsidR="009F2B4C">
        <w:rPr>
          <w:rFonts w:ascii="Arial" w:eastAsia="Arial" w:hAnsi="Arial" w:cs="Arial"/>
          <w:szCs w:val="20"/>
        </w:rPr>
        <w:t>s</w:t>
      </w:r>
      <w:r w:rsidRPr="554CC3B8">
        <w:rPr>
          <w:rFonts w:ascii="Arial" w:eastAsia="Arial" w:hAnsi="Arial" w:cs="Arial"/>
          <w:szCs w:val="20"/>
        </w:rPr>
        <w:t xml:space="preserve"> role as a </w:t>
      </w:r>
      <w:r w:rsidRPr="554CC3B8">
        <w:rPr>
          <w:rFonts w:ascii="Arial" w:eastAsia="Arial" w:hAnsi="Arial" w:cs="Arial"/>
          <w:i/>
          <w:iCs/>
          <w:szCs w:val="20"/>
        </w:rPr>
        <w:t>supporter</w:t>
      </w:r>
      <w:r w:rsidRPr="554CC3B8">
        <w:rPr>
          <w:rFonts w:ascii="Arial" w:eastAsia="Arial" w:hAnsi="Arial" w:cs="Arial"/>
          <w:szCs w:val="20"/>
        </w:rPr>
        <w:t xml:space="preserve"> to the RGC’s implementation of NDSP and NAPVAW is critical to the success and sustainability of the program. It appears ACCESS continues to hold responsibility for achieving these </w:t>
      </w:r>
      <w:proofErr w:type="gramStart"/>
      <w:r w:rsidRPr="554CC3B8">
        <w:rPr>
          <w:rFonts w:ascii="Arial" w:eastAsia="Arial" w:hAnsi="Arial" w:cs="Arial"/>
          <w:szCs w:val="20"/>
        </w:rPr>
        <w:t>goals, when</w:t>
      </w:r>
      <w:proofErr w:type="gramEnd"/>
      <w:r w:rsidRPr="554CC3B8">
        <w:rPr>
          <w:rFonts w:ascii="Arial" w:eastAsia="Arial" w:hAnsi="Arial" w:cs="Arial"/>
          <w:szCs w:val="20"/>
        </w:rPr>
        <w:t xml:space="preserve"> the onus for achieving them is best placed with RGC. </w:t>
      </w:r>
    </w:p>
    <w:p w14:paraId="06E810EF" w14:textId="41C11CAD" w:rsidR="7BD182DA" w:rsidRDefault="305E97B0" w:rsidP="00A2192B">
      <w:pPr>
        <w:jc w:val="both"/>
        <w:rPr>
          <w:rFonts w:eastAsiaTheme="minorEastAsia" w:cstheme="minorBidi"/>
        </w:rPr>
      </w:pPr>
      <w:r w:rsidRPr="184FE02C">
        <w:rPr>
          <w:rFonts w:eastAsiaTheme="minorEastAsia" w:cstheme="minorBidi"/>
        </w:rPr>
        <w:t xml:space="preserve">Ultimately, the major impediment to service delivery being sustainable is the allocation of finances. State services supported by IPs will remain unsustainable until core funding is embedded within recurrent government budgets. Unfortunately, the changed focus from PFM to CIPs is unlikely to improve the probability of ministries adding budget lines to cover GBV and disability services. </w:t>
      </w:r>
    </w:p>
    <w:p w14:paraId="6DD7292F" w14:textId="77777777" w:rsidR="005F0CFC" w:rsidRPr="00214AC1" w:rsidRDefault="005F0CFC" w:rsidP="005F0CFC">
      <w:pPr>
        <w:pBdr>
          <w:top w:val="single" w:sz="8" w:space="1" w:color="1D336D" w:themeColor="background2"/>
          <w:left w:val="single" w:sz="8" w:space="4" w:color="1D336D" w:themeColor="background2"/>
          <w:bottom w:val="single" w:sz="8" w:space="1" w:color="1D336D" w:themeColor="background2"/>
          <w:right w:val="single" w:sz="8" w:space="4" w:color="1D336D" w:themeColor="background2"/>
        </w:pBdr>
        <w:shd w:val="clear" w:color="auto" w:fill="EBEFF9"/>
        <w:rPr>
          <w:b/>
          <w:bCs/>
        </w:rPr>
      </w:pPr>
      <w:r w:rsidRPr="00214AC1">
        <w:rPr>
          <w:b/>
          <w:bCs/>
        </w:rPr>
        <w:t>Success Snapshot</w:t>
      </w:r>
    </w:p>
    <w:p w14:paraId="7253F12C" w14:textId="77777777" w:rsidR="005F0CFC" w:rsidRPr="00096F77" w:rsidRDefault="005F0CFC" w:rsidP="005F0CFC">
      <w:pPr>
        <w:pBdr>
          <w:top w:val="single" w:sz="8" w:space="1" w:color="1D336D" w:themeColor="background2"/>
          <w:left w:val="single" w:sz="8" w:space="4" w:color="1D336D" w:themeColor="background2"/>
          <w:bottom w:val="single" w:sz="8" w:space="1" w:color="1D336D" w:themeColor="background2"/>
          <w:right w:val="single" w:sz="8" w:space="4" w:color="1D336D" w:themeColor="background2"/>
        </w:pBdr>
        <w:shd w:val="clear" w:color="auto" w:fill="EBEFF9"/>
        <w:jc w:val="both"/>
      </w:pPr>
      <w:r>
        <w:t xml:space="preserve">In Kampong </w:t>
      </w:r>
      <w:proofErr w:type="spellStart"/>
      <w:r>
        <w:t>Speu</w:t>
      </w:r>
      <w:proofErr w:type="spellEnd"/>
      <w:r>
        <w:t xml:space="preserve">, training delivered by the Legal Aid of Cambodia is reportedly contributing to improved capacity among service providers to respond effectively and appropriately to cases of GBV and has supported better coordination between GBV responders. Notably, CCWC focal points report increased confidence in their knowledge of different types of violence and ways of responding and feel better equipped to undertake mediation and assist women seeking support, including through counselling with survivors. Relationships between CCWC and Police have reportedly improved, with Police participation in the LAC training credited as supporting improved collaboration, stronger networks between service providers, and shared understandings of how to respond to cases. Increasingly, mediation is only being used in cases involving verbal abuse or quarrels, with more serious cases of violence, including any cases involving aspects of physical violence, being reported to police to manage. </w:t>
      </w:r>
    </w:p>
    <w:p w14:paraId="2653C407" w14:textId="37B2F95B" w:rsidR="7BD182DA" w:rsidRDefault="005F0CFC" w:rsidP="005F0CFC">
      <w:pPr>
        <w:pStyle w:val="Heading2"/>
      </w:pPr>
      <w:r>
        <w:t>Lessons Learned</w:t>
      </w:r>
    </w:p>
    <w:p w14:paraId="7E81387A" w14:textId="77777777" w:rsidR="005F0CFC" w:rsidRDefault="005F0CFC" w:rsidP="005F0CFC">
      <w:pPr>
        <w:pStyle w:val="ListParagraph"/>
        <w:numPr>
          <w:ilvl w:val="0"/>
          <w:numId w:val="44"/>
        </w:numPr>
        <w:ind w:left="714" w:hanging="357"/>
        <w:contextualSpacing w:val="0"/>
        <w:jc w:val="both"/>
        <w:rPr>
          <w:rFonts w:ascii="Arial" w:eastAsia="Arial" w:hAnsi="Arial" w:cs="Arial"/>
          <w:szCs w:val="20"/>
        </w:rPr>
      </w:pPr>
      <w:r w:rsidRPr="0318F25C">
        <w:rPr>
          <w:rFonts w:ascii="Arial" w:eastAsia="Arial" w:hAnsi="Arial" w:cs="Arial"/>
          <w:szCs w:val="20"/>
        </w:rPr>
        <w:t xml:space="preserve">Choosing to work closely with RGC has been critical to some of </w:t>
      </w:r>
      <w:r>
        <w:rPr>
          <w:rFonts w:ascii="Arial" w:eastAsia="Arial" w:hAnsi="Arial" w:cs="Arial"/>
          <w:szCs w:val="20"/>
        </w:rPr>
        <w:t>ACCESS’s</w:t>
      </w:r>
      <w:r w:rsidRPr="0318F25C">
        <w:rPr>
          <w:rFonts w:ascii="Arial" w:eastAsia="Arial" w:hAnsi="Arial" w:cs="Arial"/>
          <w:szCs w:val="20"/>
        </w:rPr>
        <w:t xml:space="preserve"> strongest outcomes. This technical assistance strand of work has been important in the context of no-budget support.</w:t>
      </w:r>
    </w:p>
    <w:p w14:paraId="5635D5B0" w14:textId="77777777" w:rsidR="005F0CFC" w:rsidRDefault="005F0CFC" w:rsidP="005F0CFC">
      <w:pPr>
        <w:pStyle w:val="ListParagraph"/>
        <w:numPr>
          <w:ilvl w:val="0"/>
          <w:numId w:val="44"/>
        </w:numPr>
        <w:ind w:left="714" w:hanging="357"/>
        <w:contextualSpacing w:val="0"/>
        <w:jc w:val="both"/>
        <w:rPr>
          <w:rFonts w:ascii="Arial" w:eastAsia="Arial" w:hAnsi="Arial" w:cs="Arial"/>
          <w:szCs w:val="20"/>
        </w:rPr>
      </w:pPr>
      <w:r w:rsidRPr="0318F25C">
        <w:rPr>
          <w:rFonts w:ascii="Arial" w:eastAsia="Arial" w:hAnsi="Arial" w:cs="Arial"/>
          <w:szCs w:val="20"/>
        </w:rPr>
        <w:t xml:space="preserve">The competitive mechanism for engaging IPs and decision not to fund DSAs created further hurdles to building government engagement and sustainable partnerships for long-term improvements to service delivery.  </w:t>
      </w:r>
    </w:p>
    <w:p w14:paraId="22E8ABBC" w14:textId="5F90EF36" w:rsidR="005F0CFC" w:rsidRPr="005F0CFC" w:rsidRDefault="005F0CFC" w:rsidP="005F0CFC">
      <w:pPr>
        <w:pStyle w:val="ListParagraph"/>
        <w:numPr>
          <w:ilvl w:val="0"/>
          <w:numId w:val="44"/>
        </w:numPr>
        <w:ind w:left="714" w:hanging="357"/>
        <w:contextualSpacing w:val="0"/>
        <w:jc w:val="both"/>
        <w:rPr>
          <w:rFonts w:ascii="Arial" w:eastAsia="Arial" w:hAnsi="Arial" w:cs="Arial"/>
          <w:szCs w:val="20"/>
        </w:rPr>
      </w:pPr>
      <w:r w:rsidRPr="005F0CFC">
        <w:rPr>
          <w:rFonts w:ascii="Arial" w:eastAsia="Arial" w:hAnsi="Arial" w:cs="Arial"/>
          <w:szCs w:val="20"/>
        </w:rPr>
        <w:t>There are diverging views about the program’s sphere of influence and who holds the responsibility and influence for achieving the end of program outcomes – RGC, ACCESS or IPs?</w:t>
      </w:r>
    </w:p>
    <w:p w14:paraId="79D6DC99" w14:textId="3A89EE90" w:rsidR="572F31A0" w:rsidRPr="00890775" w:rsidRDefault="00BF11FD" w:rsidP="005F0CFC">
      <w:pPr>
        <w:spacing w:before="360" w:after="40" w:line="240" w:lineRule="auto"/>
        <w:jc w:val="both"/>
      </w:pPr>
      <w:hyperlink r:id="rId31" w:anchor="_ftnref1" w:history="1">
        <w:r w:rsidR="0072792C" w:rsidRPr="00701509">
          <w:rPr>
            <w:rStyle w:val="Hyperlink"/>
            <w:rFonts w:ascii="Arial" w:eastAsia="Calibri" w:hAnsi="Arial" w:cs="Arial"/>
            <w:sz w:val="16"/>
            <w:szCs w:val="16"/>
            <w:vertAlign w:val="superscript"/>
            <w:lang w:val=""/>
          </w:rPr>
          <w:t>[1]</w:t>
        </w:r>
      </w:hyperlink>
      <w:r w:rsidR="0072792C" w:rsidRPr="00701509">
        <w:rPr>
          <w:rFonts w:ascii="Arial" w:eastAsia="Calibri" w:hAnsi="Arial" w:cs="Arial"/>
          <w:sz w:val="16"/>
          <w:szCs w:val="16"/>
          <w:lang w:val=""/>
        </w:rPr>
        <w:t xml:space="preserve"> </w:t>
      </w:r>
      <w:r w:rsidR="0072792C" w:rsidRPr="00701509">
        <w:rPr>
          <w:rFonts w:ascii="Arial" w:eastAsia="Calibri" w:hAnsi="Arial" w:cs="Arial"/>
          <w:sz w:val="16"/>
          <w:szCs w:val="16"/>
        </w:rPr>
        <w:t>S. Laurel Weldon &amp; Mala Htun (2013) Feminist mobilisation and progressive policy change: why governments take action to combat violence against women, Gender &amp; Development, 21:2, 231-247</w:t>
      </w:r>
    </w:p>
    <w:p w14:paraId="08638B63" w14:textId="6E709A6D" w:rsidR="00350E9A" w:rsidRDefault="00350E9A" w:rsidP="008E5E26">
      <w:pPr>
        <w:pStyle w:val="ChapterHeading"/>
      </w:pPr>
      <w:bookmarkStart w:id="94" w:name="_Toc116328078"/>
      <w:bookmarkStart w:id="95" w:name="_Toc116371567"/>
      <w:bookmarkStart w:id="96" w:name="_Toc116371761"/>
      <w:bookmarkStart w:id="97" w:name="_Toc116378184"/>
      <w:bookmarkStart w:id="98" w:name="_Toc122460802"/>
      <w:r>
        <w:lastRenderedPageBreak/>
        <w:t>Annexes</w:t>
      </w:r>
      <w:bookmarkEnd w:id="94"/>
      <w:bookmarkEnd w:id="95"/>
      <w:bookmarkEnd w:id="96"/>
      <w:bookmarkEnd w:id="97"/>
      <w:bookmarkEnd w:id="98"/>
    </w:p>
    <w:p w14:paraId="6DE70BC6" w14:textId="7DD75131" w:rsidR="00350E9A" w:rsidRPr="007825FE" w:rsidRDefault="00350E9A" w:rsidP="00326D32">
      <w:pPr>
        <w:pStyle w:val="Heading1"/>
        <w:rPr>
          <w:b w:val="0"/>
          <w:bCs/>
        </w:rPr>
      </w:pPr>
      <w:bookmarkStart w:id="99" w:name="_Toc116327902"/>
      <w:bookmarkStart w:id="100" w:name="_Toc116328015"/>
      <w:bookmarkStart w:id="101" w:name="_Toc116328079"/>
      <w:bookmarkStart w:id="102" w:name="_Toc116371568"/>
      <w:bookmarkStart w:id="103" w:name="_Toc116371693"/>
      <w:bookmarkStart w:id="104" w:name="_Toc116371762"/>
      <w:bookmarkStart w:id="105" w:name="_Toc116378185"/>
      <w:bookmarkStart w:id="106" w:name="_Toc122460803"/>
      <w:r w:rsidRPr="007825FE">
        <w:rPr>
          <w:b w:val="0"/>
          <w:bCs/>
        </w:rPr>
        <w:t>Annex 1</w:t>
      </w:r>
      <w:r w:rsidR="00837C54" w:rsidRPr="007825FE">
        <w:rPr>
          <w:b w:val="0"/>
          <w:bCs/>
        </w:rPr>
        <w:t xml:space="preserve"> </w:t>
      </w:r>
      <w:r w:rsidR="00F847DA" w:rsidRPr="007825FE">
        <w:rPr>
          <w:b w:val="0"/>
          <w:bCs/>
        </w:rPr>
        <w:t>T</w:t>
      </w:r>
      <w:r w:rsidR="00837C54" w:rsidRPr="007825FE">
        <w:rPr>
          <w:b w:val="0"/>
          <w:bCs/>
        </w:rPr>
        <w:t xml:space="preserve">erms of </w:t>
      </w:r>
      <w:r w:rsidR="005367CA" w:rsidRPr="007825FE">
        <w:rPr>
          <w:b w:val="0"/>
          <w:bCs/>
        </w:rPr>
        <w:t>R</w:t>
      </w:r>
      <w:r w:rsidR="00837C54" w:rsidRPr="007825FE">
        <w:rPr>
          <w:b w:val="0"/>
          <w:bCs/>
        </w:rPr>
        <w:t>eference</w:t>
      </w:r>
      <w:bookmarkEnd w:id="99"/>
      <w:bookmarkEnd w:id="100"/>
      <w:bookmarkEnd w:id="101"/>
      <w:bookmarkEnd w:id="102"/>
      <w:bookmarkEnd w:id="103"/>
      <w:bookmarkEnd w:id="104"/>
      <w:bookmarkEnd w:id="105"/>
      <w:bookmarkEnd w:id="106"/>
    </w:p>
    <w:p w14:paraId="4BB391E7" w14:textId="4055F4AC" w:rsidR="0088700F" w:rsidRPr="005F128D" w:rsidRDefault="005F128D" w:rsidP="005F128D">
      <w:pPr>
        <w:pStyle w:val="Heading2"/>
        <w:rPr>
          <w:sz w:val="24"/>
          <w:szCs w:val="24"/>
        </w:rPr>
      </w:pPr>
      <w:r w:rsidRPr="005F128D">
        <w:rPr>
          <w:sz w:val="24"/>
          <w:szCs w:val="24"/>
        </w:rPr>
        <w:t xml:space="preserve">Key </w:t>
      </w:r>
      <w:r>
        <w:rPr>
          <w:sz w:val="24"/>
          <w:szCs w:val="24"/>
        </w:rPr>
        <w:t>d</w:t>
      </w:r>
      <w:r w:rsidRPr="005F128D">
        <w:rPr>
          <w:sz w:val="24"/>
          <w:szCs w:val="24"/>
        </w:rPr>
        <w:t>eliverables</w:t>
      </w:r>
    </w:p>
    <w:p w14:paraId="30E30DCA" w14:textId="15369AA9" w:rsidR="0088700F" w:rsidRPr="00AC339F" w:rsidRDefault="19B8914B" w:rsidP="0FF54AB1">
      <w:pPr>
        <w:rPr>
          <w:rFonts w:ascii="Arial" w:hAnsi="Arial" w:cs="Arial"/>
        </w:rPr>
      </w:pPr>
      <w:r w:rsidRPr="00AC339F">
        <w:rPr>
          <w:rFonts w:ascii="Arial" w:eastAsia="Arial" w:hAnsi="Arial" w:cs="Arial"/>
          <w:szCs w:val="20"/>
          <w:lang w:val="en-GB"/>
        </w:rPr>
        <w:t>The Review team will provide DFAT Phnom Penh Embassy with the following reports:</w:t>
      </w:r>
      <w:r w:rsidRPr="00AC339F">
        <w:rPr>
          <w:rFonts w:ascii="Arial" w:eastAsia="Arial" w:hAnsi="Arial" w:cs="Arial"/>
          <w:szCs w:val="20"/>
        </w:rPr>
        <w:t xml:space="preserve"> </w:t>
      </w:r>
    </w:p>
    <w:p w14:paraId="124A4663" w14:textId="2FED4478" w:rsidR="0088700F" w:rsidRPr="00AC339F" w:rsidRDefault="19B8914B" w:rsidP="00A358B8">
      <w:pPr>
        <w:pStyle w:val="ListParagraph"/>
        <w:numPr>
          <w:ilvl w:val="0"/>
          <w:numId w:val="13"/>
        </w:numPr>
        <w:rPr>
          <w:rFonts w:ascii="Arial" w:eastAsia="Arial" w:hAnsi="Arial" w:cs="Arial"/>
          <w:szCs w:val="20"/>
        </w:rPr>
      </w:pPr>
      <w:r w:rsidRPr="00AC339F">
        <w:rPr>
          <w:rFonts w:ascii="Arial" w:eastAsia="Arial" w:hAnsi="Arial" w:cs="Arial"/>
          <w:b/>
          <w:bCs/>
          <w:szCs w:val="20"/>
          <w:lang w:val="en-GB"/>
        </w:rPr>
        <w:t>Review and Design plan</w:t>
      </w:r>
      <w:r w:rsidRPr="00AC339F">
        <w:rPr>
          <w:rFonts w:ascii="Arial" w:eastAsia="Arial" w:hAnsi="Arial" w:cs="Arial"/>
          <w:szCs w:val="20"/>
          <w:lang w:val="en-GB"/>
        </w:rPr>
        <w:t xml:space="preserve"> – articulating key review questions, methodologies to collect data, a timeline linked to key milestones, identification of key review informants, proposed schedule for remote field work and a detailed breakdown of responsibilities between team members.  The review/design plan should meet the relevant DFAT M&amp;E and design standards and be submitted at least 10 calendar days prior to a meeting for stakeholders’ consideration (up to 20 pages).</w:t>
      </w:r>
      <w:r w:rsidRPr="00AC339F">
        <w:rPr>
          <w:rFonts w:ascii="Arial" w:eastAsia="Arial" w:hAnsi="Arial" w:cs="Arial"/>
          <w:szCs w:val="20"/>
        </w:rPr>
        <w:t xml:space="preserve"> </w:t>
      </w:r>
    </w:p>
    <w:p w14:paraId="216C1A9E" w14:textId="30885950" w:rsidR="0088700F" w:rsidRPr="00AC339F" w:rsidRDefault="19B8914B" w:rsidP="00A358B8">
      <w:pPr>
        <w:pStyle w:val="ListParagraph"/>
        <w:numPr>
          <w:ilvl w:val="0"/>
          <w:numId w:val="13"/>
        </w:numPr>
        <w:rPr>
          <w:rFonts w:ascii="Arial" w:hAnsi="Arial" w:cs="Arial"/>
        </w:rPr>
      </w:pPr>
      <w:r w:rsidRPr="00AC339F">
        <w:rPr>
          <w:rFonts w:ascii="Arial" w:eastAsia="Arial" w:hAnsi="Arial" w:cs="Arial"/>
          <w:b/>
          <w:bCs/>
          <w:szCs w:val="20"/>
          <w:lang w:val="en-GB"/>
        </w:rPr>
        <w:t>Presentation of findings</w:t>
      </w:r>
      <w:r w:rsidRPr="00AC339F">
        <w:rPr>
          <w:rFonts w:ascii="Arial" w:eastAsia="Arial" w:hAnsi="Arial" w:cs="Arial"/>
          <w:szCs w:val="20"/>
          <w:lang w:val="en-GB"/>
        </w:rPr>
        <w:t xml:space="preserve"> upon completion of first in-country mission:</w:t>
      </w:r>
      <w:r w:rsidRPr="00AC339F">
        <w:rPr>
          <w:rFonts w:ascii="Arial" w:eastAsia="Arial" w:hAnsi="Arial" w:cs="Arial"/>
          <w:szCs w:val="20"/>
        </w:rPr>
        <w:t xml:space="preserve"> </w:t>
      </w:r>
    </w:p>
    <w:p w14:paraId="218DBC41" w14:textId="0AB50749" w:rsidR="0088700F" w:rsidRPr="00AC339F" w:rsidRDefault="19B8914B" w:rsidP="00A358B8">
      <w:pPr>
        <w:pStyle w:val="ListParagraph"/>
        <w:numPr>
          <w:ilvl w:val="0"/>
          <w:numId w:val="12"/>
        </w:numPr>
        <w:rPr>
          <w:rFonts w:ascii="Arial" w:hAnsi="Arial" w:cs="Arial"/>
        </w:rPr>
      </w:pPr>
      <w:r w:rsidRPr="00AC339F">
        <w:rPr>
          <w:rFonts w:ascii="Arial" w:eastAsia="Arial" w:hAnsi="Arial" w:cs="Arial"/>
          <w:b/>
          <w:bCs/>
          <w:szCs w:val="20"/>
          <w:lang w:val="en-GB"/>
        </w:rPr>
        <w:t>Part I: An Aide Memoir</w:t>
      </w:r>
      <w:r w:rsidR="00400CF2" w:rsidRPr="00AC339F">
        <w:rPr>
          <w:rFonts w:ascii="Arial" w:eastAsia="Arial" w:hAnsi="Arial" w:cs="Arial"/>
          <w:b/>
          <w:bCs/>
          <w:szCs w:val="20"/>
          <w:lang w:val="en-GB"/>
        </w:rPr>
        <w:t>e</w:t>
      </w:r>
      <w:r w:rsidRPr="00AC339F">
        <w:rPr>
          <w:rFonts w:ascii="Arial" w:eastAsia="Arial" w:hAnsi="Arial" w:cs="Arial"/>
          <w:szCs w:val="20"/>
          <w:lang w:val="en-GB"/>
        </w:rPr>
        <w:t xml:space="preserve"> power point and 1 hour presentation to DFAT, summarising key findings of both part II and part III.</w:t>
      </w:r>
      <w:r w:rsidRPr="00AC339F">
        <w:rPr>
          <w:rFonts w:ascii="Arial" w:eastAsia="Arial" w:hAnsi="Arial" w:cs="Arial"/>
          <w:szCs w:val="20"/>
        </w:rPr>
        <w:t xml:space="preserve"> </w:t>
      </w:r>
    </w:p>
    <w:p w14:paraId="278376AE" w14:textId="261610C3" w:rsidR="0088700F" w:rsidRPr="00AC339F" w:rsidRDefault="19B8914B" w:rsidP="00A358B8">
      <w:pPr>
        <w:pStyle w:val="ListParagraph"/>
        <w:numPr>
          <w:ilvl w:val="0"/>
          <w:numId w:val="12"/>
        </w:numPr>
        <w:rPr>
          <w:rFonts w:ascii="Arial" w:hAnsi="Arial" w:cs="Arial"/>
        </w:rPr>
      </w:pPr>
      <w:r w:rsidRPr="00AC339F">
        <w:rPr>
          <w:rFonts w:ascii="Arial" w:eastAsia="Arial" w:hAnsi="Arial" w:cs="Arial"/>
          <w:b/>
          <w:bCs/>
          <w:szCs w:val="20"/>
          <w:lang w:val="en-GB"/>
        </w:rPr>
        <w:t>Part II: ACCESS End of Program Evaluation</w:t>
      </w:r>
      <w:r w:rsidRPr="00AC339F">
        <w:rPr>
          <w:rFonts w:ascii="Arial" w:eastAsia="Arial" w:hAnsi="Arial" w:cs="Arial"/>
          <w:szCs w:val="20"/>
          <w:lang w:val="en-GB"/>
        </w:rPr>
        <w:t xml:space="preserve"> which includes findings of the review and highlights critical lessons that can help improve the relevance and effectiveness of Australia’s ongoing support for GEDSI. The report should meet DFAT’s accessibility guidelines and be fit for publication on DFAT’s website (up to 24 pages plus annexes).</w:t>
      </w:r>
      <w:r w:rsidRPr="00AC339F">
        <w:rPr>
          <w:rFonts w:ascii="Arial" w:eastAsia="Arial" w:hAnsi="Arial" w:cs="Arial"/>
          <w:szCs w:val="20"/>
        </w:rPr>
        <w:t xml:space="preserve"> </w:t>
      </w:r>
    </w:p>
    <w:p w14:paraId="65FFF811" w14:textId="3732144E" w:rsidR="0088700F" w:rsidRPr="00AC339F" w:rsidRDefault="19B8914B" w:rsidP="00A358B8">
      <w:pPr>
        <w:pStyle w:val="ListParagraph"/>
        <w:numPr>
          <w:ilvl w:val="0"/>
          <w:numId w:val="12"/>
        </w:numPr>
        <w:rPr>
          <w:rFonts w:ascii="Arial" w:hAnsi="Arial" w:cs="Arial"/>
        </w:rPr>
      </w:pPr>
      <w:r w:rsidRPr="2D0C19AE">
        <w:rPr>
          <w:rFonts w:ascii="Arial" w:eastAsia="Arial" w:hAnsi="Arial" w:cs="Arial"/>
          <w:b/>
          <w:bCs/>
          <w:lang w:val="en-GB"/>
        </w:rPr>
        <w:t>Part III: Social Inclusion preliminary design (up to 10 pages),</w:t>
      </w:r>
      <w:r w:rsidRPr="2D0C19AE">
        <w:rPr>
          <w:rFonts w:ascii="Arial" w:eastAsia="Arial" w:hAnsi="Arial" w:cs="Arial"/>
          <w:lang w:val="en-GB"/>
        </w:rPr>
        <w:t xml:space="preserve"> to include: </w:t>
      </w:r>
      <w:r w:rsidRPr="2D0C19AE">
        <w:rPr>
          <w:rFonts w:ascii="Arial" w:eastAsia="Arial" w:hAnsi="Arial" w:cs="Arial"/>
        </w:rPr>
        <w:t xml:space="preserve"> </w:t>
      </w:r>
    </w:p>
    <w:p w14:paraId="7F73A8B9" w14:textId="2C45B4CE" w:rsidR="0088700F" w:rsidRPr="00AC339F" w:rsidRDefault="19B8914B" w:rsidP="00A358B8">
      <w:pPr>
        <w:pStyle w:val="ListParagraph"/>
        <w:numPr>
          <w:ilvl w:val="1"/>
          <w:numId w:val="12"/>
        </w:numPr>
        <w:rPr>
          <w:rFonts w:ascii="Arial" w:hAnsi="Arial" w:cs="Arial"/>
        </w:rPr>
      </w:pPr>
      <w:r w:rsidRPr="00AC339F">
        <w:rPr>
          <w:rFonts w:ascii="Arial" w:eastAsia="Arial" w:hAnsi="Arial" w:cs="Arial"/>
          <w:szCs w:val="20"/>
          <w:lang w:val="en-GB"/>
        </w:rPr>
        <w:t>A social inclusion needs assessment, sector mapping, and identification of priority areas (drawn from the desk review and consultations)</w:t>
      </w:r>
      <w:r w:rsidRPr="00AC339F">
        <w:rPr>
          <w:rFonts w:ascii="Arial" w:eastAsia="Arial" w:hAnsi="Arial" w:cs="Arial"/>
          <w:szCs w:val="20"/>
        </w:rPr>
        <w:t xml:space="preserve"> </w:t>
      </w:r>
    </w:p>
    <w:p w14:paraId="2D3978F8" w14:textId="1633B7BD" w:rsidR="0088700F" w:rsidRPr="00AC339F" w:rsidRDefault="19B8914B" w:rsidP="00A358B8">
      <w:pPr>
        <w:pStyle w:val="ListParagraph"/>
        <w:numPr>
          <w:ilvl w:val="1"/>
          <w:numId w:val="12"/>
        </w:numPr>
        <w:rPr>
          <w:rFonts w:ascii="Arial" w:hAnsi="Arial" w:cs="Arial"/>
        </w:rPr>
      </w:pPr>
      <w:r w:rsidRPr="00AC339F">
        <w:rPr>
          <w:rFonts w:ascii="Arial" w:eastAsia="Arial" w:hAnsi="Arial" w:cs="Arial"/>
          <w:szCs w:val="20"/>
          <w:lang w:val="en-GB"/>
        </w:rPr>
        <w:t>Preliminary recommendations for DFAT’s social inclusion programming</w:t>
      </w:r>
      <w:r w:rsidRPr="00AC339F">
        <w:rPr>
          <w:rFonts w:ascii="Arial" w:eastAsia="Arial" w:hAnsi="Arial" w:cs="Arial"/>
          <w:szCs w:val="20"/>
        </w:rPr>
        <w:t xml:space="preserve">. </w:t>
      </w:r>
      <w:r w:rsidRPr="00AC339F">
        <w:rPr>
          <w:rFonts w:ascii="Arial" w:eastAsia="Arial" w:hAnsi="Arial" w:cs="Arial"/>
          <w:szCs w:val="20"/>
          <w:lang w:val="en-GB"/>
        </w:rPr>
        <w:t xml:space="preserve">The presentation of findings is to be delivered to Phnom Penh Embassy and other agreed stakeholders for comment within the agreed timeframe after completing the review mission. </w:t>
      </w:r>
      <w:r w:rsidRPr="00AC339F">
        <w:rPr>
          <w:rFonts w:ascii="Arial" w:eastAsia="Arial" w:hAnsi="Arial" w:cs="Arial"/>
          <w:szCs w:val="20"/>
        </w:rPr>
        <w:t xml:space="preserve"> </w:t>
      </w:r>
      <w:r w:rsidRPr="005367CA">
        <w:rPr>
          <w:rFonts w:ascii="Arial" w:eastAsia="Arial" w:hAnsi="Arial" w:cs="Arial"/>
          <w:szCs w:val="20"/>
        </w:rPr>
        <w:t xml:space="preserve"> </w:t>
      </w:r>
    </w:p>
    <w:p w14:paraId="3FD68D11" w14:textId="3C29214E" w:rsidR="0088700F" w:rsidRPr="00AC339F" w:rsidRDefault="19B8914B" w:rsidP="00A358B8">
      <w:pPr>
        <w:pStyle w:val="ListParagraph"/>
        <w:numPr>
          <w:ilvl w:val="0"/>
          <w:numId w:val="13"/>
        </w:numPr>
        <w:rPr>
          <w:rFonts w:ascii="Arial" w:hAnsi="Arial" w:cs="Arial"/>
        </w:rPr>
      </w:pPr>
      <w:r w:rsidRPr="00AC339F">
        <w:rPr>
          <w:rFonts w:ascii="Arial" w:eastAsia="Arial" w:hAnsi="Arial" w:cs="Arial"/>
          <w:b/>
          <w:bCs/>
          <w:szCs w:val="20"/>
          <w:lang w:val="en-GB"/>
        </w:rPr>
        <w:t>Development of an Investment Concept Note</w:t>
      </w:r>
      <w:r w:rsidRPr="00AC339F">
        <w:rPr>
          <w:rFonts w:ascii="Arial" w:eastAsia="Arial" w:hAnsi="Arial" w:cs="Arial"/>
          <w:szCs w:val="20"/>
          <w:u w:val="single"/>
          <w:lang w:val="en-GB"/>
        </w:rPr>
        <w:t xml:space="preserve"> </w:t>
      </w:r>
      <w:r w:rsidRPr="00AC339F">
        <w:rPr>
          <w:rFonts w:ascii="Arial" w:eastAsia="Arial" w:hAnsi="Arial" w:cs="Arial"/>
          <w:szCs w:val="20"/>
          <w:lang w:val="en-GB"/>
        </w:rPr>
        <w:t>in close consultation with DFAT’s Phnom Penh Embassy.</w:t>
      </w:r>
    </w:p>
    <w:p w14:paraId="44F28D4B" w14:textId="5CF77F65" w:rsidR="0088700F" w:rsidRPr="00AC339F" w:rsidRDefault="19B8914B" w:rsidP="00A358B8">
      <w:pPr>
        <w:pStyle w:val="ListParagraph"/>
        <w:numPr>
          <w:ilvl w:val="0"/>
          <w:numId w:val="13"/>
        </w:numPr>
        <w:rPr>
          <w:rFonts w:ascii="Arial" w:eastAsia="Arial" w:hAnsi="Arial" w:cs="Arial"/>
          <w:szCs w:val="20"/>
        </w:rPr>
      </w:pPr>
      <w:r w:rsidRPr="00AC339F">
        <w:rPr>
          <w:rFonts w:ascii="Arial" w:eastAsia="Arial" w:hAnsi="Arial" w:cs="Arial"/>
          <w:b/>
          <w:bCs/>
          <w:szCs w:val="20"/>
          <w:lang w:val="en-GB"/>
        </w:rPr>
        <w:t>Delivery of a full Investment Design Document</w:t>
      </w:r>
      <w:r w:rsidR="00400CF2" w:rsidRPr="00AC339F">
        <w:rPr>
          <w:rFonts w:ascii="Arial" w:eastAsia="Arial" w:hAnsi="Arial" w:cs="Arial"/>
          <w:szCs w:val="20"/>
          <w:u w:val="single"/>
          <w:lang w:val="en-GB"/>
        </w:rPr>
        <w:t xml:space="preserve"> </w:t>
      </w:r>
      <w:r w:rsidRPr="00AC339F">
        <w:rPr>
          <w:rFonts w:ascii="Arial" w:eastAsia="Arial" w:hAnsi="Arial" w:cs="Arial"/>
          <w:szCs w:val="20"/>
          <w:lang w:val="en-GB"/>
        </w:rPr>
        <w:t>incorporating any agreed changes to be submitted within 10 days of receipt of feedback. The final report should provide a succinct and clear presentation of key findings and lessons learned. It should include a draft scope of services as an annex.</w:t>
      </w:r>
      <w:r w:rsidRPr="00AC339F">
        <w:rPr>
          <w:rFonts w:ascii="Arial" w:eastAsia="Arial" w:hAnsi="Arial" w:cs="Arial"/>
          <w:szCs w:val="20"/>
        </w:rPr>
        <w:t xml:space="preserve"> </w:t>
      </w:r>
    </w:p>
    <w:p w14:paraId="0F3CEEE9" w14:textId="2C42E1F0" w:rsidR="0088700F" w:rsidRPr="002D2D2B" w:rsidRDefault="19B8914B" w:rsidP="254C822A">
      <w:pPr>
        <w:rPr>
          <w:rFonts w:ascii="Arial" w:hAnsi="Arial" w:cs="Arial"/>
        </w:rPr>
      </w:pPr>
      <w:r w:rsidRPr="00AC339F">
        <w:rPr>
          <w:rFonts w:ascii="Arial" w:eastAsia="Arial" w:hAnsi="Arial" w:cs="Arial"/>
          <w:szCs w:val="20"/>
          <w:lang w:val="en-GB"/>
        </w:rPr>
        <w:t>Timeframes for all deliverables are dependent upon the provision of timely feedback to the review team as specified in the review/design timetable (below).</w:t>
      </w:r>
    </w:p>
    <w:p w14:paraId="2E323A24" w14:textId="79EC1052" w:rsidR="0051641E" w:rsidRPr="005F128D" w:rsidRDefault="005F128D" w:rsidP="005F128D">
      <w:pPr>
        <w:pStyle w:val="Heading2"/>
        <w:rPr>
          <w:sz w:val="24"/>
          <w:szCs w:val="24"/>
        </w:rPr>
      </w:pPr>
      <w:r>
        <w:rPr>
          <w:sz w:val="24"/>
          <w:szCs w:val="24"/>
        </w:rPr>
        <w:t>Key end of program review questions</w:t>
      </w:r>
    </w:p>
    <w:p w14:paraId="5568DD7F" w14:textId="015A9D1C" w:rsidR="0088700F" w:rsidRPr="00AC339F" w:rsidRDefault="19B8914B" w:rsidP="0FF54AB1">
      <w:pPr>
        <w:rPr>
          <w:rFonts w:ascii="Arial" w:hAnsi="Arial" w:cs="Arial"/>
        </w:rPr>
      </w:pPr>
      <w:r w:rsidRPr="00AC339F">
        <w:rPr>
          <w:rFonts w:ascii="Arial" w:eastAsia="Arial" w:hAnsi="Arial" w:cs="Arial"/>
          <w:szCs w:val="20"/>
          <w:lang w:val="en-GB"/>
        </w:rPr>
        <w:t>Key review questions to be confirmed with the team</w:t>
      </w:r>
      <w:r w:rsidR="0051641E">
        <w:rPr>
          <w:rFonts w:ascii="Arial" w:eastAsia="Arial" w:hAnsi="Arial" w:cs="Arial"/>
          <w:szCs w:val="20"/>
          <w:lang w:val="en-GB"/>
        </w:rPr>
        <w:t xml:space="preserve"> </w:t>
      </w:r>
      <w:r w:rsidRPr="00AC339F">
        <w:rPr>
          <w:rFonts w:ascii="Arial" w:eastAsia="Arial" w:hAnsi="Arial" w:cs="Arial"/>
          <w:szCs w:val="20"/>
          <w:lang w:val="en-GB"/>
        </w:rPr>
        <w:t>during the development of an evaluation plan.</w:t>
      </w:r>
      <w:r w:rsidRPr="00AC339F">
        <w:rPr>
          <w:rFonts w:ascii="Arial" w:eastAsia="Arial" w:hAnsi="Arial" w:cs="Arial"/>
          <w:szCs w:val="20"/>
        </w:rPr>
        <w:t xml:space="preserve"> </w:t>
      </w:r>
    </w:p>
    <w:p w14:paraId="24BFD896" w14:textId="100C56B7" w:rsidR="0088700F" w:rsidRPr="00A2192B" w:rsidRDefault="19B8914B" w:rsidP="00A358B8">
      <w:pPr>
        <w:pStyle w:val="ListBullet"/>
        <w:rPr>
          <w:b/>
          <w:bCs/>
        </w:rPr>
      </w:pPr>
      <w:r w:rsidRPr="00A2192B">
        <w:rPr>
          <w:b/>
          <w:bCs/>
          <w:lang w:val="en-GB"/>
        </w:rPr>
        <w:t xml:space="preserve">Is </w:t>
      </w:r>
      <w:r w:rsidR="00AD02D6">
        <w:rPr>
          <w:b/>
          <w:bCs/>
          <w:lang w:val="en-GB"/>
        </w:rPr>
        <w:t>ACCESS’</w:t>
      </w:r>
      <w:r w:rsidR="009F2B4C">
        <w:rPr>
          <w:b/>
          <w:bCs/>
          <w:lang w:val="en-GB"/>
        </w:rPr>
        <w:t>s</w:t>
      </w:r>
      <w:r w:rsidRPr="00A2192B">
        <w:rPr>
          <w:b/>
          <w:bCs/>
          <w:lang w:val="en-GB"/>
        </w:rPr>
        <w:t xml:space="preserve"> focus and approach to improving service delivery for victims of gender-based violence and people with disabilities a relevant and effective route to advancing gender equality and social inclusion in Cambodia? Are there other types of programs that could be more effective in advancing social inclusion in Cambodia going forward? </w:t>
      </w:r>
      <w:r w:rsidRPr="00A2192B">
        <w:rPr>
          <w:b/>
          <w:bCs/>
        </w:rPr>
        <w:t xml:space="preserve"> </w:t>
      </w:r>
    </w:p>
    <w:p w14:paraId="4DD8D183" w14:textId="01E45788" w:rsidR="0088700F" w:rsidRPr="00A2192B" w:rsidRDefault="19B8914B" w:rsidP="00A358B8">
      <w:pPr>
        <w:pStyle w:val="ListParagraph"/>
        <w:numPr>
          <w:ilvl w:val="0"/>
          <w:numId w:val="36"/>
        </w:numPr>
        <w:rPr>
          <w:rFonts w:ascii="Arial" w:eastAsia="Arial" w:hAnsi="Arial" w:cs="Arial"/>
          <w:szCs w:val="20"/>
          <w:lang w:val="en-GB"/>
        </w:rPr>
      </w:pPr>
      <w:r w:rsidRPr="00AC339F">
        <w:rPr>
          <w:rFonts w:ascii="Arial" w:eastAsia="Arial" w:hAnsi="Arial" w:cs="Arial"/>
          <w:szCs w:val="20"/>
          <w:lang w:val="en-GB"/>
        </w:rPr>
        <w:t xml:space="preserve">Have the overall objectives of the program and implementation approaches been an effective way for Australia to support progress on gender, disability, and social inclusion in Cambodia given both priority GEDSI needs in Cambodia, and Australia’s experience and comparative strengths? </w:t>
      </w:r>
      <w:r w:rsidRPr="00A2192B">
        <w:rPr>
          <w:rFonts w:ascii="Arial" w:eastAsia="Arial" w:hAnsi="Arial" w:cs="Arial"/>
          <w:szCs w:val="20"/>
          <w:lang w:val="en-GB"/>
        </w:rPr>
        <w:t xml:space="preserve"> </w:t>
      </w:r>
    </w:p>
    <w:p w14:paraId="067FE36B" w14:textId="1928BA9D" w:rsidR="0088700F" w:rsidRPr="00A2192B" w:rsidRDefault="19B8914B" w:rsidP="00A358B8">
      <w:pPr>
        <w:pStyle w:val="ListParagraph"/>
        <w:numPr>
          <w:ilvl w:val="0"/>
          <w:numId w:val="36"/>
        </w:numPr>
        <w:rPr>
          <w:rFonts w:ascii="Arial" w:eastAsia="Arial" w:hAnsi="Arial" w:cs="Arial"/>
          <w:szCs w:val="20"/>
          <w:lang w:val="en-GB"/>
        </w:rPr>
      </w:pPr>
      <w:r w:rsidRPr="00AC339F">
        <w:rPr>
          <w:rFonts w:ascii="Arial" w:eastAsia="Arial" w:hAnsi="Arial" w:cs="Arial"/>
          <w:szCs w:val="20"/>
          <w:lang w:val="en-GB"/>
        </w:rPr>
        <w:t xml:space="preserve">To what extent is ACCESS integrated with and used to amplify/strengthen the broader goals of the Australia’s development program in Cambodia? </w:t>
      </w:r>
      <w:r w:rsidRPr="00A2192B">
        <w:rPr>
          <w:rFonts w:ascii="Arial" w:eastAsia="Arial" w:hAnsi="Arial" w:cs="Arial"/>
          <w:szCs w:val="20"/>
          <w:lang w:val="en-GB"/>
        </w:rPr>
        <w:t xml:space="preserve"> </w:t>
      </w:r>
    </w:p>
    <w:p w14:paraId="11FBFC63" w14:textId="79ABE872" w:rsidR="0088700F" w:rsidRPr="00AC339F" w:rsidRDefault="19B8914B" w:rsidP="00A358B8">
      <w:pPr>
        <w:pStyle w:val="ListParagraph"/>
        <w:numPr>
          <w:ilvl w:val="0"/>
          <w:numId w:val="36"/>
        </w:numPr>
        <w:rPr>
          <w:rFonts w:ascii="Arial" w:hAnsi="Arial" w:cs="Arial"/>
        </w:rPr>
      </w:pPr>
      <w:r w:rsidRPr="00AC339F">
        <w:rPr>
          <w:rFonts w:ascii="Arial" w:eastAsia="Arial" w:hAnsi="Arial" w:cs="Arial"/>
          <w:szCs w:val="20"/>
          <w:lang w:val="en-GB"/>
        </w:rPr>
        <w:lastRenderedPageBreak/>
        <w:t xml:space="preserve">In assessing strengths and weaknesses of the current focus and approach, are there other areas of GEDSI programming, and/or other approaches that are likely to have greater impact on advancing GEDSI in Cambodia as part of Australia’s broader development portfolio that should be incorporated into subsequent programming? </w:t>
      </w:r>
      <w:r w:rsidRPr="00AC339F">
        <w:rPr>
          <w:rFonts w:ascii="Arial" w:eastAsia="Arial" w:hAnsi="Arial" w:cs="Arial"/>
          <w:szCs w:val="20"/>
        </w:rPr>
        <w:t xml:space="preserve"> </w:t>
      </w:r>
    </w:p>
    <w:p w14:paraId="30CD78C0" w14:textId="070291DB" w:rsidR="0088700F" w:rsidRPr="00A2192B" w:rsidRDefault="19B8914B" w:rsidP="00A358B8">
      <w:pPr>
        <w:pStyle w:val="ListBullet"/>
        <w:rPr>
          <w:b/>
          <w:bCs/>
        </w:rPr>
      </w:pPr>
      <w:r w:rsidRPr="00A2192B">
        <w:rPr>
          <w:b/>
          <w:bCs/>
          <w:lang w:val="en-GB"/>
        </w:rPr>
        <w:t xml:space="preserve">Was ACCESS effective in achieving its intended outcomes? </w:t>
      </w:r>
      <w:r w:rsidRPr="00A2192B">
        <w:rPr>
          <w:b/>
          <w:bCs/>
        </w:rPr>
        <w:t xml:space="preserve"> </w:t>
      </w:r>
    </w:p>
    <w:p w14:paraId="664209A8" w14:textId="6C1CDD0A" w:rsidR="0088700F" w:rsidRPr="00AC339F" w:rsidRDefault="19B8914B" w:rsidP="00A358B8">
      <w:pPr>
        <w:pStyle w:val="ListParagraph"/>
        <w:numPr>
          <w:ilvl w:val="0"/>
          <w:numId w:val="9"/>
        </w:numPr>
        <w:rPr>
          <w:rFonts w:ascii="Arial" w:hAnsi="Arial" w:cs="Arial"/>
        </w:rPr>
      </w:pPr>
      <w:r w:rsidRPr="00AC339F">
        <w:rPr>
          <w:rFonts w:ascii="Arial" w:eastAsia="Arial" w:hAnsi="Arial" w:cs="Arial"/>
          <w:szCs w:val="20"/>
          <w:lang w:val="en-GB"/>
        </w:rPr>
        <w:t xml:space="preserve">To what extent has ACCESS supported RGC, CSOs and the private sector to sustainably improve the coverage, quality and inclusiveness of services and social protection for persons with disabilities and women affected by GBV? </w:t>
      </w:r>
    </w:p>
    <w:p w14:paraId="44DFA3F1" w14:textId="6079865D" w:rsidR="0088700F" w:rsidRPr="00AC339F" w:rsidRDefault="19B8914B" w:rsidP="00A358B8">
      <w:pPr>
        <w:pStyle w:val="ListParagraph"/>
        <w:numPr>
          <w:ilvl w:val="0"/>
          <w:numId w:val="9"/>
        </w:numPr>
        <w:rPr>
          <w:rFonts w:ascii="Arial" w:hAnsi="Arial" w:cs="Arial"/>
        </w:rPr>
      </w:pPr>
      <w:r w:rsidRPr="00AC339F">
        <w:rPr>
          <w:rFonts w:ascii="Arial" w:eastAsia="Arial" w:hAnsi="Arial" w:cs="Arial"/>
          <w:szCs w:val="20"/>
          <w:lang w:val="en-GB"/>
        </w:rPr>
        <w:t xml:space="preserve">To what extent has ACCESS support enabled relevant RGC entities to plan and utilise their resources more effectively for GBV and disability-related services, in accordance with MEF guidelines? </w:t>
      </w:r>
    </w:p>
    <w:p w14:paraId="72B4E772" w14:textId="17E23395" w:rsidR="0088700F" w:rsidRPr="00AC339F" w:rsidRDefault="19B8914B" w:rsidP="00A358B8">
      <w:pPr>
        <w:pStyle w:val="ListParagraph"/>
        <w:numPr>
          <w:ilvl w:val="0"/>
          <w:numId w:val="9"/>
        </w:numPr>
        <w:rPr>
          <w:rFonts w:ascii="Arial" w:hAnsi="Arial" w:cs="Arial"/>
        </w:rPr>
      </w:pPr>
      <w:r w:rsidRPr="00AC339F">
        <w:rPr>
          <w:rFonts w:ascii="Arial" w:eastAsia="Arial" w:hAnsi="Arial" w:cs="Arial"/>
          <w:szCs w:val="20"/>
          <w:lang w:val="en-GB"/>
        </w:rPr>
        <w:t xml:space="preserve">To what extent did ACCESS deliver its projected outcomes for vulnerable people in target provinces?  </w:t>
      </w:r>
    </w:p>
    <w:p w14:paraId="29BAFB42" w14:textId="768F8028" w:rsidR="0088700F" w:rsidRPr="00AC339F" w:rsidRDefault="19B8914B" w:rsidP="00A358B8">
      <w:pPr>
        <w:pStyle w:val="ListParagraph"/>
        <w:numPr>
          <w:ilvl w:val="0"/>
          <w:numId w:val="9"/>
        </w:numPr>
        <w:rPr>
          <w:rFonts w:ascii="Arial" w:hAnsi="Arial" w:cs="Arial"/>
        </w:rPr>
      </w:pPr>
      <w:r w:rsidRPr="00AC339F">
        <w:rPr>
          <w:rFonts w:ascii="Arial" w:eastAsia="Arial" w:hAnsi="Arial" w:cs="Arial"/>
          <w:szCs w:val="20"/>
          <w:lang w:val="en-GB"/>
        </w:rPr>
        <w:t xml:space="preserve">What were the contributions of ACCESS to RGC policy dialogues, consultations with relevant groups, evidence-based policymaking, and the development/strengthening of policy frameworks, standards, and guidelines? </w:t>
      </w:r>
    </w:p>
    <w:p w14:paraId="5DE3DD3A" w14:textId="0C41E84F" w:rsidR="0088700F" w:rsidRPr="00AC339F" w:rsidRDefault="19B8914B" w:rsidP="00A358B8">
      <w:pPr>
        <w:pStyle w:val="ListParagraph"/>
        <w:numPr>
          <w:ilvl w:val="0"/>
          <w:numId w:val="9"/>
        </w:numPr>
        <w:rPr>
          <w:rFonts w:ascii="Arial" w:hAnsi="Arial" w:cs="Arial"/>
        </w:rPr>
      </w:pPr>
      <w:r w:rsidRPr="00AC339F">
        <w:rPr>
          <w:rFonts w:ascii="Arial" w:eastAsia="Arial" w:hAnsi="Arial" w:cs="Arial"/>
          <w:szCs w:val="20"/>
          <w:lang w:val="en-GB"/>
        </w:rPr>
        <w:t xml:space="preserve">Did ACCESS sufficiently consult with and then respond to the needs of women and people with disability? Did ACCESS employ an effective strategy for engaging women and enabling them to contribute fully to increased GBV and disability services? </w:t>
      </w:r>
    </w:p>
    <w:p w14:paraId="37CBC544" w14:textId="53015167" w:rsidR="0088700F" w:rsidRPr="00AC339F" w:rsidRDefault="19B8914B" w:rsidP="00A358B8">
      <w:pPr>
        <w:pStyle w:val="ListParagraph"/>
        <w:numPr>
          <w:ilvl w:val="0"/>
          <w:numId w:val="9"/>
        </w:numPr>
        <w:rPr>
          <w:rFonts w:ascii="Arial" w:hAnsi="Arial" w:cs="Arial"/>
        </w:rPr>
      </w:pPr>
      <w:r w:rsidRPr="00AC339F">
        <w:rPr>
          <w:rFonts w:ascii="Arial" w:eastAsia="Arial" w:hAnsi="Arial" w:cs="Arial"/>
          <w:szCs w:val="20"/>
          <w:lang w:val="en-GB"/>
        </w:rPr>
        <w:t>Did ACCESS successfully influence Cambodian government policy, financial management reforms, budgeting, or other systemic improvements, to improve social inclusion?</w:t>
      </w:r>
      <w:r w:rsidRPr="005367CA">
        <w:rPr>
          <w:rFonts w:ascii="Arial" w:eastAsia="Arial" w:hAnsi="Arial" w:cs="Arial"/>
          <w:szCs w:val="20"/>
          <w:lang w:val="en-GB"/>
        </w:rPr>
        <w:t xml:space="preserve"> </w:t>
      </w:r>
    </w:p>
    <w:p w14:paraId="2A123E14" w14:textId="6D132FD9" w:rsidR="0088700F" w:rsidRPr="00A2192B" w:rsidRDefault="19B8914B" w:rsidP="00A358B8">
      <w:pPr>
        <w:pStyle w:val="ListBullet"/>
        <w:rPr>
          <w:b/>
          <w:bCs/>
        </w:rPr>
      </w:pPr>
      <w:r w:rsidRPr="00A2192B">
        <w:rPr>
          <w:b/>
          <w:bCs/>
          <w:lang w:val="en-GB"/>
        </w:rPr>
        <w:t xml:space="preserve">Are program achievements and impacts sustainable? </w:t>
      </w:r>
      <w:r w:rsidRPr="00A2192B">
        <w:rPr>
          <w:b/>
          <w:bCs/>
        </w:rPr>
        <w:t xml:space="preserve"> </w:t>
      </w:r>
    </w:p>
    <w:p w14:paraId="6DF0799E" w14:textId="5283EF91" w:rsidR="0088700F" w:rsidRPr="00AC339F" w:rsidRDefault="19B8914B" w:rsidP="00A358B8">
      <w:pPr>
        <w:pStyle w:val="ListParagraph"/>
        <w:numPr>
          <w:ilvl w:val="0"/>
          <w:numId w:val="35"/>
        </w:numPr>
        <w:rPr>
          <w:rFonts w:ascii="Arial" w:hAnsi="Arial" w:cs="Arial"/>
        </w:rPr>
      </w:pPr>
      <w:r w:rsidRPr="00AC339F">
        <w:rPr>
          <w:rFonts w:ascii="Arial" w:eastAsia="Arial" w:hAnsi="Arial" w:cs="Arial"/>
          <w:szCs w:val="20"/>
          <w:lang w:val="en-GB"/>
        </w:rPr>
        <w:t xml:space="preserve">Has ACCESS supported improvements in service delivery for vulnerable groups which are likely to be sustainable after the program ends? </w:t>
      </w:r>
    </w:p>
    <w:p w14:paraId="67EF1C67" w14:textId="7055CB1D" w:rsidR="0088700F" w:rsidRPr="00AC339F" w:rsidRDefault="19B8914B" w:rsidP="00A358B8">
      <w:pPr>
        <w:pStyle w:val="ListParagraph"/>
        <w:numPr>
          <w:ilvl w:val="0"/>
          <w:numId w:val="35"/>
        </w:numPr>
        <w:rPr>
          <w:rFonts w:ascii="Arial" w:hAnsi="Arial" w:cs="Arial"/>
        </w:rPr>
      </w:pPr>
      <w:r w:rsidRPr="00AC339F">
        <w:rPr>
          <w:rFonts w:ascii="Arial" w:eastAsia="Arial" w:hAnsi="Arial" w:cs="Arial"/>
          <w:szCs w:val="20"/>
          <w:lang w:val="en-GB"/>
        </w:rPr>
        <w:t xml:space="preserve">Have there been improvements to government budgeting for disability and GBV services? Why did this occur or not, and what could increase the likelihood of sustainability in future programs? </w:t>
      </w:r>
    </w:p>
    <w:p w14:paraId="37F026D9" w14:textId="72265B8B" w:rsidR="0088700F" w:rsidRPr="00AC339F" w:rsidRDefault="19B8914B" w:rsidP="00A358B8">
      <w:pPr>
        <w:pStyle w:val="ListParagraph"/>
        <w:numPr>
          <w:ilvl w:val="0"/>
          <w:numId w:val="35"/>
        </w:numPr>
        <w:rPr>
          <w:rFonts w:ascii="Arial" w:hAnsi="Arial" w:cs="Arial"/>
        </w:rPr>
      </w:pPr>
      <w:r w:rsidRPr="00AC339F">
        <w:rPr>
          <w:rFonts w:ascii="Arial" w:eastAsia="Arial" w:hAnsi="Arial" w:cs="Arial"/>
          <w:szCs w:val="20"/>
          <w:lang w:val="en-GB"/>
        </w:rPr>
        <w:t xml:space="preserve">To what extent has ACCESS increased political awareness/ policy attention on support for victims of GBV and/or people with disabilities? (And has this impact been effectively tracked by the program’s MEL framework?) </w:t>
      </w:r>
    </w:p>
    <w:p w14:paraId="6AF8070B" w14:textId="4542C7BC" w:rsidR="0088700F" w:rsidRPr="00AC339F" w:rsidRDefault="19B8914B" w:rsidP="00A358B8">
      <w:pPr>
        <w:pStyle w:val="ListParagraph"/>
        <w:numPr>
          <w:ilvl w:val="0"/>
          <w:numId w:val="35"/>
        </w:numPr>
        <w:rPr>
          <w:rFonts w:ascii="Arial" w:hAnsi="Arial" w:cs="Arial"/>
        </w:rPr>
      </w:pPr>
      <w:r w:rsidRPr="00AC339F">
        <w:rPr>
          <w:rFonts w:ascii="Arial" w:eastAsia="Arial" w:hAnsi="Arial" w:cs="Arial"/>
          <w:szCs w:val="20"/>
          <w:lang w:val="en-GB"/>
        </w:rPr>
        <w:t xml:space="preserve">Has the program improved the capability of government and partners to deliver inclusive services and policy outcomes for people with disability and survivors of GBV? </w:t>
      </w:r>
    </w:p>
    <w:p w14:paraId="5A8CE779" w14:textId="749CBD26" w:rsidR="0088700F" w:rsidRPr="00AC339F" w:rsidRDefault="19B8914B" w:rsidP="00A358B8">
      <w:pPr>
        <w:pStyle w:val="ListParagraph"/>
        <w:numPr>
          <w:ilvl w:val="0"/>
          <w:numId w:val="35"/>
        </w:numPr>
        <w:rPr>
          <w:rFonts w:ascii="Arial" w:eastAsia="Arial" w:hAnsi="Arial" w:cs="Arial"/>
          <w:szCs w:val="20"/>
          <w:lang w:val="en-GB"/>
        </w:rPr>
      </w:pPr>
      <w:r w:rsidRPr="00AC339F">
        <w:rPr>
          <w:rFonts w:ascii="Arial" w:eastAsia="Arial" w:hAnsi="Arial" w:cs="Arial"/>
          <w:szCs w:val="20"/>
          <w:lang w:val="en-GB"/>
        </w:rPr>
        <w:t xml:space="preserve">Is there any indication that aspects of the ACCESS program model have been adopted or adapted by other organisations (including government agencies, service providers, and civil society organisations)?  </w:t>
      </w:r>
    </w:p>
    <w:p w14:paraId="6346BE44" w14:textId="10C0CD1E" w:rsidR="0088700F" w:rsidRPr="00A2192B" w:rsidRDefault="19B8914B" w:rsidP="00A358B8">
      <w:pPr>
        <w:pStyle w:val="ListBullet"/>
        <w:rPr>
          <w:b/>
          <w:bCs/>
        </w:rPr>
      </w:pPr>
      <w:r w:rsidRPr="00A2192B">
        <w:rPr>
          <w:b/>
          <w:bCs/>
          <w:lang w:val="en-GB"/>
        </w:rPr>
        <w:t xml:space="preserve">To what extent has </w:t>
      </w:r>
      <w:r w:rsidR="00AD02D6">
        <w:rPr>
          <w:b/>
          <w:bCs/>
          <w:lang w:val="en-GB"/>
        </w:rPr>
        <w:t>ACCESS</w:t>
      </w:r>
      <w:r w:rsidRPr="00A2192B">
        <w:rPr>
          <w:b/>
          <w:bCs/>
          <w:lang w:val="en-GB"/>
        </w:rPr>
        <w:t xml:space="preserve"> been an efficient and effective program model to deliver outcomes? </w:t>
      </w:r>
      <w:r w:rsidRPr="00A2192B">
        <w:rPr>
          <w:b/>
          <w:bCs/>
        </w:rPr>
        <w:t xml:space="preserve"> </w:t>
      </w:r>
    </w:p>
    <w:p w14:paraId="75ECB066" w14:textId="5223B8FD" w:rsidR="0088700F" w:rsidRPr="00AC339F" w:rsidRDefault="19B8914B" w:rsidP="00D56E7C">
      <w:pPr>
        <w:pStyle w:val="ListParagraph"/>
        <w:numPr>
          <w:ilvl w:val="0"/>
          <w:numId w:val="59"/>
        </w:numPr>
        <w:rPr>
          <w:rFonts w:ascii="Arial" w:hAnsi="Arial" w:cs="Arial"/>
        </w:rPr>
      </w:pPr>
      <w:r w:rsidRPr="00AC339F">
        <w:rPr>
          <w:rFonts w:ascii="Arial" w:eastAsia="Arial" w:hAnsi="Arial" w:cs="Arial"/>
          <w:szCs w:val="20"/>
          <w:lang w:val="en-GB"/>
        </w:rPr>
        <w:t xml:space="preserve">To what extent has </w:t>
      </w:r>
      <w:r w:rsidR="00AD02D6">
        <w:rPr>
          <w:rFonts w:ascii="Arial" w:eastAsia="Arial" w:hAnsi="Arial" w:cs="Arial"/>
          <w:szCs w:val="20"/>
          <w:lang w:val="en-GB"/>
        </w:rPr>
        <w:t>ACCESS</w:t>
      </w:r>
      <w:r w:rsidR="00D56E7C">
        <w:rPr>
          <w:rFonts w:ascii="Arial" w:eastAsia="Arial" w:hAnsi="Arial" w:cs="Arial"/>
          <w:szCs w:val="20"/>
          <w:lang w:val="en-GB"/>
        </w:rPr>
        <w:t>’</w:t>
      </w:r>
      <w:r w:rsidR="009F2B4C">
        <w:rPr>
          <w:rFonts w:ascii="Arial" w:eastAsia="Arial" w:hAnsi="Arial" w:cs="Arial"/>
          <w:szCs w:val="20"/>
          <w:lang w:val="en-GB"/>
        </w:rPr>
        <w:t xml:space="preserve">s </w:t>
      </w:r>
      <w:r w:rsidRPr="00AC339F">
        <w:rPr>
          <w:rFonts w:ascii="Arial" w:eastAsia="Arial" w:hAnsi="Arial" w:cs="Arial"/>
          <w:szCs w:val="20"/>
          <w:lang w:val="en-GB"/>
        </w:rPr>
        <w:t xml:space="preserve">program model and management structure enabled it to adapt and respond to changing circumstances (including COVID-19, but also other political developments)?  </w:t>
      </w:r>
    </w:p>
    <w:p w14:paraId="7B27421A" w14:textId="08AD0A43" w:rsidR="0088700F" w:rsidRPr="005367CA" w:rsidRDefault="19B8914B" w:rsidP="00D56E7C">
      <w:pPr>
        <w:pStyle w:val="ListParagraph"/>
        <w:numPr>
          <w:ilvl w:val="0"/>
          <w:numId w:val="59"/>
        </w:numPr>
        <w:rPr>
          <w:rFonts w:ascii="Arial" w:hAnsi="Arial" w:cs="Arial"/>
        </w:rPr>
      </w:pPr>
      <w:r w:rsidRPr="00AC339F">
        <w:rPr>
          <w:rFonts w:ascii="Arial" w:eastAsia="Arial" w:hAnsi="Arial" w:cs="Arial"/>
          <w:szCs w:val="20"/>
          <w:lang w:val="en-GB"/>
        </w:rPr>
        <w:t xml:space="preserve">How effective has DFAT engagement been in maximising the outcomes of the ACCESS program (including leveraging DFAT/Embassy relationships and access to maximise policy influence)? How could this support be further leveraged/strengthened in successor programs (if at all)? </w:t>
      </w:r>
    </w:p>
    <w:p w14:paraId="716F570C" w14:textId="21D252E8" w:rsidR="005367CA" w:rsidRDefault="005367CA" w:rsidP="005367CA">
      <w:pPr>
        <w:pStyle w:val="ListParagraph"/>
        <w:rPr>
          <w:rFonts w:ascii="Arial" w:eastAsia="Arial" w:hAnsi="Arial" w:cs="Arial"/>
          <w:szCs w:val="20"/>
          <w:lang w:val="en-GB"/>
        </w:rPr>
      </w:pPr>
    </w:p>
    <w:p w14:paraId="0FC663AB" w14:textId="77777777" w:rsidR="0059336F" w:rsidRDefault="00CD5806" w:rsidP="00D66A4C">
      <w:pPr>
        <w:pStyle w:val="Heading1"/>
        <w:sectPr w:rsidR="0059336F" w:rsidSect="00876CA9">
          <w:pgSz w:w="11906" w:h="16838" w:code="9"/>
          <w:pgMar w:top="1814" w:right="1134" w:bottom="1134" w:left="1134" w:header="851" w:footer="454" w:gutter="0"/>
          <w:pgBorders w:offsetFrom="page">
            <w:top w:val="single" w:sz="48" w:space="0" w:color="507CB9"/>
            <w:left w:val="single" w:sz="48" w:space="0" w:color="507CB9"/>
            <w:bottom w:val="single" w:sz="48" w:space="0" w:color="507CB9"/>
            <w:right w:val="single" w:sz="48" w:space="0" w:color="507CB9"/>
          </w:pgBorders>
          <w:cols w:space="709"/>
          <w:docGrid w:linePitch="360"/>
        </w:sectPr>
      </w:pPr>
      <w:r>
        <w:br w:type="page"/>
      </w:r>
      <w:bookmarkStart w:id="107" w:name="_Toc116327903"/>
      <w:bookmarkStart w:id="108" w:name="_Toc116328016"/>
      <w:bookmarkStart w:id="109" w:name="_Toc116328080"/>
      <w:bookmarkStart w:id="110" w:name="_Toc116371569"/>
      <w:bookmarkStart w:id="111" w:name="_Toc116371694"/>
      <w:bookmarkStart w:id="112" w:name="_Toc116371763"/>
      <w:bookmarkStart w:id="113" w:name="_Toc116378186"/>
    </w:p>
    <w:p w14:paraId="3BBC44FA" w14:textId="204E9527" w:rsidR="00D66A4C" w:rsidRPr="007825FE" w:rsidRDefault="00D66A4C" w:rsidP="00D66A4C">
      <w:pPr>
        <w:pStyle w:val="Heading1"/>
        <w:rPr>
          <w:b w:val="0"/>
          <w:bCs/>
        </w:rPr>
      </w:pPr>
      <w:bookmarkStart w:id="114" w:name="_Toc122460804"/>
      <w:r w:rsidRPr="007825FE">
        <w:rPr>
          <w:b w:val="0"/>
          <w:bCs/>
        </w:rPr>
        <w:lastRenderedPageBreak/>
        <w:t>A</w:t>
      </w:r>
      <w:r w:rsidR="002A6B85">
        <w:rPr>
          <w:b w:val="0"/>
          <w:bCs/>
        </w:rPr>
        <w:t>nnex</w:t>
      </w:r>
      <w:r w:rsidRPr="007825FE">
        <w:rPr>
          <w:b w:val="0"/>
          <w:bCs/>
        </w:rPr>
        <w:t xml:space="preserve"> 2 ACCESS Program Logic Version 2</w:t>
      </w:r>
      <w:bookmarkEnd w:id="114"/>
    </w:p>
    <w:p w14:paraId="6FBC8B39" w14:textId="20656164" w:rsidR="00D66A4C" w:rsidRDefault="006F75F9">
      <w:pPr>
        <w:spacing w:after="0" w:line="240" w:lineRule="auto"/>
        <w:rPr>
          <w:b/>
          <w:iCs/>
          <w:caps/>
          <w:color w:val="1D336D" w:themeColor="background2"/>
          <w:sz w:val="32"/>
          <w:szCs w:val="28"/>
        </w:rPr>
      </w:pPr>
      <w:r w:rsidRPr="003D79F1">
        <w:rPr>
          <w:noProof/>
        </w:rPr>
        <w:drawing>
          <wp:inline distT="0" distB="0" distL="0" distR="0" wp14:anchorId="219A427D" wp14:editId="39BD65B0">
            <wp:extent cx="7951470" cy="5400675"/>
            <wp:effectExtent l="0" t="0" r="0" b="9525"/>
            <wp:docPr id="813682699" name="Picture 2" descr="Screenshot PDF extract of Version 2 of the ACCESS program logic, showing linkages between intermediate outcomes, end of program outcomes and the broader goal. It reads: Contribution to DFAT Partnerships for Recovery Strategy: Pillar 1: Health Security &#10;Ensure persons with disabilities &#10;and women have access to &#10;COVID-19 information and &#10;protective items. &#10;Pillar 2: stability &#10;Ensure GBV and disability &#10;services remain available. safe &#10;and of good quality. &#10;Pillar 3: Promote economic &#10;Economic empowerment Of &#10;persons with disabilities and &#10;social assistance. Persons With disabilities and women affected by GBV benefit from access to sustainable, quality, inclusive services &#10;End of Program Outcomes 1: &#10;Relevant RGC entities plan and &#10;utilises their resources more &#10;effectively for GBV and disability &#10;related services, in accordance &#10;With MEF guidelines &#10;End of Program Outcomes 2:RGC, CSOs and private sector sustainably improve the coverage, &#10;quality and inclusiveness of services for persons with disabilities and women affected by GBV. &#10;Principles include: &#10;Partnership, &#10;Collaboration, &#10;and Cooperation &#10;Equity and &#10;Inclusion &#10;Building &#10;Ownership and &#10;Commitment &#10;Innovative and &#10;Adaptive &#10;Management and &#10;Learning &#10;Accountability for &#10;Sustainable &#10;Results ">
              <a:extLst xmlns:a="http://schemas.openxmlformats.org/drawingml/2006/main">
                <a:ext uri="{FF2B5EF4-FFF2-40B4-BE49-F238E27FC236}">
                  <a16:creationId xmlns:a16="http://schemas.microsoft.com/office/drawing/2014/main" id="{5E095807-89AB-B5B5-0D5D-90C5DB3591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82699" name="Picture 2" descr="Screenshot PDF extract of Version 2 of the ACCESS program logic, showing linkages between intermediate outcomes, end of program outcomes and the broader goal. It reads: Contribution to DFAT Partnerships for Recovery Strategy: Pillar 1: Health Security &#10;Ensure persons with disabilities &#10;and women have access to &#10;COVID-19 information and &#10;protective items. &#10;Pillar 2: stability &#10;Ensure GBV and disability &#10;services remain available. safe &#10;and of good quality. &#10;Pillar 3: Promote economic &#10;Economic empowerment Of &#10;persons with disabilities and &#10;social assistance. Persons With disabilities and women affected by GBV benefit from access to sustainable, quality, inclusive services &#10;End of Program Outcomes 1: &#10;Relevant RGC entities plan and &#10;utilises their resources more &#10;effectively for GBV and disability &#10;related services, in accordance &#10;With MEF guidelines &#10;End of Program Outcomes 2:RGC, CSOs and private sector sustainably improve the coverage, &#10;quality and inclusiveness of services for persons with disabilities and women affected by GBV. &#10;Principles include: &#10;Partnership, &#10;Collaboration, &#10;and Cooperation &#10;Equity and &#10;Inclusion &#10;Building &#10;Ownership and &#10;Commitment &#10;Innovative and &#10;Adaptive &#10;Management and &#10;Learning &#10;Accountability for &#10;Sustainable &#10;Results ">
                      <a:extLst>
                        <a:ext uri="{FF2B5EF4-FFF2-40B4-BE49-F238E27FC236}">
                          <a16:creationId xmlns:a16="http://schemas.microsoft.com/office/drawing/2014/main" id="{5E095807-89AB-B5B5-0D5D-90C5DB3591BB}"/>
                        </a:ext>
                      </a:extLst>
                    </pic:cNvPr>
                    <pic:cNvPicPr>
                      <a:picLocks noChangeAspect="1"/>
                    </pic:cNvPicPr>
                  </pic:nvPicPr>
                  <pic:blipFill>
                    <a:blip r:embed="rId20"/>
                    <a:stretch>
                      <a:fillRect/>
                    </a:stretch>
                  </pic:blipFill>
                  <pic:spPr>
                    <a:xfrm>
                      <a:off x="0" y="0"/>
                      <a:ext cx="7951470" cy="5400675"/>
                    </a:xfrm>
                    <a:prstGeom prst="rect">
                      <a:avLst/>
                    </a:prstGeom>
                  </pic:spPr>
                </pic:pic>
              </a:graphicData>
            </a:graphic>
          </wp:inline>
        </w:drawing>
      </w:r>
      <w:r w:rsidR="00D66A4C">
        <w:br w:type="page"/>
      </w:r>
    </w:p>
    <w:p w14:paraId="3462D858" w14:textId="33AC2CDF" w:rsidR="00D66A4C" w:rsidRDefault="00D66A4C" w:rsidP="00D66A4C">
      <w:pPr>
        <w:pStyle w:val="Heading1"/>
        <w:rPr>
          <w:b w:val="0"/>
          <w:bCs/>
        </w:rPr>
      </w:pPr>
      <w:bookmarkStart w:id="115" w:name="_Toc122460805"/>
      <w:r w:rsidRPr="007825FE">
        <w:rPr>
          <w:b w:val="0"/>
          <w:bCs/>
        </w:rPr>
        <w:lastRenderedPageBreak/>
        <w:t>Annex 3 ACCESS Program Logic Version 3</w:t>
      </w:r>
      <w:bookmarkEnd w:id="115"/>
    </w:p>
    <w:p w14:paraId="604A0E51" w14:textId="23B80B40" w:rsidR="0059336F" w:rsidRPr="0059336F" w:rsidRDefault="008B7CD0" w:rsidP="007825FE">
      <w:r>
        <w:rPr>
          <w:noProof/>
        </w:rPr>
        <w:drawing>
          <wp:inline distT="0" distB="0" distL="0" distR="0" wp14:anchorId="6694684B" wp14:editId="22A0DC8E">
            <wp:extent cx="8820150" cy="4936297"/>
            <wp:effectExtent l="0" t="0" r="0" b="0"/>
            <wp:docPr id="63" name="Picture 63" descr="Screenshot from PDF showing version three of the ACCESS program results framework, including intermediate outcomes, end of program outcome and the broader goal. The principles underpinning the framework are display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creenshot from PDF showing version three of the ACCESS program results framework, including intermediate outcomes, end of program outcome and the broader goal. The principles underpinning the framework are displayed at the botto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20150" cy="4936297"/>
                    </a:xfrm>
                    <a:prstGeom prst="rect">
                      <a:avLst/>
                    </a:prstGeom>
                    <a:noFill/>
                    <a:ln>
                      <a:noFill/>
                    </a:ln>
                  </pic:spPr>
                </pic:pic>
              </a:graphicData>
            </a:graphic>
          </wp:inline>
        </w:drawing>
      </w:r>
    </w:p>
    <w:p w14:paraId="1A2B3F0C" w14:textId="22FF74C6" w:rsidR="00D66A4C" w:rsidRDefault="00D66A4C" w:rsidP="007825FE">
      <w:pPr>
        <w:rPr>
          <w:b/>
          <w:iCs/>
          <w:caps/>
        </w:rPr>
      </w:pPr>
      <w:r>
        <w:br w:type="page"/>
      </w:r>
    </w:p>
    <w:p w14:paraId="260EFE4F" w14:textId="77777777" w:rsidR="0059336F" w:rsidRDefault="0059336F" w:rsidP="00326D32">
      <w:pPr>
        <w:pStyle w:val="Heading1"/>
        <w:rPr>
          <w:b w:val="0"/>
          <w:bCs/>
        </w:rPr>
        <w:sectPr w:rsidR="0059336F" w:rsidSect="0059336F">
          <w:headerReference w:type="default" r:id="rId33"/>
          <w:pgSz w:w="16838" w:h="11906" w:orient="landscape" w:code="9"/>
          <w:pgMar w:top="1134" w:right="1814" w:bottom="1134" w:left="1134" w:header="851" w:footer="454" w:gutter="0"/>
          <w:pgBorders w:offsetFrom="page">
            <w:top w:val="single" w:sz="48" w:space="0" w:color="507CB9"/>
            <w:left w:val="single" w:sz="48" w:space="0" w:color="507CB9"/>
            <w:bottom w:val="single" w:sz="48" w:space="0" w:color="507CB9"/>
            <w:right w:val="single" w:sz="48" w:space="0" w:color="507CB9"/>
          </w:pgBorders>
          <w:cols w:space="709"/>
          <w:docGrid w:linePitch="360"/>
        </w:sectPr>
      </w:pPr>
    </w:p>
    <w:p w14:paraId="330F216F" w14:textId="168393A6" w:rsidR="00CD5806" w:rsidRPr="007825FE" w:rsidRDefault="00350E9A" w:rsidP="00326D32">
      <w:pPr>
        <w:pStyle w:val="Heading1"/>
        <w:rPr>
          <w:b w:val="0"/>
          <w:bCs/>
        </w:rPr>
      </w:pPr>
      <w:bookmarkStart w:id="116" w:name="_Toc122460806"/>
      <w:r w:rsidRPr="007825FE">
        <w:rPr>
          <w:b w:val="0"/>
          <w:bCs/>
        </w:rPr>
        <w:lastRenderedPageBreak/>
        <w:t xml:space="preserve">Annex </w:t>
      </w:r>
      <w:r w:rsidR="00D66A4C">
        <w:rPr>
          <w:b w:val="0"/>
          <w:bCs/>
        </w:rPr>
        <w:t>4</w:t>
      </w:r>
      <w:r w:rsidR="00D66A4C" w:rsidRPr="007825FE">
        <w:rPr>
          <w:b w:val="0"/>
          <w:bCs/>
        </w:rPr>
        <w:t xml:space="preserve"> </w:t>
      </w:r>
      <w:r w:rsidR="00F847DA" w:rsidRPr="007825FE">
        <w:rPr>
          <w:b w:val="0"/>
          <w:bCs/>
        </w:rPr>
        <w:t>S</w:t>
      </w:r>
      <w:r w:rsidR="00837C54" w:rsidRPr="007825FE">
        <w:rPr>
          <w:b w:val="0"/>
          <w:bCs/>
        </w:rPr>
        <w:t xml:space="preserve">takeholder </w:t>
      </w:r>
      <w:r w:rsidR="00996D7B">
        <w:rPr>
          <w:b w:val="0"/>
          <w:bCs/>
        </w:rPr>
        <w:t>I</w:t>
      </w:r>
      <w:r w:rsidR="00996D7B" w:rsidRPr="007825FE">
        <w:rPr>
          <w:b w:val="0"/>
          <w:bCs/>
        </w:rPr>
        <w:t xml:space="preserve">nterview </w:t>
      </w:r>
      <w:r w:rsidR="00996D7B">
        <w:rPr>
          <w:b w:val="0"/>
          <w:bCs/>
        </w:rPr>
        <w:t>L</w:t>
      </w:r>
      <w:r w:rsidR="00837C54" w:rsidRPr="007825FE">
        <w:rPr>
          <w:b w:val="0"/>
          <w:bCs/>
        </w:rPr>
        <w:t>ist</w:t>
      </w:r>
      <w:bookmarkEnd w:id="107"/>
      <w:bookmarkEnd w:id="108"/>
      <w:bookmarkEnd w:id="109"/>
      <w:bookmarkEnd w:id="110"/>
      <w:bookmarkEnd w:id="111"/>
      <w:bookmarkEnd w:id="112"/>
      <w:bookmarkEnd w:id="113"/>
      <w:bookmarkEnd w:id="116"/>
    </w:p>
    <w:tbl>
      <w:tblPr>
        <w:tblStyle w:val="GridTable5Dark-Accent2"/>
        <w:tblW w:w="962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701"/>
        <w:gridCol w:w="1691"/>
        <w:gridCol w:w="5103"/>
        <w:gridCol w:w="567"/>
        <w:gridCol w:w="567"/>
      </w:tblGrid>
      <w:tr w:rsidR="00B3291F" w:rsidRPr="00B3291F" w14:paraId="2A579039" w14:textId="77777777" w:rsidTr="00B3291F">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1701" w:type="dxa"/>
            <w:tcBorders>
              <w:top w:val="none" w:sz="0" w:space="0" w:color="auto"/>
              <w:left w:val="none" w:sz="0" w:space="0" w:color="auto"/>
              <w:right w:val="none" w:sz="0" w:space="0" w:color="auto"/>
            </w:tcBorders>
            <w:shd w:val="clear" w:color="auto" w:fill="1D336D" w:themeFill="background2"/>
          </w:tcPr>
          <w:p w14:paraId="523DD666" w14:textId="77777777" w:rsidR="000A593C" w:rsidRPr="00A85281" w:rsidRDefault="000A593C" w:rsidP="00D84D1A">
            <w:pPr>
              <w:spacing w:before="20" w:after="20" w:line="240" w:lineRule="auto"/>
              <w:jc w:val="center"/>
              <w:rPr>
                <w:rFonts w:ascii="Arial" w:hAnsi="Arial" w:cs="Arial"/>
                <w:color w:val="E4EAF8"/>
                <w:sz w:val="18"/>
                <w:szCs w:val="18"/>
              </w:rPr>
            </w:pPr>
            <w:r w:rsidRPr="00A85281">
              <w:rPr>
                <w:rFonts w:ascii="Arial" w:eastAsia="Calibri" w:hAnsi="Arial" w:cs="Arial"/>
                <w:color w:val="E4EAF8"/>
                <w:sz w:val="18"/>
                <w:szCs w:val="18"/>
              </w:rPr>
              <w:t>Stakeholder Category</w:t>
            </w:r>
          </w:p>
        </w:tc>
        <w:tc>
          <w:tcPr>
            <w:tcW w:w="1691" w:type="dxa"/>
            <w:tcBorders>
              <w:top w:val="none" w:sz="0" w:space="0" w:color="auto"/>
              <w:left w:val="none" w:sz="0" w:space="0" w:color="auto"/>
              <w:right w:val="none" w:sz="0" w:space="0" w:color="auto"/>
            </w:tcBorders>
            <w:shd w:val="clear" w:color="auto" w:fill="1D336D" w:themeFill="background2"/>
          </w:tcPr>
          <w:p w14:paraId="406B54FA" w14:textId="2637BE4A" w:rsidR="000A593C" w:rsidRPr="00A85281" w:rsidRDefault="000A593C" w:rsidP="000A593C">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E4EAF8"/>
                <w:sz w:val="18"/>
                <w:szCs w:val="18"/>
              </w:rPr>
            </w:pPr>
            <w:r w:rsidRPr="00A85281">
              <w:rPr>
                <w:rFonts w:ascii="Arial" w:eastAsia="Calibri" w:hAnsi="Arial" w:cs="Arial"/>
                <w:color w:val="E4EAF8"/>
                <w:sz w:val="18"/>
                <w:szCs w:val="18"/>
              </w:rPr>
              <w:t>Location</w:t>
            </w:r>
          </w:p>
        </w:tc>
        <w:tc>
          <w:tcPr>
            <w:tcW w:w="5103" w:type="dxa"/>
            <w:tcBorders>
              <w:top w:val="none" w:sz="0" w:space="0" w:color="auto"/>
              <w:left w:val="none" w:sz="0" w:space="0" w:color="auto"/>
              <w:right w:val="none" w:sz="0" w:space="0" w:color="auto"/>
            </w:tcBorders>
            <w:shd w:val="clear" w:color="auto" w:fill="1D336D" w:themeFill="background2"/>
          </w:tcPr>
          <w:p w14:paraId="2956EFBB" w14:textId="095FEF48" w:rsidR="000A593C" w:rsidRPr="00A85281" w:rsidRDefault="000A593C" w:rsidP="00D84D1A">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E4EAF8"/>
                <w:sz w:val="18"/>
                <w:szCs w:val="18"/>
              </w:rPr>
            </w:pPr>
            <w:r w:rsidRPr="00A85281">
              <w:rPr>
                <w:rFonts w:ascii="Arial" w:eastAsia="Calibri" w:hAnsi="Arial" w:cs="Arial"/>
                <w:color w:val="E4EAF8"/>
                <w:sz w:val="18"/>
                <w:szCs w:val="18"/>
              </w:rPr>
              <w:t>Details</w:t>
            </w:r>
          </w:p>
        </w:tc>
        <w:tc>
          <w:tcPr>
            <w:tcW w:w="567" w:type="dxa"/>
            <w:tcBorders>
              <w:top w:val="none" w:sz="0" w:space="0" w:color="auto"/>
              <w:left w:val="none" w:sz="0" w:space="0" w:color="auto"/>
              <w:right w:val="none" w:sz="0" w:space="0" w:color="auto"/>
            </w:tcBorders>
            <w:shd w:val="clear" w:color="auto" w:fill="1D336D" w:themeFill="background2"/>
          </w:tcPr>
          <w:p w14:paraId="0737A943" w14:textId="77777777" w:rsidR="000A593C" w:rsidRPr="00A85281" w:rsidRDefault="000A593C" w:rsidP="00D84D1A">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E4EAF8"/>
                <w:sz w:val="18"/>
                <w:szCs w:val="18"/>
              </w:rPr>
            </w:pPr>
            <w:r w:rsidRPr="00A85281">
              <w:rPr>
                <w:rFonts w:ascii="Arial" w:eastAsia="Calibri" w:hAnsi="Arial" w:cs="Arial"/>
                <w:color w:val="E4EAF8"/>
                <w:sz w:val="18"/>
                <w:szCs w:val="18"/>
              </w:rPr>
              <w:t>M</w:t>
            </w:r>
          </w:p>
        </w:tc>
        <w:tc>
          <w:tcPr>
            <w:tcW w:w="567" w:type="dxa"/>
            <w:tcBorders>
              <w:top w:val="none" w:sz="0" w:space="0" w:color="auto"/>
              <w:left w:val="none" w:sz="0" w:space="0" w:color="auto"/>
              <w:right w:val="none" w:sz="0" w:space="0" w:color="auto"/>
            </w:tcBorders>
            <w:shd w:val="clear" w:color="auto" w:fill="1D336D" w:themeFill="background2"/>
          </w:tcPr>
          <w:p w14:paraId="7D651806" w14:textId="77777777" w:rsidR="000A593C" w:rsidRPr="00A85281" w:rsidRDefault="000A593C" w:rsidP="00D84D1A">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E4EAF8"/>
                <w:sz w:val="18"/>
                <w:szCs w:val="18"/>
              </w:rPr>
            </w:pPr>
            <w:r w:rsidRPr="00A85281">
              <w:rPr>
                <w:rFonts w:ascii="Arial" w:eastAsia="Calibri" w:hAnsi="Arial" w:cs="Arial"/>
                <w:color w:val="E4EAF8"/>
                <w:sz w:val="18"/>
                <w:szCs w:val="18"/>
              </w:rPr>
              <w:t>F</w:t>
            </w:r>
          </w:p>
        </w:tc>
      </w:tr>
      <w:tr w:rsidR="000A593C" w:rsidRPr="00400CF2" w14:paraId="0754D2BD" w14:textId="77777777" w:rsidTr="0039291A">
        <w:trPr>
          <w:cnfStyle w:val="000000100000" w:firstRow="0" w:lastRow="0" w:firstColumn="0" w:lastColumn="0" w:oddVBand="0" w:evenVBand="0" w:oddHBand="1" w:evenHBand="0" w:firstRowFirstColumn="0" w:firstRowLastColumn="0" w:lastRowFirstColumn="0" w:lastRowLastColumn="0"/>
          <w:cantSplit/>
          <w:trHeight w:val="256"/>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6FB5D439" w14:textId="7EB49969" w:rsidR="000A593C" w:rsidRPr="00400CF2" w:rsidRDefault="000A593C" w:rsidP="00D84D1A">
            <w:pPr>
              <w:spacing w:before="20" w:after="20" w:line="240" w:lineRule="auto"/>
              <w:rPr>
                <w:rFonts w:ascii="Arial" w:hAnsi="Arial" w:cs="Arial"/>
                <w:sz w:val="18"/>
                <w:szCs w:val="18"/>
              </w:rPr>
            </w:pPr>
            <w:r>
              <w:rPr>
                <w:rFonts w:ascii="Arial" w:eastAsia="Calibri" w:hAnsi="Arial" w:cs="Arial"/>
                <w:sz w:val="18"/>
                <w:szCs w:val="18"/>
              </w:rPr>
              <w:t>DFAT</w:t>
            </w:r>
          </w:p>
        </w:tc>
        <w:tc>
          <w:tcPr>
            <w:tcW w:w="1691" w:type="dxa"/>
            <w:shd w:val="clear" w:color="auto" w:fill="auto"/>
          </w:tcPr>
          <w:p w14:paraId="7B15FC4D" w14:textId="5DDA6914"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2D9B8120" w14:textId="3C148A9A" w:rsidR="000A593C" w:rsidRPr="00400CF2" w:rsidRDefault="000A593C" w:rsidP="00D84D1A">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DFAT Management / ACCESS Program Management</w:t>
            </w:r>
          </w:p>
        </w:tc>
        <w:tc>
          <w:tcPr>
            <w:tcW w:w="567" w:type="dxa"/>
            <w:shd w:val="clear" w:color="auto" w:fill="auto"/>
          </w:tcPr>
          <w:p w14:paraId="41B56A30"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c>
          <w:tcPr>
            <w:tcW w:w="567" w:type="dxa"/>
            <w:shd w:val="clear" w:color="auto" w:fill="auto"/>
          </w:tcPr>
          <w:p w14:paraId="67B78ACD"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r>
      <w:tr w:rsidR="000A593C" w:rsidRPr="00400CF2" w14:paraId="561262C4" w14:textId="77777777" w:rsidTr="00B3291F">
        <w:trPr>
          <w:cantSplit/>
          <w:trHeight w:val="24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1BD11F4C" w14:textId="589AEFB6" w:rsidR="000A593C" w:rsidRPr="00400CF2" w:rsidRDefault="000A593C" w:rsidP="00D84D1A">
            <w:pPr>
              <w:spacing w:before="20" w:after="20" w:line="240" w:lineRule="auto"/>
              <w:rPr>
                <w:rFonts w:ascii="Arial" w:hAnsi="Arial" w:cs="Arial"/>
                <w:sz w:val="18"/>
                <w:szCs w:val="18"/>
              </w:rPr>
            </w:pPr>
            <w:r>
              <w:rPr>
                <w:rFonts w:ascii="Arial" w:eastAsia="Calibri" w:hAnsi="Arial" w:cs="Arial"/>
                <w:sz w:val="18"/>
                <w:szCs w:val="18"/>
              </w:rPr>
              <w:t>DFAT</w:t>
            </w:r>
          </w:p>
        </w:tc>
        <w:tc>
          <w:tcPr>
            <w:tcW w:w="1691" w:type="dxa"/>
            <w:shd w:val="clear" w:color="auto" w:fill="auto"/>
          </w:tcPr>
          <w:p w14:paraId="548328C9" w14:textId="7A97EFAF" w:rsidR="000A593C" w:rsidRPr="00400CF2"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40AA737C" w14:textId="0F1FDD8D" w:rsidR="000A593C" w:rsidRPr="00400CF2" w:rsidRDefault="000A593C" w:rsidP="00D84D1A">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DFAT Human Development Team</w:t>
            </w:r>
          </w:p>
        </w:tc>
        <w:tc>
          <w:tcPr>
            <w:tcW w:w="567" w:type="dxa"/>
            <w:shd w:val="clear" w:color="auto" w:fill="auto"/>
          </w:tcPr>
          <w:p w14:paraId="661D43D2"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c>
          <w:tcPr>
            <w:tcW w:w="567" w:type="dxa"/>
            <w:shd w:val="clear" w:color="auto" w:fill="auto"/>
          </w:tcPr>
          <w:p w14:paraId="0BBFBF16"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r>
      <w:tr w:rsidR="000A593C" w:rsidRPr="00400CF2" w14:paraId="384B2695" w14:textId="77777777" w:rsidTr="00B3291F">
        <w:trPr>
          <w:cnfStyle w:val="000000100000" w:firstRow="0" w:lastRow="0" w:firstColumn="0" w:lastColumn="0" w:oddVBand="0" w:evenVBand="0" w:oddHBand="1" w:evenHBand="0" w:firstRowFirstColumn="0" w:firstRowLastColumn="0" w:lastRowFirstColumn="0" w:lastRowLastColumn="0"/>
          <w:cantSplit/>
          <w:trHeight w:val="24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05981CA9"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ACCESS</w:t>
            </w:r>
          </w:p>
        </w:tc>
        <w:tc>
          <w:tcPr>
            <w:tcW w:w="1691" w:type="dxa"/>
            <w:shd w:val="clear" w:color="auto" w:fill="auto"/>
          </w:tcPr>
          <w:p w14:paraId="0D2F1573" w14:textId="0FEC4704"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379028C1" w14:textId="3298061B" w:rsidR="000A593C" w:rsidRPr="00400CF2" w:rsidRDefault="000A593C" w:rsidP="00D84D1A">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Management Team / Contractor </w:t>
            </w:r>
          </w:p>
        </w:tc>
        <w:tc>
          <w:tcPr>
            <w:tcW w:w="567" w:type="dxa"/>
            <w:shd w:val="clear" w:color="auto" w:fill="auto"/>
          </w:tcPr>
          <w:p w14:paraId="30785825"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c>
          <w:tcPr>
            <w:tcW w:w="567" w:type="dxa"/>
            <w:shd w:val="clear" w:color="auto" w:fill="auto"/>
          </w:tcPr>
          <w:p w14:paraId="13DA49BA"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4</w:t>
            </w:r>
          </w:p>
        </w:tc>
      </w:tr>
      <w:tr w:rsidR="000A593C" w:rsidRPr="00400CF2" w14:paraId="02AA9F55" w14:textId="77777777" w:rsidTr="00B3291F">
        <w:trPr>
          <w:cantSplit/>
          <w:trHeight w:val="164"/>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37DB8916"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 xml:space="preserve">ACCESS </w:t>
            </w:r>
          </w:p>
        </w:tc>
        <w:tc>
          <w:tcPr>
            <w:tcW w:w="1691" w:type="dxa"/>
            <w:shd w:val="clear" w:color="auto" w:fill="auto"/>
          </w:tcPr>
          <w:p w14:paraId="4B7F5414" w14:textId="5A69B9E3" w:rsidR="000A593C" w:rsidRPr="00400CF2"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7C26DB2B" w14:textId="286BD2B6" w:rsidR="000A593C" w:rsidRPr="00400CF2" w:rsidRDefault="000A593C" w:rsidP="00D84D1A">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Monitoring, Evaluation and Learning Team</w:t>
            </w:r>
          </w:p>
        </w:tc>
        <w:tc>
          <w:tcPr>
            <w:tcW w:w="567" w:type="dxa"/>
            <w:shd w:val="clear" w:color="auto" w:fill="auto"/>
          </w:tcPr>
          <w:p w14:paraId="79B2FA14"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6230BC09"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00AB22A6" w14:textId="77777777" w:rsidTr="00B3291F">
        <w:trPr>
          <w:cnfStyle w:val="000000100000" w:firstRow="0" w:lastRow="0" w:firstColumn="0" w:lastColumn="0" w:oddVBand="0" w:evenVBand="0" w:oddHBand="1" w:evenHBand="0" w:firstRowFirstColumn="0" w:firstRowLastColumn="0" w:lastRowFirstColumn="0" w:lastRowLastColumn="0"/>
          <w:cantSplit/>
          <w:trHeight w:val="24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69B3E2D8"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ACCESS</w:t>
            </w:r>
          </w:p>
        </w:tc>
        <w:tc>
          <w:tcPr>
            <w:tcW w:w="1691" w:type="dxa"/>
            <w:shd w:val="clear" w:color="auto" w:fill="auto"/>
          </w:tcPr>
          <w:p w14:paraId="28A89AD8" w14:textId="15BC5727"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35126557" w14:textId="68553A40" w:rsidR="000A593C" w:rsidRPr="00400CF2" w:rsidRDefault="000A593C" w:rsidP="00D84D1A">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PFM Technical Advisors</w:t>
            </w:r>
          </w:p>
        </w:tc>
        <w:tc>
          <w:tcPr>
            <w:tcW w:w="567" w:type="dxa"/>
            <w:shd w:val="clear" w:color="auto" w:fill="auto"/>
          </w:tcPr>
          <w:p w14:paraId="1DC69186"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65C99021"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61453D07" w14:textId="77777777" w:rsidTr="00B3291F">
        <w:trPr>
          <w:cantSplit/>
          <w:trHeight w:val="22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49EC8E61"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 xml:space="preserve">ACCESS </w:t>
            </w:r>
          </w:p>
        </w:tc>
        <w:tc>
          <w:tcPr>
            <w:tcW w:w="1691" w:type="dxa"/>
            <w:shd w:val="clear" w:color="auto" w:fill="auto"/>
          </w:tcPr>
          <w:p w14:paraId="6A304585" w14:textId="48816186" w:rsidR="000A593C" w:rsidRPr="00400CF2"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131EF4A9" w14:textId="7D561353" w:rsidR="000A593C" w:rsidRPr="00400CF2" w:rsidRDefault="000A593C" w:rsidP="00D84D1A">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Disability Workstream Team</w:t>
            </w:r>
          </w:p>
        </w:tc>
        <w:tc>
          <w:tcPr>
            <w:tcW w:w="567" w:type="dxa"/>
            <w:shd w:val="clear" w:color="auto" w:fill="auto"/>
          </w:tcPr>
          <w:p w14:paraId="259CAD92"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c>
          <w:tcPr>
            <w:tcW w:w="567" w:type="dxa"/>
            <w:shd w:val="clear" w:color="auto" w:fill="auto"/>
          </w:tcPr>
          <w:p w14:paraId="06BB7A08"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r>
      <w:tr w:rsidR="000A593C" w:rsidRPr="00400CF2" w14:paraId="77E28752" w14:textId="77777777" w:rsidTr="00B3291F">
        <w:trPr>
          <w:cnfStyle w:val="000000100000" w:firstRow="0" w:lastRow="0" w:firstColumn="0" w:lastColumn="0" w:oddVBand="0" w:evenVBand="0" w:oddHBand="1" w:evenHBand="0" w:firstRowFirstColumn="0" w:firstRowLastColumn="0" w:lastRowFirstColumn="0" w:lastRowLastColumn="0"/>
          <w:cantSplit/>
          <w:trHeight w:val="24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7FF9D109"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 xml:space="preserve">ACCESS </w:t>
            </w:r>
          </w:p>
        </w:tc>
        <w:tc>
          <w:tcPr>
            <w:tcW w:w="1691" w:type="dxa"/>
            <w:shd w:val="clear" w:color="auto" w:fill="auto"/>
          </w:tcPr>
          <w:p w14:paraId="3F95535F" w14:textId="7DC350B7"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2DD55216" w14:textId="4EB2E202" w:rsidR="000A593C" w:rsidRPr="00400CF2" w:rsidRDefault="000A593C" w:rsidP="00D84D1A">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GBV Workstream Team</w:t>
            </w:r>
          </w:p>
        </w:tc>
        <w:tc>
          <w:tcPr>
            <w:tcW w:w="567" w:type="dxa"/>
            <w:shd w:val="clear" w:color="auto" w:fill="auto"/>
          </w:tcPr>
          <w:p w14:paraId="6BBAEDBB"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7D3F13AB"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r>
      <w:tr w:rsidR="000A593C" w:rsidRPr="00400CF2" w14:paraId="300BE0B5" w14:textId="77777777" w:rsidTr="00B3291F">
        <w:trPr>
          <w:cantSplit/>
          <w:trHeight w:val="24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4A88F3FD"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ACCESS</w:t>
            </w:r>
          </w:p>
        </w:tc>
        <w:tc>
          <w:tcPr>
            <w:tcW w:w="1691" w:type="dxa"/>
            <w:shd w:val="clear" w:color="auto" w:fill="auto"/>
          </w:tcPr>
          <w:p w14:paraId="087B85B3" w14:textId="62E38E63" w:rsidR="000A593C" w:rsidRPr="00400CF2"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030501FD" w14:textId="6DDE6953" w:rsidR="000A593C" w:rsidRPr="00400CF2" w:rsidRDefault="000A593C" w:rsidP="00D84D1A">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International GBV Advisor </w:t>
            </w:r>
          </w:p>
        </w:tc>
        <w:tc>
          <w:tcPr>
            <w:tcW w:w="567" w:type="dxa"/>
            <w:shd w:val="clear" w:color="auto" w:fill="auto"/>
          </w:tcPr>
          <w:p w14:paraId="7229E88D"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4CCB586B"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1F711CAA" w14:textId="77777777" w:rsidTr="00B3291F">
        <w:trPr>
          <w:cnfStyle w:val="000000100000" w:firstRow="0" w:lastRow="0" w:firstColumn="0" w:lastColumn="0" w:oddVBand="0" w:evenVBand="0" w:oddHBand="1" w:evenHBand="0" w:firstRowFirstColumn="0" w:firstRowLastColumn="0" w:lastRowFirstColumn="0" w:lastRowLastColumn="0"/>
          <w:cantSplit/>
          <w:trHeight w:val="24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0166BB08"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ACCESS</w:t>
            </w:r>
          </w:p>
        </w:tc>
        <w:tc>
          <w:tcPr>
            <w:tcW w:w="1691" w:type="dxa"/>
            <w:shd w:val="clear" w:color="auto" w:fill="auto"/>
          </w:tcPr>
          <w:p w14:paraId="4479A747" w14:textId="2C655488"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5D21C160" w14:textId="168697C9" w:rsidR="000A593C" w:rsidRPr="00400CF2" w:rsidRDefault="000A593C" w:rsidP="00D84D1A">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International Disability Advisor </w:t>
            </w:r>
          </w:p>
        </w:tc>
        <w:tc>
          <w:tcPr>
            <w:tcW w:w="567" w:type="dxa"/>
            <w:shd w:val="clear" w:color="auto" w:fill="auto"/>
          </w:tcPr>
          <w:p w14:paraId="730464CD"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0A9C0B7B"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36408BFC" w14:textId="77777777" w:rsidTr="00B3291F">
        <w:trPr>
          <w:cantSplit/>
          <w:trHeight w:val="24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3D3909A0"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ACCESS Disability Workstream IPs</w:t>
            </w:r>
          </w:p>
        </w:tc>
        <w:tc>
          <w:tcPr>
            <w:tcW w:w="1691" w:type="dxa"/>
            <w:shd w:val="clear" w:color="auto" w:fill="auto"/>
          </w:tcPr>
          <w:p w14:paraId="2DB338C2" w14:textId="5C7EA761" w:rsidR="000A593C" w:rsidRPr="00400CF2"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50331D3C" w14:textId="1E07D641" w:rsidR="000A593C" w:rsidRPr="00400CF2" w:rsidRDefault="000A593C" w:rsidP="00D84D1A">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CDPO, Agile, </w:t>
            </w:r>
            <w:proofErr w:type="spellStart"/>
            <w:r w:rsidRPr="00400CF2">
              <w:rPr>
                <w:rFonts w:ascii="Arial" w:eastAsia="Calibri" w:hAnsi="Arial" w:cs="Arial"/>
                <w:sz w:val="18"/>
                <w:szCs w:val="18"/>
              </w:rPr>
              <w:t>PAfID</w:t>
            </w:r>
            <w:proofErr w:type="spellEnd"/>
            <w:r w:rsidRPr="00400CF2">
              <w:rPr>
                <w:rFonts w:ascii="Arial" w:eastAsia="Calibri" w:hAnsi="Arial" w:cs="Arial"/>
                <w:sz w:val="18"/>
                <w:szCs w:val="18"/>
              </w:rPr>
              <w:t xml:space="preserve">, </w:t>
            </w:r>
            <w:proofErr w:type="spellStart"/>
            <w:r w:rsidRPr="00400CF2">
              <w:rPr>
                <w:rFonts w:ascii="Arial" w:eastAsia="Calibri" w:hAnsi="Arial" w:cs="Arial"/>
                <w:sz w:val="18"/>
                <w:szCs w:val="18"/>
              </w:rPr>
              <w:t>Chamroeun</w:t>
            </w:r>
            <w:proofErr w:type="spellEnd"/>
            <w:r w:rsidRPr="00400CF2">
              <w:rPr>
                <w:rFonts w:ascii="Arial" w:eastAsia="Calibri" w:hAnsi="Arial" w:cs="Arial"/>
                <w:sz w:val="18"/>
                <w:szCs w:val="18"/>
              </w:rPr>
              <w:t>/GR, HI, UNDP, ADD</w:t>
            </w:r>
          </w:p>
        </w:tc>
        <w:tc>
          <w:tcPr>
            <w:tcW w:w="567" w:type="dxa"/>
            <w:shd w:val="clear" w:color="auto" w:fill="auto"/>
          </w:tcPr>
          <w:p w14:paraId="53F56608"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5</w:t>
            </w:r>
          </w:p>
        </w:tc>
        <w:tc>
          <w:tcPr>
            <w:tcW w:w="567" w:type="dxa"/>
            <w:shd w:val="clear" w:color="auto" w:fill="auto"/>
          </w:tcPr>
          <w:p w14:paraId="08581594"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r>
      <w:tr w:rsidR="000A593C" w:rsidRPr="00400CF2" w14:paraId="513E884F" w14:textId="77777777" w:rsidTr="00B3291F">
        <w:trPr>
          <w:cnfStyle w:val="000000100000" w:firstRow="0" w:lastRow="0" w:firstColumn="0" w:lastColumn="0" w:oddVBand="0" w:evenVBand="0" w:oddHBand="1" w:evenHBand="0" w:firstRowFirstColumn="0" w:firstRowLastColumn="0" w:lastRowFirstColumn="0" w:lastRowLastColumn="0"/>
          <w:cantSplit/>
          <w:trHeight w:val="24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70A65B56"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ACCESS GBV Workstream IPs</w:t>
            </w:r>
          </w:p>
        </w:tc>
        <w:tc>
          <w:tcPr>
            <w:tcW w:w="1691" w:type="dxa"/>
            <w:shd w:val="clear" w:color="auto" w:fill="auto"/>
          </w:tcPr>
          <w:p w14:paraId="74FC8813" w14:textId="0EA20F17"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390AF12C" w14:textId="44E08935" w:rsidR="000A593C" w:rsidRPr="00400CF2" w:rsidRDefault="000A593C" w:rsidP="00D84D1A">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UN Women, LAC, TAF, CWCC, TPO, CARE and UNFPA</w:t>
            </w:r>
          </w:p>
        </w:tc>
        <w:tc>
          <w:tcPr>
            <w:tcW w:w="567" w:type="dxa"/>
            <w:shd w:val="clear" w:color="auto" w:fill="auto"/>
          </w:tcPr>
          <w:p w14:paraId="73D2F36E"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7</w:t>
            </w:r>
          </w:p>
        </w:tc>
        <w:tc>
          <w:tcPr>
            <w:tcW w:w="567" w:type="dxa"/>
            <w:shd w:val="clear" w:color="auto" w:fill="auto"/>
          </w:tcPr>
          <w:p w14:paraId="7ED1C9FA"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10</w:t>
            </w:r>
          </w:p>
        </w:tc>
      </w:tr>
      <w:tr w:rsidR="000A593C" w:rsidRPr="00400CF2" w14:paraId="06AD862B" w14:textId="77777777" w:rsidTr="00B3291F">
        <w:trPr>
          <w:cantSplit/>
          <w:trHeight w:val="1317"/>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0D0D1187" w14:textId="179B6338"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M</w:t>
            </w:r>
            <w:r>
              <w:rPr>
                <w:rFonts w:ascii="Arial" w:eastAsia="Calibri" w:hAnsi="Arial" w:cs="Arial"/>
                <w:sz w:val="18"/>
                <w:szCs w:val="18"/>
              </w:rPr>
              <w:t>o</w:t>
            </w:r>
            <w:r w:rsidRPr="00400CF2">
              <w:rPr>
                <w:rFonts w:ascii="Arial" w:eastAsia="Calibri" w:hAnsi="Arial" w:cs="Arial"/>
                <w:sz w:val="18"/>
                <w:szCs w:val="18"/>
              </w:rPr>
              <w:t>SVY</w:t>
            </w:r>
            <w:proofErr w:type="spellEnd"/>
          </w:p>
          <w:p w14:paraId="496622DD"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 xml:space="preserve"> </w:t>
            </w:r>
          </w:p>
        </w:tc>
        <w:tc>
          <w:tcPr>
            <w:tcW w:w="1691" w:type="dxa"/>
            <w:shd w:val="clear" w:color="auto" w:fill="auto"/>
          </w:tcPr>
          <w:p w14:paraId="388BFFB3" w14:textId="0F7759D3" w:rsidR="000A593C" w:rsidRPr="00400CF2"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6E544250" w14:textId="7294263E" w:rsidR="000A593C" w:rsidRPr="00400CF2" w:rsidRDefault="000A593C" w:rsidP="00D84D1A">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ACCESS Steering Committee (ASC) and Competitive Investment Mechanism (CIM) Panel Members</w:t>
            </w:r>
            <w:r>
              <w:rPr>
                <w:rFonts w:ascii="Arial" w:eastAsia="Calibri" w:hAnsi="Arial" w:cs="Arial"/>
                <w:sz w:val="18"/>
                <w:szCs w:val="18"/>
              </w:rPr>
              <w:t>:</w:t>
            </w:r>
            <w:r w:rsidRPr="00400CF2">
              <w:rPr>
                <w:rFonts w:ascii="Arial" w:eastAsia="Calibri" w:hAnsi="Arial" w:cs="Arial"/>
                <w:sz w:val="18"/>
                <w:szCs w:val="18"/>
              </w:rPr>
              <w:t xml:space="preserve"> </w:t>
            </w:r>
          </w:p>
          <w:p w14:paraId="3180E296"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A08CC">
              <w:rPr>
                <w:rFonts w:ascii="Arial" w:eastAsia="Calibri" w:hAnsi="Arial" w:cs="Arial"/>
                <w:sz w:val="18"/>
                <w:szCs w:val="18"/>
              </w:rPr>
              <w:t xml:space="preserve">HE Sem </w:t>
            </w:r>
            <w:proofErr w:type="spellStart"/>
            <w:r w:rsidRPr="00FA08CC">
              <w:rPr>
                <w:rFonts w:ascii="Arial" w:eastAsia="Calibri" w:hAnsi="Arial" w:cs="Arial"/>
                <w:sz w:val="18"/>
                <w:szCs w:val="18"/>
              </w:rPr>
              <w:t>Sokha</w:t>
            </w:r>
            <w:proofErr w:type="spellEnd"/>
            <w:r w:rsidRPr="00FA08CC">
              <w:rPr>
                <w:rFonts w:ascii="Arial" w:eastAsia="Calibri" w:hAnsi="Arial" w:cs="Arial"/>
                <w:sz w:val="18"/>
                <w:szCs w:val="18"/>
              </w:rPr>
              <w:t>, Secretary of State, MOSVY</w:t>
            </w:r>
          </w:p>
          <w:p w14:paraId="38816125"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Yeap</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Malyno</w:t>
            </w:r>
            <w:proofErr w:type="spellEnd"/>
            <w:r w:rsidRPr="00FA08CC">
              <w:rPr>
                <w:rFonts w:ascii="Arial" w:eastAsia="Calibri" w:hAnsi="Arial" w:cs="Arial"/>
                <w:sz w:val="18"/>
                <w:szCs w:val="18"/>
              </w:rPr>
              <w:t>, General Director of General Department of Social Policy and ACCESS CIMP member</w:t>
            </w:r>
          </w:p>
          <w:p w14:paraId="56789B50" w14:textId="7A1B62E4"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Mr </w:t>
            </w:r>
            <w:proofErr w:type="spellStart"/>
            <w:r w:rsidRPr="00FA08CC">
              <w:rPr>
                <w:rFonts w:ascii="Arial" w:eastAsia="Calibri" w:hAnsi="Arial" w:cs="Arial"/>
                <w:sz w:val="18"/>
                <w:szCs w:val="18"/>
              </w:rPr>
              <w:t>Sann</w:t>
            </w:r>
            <w:proofErr w:type="spellEnd"/>
            <w:r w:rsidRPr="00FA08CC">
              <w:rPr>
                <w:rFonts w:ascii="Arial" w:eastAsia="Calibri" w:hAnsi="Arial" w:cs="Arial"/>
                <w:sz w:val="18"/>
                <w:szCs w:val="18"/>
              </w:rPr>
              <w:t xml:space="preserve"> Ratana, Director of Department of Welfare for </w:t>
            </w:r>
            <w:r w:rsidRPr="401877F5">
              <w:rPr>
                <w:rFonts w:ascii="Arial" w:eastAsia="Calibri" w:hAnsi="Arial" w:cs="Arial"/>
                <w:sz w:val="18"/>
                <w:szCs w:val="18"/>
              </w:rPr>
              <w:t xml:space="preserve">People with </w:t>
            </w:r>
            <w:proofErr w:type="spellStart"/>
            <w:r w:rsidRPr="401877F5">
              <w:rPr>
                <w:rFonts w:ascii="Arial" w:eastAsia="Calibri" w:hAnsi="Arial" w:cs="Arial"/>
                <w:sz w:val="18"/>
                <w:szCs w:val="18"/>
              </w:rPr>
              <w:t>Disabiltiies</w:t>
            </w:r>
            <w:proofErr w:type="spellEnd"/>
          </w:p>
          <w:p w14:paraId="6BEB21DA"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A08CC">
              <w:rPr>
                <w:rFonts w:ascii="Arial" w:eastAsia="Calibri" w:hAnsi="Arial" w:cs="Arial"/>
                <w:sz w:val="18"/>
                <w:szCs w:val="18"/>
              </w:rPr>
              <w:t>Three other accompanying colleagues</w:t>
            </w:r>
          </w:p>
        </w:tc>
        <w:tc>
          <w:tcPr>
            <w:tcW w:w="567" w:type="dxa"/>
            <w:shd w:val="clear" w:color="auto" w:fill="auto"/>
          </w:tcPr>
          <w:p w14:paraId="367EA793"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5</w:t>
            </w:r>
          </w:p>
        </w:tc>
        <w:tc>
          <w:tcPr>
            <w:tcW w:w="567" w:type="dxa"/>
            <w:shd w:val="clear" w:color="auto" w:fill="auto"/>
          </w:tcPr>
          <w:p w14:paraId="33EF8426"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27CA5BAF" w14:textId="77777777" w:rsidTr="00B3291F">
        <w:trPr>
          <w:cnfStyle w:val="000000100000" w:firstRow="0" w:lastRow="0" w:firstColumn="0" w:lastColumn="0" w:oddVBand="0" w:evenVBand="0" w:oddHBand="1" w:evenHBand="0" w:firstRowFirstColumn="0" w:firstRowLastColumn="0" w:lastRowFirstColumn="0" w:lastRowLastColumn="0"/>
          <w:cantSplit/>
          <w:trHeight w:val="817"/>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1A5392EA" w14:textId="79557721"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Pr>
                <w:rFonts w:ascii="Arial" w:eastAsia="Calibri" w:hAnsi="Arial" w:cs="Arial"/>
                <w:sz w:val="18"/>
                <w:szCs w:val="18"/>
              </w:rPr>
              <w:t>MoSVY</w:t>
            </w:r>
            <w:proofErr w:type="spellEnd"/>
            <w:r w:rsidRPr="00400CF2">
              <w:rPr>
                <w:rFonts w:ascii="Arial" w:eastAsia="Calibri" w:hAnsi="Arial" w:cs="Arial"/>
                <w:sz w:val="18"/>
                <w:szCs w:val="18"/>
              </w:rPr>
              <w:t xml:space="preserve"> DAC</w:t>
            </w:r>
          </w:p>
        </w:tc>
        <w:tc>
          <w:tcPr>
            <w:tcW w:w="1691" w:type="dxa"/>
            <w:shd w:val="clear" w:color="auto" w:fill="auto"/>
          </w:tcPr>
          <w:p w14:paraId="6A5AA781" w14:textId="596C1388" w:rsidR="000A593C" w:rsidRPr="00FA08C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1337E377" w14:textId="1E3ECD6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Em</w:t>
            </w:r>
            <w:proofErr w:type="spellEnd"/>
            <w:r w:rsidRPr="00FA08CC">
              <w:rPr>
                <w:rFonts w:ascii="Arial" w:eastAsia="Calibri" w:hAnsi="Arial" w:cs="Arial"/>
                <w:sz w:val="18"/>
                <w:szCs w:val="18"/>
              </w:rPr>
              <w:t xml:space="preserve"> Chan Makara, Secretary of State (</w:t>
            </w:r>
            <w:proofErr w:type="spellStart"/>
            <w:r w:rsidRPr="00FA08CC">
              <w:rPr>
                <w:rFonts w:ascii="Arial" w:eastAsia="Calibri" w:hAnsi="Arial" w:cs="Arial"/>
                <w:sz w:val="18"/>
                <w:szCs w:val="18"/>
              </w:rPr>
              <w:t>M</w:t>
            </w:r>
            <w:r>
              <w:rPr>
                <w:rFonts w:ascii="Arial" w:eastAsia="Calibri" w:hAnsi="Arial" w:cs="Arial"/>
                <w:sz w:val="18"/>
                <w:szCs w:val="18"/>
              </w:rPr>
              <w:t>o</w:t>
            </w:r>
            <w:r w:rsidRPr="00FA08CC">
              <w:rPr>
                <w:rFonts w:ascii="Arial" w:eastAsia="Calibri" w:hAnsi="Arial" w:cs="Arial"/>
                <w:sz w:val="18"/>
                <w:szCs w:val="18"/>
              </w:rPr>
              <w:t>SVY</w:t>
            </w:r>
            <w:proofErr w:type="spellEnd"/>
            <w:r w:rsidRPr="00FA08CC">
              <w:rPr>
                <w:rFonts w:ascii="Arial" w:eastAsia="Calibri" w:hAnsi="Arial" w:cs="Arial"/>
                <w:sz w:val="18"/>
                <w:szCs w:val="18"/>
              </w:rPr>
              <w:t>) and General Secretary (DAC)</w:t>
            </w:r>
          </w:p>
          <w:p w14:paraId="621E1881" w14:textId="7777777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Prak</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Thavak</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Pheary</w:t>
            </w:r>
            <w:proofErr w:type="spellEnd"/>
            <w:r w:rsidRPr="00FA08CC">
              <w:rPr>
                <w:rFonts w:ascii="Arial" w:eastAsia="Calibri" w:hAnsi="Arial" w:cs="Arial"/>
                <w:sz w:val="18"/>
                <w:szCs w:val="18"/>
              </w:rPr>
              <w:t>, Deputy General Secretary (DAC)</w:t>
            </w:r>
          </w:p>
          <w:p w14:paraId="379F099F" w14:textId="7777777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FA08CC">
              <w:rPr>
                <w:rFonts w:ascii="Arial" w:eastAsia="Calibri" w:hAnsi="Arial" w:cs="Arial"/>
                <w:sz w:val="18"/>
                <w:szCs w:val="18"/>
              </w:rPr>
              <w:t xml:space="preserve">HE Ung </w:t>
            </w:r>
            <w:proofErr w:type="spellStart"/>
            <w:r w:rsidRPr="00FA08CC">
              <w:rPr>
                <w:rFonts w:ascii="Arial" w:eastAsia="Calibri" w:hAnsi="Arial" w:cs="Arial"/>
                <w:sz w:val="18"/>
                <w:szCs w:val="18"/>
              </w:rPr>
              <w:t>Sambath</w:t>
            </w:r>
            <w:proofErr w:type="spellEnd"/>
            <w:r w:rsidRPr="00FA08CC">
              <w:rPr>
                <w:rFonts w:ascii="Arial" w:eastAsia="Calibri" w:hAnsi="Arial" w:cs="Arial"/>
                <w:sz w:val="18"/>
                <w:szCs w:val="18"/>
              </w:rPr>
              <w:t>, Deputy General Secretary (DAC)</w:t>
            </w:r>
          </w:p>
        </w:tc>
        <w:tc>
          <w:tcPr>
            <w:tcW w:w="567" w:type="dxa"/>
            <w:shd w:val="clear" w:color="auto" w:fill="auto"/>
          </w:tcPr>
          <w:p w14:paraId="6B40DCCB"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c>
          <w:tcPr>
            <w:tcW w:w="567" w:type="dxa"/>
            <w:shd w:val="clear" w:color="auto" w:fill="auto"/>
          </w:tcPr>
          <w:p w14:paraId="32635541"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r>
      <w:tr w:rsidR="000A593C" w:rsidRPr="00400CF2" w14:paraId="2AFDB303" w14:textId="77777777" w:rsidTr="00B3291F">
        <w:trPr>
          <w:cantSplit/>
          <w:trHeight w:val="532"/>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47A7EDF0" w14:textId="751D8A0F"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Pr>
                <w:rFonts w:ascii="Arial" w:eastAsia="Calibri" w:hAnsi="Arial" w:cs="Arial"/>
                <w:sz w:val="18"/>
                <w:szCs w:val="18"/>
              </w:rPr>
              <w:t>Mo</w:t>
            </w:r>
            <w:r w:rsidRPr="00400CF2">
              <w:rPr>
                <w:rFonts w:ascii="Arial" w:eastAsia="Calibri" w:hAnsi="Arial" w:cs="Arial"/>
                <w:sz w:val="18"/>
                <w:szCs w:val="18"/>
              </w:rPr>
              <w:t>SVY</w:t>
            </w:r>
            <w:proofErr w:type="spellEnd"/>
            <w:r w:rsidRPr="00400CF2">
              <w:rPr>
                <w:rFonts w:ascii="Arial" w:eastAsia="Calibri" w:hAnsi="Arial" w:cs="Arial"/>
                <w:sz w:val="18"/>
                <w:szCs w:val="18"/>
              </w:rPr>
              <w:t xml:space="preserve"> PWDF</w:t>
            </w:r>
          </w:p>
        </w:tc>
        <w:tc>
          <w:tcPr>
            <w:tcW w:w="1691" w:type="dxa"/>
            <w:shd w:val="clear" w:color="auto" w:fill="auto"/>
          </w:tcPr>
          <w:p w14:paraId="53891DD9" w14:textId="1F4FB6D9" w:rsidR="000A593C" w:rsidRPr="00FA08C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105FE802" w14:textId="6CB0BE80"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Sim </w:t>
            </w:r>
            <w:proofErr w:type="spellStart"/>
            <w:r w:rsidRPr="00FA08CC">
              <w:rPr>
                <w:rFonts w:ascii="Arial" w:eastAsia="Calibri" w:hAnsi="Arial" w:cs="Arial"/>
                <w:sz w:val="18"/>
                <w:szCs w:val="18"/>
              </w:rPr>
              <w:t>Sothun</w:t>
            </w:r>
            <w:proofErr w:type="spellEnd"/>
            <w:r w:rsidRPr="00FA08CC">
              <w:rPr>
                <w:rFonts w:ascii="Arial" w:eastAsia="Calibri" w:hAnsi="Arial" w:cs="Arial"/>
                <w:sz w:val="18"/>
                <w:szCs w:val="18"/>
              </w:rPr>
              <w:t xml:space="preserve">, </w:t>
            </w:r>
          </w:p>
          <w:p w14:paraId="4A5443B5"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Mr Mom </w:t>
            </w:r>
            <w:proofErr w:type="spellStart"/>
            <w:r w:rsidRPr="00FA08CC">
              <w:rPr>
                <w:rFonts w:ascii="Arial" w:eastAsia="Calibri" w:hAnsi="Arial" w:cs="Arial"/>
                <w:sz w:val="18"/>
                <w:szCs w:val="18"/>
              </w:rPr>
              <w:t>Sothara</w:t>
            </w:r>
            <w:proofErr w:type="spellEnd"/>
            <w:r w:rsidRPr="00FA08CC">
              <w:rPr>
                <w:rFonts w:ascii="Arial" w:eastAsia="Calibri" w:hAnsi="Arial" w:cs="Arial"/>
                <w:sz w:val="18"/>
                <w:szCs w:val="18"/>
              </w:rPr>
              <w:t xml:space="preserve"> </w:t>
            </w:r>
          </w:p>
          <w:p w14:paraId="1DB64C53"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Two other team members</w:t>
            </w:r>
          </w:p>
        </w:tc>
        <w:tc>
          <w:tcPr>
            <w:tcW w:w="567" w:type="dxa"/>
            <w:shd w:val="clear" w:color="auto" w:fill="auto"/>
          </w:tcPr>
          <w:p w14:paraId="759AD042"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4</w:t>
            </w:r>
          </w:p>
        </w:tc>
        <w:tc>
          <w:tcPr>
            <w:tcW w:w="567" w:type="dxa"/>
            <w:shd w:val="clear" w:color="auto" w:fill="auto"/>
          </w:tcPr>
          <w:p w14:paraId="4F347873"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r>
      <w:tr w:rsidR="000A593C" w:rsidRPr="00400CF2" w14:paraId="212FAC36" w14:textId="77777777" w:rsidTr="00B3291F">
        <w:trPr>
          <w:cnfStyle w:val="000000100000" w:firstRow="0" w:lastRow="0" w:firstColumn="0" w:lastColumn="0" w:oddVBand="0" w:evenVBand="0" w:oddHBand="1" w:evenHBand="0" w:firstRowFirstColumn="0" w:firstRowLastColumn="0" w:lastRowFirstColumn="0" w:lastRowLastColumn="0"/>
          <w:cantSplit/>
          <w:trHeight w:val="459"/>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02DF4C0F" w14:textId="2E27F975"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M</w:t>
            </w:r>
            <w:r>
              <w:rPr>
                <w:rFonts w:ascii="Arial" w:eastAsia="Calibri" w:hAnsi="Arial" w:cs="Arial"/>
                <w:sz w:val="18"/>
                <w:szCs w:val="18"/>
              </w:rPr>
              <w:t>o</w:t>
            </w:r>
            <w:r w:rsidRPr="00400CF2">
              <w:rPr>
                <w:rFonts w:ascii="Arial" w:eastAsia="Calibri" w:hAnsi="Arial" w:cs="Arial"/>
                <w:sz w:val="18"/>
                <w:szCs w:val="18"/>
              </w:rPr>
              <w:t>SVY</w:t>
            </w:r>
            <w:proofErr w:type="spellEnd"/>
          </w:p>
        </w:tc>
        <w:tc>
          <w:tcPr>
            <w:tcW w:w="1691" w:type="dxa"/>
            <w:shd w:val="clear" w:color="auto" w:fill="auto"/>
          </w:tcPr>
          <w:p w14:paraId="7904CA82" w14:textId="0394685D" w:rsidR="000A593C" w:rsidRPr="00FA08C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4B759E49" w14:textId="7805290D"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Samheng</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Boros</w:t>
            </w:r>
            <w:proofErr w:type="spellEnd"/>
            <w:r w:rsidRPr="00FA08CC">
              <w:rPr>
                <w:rFonts w:ascii="Arial" w:eastAsia="Calibri" w:hAnsi="Arial" w:cs="Arial"/>
                <w:sz w:val="18"/>
                <w:szCs w:val="18"/>
              </w:rPr>
              <w:t xml:space="preserve">, Secretary of State of </w:t>
            </w:r>
            <w:proofErr w:type="spellStart"/>
            <w:r w:rsidRPr="00FA08CC">
              <w:rPr>
                <w:rFonts w:ascii="Arial" w:eastAsia="Calibri" w:hAnsi="Arial" w:cs="Arial"/>
                <w:sz w:val="18"/>
                <w:szCs w:val="18"/>
              </w:rPr>
              <w:t>MoSVY</w:t>
            </w:r>
            <w:proofErr w:type="spellEnd"/>
          </w:p>
          <w:p w14:paraId="7A463142" w14:textId="7777777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Chuor</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Sophana</w:t>
            </w:r>
            <w:proofErr w:type="spellEnd"/>
            <w:r w:rsidRPr="00FA08CC">
              <w:rPr>
                <w:rFonts w:ascii="Arial" w:eastAsia="Calibri" w:hAnsi="Arial" w:cs="Arial"/>
                <w:sz w:val="18"/>
                <w:szCs w:val="18"/>
              </w:rPr>
              <w:t>, Deputy Director General</w:t>
            </w:r>
          </w:p>
        </w:tc>
        <w:tc>
          <w:tcPr>
            <w:tcW w:w="567" w:type="dxa"/>
            <w:shd w:val="clear" w:color="auto" w:fill="auto"/>
          </w:tcPr>
          <w:p w14:paraId="71DCA08B"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3807E02B"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r>
      <w:tr w:rsidR="000A593C" w:rsidRPr="00400CF2" w14:paraId="0FE82851" w14:textId="77777777" w:rsidTr="00B3291F">
        <w:trPr>
          <w:cantSplit/>
          <w:trHeight w:val="439"/>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1FA26D6E"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MoSVY</w:t>
            </w:r>
            <w:proofErr w:type="spellEnd"/>
          </w:p>
        </w:tc>
        <w:tc>
          <w:tcPr>
            <w:tcW w:w="1691" w:type="dxa"/>
            <w:shd w:val="clear" w:color="auto" w:fill="auto"/>
          </w:tcPr>
          <w:p w14:paraId="5818C507" w14:textId="667EAFF5" w:rsidR="000A593C" w:rsidRPr="00FA08C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354CE6EF" w14:textId="41F466CE"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Yeap</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Malyno</w:t>
            </w:r>
            <w:proofErr w:type="spellEnd"/>
            <w:r w:rsidRPr="00FA08CC">
              <w:rPr>
                <w:rFonts w:ascii="Arial" w:eastAsia="Calibri" w:hAnsi="Arial" w:cs="Arial"/>
                <w:sz w:val="18"/>
                <w:szCs w:val="18"/>
              </w:rPr>
              <w:t xml:space="preserve">, DG Social Policy at </w:t>
            </w:r>
            <w:proofErr w:type="spellStart"/>
            <w:r w:rsidRPr="00FA08CC">
              <w:rPr>
                <w:rFonts w:ascii="Arial" w:eastAsia="Calibri" w:hAnsi="Arial" w:cs="Arial"/>
                <w:sz w:val="18"/>
                <w:szCs w:val="18"/>
              </w:rPr>
              <w:t>MoSVY</w:t>
            </w:r>
            <w:proofErr w:type="spellEnd"/>
            <w:r w:rsidRPr="00FA08CC">
              <w:rPr>
                <w:rFonts w:ascii="Arial" w:eastAsia="Calibri" w:hAnsi="Arial" w:cs="Arial"/>
                <w:sz w:val="18"/>
                <w:szCs w:val="18"/>
              </w:rPr>
              <w:t xml:space="preserve"> (former Director of the DWPD).</w:t>
            </w:r>
          </w:p>
        </w:tc>
        <w:tc>
          <w:tcPr>
            <w:tcW w:w="567" w:type="dxa"/>
            <w:shd w:val="clear" w:color="auto" w:fill="auto"/>
          </w:tcPr>
          <w:p w14:paraId="62442DB9"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6C9AF64F"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r>
      <w:tr w:rsidR="000A593C" w:rsidRPr="00400CF2" w14:paraId="75653AA1" w14:textId="77777777" w:rsidTr="00B3291F">
        <w:trPr>
          <w:cnfStyle w:val="000000100000" w:firstRow="0" w:lastRow="0" w:firstColumn="0" w:lastColumn="0" w:oddVBand="0" w:evenVBand="0" w:oddHBand="1" w:evenHBand="0" w:firstRowFirstColumn="0" w:firstRowLastColumn="0" w:lastRowFirstColumn="0" w:lastRowLastColumn="0"/>
          <w:cantSplit/>
          <w:trHeight w:val="46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5F5B037C"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RGC-MEF</w:t>
            </w:r>
          </w:p>
        </w:tc>
        <w:tc>
          <w:tcPr>
            <w:tcW w:w="1691" w:type="dxa"/>
            <w:shd w:val="clear" w:color="auto" w:fill="auto"/>
          </w:tcPr>
          <w:p w14:paraId="56CB9AF8" w14:textId="01A99339" w:rsidR="000A593C" w:rsidRPr="00FA08C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41A183F0" w14:textId="7DE86084"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Mrs </w:t>
            </w:r>
            <w:proofErr w:type="spellStart"/>
            <w:r w:rsidRPr="00FA08CC">
              <w:rPr>
                <w:rFonts w:ascii="Arial" w:eastAsia="Calibri" w:hAnsi="Arial" w:cs="Arial"/>
                <w:sz w:val="18"/>
                <w:szCs w:val="18"/>
              </w:rPr>
              <w:t>Hav</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Phirum</w:t>
            </w:r>
            <w:proofErr w:type="spellEnd"/>
            <w:r w:rsidRPr="00FA08CC">
              <w:rPr>
                <w:rFonts w:ascii="Arial" w:eastAsia="Calibri" w:hAnsi="Arial" w:cs="Arial"/>
                <w:sz w:val="18"/>
                <w:szCs w:val="18"/>
              </w:rPr>
              <w:t xml:space="preserve">, Deputy Director of Budget Formulation Department of General Directorate of Budget </w:t>
            </w:r>
          </w:p>
          <w:p w14:paraId="6C4F6A7F" w14:textId="7777777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Mr </w:t>
            </w:r>
            <w:proofErr w:type="spellStart"/>
            <w:r w:rsidRPr="00FA08CC">
              <w:rPr>
                <w:rFonts w:ascii="Arial" w:eastAsia="Calibri" w:hAnsi="Arial" w:cs="Arial"/>
                <w:sz w:val="18"/>
                <w:szCs w:val="18"/>
              </w:rPr>
              <w:t>Chhum</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Socheat</w:t>
            </w:r>
            <w:proofErr w:type="spellEnd"/>
            <w:r w:rsidRPr="00FA08CC">
              <w:rPr>
                <w:rFonts w:ascii="Arial" w:eastAsia="Calibri" w:hAnsi="Arial" w:cs="Arial"/>
                <w:sz w:val="18"/>
                <w:szCs w:val="18"/>
              </w:rPr>
              <w:t>, Chief of Budget Formulation Office</w:t>
            </w:r>
          </w:p>
          <w:p w14:paraId="3DB581F3" w14:textId="13739210"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Mrs Sar Sakina, Deputy chief of office, in charge of Social Affairs Sector</w:t>
            </w:r>
          </w:p>
        </w:tc>
        <w:tc>
          <w:tcPr>
            <w:tcW w:w="567" w:type="dxa"/>
            <w:shd w:val="clear" w:color="auto" w:fill="auto"/>
          </w:tcPr>
          <w:p w14:paraId="77470BD5"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7B9DF24C"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r>
      <w:tr w:rsidR="000A593C" w:rsidRPr="00400CF2" w14:paraId="62F6D512" w14:textId="77777777" w:rsidTr="00B3291F">
        <w:trPr>
          <w:cantSplit/>
          <w:trHeight w:val="46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249A3120"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RGC-MEF DG-SNAF</w:t>
            </w:r>
          </w:p>
        </w:tc>
        <w:tc>
          <w:tcPr>
            <w:tcW w:w="1691" w:type="dxa"/>
            <w:shd w:val="clear" w:color="auto" w:fill="auto"/>
          </w:tcPr>
          <w:p w14:paraId="3AF8EE9D" w14:textId="76BB19E9" w:rsidR="000A593C" w:rsidRPr="00FA08C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4A5B5684" w14:textId="464E0A96"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Bou</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Vongsokha</w:t>
            </w:r>
            <w:proofErr w:type="spellEnd"/>
            <w:r w:rsidRPr="00FA08CC">
              <w:rPr>
                <w:rFonts w:ascii="Arial" w:eastAsia="Calibri" w:hAnsi="Arial" w:cs="Arial"/>
                <w:sz w:val="18"/>
                <w:szCs w:val="18"/>
              </w:rPr>
              <w:t xml:space="preserve">, Deputy Director General of General Department of Sub-national Administrative Finance </w:t>
            </w:r>
          </w:p>
          <w:p w14:paraId="2D12E124"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Ms. Ty </w:t>
            </w:r>
            <w:proofErr w:type="spellStart"/>
            <w:r w:rsidRPr="00FA08CC">
              <w:rPr>
                <w:rFonts w:ascii="Arial" w:eastAsia="Calibri" w:hAnsi="Arial" w:cs="Arial"/>
                <w:sz w:val="18"/>
                <w:szCs w:val="18"/>
              </w:rPr>
              <w:t>Lumey</w:t>
            </w:r>
            <w:proofErr w:type="spellEnd"/>
          </w:p>
          <w:p w14:paraId="4853FE17"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Mr. Vann </w:t>
            </w:r>
            <w:proofErr w:type="spellStart"/>
            <w:r w:rsidRPr="00FA08CC">
              <w:rPr>
                <w:rFonts w:ascii="Arial" w:eastAsia="Calibri" w:hAnsi="Arial" w:cs="Arial"/>
                <w:sz w:val="18"/>
                <w:szCs w:val="18"/>
              </w:rPr>
              <w:t>Chakriya</w:t>
            </w:r>
            <w:proofErr w:type="spellEnd"/>
          </w:p>
        </w:tc>
        <w:tc>
          <w:tcPr>
            <w:tcW w:w="567" w:type="dxa"/>
            <w:shd w:val="clear" w:color="auto" w:fill="auto"/>
          </w:tcPr>
          <w:p w14:paraId="5947944B"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2A10D637"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78898676" w14:textId="77777777" w:rsidTr="00B3291F">
        <w:trPr>
          <w:cnfStyle w:val="000000100000" w:firstRow="0" w:lastRow="0" w:firstColumn="0" w:lastColumn="0" w:oddVBand="0" w:evenVBand="0" w:oddHBand="1" w:evenHBand="0" w:firstRowFirstColumn="0" w:firstRowLastColumn="0" w:lastRowFirstColumn="0" w:lastRowLastColumn="0"/>
          <w:cantSplit/>
          <w:trHeight w:val="46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186C55DA"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lastRenderedPageBreak/>
              <w:t>RGC-MEF</w:t>
            </w:r>
          </w:p>
        </w:tc>
        <w:tc>
          <w:tcPr>
            <w:tcW w:w="1691" w:type="dxa"/>
            <w:shd w:val="clear" w:color="auto" w:fill="auto"/>
          </w:tcPr>
          <w:p w14:paraId="5DBCADB3" w14:textId="77777777"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p w14:paraId="3320B5D4" w14:textId="77777777" w:rsidR="000A593C" w:rsidRPr="00FA08C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p>
        </w:tc>
        <w:tc>
          <w:tcPr>
            <w:tcW w:w="5103" w:type="dxa"/>
            <w:shd w:val="clear" w:color="auto" w:fill="auto"/>
          </w:tcPr>
          <w:p w14:paraId="0F2656AD" w14:textId="2DD72E8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Mrs. </w:t>
            </w:r>
            <w:proofErr w:type="spellStart"/>
            <w:r w:rsidRPr="00FA08CC">
              <w:rPr>
                <w:rFonts w:ascii="Arial" w:eastAsia="Calibri" w:hAnsi="Arial" w:cs="Arial"/>
                <w:sz w:val="18"/>
                <w:szCs w:val="18"/>
              </w:rPr>
              <w:t>Uy</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Channimol</w:t>
            </w:r>
            <w:proofErr w:type="spellEnd"/>
            <w:r w:rsidRPr="00FA08CC">
              <w:rPr>
                <w:rFonts w:ascii="Arial" w:eastAsia="Calibri" w:hAnsi="Arial" w:cs="Arial"/>
                <w:sz w:val="18"/>
                <w:szCs w:val="18"/>
              </w:rPr>
              <w:t>, Deputy Secretary General of the National Social Protection Council, MEF</w:t>
            </w:r>
          </w:p>
          <w:p w14:paraId="4CD7F374" w14:textId="7777777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Ms. </w:t>
            </w:r>
            <w:proofErr w:type="spellStart"/>
            <w:r w:rsidRPr="00FA08CC">
              <w:rPr>
                <w:rFonts w:ascii="Arial" w:eastAsia="Calibri" w:hAnsi="Arial" w:cs="Arial"/>
                <w:sz w:val="18"/>
                <w:szCs w:val="18"/>
              </w:rPr>
              <w:t>Dalinna</w:t>
            </w:r>
            <w:proofErr w:type="spellEnd"/>
            <w:r w:rsidRPr="00FA08CC">
              <w:rPr>
                <w:rFonts w:ascii="Arial" w:eastAsia="Calibri" w:hAnsi="Arial" w:cs="Arial"/>
                <w:sz w:val="18"/>
                <w:szCs w:val="18"/>
              </w:rPr>
              <w:t xml:space="preserve"> </w:t>
            </w:r>
          </w:p>
          <w:p w14:paraId="13A3835B" w14:textId="7777777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Mr. </w:t>
            </w:r>
            <w:proofErr w:type="spellStart"/>
            <w:r w:rsidRPr="00FA08CC">
              <w:rPr>
                <w:rFonts w:ascii="Arial" w:eastAsia="Calibri" w:hAnsi="Arial" w:cs="Arial"/>
                <w:sz w:val="18"/>
                <w:szCs w:val="18"/>
              </w:rPr>
              <w:t>Sivutha</w:t>
            </w:r>
            <w:proofErr w:type="spellEnd"/>
            <w:r w:rsidRPr="00FA08CC">
              <w:rPr>
                <w:rFonts w:ascii="Arial" w:eastAsia="Calibri" w:hAnsi="Arial" w:cs="Arial"/>
                <w:sz w:val="18"/>
                <w:szCs w:val="18"/>
              </w:rPr>
              <w:t xml:space="preserve"> Say</w:t>
            </w:r>
          </w:p>
          <w:p w14:paraId="02F30836" w14:textId="73D8423E"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Two accompanying colleagues</w:t>
            </w:r>
          </w:p>
        </w:tc>
        <w:tc>
          <w:tcPr>
            <w:tcW w:w="567" w:type="dxa"/>
            <w:shd w:val="clear" w:color="auto" w:fill="auto"/>
          </w:tcPr>
          <w:p w14:paraId="408EC467"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40117385"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r>
      <w:tr w:rsidR="000A593C" w:rsidRPr="00400CF2" w14:paraId="7987ADE7" w14:textId="77777777" w:rsidTr="00B3291F">
        <w:trPr>
          <w:cantSplit/>
          <w:trHeight w:val="1212"/>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2776801D" w14:textId="3A0E3D6B"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M</w:t>
            </w:r>
            <w:r>
              <w:rPr>
                <w:rFonts w:ascii="Arial" w:eastAsia="Calibri" w:hAnsi="Arial" w:cs="Arial"/>
                <w:sz w:val="18"/>
                <w:szCs w:val="18"/>
              </w:rPr>
              <w:t>o</w:t>
            </w:r>
            <w:r w:rsidRPr="00400CF2">
              <w:rPr>
                <w:rFonts w:ascii="Arial" w:eastAsia="Calibri" w:hAnsi="Arial" w:cs="Arial"/>
                <w:sz w:val="18"/>
                <w:szCs w:val="18"/>
              </w:rPr>
              <w:t>WA</w:t>
            </w:r>
            <w:proofErr w:type="spellEnd"/>
          </w:p>
        </w:tc>
        <w:tc>
          <w:tcPr>
            <w:tcW w:w="1691" w:type="dxa"/>
            <w:shd w:val="clear" w:color="auto" w:fill="auto"/>
          </w:tcPr>
          <w:p w14:paraId="3EA282C9" w14:textId="77777777" w:rsidR="000A593C" w:rsidRPr="00400CF2"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p w14:paraId="466E7898" w14:textId="77777777" w:rsidR="000A593C" w:rsidRPr="00FA08CC"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p>
        </w:tc>
        <w:tc>
          <w:tcPr>
            <w:tcW w:w="5103" w:type="dxa"/>
            <w:shd w:val="clear" w:color="auto" w:fill="auto"/>
          </w:tcPr>
          <w:p w14:paraId="081DAF9B" w14:textId="25D3B90A"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Hou </w:t>
            </w:r>
            <w:proofErr w:type="spellStart"/>
            <w:r w:rsidRPr="00FA08CC">
              <w:rPr>
                <w:rFonts w:ascii="Arial" w:eastAsia="Calibri" w:hAnsi="Arial" w:cs="Arial"/>
                <w:sz w:val="18"/>
                <w:szCs w:val="18"/>
              </w:rPr>
              <w:t>Samith</w:t>
            </w:r>
            <w:proofErr w:type="spellEnd"/>
            <w:r w:rsidRPr="00FA08CC">
              <w:rPr>
                <w:rFonts w:ascii="Arial" w:eastAsia="Calibri" w:hAnsi="Arial" w:cs="Arial"/>
                <w:sz w:val="18"/>
                <w:szCs w:val="18"/>
              </w:rPr>
              <w:t>, Secretary of State (</w:t>
            </w:r>
            <w:proofErr w:type="spellStart"/>
            <w:r w:rsidRPr="00FA08CC">
              <w:rPr>
                <w:rFonts w:ascii="Arial" w:eastAsia="Calibri" w:hAnsi="Arial" w:cs="Arial"/>
                <w:sz w:val="18"/>
                <w:szCs w:val="18"/>
              </w:rPr>
              <w:t>M</w:t>
            </w:r>
            <w:r>
              <w:rPr>
                <w:rFonts w:ascii="Arial" w:eastAsia="Calibri" w:hAnsi="Arial" w:cs="Arial"/>
                <w:sz w:val="18"/>
                <w:szCs w:val="18"/>
              </w:rPr>
              <w:t>o</w:t>
            </w:r>
            <w:r w:rsidRPr="00FA08CC">
              <w:rPr>
                <w:rFonts w:ascii="Arial" w:eastAsia="Calibri" w:hAnsi="Arial" w:cs="Arial"/>
                <w:sz w:val="18"/>
                <w:szCs w:val="18"/>
              </w:rPr>
              <w:t>WA</w:t>
            </w:r>
            <w:proofErr w:type="spellEnd"/>
            <w:r w:rsidRPr="00FA08CC">
              <w:rPr>
                <w:rFonts w:ascii="Arial" w:eastAsia="Calibri" w:hAnsi="Arial" w:cs="Arial"/>
                <w:sz w:val="18"/>
                <w:szCs w:val="18"/>
              </w:rPr>
              <w:t>) (ASC member)</w:t>
            </w:r>
          </w:p>
          <w:p w14:paraId="75E68354"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Nhean</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Sochetra</w:t>
            </w:r>
            <w:proofErr w:type="spellEnd"/>
            <w:r w:rsidRPr="00FA08CC">
              <w:rPr>
                <w:rFonts w:ascii="Arial" w:eastAsia="Calibri" w:hAnsi="Arial" w:cs="Arial"/>
                <w:sz w:val="18"/>
                <w:szCs w:val="18"/>
              </w:rPr>
              <w:t>, General Director, General Department of Social Development</w:t>
            </w:r>
          </w:p>
          <w:p w14:paraId="27492C4C"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Ms Sar </w:t>
            </w:r>
            <w:proofErr w:type="spellStart"/>
            <w:r w:rsidRPr="00FA08CC">
              <w:rPr>
                <w:rFonts w:ascii="Arial" w:eastAsia="Calibri" w:hAnsi="Arial" w:cs="Arial"/>
                <w:sz w:val="18"/>
                <w:szCs w:val="18"/>
              </w:rPr>
              <w:t>Sineth</w:t>
            </w:r>
            <w:proofErr w:type="spellEnd"/>
            <w:r w:rsidRPr="00FA08CC">
              <w:rPr>
                <w:rFonts w:ascii="Arial" w:eastAsia="Calibri" w:hAnsi="Arial" w:cs="Arial"/>
                <w:sz w:val="18"/>
                <w:szCs w:val="18"/>
              </w:rPr>
              <w:t>, DDG and ACCESS focal point</w:t>
            </w:r>
          </w:p>
          <w:p w14:paraId="3D351FF9"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FA08CC">
              <w:rPr>
                <w:rFonts w:ascii="Arial" w:eastAsia="Calibri" w:hAnsi="Arial" w:cs="Arial"/>
                <w:sz w:val="18"/>
                <w:szCs w:val="18"/>
              </w:rPr>
              <w:t xml:space="preserve">Ms. </w:t>
            </w:r>
            <w:proofErr w:type="spellStart"/>
            <w:r w:rsidRPr="00FA08CC">
              <w:rPr>
                <w:rFonts w:ascii="Arial" w:eastAsia="Calibri" w:hAnsi="Arial" w:cs="Arial"/>
                <w:sz w:val="18"/>
                <w:szCs w:val="18"/>
              </w:rPr>
              <w:t>Pok</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Saren</w:t>
            </w:r>
            <w:proofErr w:type="spellEnd"/>
            <w:r w:rsidRPr="00FA08CC">
              <w:rPr>
                <w:rFonts w:ascii="Arial" w:eastAsia="Calibri" w:hAnsi="Arial" w:cs="Arial"/>
                <w:sz w:val="18"/>
                <w:szCs w:val="18"/>
              </w:rPr>
              <w:t xml:space="preserve"> </w:t>
            </w:r>
          </w:p>
        </w:tc>
        <w:tc>
          <w:tcPr>
            <w:tcW w:w="567" w:type="dxa"/>
            <w:shd w:val="clear" w:color="auto" w:fill="auto"/>
          </w:tcPr>
          <w:p w14:paraId="3A186E6C"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5650EC57"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4</w:t>
            </w:r>
          </w:p>
        </w:tc>
      </w:tr>
      <w:tr w:rsidR="000A593C" w:rsidRPr="00400CF2" w14:paraId="609E3A41" w14:textId="77777777" w:rsidTr="00B3291F">
        <w:trPr>
          <w:cnfStyle w:val="000000100000" w:firstRow="0" w:lastRow="0" w:firstColumn="0" w:lastColumn="0" w:oddVBand="0" w:evenVBand="0" w:oddHBand="1" w:evenHBand="0" w:firstRowFirstColumn="0" w:firstRowLastColumn="0" w:lastRowFirstColumn="0" w:lastRowLastColumn="0"/>
          <w:cantSplit/>
          <w:trHeight w:val="893"/>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352BBC5B" w14:textId="3F51BDB9"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M</w:t>
            </w:r>
            <w:r>
              <w:rPr>
                <w:rFonts w:ascii="Arial" w:eastAsia="Calibri" w:hAnsi="Arial" w:cs="Arial"/>
                <w:sz w:val="18"/>
                <w:szCs w:val="18"/>
              </w:rPr>
              <w:t>o</w:t>
            </w:r>
            <w:r w:rsidRPr="00400CF2">
              <w:rPr>
                <w:rFonts w:ascii="Arial" w:eastAsia="Calibri" w:hAnsi="Arial" w:cs="Arial"/>
                <w:sz w:val="18"/>
                <w:szCs w:val="18"/>
              </w:rPr>
              <w:t>WA</w:t>
            </w:r>
            <w:proofErr w:type="spellEnd"/>
            <w:r w:rsidRPr="00400CF2">
              <w:rPr>
                <w:rFonts w:ascii="Arial" w:eastAsia="Calibri" w:hAnsi="Arial" w:cs="Arial"/>
                <w:sz w:val="18"/>
                <w:szCs w:val="18"/>
              </w:rPr>
              <w:t xml:space="preserve"> WEE</w:t>
            </w:r>
          </w:p>
        </w:tc>
        <w:tc>
          <w:tcPr>
            <w:tcW w:w="1691" w:type="dxa"/>
            <w:shd w:val="clear" w:color="auto" w:fill="auto"/>
          </w:tcPr>
          <w:p w14:paraId="22F8AD99" w14:textId="77777777"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p w14:paraId="7013A6BC" w14:textId="77777777" w:rsidR="000A593C" w:rsidRPr="00FA08C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p>
        </w:tc>
        <w:tc>
          <w:tcPr>
            <w:tcW w:w="5103" w:type="dxa"/>
            <w:shd w:val="clear" w:color="auto" w:fill="auto"/>
          </w:tcPr>
          <w:p w14:paraId="69E5BFD4" w14:textId="6C5410C1"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The </w:t>
            </w:r>
            <w:proofErr w:type="spellStart"/>
            <w:r w:rsidRPr="00FA08CC">
              <w:rPr>
                <w:rFonts w:ascii="Arial" w:eastAsia="Calibri" w:hAnsi="Arial" w:cs="Arial"/>
                <w:sz w:val="18"/>
                <w:szCs w:val="18"/>
              </w:rPr>
              <w:t>Chhun</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Hak</w:t>
            </w:r>
            <w:proofErr w:type="spellEnd"/>
            <w:r w:rsidRPr="00FA08CC">
              <w:rPr>
                <w:rFonts w:ascii="Arial" w:eastAsia="Calibri" w:hAnsi="Arial" w:cs="Arial"/>
                <w:sz w:val="18"/>
                <w:szCs w:val="18"/>
              </w:rPr>
              <w:t xml:space="preserve"> General Director of Gender Equality and Economic Empowerment</w:t>
            </w:r>
          </w:p>
          <w:p w14:paraId="2DFD20E0" w14:textId="7777777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Ms </w:t>
            </w:r>
            <w:proofErr w:type="spellStart"/>
            <w:r w:rsidRPr="00FA08CC">
              <w:rPr>
                <w:rFonts w:ascii="Arial" w:eastAsia="Calibri" w:hAnsi="Arial" w:cs="Arial"/>
                <w:sz w:val="18"/>
                <w:szCs w:val="18"/>
              </w:rPr>
              <w:t>Thoeun</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Sarkmakna</w:t>
            </w:r>
            <w:proofErr w:type="spellEnd"/>
            <w:r w:rsidRPr="00FA08CC">
              <w:rPr>
                <w:rFonts w:ascii="Arial" w:eastAsia="Calibri" w:hAnsi="Arial" w:cs="Arial"/>
                <w:sz w:val="18"/>
                <w:szCs w:val="18"/>
              </w:rPr>
              <w:t>, Director of Department of WEE</w:t>
            </w:r>
          </w:p>
          <w:p w14:paraId="62E30AB0" w14:textId="7777777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Accompanying colleague</w:t>
            </w:r>
          </w:p>
        </w:tc>
        <w:tc>
          <w:tcPr>
            <w:tcW w:w="567" w:type="dxa"/>
            <w:shd w:val="clear" w:color="auto" w:fill="auto"/>
          </w:tcPr>
          <w:p w14:paraId="3B1DEF8F"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067C10D4"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r>
      <w:tr w:rsidR="000A593C" w:rsidRPr="00400CF2" w14:paraId="6E3DDF33" w14:textId="77777777" w:rsidTr="00B3291F">
        <w:trPr>
          <w:cantSplit/>
          <w:trHeight w:val="3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415FE694" w14:textId="6A596872"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M</w:t>
            </w:r>
            <w:r>
              <w:rPr>
                <w:rFonts w:ascii="Arial" w:eastAsia="Calibri" w:hAnsi="Arial" w:cs="Arial"/>
                <w:sz w:val="18"/>
                <w:szCs w:val="18"/>
              </w:rPr>
              <w:t>o</w:t>
            </w:r>
            <w:r w:rsidRPr="00400CF2">
              <w:rPr>
                <w:rFonts w:ascii="Arial" w:eastAsia="Calibri" w:hAnsi="Arial" w:cs="Arial"/>
                <w:sz w:val="18"/>
                <w:szCs w:val="18"/>
              </w:rPr>
              <w:t>WA</w:t>
            </w:r>
            <w:proofErr w:type="spellEnd"/>
            <w:r w:rsidRPr="00400CF2">
              <w:rPr>
                <w:rFonts w:ascii="Arial" w:eastAsia="Calibri" w:hAnsi="Arial" w:cs="Arial"/>
                <w:sz w:val="18"/>
                <w:szCs w:val="18"/>
              </w:rPr>
              <w:t xml:space="preserve"> Finance</w:t>
            </w:r>
          </w:p>
        </w:tc>
        <w:tc>
          <w:tcPr>
            <w:tcW w:w="1691" w:type="dxa"/>
            <w:shd w:val="clear" w:color="auto" w:fill="auto"/>
          </w:tcPr>
          <w:p w14:paraId="587613CC" w14:textId="0555A076" w:rsidR="000A593C" w:rsidRPr="00FA08C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171D8F8A" w14:textId="2CE1408C"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Chea</w:t>
            </w:r>
            <w:proofErr w:type="spellEnd"/>
            <w:r w:rsidRPr="00FA08CC">
              <w:rPr>
                <w:rFonts w:ascii="Arial" w:eastAsia="Calibri" w:hAnsi="Arial" w:cs="Arial"/>
                <w:sz w:val="18"/>
                <w:szCs w:val="18"/>
              </w:rPr>
              <w:t xml:space="preserve"> Fung</w:t>
            </w:r>
          </w:p>
        </w:tc>
        <w:tc>
          <w:tcPr>
            <w:tcW w:w="567" w:type="dxa"/>
            <w:shd w:val="clear" w:color="auto" w:fill="auto"/>
          </w:tcPr>
          <w:p w14:paraId="64185774"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14DFF16F"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375D24BA" w14:textId="77777777" w:rsidTr="00B3291F">
        <w:trPr>
          <w:cnfStyle w:val="000000100000" w:firstRow="0" w:lastRow="0" w:firstColumn="0" w:lastColumn="0" w:oddVBand="0" w:evenVBand="0" w:oddHBand="1" w:evenHBand="0" w:firstRowFirstColumn="0" w:firstRowLastColumn="0" w:lastRowFirstColumn="0" w:lastRowLastColumn="0"/>
          <w:cantSplit/>
          <w:trHeight w:val="45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1F9C1E3B"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MoI</w:t>
            </w:r>
            <w:proofErr w:type="spellEnd"/>
            <w:r w:rsidRPr="00400CF2">
              <w:rPr>
                <w:rFonts w:ascii="Arial" w:eastAsia="Calibri" w:hAnsi="Arial" w:cs="Arial"/>
                <w:sz w:val="18"/>
                <w:szCs w:val="18"/>
              </w:rPr>
              <w:t xml:space="preserve"> NCDD</w:t>
            </w:r>
          </w:p>
        </w:tc>
        <w:tc>
          <w:tcPr>
            <w:tcW w:w="1691" w:type="dxa"/>
            <w:shd w:val="clear" w:color="auto" w:fill="auto"/>
          </w:tcPr>
          <w:p w14:paraId="057E6323" w14:textId="77777777"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p w14:paraId="43652168" w14:textId="77777777" w:rsidR="000A593C" w:rsidRPr="00FA08C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p>
        </w:tc>
        <w:tc>
          <w:tcPr>
            <w:tcW w:w="5103" w:type="dxa"/>
            <w:shd w:val="clear" w:color="auto" w:fill="auto"/>
          </w:tcPr>
          <w:p w14:paraId="4340879D" w14:textId="1C9CB8AA"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Chan </w:t>
            </w:r>
            <w:proofErr w:type="spellStart"/>
            <w:r w:rsidRPr="00FA08CC">
              <w:rPr>
                <w:rFonts w:ascii="Arial" w:eastAsia="Calibri" w:hAnsi="Arial" w:cs="Arial"/>
                <w:sz w:val="18"/>
                <w:szCs w:val="18"/>
              </w:rPr>
              <w:t>Sothea</w:t>
            </w:r>
            <w:proofErr w:type="spellEnd"/>
            <w:r w:rsidRPr="00FA08CC">
              <w:rPr>
                <w:rFonts w:ascii="Arial" w:eastAsia="Calibri" w:hAnsi="Arial" w:cs="Arial"/>
                <w:sz w:val="18"/>
                <w:szCs w:val="18"/>
              </w:rPr>
              <w:t xml:space="preserve">, Undersecretary of State and Deputy Head of NCDD Secretariat, </w:t>
            </w:r>
            <w:proofErr w:type="spellStart"/>
            <w:r w:rsidRPr="00FA08CC">
              <w:rPr>
                <w:rFonts w:ascii="Arial" w:eastAsia="Calibri" w:hAnsi="Arial" w:cs="Arial"/>
                <w:sz w:val="18"/>
                <w:szCs w:val="18"/>
              </w:rPr>
              <w:t>MoI</w:t>
            </w:r>
            <w:proofErr w:type="spellEnd"/>
          </w:p>
          <w:p w14:paraId="1D9F6522" w14:textId="77777777"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Three accompanying colleagues</w:t>
            </w:r>
          </w:p>
        </w:tc>
        <w:tc>
          <w:tcPr>
            <w:tcW w:w="567" w:type="dxa"/>
            <w:shd w:val="clear" w:color="auto" w:fill="auto"/>
          </w:tcPr>
          <w:p w14:paraId="06F78DB1"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4</w:t>
            </w:r>
          </w:p>
        </w:tc>
        <w:tc>
          <w:tcPr>
            <w:tcW w:w="567" w:type="dxa"/>
            <w:shd w:val="clear" w:color="auto" w:fill="auto"/>
          </w:tcPr>
          <w:p w14:paraId="62036596"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3B5EDF29" w14:textId="77777777" w:rsidTr="00B3291F">
        <w:trPr>
          <w:cantSplit/>
          <w:trHeight w:val="45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1B77CDCD"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MoI</w:t>
            </w:r>
            <w:proofErr w:type="spellEnd"/>
            <w:r w:rsidRPr="00400CF2">
              <w:rPr>
                <w:rFonts w:ascii="Arial" w:eastAsia="Calibri" w:hAnsi="Arial" w:cs="Arial"/>
                <w:sz w:val="18"/>
                <w:szCs w:val="18"/>
              </w:rPr>
              <w:t xml:space="preserve"> GDA </w:t>
            </w:r>
          </w:p>
        </w:tc>
        <w:tc>
          <w:tcPr>
            <w:tcW w:w="1691" w:type="dxa"/>
            <w:shd w:val="clear" w:color="auto" w:fill="auto"/>
          </w:tcPr>
          <w:p w14:paraId="6CA50B6C" w14:textId="03B59394" w:rsidR="000A593C" w:rsidRPr="00FA08C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5E1F0338" w14:textId="0BC70204"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HE </w:t>
            </w:r>
            <w:proofErr w:type="spellStart"/>
            <w:r w:rsidRPr="00FA08CC">
              <w:rPr>
                <w:rFonts w:ascii="Arial" w:eastAsia="Calibri" w:hAnsi="Arial" w:cs="Arial"/>
                <w:sz w:val="18"/>
                <w:szCs w:val="18"/>
              </w:rPr>
              <w:t>Prak</w:t>
            </w:r>
            <w:proofErr w:type="spellEnd"/>
            <w:r w:rsidRPr="00FA08CC">
              <w:rPr>
                <w:rFonts w:ascii="Arial" w:eastAsia="Calibri" w:hAnsi="Arial" w:cs="Arial"/>
                <w:sz w:val="18"/>
                <w:szCs w:val="18"/>
              </w:rPr>
              <w:t xml:space="preserve"> Sam </w:t>
            </w:r>
            <w:proofErr w:type="spellStart"/>
            <w:r w:rsidRPr="00FA08CC">
              <w:rPr>
                <w:rFonts w:ascii="Arial" w:eastAsia="Calibri" w:hAnsi="Arial" w:cs="Arial"/>
                <w:sz w:val="18"/>
                <w:szCs w:val="18"/>
              </w:rPr>
              <w:t>Ouen</w:t>
            </w:r>
            <w:proofErr w:type="spellEnd"/>
          </w:p>
          <w:p w14:paraId="66CB5BB3"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Mr </w:t>
            </w:r>
            <w:proofErr w:type="spellStart"/>
            <w:r w:rsidRPr="00FA08CC">
              <w:rPr>
                <w:rFonts w:ascii="Arial" w:eastAsia="Calibri" w:hAnsi="Arial" w:cs="Arial"/>
                <w:sz w:val="18"/>
                <w:szCs w:val="18"/>
              </w:rPr>
              <w:t>Chhun</w:t>
            </w:r>
            <w:proofErr w:type="spellEnd"/>
            <w:r w:rsidRPr="00FA08CC">
              <w:rPr>
                <w:rFonts w:ascii="Arial" w:eastAsia="Calibri" w:hAnsi="Arial" w:cs="Arial"/>
                <w:sz w:val="18"/>
                <w:szCs w:val="18"/>
              </w:rPr>
              <w:t xml:space="preserve"> </w:t>
            </w:r>
            <w:proofErr w:type="spellStart"/>
            <w:r w:rsidRPr="00FA08CC">
              <w:rPr>
                <w:rFonts w:ascii="Arial" w:eastAsia="Calibri" w:hAnsi="Arial" w:cs="Arial"/>
                <w:sz w:val="18"/>
                <w:szCs w:val="18"/>
              </w:rPr>
              <w:t>Hieng</w:t>
            </w:r>
            <w:proofErr w:type="spellEnd"/>
            <w:r w:rsidRPr="00FA08CC">
              <w:rPr>
                <w:rFonts w:ascii="Arial" w:eastAsia="Calibri" w:hAnsi="Arial" w:cs="Arial"/>
                <w:sz w:val="18"/>
                <w:szCs w:val="18"/>
              </w:rPr>
              <w:t>, ACCESS Focal Point</w:t>
            </w:r>
          </w:p>
        </w:tc>
        <w:tc>
          <w:tcPr>
            <w:tcW w:w="567" w:type="dxa"/>
            <w:shd w:val="clear" w:color="auto" w:fill="auto"/>
          </w:tcPr>
          <w:p w14:paraId="2289D27F"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1C5D1E44"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r>
      <w:tr w:rsidR="000A593C" w:rsidRPr="00400CF2" w14:paraId="75868189" w14:textId="77777777" w:rsidTr="00B3291F">
        <w:trPr>
          <w:cnfStyle w:val="000000100000" w:firstRow="0" w:lastRow="0" w:firstColumn="0" w:lastColumn="0" w:oddVBand="0" w:evenVBand="0" w:oddHBand="1" w:evenHBand="0" w:firstRowFirstColumn="0" w:firstRowLastColumn="0" w:lastRowFirstColumn="0" w:lastRowLastColumn="0"/>
          <w:cantSplit/>
          <w:trHeight w:val="45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49DB1260"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Development Partner</w:t>
            </w:r>
          </w:p>
        </w:tc>
        <w:tc>
          <w:tcPr>
            <w:tcW w:w="1691" w:type="dxa"/>
            <w:shd w:val="clear" w:color="auto" w:fill="auto"/>
          </w:tcPr>
          <w:p w14:paraId="47D806EC" w14:textId="2FFE0E20" w:rsidR="000A593C" w:rsidRPr="00FA08C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28BB6F93" w14:textId="06E2DA29"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Giselle </w:t>
            </w:r>
            <w:proofErr w:type="spellStart"/>
            <w:r w:rsidRPr="00FA08CC">
              <w:rPr>
                <w:rFonts w:ascii="Arial" w:eastAsia="Calibri" w:hAnsi="Arial" w:cs="Arial"/>
                <w:sz w:val="18"/>
                <w:szCs w:val="18"/>
              </w:rPr>
              <w:t>Hardley</w:t>
            </w:r>
            <w:proofErr w:type="spellEnd"/>
            <w:r w:rsidRPr="00FA08CC">
              <w:rPr>
                <w:rFonts w:ascii="Arial" w:eastAsia="Calibri" w:hAnsi="Arial" w:cs="Arial"/>
                <w:sz w:val="18"/>
                <w:szCs w:val="18"/>
              </w:rPr>
              <w:t>, Deputy Country Director, Clinton Health Access Initiative</w:t>
            </w:r>
            <w:r>
              <w:rPr>
                <w:rFonts w:ascii="Arial" w:eastAsia="Calibri" w:hAnsi="Arial" w:cs="Arial"/>
                <w:sz w:val="18"/>
                <w:szCs w:val="18"/>
              </w:rPr>
              <w:t xml:space="preserve"> and t</w:t>
            </w:r>
            <w:r w:rsidRPr="00FA08CC">
              <w:rPr>
                <w:rFonts w:ascii="Arial" w:eastAsia="Calibri" w:hAnsi="Arial" w:cs="Arial"/>
                <w:sz w:val="18"/>
                <w:szCs w:val="18"/>
              </w:rPr>
              <w:t>hree accompanying colleagues</w:t>
            </w:r>
          </w:p>
        </w:tc>
        <w:tc>
          <w:tcPr>
            <w:tcW w:w="567" w:type="dxa"/>
            <w:shd w:val="clear" w:color="auto" w:fill="auto"/>
          </w:tcPr>
          <w:p w14:paraId="39B41778"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4CF531DB"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r>
      <w:tr w:rsidR="000A593C" w:rsidRPr="00400CF2" w14:paraId="64A93D0C" w14:textId="77777777" w:rsidTr="00B3291F">
        <w:trPr>
          <w:cantSplit/>
          <w:trHeight w:val="91"/>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42F4D99F"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Development Partner</w:t>
            </w:r>
          </w:p>
        </w:tc>
        <w:tc>
          <w:tcPr>
            <w:tcW w:w="1691" w:type="dxa"/>
            <w:shd w:val="clear" w:color="auto" w:fill="auto"/>
          </w:tcPr>
          <w:p w14:paraId="665A4C48" w14:textId="3DA0955E" w:rsidR="000A593C" w:rsidRPr="00FA08C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464D7E54" w14:textId="6E163E20"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Dr Ly </w:t>
            </w:r>
            <w:proofErr w:type="spellStart"/>
            <w:r w:rsidRPr="00FA08CC">
              <w:rPr>
                <w:rFonts w:ascii="Arial" w:eastAsia="Calibri" w:hAnsi="Arial" w:cs="Arial"/>
                <w:sz w:val="18"/>
                <w:szCs w:val="18"/>
              </w:rPr>
              <w:t>Nareth</w:t>
            </w:r>
            <w:proofErr w:type="spellEnd"/>
            <w:r w:rsidRPr="00FA08CC">
              <w:rPr>
                <w:rFonts w:ascii="Arial" w:eastAsia="Calibri" w:hAnsi="Arial" w:cs="Arial"/>
                <w:sz w:val="18"/>
                <w:szCs w:val="18"/>
              </w:rPr>
              <w:t>, World Bank HEQIP Contact</w:t>
            </w:r>
          </w:p>
        </w:tc>
        <w:tc>
          <w:tcPr>
            <w:tcW w:w="567" w:type="dxa"/>
            <w:shd w:val="clear" w:color="auto" w:fill="auto"/>
          </w:tcPr>
          <w:p w14:paraId="25F446FE"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27543606"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65B002C5" w14:textId="77777777" w:rsidTr="00B3291F">
        <w:trPr>
          <w:cnfStyle w:val="000000100000" w:firstRow="0" w:lastRow="0" w:firstColumn="0" w:lastColumn="0" w:oddVBand="0" w:evenVBand="0" w:oddHBand="1" w:evenHBand="0" w:firstRowFirstColumn="0" w:firstRowLastColumn="0" w:lastRowFirstColumn="0" w:lastRowLastColumn="0"/>
          <w:cantSplit/>
          <w:trHeight w:val="86"/>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1EEE0FE9"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Development Partner</w:t>
            </w:r>
          </w:p>
        </w:tc>
        <w:tc>
          <w:tcPr>
            <w:tcW w:w="1691" w:type="dxa"/>
            <w:shd w:val="clear" w:color="auto" w:fill="auto"/>
          </w:tcPr>
          <w:p w14:paraId="244B77AD" w14:textId="7AC912E7" w:rsidR="000A593C" w:rsidRPr="00FA08C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2DE5207B" w14:textId="41D1AFA0"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proofErr w:type="spellStart"/>
            <w:r w:rsidRPr="00FA08CC">
              <w:rPr>
                <w:rFonts w:ascii="Arial" w:eastAsia="Calibri" w:hAnsi="Arial" w:cs="Arial"/>
                <w:sz w:val="18"/>
                <w:szCs w:val="18"/>
              </w:rPr>
              <w:t>Sokroeun</w:t>
            </w:r>
            <w:proofErr w:type="spellEnd"/>
            <w:r w:rsidRPr="00FA08CC">
              <w:rPr>
                <w:rFonts w:ascii="Arial" w:eastAsia="Calibri" w:hAnsi="Arial" w:cs="Arial"/>
                <w:sz w:val="18"/>
                <w:szCs w:val="18"/>
              </w:rPr>
              <w:t xml:space="preserve"> Ain, Programme Analyst, UNFPA</w:t>
            </w:r>
          </w:p>
        </w:tc>
        <w:tc>
          <w:tcPr>
            <w:tcW w:w="567" w:type="dxa"/>
            <w:shd w:val="clear" w:color="auto" w:fill="auto"/>
          </w:tcPr>
          <w:p w14:paraId="4A1BE96C"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2BD6ACCD"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44A74D92" w14:textId="77777777" w:rsidTr="00B3291F">
        <w:trPr>
          <w:cantSplit/>
          <w:trHeight w:val="45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0EF52687"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Development Partner</w:t>
            </w:r>
          </w:p>
        </w:tc>
        <w:tc>
          <w:tcPr>
            <w:tcW w:w="1691" w:type="dxa"/>
            <w:shd w:val="clear" w:color="auto" w:fill="auto"/>
          </w:tcPr>
          <w:p w14:paraId="60CC5AA2" w14:textId="4ACE4B0D" w:rsidR="000A593C" w:rsidRPr="00FA08C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6DD3C3EF" w14:textId="452613A4"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 xml:space="preserve">Erna </w:t>
            </w:r>
            <w:proofErr w:type="spellStart"/>
            <w:r w:rsidRPr="00FA08CC">
              <w:rPr>
                <w:rFonts w:ascii="Arial" w:eastAsia="Calibri" w:hAnsi="Arial" w:cs="Arial"/>
                <w:sz w:val="18"/>
                <w:szCs w:val="18"/>
              </w:rPr>
              <w:t>Ribar</w:t>
            </w:r>
            <w:proofErr w:type="spellEnd"/>
            <w:r w:rsidRPr="00FA08CC">
              <w:rPr>
                <w:rFonts w:ascii="Arial" w:eastAsia="Calibri" w:hAnsi="Arial" w:cs="Arial"/>
                <w:sz w:val="18"/>
                <w:szCs w:val="18"/>
              </w:rPr>
              <w:t>, Social Policy Chief, UNICEF</w:t>
            </w:r>
          </w:p>
          <w:p w14:paraId="70109F2F" w14:textId="77777777"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Accompanying colleague</w:t>
            </w:r>
          </w:p>
        </w:tc>
        <w:tc>
          <w:tcPr>
            <w:tcW w:w="567" w:type="dxa"/>
            <w:shd w:val="clear" w:color="auto" w:fill="auto"/>
          </w:tcPr>
          <w:p w14:paraId="48B7B58D"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4ABCB638"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60F4449B" w14:textId="77777777" w:rsidTr="00B3291F">
        <w:trPr>
          <w:cnfStyle w:val="000000100000" w:firstRow="0" w:lastRow="0" w:firstColumn="0" w:lastColumn="0" w:oddVBand="0" w:evenVBand="0" w:oddHBand="1" w:evenHBand="0" w:firstRowFirstColumn="0" w:firstRowLastColumn="0" w:lastRowFirstColumn="0" w:lastRowLastColumn="0"/>
          <w:cantSplit/>
          <w:trHeight w:val="249"/>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7EB8F818"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Civil society</w:t>
            </w:r>
          </w:p>
        </w:tc>
        <w:tc>
          <w:tcPr>
            <w:tcW w:w="1691" w:type="dxa"/>
            <w:shd w:val="clear" w:color="auto" w:fill="auto"/>
          </w:tcPr>
          <w:p w14:paraId="4E221AAE" w14:textId="61493E3A" w:rsidR="000A593C" w:rsidRPr="00FA08C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1912A8FB" w14:textId="060D7A86"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Cambodia-based CBM consultants</w:t>
            </w:r>
          </w:p>
        </w:tc>
        <w:tc>
          <w:tcPr>
            <w:tcW w:w="567" w:type="dxa"/>
            <w:shd w:val="clear" w:color="auto" w:fill="auto"/>
          </w:tcPr>
          <w:p w14:paraId="7BE96D30"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450EB9A2"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r>
      <w:tr w:rsidR="000A593C" w:rsidRPr="00400CF2" w14:paraId="1BC91351" w14:textId="77777777" w:rsidTr="00B3291F">
        <w:trPr>
          <w:cantSplit/>
          <w:trHeight w:val="156"/>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064832C7"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Civil society</w:t>
            </w:r>
          </w:p>
        </w:tc>
        <w:tc>
          <w:tcPr>
            <w:tcW w:w="1691" w:type="dxa"/>
            <w:shd w:val="clear" w:color="auto" w:fill="auto"/>
          </w:tcPr>
          <w:p w14:paraId="6A17A4EF" w14:textId="354A0EDC" w:rsidR="000A593C" w:rsidRPr="00FA08C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1AD0C1D4" w14:textId="07552FCE" w:rsidR="000A593C" w:rsidRPr="00FA08CC" w:rsidRDefault="000A593C" w:rsidP="00FA08CC">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FA08CC">
              <w:rPr>
                <w:rFonts w:ascii="Arial" w:eastAsia="Calibri" w:hAnsi="Arial" w:cs="Arial"/>
                <w:sz w:val="18"/>
                <w:szCs w:val="18"/>
              </w:rPr>
              <w:t>Australia Awards Alumni</w:t>
            </w:r>
          </w:p>
        </w:tc>
        <w:tc>
          <w:tcPr>
            <w:tcW w:w="567" w:type="dxa"/>
            <w:shd w:val="clear" w:color="auto" w:fill="auto"/>
          </w:tcPr>
          <w:p w14:paraId="55A8AB12"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42B7AF33"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r>
      <w:tr w:rsidR="000A593C" w:rsidRPr="00400CF2" w14:paraId="2E839E71" w14:textId="77777777" w:rsidTr="00B3291F">
        <w:trPr>
          <w:cnfStyle w:val="000000100000" w:firstRow="0" w:lastRow="0" w:firstColumn="0" w:lastColumn="0" w:oddVBand="0" w:evenVBand="0" w:oddHBand="1" w:evenHBand="0" w:firstRowFirstColumn="0" w:firstRowLastColumn="0" w:lastRowFirstColumn="0" w:lastRowLastColumn="0"/>
          <w:cantSplit/>
          <w:trHeight w:val="45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16CE56D7"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Civil society</w:t>
            </w:r>
          </w:p>
        </w:tc>
        <w:tc>
          <w:tcPr>
            <w:tcW w:w="1691" w:type="dxa"/>
            <w:shd w:val="clear" w:color="auto" w:fill="auto"/>
          </w:tcPr>
          <w:p w14:paraId="66D112DA" w14:textId="77777777" w:rsidR="000A593C" w:rsidRPr="00400CF2"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p w14:paraId="7201402A" w14:textId="77777777" w:rsidR="000A593C" w:rsidRPr="00FA08C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p>
        </w:tc>
        <w:tc>
          <w:tcPr>
            <w:tcW w:w="5103" w:type="dxa"/>
            <w:shd w:val="clear" w:color="auto" w:fill="auto"/>
          </w:tcPr>
          <w:p w14:paraId="04E627B6" w14:textId="523C6526" w:rsidR="000A593C" w:rsidRPr="00FA08CC" w:rsidRDefault="000A593C" w:rsidP="00FA08CC">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proofErr w:type="spellStart"/>
            <w:r w:rsidRPr="00FA08CC">
              <w:rPr>
                <w:rFonts w:ascii="Arial" w:eastAsia="Calibri" w:hAnsi="Arial" w:cs="Arial"/>
                <w:sz w:val="18"/>
                <w:szCs w:val="18"/>
              </w:rPr>
              <w:t>Eng</w:t>
            </w:r>
            <w:proofErr w:type="spellEnd"/>
            <w:r w:rsidRPr="00FA08CC">
              <w:rPr>
                <w:rFonts w:ascii="Arial" w:eastAsia="Calibri" w:hAnsi="Arial" w:cs="Arial"/>
                <w:sz w:val="18"/>
                <w:szCs w:val="18"/>
              </w:rPr>
              <w:t xml:space="preserve"> Chandy, Executive Director, Gender and Development for Cambodia (GADC)</w:t>
            </w:r>
          </w:p>
        </w:tc>
        <w:tc>
          <w:tcPr>
            <w:tcW w:w="567" w:type="dxa"/>
            <w:shd w:val="clear" w:color="auto" w:fill="auto"/>
          </w:tcPr>
          <w:p w14:paraId="0C8E2E0A"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4588DC98"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263D80B0" w14:textId="77777777" w:rsidTr="00B3291F">
        <w:trPr>
          <w:cantSplit/>
          <w:trHeight w:val="45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73435748"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Civil society</w:t>
            </w:r>
          </w:p>
        </w:tc>
        <w:tc>
          <w:tcPr>
            <w:tcW w:w="1691" w:type="dxa"/>
            <w:shd w:val="clear" w:color="auto" w:fill="auto"/>
          </w:tcPr>
          <w:p w14:paraId="37AB28A4" w14:textId="21007BD6" w:rsidR="000A593C" w:rsidRPr="00FA08C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Phnom Penh</w:t>
            </w:r>
          </w:p>
        </w:tc>
        <w:tc>
          <w:tcPr>
            <w:tcW w:w="5103" w:type="dxa"/>
            <w:shd w:val="clear" w:color="auto" w:fill="auto"/>
          </w:tcPr>
          <w:p w14:paraId="1A9EAE8E" w14:textId="5A98EC39" w:rsidR="000A593C" w:rsidRPr="00FA08CC" w:rsidRDefault="000A593C" w:rsidP="009B377E">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proofErr w:type="spellStart"/>
            <w:r w:rsidRPr="00FA08CC">
              <w:rPr>
                <w:rFonts w:ascii="Arial" w:eastAsia="Calibri" w:hAnsi="Arial" w:cs="Arial"/>
                <w:sz w:val="18"/>
                <w:szCs w:val="18"/>
              </w:rPr>
              <w:t>Eng</w:t>
            </w:r>
            <w:proofErr w:type="spellEnd"/>
            <w:r w:rsidRPr="00FA08CC">
              <w:rPr>
                <w:rFonts w:ascii="Arial" w:eastAsia="Calibri" w:hAnsi="Arial" w:cs="Arial"/>
                <w:sz w:val="18"/>
                <w:szCs w:val="18"/>
              </w:rPr>
              <w:t xml:space="preserve"> Netra, Director, Cambodia Development Resource Institute, CDRI</w:t>
            </w:r>
            <w:r>
              <w:rPr>
                <w:rFonts w:ascii="Arial" w:eastAsia="Calibri" w:hAnsi="Arial" w:cs="Arial"/>
                <w:sz w:val="18"/>
                <w:szCs w:val="18"/>
              </w:rPr>
              <w:t xml:space="preserve"> and t</w:t>
            </w:r>
            <w:r w:rsidRPr="00FA08CC">
              <w:rPr>
                <w:rFonts w:ascii="Arial" w:eastAsia="Calibri" w:hAnsi="Arial" w:cs="Arial"/>
                <w:sz w:val="18"/>
                <w:szCs w:val="18"/>
              </w:rPr>
              <w:t>wo accompanying colleagues</w:t>
            </w:r>
          </w:p>
        </w:tc>
        <w:tc>
          <w:tcPr>
            <w:tcW w:w="567" w:type="dxa"/>
            <w:shd w:val="clear" w:color="auto" w:fill="auto"/>
          </w:tcPr>
          <w:p w14:paraId="549B3242"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60E4026A"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r>
      <w:tr w:rsidR="000A593C" w:rsidRPr="00400CF2" w14:paraId="19687C41" w14:textId="77777777" w:rsidTr="0039291A">
        <w:trPr>
          <w:cnfStyle w:val="000000100000" w:firstRow="0" w:lastRow="0" w:firstColumn="0" w:lastColumn="0" w:oddVBand="0" w:evenVBand="0" w:oddHBand="1" w:evenHBand="0" w:firstRowFirstColumn="0" w:firstRowLastColumn="0" w:lastRowFirstColumn="0" w:lastRowLastColumn="0"/>
          <w:cantSplit/>
          <w:trHeight w:val="191"/>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37D242AA"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RGC-PDAC</w:t>
            </w:r>
          </w:p>
        </w:tc>
        <w:tc>
          <w:tcPr>
            <w:tcW w:w="1691" w:type="dxa"/>
            <w:shd w:val="clear" w:color="auto" w:fill="auto"/>
          </w:tcPr>
          <w:p w14:paraId="307D10D9" w14:textId="1F0D99AA" w:rsidR="000A593C" w:rsidRPr="000A593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tc>
        <w:tc>
          <w:tcPr>
            <w:tcW w:w="5103" w:type="dxa"/>
            <w:shd w:val="clear" w:color="auto" w:fill="auto"/>
          </w:tcPr>
          <w:p w14:paraId="18544F53" w14:textId="6588143B" w:rsidR="000A593C" w:rsidRPr="006005A8" w:rsidRDefault="000A593C" w:rsidP="006005A8">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 xml:space="preserve">Mr </w:t>
            </w:r>
            <w:proofErr w:type="spellStart"/>
            <w:r w:rsidRPr="006005A8">
              <w:rPr>
                <w:rFonts w:ascii="Arial" w:eastAsia="Calibri" w:hAnsi="Arial" w:cs="Arial"/>
                <w:sz w:val="18"/>
                <w:szCs w:val="18"/>
              </w:rPr>
              <w:t>Ou</w:t>
            </w:r>
            <w:proofErr w:type="spellEnd"/>
            <w:r w:rsidRPr="006005A8">
              <w:rPr>
                <w:rFonts w:ascii="Arial" w:eastAsia="Calibri" w:hAnsi="Arial" w:cs="Arial"/>
                <w:sz w:val="18"/>
                <w:szCs w:val="18"/>
              </w:rPr>
              <w:t xml:space="preserve"> Sam Bo, P-DAC member</w:t>
            </w:r>
          </w:p>
        </w:tc>
        <w:tc>
          <w:tcPr>
            <w:tcW w:w="567" w:type="dxa"/>
            <w:shd w:val="clear" w:color="auto" w:fill="auto"/>
          </w:tcPr>
          <w:p w14:paraId="7573D547"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77C9F27C"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r>
      <w:tr w:rsidR="000A593C" w:rsidRPr="00400CF2" w14:paraId="7C32FA92" w14:textId="77777777" w:rsidTr="00B3291F">
        <w:trPr>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64950A5E"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PDoWA</w:t>
            </w:r>
            <w:proofErr w:type="spellEnd"/>
          </w:p>
        </w:tc>
        <w:tc>
          <w:tcPr>
            <w:tcW w:w="1691" w:type="dxa"/>
            <w:shd w:val="clear" w:color="auto" w:fill="auto"/>
          </w:tcPr>
          <w:p w14:paraId="5FFD4EA3" w14:textId="6CC726C8" w:rsidR="000A593C" w:rsidRPr="000A593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tc>
        <w:tc>
          <w:tcPr>
            <w:tcW w:w="5103" w:type="dxa"/>
            <w:shd w:val="clear" w:color="auto" w:fill="auto"/>
          </w:tcPr>
          <w:p w14:paraId="44BB99A1" w14:textId="16A20097"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Ms Davy, Director</w:t>
            </w:r>
          </w:p>
          <w:p w14:paraId="6C019B63" w14:textId="77777777"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 xml:space="preserve">Ms </w:t>
            </w:r>
            <w:proofErr w:type="spellStart"/>
            <w:r w:rsidRPr="006005A8">
              <w:rPr>
                <w:rFonts w:ascii="Arial" w:eastAsia="Calibri" w:hAnsi="Arial" w:cs="Arial"/>
                <w:sz w:val="18"/>
                <w:szCs w:val="18"/>
              </w:rPr>
              <w:t>Phun</w:t>
            </w:r>
            <w:proofErr w:type="spellEnd"/>
            <w:r w:rsidRPr="006005A8">
              <w:rPr>
                <w:rFonts w:ascii="Arial" w:eastAsia="Calibri" w:hAnsi="Arial" w:cs="Arial"/>
                <w:sz w:val="18"/>
                <w:szCs w:val="18"/>
              </w:rPr>
              <w:t xml:space="preserve"> Phin, Deputy Director</w:t>
            </w:r>
          </w:p>
          <w:p w14:paraId="14B3265E" w14:textId="77777777"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Head of Administration</w:t>
            </w:r>
          </w:p>
        </w:tc>
        <w:tc>
          <w:tcPr>
            <w:tcW w:w="567" w:type="dxa"/>
            <w:shd w:val="clear" w:color="auto" w:fill="auto"/>
          </w:tcPr>
          <w:p w14:paraId="37D3B24D"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4F6BF8C2"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r>
      <w:tr w:rsidR="000A593C" w:rsidRPr="00400CF2" w14:paraId="09DBB014" w14:textId="77777777" w:rsidTr="00B3291F">
        <w:trPr>
          <w:cnfStyle w:val="000000100000" w:firstRow="0" w:lastRow="0" w:firstColumn="0" w:lastColumn="0" w:oddVBand="0" w:evenVBand="0" w:oddHBand="1" w:evenHBand="0" w:firstRowFirstColumn="0" w:firstRowLastColumn="0" w:lastRowFirstColumn="0" w:lastRowLastColumn="0"/>
          <w:cantSplit/>
          <w:trHeight w:val="137"/>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51BFF7AF"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PDoWA</w:t>
            </w:r>
            <w:proofErr w:type="spellEnd"/>
            <w:r w:rsidRPr="00400CF2">
              <w:rPr>
                <w:rFonts w:ascii="Arial" w:eastAsia="Calibri" w:hAnsi="Arial" w:cs="Arial"/>
                <w:sz w:val="18"/>
                <w:szCs w:val="18"/>
              </w:rPr>
              <w:t>-WDC</w:t>
            </w:r>
          </w:p>
        </w:tc>
        <w:tc>
          <w:tcPr>
            <w:tcW w:w="1691" w:type="dxa"/>
            <w:shd w:val="clear" w:color="auto" w:fill="auto"/>
          </w:tcPr>
          <w:p w14:paraId="69362813" w14:textId="32346BD7" w:rsidR="000A593C" w:rsidRPr="000A593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p w14:paraId="20746B0D" w14:textId="77777777" w:rsidR="000A593C" w:rsidRPr="000A593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auto"/>
                <w:sz w:val="18"/>
                <w:szCs w:val="18"/>
              </w:rPr>
            </w:pPr>
          </w:p>
        </w:tc>
        <w:tc>
          <w:tcPr>
            <w:tcW w:w="5103" w:type="dxa"/>
            <w:shd w:val="clear" w:color="auto" w:fill="auto"/>
          </w:tcPr>
          <w:p w14:paraId="4C8DDED2" w14:textId="236979DA" w:rsidR="000A593C" w:rsidRPr="006005A8" w:rsidRDefault="000A593C" w:rsidP="006005A8">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Head of WDC</w:t>
            </w:r>
          </w:p>
        </w:tc>
        <w:tc>
          <w:tcPr>
            <w:tcW w:w="567" w:type="dxa"/>
            <w:shd w:val="clear" w:color="auto" w:fill="auto"/>
          </w:tcPr>
          <w:p w14:paraId="79AA0DDB"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0BE27629"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r>
      <w:tr w:rsidR="000A593C" w:rsidRPr="00400CF2" w14:paraId="6CA43726" w14:textId="77777777" w:rsidTr="00B3291F">
        <w:trPr>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05C121A7"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 xml:space="preserve">RGC-CCWC </w:t>
            </w:r>
            <w:r w:rsidRPr="00400CF2">
              <w:rPr>
                <w:rFonts w:ascii="Arial" w:hAnsi="Arial" w:cs="Arial"/>
                <w:sz w:val="18"/>
                <w:szCs w:val="18"/>
              </w:rPr>
              <w:br/>
            </w:r>
            <w:r w:rsidRPr="00400CF2">
              <w:rPr>
                <w:rFonts w:ascii="Arial" w:eastAsia="Calibri" w:hAnsi="Arial" w:cs="Arial"/>
                <w:sz w:val="18"/>
                <w:szCs w:val="18"/>
              </w:rPr>
              <w:t>(</w:t>
            </w:r>
            <w:proofErr w:type="spellStart"/>
            <w:r w:rsidRPr="00400CF2">
              <w:rPr>
                <w:rFonts w:ascii="Arial" w:eastAsia="Calibri" w:hAnsi="Arial" w:cs="Arial"/>
                <w:sz w:val="18"/>
                <w:szCs w:val="18"/>
              </w:rPr>
              <w:t>Kaheng</w:t>
            </w:r>
            <w:proofErr w:type="spellEnd"/>
            <w:r w:rsidRPr="00400CF2">
              <w:rPr>
                <w:rFonts w:ascii="Arial" w:eastAsia="Calibri" w:hAnsi="Arial" w:cs="Arial"/>
                <w:sz w:val="18"/>
                <w:szCs w:val="18"/>
              </w:rPr>
              <w:t xml:space="preserve"> commune)</w:t>
            </w:r>
          </w:p>
        </w:tc>
        <w:tc>
          <w:tcPr>
            <w:tcW w:w="1691" w:type="dxa"/>
            <w:shd w:val="clear" w:color="auto" w:fill="auto"/>
          </w:tcPr>
          <w:p w14:paraId="6C7D4D3E" w14:textId="270F795B" w:rsidR="000A593C" w:rsidRPr="000A593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tc>
        <w:tc>
          <w:tcPr>
            <w:tcW w:w="5103" w:type="dxa"/>
            <w:shd w:val="clear" w:color="auto" w:fill="auto"/>
          </w:tcPr>
          <w:p w14:paraId="5D34B26C" w14:textId="6596FD38"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 xml:space="preserve">Ms </w:t>
            </w:r>
            <w:proofErr w:type="spellStart"/>
            <w:r w:rsidRPr="006005A8">
              <w:rPr>
                <w:rFonts w:ascii="Arial" w:eastAsia="Calibri" w:hAnsi="Arial" w:cs="Arial"/>
                <w:sz w:val="18"/>
                <w:szCs w:val="18"/>
              </w:rPr>
              <w:t>Prun</w:t>
            </w:r>
            <w:proofErr w:type="spellEnd"/>
            <w:r w:rsidRPr="006005A8">
              <w:rPr>
                <w:rFonts w:ascii="Arial" w:eastAsia="Calibri" w:hAnsi="Arial" w:cs="Arial"/>
                <w:sz w:val="18"/>
                <w:szCs w:val="18"/>
              </w:rPr>
              <w:t xml:space="preserve"> Ny, Commune Chief</w:t>
            </w:r>
          </w:p>
          <w:p w14:paraId="49ADC043" w14:textId="77777777"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 xml:space="preserve">Ms Sy </w:t>
            </w:r>
            <w:proofErr w:type="spellStart"/>
            <w:r w:rsidRPr="006005A8">
              <w:rPr>
                <w:rFonts w:ascii="Arial" w:eastAsia="Calibri" w:hAnsi="Arial" w:cs="Arial"/>
                <w:sz w:val="18"/>
                <w:szCs w:val="18"/>
              </w:rPr>
              <w:t>Lany</w:t>
            </w:r>
            <w:proofErr w:type="spellEnd"/>
            <w:r w:rsidRPr="006005A8">
              <w:rPr>
                <w:rFonts w:ascii="Arial" w:eastAsia="Calibri" w:hAnsi="Arial" w:cs="Arial"/>
                <w:sz w:val="18"/>
                <w:szCs w:val="18"/>
              </w:rPr>
              <w:t>, CCWC</w:t>
            </w:r>
          </w:p>
          <w:p w14:paraId="29B59AD1" w14:textId="77777777"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Other Commune members</w:t>
            </w:r>
          </w:p>
        </w:tc>
        <w:tc>
          <w:tcPr>
            <w:tcW w:w="567" w:type="dxa"/>
            <w:shd w:val="clear" w:color="auto" w:fill="auto"/>
          </w:tcPr>
          <w:p w14:paraId="3700FA8D"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3B98B6A9"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8</w:t>
            </w:r>
          </w:p>
        </w:tc>
      </w:tr>
      <w:tr w:rsidR="000A593C" w:rsidRPr="00400CF2" w14:paraId="61FFF6B9" w14:textId="77777777" w:rsidTr="00B3291F">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4A6C106F"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lastRenderedPageBreak/>
              <w:t xml:space="preserve">RGC-CCWC </w:t>
            </w:r>
            <w:r w:rsidRPr="00400CF2">
              <w:rPr>
                <w:rFonts w:ascii="Arial" w:hAnsi="Arial" w:cs="Arial"/>
                <w:sz w:val="18"/>
                <w:szCs w:val="18"/>
              </w:rPr>
              <w:br/>
            </w:r>
            <w:r w:rsidRPr="00400CF2">
              <w:rPr>
                <w:rFonts w:ascii="Arial" w:eastAsia="Calibri" w:hAnsi="Arial" w:cs="Arial"/>
                <w:sz w:val="18"/>
                <w:szCs w:val="18"/>
              </w:rPr>
              <w:t>(</w:t>
            </w:r>
            <w:proofErr w:type="spellStart"/>
            <w:r w:rsidRPr="00400CF2">
              <w:rPr>
                <w:rFonts w:ascii="Arial" w:eastAsia="Calibri" w:hAnsi="Arial" w:cs="Arial"/>
                <w:sz w:val="18"/>
                <w:szCs w:val="18"/>
              </w:rPr>
              <w:t>Borseth</w:t>
            </w:r>
            <w:proofErr w:type="spellEnd"/>
            <w:r w:rsidRPr="00400CF2">
              <w:rPr>
                <w:rFonts w:ascii="Arial" w:eastAsia="Calibri" w:hAnsi="Arial" w:cs="Arial"/>
                <w:sz w:val="18"/>
                <w:szCs w:val="18"/>
              </w:rPr>
              <w:t xml:space="preserve"> district)</w:t>
            </w:r>
          </w:p>
        </w:tc>
        <w:tc>
          <w:tcPr>
            <w:tcW w:w="1691" w:type="dxa"/>
            <w:shd w:val="clear" w:color="auto" w:fill="auto"/>
          </w:tcPr>
          <w:p w14:paraId="765D684C" w14:textId="607F4955" w:rsidR="000A593C" w:rsidRPr="000A593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tc>
        <w:tc>
          <w:tcPr>
            <w:tcW w:w="5103" w:type="dxa"/>
            <w:shd w:val="clear" w:color="auto" w:fill="auto"/>
          </w:tcPr>
          <w:p w14:paraId="2EBF5D40" w14:textId="466D9E44" w:rsidR="000A593C" w:rsidRPr="006005A8" w:rsidRDefault="000A593C" w:rsidP="006005A8">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CCWC members</w:t>
            </w:r>
          </w:p>
        </w:tc>
        <w:tc>
          <w:tcPr>
            <w:tcW w:w="567" w:type="dxa"/>
            <w:shd w:val="clear" w:color="auto" w:fill="auto"/>
          </w:tcPr>
          <w:p w14:paraId="7E691B71"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214EAAEC"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8</w:t>
            </w:r>
          </w:p>
        </w:tc>
      </w:tr>
      <w:tr w:rsidR="000A593C" w:rsidRPr="00400CF2" w14:paraId="18B8F8CB" w14:textId="77777777" w:rsidTr="00B3291F">
        <w:trPr>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784A5072"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roofErr w:type="spellStart"/>
            <w:r w:rsidRPr="00400CF2">
              <w:rPr>
                <w:rFonts w:ascii="Arial" w:eastAsia="Calibri" w:hAnsi="Arial" w:cs="Arial"/>
                <w:sz w:val="18"/>
                <w:szCs w:val="18"/>
              </w:rPr>
              <w:t>PoSVY</w:t>
            </w:r>
            <w:proofErr w:type="spellEnd"/>
          </w:p>
        </w:tc>
        <w:tc>
          <w:tcPr>
            <w:tcW w:w="1691" w:type="dxa"/>
            <w:shd w:val="clear" w:color="auto" w:fill="auto"/>
          </w:tcPr>
          <w:p w14:paraId="60AB7275" w14:textId="43748416" w:rsidR="000A593C" w:rsidRPr="000A593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tc>
        <w:tc>
          <w:tcPr>
            <w:tcW w:w="5103" w:type="dxa"/>
            <w:shd w:val="clear" w:color="auto" w:fill="auto"/>
          </w:tcPr>
          <w:p w14:paraId="55FD0BC4" w14:textId="01B39017"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 xml:space="preserve">Ms </w:t>
            </w:r>
            <w:proofErr w:type="spellStart"/>
            <w:r w:rsidRPr="006005A8">
              <w:rPr>
                <w:rFonts w:ascii="Arial" w:eastAsia="Calibri" w:hAnsi="Arial" w:cs="Arial"/>
                <w:sz w:val="18"/>
                <w:szCs w:val="18"/>
              </w:rPr>
              <w:t>Srey</w:t>
            </w:r>
            <w:proofErr w:type="spellEnd"/>
            <w:r w:rsidRPr="006005A8">
              <w:rPr>
                <w:rFonts w:ascii="Arial" w:eastAsia="Calibri" w:hAnsi="Arial" w:cs="Arial"/>
                <w:sz w:val="18"/>
                <w:szCs w:val="18"/>
              </w:rPr>
              <w:t xml:space="preserve"> Lina, Director (also P-DAC member)</w:t>
            </w:r>
          </w:p>
          <w:p w14:paraId="67B93CD6" w14:textId="77777777"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Accompanying staff members (P-DAC, P-CWCC)</w:t>
            </w:r>
          </w:p>
        </w:tc>
        <w:tc>
          <w:tcPr>
            <w:tcW w:w="567" w:type="dxa"/>
            <w:shd w:val="clear" w:color="auto" w:fill="auto"/>
          </w:tcPr>
          <w:p w14:paraId="485FC764"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1D712584"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2781587A" w14:textId="77777777" w:rsidTr="00B3291F">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6507A533"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RGC</w:t>
            </w:r>
          </w:p>
        </w:tc>
        <w:tc>
          <w:tcPr>
            <w:tcW w:w="1691" w:type="dxa"/>
            <w:shd w:val="clear" w:color="auto" w:fill="auto"/>
          </w:tcPr>
          <w:p w14:paraId="3A03556D" w14:textId="1DA347C1" w:rsidR="000A593C" w:rsidRPr="000A593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tc>
        <w:tc>
          <w:tcPr>
            <w:tcW w:w="5103" w:type="dxa"/>
            <w:shd w:val="clear" w:color="auto" w:fill="auto"/>
          </w:tcPr>
          <w:p w14:paraId="71597B34" w14:textId="372C4FEF" w:rsidR="000A593C" w:rsidRPr="006005A8" w:rsidRDefault="000A593C" w:rsidP="006005A8">
            <w:p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 xml:space="preserve">HE Long </w:t>
            </w:r>
            <w:proofErr w:type="spellStart"/>
            <w:r w:rsidRPr="006005A8">
              <w:rPr>
                <w:rFonts w:ascii="Arial" w:eastAsia="Calibri" w:hAnsi="Arial" w:cs="Arial"/>
                <w:sz w:val="18"/>
                <w:szCs w:val="18"/>
              </w:rPr>
              <w:t>Bonareth</w:t>
            </w:r>
            <w:proofErr w:type="spellEnd"/>
            <w:r w:rsidRPr="006005A8">
              <w:rPr>
                <w:rFonts w:ascii="Arial" w:eastAsia="Calibri" w:hAnsi="Arial" w:cs="Arial"/>
                <w:sz w:val="18"/>
                <w:szCs w:val="18"/>
              </w:rPr>
              <w:t>, Deputy Provincial Governor and Chair of P-DAC</w:t>
            </w:r>
          </w:p>
        </w:tc>
        <w:tc>
          <w:tcPr>
            <w:tcW w:w="567" w:type="dxa"/>
            <w:shd w:val="clear" w:color="auto" w:fill="auto"/>
          </w:tcPr>
          <w:p w14:paraId="10D86664"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58DCBE67"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4289215D" w14:textId="77777777" w:rsidTr="00B3291F">
        <w:trPr>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39F2623F"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Civil society</w:t>
            </w:r>
          </w:p>
        </w:tc>
        <w:tc>
          <w:tcPr>
            <w:tcW w:w="1691" w:type="dxa"/>
            <w:shd w:val="clear" w:color="auto" w:fill="auto"/>
          </w:tcPr>
          <w:p w14:paraId="6D6AD025" w14:textId="341C5088" w:rsidR="000A593C" w:rsidRPr="000A593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tc>
        <w:tc>
          <w:tcPr>
            <w:tcW w:w="5103" w:type="dxa"/>
            <w:shd w:val="clear" w:color="auto" w:fill="auto"/>
          </w:tcPr>
          <w:p w14:paraId="22AFE0D5" w14:textId="182F660D"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 xml:space="preserve">Mr </w:t>
            </w:r>
            <w:proofErr w:type="spellStart"/>
            <w:r w:rsidRPr="006005A8">
              <w:rPr>
                <w:rFonts w:ascii="Arial" w:eastAsia="Calibri" w:hAnsi="Arial" w:cs="Arial"/>
                <w:sz w:val="18"/>
                <w:szCs w:val="18"/>
              </w:rPr>
              <w:t>Som</w:t>
            </w:r>
            <w:proofErr w:type="spellEnd"/>
            <w:r w:rsidRPr="006005A8">
              <w:rPr>
                <w:rFonts w:ascii="Arial" w:eastAsia="Calibri" w:hAnsi="Arial" w:cs="Arial"/>
                <w:sz w:val="18"/>
                <w:szCs w:val="18"/>
              </w:rPr>
              <w:t xml:space="preserve"> </w:t>
            </w:r>
            <w:proofErr w:type="spellStart"/>
            <w:r w:rsidRPr="006005A8">
              <w:rPr>
                <w:rFonts w:ascii="Arial" w:eastAsia="Calibri" w:hAnsi="Arial" w:cs="Arial"/>
                <w:sz w:val="18"/>
                <w:szCs w:val="18"/>
              </w:rPr>
              <w:t>Som</w:t>
            </w:r>
            <w:proofErr w:type="spellEnd"/>
            <w:r w:rsidRPr="006005A8">
              <w:rPr>
                <w:rFonts w:ascii="Arial" w:eastAsia="Calibri" w:hAnsi="Arial" w:cs="Arial"/>
                <w:sz w:val="18"/>
                <w:szCs w:val="18"/>
              </w:rPr>
              <w:t xml:space="preserve"> </w:t>
            </w:r>
            <w:proofErr w:type="spellStart"/>
            <w:r w:rsidRPr="006005A8">
              <w:rPr>
                <w:rFonts w:ascii="Arial" w:eastAsia="Calibri" w:hAnsi="Arial" w:cs="Arial"/>
                <w:sz w:val="18"/>
                <w:szCs w:val="18"/>
              </w:rPr>
              <w:t>Eng</w:t>
            </w:r>
            <w:proofErr w:type="spellEnd"/>
            <w:r w:rsidRPr="006005A8">
              <w:rPr>
                <w:rFonts w:ascii="Arial" w:eastAsia="Calibri" w:hAnsi="Arial" w:cs="Arial"/>
                <w:sz w:val="18"/>
                <w:szCs w:val="18"/>
              </w:rPr>
              <w:t xml:space="preserve">, Head of </w:t>
            </w:r>
            <w:proofErr w:type="spellStart"/>
            <w:r w:rsidRPr="006005A8">
              <w:rPr>
                <w:rFonts w:ascii="Arial" w:eastAsia="Calibri" w:hAnsi="Arial" w:cs="Arial"/>
                <w:sz w:val="18"/>
                <w:szCs w:val="18"/>
              </w:rPr>
              <w:t>Samrong</w:t>
            </w:r>
            <w:proofErr w:type="spellEnd"/>
            <w:r w:rsidRPr="006005A8">
              <w:rPr>
                <w:rFonts w:ascii="Arial" w:eastAsia="Calibri" w:hAnsi="Arial" w:cs="Arial"/>
                <w:sz w:val="18"/>
                <w:szCs w:val="18"/>
              </w:rPr>
              <w:t xml:space="preserve"> Tong Disability Development Federation</w:t>
            </w:r>
          </w:p>
          <w:p w14:paraId="50510BF7" w14:textId="77777777" w:rsidR="000A593C" w:rsidRPr="006005A8" w:rsidRDefault="000A593C" w:rsidP="006005A8">
            <w:p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6005A8">
              <w:rPr>
                <w:rFonts w:ascii="Arial" w:eastAsia="Calibri" w:hAnsi="Arial" w:cs="Arial"/>
                <w:sz w:val="18"/>
                <w:szCs w:val="18"/>
              </w:rPr>
              <w:t>Ms Min Sophal, Head of Women and Children with Disability Federation</w:t>
            </w:r>
          </w:p>
        </w:tc>
        <w:tc>
          <w:tcPr>
            <w:tcW w:w="567" w:type="dxa"/>
            <w:shd w:val="clear" w:color="auto" w:fill="auto"/>
          </w:tcPr>
          <w:p w14:paraId="5044F299"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001BB8B1"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53881BCD" w14:textId="77777777" w:rsidTr="00B3291F">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054284C5"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Civil society</w:t>
            </w:r>
          </w:p>
        </w:tc>
        <w:tc>
          <w:tcPr>
            <w:tcW w:w="1691" w:type="dxa"/>
            <w:shd w:val="clear" w:color="auto" w:fill="auto"/>
          </w:tcPr>
          <w:p w14:paraId="617227DC" w14:textId="4D19AC47" w:rsidR="000A593C" w:rsidRPr="000A593C" w:rsidRDefault="000A593C" w:rsidP="000A593C">
            <w:pPr>
              <w:spacing w:before="20" w:after="20" w:line="240" w:lineRule="auto"/>
              <w:ind w:left="113" w:right="113"/>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tc>
        <w:tc>
          <w:tcPr>
            <w:tcW w:w="5103" w:type="dxa"/>
            <w:shd w:val="clear" w:color="auto" w:fill="auto"/>
          </w:tcPr>
          <w:p w14:paraId="63EC1DD4" w14:textId="0E47541A" w:rsidR="000A593C" w:rsidRPr="00D84D1A" w:rsidRDefault="000A593C" w:rsidP="00A358B8">
            <w:pPr>
              <w:pStyle w:val="ListParagraph"/>
              <w:numPr>
                <w:ilvl w:val="0"/>
                <w:numId w:val="21"/>
              </w:num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Women’s support group member</w:t>
            </w:r>
          </w:p>
        </w:tc>
        <w:tc>
          <w:tcPr>
            <w:tcW w:w="567" w:type="dxa"/>
            <w:shd w:val="clear" w:color="auto" w:fill="auto"/>
          </w:tcPr>
          <w:p w14:paraId="74414AEB"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07E411B6" w14:textId="77777777"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12</w:t>
            </w:r>
          </w:p>
        </w:tc>
      </w:tr>
      <w:tr w:rsidR="000A593C" w:rsidRPr="00400CF2" w14:paraId="64C636D8" w14:textId="77777777" w:rsidTr="00B3291F">
        <w:trPr>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2C0581F7"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Civil society</w:t>
            </w:r>
          </w:p>
        </w:tc>
        <w:tc>
          <w:tcPr>
            <w:tcW w:w="1691" w:type="dxa"/>
            <w:shd w:val="clear" w:color="auto" w:fill="auto"/>
          </w:tcPr>
          <w:p w14:paraId="135E931E" w14:textId="10E82443" w:rsidR="000A593C" w:rsidRPr="000A593C" w:rsidRDefault="000A593C" w:rsidP="000A593C">
            <w:pPr>
              <w:spacing w:before="20" w:after="20"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auto"/>
                <w:sz w:val="18"/>
                <w:szCs w:val="18"/>
              </w:rPr>
            </w:pPr>
            <w:r>
              <w:rPr>
                <w:rFonts w:ascii="Arial" w:eastAsia="Calibri" w:hAnsi="Arial" w:cs="Arial"/>
                <w:color w:val="auto"/>
                <w:sz w:val="18"/>
                <w:szCs w:val="18"/>
              </w:rPr>
              <w:t xml:space="preserve">Kampong </w:t>
            </w:r>
            <w:proofErr w:type="spellStart"/>
            <w:r>
              <w:rPr>
                <w:rFonts w:ascii="Arial" w:eastAsia="Calibri" w:hAnsi="Arial" w:cs="Arial"/>
                <w:color w:val="auto"/>
                <w:sz w:val="18"/>
                <w:szCs w:val="18"/>
              </w:rPr>
              <w:t>Speu</w:t>
            </w:r>
            <w:proofErr w:type="spellEnd"/>
          </w:p>
        </w:tc>
        <w:tc>
          <w:tcPr>
            <w:tcW w:w="5103" w:type="dxa"/>
            <w:shd w:val="clear" w:color="auto" w:fill="auto"/>
          </w:tcPr>
          <w:p w14:paraId="6A579F5E" w14:textId="2C09E9E4" w:rsidR="000A593C" w:rsidRPr="00400CF2" w:rsidRDefault="000A593C" w:rsidP="00A358B8">
            <w:pPr>
              <w:pStyle w:val="ListParagraph"/>
              <w:numPr>
                <w:ilvl w:val="0"/>
                <w:numId w:val="21"/>
              </w:num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Woman who received economic support</w:t>
            </w:r>
          </w:p>
        </w:tc>
        <w:tc>
          <w:tcPr>
            <w:tcW w:w="567" w:type="dxa"/>
            <w:shd w:val="clear" w:color="auto" w:fill="auto"/>
          </w:tcPr>
          <w:p w14:paraId="3E89D3A8"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c>
          <w:tcPr>
            <w:tcW w:w="567" w:type="dxa"/>
            <w:shd w:val="clear" w:color="auto" w:fill="auto"/>
          </w:tcPr>
          <w:p w14:paraId="4889AD32" w14:textId="77777777" w:rsidR="000A593C" w:rsidRPr="00400CF2" w:rsidRDefault="000A593C" w:rsidP="00D84D1A">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29F12106" w14:textId="77777777" w:rsidTr="0039291A">
        <w:trPr>
          <w:cnfStyle w:val="000000100000" w:firstRow="0" w:lastRow="0" w:firstColumn="0" w:lastColumn="0" w:oddVBand="0" w:evenVBand="0" w:oddHBand="1"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75D20721" w14:textId="77777777" w:rsidR="000A593C" w:rsidRPr="00400CF2" w:rsidRDefault="000A593C" w:rsidP="00D84D1A">
            <w:pPr>
              <w:spacing w:before="20" w:after="20" w:line="240" w:lineRule="auto"/>
              <w:rPr>
                <w:rFonts w:ascii="Arial" w:hAnsi="Arial" w:cs="Arial"/>
                <w:sz w:val="18"/>
                <w:szCs w:val="18"/>
              </w:rPr>
            </w:pPr>
            <w:r w:rsidRPr="00400CF2">
              <w:rPr>
                <w:rFonts w:ascii="Arial" w:eastAsia="Calibri" w:hAnsi="Arial" w:cs="Arial"/>
                <w:sz w:val="18"/>
                <w:szCs w:val="18"/>
              </w:rPr>
              <w:t xml:space="preserve">RGC-PWDF and </w:t>
            </w:r>
            <w:proofErr w:type="spellStart"/>
            <w:r w:rsidRPr="00400CF2">
              <w:rPr>
                <w:rFonts w:ascii="Arial" w:eastAsia="Calibri" w:hAnsi="Arial" w:cs="Arial"/>
                <w:sz w:val="18"/>
                <w:szCs w:val="18"/>
              </w:rPr>
              <w:t>PoSVY</w:t>
            </w:r>
            <w:proofErr w:type="spellEnd"/>
          </w:p>
        </w:tc>
        <w:tc>
          <w:tcPr>
            <w:tcW w:w="1691" w:type="dxa"/>
            <w:shd w:val="clear" w:color="auto" w:fill="auto"/>
          </w:tcPr>
          <w:p w14:paraId="4EA3663C" w14:textId="1953D610" w:rsidR="000A593C" w:rsidRPr="000A593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Pr>
                <w:rFonts w:ascii="Arial" w:eastAsia="Calibri" w:hAnsi="Arial" w:cs="Arial"/>
                <w:sz w:val="18"/>
                <w:szCs w:val="18"/>
              </w:rPr>
              <w:t>Kampong Cham</w:t>
            </w:r>
          </w:p>
        </w:tc>
        <w:tc>
          <w:tcPr>
            <w:tcW w:w="5103" w:type="dxa"/>
            <w:shd w:val="clear" w:color="auto" w:fill="auto"/>
          </w:tcPr>
          <w:p w14:paraId="15686870" w14:textId="26CAD6E9" w:rsidR="000A593C" w:rsidRPr="00400CF2" w:rsidRDefault="000A593C" w:rsidP="00A358B8">
            <w:pPr>
              <w:pStyle w:val="ListParagraph"/>
              <w:numPr>
                <w:ilvl w:val="0"/>
                <w:numId w:val="21"/>
              </w:num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 xml:space="preserve">Mr </w:t>
            </w:r>
            <w:proofErr w:type="spellStart"/>
            <w:r w:rsidRPr="00400CF2">
              <w:rPr>
                <w:rFonts w:ascii="Arial" w:eastAsia="Calibri" w:hAnsi="Arial" w:cs="Arial"/>
                <w:sz w:val="18"/>
                <w:szCs w:val="18"/>
              </w:rPr>
              <w:t>Hout</w:t>
            </w:r>
            <w:proofErr w:type="spellEnd"/>
            <w:r w:rsidRPr="00400CF2">
              <w:rPr>
                <w:rFonts w:ascii="Arial" w:eastAsia="Calibri" w:hAnsi="Arial" w:cs="Arial"/>
                <w:sz w:val="18"/>
                <w:szCs w:val="18"/>
              </w:rPr>
              <w:t xml:space="preserve"> </w:t>
            </w:r>
            <w:proofErr w:type="spellStart"/>
            <w:r w:rsidRPr="00400CF2">
              <w:rPr>
                <w:rFonts w:ascii="Arial" w:eastAsia="Calibri" w:hAnsi="Arial" w:cs="Arial"/>
                <w:sz w:val="18"/>
                <w:szCs w:val="18"/>
              </w:rPr>
              <w:t>Sothea</w:t>
            </w:r>
            <w:proofErr w:type="spellEnd"/>
            <w:r w:rsidRPr="00400CF2">
              <w:rPr>
                <w:rFonts w:ascii="Arial" w:eastAsia="Calibri" w:hAnsi="Arial" w:cs="Arial"/>
                <w:sz w:val="18"/>
                <w:szCs w:val="18"/>
              </w:rPr>
              <w:t xml:space="preserve">, Branch Manager PWDF and Deputy Director of </w:t>
            </w:r>
            <w:proofErr w:type="spellStart"/>
            <w:r w:rsidRPr="00400CF2">
              <w:rPr>
                <w:rFonts w:ascii="Arial" w:eastAsia="Calibri" w:hAnsi="Arial" w:cs="Arial"/>
                <w:sz w:val="18"/>
                <w:szCs w:val="18"/>
              </w:rPr>
              <w:t>PoSVY</w:t>
            </w:r>
            <w:proofErr w:type="spellEnd"/>
          </w:p>
          <w:p w14:paraId="53B03160" w14:textId="7E3BD0AA" w:rsidR="000A593C" w:rsidRPr="00D84D1A" w:rsidRDefault="000A593C" w:rsidP="00A358B8">
            <w:pPr>
              <w:pStyle w:val="ListParagraph"/>
              <w:numPr>
                <w:ilvl w:val="0"/>
                <w:numId w:val="21"/>
              </w:num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 xml:space="preserve">Mrs </w:t>
            </w:r>
            <w:proofErr w:type="spellStart"/>
            <w:r w:rsidRPr="00400CF2">
              <w:rPr>
                <w:rFonts w:ascii="Arial" w:eastAsia="Calibri" w:hAnsi="Arial" w:cs="Arial"/>
                <w:sz w:val="18"/>
                <w:szCs w:val="18"/>
              </w:rPr>
              <w:t>Samouen</w:t>
            </w:r>
            <w:proofErr w:type="spellEnd"/>
            <w:r w:rsidRPr="00400CF2">
              <w:rPr>
                <w:rFonts w:ascii="Arial" w:eastAsia="Calibri" w:hAnsi="Arial" w:cs="Arial"/>
                <w:sz w:val="18"/>
                <w:szCs w:val="18"/>
              </w:rPr>
              <w:t>, Head of Finance</w:t>
            </w:r>
          </w:p>
        </w:tc>
        <w:tc>
          <w:tcPr>
            <w:tcW w:w="567" w:type="dxa"/>
            <w:shd w:val="clear" w:color="auto" w:fill="auto"/>
          </w:tcPr>
          <w:p w14:paraId="2963012D" w14:textId="7993F5E0"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1</w:t>
            </w:r>
          </w:p>
        </w:tc>
        <w:tc>
          <w:tcPr>
            <w:tcW w:w="567" w:type="dxa"/>
            <w:shd w:val="clear" w:color="auto" w:fill="auto"/>
          </w:tcPr>
          <w:p w14:paraId="5630D1E5" w14:textId="11190B43" w:rsidR="000A593C" w:rsidRPr="00400CF2" w:rsidRDefault="000A593C" w:rsidP="00D84D1A">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1 </w:t>
            </w:r>
          </w:p>
        </w:tc>
      </w:tr>
      <w:tr w:rsidR="000A593C" w:rsidRPr="00400CF2" w14:paraId="35C6F390" w14:textId="77777777" w:rsidTr="00B3291F">
        <w:trPr>
          <w:cantSplit/>
          <w:trHeight w:val="57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09D7F60A" w14:textId="03F96E81" w:rsidR="000A593C" w:rsidRPr="00400CF2" w:rsidRDefault="000A593C" w:rsidP="000A593C">
            <w:pPr>
              <w:spacing w:before="20" w:after="20" w:line="240" w:lineRule="auto"/>
              <w:rPr>
                <w:rFonts w:ascii="Arial" w:hAnsi="Arial" w:cs="Arial"/>
                <w:sz w:val="18"/>
                <w:szCs w:val="18"/>
              </w:rPr>
            </w:pPr>
            <w:r w:rsidRPr="00400CF2">
              <w:rPr>
                <w:rFonts w:ascii="Arial" w:eastAsia="Calibri" w:hAnsi="Arial" w:cs="Arial"/>
                <w:sz w:val="18"/>
                <w:szCs w:val="18"/>
              </w:rPr>
              <w:t>RGC</w:t>
            </w:r>
            <w:r w:rsidRPr="00400CF2">
              <w:rPr>
                <w:rFonts w:ascii="Arial" w:hAnsi="Arial" w:cs="Arial"/>
                <w:sz w:val="18"/>
                <w:szCs w:val="18"/>
              </w:rPr>
              <w:br/>
            </w:r>
            <w:r w:rsidRPr="00400CF2">
              <w:rPr>
                <w:rFonts w:ascii="Arial" w:eastAsia="Calibri" w:hAnsi="Arial" w:cs="Arial"/>
                <w:sz w:val="18"/>
                <w:szCs w:val="18"/>
              </w:rPr>
              <w:t>(</w:t>
            </w:r>
            <w:proofErr w:type="spellStart"/>
            <w:r w:rsidRPr="00400CF2">
              <w:rPr>
                <w:rFonts w:ascii="Arial" w:eastAsia="Calibri" w:hAnsi="Arial" w:cs="Arial"/>
                <w:sz w:val="18"/>
                <w:szCs w:val="18"/>
              </w:rPr>
              <w:t>Chamkar</w:t>
            </w:r>
            <w:proofErr w:type="spellEnd"/>
            <w:r w:rsidRPr="00400CF2">
              <w:rPr>
                <w:rFonts w:ascii="Arial" w:eastAsia="Calibri" w:hAnsi="Arial" w:cs="Arial"/>
                <w:sz w:val="18"/>
                <w:szCs w:val="18"/>
              </w:rPr>
              <w:t xml:space="preserve"> Leu District)</w:t>
            </w:r>
          </w:p>
        </w:tc>
        <w:tc>
          <w:tcPr>
            <w:tcW w:w="1691" w:type="dxa"/>
            <w:shd w:val="clear" w:color="auto" w:fill="auto"/>
          </w:tcPr>
          <w:p w14:paraId="07F48FD3" w14:textId="4FC058FC" w:rsidR="000A593C" w:rsidRPr="000A593C"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0A593C">
              <w:rPr>
                <w:rFonts w:ascii="Arial" w:eastAsia="Calibri" w:hAnsi="Arial" w:cs="Arial"/>
                <w:sz w:val="18"/>
                <w:szCs w:val="18"/>
              </w:rPr>
              <w:t>Kampong Cham</w:t>
            </w:r>
          </w:p>
        </w:tc>
        <w:tc>
          <w:tcPr>
            <w:tcW w:w="5103" w:type="dxa"/>
            <w:shd w:val="clear" w:color="auto" w:fill="auto"/>
          </w:tcPr>
          <w:p w14:paraId="3D068C17" w14:textId="1E218B95" w:rsidR="000A593C" w:rsidRPr="00D84D1A" w:rsidRDefault="000A593C" w:rsidP="000A593C">
            <w:pPr>
              <w:pStyle w:val="ListParagraph"/>
              <w:numPr>
                <w:ilvl w:val="0"/>
                <w:numId w:val="21"/>
              </w:num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Police and CWCC members</w:t>
            </w:r>
          </w:p>
        </w:tc>
        <w:tc>
          <w:tcPr>
            <w:tcW w:w="567" w:type="dxa"/>
            <w:shd w:val="clear" w:color="auto" w:fill="auto"/>
          </w:tcPr>
          <w:p w14:paraId="3F391982"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0C947130"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r>
      <w:tr w:rsidR="000A593C" w:rsidRPr="00400CF2" w14:paraId="27B8FF26" w14:textId="77777777" w:rsidTr="00B3291F">
        <w:trPr>
          <w:cnfStyle w:val="000000100000" w:firstRow="0" w:lastRow="0" w:firstColumn="0" w:lastColumn="0" w:oddVBand="0" w:evenVBand="0" w:oddHBand="1" w:evenHBand="0" w:firstRowFirstColumn="0" w:firstRowLastColumn="0" w:lastRowFirstColumn="0" w:lastRowLastColumn="0"/>
          <w:cantSplit/>
          <w:trHeight w:val="57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79455931" w14:textId="46808BD2" w:rsidR="000A593C" w:rsidRPr="00400CF2" w:rsidRDefault="000A593C" w:rsidP="000A593C">
            <w:pPr>
              <w:spacing w:before="20" w:after="20" w:line="240" w:lineRule="auto"/>
              <w:rPr>
                <w:rFonts w:ascii="Arial" w:hAnsi="Arial" w:cs="Arial"/>
                <w:sz w:val="18"/>
                <w:szCs w:val="18"/>
              </w:rPr>
            </w:pPr>
            <w:r w:rsidRPr="00400CF2">
              <w:rPr>
                <w:rFonts w:ascii="Arial" w:eastAsia="Calibri" w:hAnsi="Arial" w:cs="Arial"/>
                <w:sz w:val="18"/>
                <w:szCs w:val="18"/>
              </w:rPr>
              <w:t>RGC-MoH</w:t>
            </w:r>
            <w:r w:rsidRPr="00400CF2">
              <w:rPr>
                <w:rFonts w:ascii="Arial" w:hAnsi="Arial" w:cs="Arial"/>
                <w:sz w:val="18"/>
                <w:szCs w:val="18"/>
              </w:rPr>
              <w:br/>
            </w:r>
            <w:r w:rsidRPr="00400CF2">
              <w:rPr>
                <w:rFonts w:ascii="Arial" w:eastAsia="Calibri" w:hAnsi="Arial" w:cs="Arial"/>
                <w:sz w:val="18"/>
                <w:szCs w:val="18"/>
              </w:rPr>
              <w:t>(</w:t>
            </w:r>
            <w:proofErr w:type="spellStart"/>
            <w:r w:rsidRPr="00400CF2">
              <w:rPr>
                <w:rFonts w:ascii="Arial" w:eastAsia="Calibri" w:hAnsi="Arial" w:cs="Arial"/>
                <w:sz w:val="18"/>
                <w:szCs w:val="18"/>
              </w:rPr>
              <w:t>Chamkar</w:t>
            </w:r>
            <w:proofErr w:type="spellEnd"/>
            <w:r w:rsidRPr="00400CF2">
              <w:rPr>
                <w:rFonts w:ascii="Arial" w:eastAsia="Calibri" w:hAnsi="Arial" w:cs="Arial"/>
                <w:sz w:val="18"/>
                <w:szCs w:val="18"/>
              </w:rPr>
              <w:t xml:space="preserve"> Leu District)</w:t>
            </w:r>
          </w:p>
        </w:tc>
        <w:tc>
          <w:tcPr>
            <w:tcW w:w="1691" w:type="dxa"/>
            <w:shd w:val="clear" w:color="auto" w:fill="auto"/>
          </w:tcPr>
          <w:p w14:paraId="59460AA0" w14:textId="0F07B0F0" w:rsidR="000A593C" w:rsidRPr="000A593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0A593C">
              <w:rPr>
                <w:rFonts w:ascii="Arial" w:eastAsia="Calibri" w:hAnsi="Arial" w:cs="Arial"/>
                <w:sz w:val="18"/>
                <w:szCs w:val="18"/>
              </w:rPr>
              <w:t>Kampong Cham</w:t>
            </w:r>
          </w:p>
        </w:tc>
        <w:tc>
          <w:tcPr>
            <w:tcW w:w="5103" w:type="dxa"/>
            <w:shd w:val="clear" w:color="auto" w:fill="auto"/>
          </w:tcPr>
          <w:p w14:paraId="747BA9A1" w14:textId="52887D91" w:rsidR="000A593C" w:rsidRPr="00400CF2" w:rsidRDefault="000A593C" w:rsidP="000A593C">
            <w:pPr>
              <w:pStyle w:val="ListParagraph"/>
              <w:numPr>
                <w:ilvl w:val="0"/>
                <w:numId w:val="21"/>
              </w:num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Referral Hospital</w:t>
            </w:r>
          </w:p>
        </w:tc>
        <w:tc>
          <w:tcPr>
            <w:tcW w:w="567" w:type="dxa"/>
            <w:shd w:val="clear" w:color="auto" w:fill="auto"/>
          </w:tcPr>
          <w:p w14:paraId="47277701" w14:textId="77777777" w:rsidR="000A593C" w:rsidRPr="00400CF2"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500D4265" w14:textId="77777777" w:rsidR="000A593C" w:rsidRPr="00400CF2"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r>
      <w:tr w:rsidR="000A593C" w:rsidRPr="00400CF2" w14:paraId="142BED4B" w14:textId="77777777" w:rsidTr="00B3291F">
        <w:trPr>
          <w:cantSplit/>
          <w:trHeight w:val="57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352A1715" w14:textId="4C80DE51" w:rsidR="000A593C" w:rsidRPr="00400CF2" w:rsidRDefault="000A593C" w:rsidP="000A593C">
            <w:pPr>
              <w:spacing w:before="20" w:after="20" w:line="240" w:lineRule="auto"/>
              <w:rPr>
                <w:rFonts w:ascii="Arial" w:hAnsi="Arial" w:cs="Arial"/>
                <w:sz w:val="18"/>
                <w:szCs w:val="18"/>
              </w:rPr>
            </w:pPr>
            <w:r w:rsidRPr="00400CF2">
              <w:rPr>
                <w:rFonts w:ascii="Arial" w:eastAsia="Calibri" w:hAnsi="Arial" w:cs="Arial"/>
                <w:sz w:val="18"/>
                <w:szCs w:val="18"/>
              </w:rPr>
              <w:t>RGC</w:t>
            </w:r>
            <w:r w:rsidRPr="00400CF2">
              <w:rPr>
                <w:rFonts w:ascii="Arial" w:hAnsi="Arial" w:cs="Arial"/>
                <w:sz w:val="18"/>
                <w:szCs w:val="18"/>
              </w:rPr>
              <w:br/>
            </w:r>
            <w:r w:rsidRPr="00400CF2">
              <w:rPr>
                <w:rFonts w:ascii="Arial" w:eastAsia="Calibri" w:hAnsi="Arial" w:cs="Arial"/>
                <w:sz w:val="18"/>
                <w:szCs w:val="18"/>
              </w:rPr>
              <w:t xml:space="preserve">(Stung </w:t>
            </w:r>
            <w:proofErr w:type="spellStart"/>
            <w:r w:rsidRPr="00400CF2">
              <w:rPr>
                <w:rFonts w:ascii="Arial" w:eastAsia="Calibri" w:hAnsi="Arial" w:cs="Arial"/>
                <w:sz w:val="18"/>
                <w:szCs w:val="18"/>
              </w:rPr>
              <w:t>Treng</w:t>
            </w:r>
            <w:proofErr w:type="spellEnd"/>
            <w:r w:rsidRPr="00400CF2">
              <w:rPr>
                <w:rFonts w:ascii="Arial" w:eastAsia="Calibri" w:hAnsi="Arial" w:cs="Arial"/>
                <w:sz w:val="18"/>
                <w:szCs w:val="18"/>
              </w:rPr>
              <w:t xml:space="preserve"> District)</w:t>
            </w:r>
          </w:p>
        </w:tc>
        <w:tc>
          <w:tcPr>
            <w:tcW w:w="1691" w:type="dxa"/>
            <w:shd w:val="clear" w:color="auto" w:fill="auto"/>
          </w:tcPr>
          <w:p w14:paraId="05EB9D0B" w14:textId="2DB916B5" w:rsidR="000A593C" w:rsidRPr="000A593C"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0A593C">
              <w:rPr>
                <w:rFonts w:ascii="Arial" w:eastAsia="Calibri" w:hAnsi="Arial" w:cs="Arial"/>
                <w:sz w:val="18"/>
                <w:szCs w:val="18"/>
              </w:rPr>
              <w:t>Kampong Cham</w:t>
            </w:r>
          </w:p>
        </w:tc>
        <w:tc>
          <w:tcPr>
            <w:tcW w:w="5103" w:type="dxa"/>
            <w:shd w:val="clear" w:color="auto" w:fill="auto"/>
          </w:tcPr>
          <w:p w14:paraId="2AC45393" w14:textId="279122AA" w:rsidR="000A593C" w:rsidRPr="00400CF2" w:rsidRDefault="000A593C" w:rsidP="000A593C">
            <w:pPr>
              <w:pStyle w:val="ListParagraph"/>
              <w:numPr>
                <w:ilvl w:val="0"/>
                <w:numId w:val="21"/>
              </w:num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GBV Response Working Group Members – Deputy Governor, Police, Health, Women’s Affairs</w:t>
            </w:r>
          </w:p>
        </w:tc>
        <w:tc>
          <w:tcPr>
            <w:tcW w:w="567" w:type="dxa"/>
            <w:shd w:val="clear" w:color="auto" w:fill="auto"/>
          </w:tcPr>
          <w:p w14:paraId="48C70B2A"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17041F28"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4</w:t>
            </w:r>
          </w:p>
        </w:tc>
      </w:tr>
      <w:tr w:rsidR="000A593C" w:rsidRPr="00400CF2" w14:paraId="3F1CE019" w14:textId="77777777" w:rsidTr="00B3291F">
        <w:trPr>
          <w:cnfStyle w:val="000000100000" w:firstRow="0" w:lastRow="0" w:firstColumn="0" w:lastColumn="0" w:oddVBand="0" w:evenVBand="0" w:oddHBand="1" w:evenHBand="0" w:firstRowFirstColumn="0" w:firstRowLastColumn="0" w:lastRowFirstColumn="0" w:lastRowLastColumn="0"/>
          <w:cantSplit/>
          <w:trHeight w:val="57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1863CAB5" w14:textId="77777777" w:rsidR="000A593C" w:rsidRPr="00400CF2" w:rsidRDefault="000A593C" w:rsidP="000A593C">
            <w:pPr>
              <w:spacing w:before="20" w:after="20" w:line="240" w:lineRule="auto"/>
              <w:rPr>
                <w:rFonts w:ascii="Arial" w:hAnsi="Arial" w:cs="Arial"/>
                <w:sz w:val="18"/>
                <w:szCs w:val="18"/>
              </w:rPr>
            </w:pPr>
            <w:r w:rsidRPr="00400CF2">
              <w:rPr>
                <w:rFonts w:ascii="Arial" w:eastAsia="Calibri" w:hAnsi="Arial" w:cs="Arial"/>
                <w:sz w:val="18"/>
                <w:szCs w:val="18"/>
              </w:rPr>
              <w:t>RGC</w:t>
            </w:r>
          </w:p>
        </w:tc>
        <w:tc>
          <w:tcPr>
            <w:tcW w:w="1691" w:type="dxa"/>
            <w:shd w:val="clear" w:color="auto" w:fill="auto"/>
          </w:tcPr>
          <w:p w14:paraId="675BAB0F" w14:textId="17755C0A" w:rsidR="000A593C" w:rsidRPr="000A593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0A593C">
              <w:rPr>
                <w:rFonts w:ascii="Arial" w:eastAsia="Calibri" w:hAnsi="Arial" w:cs="Arial"/>
                <w:sz w:val="18"/>
                <w:szCs w:val="18"/>
              </w:rPr>
              <w:t>Kampong Cham</w:t>
            </w:r>
          </w:p>
        </w:tc>
        <w:tc>
          <w:tcPr>
            <w:tcW w:w="5103" w:type="dxa"/>
            <w:shd w:val="clear" w:color="auto" w:fill="auto"/>
          </w:tcPr>
          <w:p w14:paraId="47644FE7" w14:textId="7BA0EAC6" w:rsidR="000A593C" w:rsidRPr="00400CF2" w:rsidRDefault="000A593C" w:rsidP="000A593C">
            <w:pPr>
              <w:pStyle w:val="ListParagraph"/>
              <w:numPr>
                <w:ilvl w:val="0"/>
                <w:numId w:val="21"/>
              </w:num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HE Pang Dany, Deputy Governor and Chair of GBV Response Working Group</w:t>
            </w:r>
          </w:p>
          <w:p w14:paraId="6E5A3C10" w14:textId="77777777" w:rsidR="000A593C" w:rsidRPr="00400CF2" w:rsidRDefault="000A593C" w:rsidP="000A593C">
            <w:pPr>
              <w:pStyle w:val="ListParagraph"/>
              <w:numPr>
                <w:ilvl w:val="0"/>
                <w:numId w:val="21"/>
              </w:num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Chair of Provincial CWC, Health, P-</w:t>
            </w:r>
            <w:proofErr w:type="spellStart"/>
            <w:r w:rsidRPr="00400CF2">
              <w:rPr>
                <w:rFonts w:ascii="Arial" w:eastAsia="Calibri" w:hAnsi="Arial" w:cs="Arial"/>
                <w:sz w:val="18"/>
                <w:szCs w:val="18"/>
              </w:rPr>
              <w:t>DoWA</w:t>
            </w:r>
            <w:proofErr w:type="spellEnd"/>
          </w:p>
        </w:tc>
        <w:tc>
          <w:tcPr>
            <w:tcW w:w="567" w:type="dxa"/>
            <w:shd w:val="clear" w:color="auto" w:fill="auto"/>
          </w:tcPr>
          <w:p w14:paraId="16BF2847" w14:textId="77777777" w:rsidR="000A593C" w:rsidRPr="00400CF2"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0</w:t>
            </w:r>
          </w:p>
        </w:tc>
        <w:tc>
          <w:tcPr>
            <w:tcW w:w="567" w:type="dxa"/>
            <w:shd w:val="clear" w:color="auto" w:fill="auto"/>
          </w:tcPr>
          <w:p w14:paraId="3E78E603" w14:textId="77777777" w:rsidR="000A593C" w:rsidRPr="00400CF2"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4</w:t>
            </w:r>
          </w:p>
        </w:tc>
      </w:tr>
      <w:tr w:rsidR="000A593C" w:rsidRPr="00400CF2" w14:paraId="77B13427" w14:textId="77777777" w:rsidTr="00B3291F">
        <w:trPr>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67AAB232" w14:textId="77777777" w:rsidR="000A593C" w:rsidRPr="00400CF2" w:rsidRDefault="000A593C" w:rsidP="000A593C">
            <w:pPr>
              <w:spacing w:before="20" w:after="20" w:line="240" w:lineRule="auto"/>
              <w:rPr>
                <w:rFonts w:ascii="Arial" w:hAnsi="Arial" w:cs="Arial"/>
                <w:sz w:val="18"/>
                <w:szCs w:val="18"/>
              </w:rPr>
            </w:pPr>
            <w:r w:rsidRPr="00400CF2">
              <w:rPr>
                <w:rFonts w:ascii="Arial" w:eastAsia="Calibri" w:hAnsi="Arial" w:cs="Arial"/>
                <w:sz w:val="18"/>
                <w:szCs w:val="18"/>
              </w:rPr>
              <w:t>Civil society / IP</w:t>
            </w:r>
          </w:p>
        </w:tc>
        <w:tc>
          <w:tcPr>
            <w:tcW w:w="1691" w:type="dxa"/>
            <w:shd w:val="clear" w:color="auto" w:fill="auto"/>
          </w:tcPr>
          <w:p w14:paraId="615348BB" w14:textId="15B70950" w:rsidR="000A593C" w:rsidRPr="000A593C"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0A593C">
              <w:rPr>
                <w:rFonts w:ascii="Arial" w:eastAsia="Calibri" w:hAnsi="Arial" w:cs="Arial"/>
                <w:sz w:val="18"/>
                <w:szCs w:val="18"/>
              </w:rPr>
              <w:t>Kampong Cham</w:t>
            </w:r>
          </w:p>
        </w:tc>
        <w:tc>
          <w:tcPr>
            <w:tcW w:w="5103" w:type="dxa"/>
            <w:shd w:val="clear" w:color="auto" w:fill="auto"/>
          </w:tcPr>
          <w:p w14:paraId="1A83103E" w14:textId="6E5C2DBB" w:rsidR="000A593C" w:rsidRPr="00D84D1A" w:rsidRDefault="000A593C" w:rsidP="000A593C">
            <w:pPr>
              <w:pStyle w:val="ListParagraph"/>
              <w:numPr>
                <w:ilvl w:val="0"/>
                <w:numId w:val="21"/>
              </w:num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 xml:space="preserve">Mr </w:t>
            </w:r>
            <w:proofErr w:type="spellStart"/>
            <w:r w:rsidRPr="00400CF2">
              <w:rPr>
                <w:rFonts w:ascii="Arial" w:eastAsia="Calibri" w:hAnsi="Arial" w:cs="Arial"/>
                <w:sz w:val="18"/>
                <w:szCs w:val="18"/>
              </w:rPr>
              <w:t>Doung</w:t>
            </w:r>
            <w:proofErr w:type="spellEnd"/>
            <w:r w:rsidRPr="00400CF2">
              <w:rPr>
                <w:rFonts w:ascii="Arial" w:eastAsia="Calibri" w:hAnsi="Arial" w:cs="Arial"/>
                <w:sz w:val="18"/>
                <w:szCs w:val="18"/>
              </w:rPr>
              <w:t xml:space="preserve"> </w:t>
            </w:r>
            <w:proofErr w:type="spellStart"/>
            <w:r w:rsidRPr="00400CF2">
              <w:rPr>
                <w:rFonts w:ascii="Arial" w:eastAsia="Calibri" w:hAnsi="Arial" w:cs="Arial"/>
                <w:sz w:val="18"/>
                <w:szCs w:val="18"/>
              </w:rPr>
              <w:t>Chethea</w:t>
            </w:r>
            <w:proofErr w:type="spellEnd"/>
            <w:r w:rsidRPr="00400CF2">
              <w:rPr>
                <w:rFonts w:ascii="Arial" w:eastAsia="Calibri" w:hAnsi="Arial" w:cs="Arial"/>
                <w:sz w:val="18"/>
                <w:szCs w:val="18"/>
              </w:rPr>
              <w:t>, PRC Manager (HI managed)</w:t>
            </w:r>
          </w:p>
          <w:p w14:paraId="3112D977" w14:textId="77777777" w:rsidR="000A593C" w:rsidRPr="00D84D1A" w:rsidRDefault="000A593C" w:rsidP="000A593C">
            <w:pPr>
              <w:pStyle w:val="ListParagraph"/>
              <w:numPr>
                <w:ilvl w:val="0"/>
                <w:numId w:val="21"/>
              </w:num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 xml:space="preserve">Mr </w:t>
            </w:r>
            <w:proofErr w:type="spellStart"/>
            <w:r w:rsidRPr="00400CF2">
              <w:rPr>
                <w:rFonts w:ascii="Arial" w:eastAsia="Calibri" w:hAnsi="Arial" w:cs="Arial"/>
                <w:sz w:val="18"/>
                <w:szCs w:val="18"/>
              </w:rPr>
              <w:t>Uk</w:t>
            </w:r>
            <w:proofErr w:type="spellEnd"/>
            <w:r w:rsidRPr="00400CF2">
              <w:rPr>
                <w:rFonts w:ascii="Arial" w:eastAsia="Calibri" w:hAnsi="Arial" w:cs="Arial"/>
                <w:sz w:val="18"/>
                <w:szCs w:val="18"/>
              </w:rPr>
              <w:t xml:space="preserve"> Tola, Database Officer</w:t>
            </w:r>
          </w:p>
          <w:p w14:paraId="3B2D73E3" w14:textId="77777777" w:rsidR="000A593C" w:rsidRPr="00D84D1A" w:rsidRDefault="000A593C" w:rsidP="000A593C">
            <w:pPr>
              <w:pStyle w:val="ListParagraph"/>
              <w:numPr>
                <w:ilvl w:val="0"/>
                <w:numId w:val="21"/>
              </w:num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 xml:space="preserve">Ms Nguon </w:t>
            </w:r>
            <w:proofErr w:type="spellStart"/>
            <w:r w:rsidRPr="00400CF2">
              <w:rPr>
                <w:rFonts w:ascii="Arial" w:eastAsia="Calibri" w:hAnsi="Arial" w:cs="Arial"/>
                <w:sz w:val="18"/>
                <w:szCs w:val="18"/>
              </w:rPr>
              <w:t>Reaksmeymutta</w:t>
            </w:r>
            <w:proofErr w:type="spellEnd"/>
            <w:r w:rsidRPr="00400CF2">
              <w:rPr>
                <w:rFonts w:ascii="Arial" w:eastAsia="Calibri" w:hAnsi="Arial" w:cs="Arial"/>
                <w:sz w:val="18"/>
                <w:szCs w:val="18"/>
              </w:rPr>
              <w:t>, P&amp;O</w:t>
            </w:r>
          </w:p>
        </w:tc>
        <w:tc>
          <w:tcPr>
            <w:tcW w:w="567" w:type="dxa"/>
            <w:shd w:val="clear" w:color="auto" w:fill="auto"/>
          </w:tcPr>
          <w:p w14:paraId="59C39425"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c>
          <w:tcPr>
            <w:tcW w:w="567" w:type="dxa"/>
            <w:shd w:val="clear" w:color="auto" w:fill="auto"/>
          </w:tcPr>
          <w:p w14:paraId="3F1730A0"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r>
      <w:tr w:rsidR="000A593C" w:rsidRPr="00400CF2" w14:paraId="1B34D226" w14:textId="77777777" w:rsidTr="00B3291F">
        <w:trPr>
          <w:cnfStyle w:val="000000100000" w:firstRow="0" w:lastRow="0" w:firstColumn="0" w:lastColumn="0" w:oddVBand="0" w:evenVBand="0" w:oddHBand="1" w:evenHBand="0" w:firstRowFirstColumn="0" w:firstRowLastColumn="0" w:lastRowFirstColumn="0" w:lastRowLastColumn="0"/>
          <w:cantSplit/>
          <w:trHeight w:val="155"/>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536FFDF4" w14:textId="77777777" w:rsidR="000A593C" w:rsidRPr="00400CF2" w:rsidRDefault="000A593C" w:rsidP="000A593C">
            <w:pPr>
              <w:spacing w:before="20" w:after="20" w:line="240" w:lineRule="auto"/>
              <w:rPr>
                <w:rFonts w:ascii="Arial" w:hAnsi="Arial" w:cs="Arial"/>
                <w:sz w:val="18"/>
                <w:szCs w:val="18"/>
              </w:rPr>
            </w:pPr>
            <w:r w:rsidRPr="00400CF2">
              <w:rPr>
                <w:rFonts w:ascii="Arial" w:eastAsia="Calibri" w:hAnsi="Arial" w:cs="Arial"/>
                <w:sz w:val="18"/>
                <w:szCs w:val="18"/>
              </w:rPr>
              <w:t>Civil society / IP</w:t>
            </w:r>
          </w:p>
        </w:tc>
        <w:tc>
          <w:tcPr>
            <w:tcW w:w="1691" w:type="dxa"/>
            <w:shd w:val="clear" w:color="auto" w:fill="auto"/>
          </w:tcPr>
          <w:p w14:paraId="20B083F2" w14:textId="014C850E" w:rsidR="000A593C" w:rsidRPr="000A593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0A593C">
              <w:rPr>
                <w:rFonts w:ascii="Arial" w:eastAsia="Calibri" w:hAnsi="Arial" w:cs="Arial"/>
                <w:sz w:val="18"/>
                <w:szCs w:val="18"/>
              </w:rPr>
              <w:t>Kampong</w:t>
            </w:r>
            <w:r>
              <w:rPr>
                <w:rFonts w:ascii="Arial" w:eastAsia="Calibri" w:hAnsi="Arial" w:cs="Arial"/>
                <w:sz w:val="18"/>
                <w:szCs w:val="18"/>
              </w:rPr>
              <w:t xml:space="preserve"> </w:t>
            </w:r>
            <w:r w:rsidRPr="000A593C">
              <w:rPr>
                <w:rFonts w:ascii="Arial" w:eastAsia="Calibri" w:hAnsi="Arial" w:cs="Arial"/>
                <w:sz w:val="18"/>
                <w:szCs w:val="18"/>
              </w:rPr>
              <w:t>Cham</w:t>
            </w:r>
          </w:p>
        </w:tc>
        <w:tc>
          <w:tcPr>
            <w:tcW w:w="5103" w:type="dxa"/>
            <w:shd w:val="clear" w:color="auto" w:fill="auto"/>
          </w:tcPr>
          <w:p w14:paraId="0A6E4C84" w14:textId="12D8C2A9" w:rsidR="000A593C" w:rsidRPr="00D84D1A" w:rsidRDefault="000A593C" w:rsidP="000A593C">
            <w:pPr>
              <w:pStyle w:val="ListParagraph"/>
              <w:numPr>
                <w:ilvl w:val="0"/>
                <w:numId w:val="21"/>
              </w:num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PRC clients</w:t>
            </w:r>
          </w:p>
        </w:tc>
        <w:tc>
          <w:tcPr>
            <w:tcW w:w="567" w:type="dxa"/>
            <w:shd w:val="clear" w:color="auto" w:fill="auto"/>
          </w:tcPr>
          <w:p w14:paraId="447A1362" w14:textId="77777777" w:rsidR="000A593C" w:rsidRPr="00400CF2"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c>
          <w:tcPr>
            <w:tcW w:w="567" w:type="dxa"/>
            <w:shd w:val="clear" w:color="auto" w:fill="auto"/>
          </w:tcPr>
          <w:p w14:paraId="1A466F9E" w14:textId="77777777" w:rsidR="000A593C" w:rsidRPr="00400CF2"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4</w:t>
            </w:r>
          </w:p>
        </w:tc>
      </w:tr>
      <w:tr w:rsidR="000A593C" w:rsidRPr="00400CF2" w14:paraId="563DE30F" w14:textId="77777777" w:rsidTr="00B3291F">
        <w:trPr>
          <w:cantSplit/>
          <w:trHeight w:val="306"/>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36414394" w14:textId="77777777" w:rsidR="000A593C" w:rsidRPr="00400CF2" w:rsidRDefault="000A593C" w:rsidP="000A593C">
            <w:pPr>
              <w:spacing w:before="20" w:after="20" w:line="240" w:lineRule="auto"/>
              <w:rPr>
                <w:rFonts w:ascii="Arial" w:hAnsi="Arial" w:cs="Arial"/>
                <w:sz w:val="18"/>
                <w:szCs w:val="18"/>
              </w:rPr>
            </w:pPr>
            <w:r w:rsidRPr="00400CF2">
              <w:rPr>
                <w:rFonts w:ascii="Arial" w:eastAsia="Calibri" w:hAnsi="Arial" w:cs="Arial"/>
                <w:sz w:val="18"/>
                <w:szCs w:val="18"/>
              </w:rPr>
              <w:t>Civil society / IP</w:t>
            </w:r>
          </w:p>
        </w:tc>
        <w:tc>
          <w:tcPr>
            <w:tcW w:w="1691" w:type="dxa"/>
            <w:shd w:val="clear" w:color="auto" w:fill="auto"/>
          </w:tcPr>
          <w:p w14:paraId="5769BBF6" w14:textId="2469755C" w:rsidR="000A593C" w:rsidRPr="000A593C"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0A593C">
              <w:rPr>
                <w:rFonts w:ascii="Arial" w:eastAsia="Calibri" w:hAnsi="Arial" w:cs="Arial"/>
                <w:sz w:val="18"/>
                <w:szCs w:val="18"/>
              </w:rPr>
              <w:t>Kampong Cham</w:t>
            </w:r>
          </w:p>
        </w:tc>
        <w:tc>
          <w:tcPr>
            <w:tcW w:w="5103" w:type="dxa"/>
            <w:shd w:val="clear" w:color="auto" w:fill="auto"/>
          </w:tcPr>
          <w:p w14:paraId="00CA50E6" w14:textId="1153D046" w:rsidR="000A593C" w:rsidRPr="00D84D1A" w:rsidRDefault="000A593C" w:rsidP="000A593C">
            <w:pPr>
              <w:pStyle w:val="ListParagraph"/>
              <w:numPr>
                <w:ilvl w:val="0"/>
                <w:numId w:val="21"/>
              </w:num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proofErr w:type="spellStart"/>
            <w:r w:rsidRPr="00400CF2">
              <w:rPr>
                <w:rFonts w:ascii="Arial" w:eastAsia="Calibri" w:hAnsi="Arial" w:cs="Arial"/>
                <w:sz w:val="18"/>
                <w:szCs w:val="18"/>
              </w:rPr>
              <w:t>Chamroe</w:t>
            </w:r>
            <w:r>
              <w:rPr>
                <w:rFonts w:ascii="Arial" w:eastAsia="Calibri" w:hAnsi="Arial" w:cs="Arial"/>
                <w:sz w:val="18"/>
                <w:szCs w:val="18"/>
              </w:rPr>
              <w:t>u</w:t>
            </w:r>
            <w:r w:rsidRPr="00400CF2">
              <w:rPr>
                <w:rFonts w:ascii="Arial" w:eastAsia="Calibri" w:hAnsi="Arial" w:cs="Arial"/>
                <w:sz w:val="18"/>
                <w:szCs w:val="18"/>
              </w:rPr>
              <w:t>n</w:t>
            </w:r>
            <w:proofErr w:type="spellEnd"/>
            <w:r w:rsidRPr="00400CF2">
              <w:rPr>
                <w:rFonts w:ascii="Arial" w:eastAsia="Calibri" w:hAnsi="Arial" w:cs="Arial"/>
                <w:sz w:val="18"/>
                <w:szCs w:val="18"/>
              </w:rPr>
              <w:t xml:space="preserve"> Branch Manager</w:t>
            </w:r>
          </w:p>
        </w:tc>
        <w:tc>
          <w:tcPr>
            <w:tcW w:w="567" w:type="dxa"/>
            <w:shd w:val="clear" w:color="auto" w:fill="auto"/>
          </w:tcPr>
          <w:p w14:paraId="6C8E29A5"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1</w:t>
            </w:r>
          </w:p>
        </w:tc>
        <w:tc>
          <w:tcPr>
            <w:tcW w:w="567" w:type="dxa"/>
            <w:shd w:val="clear" w:color="auto" w:fill="auto"/>
          </w:tcPr>
          <w:p w14:paraId="24E09196"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 xml:space="preserve"> </w:t>
            </w:r>
          </w:p>
        </w:tc>
      </w:tr>
      <w:tr w:rsidR="000A593C" w:rsidRPr="00400CF2" w14:paraId="295FFB26" w14:textId="77777777" w:rsidTr="00B3291F">
        <w:trPr>
          <w:cnfStyle w:val="000000100000" w:firstRow="0" w:lastRow="0" w:firstColumn="0" w:lastColumn="0" w:oddVBand="0" w:evenVBand="0" w:oddHBand="1" w:evenHBand="0" w:firstRowFirstColumn="0" w:firstRowLastColumn="0" w:lastRowFirstColumn="0" w:lastRowLastColumn="0"/>
          <w:cantSplit/>
          <w:trHeight w:val="311"/>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tcBorders>
            <w:shd w:val="clear" w:color="auto" w:fill="auto"/>
          </w:tcPr>
          <w:p w14:paraId="73CB3DC8" w14:textId="77777777" w:rsidR="000A593C" w:rsidRPr="00400CF2" w:rsidRDefault="000A593C" w:rsidP="000A593C">
            <w:pPr>
              <w:spacing w:before="20" w:after="20" w:line="240" w:lineRule="auto"/>
              <w:rPr>
                <w:rFonts w:ascii="Arial" w:hAnsi="Arial" w:cs="Arial"/>
                <w:sz w:val="18"/>
                <w:szCs w:val="18"/>
              </w:rPr>
            </w:pPr>
            <w:r w:rsidRPr="00400CF2">
              <w:rPr>
                <w:rFonts w:ascii="Arial" w:eastAsia="Calibri" w:hAnsi="Arial" w:cs="Arial"/>
                <w:sz w:val="18"/>
                <w:szCs w:val="18"/>
              </w:rPr>
              <w:t>Civil society / IP</w:t>
            </w:r>
          </w:p>
        </w:tc>
        <w:tc>
          <w:tcPr>
            <w:tcW w:w="1691" w:type="dxa"/>
            <w:shd w:val="clear" w:color="auto" w:fill="auto"/>
          </w:tcPr>
          <w:p w14:paraId="25D09DC1" w14:textId="34C0FC7F" w:rsidR="000A593C" w:rsidRPr="000A593C"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0A593C">
              <w:rPr>
                <w:rFonts w:ascii="Arial" w:eastAsia="Calibri" w:hAnsi="Arial" w:cs="Arial"/>
                <w:sz w:val="18"/>
                <w:szCs w:val="18"/>
              </w:rPr>
              <w:t>Kampong Cham</w:t>
            </w:r>
          </w:p>
        </w:tc>
        <w:tc>
          <w:tcPr>
            <w:tcW w:w="5103" w:type="dxa"/>
            <w:shd w:val="clear" w:color="auto" w:fill="auto"/>
          </w:tcPr>
          <w:p w14:paraId="570E1857" w14:textId="2F7E92C0" w:rsidR="000A593C" w:rsidRPr="00D84D1A" w:rsidRDefault="000A593C" w:rsidP="000A593C">
            <w:pPr>
              <w:pStyle w:val="ListParagraph"/>
              <w:numPr>
                <w:ilvl w:val="0"/>
                <w:numId w:val="21"/>
              </w:numPr>
              <w:spacing w:before="20" w:after="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Focus group meeting with OPD and WWDF beneficiaries</w:t>
            </w:r>
          </w:p>
        </w:tc>
        <w:tc>
          <w:tcPr>
            <w:tcW w:w="567" w:type="dxa"/>
            <w:shd w:val="clear" w:color="auto" w:fill="auto"/>
          </w:tcPr>
          <w:p w14:paraId="52C8B704" w14:textId="77777777" w:rsidR="000A593C" w:rsidRPr="00400CF2"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c>
          <w:tcPr>
            <w:tcW w:w="567" w:type="dxa"/>
            <w:shd w:val="clear" w:color="auto" w:fill="auto"/>
          </w:tcPr>
          <w:p w14:paraId="7922067E" w14:textId="77777777" w:rsidR="000A593C" w:rsidRPr="00400CF2" w:rsidRDefault="000A593C" w:rsidP="000A593C">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4</w:t>
            </w:r>
          </w:p>
        </w:tc>
      </w:tr>
      <w:tr w:rsidR="000A593C" w:rsidRPr="00400CF2" w14:paraId="3F5B6E60" w14:textId="77777777" w:rsidTr="00B3291F">
        <w:trPr>
          <w:cantSplit/>
          <w:trHeight w:val="480"/>
        </w:trPr>
        <w:tc>
          <w:tcPr>
            <w:cnfStyle w:val="001000000000" w:firstRow="0" w:lastRow="0" w:firstColumn="1" w:lastColumn="0" w:oddVBand="0" w:evenVBand="0" w:oddHBand="0" w:evenHBand="0" w:firstRowFirstColumn="0" w:firstRowLastColumn="0" w:lastRowFirstColumn="0" w:lastRowLastColumn="0"/>
            <w:tcW w:w="1701" w:type="dxa"/>
            <w:tcBorders>
              <w:left w:val="none" w:sz="0" w:space="0" w:color="auto"/>
              <w:bottom w:val="none" w:sz="0" w:space="0" w:color="auto"/>
            </w:tcBorders>
            <w:shd w:val="clear" w:color="auto" w:fill="auto"/>
          </w:tcPr>
          <w:p w14:paraId="4B1E8C6E" w14:textId="77777777" w:rsidR="000A593C" w:rsidRPr="00400CF2" w:rsidRDefault="000A593C" w:rsidP="000A593C">
            <w:pPr>
              <w:spacing w:before="20" w:after="20" w:line="240" w:lineRule="auto"/>
              <w:rPr>
                <w:rFonts w:ascii="Arial" w:hAnsi="Arial" w:cs="Arial"/>
                <w:sz w:val="18"/>
                <w:szCs w:val="18"/>
              </w:rPr>
            </w:pPr>
            <w:r w:rsidRPr="00400CF2">
              <w:rPr>
                <w:rFonts w:ascii="Arial" w:eastAsia="Calibri" w:hAnsi="Arial" w:cs="Arial"/>
                <w:sz w:val="18"/>
                <w:szCs w:val="18"/>
              </w:rPr>
              <w:t>Civil society / IP</w:t>
            </w:r>
          </w:p>
        </w:tc>
        <w:tc>
          <w:tcPr>
            <w:tcW w:w="1691" w:type="dxa"/>
            <w:shd w:val="clear" w:color="auto" w:fill="auto"/>
          </w:tcPr>
          <w:p w14:paraId="030597D4" w14:textId="7EF34E5F" w:rsidR="000A593C" w:rsidRPr="000A593C"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0A593C">
              <w:rPr>
                <w:rFonts w:ascii="Arial" w:eastAsia="Calibri" w:hAnsi="Arial" w:cs="Arial"/>
                <w:sz w:val="18"/>
                <w:szCs w:val="18"/>
              </w:rPr>
              <w:t>Kampong Cham</w:t>
            </w:r>
          </w:p>
        </w:tc>
        <w:tc>
          <w:tcPr>
            <w:tcW w:w="5103" w:type="dxa"/>
            <w:shd w:val="clear" w:color="auto" w:fill="auto"/>
          </w:tcPr>
          <w:p w14:paraId="6DFE2D01" w14:textId="6A1A0383" w:rsidR="000A593C" w:rsidRPr="00D84D1A" w:rsidRDefault="000A593C" w:rsidP="000A593C">
            <w:pPr>
              <w:pStyle w:val="ListParagraph"/>
              <w:numPr>
                <w:ilvl w:val="0"/>
                <w:numId w:val="21"/>
              </w:num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 xml:space="preserve">OPD staff - Mr Soi </w:t>
            </w:r>
            <w:proofErr w:type="spellStart"/>
            <w:r w:rsidRPr="00400CF2">
              <w:rPr>
                <w:rFonts w:ascii="Arial" w:eastAsia="Calibri" w:hAnsi="Arial" w:cs="Arial"/>
                <w:sz w:val="18"/>
                <w:szCs w:val="18"/>
              </w:rPr>
              <w:t>Sokorn</w:t>
            </w:r>
            <w:proofErr w:type="spellEnd"/>
          </w:p>
          <w:p w14:paraId="4B115F6C" w14:textId="77777777" w:rsidR="000A593C" w:rsidRPr="00D84D1A" w:rsidRDefault="000A593C" w:rsidP="000A593C">
            <w:pPr>
              <w:pStyle w:val="ListParagraph"/>
              <w:numPr>
                <w:ilvl w:val="0"/>
                <w:numId w:val="21"/>
              </w:numPr>
              <w:spacing w:before="20" w:after="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8"/>
                <w:szCs w:val="18"/>
              </w:rPr>
            </w:pPr>
            <w:r w:rsidRPr="00400CF2">
              <w:rPr>
                <w:rFonts w:ascii="Arial" w:eastAsia="Calibri" w:hAnsi="Arial" w:cs="Arial"/>
                <w:sz w:val="18"/>
                <w:szCs w:val="18"/>
              </w:rPr>
              <w:t>Women with Disabilities Federation staff</w:t>
            </w:r>
          </w:p>
        </w:tc>
        <w:tc>
          <w:tcPr>
            <w:tcW w:w="567" w:type="dxa"/>
            <w:shd w:val="clear" w:color="auto" w:fill="auto"/>
          </w:tcPr>
          <w:p w14:paraId="748686FA"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3</w:t>
            </w:r>
          </w:p>
        </w:tc>
        <w:tc>
          <w:tcPr>
            <w:tcW w:w="567" w:type="dxa"/>
            <w:shd w:val="clear" w:color="auto" w:fill="auto"/>
          </w:tcPr>
          <w:p w14:paraId="67F50F5E" w14:textId="77777777" w:rsidR="000A593C" w:rsidRPr="00400CF2" w:rsidRDefault="000A593C" w:rsidP="000A593C">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00CF2">
              <w:rPr>
                <w:rFonts w:ascii="Arial" w:eastAsia="Calibri" w:hAnsi="Arial" w:cs="Arial"/>
                <w:sz w:val="18"/>
                <w:szCs w:val="18"/>
              </w:rPr>
              <w:t>2</w:t>
            </w:r>
          </w:p>
        </w:tc>
      </w:tr>
    </w:tbl>
    <w:p w14:paraId="65984976" w14:textId="29840FD8" w:rsidR="00660D97" w:rsidRPr="00B3291F" w:rsidRDefault="00B3291F" w:rsidP="254C822A">
      <w:pPr>
        <w:rPr>
          <w:b/>
          <w:bCs/>
        </w:rPr>
      </w:pPr>
      <w:r w:rsidRPr="00B3291F">
        <w:rPr>
          <w:b/>
          <w:bCs/>
        </w:rPr>
        <w:t>Total number of stakeholders consulted: 80 male, 119 female.</w:t>
      </w:r>
    </w:p>
    <w:p w14:paraId="79CA10C0" w14:textId="77777777" w:rsidR="005E6159" w:rsidRDefault="005E6159">
      <w:pPr>
        <w:spacing w:after="0" w:line="240" w:lineRule="auto"/>
        <w:rPr>
          <w:bCs/>
          <w:iCs/>
          <w:caps/>
          <w:color w:val="1D336D" w:themeColor="background2"/>
          <w:sz w:val="32"/>
          <w:szCs w:val="28"/>
        </w:rPr>
      </w:pPr>
      <w:r>
        <w:br w:type="page"/>
      </w:r>
    </w:p>
    <w:p w14:paraId="0DF5DA40" w14:textId="5CEEDBC9" w:rsidR="005367CA" w:rsidRPr="007825FE" w:rsidRDefault="00FB5119" w:rsidP="00326D32">
      <w:pPr>
        <w:pStyle w:val="Heading1"/>
        <w:rPr>
          <w:b w:val="0"/>
          <w:bCs/>
        </w:rPr>
      </w:pPr>
      <w:bookmarkStart w:id="117" w:name="_Toc116327905"/>
      <w:bookmarkStart w:id="118" w:name="_Toc116328018"/>
      <w:bookmarkStart w:id="119" w:name="_Toc116328082"/>
      <w:bookmarkStart w:id="120" w:name="_Toc116371570"/>
      <w:bookmarkStart w:id="121" w:name="_Toc116371695"/>
      <w:bookmarkStart w:id="122" w:name="_Toc116371764"/>
      <w:bookmarkStart w:id="123" w:name="_Toc116378187"/>
      <w:bookmarkStart w:id="124" w:name="_Toc122460807"/>
      <w:r w:rsidRPr="007825FE">
        <w:rPr>
          <w:b w:val="0"/>
          <w:bCs/>
        </w:rPr>
        <w:lastRenderedPageBreak/>
        <w:t xml:space="preserve">Annex </w:t>
      </w:r>
      <w:r w:rsidR="00AD5F7E">
        <w:rPr>
          <w:b w:val="0"/>
          <w:bCs/>
        </w:rPr>
        <w:t>5</w:t>
      </w:r>
      <w:r w:rsidR="00AD5F7E" w:rsidRPr="007825FE">
        <w:rPr>
          <w:b w:val="0"/>
          <w:bCs/>
        </w:rPr>
        <w:t xml:space="preserve"> </w:t>
      </w:r>
      <w:r w:rsidR="00D84D1A" w:rsidRPr="007825FE">
        <w:rPr>
          <w:b w:val="0"/>
          <w:bCs/>
        </w:rPr>
        <w:t>ACCESS Geographic Coverage</w:t>
      </w:r>
      <w:bookmarkEnd w:id="117"/>
      <w:bookmarkEnd w:id="118"/>
      <w:bookmarkEnd w:id="119"/>
      <w:bookmarkEnd w:id="120"/>
      <w:bookmarkEnd w:id="121"/>
      <w:bookmarkEnd w:id="122"/>
      <w:bookmarkEnd w:id="123"/>
      <w:bookmarkEnd w:id="124"/>
    </w:p>
    <w:p w14:paraId="37277CD9" w14:textId="77777777" w:rsidR="005367CA" w:rsidRDefault="005367CA">
      <w:pPr>
        <w:spacing w:after="0" w:line="240" w:lineRule="auto"/>
      </w:pPr>
    </w:p>
    <w:p w14:paraId="73871CF1" w14:textId="73CB055A" w:rsidR="00121480" w:rsidRDefault="005367CA">
      <w:pPr>
        <w:spacing w:after="0" w:line="240" w:lineRule="auto"/>
        <w:rPr>
          <w:bCs/>
          <w:iCs/>
          <w:caps/>
          <w:color w:val="1D336D" w:themeColor="background2"/>
          <w:sz w:val="32"/>
          <w:szCs w:val="28"/>
        </w:rPr>
      </w:pPr>
      <w:r w:rsidRPr="005367CA">
        <w:rPr>
          <w:noProof/>
        </w:rPr>
        <w:drawing>
          <wp:inline distT="0" distB="0" distL="0" distR="0" wp14:anchorId="71CE9F37" wp14:editId="6704DF42">
            <wp:extent cx="6120130" cy="4333875"/>
            <wp:effectExtent l="0" t="0" r="1270" b="0"/>
            <wp:docPr id="16" name="Picture 16" descr="Map of Cambodia indicating the geographic coverage of ACCESS. The map highlights the provinces where disability IPs work, provinces where GBV IPs work, and provinces with both. Provinces are tagged with the names of the IPs active in that province, with those IPs with national level coverag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of Cambodia indicating the geographic coverage of ACCESS. The map highlights the provinces where disability IPs work, provinces where GBV IPs work, and provinces with both. Provinces are tagged with the names of the IPs active in that province, with those IPs with national level coverage highlighted."/>
                    <pic:cNvPicPr/>
                  </pic:nvPicPr>
                  <pic:blipFill>
                    <a:blip r:embed="rId34"/>
                    <a:stretch>
                      <a:fillRect/>
                    </a:stretch>
                  </pic:blipFill>
                  <pic:spPr>
                    <a:xfrm>
                      <a:off x="0" y="0"/>
                      <a:ext cx="6120130" cy="4333875"/>
                    </a:xfrm>
                    <a:prstGeom prst="rect">
                      <a:avLst/>
                    </a:prstGeom>
                  </pic:spPr>
                </pic:pic>
              </a:graphicData>
            </a:graphic>
          </wp:inline>
        </w:drawing>
      </w:r>
      <w:r w:rsidRPr="005367CA" w:rsidDel="00D84D1A">
        <w:rPr>
          <w:highlight w:val="yellow"/>
        </w:rPr>
        <w:t xml:space="preserve"> </w:t>
      </w:r>
      <w:r w:rsidR="00121480">
        <w:br w:type="page"/>
      </w:r>
    </w:p>
    <w:p w14:paraId="2C264E9E" w14:textId="254E6A64" w:rsidR="00FB5119" w:rsidRPr="007825FE" w:rsidRDefault="00936B07" w:rsidP="00326D32">
      <w:pPr>
        <w:pStyle w:val="Heading1"/>
        <w:rPr>
          <w:b w:val="0"/>
          <w:bCs/>
        </w:rPr>
      </w:pPr>
      <w:bookmarkStart w:id="125" w:name="_Toc116327906"/>
      <w:bookmarkStart w:id="126" w:name="_Toc116328019"/>
      <w:bookmarkStart w:id="127" w:name="_Toc116328083"/>
      <w:bookmarkStart w:id="128" w:name="_Toc116371571"/>
      <w:bookmarkStart w:id="129" w:name="_Toc116371696"/>
      <w:bookmarkStart w:id="130" w:name="_Toc116371765"/>
      <w:bookmarkStart w:id="131" w:name="_Toc116378188"/>
      <w:bookmarkStart w:id="132" w:name="_Toc122460808"/>
      <w:r w:rsidRPr="007825FE">
        <w:rPr>
          <w:b w:val="0"/>
          <w:bCs/>
        </w:rPr>
        <w:lastRenderedPageBreak/>
        <w:t xml:space="preserve">Annex </w:t>
      </w:r>
      <w:r w:rsidR="00AD5F7E">
        <w:rPr>
          <w:b w:val="0"/>
          <w:bCs/>
        </w:rPr>
        <w:t>6</w:t>
      </w:r>
      <w:r w:rsidR="00AD5F7E" w:rsidRPr="007825FE">
        <w:rPr>
          <w:b w:val="0"/>
          <w:bCs/>
        </w:rPr>
        <w:t xml:space="preserve"> </w:t>
      </w:r>
      <w:r w:rsidR="00121480" w:rsidRPr="007825FE">
        <w:rPr>
          <w:b w:val="0"/>
          <w:bCs/>
        </w:rPr>
        <w:t>ACCESS</w:t>
      </w:r>
      <w:r w:rsidR="00400CF2" w:rsidRPr="007825FE">
        <w:rPr>
          <w:b w:val="0"/>
          <w:bCs/>
        </w:rPr>
        <w:t xml:space="preserve"> Implementing Partners</w:t>
      </w:r>
      <w:bookmarkEnd w:id="125"/>
      <w:bookmarkEnd w:id="126"/>
      <w:bookmarkEnd w:id="127"/>
      <w:bookmarkEnd w:id="128"/>
      <w:bookmarkEnd w:id="129"/>
      <w:bookmarkEnd w:id="130"/>
      <w:bookmarkEnd w:id="131"/>
      <w:bookmarkEnd w:id="132"/>
    </w:p>
    <w:tbl>
      <w:tblPr>
        <w:tblStyle w:val="TableGrid"/>
        <w:tblW w:w="0" w:type="auto"/>
        <w:tblLook w:val="04A0" w:firstRow="1" w:lastRow="0" w:firstColumn="1" w:lastColumn="0" w:noHBand="0" w:noVBand="1"/>
      </w:tblPr>
      <w:tblGrid>
        <w:gridCol w:w="1399"/>
        <w:gridCol w:w="8229"/>
      </w:tblGrid>
      <w:tr w:rsidR="00936B07" w:rsidRPr="00400CF2" w14:paraId="5E7A2C2F" w14:textId="77777777" w:rsidTr="00476381">
        <w:trPr>
          <w:trHeight w:val="290"/>
        </w:trPr>
        <w:tc>
          <w:tcPr>
            <w:tcW w:w="1394" w:type="dxa"/>
            <w:shd w:val="clear" w:color="auto" w:fill="1D336D" w:themeFill="background2"/>
            <w:hideMark/>
          </w:tcPr>
          <w:p w14:paraId="2625C249" w14:textId="002C3B95" w:rsidR="00936B07" w:rsidRPr="00A85281" w:rsidRDefault="00400CF2" w:rsidP="00476381">
            <w:pPr>
              <w:rPr>
                <w:b/>
                <w:bCs/>
                <w:color w:val="E4EAF8"/>
                <w:sz w:val="18"/>
                <w:szCs w:val="18"/>
              </w:rPr>
            </w:pPr>
            <w:r w:rsidRPr="00A85281">
              <w:rPr>
                <w:b/>
                <w:bCs/>
                <w:color w:val="E4EAF8"/>
                <w:sz w:val="18"/>
                <w:szCs w:val="18"/>
              </w:rPr>
              <w:t>Organisation</w:t>
            </w:r>
          </w:p>
        </w:tc>
        <w:tc>
          <w:tcPr>
            <w:tcW w:w="8234" w:type="dxa"/>
            <w:shd w:val="clear" w:color="auto" w:fill="1D336D" w:themeFill="background2"/>
            <w:noWrap/>
            <w:hideMark/>
          </w:tcPr>
          <w:p w14:paraId="119B26D7" w14:textId="7400DA7F" w:rsidR="00936B07" w:rsidRPr="00A85281" w:rsidRDefault="5E849FCC">
            <w:pPr>
              <w:rPr>
                <w:b/>
                <w:bCs/>
                <w:color w:val="E4EAF8"/>
                <w:sz w:val="18"/>
                <w:szCs w:val="18"/>
              </w:rPr>
            </w:pPr>
            <w:r w:rsidRPr="00A85281">
              <w:rPr>
                <w:b/>
                <w:bCs/>
                <w:color w:val="E4EAF8"/>
                <w:sz w:val="18"/>
                <w:szCs w:val="18"/>
              </w:rPr>
              <w:t>Focus</w:t>
            </w:r>
            <w:r w:rsidR="00A0264B" w:rsidRPr="00A85281">
              <w:rPr>
                <w:b/>
                <w:bCs/>
                <w:color w:val="E4EAF8"/>
                <w:sz w:val="18"/>
                <w:szCs w:val="18"/>
              </w:rPr>
              <w:t xml:space="preserve"> of activities under ACCESS </w:t>
            </w:r>
            <w:r w:rsidR="00000078" w:rsidRPr="00A85281">
              <w:rPr>
                <w:b/>
                <w:bCs/>
                <w:color w:val="E4EAF8"/>
                <w:sz w:val="18"/>
                <w:szCs w:val="18"/>
              </w:rPr>
              <w:t xml:space="preserve">– Gender-based Violence </w:t>
            </w:r>
            <w:r w:rsidR="44F30FF2" w:rsidRPr="00A85281">
              <w:rPr>
                <w:b/>
                <w:bCs/>
                <w:color w:val="E4EAF8"/>
                <w:sz w:val="18"/>
                <w:szCs w:val="18"/>
              </w:rPr>
              <w:t>Workstream</w:t>
            </w:r>
          </w:p>
        </w:tc>
      </w:tr>
      <w:tr w:rsidR="00F14590" w:rsidRPr="00400CF2" w14:paraId="7163B85F" w14:textId="77777777" w:rsidTr="00476381">
        <w:trPr>
          <w:trHeight w:val="1713"/>
        </w:trPr>
        <w:tc>
          <w:tcPr>
            <w:tcW w:w="1394" w:type="dxa"/>
            <w:hideMark/>
          </w:tcPr>
          <w:p w14:paraId="64F6E543" w14:textId="77777777" w:rsidR="003054BD" w:rsidRPr="00476381" w:rsidRDefault="003054BD" w:rsidP="00476381">
            <w:pPr>
              <w:rPr>
                <w:b/>
                <w:bCs/>
                <w:sz w:val="18"/>
                <w:szCs w:val="18"/>
              </w:rPr>
            </w:pPr>
            <w:r w:rsidRPr="00476381">
              <w:rPr>
                <w:b/>
                <w:bCs/>
                <w:sz w:val="18"/>
                <w:szCs w:val="18"/>
              </w:rPr>
              <w:t>UN Women</w:t>
            </w:r>
          </w:p>
          <w:p w14:paraId="0FFE0183" w14:textId="31FA28AB" w:rsidR="00F14590" w:rsidRPr="00476381" w:rsidRDefault="003054BD" w:rsidP="00476381">
            <w:pPr>
              <w:rPr>
                <w:b/>
                <w:bCs/>
                <w:sz w:val="18"/>
                <w:szCs w:val="18"/>
              </w:rPr>
            </w:pPr>
            <w:r w:rsidRPr="00476381">
              <w:rPr>
                <w:b/>
                <w:bCs/>
                <w:noProof/>
                <w:sz w:val="18"/>
                <w:szCs w:val="18"/>
              </w:rPr>
              <w:drawing>
                <wp:inline distT="0" distB="0" distL="0" distR="0" wp14:anchorId="77138101" wp14:editId="73B52D54">
                  <wp:extent cx="720000" cy="360000"/>
                  <wp:effectExtent l="0" t="0" r="4445" b="2540"/>
                  <wp:docPr id="12" name="Picture 12" descr="UN Wom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UN Women logo"/>
                          <pic:cNvPicPr/>
                        </pic:nvPicPr>
                        <pic:blipFill>
                          <a:blip r:embed="rId35">
                            <a:extLst>
                              <a:ext uri="{28A0092B-C50C-407E-A947-70E740481C1C}">
                                <a14:useLocalDpi xmlns:a14="http://schemas.microsoft.com/office/drawing/2010/main" val="0"/>
                              </a:ext>
                            </a:extLst>
                          </a:blip>
                          <a:stretch>
                            <a:fillRect/>
                          </a:stretch>
                        </pic:blipFill>
                        <pic:spPr>
                          <a:xfrm>
                            <a:off x="0" y="0"/>
                            <a:ext cx="720000" cy="360000"/>
                          </a:xfrm>
                          <a:prstGeom prst="rect">
                            <a:avLst/>
                          </a:prstGeom>
                        </pic:spPr>
                      </pic:pic>
                    </a:graphicData>
                  </a:graphic>
                </wp:inline>
              </w:drawing>
            </w:r>
          </w:p>
        </w:tc>
        <w:tc>
          <w:tcPr>
            <w:tcW w:w="8234" w:type="dxa"/>
            <w:hideMark/>
          </w:tcPr>
          <w:p w14:paraId="1E8CAA6D" w14:textId="1C0EBBF0" w:rsidR="00F14590" w:rsidRPr="00F14590" w:rsidRDefault="00F14590" w:rsidP="4BE0582D">
            <w:pPr>
              <w:spacing w:after="60"/>
            </w:pPr>
            <w:r>
              <w:t>UN Women supports the Ministry of Women’s Affairs (</w:t>
            </w:r>
            <w:proofErr w:type="spellStart"/>
            <w:r>
              <w:t>M</w:t>
            </w:r>
            <w:r w:rsidR="00A2192B">
              <w:t>o</w:t>
            </w:r>
            <w:r>
              <w:t>WA</w:t>
            </w:r>
            <w:proofErr w:type="spellEnd"/>
            <w:r>
              <w:t xml:space="preserve">) to implement the third National Action Plan to Prevent Violence Against Women. This includes strengthening </w:t>
            </w:r>
            <w:proofErr w:type="spellStart"/>
            <w:r>
              <w:t>M</w:t>
            </w:r>
            <w:r w:rsidR="00A2192B">
              <w:t>o</w:t>
            </w:r>
            <w:r>
              <w:t>WA</w:t>
            </w:r>
            <w:proofErr w:type="spellEnd"/>
            <w:r>
              <w:t xml:space="preserve"> capacity to implement minimum service standards, effectively coordinate the GBV response coordination and NAPVAW implementation at national and </w:t>
            </w:r>
            <w:r w:rsidR="0087378E">
              <w:t>sub-national</w:t>
            </w:r>
            <w:r>
              <w:t xml:space="preserve"> levels through the Technical Working Group on Gender – Gender-Based Violence, and inform laws that better prevent, respond to, and prosecute all forms of GBV. </w:t>
            </w:r>
          </w:p>
        </w:tc>
      </w:tr>
      <w:tr w:rsidR="00F14590" w:rsidRPr="00400CF2" w14:paraId="595B8015" w14:textId="77777777" w:rsidTr="00476381">
        <w:trPr>
          <w:trHeight w:val="1710"/>
        </w:trPr>
        <w:tc>
          <w:tcPr>
            <w:tcW w:w="1394" w:type="dxa"/>
            <w:hideMark/>
          </w:tcPr>
          <w:p w14:paraId="16AFEEE2" w14:textId="77777777" w:rsidR="003054BD" w:rsidRPr="00476381" w:rsidRDefault="003054BD" w:rsidP="00476381">
            <w:pPr>
              <w:rPr>
                <w:b/>
                <w:bCs/>
                <w:sz w:val="18"/>
                <w:szCs w:val="18"/>
              </w:rPr>
            </w:pPr>
            <w:r w:rsidRPr="00476381">
              <w:rPr>
                <w:b/>
                <w:bCs/>
                <w:sz w:val="18"/>
                <w:szCs w:val="18"/>
              </w:rPr>
              <w:t>Care</w:t>
            </w:r>
          </w:p>
          <w:p w14:paraId="19A50941" w14:textId="28350FE8" w:rsidR="00F14590" w:rsidRPr="00476381" w:rsidRDefault="04D27C43" w:rsidP="00476381">
            <w:pPr>
              <w:rPr>
                <w:b/>
                <w:bCs/>
                <w:sz w:val="18"/>
                <w:szCs w:val="18"/>
              </w:rPr>
            </w:pPr>
            <w:r w:rsidRPr="00476381">
              <w:rPr>
                <w:b/>
                <w:bCs/>
                <w:noProof/>
                <w:sz w:val="18"/>
                <w:szCs w:val="18"/>
              </w:rPr>
              <w:drawing>
                <wp:inline distT="0" distB="0" distL="0" distR="0" wp14:anchorId="0153D33B" wp14:editId="70BE5573">
                  <wp:extent cx="635000" cy="669326"/>
                  <wp:effectExtent l="0" t="0" r="0" b="0"/>
                  <wp:docPr id="14" name="Picture 14" descr="Care Cambod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re Cambodia logo"/>
                          <pic:cNvPicPr/>
                        </pic:nvPicPr>
                        <pic:blipFill>
                          <a:blip r:embed="rId36">
                            <a:extLst>
                              <a:ext uri="{28A0092B-C50C-407E-A947-70E740481C1C}">
                                <a14:useLocalDpi xmlns:a14="http://schemas.microsoft.com/office/drawing/2010/main" val="0"/>
                              </a:ext>
                            </a:extLst>
                          </a:blip>
                          <a:stretch>
                            <a:fillRect/>
                          </a:stretch>
                        </pic:blipFill>
                        <pic:spPr>
                          <a:xfrm>
                            <a:off x="0" y="0"/>
                            <a:ext cx="635852" cy="670224"/>
                          </a:xfrm>
                          <a:prstGeom prst="rect">
                            <a:avLst/>
                          </a:prstGeom>
                        </pic:spPr>
                      </pic:pic>
                    </a:graphicData>
                  </a:graphic>
                </wp:inline>
              </w:drawing>
            </w:r>
          </w:p>
        </w:tc>
        <w:tc>
          <w:tcPr>
            <w:tcW w:w="8234" w:type="dxa"/>
            <w:hideMark/>
          </w:tcPr>
          <w:p w14:paraId="6B60B616" w14:textId="7CEF5256" w:rsidR="00F14590" w:rsidRPr="00F14590" w:rsidRDefault="00F14590" w:rsidP="4BE0582D">
            <w:pPr>
              <w:spacing w:after="60"/>
            </w:pPr>
            <w:r>
              <w:t>CARE supports women affected by GBV from minority groups, predominantly ethnic minorities, and women with disability to access quality health care, legal protection, and other coordinated social services. This includes through strengthening capacity of service providers and GBV working groups through training on topics including sexual harassment, national guidelines for managing violence against women in the health system, basic counselling, and referrals.</w:t>
            </w:r>
          </w:p>
        </w:tc>
      </w:tr>
      <w:tr w:rsidR="00F14590" w:rsidRPr="00400CF2" w14:paraId="3AB87F6F" w14:textId="77777777" w:rsidTr="00476381">
        <w:trPr>
          <w:trHeight w:val="1694"/>
        </w:trPr>
        <w:tc>
          <w:tcPr>
            <w:tcW w:w="1394" w:type="dxa"/>
            <w:hideMark/>
          </w:tcPr>
          <w:p w14:paraId="120A1582" w14:textId="77777777" w:rsidR="003054BD" w:rsidRPr="00476381" w:rsidRDefault="003054BD" w:rsidP="00476381">
            <w:pPr>
              <w:rPr>
                <w:b/>
                <w:bCs/>
                <w:sz w:val="18"/>
                <w:szCs w:val="18"/>
              </w:rPr>
            </w:pPr>
            <w:r w:rsidRPr="00476381">
              <w:rPr>
                <w:b/>
                <w:bCs/>
                <w:sz w:val="18"/>
                <w:szCs w:val="18"/>
              </w:rPr>
              <w:t>Legal Aid Cambodia</w:t>
            </w:r>
          </w:p>
          <w:p w14:paraId="264D81DE" w14:textId="109A7F15" w:rsidR="00F14590" w:rsidRPr="00476381" w:rsidRDefault="04D27C43" w:rsidP="00476381">
            <w:pPr>
              <w:rPr>
                <w:b/>
                <w:bCs/>
                <w:sz w:val="18"/>
                <w:szCs w:val="18"/>
              </w:rPr>
            </w:pPr>
            <w:r w:rsidRPr="00476381">
              <w:rPr>
                <w:b/>
                <w:bCs/>
                <w:noProof/>
                <w:sz w:val="18"/>
                <w:szCs w:val="18"/>
              </w:rPr>
              <w:drawing>
                <wp:inline distT="0" distB="0" distL="0" distR="0" wp14:anchorId="39FD3841" wp14:editId="1096E1C2">
                  <wp:extent cx="720000" cy="375553"/>
                  <wp:effectExtent l="0" t="0" r="4445" b="5715"/>
                  <wp:docPr id="10" name="Picture 10" descr="Legal Aid of Cambod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egal Aid of Cambodia logo"/>
                          <pic:cNvPicPr/>
                        </pic:nvPicPr>
                        <pic:blipFill>
                          <a:blip r:embed="rId37">
                            <a:extLst>
                              <a:ext uri="{28A0092B-C50C-407E-A947-70E740481C1C}">
                                <a14:useLocalDpi xmlns:a14="http://schemas.microsoft.com/office/drawing/2010/main" val="0"/>
                              </a:ext>
                            </a:extLst>
                          </a:blip>
                          <a:stretch>
                            <a:fillRect/>
                          </a:stretch>
                        </pic:blipFill>
                        <pic:spPr>
                          <a:xfrm>
                            <a:off x="0" y="0"/>
                            <a:ext cx="720000" cy="375553"/>
                          </a:xfrm>
                          <a:prstGeom prst="rect">
                            <a:avLst/>
                          </a:prstGeom>
                        </pic:spPr>
                      </pic:pic>
                    </a:graphicData>
                  </a:graphic>
                </wp:inline>
              </w:drawing>
            </w:r>
          </w:p>
        </w:tc>
        <w:tc>
          <w:tcPr>
            <w:tcW w:w="8234" w:type="dxa"/>
            <w:hideMark/>
          </w:tcPr>
          <w:p w14:paraId="067BEC22" w14:textId="0DE588DE" w:rsidR="00F14590" w:rsidRPr="00F14590" w:rsidRDefault="00F14590" w:rsidP="4BE0582D">
            <w:pPr>
              <w:spacing w:after="60"/>
            </w:pPr>
            <w:r>
              <w:t xml:space="preserve">Legal Aid of Cambodia is supporting capacity building of government service providers and strengthening stakeholder coordination to enhance access to survivor-centred legal protection and justice for survivors of GBV. LAC provides direct legal aid services to GBV survivors, and supports training and coaching to </w:t>
            </w:r>
            <w:proofErr w:type="spellStart"/>
            <w:r w:rsidR="00A2192B">
              <w:t>MoWA</w:t>
            </w:r>
            <w:proofErr w:type="spellEnd"/>
            <w:r>
              <w:t xml:space="preserve">, judicial police agents and officers, and district-level GBV working groups on service packages including basic counselling, mediation, and legal services. </w:t>
            </w:r>
          </w:p>
        </w:tc>
      </w:tr>
      <w:tr w:rsidR="00F14590" w:rsidRPr="00400CF2" w14:paraId="3E9747CA" w14:textId="77777777" w:rsidTr="00476381">
        <w:trPr>
          <w:trHeight w:val="1266"/>
        </w:trPr>
        <w:tc>
          <w:tcPr>
            <w:tcW w:w="1394" w:type="dxa"/>
            <w:hideMark/>
          </w:tcPr>
          <w:p w14:paraId="028FB423" w14:textId="77777777" w:rsidR="003054BD" w:rsidRPr="00476381" w:rsidRDefault="003054BD" w:rsidP="00476381">
            <w:pPr>
              <w:rPr>
                <w:b/>
                <w:bCs/>
                <w:sz w:val="18"/>
                <w:szCs w:val="18"/>
              </w:rPr>
            </w:pPr>
            <w:r w:rsidRPr="00476381">
              <w:rPr>
                <w:b/>
                <w:bCs/>
                <w:sz w:val="18"/>
                <w:szCs w:val="18"/>
              </w:rPr>
              <w:t>Transcultural Psychosocial Organisation</w:t>
            </w:r>
          </w:p>
          <w:p w14:paraId="52FD9379" w14:textId="5834F45F" w:rsidR="00F14590" w:rsidRPr="00476381" w:rsidRDefault="06127989" w:rsidP="00476381">
            <w:pPr>
              <w:rPr>
                <w:b/>
                <w:bCs/>
                <w:sz w:val="18"/>
                <w:szCs w:val="18"/>
              </w:rPr>
            </w:pPr>
            <w:r w:rsidRPr="00476381">
              <w:rPr>
                <w:b/>
                <w:bCs/>
                <w:noProof/>
                <w:sz w:val="18"/>
                <w:szCs w:val="18"/>
              </w:rPr>
              <w:drawing>
                <wp:inline distT="0" distB="0" distL="0" distR="0" wp14:anchorId="5679C7AD" wp14:editId="608D1B99">
                  <wp:extent cx="626110" cy="518810"/>
                  <wp:effectExtent l="0" t="0" r="2540" b="0"/>
                  <wp:docPr id="11" name="Picture 11" descr="TPO Cambod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PO Cambodia logo"/>
                          <pic:cNvPicPr/>
                        </pic:nvPicPr>
                        <pic:blipFill>
                          <a:blip r:embed="rId38">
                            <a:extLst>
                              <a:ext uri="{28A0092B-C50C-407E-A947-70E740481C1C}">
                                <a14:useLocalDpi xmlns:a14="http://schemas.microsoft.com/office/drawing/2010/main" val="0"/>
                              </a:ext>
                            </a:extLst>
                          </a:blip>
                          <a:srcRect l="8247" t="1" r="9345" b="-2429"/>
                          <a:stretch>
                            <a:fillRect/>
                          </a:stretch>
                        </pic:blipFill>
                        <pic:spPr>
                          <a:xfrm>
                            <a:off x="0" y="0"/>
                            <a:ext cx="630062" cy="522085"/>
                          </a:xfrm>
                          <a:prstGeom prst="rect">
                            <a:avLst/>
                          </a:prstGeom>
                        </pic:spPr>
                      </pic:pic>
                    </a:graphicData>
                  </a:graphic>
                </wp:inline>
              </w:drawing>
            </w:r>
          </w:p>
        </w:tc>
        <w:tc>
          <w:tcPr>
            <w:tcW w:w="8234" w:type="dxa"/>
            <w:hideMark/>
          </w:tcPr>
          <w:p w14:paraId="650F741A" w14:textId="12BF1341" w:rsidR="00F14590" w:rsidRPr="00F14590" w:rsidRDefault="00F14590" w:rsidP="4BE0582D">
            <w:pPr>
              <w:spacing w:after="60"/>
            </w:pPr>
            <w:r>
              <w:t xml:space="preserve">TPO supports improved psychological well-being of women affected by GBV by providing counselling to women affected by violence and developing local service providers’ knowledge and skills on mental health and psychosocial support for violence survivors. This includes through providing training on minimum standards for basic counselling, psychological </w:t>
            </w:r>
            <w:proofErr w:type="gramStart"/>
            <w:r>
              <w:t>first-aid</w:t>
            </w:r>
            <w:proofErr w:type="gramEnd"/>
            <w:r>
              <w:t>, and referral guidelines, and raising awareness of GBV services.</w:t>
            </w:r>
          </w:p>
        </w:tc>
      </w:tr>
      <w:tr w:rsidR="00F14590" w:rsidRPr="00400CF2" w14:paraId="7E4ED1D8" w14:textId="77777777" w:rsidTr="00476381">
        <w:trPr>
          <w:trHeight w:val="1798"/>
        </w:trPr>
        <w:tc>
          <w:tcPr>
            <w:tcW w:w="1394" w:type="dxa"/>
            <w:hideMark/>
          </w:tcPr>
          <w:p w14:paraId="4CA9E86C" w14:textId="22E07091" w:rsidR="00F14590" w:rsidRPr="00476381" w:rsidRDefault="00476381" w:rsidP="00476381">
            <w:pPr>
              <w:rPr>
                <w:b/>
                <w:bCs/>
                <w:sz w:val="18"/>
                <w:szCs w:val="18"/>
              </w:rPr>
            </w:pPr>
            <w:r w:rsidRPr="00476381">
              <w:rPr>
                <w:b/>
                <w:bCs/>
                <w:sz w:val="18"/>
                <w:szCs w:val="18"/>
              </w:rPr>
              <w:t>Cambodian Women’s Crisis Centre</w:t>
            </w:r>
            <w:r w:rsidR="04D27C43" w:rsidRPr="00476381">
              <w:rPr>
                <w:b/>
                <w:bCs/>
                <w:noProof/>
                <w:sz w:val="18"/>
                <w:szCs w:val="18"/>
              </w:rPr>
              <w:drawing>
                <wp:inline distT="0" distB="0" distL="0" distR="0" wp14:anchorId="5C6A19F9" wp14:editId="10777068">
                  <wp:extent cx="609600" cy="597624"/>
                  <wp:effectExtent l="0" t="0" r="0" b="0"/>
                  <wp:docPr id="26" name="Picture 26" descr="The Cambodian Women's Crisis Cen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e Cambodian Women's Crisis Center logo"/>
                          <pic:cNvPicPr/>
                        </pic:nvPicPr>
                        <pic:blipFill>
                          <a:blip r:embed="rId39">
                            <a:extLst>
                              <a:ext uri="{28A0092B-C50C-407E-A947-70E740481C1C}">
                                <a14:useLocalDpi xmlns:a14="http://schemas.microsoft.com/office/drawing/2010/main" val="0"/>
                              </a:ext>
                            </a:extLst>
                          </a:blip>
                          <a:stretch>
                            <a:fillRect/>
                          </a:stretch>
                        </pic:blipFill>
                        <pic:spPr>
                          <a:xfrm>
                            <a:off x="0" y="0"/>
                            <a:ext cx="614215" cy="602149"/>
                          </a:xfrm>
                          <a:prstGeom prst="rect">
                            <a:avLst/>
                          </a:prstGeom>
                        </pic:spPr>
                      </pic:pic>
                    </a:graphicData>
                  </a:graphic>
                </wp:inline>
              </w:drawing>
            </w:r>
          </w:p>
        </w:tc>
        <w:tc>
          <w:tcPr>
            <w:tcW w:w="8234" w:type="dxa"/>
            <w:hideMark/>
          </w:tcPr>
          <w:p w14:paraId="2D46617C" w14:textId="306D3209" w:rsidR="00F14590" w:rsidRPr="00F14590" w:rsidRDefault="00F14590" w:rsidP="4BE0582D">
            <w:pPr>
              <w:spacing w:after="60"/>
            </w:pPr>
            <w:r>
              <w:t xml:space="preserve">Cambodian Women’s Crisis </w:t>
            </w:r>
            <w:proofErr w:type="spellStart"/>
            <w:r>
              <w:t>Center</w:t>
            </w:r>
            <w:proofErr w:type="spellEnd"/>
            <w:r>
              <w:t xml:space="preserve"> supports women and </w:t>
            </w:r>
            <w:proofErr w:type="gramStart"/>
            <w:r>
              <w:t>girls</w:t>
            </w:r>
            <w:proofErr w:type="gramEnd"/>
            <w:r>
              <w:t xml:space="preserve"> survivors of GBV, including women and girls with disabilities, to access essential services. CWCC provides safe accommodation to GBV survivors, economic support to recover from violence, psychological and legal counselling to survivors and referrals to other services. CWCC also supports capacity development of GBV working group members through training on women’s rights, GBV, policies and guidelines/standards.</w:t>
            </w:r>
          </w:p>
        </w:tc>
      </w:tr>
      <w:tr w:rsidR="00F14590" w:rsidRPr="00400CF2" w14:paraId="1B8576EC" w14:textId="77777777" w:rsidTr="00476381">
        <w:trPr>
          <w:trHeight w:val="1546"/>
        </w:trPr>
        <w:tc>
          <w:tcPr>
            <w:tcW w:w="1394" w:type="dxa"/>
            <w:hideMark/>
          </w:tcPr>
          <w:p w14:paraId="50859655" w14:textId="77777777" w:rsidR="00476381" w:rsidRDefault="00476381" w:rsidP="00476381">
            <w:pPr>
              <w:rPr>
                <w:b/>
                <w:bCs/>
                <w:sz w:val="18"/>
                <w:szCs w:val="18"/>
              </w:rPr>
            </w:pPr>
            <w:r>
              <w:rPr>
                <w:b/>
                <w:bCs/>
                <w:sz w:val="18"/>
                <w:szCs w:val="18"/>
              </w:rPr>
              <w:t>The Asia Foundation</w:t>
            </w:r>
          </w:p>
          <w:p w14:paraId="30D54561" w14:textId="350D0BAC" w:rsidR="00F14590" w:rsidRPr="00476381" w:rsidRDefault="06127989" w:rsidP="00476381">
            <w:pPr>
              <w:rPr>
                <w:b/>
                <w:bCs/>
                <w:sz w:val="18"/>
                <w:szCs w:val="18"/>
              </w:rPr>
            </w:pPr>
            <w:r w:rsidRPr="00476381">
              <w:rPr>
                <w:b/>
                <w:bCs/>
                <w:noProof/>
                <w:sz w:val="18"/>
                <w:szCs w:val="18"/>
              </w:rPr>
              <w:drawing>
                <wp:inline distT="0" distB="0" distL="0" distR="0" wp14:anchorId="03EA8DA7" wp14:editId="41383E11">
                  <wp:extent cx="752296" cy="516467"/>
                  <wp:effectExtent l="0" t="0" r="0" b="0"/>
                  <wp:docPr id="28" name="Picture 28" descr="The Asia Found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he Asia Foundation logo"/>
                          <pic:cNvPicPr/>
                        </pic:nvPicPr>
                        <pic:blipFill>
                          <a:blip r:embed="rId40">
                            <a:extLst>
                              <a:ext uri="{28A0092B-C50C-407E-A947-70E740481C1C}">
                                <a14:useLocalDpi xmlns:a14="http://schemas.microsoft.com/office/drawing/2010/main" val="0"/>
                              </a:ext>
                            </a:extLst>
                          </a:blip>
                          <a:srcRect l="2519" t="13185" r="2959" b="21922"/>
                          <a:stretch>
                            <a:fillRect/>
                          </a:stretch>
                        </pic:blipFill>
                        <pic:spPr>
                          <a:xfrm>
                            <a:off x="0" y="0"/>
                            <a:ext cx="752296" cy="516467"/>
                          </a:xfrm>
                          <a:prstGeom prst="rect">
                            <a:avLst/>
                          </a:prstGeom>
                        </pic:spPr>
                      </pic:pic>
                    </a:graphicData>
                  </a:graphic>
                </wp:inline>
              </w:drawing>
            </w:r>
          </w:p>
        </w:tc>
        <w:tc>
          <w:tcPr>
            <w:tcW w:w="8234" w:type="dxa"/>
            <w:hideMark/>
          </w:tcPr>
          <w:p w14:paraId="00D36FBC" w14:textId="3AF3FCA2" w:rsidR="00F14590" w:rsidRPr="00F14590" w:rsidRDefault="00F14590" w:rsidP="4BE0582D">
            <w:pPr>
              <w:spacing w:after="60"/>
            </w:pPr>
            <w:r>
              <w:t xml:space="preserve">The Asia Foundation supports research on court and mediation practices to build evidence and recommendations for amendments to the Law on the Prevention of Domestic Violence and Protection of Victims. TAF supports improved digital case management systems at the provincial level, court case monitoring, training on GBV for members of the Bar Association and legal stakeholders, and supporting capacity of </w:t>
            </w:r>
            <w:proofErr w:type="spellStart"/>
            <w:r w:rsidR="00A2192B">
              <w:t>MoWA</w:t>
            </w:r>
            <w:proofErr w:type="spellEnd"/>
            <w:r>
              <w:t xml:space="preserve"> and </w:t>
            </w:r>
            <w:proofErr w:type="spellStart"/>
            <w:r>
              <w:t>PDoWA</w:t>
            </w:r>
            <w:proofErr w:type="spellEnd"/>
            <w:r>
              <w:t xml:space="preserve"> to improve access of women survivors of GBV to legal aid. </w:t>
            </w:r>
          </w:p>
        </w:tc>
      </w:tr>
      <w:tr w:rsidR="00F14590" w:rsidRPr="00400CF2" w14:paraId="63160443" w14:textId="77777777" w:rsidTr="00476381">
        <w:trPr>
          <w:trHeight w:val="558"/>
        </w:trPr>
        <w:tc>
          <w:tcPr>
            <w:tcW w:w="1394" w:type="dxa"/>
            <w:hideMark/>
          </w:tcPr>
          <w:p w14:paraId="084D1E5D" w14:textId="77777777" w:rsidR="00476381" w:rsidRDefault="00476381" w:rsidP="00476381">
            <w:pPr>
              <w:rPr>
                <w:b/>
                <w:bCs/>
                <w:sz w:val="18"/>
                <w:szCs w:val="18"/>
              </w:rPr>
            </w:pPr>
            <w:r>
              <w:rPr>
                <w:b/>
                <w:bCs/>
                <w:sz w:val="18"/>
                <w:szCs w:val="18"/>
              </w:rPr>
              <w:t>UNFPA</w:t>
            </w:r>
          </w:p>
          <w:p w14:paraId="6A2FFFB1" w14:textId="2BF244FB" w:rsidR="00F14590" w:rsidRPr="00476381" w:rsidRDefault="04D27C43" w:rsidP="00476381">
            <w:pPr>
              <w:rPr>
                <w:b/>
                <w:bCs/>
                <w:sz w:val="18"/>
                <w:szCs w:val="18"/>
              </w:rPr>
            </w:pPr>
            <w:r w:rsidRPr="00476381">
              <w:rPr>
                <w:b/>
                <w:bCs/>
                <w:noProof/>
                <w:sz w:val="18"/>
                <w:szCs w:val="18"/>
              </w:rPr>
              <w:drawing>
                <wp:inline distT="0" distB="0" distL="0" distR="0" wp14:anchorId="3DBB0D4D" wp14:editId="6F7A0A1A">
                  <wp:extent cx="720000" cy="327130"/>
                  <wp:effectExtent l="0" t="0" r="4445" b="0"/>
                  <wp:docPr id="13" name="Picture 13" descr="UNF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UNFPA logo"/>
                          <pic:cNvPicPr/>
                        </pic:nvPicPr>
                        <pic:blipFill>
                          <a:blip r:embed="rId41">
                            <a:extLst>
                              <a:ext uri="{28A0092B-C50C-407E-A947-70E740481C1C}">
                                <a14:useLocalDpi xmlns:a14="http://schemas.microsoft.com/office/drawing/2010/main" val="0"/>
                              </a:ext>
                            </a:extLst>
                          </a:blip>
                          <a:stretch>
                            <a:fillRect/>
                          </a:stretch>
                        </pic:blipFill>
                        <pic:spPr>
                          <a:xfrm>
                            <a:off x="0" y="0"/>
                            <a:ext cx="720000" cy="327130"/>
                          </a:xfrm>
                          <a:prstGeom prst="rect">
                            <a:avLst/>
                          </a:prstGeom>
                        </pic:spPr>
                      </pic:pic>
                    </a:graphicData>
                  </a:graphic>
                </wp:inline>
              </w:drawing>
            </w:r>
          </w:p>
        </w:tc>
        <w:tc>
          <w:tcPr>
            <w:tcW w:w="8234" w:type="dxa"/>
            <w:hideMark/>
          </w:tcPr>
          <w:p w14:paraId="4E711FD6" w14:textId="3EB340BD" w:rsidR="00F14590" w:rsidRPr="00F14590" w:rsidRDefault="00F14590" w:rsidP="4BE0582D">
            <w:pPr>
              <w:spacing w:after="60"/>
            </w:pPr>
            <w:r>
              <w:t xml:space="preserve">UNFPA supported improved access to quality GBV and sexual and reproductive health services for women affected by violence, through supporting implementation of national guidelines for the management of GBV in the health sector and capacity building of health service providers. This included adapting the WHO manual for healthcare managers, integrating GBV into midwife curriculum, and developing a GBV toolkit for new health sector civil servants’ induction. </w:t>
            </w:r>
          </w:p>
        </w:tc>
      </w:tr>
      <w:tr w:rsidR="00F14590" w:rsidRPr="00400CF2" w14:paraId="0A0015A0" w14:textId="77777777" w:rsidTr="52E2F618">
        <w:trPr>
          <w:trHeight w:val="290"/>
        </w:trPr>
        <w:tc>
          <w:tcPr>
            <w:tcW w:w="1394" w:type="dxa"/>
            <w:shd w:val="clear" w:color="auto" w:fill="1D336D" w:themeFill="background2"/>
            <w:hideMark/>
          </w:tcPr>
          <w:p w14:paraId="20FB7997" w14:textId="77777777" w:rsidR="00F14590" w:rsidRPr="00A85281" w:rsidRDefault="00F14590" w:rsidP="00476381">
            <w:pPr>
              <w:rPr>
                <w:b/>
                <w:bCs/>
                <w:color w:val="E4EAF8"/>
                <w:sz w:val="18"/>
                <w:szCs w:val="18"/>
              </w:rPr>
            </w:pPr>
            <w:r w:rsidRPr="00A85281">
              <w:rPr>
                <w:b/>
                <w:bCs/>
                <w:color w:val="E4EAF8"/>
                <w:sz w:val="18"/>
                <w:szCs w:val="18"/>
              </w:rPr>
              <w:lastRenderedPageBreak/>
              <w:t>Organisation</w:t>
            </w:r>
          </w:p>
        </w:tc>
        <w:tc>
          <w:tcPr>
            <w:tcW w:w="8234" w:type="dxa"/>
            <w:shd w:val="clear" w:color="auto" w:fill="1D336D" w:themeFill="background2"/>
            <w:noWrap/>
            <w:hideMark/>
          </w:tcPr>
          <w:p w14:paraId="6A744821" w14:textId="3C93AD26" w:rsidR="00F14590" w:rsidRPr="00A85281" w:rsidRDefault="00F14590">
            <w:pPr>
              <w:rPr>
                <w:b/>
                <w:bCs/>
                <w:color w:val="E4EAF8"/>
                <w:sz w:val="18"/>
                <w:szCs w:val="18"/>
              </w:rPr>
            </w:pPr>
            <w:r w:rsidRPr="00A85281">
              <w:rPr>
                <w:b/>
                <w:bCs/>
                <w:color w:val="E4EAF8"/>
                <w:sz w:val="18"/>
                <w:szCs w:val="18"/>
              </w:rPr>
              <w:t xml:space="preserve">Focus of activities under ACCESS – </w:t>
            </w:r>
            <w:r w:rsidR="00221B58" w:rsidRPr="00A85281">
              <w:rPr>
                <w:b/>
                <w:bCs/>
                <w:color w:val="E4EAF8"/>
                <w:sz w:val="18"/>
                <w:szCs w:val="18"/>
              </w:rPr>
              <w:t>Disability Inclusion</w:t>
            </w:r>
            <w:r w:rsidRPr="00A85281">
              <w:rPr>
                <w:b/>
                <w:bCs/>
                <w:color w:val="E4EAF8"/>
                <w:sz w:val="18"/>
                <w:szCs w:val="18"/>
              </w:rPr>
              <w:t xml:space="preserve"> Workstream</w:t>
            </w:r>
          </w:p>
        </w:tc>
      </w:tr>
      <w:tr w:rsidR="00221B58" w:rsidRPr="00400CF2" w14:paraId="35D7EA30" w14:textId="77777777" w:rsidTr="52E2F618">
        <w:trPr>
          <w:trHeight w:val="1713"/>
        </w:trPr>
        <w:tc>
          <w:tcPr>
            <w:tcW w:w="1394" w:type="dxa"/>
            <w:vAlign w:val="center"/>
            <w:hideMark/>
          </w:tcPr>
          <w:p w14:paraId="2B2DDE88" w14:textId="77777777" w:rsidR="00476381" w:rsidRDefault="00476381" w:rsidP="00476381">
            <w:pPr>
              <w:rPr>
                <w:b/>
                <w:bCs/>
                <w:sz w:val="18"/>
                <w:szCs w:val="18"/>
              </w:rPr>
            </w:pPr>
            <w:r>
              <w:rPr>
                <w:b/>
                <w:bCs/>
                <w:sz w:val="18"/>
                <w:szCs w:val="18"/>
              </w:rPr>
              <w:t>ADD</w:t>
            </w:r>
          </w:p>
          <w:p w14:paraId="404A435D" w14:textId="203BA4CC" w:rsidR="00221B58" w:rsidRPr="00400CF2" w:rsidRDefault="0394AC54" w:rsidP="00476381">
            <w:pPr>
              <w:rPr>
                <w:b/>
                <w:bCs/>
                <w:sz w:val="18"/>
                <w:szCs w:val="18"/>
              </w:rPr>
            </w:pPr>
            <w:r>
              <w:rPr>
                <w:noProof/>
              </w:rPr>
              <w:drawing>
                <wp:inline distT="0" distB="0" distL="0" distR="0" wp14:anchorId="218EE454" wp14:editId="786BD6C9">
                  <wp:extent cx="720000" cy="720000"/>
                  <wp:effectExtent l="0" t="0" r="4445" b="4445"/>
                  <wp:docPr id="19" name="Picture 19" descr="ADD Internation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DD International logo"/>
                          <pic:cNvPicPr/>
                        </pic:nvPicPr>
                        <pic:blipFill>
                          <a:blip r:embed="rId42">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c>
          <w:tcPr>
            <w:tcW w:w="8234" w:type="dxa"/>
            <w:hideMark/>
          </w:tcPr>
          <w:p w14:paraId="7C070F03" w14:textId="00D1953A" w:rsidR="00221B58" w:rsidRPr="00952F80" w:rsidRDefault="00221B58" w:rsidP="00221B58">
            <w:pPr>
              <w:spacing w:after="60"/>
              <w:rPr>
                <w:b/>
              </w:rPr>
            </w:pPr>
            <w:r>
              <w:t xml:space="preserve">ADD International works with government agencies, donors, Organisations of Persons with Disabilities, service providers, business networks, and people with disabilities to implement the National Disability Strategic Plan 2019-2023 and NAPVAW III. ADD supports women and girls with disabilities to speak directly about their experiences of violence and exclusion from services and facilitates Learning and Exchange Platforms between stakeholders to promote disability inclusive GBV services. </w:t>
            </w:r>
          </w:p>
        </w:tc>
      </w:tr>
      <w:tr w:rsidR="00221B58" w:rsidRPr="00400CF2" w14:paraId="7CE7077F" w14:textId="77777777" w:rsidTr="52E2F618">
        <w:trPr>
          <w:trHeight w:val="1389"/>
        </w:trPr>
        <w:tc>
          <w:tcPr>
            <w:tcW w:w="1394" w:type="dxa"/>
            <w:vAlign w:val="center"/>
            <w:hideMark/>
          </w:tcPr>
          <w:p w14:paraId="01F37582" w14:textId="77777777" w:rsidR="00476381" w:rsidRDefault="00476381" w:rsidP="00476381">
            <w:pPr>
              <w:rPr>
                <w:b/>
                <w:bCs/>
                <w:sz w:val="18"/>
                <w:szCs w:val="18"/>
              </w:rPr>
            </w:pPr>
            <w:r>
              <w:rPr>
                <w:b/>
                <w:bCs/>
                <w:sz w:val="18"/>
                <w:szCs w:val="18"/>
              </w:rPr>
              <w:t>Agile</w:t>
            </w:r>
          </w:p>
          <w:p w14:paraId="37401645" w14:textId="01BE70A1" w:rsidR="00221B58" w:rsidRPr="00400CF2" w:rsidRDefault="0394AC54" w:rsidP="00476381">
            <w:pPr>
              <w:rPr>
                <w:b/>
                <w:bCs/>
                <w:sz w:val="18"/>
                <w:szCs w:val="18"/>
              </w:rPr>
            </w:pPr>
            <w:r>
              <w:rPr>
                <w:noProof/>
              </w:rPr>
              <w:drawing>
                <wp:inline distT="0" distB="0" distL="0" distR="0" wp14:anchorId="09E9D944" wp14:editId="58C2EC2F">
                  <wp:extent cx="720000" cy="393019"/>
                  <wp:effectExtent l="0" t="0" r="4445" b="7620"/>
                  <wp:docPr id="41" name="Picture 41" descr="Agile Development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gile Development Group logo"/>
                          <pic:cNvPicPr/>
                        </pic:nvPicPr>
                        <pic:blipFill>
                          <a:blip r:embed="rId43">
                            <a:extLst>
                              <a:ext uri="{28A0092B-C50C-407E-A947-70E740481C1C}">
                                <a14:useLocalDpi xmlns:a14="http://schemas.microsoft.com/office/drawing/2010/main" val="0"/>
                              </a:ext>
                            </a:extLst>
                          </a:blip>
                          <a:stretch>
                            <a:fillRect/>
                          </a:stretch>
                        </pic:blipFill>
                        <pic:spPr>
                          <a:xfrm>
                            <a:off x="0" y="0"/>
                            <a:ext cx="720000" cy="393019"/>
                          </a:xfrm>
                          <a:prstGeom prst="rect">
                            <a:avLst/>
                          </a:prstGeom>
                        </pic:spPr>
                      </pic:pic>
                    </a:graphicData>
                  </a:graphic>
                </wp:inline>
              </w:drawing>
            </w:r>
          </w:p>
        </w:tc>
        <w:tc>
          <w:tcPr>
            <w:tcW w:w="8234" w:type="dxa"/>
            <w:hideMark/>
          </w:tcPr>
          <w:p w14:paraId="30A31EF2" w14:textId="7DD3B209" w:rsidR="00221B58" w:rsidRPr="00952F80" w:rsidRDefault="00221B58" w:rsidP="00221B58">
            <w:pPr>
              <w:spacing w:after="60"/>
            </w:pPr>
            <w:r>
              <w:t xml:space="preserve">Agile works to enhance entrepreneurship capacities of women with disabilities, through delivering business incubation training programs for women, creating and sustaining networks of women entrepreneurs with disabilities, undertaken research on access to financial services for women with disabilities, and documenting success stories and lessons to inform and influence policy. </w:t>
            </w:r>
          </w:p>
        </w:tc>
      </w:tr>
      <w:tr w:rsidR="00221B58" w:rsidRPr="00400CF2" w14:paraId="0A99C083" w14:textId="77777777" w:rsidTr="52E2F618">
        <w:trPr>
          <w:trHeight w:val="1694"/>
        </w:trPr>
        <w:tc>
          <w:tcPr>
            <w:tcW w:w="1394" w:type="dxa"/>
            <w:vAlign w:val="center"/>
            <w:hideMark/>
          </w:tcPr>
          <w:p w14:paraId="542C2357" w14:textId="77777777" w:rsidR="00476381" w:rsidRDefault="00476381" w:rsidP="00476381">
            <w:pPr>
              <w:rPr>
                <w:b/>
                <w:bCs/>
                <w:sz w:val="18"/>
                <w:szCs w:val="18"/>
              </w:rPr>
            </w:pPr>
            <w:r>
              <w:rPr>
                <w:b/>
                <w:bCs/>
                <w:sz w:val="18"/>
                <w:szCs w:val="18"/>
              </w:rPr>
              <w:t>HI</w:t>
            </w:r>
          </w:p>
          <w:p w14:paraId="46178E52" w14:textId="11325D26" w:rsidR="00221B58" w:rsidRPr="00400CF2" w:rsidRDefault="0394AC54" w:rsidP="00476381">
            <w:pPr>
              <w:rPr>
                <w:b/>
                <w:bCs/>
                <w:sz w:val="18"/>
                <w:szCs w:val="18"/>
              </w:rPr>
            </w:pPr>
            <w:r>
              <w:rPr>
                <w:noProof/>
              </w:rPr>
              <w:drawing>
                <wp:inline distT="0" distB="0" distL="0" distR="0" wp14:anchorId="3B7FA9F2" wp14:editId="37B05C27">
                  <wp:extent cx="720000" cy="405047"/>
                  <wp:effectExtent l="0" t="0" r="4445" b="0"/>
                  <wp:docPr id="42" name="Picture 42" descr="Humanity &amp; Inclu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Humanity &amp; Inclusion logo"/>
                          <pic:cNvPicPr/>
                        </pic:nvPicPr>
                        <pic:blipFill>
                          <a:blip r:embed="rId44">
                            <a:extLst>
                              <a:ext uri="{28A0092B-C50C-407E-A947-70E740481C1C}">
                                <a14:useLocalDpi xmlns:a14="http://schemas.microsoft.com/office/drawing/2010/main" val="0"/>
                              </a:ext>
                            </a:extLst>
                          </a:blip>
                          <a:stretch>
                            <a:fillRect/>
                          </a:stretch>
                        </pic:blipFill>
                        <pic:spPr>
                          <a:xfrm>
                            <a:off x="0" y="0"/>
                            <a:ext cx="720000" cy="405047"/>
                          </a:xfrm>
                          <a:prstGeom prst="rect">
                            <a:avLst/>
                          </a:prstGeom>
                        </pic:spPr>
                      </pic:pic>
                    </a:graphicData>
                  </a:graphic>
                </wp:inline>
              </w:drawing>
            </w:r>
          </w:p>
        </w:tc>
        <w:tc>
          <w:tcPr>
            <w:tcW w:w="8234" w:type="dxa"/>
            <w:hideMark/>
          </w:tcPr>
          <w:p w14:paraId="10BBAAF2" w14:textId="69580D14" w:rsidR="00221B58" w:rsidRPr="00952F80" w:rsidRDefault="00221B58" w:rsidP="00221B58">
            <w:pPr>
              <w:spacing w:after="60"/>
              <w:rPr>
                <w:b/>
              </w:rPr>
            </w:pPr>
            <w:r>
              <w:t>Humanity &amp; Inclusion works in partnership with the Royal Government of Cambodia, OPDs, PRCs, and health facilities to improve quality and inclusive services for all, including women and men with disabilities. H&amp;I supports implementation of technical standards on physical accessibility-infrastructure, accessible transport, and professional standards in 6 PRCS, and supporting training and coaching of PRC managers and PWDF staff including on GBV.</w:t>
            </w:r>
          </w:p>
        </w:tc>
      </w:tr>
      <w:tr w:rsidR="00221B58" w:rsidRPr="00400CF2" w14:paraId="5AC1BDD1" w14:textId="77777777" w:rsidTr="52E2F618">
        <w:trPr>
          <w:trHeight w:val="1266"/>
        </w:trPr>
        <w:tc>
          <w:tcPr>
            <w:tcW w:w="1394" w:type="dxa"/>
            <w:vAlign w:val="center"/>
            <w:hideMark/>
          </w:tcPr>
          <w:p w14:paraId="1A839ABC" w14:textId="77777777" w:rsidR="00476381" w:rsidRDefault="00476381" w:rsidP="00476381">
            <w:pPr>
              <w:rPr>
                <w:b/>
                <w:bCs/>
                <w:sz w:val="18"/>
                <w:szCs w:val="18"/>
              </w:rPr>
            </w:pPr>
            <w:r>
              <w:rPr>
                <w:b/>
                <w:bCs/>
                <w:sz w:val="18"/>
                <w:szCs w:val="18"/>
              </w:rPr>
              <w:t>PAFID</w:t>
            </w:r>
          </w:p>
          <w:p w14:paraId="477B16B7" w14:textId="2EF57B30" w:rsidR="00221B58" w:rsidRPr="00400CF2" w:rsidRDefault="4D12C175" w:rsidP="00476381">
            <w:pPr>
              <w:rPr>
                <w:b/>
                <w:bCs/>
                <w:sz w:val="18"/>
                <w:szCs w:val="18"/>
              </w:rPr>
            </w:pPr>
            <w:r>
              <w:rPr>
                <w:noProof/>
              </w:rPr>
              <w:drawing>
                <wp:inline distT="0" distB="0" distL="0" distR="0" wp14:anchorId="6FCCB06E" wp14:editId="192DEC7D">
                  <wp:extent cx="720000" cy="313189"/>
                  <wp:effectExtent l="0" t="0" r="4445" b="0"/>
                  <wp:docPr id="43" name="Picture 43" descr="PAFI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AFID logo"/>
                          <pic:cNvPicPr/>
                        </pic:nvPicPr>
                        <pic:blipFill>
                          <a:blip r:embed="rId45">
                            <a:extLst>
                              <a:ext uri="{28A0092B-C50C-407E-A947-70E740481C1C}">
                                <a14:useLocalDpi xmlns:a14="http://schemas.microsoft.com/office/drawing/2010/main" val="0"/>
                              </a:ext>
                            </a:extLst>
                          </a:blip>
                          <a:srcRect/>
                          <a:stretch>
                            <a:fillRect/>
                          </a:stretch>
                        </pic:blipFill>
                        <pic:spPr>
                          <a:xfrm>
                            <a:off x="0" y="0"/>
                            <a:ext cx="720000" cy="313189"/>
                          </a:xfrm>
                          <a:prstGeom prst="rect">
                            <a:avLst/>
                          </a:prstGeom>
                        </pic:spPr>
                      </pic:pic>
                    </a:graphicData>
                  </a:graphic>
                </wp:inline>
              </w:drawing>
            </w:r>
          </w:p>
        </w:tc>
        <w:tc>
          <w:tcPr>
            <w:tcW w:w="8234" w:type="dxa"/>
            <w:hideMark/>
          </w:tcPr>
          <w:p w14:paraId="58233C00" w14:textId="024B0882" w:rsidR="00221B58" w:rsidRPr="00952F80" w:rsidRDefault="00221B58" w:rsidP="00221B58">
            <w:pPr>
              <w:spacing w:after="60"/>
              <w:rPr>
                <w:b/>
              </w:rPr>
            </w:pPr>
            <w:r>
              <w:t xml:space="preserve">People’s Action for Inclusive Development (formerly Light for the World) supports increased sectoral knowledge on disability inclusion and access for people with disabilities to employment and vocational training. This includes supporting a national curriculum and guidance on inclusive vocational training and employment, job coaching, inclusive employment networks and forums, and establishing employment service desks in PRCs in collaboration with OPDs. </w:t>
            </w:r>
          </w:p>
        </w:tc>
      </w:tr>
      <w:tr w:rsidR="00221B58" w:rsidRPr="00400CF2" w14:paraId="491EB1AF" w14:textId="77777777" w:rsidTr="52E2F618">
        <w:trPr>
          <w:trHeight w:val="1686"/>
        </w:trPr>
        <w:tc>
          <w:tcPr>
            <w:tcW w:w="1394" w:type="dxa"/>
            <w:vAlign w:val="center"/>
            <w:hideMark/>
          </w:tcPr>
          <w:p w14:paraId="452FA0F1" w14:textId="77777777" w:rsidR="00476381" w:rsidRDefault="00476381" w:rsidP="00476381">
            <w:pPr>
              <w:rPr>
                <w:b/>
                <w:bCs/>
                <w:sz w:val="18"/>
                <w:szCs w:val="18"/>
              </w:rPr>
            </w:pPr>
            <w:r>
              <w:rPr>
                <w:b/>
                <w:bCs/>
                <w:sz w:val="18"/>
                <w:szCs w:val="18"/>
              </w:rPr>
              <w:t>CDPO</w:t>
            </w:r>
          </w:p>
          <w:p w14:paraId="559BD164" w14:textId="19895932" w:rsidR="00221B58" w:rsidRPr="00400CF2" w:rsidRDefault="4D12C175" w:rsidP="00476381">
            <w:pPr>
              <w:rPr>
                <w:b/>
                <w:bCs/>
                <w:sz w:val="18"/>
                <w:szCs w:val="18"/>
              </w:rPr>
            </w:pPr>
            <w:r>
              <w:rPr>
                <w:noProof/>
              </w:rPr>
              <w:drawing>
                <wp:inline distT="0" distB="0" distL="0" distR="0" wp14:anchorId="1CDA0DFD" wp14:editId="72021B3C">
                  <wp:extent cx="720000" cy="892562"/>
                  <wp:effectExtent l="0" t="0" r="4445" b="3175"/>
                  <wp:docPr id="44" name="Picture 44" descr="CDP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DPO logo"/>
                          <pic:cNvPicPr/>
                        </pic:nvPicPr>
                        <pic:blipFill>
                          <a:blip r:embed="rId46">
                            <a:extLst>
                              <a:ext uri="{28A0092B-C50C-407E-A947-70E740481C1C}">
                                <a14:useLocalDpi xmlns:a14="http://schemas.microsoft.com/office/drawing/2010/main" val="0"/>
                              </a:ext>
                            </a:extLst>
                          </a:blip>
                          <a:srcRect l="22667" r="23556"/>
                          <a:stretch>
                            <a:fillRect/>
                          </a:stretch>
                        </pic:blipFill>
                        <pic:spPr>
                          <a:xfrm>
                            <a:off x="0" y="0"/>
                            <a:ext cx="720000" cy="892562"/>
                          </a:xfrm>
                          <a:prstGeom prst="rect">
                            <a:avLst/>
                          </a:prstGeom>
                        </pic:spPr>
                      </pic:pic>
                    </a:graphicData>
                  </a:graphic>
                </wp:inline>
              </w:drawing>
            </w:r>
          </w:p>
        </w:tc>
        <w:tc>
          <w:tcPr>
            <w:tcW w:w="8234" w:type="dxa"/>
            <w:hideMark/>
          </w:tcPr>
          <w:p w14:paraId="55BCDAB2" w14:textId="3EB8ECB0" w:rsidR="00221B58" w:rsidRPr="00952F80" w:rsidRDefault="00221B58" w:rsidP="00221B58">
            <w:pPr>
              <w:spacing w:after="60"/>
              <w:rPr>
                <w:b/>
              </w:rPr>
            </w:pPr>
            <w:r>
              <w:t xml:space="preserve">Cambodian Disabled People’s Organisations (CDPO) supports access to inclusive employment opportunities for women and men with disabilities and promoting disability-inclusive, gender-responsive Commune Investment Plans. CDPO supports training on disability inclusion and GBV with partners, builds capacity of OPDs and Women with Disabilities Forums to identify jobseekers with disabilities and support linkages with employment opportunities, and to access ID-Poor, disability identification cards, and other social protection interventions. </w:t>
            </w:r>
          </w:p>
        </w:tc>
      </w:tr>
      <w:tr w:rsidR="00221B58" w:rsidRPr="00400CF2" w14:paraId="361E1BAB" w14:textId="77777777" w:rsidTr="52E2F618">
        <w:trPr>
          <w:trHeight w:val="1546"/>
        </w:trPr>
        <w:tc>
          <w:tcPr>
            <w:tcW w:w="1394" w:type="dxa"/>
            <w:vAlign w:val="center"/>
            <w:hideMark/>
          </w:tcPr>
          <w:p w14:paraId="3F0477F4" w14:textId="77777777" w:rsidR="00476381" w:rsidRDefault="00476381" w:rsidP="00476381">
            <w:pPr>
              <w:rPr>
                <w:b/>
                <w:bCs/>
                <w:sz w:val="18"/>
                <w:szCs w:val="18"/>
              </w:rPr>
            </w:pPr>
            <w:r>
              <w:rPr>
                <w:b/>
                <w:bCs/>
                <w:sz w:val="18"/>
                <w:szCs w:val="18"/>
              </w:rPr>
              <w:t>UNDP</w:t>
            </w:r>
          </w:p>
          <w:p w14:paraId="39936A4E" w14:textId="59CD961B" w:rsidR="00221B58" w:rsidRPr="00400CF2" w:rsidRDefault="0394AC54" w:rsidP="00476381">
            <w:pPr>
              <w:rPr>
                <w:b/>
                <w:bCs/>
                <w:sz w:val="18"/>
                <w:szCs w:val="18"/>
              </w:rPr>
            </w:pPr>
            <w:r>
              <w:rPr>
                <w:noProof/>
              </w:rPr>
              <w:drawing>
                <wp:inline distT="0" distB="0" distL="0" distR="0" wp14:anchorId="558C9725" wp14:editId="05EC5A77">
                  <wp:extent cx="406400" cy="812629"/>
                  <wp:effectExtent l="0" t="0" r="0" b="6985"/>
                  <wp:docPr id="24" name="Picture 24" descr="UND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UNDP logo"/>
                          <pic:cNvPicPr/>
                        </pic:nvPicPr>
                        <pic:blipFill>
                          <a:blip r:embed="rId47">
                            <a:extLst>
                              <a:ext uri="{28A0092B-C50C-407E-A947-70E740481C1C}">
                                <a14:useLocalDpi xmlns:a14="http://schemas.microsoft.com/office/drawing/2010/main" val="0"/>
                              </a:ext>
                            </a:extLst>
                          </a:blip>
                          <a:stretch>
                            <a:fillRect/>
                          </a:stretch>
                        </pic:blipFill>
                        <pic:spPr>
                          <a:xfrm>
                            <a:off x="0" y="0"/>
                            <a:ext cx="406400" cy="812629"/>
                          </a:xfrm>
                          <a:prstGeom prst="rect">
                            <a:avLst/>
                          </a:prstGeom>
                        </pic:spPr>
                      </pic:pic>
                    </a:graphicData>
                  </a:graphic>
                </wp:inline>
              </w:drawing>
            </w:r>
          </w:p>
        </w:tc>
        <w:tc>
          <w:tcPr>
            <w:tcW w:w="8234" w:type="dxa"/>
            <w:hideMark/>
          </w:tcPr>
          <w:p w14:paraId="6762031B" w14:textId="14F4E443" w:rsidR="00221B58" w:rsidRPr="00952F80" w:rsidRDefault="00221B58" w:rsidP="00221B58">
            <w:pPr>
              <w:spacing w:after="60"/>
              <w:rPr>
                <w:b/>
              </w:rPr>
            </w:pPr>
            <w:r>
              <w:t xml:space="preserve">UNDP is supporting DAC to effectively develop, coordinate, and monitor the implementation of the NDSP 2019-2023 and relevant national level frameworks such as the new disability law, accessible digital monitoring platforms and Disability Inclusive Social Protection guidelines. This includes supporting training on disability inclusion and coordination and resources mobilisation for NDSP implementation at national and </w:t>
            </w:r>
            <w:r w:rsidR="0087378E">
              <w:t>sub-national</w:t>
            </w:r>
            <w:r>
              <w:t xml:space="preserve"> levels.</w:t>
            </w:r>
          </w:p>
        </w:tc>
      </w:tr>
      <w:tr w:rsidR="00221B58" w:rsidRPr="00400CF2" w14:paraId="2C608ECA" w14:textId="77777777" w:rsidTr="52E2F618">
        <w:trPr>
          <w:trHeight w:val="1457"/>
        </w:trPr>
        <w:tc>
          <w:tcPr>
            <w:tcW w:w="1394" w:type="dxa"/>
            <w:vAlign w:val="center"/>
            <w:hideMark/>
          </w:tcPr>
          <w:p w14:paraId="4D089755" w14:textId="2E0E871D" w:rsidR="00221B58" w:rsidRDefault="00476381" w:rsidP="00476381">
            <w:pPr>
              <w:spacing w:after="0"/>
            </w:pPr>
            <w:proofErr w:type="spellStart"/>
            <w:r w:rsidRPr="00476381">
              <w:rPr>
                <w:b/>
                <w:bCs/>
              </w:rPr>
              <w:t>Chamroeun</w:t>
            </w:r>
            <w:proofErr w:type="spellEnd"/>
            <w:r w:rsidRPr="00476381">
              <w:rPr>
                <w:b/>
                <w:bCs/>
              </w:rPr>
              <w:t xml:space="preserve"> &amp; Good Return</w:t>
            </w:r>
            <w:r w:rsidR="0394AC54">
              <w:rPr>
                <w:noProof/>
              </w:rPr>
              <w:drawing>
                <wp:inline distT="0" distB="0" distL="0" distR="0" wp14:anchorId="0FFDD746" wp14:editId="3BBB16C7">
                  <wp:extent cx="550333" cy="550333"/>
                  <wp:effectExtent l="0" t="0" r="2540" b="2540"/>
                  <wp:docPr id="25" name="Picture 25" descr="Chamroeu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mroeun logo"/>
                          <pic:cNvPicPr/>
                        </pic:nvPicPr>
                        <pic:blipFill>
                          <a:blip r:embed="rId48">
                            <a:extLst>
                              <a:ext uri="{28A0092B-C50C-407E-A947-70E740481C1C}">
                                <a14:useLocalDpi xmlns:a14="http://schemas.microsoft.com/office/drawing/2010/main" val="0"/>
                              </a:ext>
                            </a:extLst>
                          </a:blip>
                          <a:stretch>
                            <a:fillRect/>
                          </a:stretch>
                        </pic:blipFill>
                        <pic:spPr>
                          <a:xfrm>
                            <a:off x="0" y="0"/>
                            <a:ext cx="555615" cy="555615"/>
                          </a:xfrm>
                          <a:prstGeom prst="rect">
                            <a:avLst/>
                          </a:prstGeom>
                        </pic:spPr>
                      </pic:pic>
                    </a:graphicData>
                  </a:graphic>
                </wp:inline>
              </w:drawing>
            </w:r>
          </w:p>
          <w:p w14:paraId="3C184870" w14:textId="5DA26D85" w:rsidR="00221B58" w:rsidRPr="00400CF2" w:rsidRDefault="0394AC54" w:rsidP="00476381">
            <w:pPr>
              <w:rPr>
                <w:b/>
                <w:bCs/>
                <w:sz w:val="18"/>
                <w:szCs w:val="18"/>
              </w:rPr>
            </w:pPr>
            <w:r>
              <w:rPr>
                <w:noProof/>
              </w:rPr>
              <w:drawing>
                <wp:inline distT="0" distB="0" distL="0" distR="0" wp14:anchorId="693D5133" wp14:editId="6E55E43E">
                  <wp:extent cx="643466" cy="353779"/>
                  <wp:effectExtent l="0" t="0" r="4445" b="8255"/>
                  <wp:docPr id="5" name="Picture 5" descr="Good Retur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ood Return logo"/>
                          <pic:cNvPicPr/>
                        </pic:nvPicPr>
                        <pic:blipFill>
                          <a:blip r:embed="rId49">
                            <a:extLst>
                              <a:ext uri="{28A0092B-C50C-407E-A947-70E740481C1C}">
                                <a14:useLocalDpi xmlns:a14="http://schemas.microsoft.com/office/drawing/2010/main" val="0"/>
                              </a:ext>
                            </a:extLst>
                          </a:blip>
                          <a:stretch>
                            <a:fillRect/>
                          </a:stretch>
                        </pic:blipFill>
                        <pic:spPr>
                          <a:xfrm>
                            <a:off x="0" y="0"/>
                            <a:ext cx="646767" cy="355594"/>
                          </a:xfrm>
                          <a:prstGeom prst="rect">
                            <a:avLst/>
                          </a:prstGeom>
                        </pic:spPr>
                      </pic:pic>
                    </a:graphicData>
                  </a:graphic>
                </wp:inline>
              </w:drawing>
            </w:r>
          </w:p>
        </w:tc>
        <w:tc>
          <w:tcPr>
            <w:tcW w:w="8234" w:type="dxa"/>
            <w:hideMark/>
          </w:tcPr>
          <w:p w14:paraId="0A9FB7F3" w14:textId="31418E63" w:rsidR="00221B58" w:rsidRPr="00952F80" w:rsidRDefault="00221B58" w:rsidP="00221B58">
            <w:pPr>
              <w:spacing w:after="60"/>
              <w:rPr>
                <w:b/>
              </w:rPr>
            </w:pPr>
            <w:proofErr w:type="spellStart"/>
            <w:r>
              <w:t>Chamroeun</w:t>
            </w:r>
            <w:proofErr w:type="spellEnd"/>
            <w:r>
              <w:t xml:space="preserve"> Microfinance in partnership with Good Return support increased inclusion and accessibility of financing products for people with disabilities. This includes providing financial literacy training for people with disabilities, creating a pipeline of accessible finance and ensuring financial products meet the needs of people with disabilities, and supporting more inclusive attitudes and physical accessibility of financial service providers. </w:t>
            </w:r>
          </w:p>
        </w:tc>
      </w:tr>
    </w:tbl>
    <w:p w14:paraId="7BB54318" w14:textId="1A54B580" w:rsidR="00FB5119" w:rsidRPr="007825FE" w:rsidRDefault="00FB5119" w:rsidP="00326D32">
      <w:pPr>
        <w:pStyle w:val="Heading1"/>
        <w:rPr>
          <w:b w:val="0"/>
          <w:bCs/>
        </w:rPr>
      </w:pPr>
      <w:bookmarkStart w:id="133" w:name="_Toc116327907"/>
      <w:bookmarkStart w:id="134" w:name="_Toc116328020"/>
      <w:bookmarkStart w:id="135" w:name="_Toc116328084"/>
      <w:bookmarkStart w:id="136" w:name="_Toc116371572"/>
      <w:bookmarkStart w:id="137" w:name="_Toc116371697"/>
      <w:bookmarkStart w:id="138" w:name="_Toc116371766"/>
      <w:bookmarkStart w:id="139" w:name="_Toc116378189"/>
      <w:bookmarkStart w:id="140" w:name="_Toc122460809"/>
      <w:r w:rsidRPr="007825FE">
        <w:rPr>
          <w:b w:val="0"/>
          <w:bCs/>
        </w:rPr>
        <w:lastRenderedPageBreak/>
        <w:t xml:space="preserve">Annex </w:t>
      </w:r>
      <w:r w:rsidR="00AD5F7E">
        <w:rPr>
          <w:b w:val="0"/>
          <w:bCs/>
        </w:rPr>
        <w:t>7</w:t>
      </w:r>
      <w:r w:rsidR="00AD5F7E" w:rsidRPr="007825FE">
        <w:rPr>
          <w:b w:val="0"/>
          <w:bCs/>
        </w:rPr>
        <w:t xml:space="preserve"> </w:t>
      </w:r>
      <w:r w:rsidR="00097CAB" w:rsidRPr="007825FE">
        <w:rPr>
          <w:b w:val="0"/>
          <w:bCs/>
        </w:rPr>
        <w:t>DFAT Disbursements</w:t>
      </w:r>
      <w:bookmarkEnd w:id="133"/>
      <w:bookmarkEnd w:id="134"/>
      <w:bookmarkEnd w:id="135"/>
      <w:bookmarkEnd w:id="136"/>
      <w:bookmarkEnd w:id="137"/>
      <w:bookmarkEnd w:id="138"/>
      <w:bookmarkEnd w:id="139"/>
      <w:bookmarkEnd w:id="140"/>
    </w:p>
    <w:p w14:paraId="0ED9C4D4" w14:textId="7AEC5C91" w:rsidR="00346145" w:rsidRPr="00F5654C" w:rsidRDefault="79293DFF" w:rsidP="00F5654C">
      <w:pPr>
        <w:rPr>
          <w:rFonts w:cstheme="minorHAnsi"/>
          <w:b/>
          <w:bCs/>
          <w:i/>
          <w:iCs/>
        </w:rPr>
      </w:pPr>
      <w:r w:rsidRPr="00F5654C">
        <w:rPr>
          <w:b/>
          <w:bCs/>
          <w:color w:val="1D336D" w:themeColor="background2"/>
        </w:rPr>
        <w:t xml:space="preserve">ACCESS Cambodia - </w:t>
      </w:r>
      <w:r w:rsidR="00092D11" w:rsidRPr="00F5654C">
        <w:rPr>
          <w:b/>
          <w:bCs/>
          <w:color w:val="1D336D" w:themeColor="background2"/>
        </w:rPr>
        <w:t xml:space="preserve">Total </w:t>
      </w:r>
      <w:r w:rsidR="2C20C3EC" w:rsidRPr="00F5654C">
        <w:rPr>
          <w:b/>
          <w:bCs/>
          <w:color w:val="1D336D" w:themeColor="background2"/>
        </w:rPr>
        <w:t>D</w:t>
      </w:r>
      <w:r w:rsidR="00092D11" w:rsidRPr="00F5654C">
        <w:rPr>
          <w:b/>
          <w:bCs/>
          <w:color w:val="1D336D" w:themeColor="background2"/>
        </w:rPr>
        <w:t>rawdown</w:t>
      </w:r>
      <w:r w:rsidR="00E20F02" w:rsidRPr="00F5654C">
        <w:rPr>
          <w:b/>
          <w:bCs/>
          <w:color w:val="1D336D" w:themeColor="background2"/>
        </w:rPr>
        <w:t xml:space="preserve"> </w:t>
      </w:r>
      <w:r w:rsidR="7A7E4372" w:rsidRPr="00F5654C">
        <w:rPr>
          <w:b/>
          <w:bCs/>
          <w:color w:val="1D336D" w:themeColor="background2"/>
        </w:rPr>
        <w:t xml:space="preserve">&amp; </w:t>
      </w:r>
      <w:r w:rsidR="00E20F02" w:rsidRPr="00F5654C">
        <w:rPr>
          <w:b/>
          <w:bCs/>
          <w:color w:val="1D336D" w:themeColor="background2"/>
        </w:rPr>
        <w:t xml:space="preserve">Activities </w:t>
      </w:r>
      <w:r w:rsidR="0022484C" w:rsidRPr="00F5654C">
        <w:rPr>
          <w:b/>
          <w:bCs/>
          <w:color w:val="1D336D" w:themeColor="background2"/>
        </w:rPr>
        <w:t>D</w:t>
      </w:r>
      <w:r w:rsidR="00E20F02" w:rsidRPr="00F5654C">
        <w:rPr>
          <w:b/>
          <w:bCs/>
          <w:color w:val="1D336D" w:themeColor="background2"/>
        </w:rPr>
        <w:t>rawdown</w:t>
      </w:r>
      <w:r w:rsidR="00C907D2" w:rsidRPr="00F5654C">
        <w:rPr>
          <w:b/>
          <w:bCs/>
          <w:color w:val="1D336D" w:themeColor="background2"/>
        </w:rPr>
        <w:t xml:space="preserve"> </w:t>
      </w:r>
      <w:r w:rsidR="0022484C" w:rsidRPr="00F5654C">
        <w:rPr>
          <w:b/>
          <w:bCs/>
          <w:color w:val="1D336D" w:themeColor="background2"/>
        </w:rPr>
        <w:t>C</w:t>
      </w:r>
      <w:r w:rsidR="00C907D2" w:rsidRPr="00F5654C">
        <w:rPr>
          <w:b/>
          <w:bCs/>
          <w:color w:val="1D336D" w:themeColor="background2"/>
        </w:rPr>
        <w:t xml:space="preserve">omparison </w:t>
      </w:r>
    </w:p>
    <w:p w14:paraId="5BE71DB6" w14:textId="2ECBE5FA" w:rsidR="00C80A9A" w:rsidRPr="00C80A9A" w:rsidRDefault="00C80A9A" w:rsidP="001A5A7F">
      <w:pPr>
        <w:pStyle w:val="TableHeadingBlue"/>
        <w:spacing w:before="160"/>
      </w:pPr>
      <w:r w:rsidRPr="00C80A9A">
        <w:t>Table</w:t>
      </w:r>
      <w:r w:rsidR="00F5654C">
        <w:t xml:space="preserve"> 1</w:t>
      </w:r>
      <w:r w:rsidRPr="00C80A9A">
        <w:t xml:space="preserve">: Total Drawdown (AUD) </w:t>
      </w:r>
      <w:r>
        <w:t>(</w:t>
      </w:r>
      <w:r w:rsidRPr="00C80A9A">
        <w:t>September 2018 – June 2022)</w:t>
      </w:r>
    </w:p>
    <w:tbl>
      <w:tblPr>
        <w:tblStyle w:val="TableGrid"/>
        <w:tblW w:w="7938" w:type="dxa"/>
        <w:tblInd w:w="-5" w:type="dxa"/>
        <w:tblLayout w:type="fixed"/>
        <w:tblLook w:val="04A0" w:firstRow="1" w:lastRow="0" w:firstColumn="1" w:lastColumn="0" w:noHBand="0" w:noVBand="1"/>
      </w:tblPr>
      <w:tblGrid>
        <w:gridCol w:w="2694"/>
        <w:gridCol w:w="1842"/>
        <w:gridCol w:w="1560"/>
        <w:gridCol w:w="1842"/>
      </w:tblGrid>
      <w:tr w:rsidR="004A4BB1" w:rsidRPr="00C907D2" w14:paraId="74477BF6" w14:textId="4B143747" w:rsidTr="004A4BB1">
        <w:tc>
          <w:tcPr>
            <w:tcW w:w="2694" w:type="dxa"/>
            <w:tcBorders>
              <w:top w:val="single" w:sz="4" w:space="0" w:color="auto"/>
            </w:tcBorders>
            <w:shd w:val="clear" w:color="auto" w:fill="1D336D" w:themeFill="background2"/>
          </w:tcPr>
          <w:p w14:paraId="3BAC5845" w14:textId="3FA329E3" w:rsidR="004A4BB1" w:rsidRPr="00A85281" w:rsidRDefault="004A4BB1" w:rsidP="004A4BB1">
            <w:pPr>
              <w:spacing w:after="60"/>
              <w:rPr>
                <w:rFonts w:cstheme="minorHAnsi"/>
                <w:b/>
                <w:bCs/>
                <w:color w:val="E4EAF8"/>
                <w:sz w:val="16"/>
                <w:szCs w:val="16"/>
              </w:rPr>
            </w:pPr>
            <w:bookmarkStart w:id="141" w:name="_Hlk115950185"/>
            <w:r w:rsidRPr="00A85281">
              <w:rPr>
                <w:rFonts w:cstheme="minorHAnsi"/>
                <w:b/>
                <w:bCs/>
                <w:color w:val="E4EAF8"/>
                <w:sz w:val="16"/>
                <w:szCs w:val="16"/>
              </w:rPr>
              <w:t>Fiscal Year</w:t>
            </w:r>
          </w:p>
        </w:tc>
        <w:tc>
          <w:tcPr>
            <w:tcW w:w="1842" w:type="dxa"/>
            <w:shd w:val="clear" w:color="auto" w:fill="1D336D" w:themeFill="background2"/>
          </w:tcPr>
          <w:p w14:paraId="5DC32469" w14:textId="3EB54013" w:rsidR="004A4BB1" w:rsidRPr="00A85281" w:rsidRDefault="004A4BB1" w:rsidP="004A4BB1">
            <w:pPr>
              <w:spacing w:after="60"/>
              <w:rPr>
                <w:rFonts w:cstheme="minorHAnsi"/>
                <w:b/>
                <w:bCs/>
                <w:color w:val="E4EAF8"/>
                <w:sz w:val="16"/>
                <w:szCs w:val="16"/>
              </w:rPr>
            </w:pPr>
            <w:r w:rsidRPr="00A85281">
              <w:rPr>
                <w:rFonts w:cstheme="minorHAnsi"/>
                <w:b/>
                <w:bCs/>
                <w:color w:val="E4EAF8"/>
                <w:sz w:val="16"/>
                <w:szCs w:val="16"/>
              </w:rPr>
              <w:t>Approved Budget</w:t>
            </w:r>
          </w:p>
        </w:tc>
        <w:tc>
          <w:tcPr>
            <w:tcW w:w="1560" w:type="dxa"/>
            <w:shd w:val="clear" w:color="auto" w:fill="1D336D" w:themeFill="background2"/>
          </w:tcPr>
          <w:p w14:paraId="2258A5B7" w14:textId="72076FAF" w:rsidR="004A4BB1" w:rsidRPr="00A85281" w:rsidRDefault="004A4BB1" w:rsidP="004A4BB1">
            <w:pPr>
              <w:spacing w:after="60"/>
              <w:rPr>
                <w:rFonts w:cstheme="minorHAnsi"/>
                <w:b/>
                <w:bCs/>
                <w:color w:val="E4EAF8"/>
                <w:sz w:val="16"/>
                <w:szCs w:val="16"/>
              </w:rPr>
            </w:pPr>
            <w:r w:rsidRPr="00A85281">
              <w:rPr>
                <w:rFonts w:cstheme="minorHAnsi"/>
                <w:b/>
                <w:bCs/>
                <w:color w:val="E4EAF8"/>
                <w:sz w:val="16"/>
                <w:szCs w:val="16"/>
              </w:rPr>
              <w:t>Actual Spent</w:t>
            </w:r>
          </w:p>
        </w:tc>
        <w:tc>
          <w:tcPr>
            <w:tcW w:w="1842" w:type="dxa"/>
            <w:shd w:val="clear" w:color="auto" w:fill="1D336D" w:themeFill="background2"/>
          </w:tcPr>
          <w:p w14:paraId="3DDA2197" w14:textId="266D0C20" w:rsidR="004A4BB1" w:rsidRPr="00A85281" w:rsidRDefault="004A4BB1" w:rsidP="004A4BB1">
            <w:pPr>
              <w:spacing w:after="60"/>
              <w:rPr>
                <w:rFonts w:cstheme="minorHAnsi"/>
                <w:b/>
                <w:bCs/>
                <w:color w:val="E4EAF8"/>
                <w:sz w:val="16"/>
                <w:szCs w:val="16"/>
              </w:rPr>
            </w:pPr>
            <w:r w:rsidRPr="00A85281">
              <w:rPr>
                <w:rFonts w:cstheme="minorHAnsi"/>
                <w:b/>
                <w:bCs/>
                <w:color w:val="E4EAF8"/>
                <w:sz w:val="16"/>
                <w:szCs w:val="16"/>
              </w:rPr>
              <w:t>Variance ($)</w:t>
            </w:r>
          </w:p>
        </w:tc>
      </w:tr>
      <w:bookmarkEnd w:id="141"/>
      <w:tr w:rsidR="004A4BB1" w:rsidRPr="00C907D2" w14:paraId="7B3CB698" w14:textId="6F48FDF7" w:rsidTr="004A4BB1">
        <w:tc>
          <w:tcPr>
            <w:tcW w:w="2694" w:type="dxa"/>
            <w:shd w:val="clear" w:color="auto" w:fill="EBEFF9"/>
          </w:tcPr>
          <w:p w14:paraId="18443888" w14:textId="20497920" w:rsidR="004A4BB1" w:rsidRPr="00741CCF" w:rsidRDefault="004A4BB1" w:rsidP="004A4BB1">
            <w:pPr>
              <w:spacing w:after="60"/>
              <w:rPr>
                <w:rFonts w:cstheme="minorHAnsi"/>
                <w:b/>
                <w:bCs/>
                <w:sz w:val="16"/>
                <w:szCs w:val="16"/>
              </w:rPr>
            </w:pPr>
            <w:r w:rsidRPr="008B18AE">
              <w:rPr>
                <w:rFonts w:eastAsia="Times New Roman" w:cstheme="minorHAnsi"/>
                <w:b/>
                <w:bCs/>
                <w:color w:val="000000"/>
                <w:sz w:val="16"/>
                <w:szCs w:val="16"/>
              </w:rPr>
              <w:t>Year 1 (Sep 18-Jun 19)</w:t>
            </w:r>
          </w:p>
        </w:tc>
        <w:tc>
          <w:tcPr>
            <w:tcW w:w="1842" w:type="dxa"/>
          </w:tcPr>
          <w:p w14:paraId="0C397C9F" w14:textId="155F6103" w:rsidR="004A4BB1" w:rsidRPr="00C907D2" w:rsidRDefault="004A4BB1" w:rsidP="004A4BB1">
            <w:pPr>
              <w:spacing w:after="60"/>
              <w:rPr>
                <w:rFonts w:cstheme="minorHAnsi"/>
                <w:sz w:val="16"/>
                <w:szCs w:val="16"/>
              </w:rPr>
            </w:pPr>
            <w:r w:rsidRPr="00C907D2">
              <w:rPr>
                <w:rFonts w:cstheme="minorHAnsi"/>
                <w:sz w:val="16"/>
                <w:szCs w:val="16"/>
              </w:rPr>
              <w:t>1</w:t>
            </w:r>
            <w:r>
              <w:rPr>
                <w:rFonts w:cstheme="minorHAnsi"/>
                <w:sz w:val="16"/>
                <w:szCs w:val="16"/>
              </w:rPr>
              <w:t>,</w:t>
            </w:r>
            <w:r w:rsidRPr="00C907D2">
              <w:rPr>
                <w:rFonts w:cstheme="minorHAnsi"/>
                <w:sz w:val="16"/>
                <w:szCs w:val="16"/>
              </w:rPr>
              <w:t>869</w:t>
            </w:r>
            <w:r>
              <w:rPr>
                <w:rFonts w:cstheme="minorHAnsi"/>
                <w:sz w:val="16"/>
                <w:szCs w:val="16"/>
              </w:rPr>
              <w:t>,</w:t>
            </w:r>
            <w:r w:rsidRPr="00C907D2">
              <w:rPr>
                <w:rFonts w:cstheme="minorHAnsi"/>
                <w:sz w:val="16"/>
                <w:szCs w:val="16"/>
              </w:rPr>
              <w:t>497</w:t>
            </w:r>
          </w:p>
        </w:tc>
        <w:tc>
          <w:tcPr>
            <w:tcW w:w="1560" w:type="dxa"/>
          </w:tcPr>
          <w:p w14:paraId="146E909E" w14:textId="15765339" w:rsidR="004A4BB1" w:rsidRPr="00C907D2" w:rsidRDefault="004A4BB1" w:rsidP="004A4BB1">
            <w:pPr>
              <w:spacing w:after="60"/>
              <w:rPr>
                <w:rFonts w:cstheme="minorHAnsi"/>
                <w:sz w:val="16"/>
                <w:szCs w:val="16"/>
              </w:rPr>
            </w:pPr>
            <w:r w:rsidRPr="00C907D2">
              <w:rPr>
                <w:rFonts w:cstheme="minorHAnsi"/>
                <w:sz w:val="16"/>
                <w:szCs w:val="16"/>
              </w:rPr>
              <w:t>1</w:t>
            </w:r>
            <w:r>
              <w:rPr>
                <w:rFonts w:cstheme="minorHAnsi"/>
                <w:sz w:val="16"/>
                <w:szCs w:val="16"/>
              </w:rPr>
              <w:t>,</w:t>
            </w:r>
            <w:r w:rsidRPr="00C907D2">
              <w:rPr>
                <w:rFonts w:cstheme="minorHAnsi"/>
                <w:sz w:val="16"/>
                <w:szCs w:val="16"/>
              </w:rPr>
              <w:t>869</w:t>
            </w:r>
            <w:r>
              <w:rPr>
                <w:rFonts w:cstheme="minorHAnsi"/>
                <w:sz w:val="16"/>
                <w:szCs w:val="16"/>
              </w:rPr>
              <w:t>,</w:t>
            </w:r>
            <w:r w:rsidRPr="00C907D2">
              <w:rPr>
                <w:rFonts w:cstheme="minorHAnsi"/>
                <w:sz w:val="16"/>
                <w:szCs w:val="16"/>
              </w:rPr>
              <w:t>497</w:t>
            </w:r>
          </w:p>
        </w:tc>
        <w:tc>
          <w:tcPr>
            <w:tcW w:w="1842" w:type="dxa"/>
            <w:shd w:val="clear" w:color="auto" w:fill="F2F2F2" w:themeFill="background1" w:themeFillShade="F2"/>
          </w:tcPr>
          <w:p w14:paraId="70AEC15B" w14:textId="678A466B" w:rsidR="004A4BB1" w:rsidRPr="00C907D2" w:rsidRDefault="00F5654C" w:rsidP="004A4BB1">
            <w:pPr>
              <w:spacing w:after="60"/>
              <w:rPr>
                <w:rFonts w:cstheme="minorHAnsi"/>
                <w:sz w:val="16"/>
                <w:szCs w:val="16"/>
              </w:rPr>
            </w:pPr>
            <w:r>
              <w:rPr>
                <w:rFonts w:cstheme="minorHAnsi"/>
                <w:sz w:val="16"/>
                <w:szCs w:val="16"/>
              </w:rPr>
              <w:t>0</w:t>
            </w:r>
          </w:p>
        </w:tc>
      </w:tr>
      <w:tr w:rsidR="004A4BB1" w:rsidRPr="00C907D2" w14:paraId="575B6F0B" w14:textId="17AF584A" w:rsidTr="004A4BB1">
        <w:tc>
          <w:tcPr>
            <w:tcW w:w="2694" w:type="dxa"/>
            <w:shd w:val="clear" w:color="auto" w:fill="EBEFF9"/>
          </w:tcPr>
          <w:p w14:paraId="6335CCD8" w14:textId="69949613" w:rsidR="004A4BB1" w:rsidRPr="00741CCF" w:rsidRDefault="004A4BB1" w:rsidP="004A4BB1">
            <w:pPr>
              <w:spacing w:after="60"/>
              <w:rPr>
                <w:rFonts w:cstheme="minorHAnsi"/>
                <w:b/>
                <w:bCs/>
                <w:sz w:val="16"/>
                <w:szCs w:val="16"/>
              </w:rPr>
            </w:pPr>
            <w:r w:rsidRPr="008B18AE">
              <w:rPr>
                <w:rFonts w:eastAsia="Times New Roman" w:cstheme="minorHAnsi"/>
                <w:b/>
                <w:bCs/>
                <w:color w:val="000000"/>
                <w:sz w:val="16"/>
                <w:szCs w:val="16"/>
              </w:rPr>
              <w:t>Year 2 (Jul 19-Jun 20)</w:t>
            </w:r>
          </w:p>
        </w:tc>
        <w:tc>
          <w:tcPr>
            <w:tcW w:w="1842" w:type="dxa"/>
          </w:tcPr>
          <w:p w14:paraId="22005C67" w14:textId="75ACECBD" w:rsidR="004A4BB1" w:rsidRPr="00C907D2" w:rsidRDefault="004A4BB1" w:rsidP="004A4BB1">
            <w:pPr>
              <w:spacing w:after="60"/>
              <w:rPr>
                <w:rFonts w:cstheme="minorHAnsi"/>
                <w:sz w:val="16"/>
                <w:szCs w:val="16"/>
              </w:rPr>
            </w:pPr>
            <w:r w:rsidRPr="00C907D2">
              <w:rPr>
                <w:rFonts w:cstheme="minorHAnsi"/>
                <w:sz w:val="16"/>
                <w:szCs w:val="16"/>
              </w:rPr>
              <w:t>6</w:t>
            </w:r>
            <w:r>
              <w:rPr>
                <w:rFonts w:cstheme="minorHAnsi"/>
                <w:sz w:val="16"/>
                <w:szCs w:val="16"/>
              </w:rPr>
              <w:t>,</w:t>
            </w:r>
            <w:r w:rsidRPr="00C907D2">
              <w:rPr>
                <w:rFonts w:cstheme="minorHAnsi"/>
                <w:sz w:val="16"/>
                <w:szCs w:val="16"/>
              </w:rPr>
              <w:t>725</w:t>
            </w:r>
            <w:r>
              <w:rPr>
                <w:rFonts w:cstheme="minorHAnsi"/>
                <w:sz w:val="16"/>
                <w:szCs w:val="16"/>
              </w:rPr>
              <w:t>,</w:t>
            </w:r>
            <w:r w:rsidRPr="00C907D2">
              <w:rPr>
                <w:rFonts w:cstheme="minorHAnsi"/>
                <w:sz w:val="16"/>
                <w:szCs w:val="16"/>
              </w:rPr>
              <w:t>522</w:t>
            </w:r>
          </w:p>
        </w:tc>
        <w:tc>
          <w:tcPr>
            <w:tcW w:w="1560" w:type="dxa"/>
          </w:tcPr>
          <w:p w14:paraId="02E59E68" w14:textId="7EC29A05" w:rsidR="004A4BB1" w:rsidRPr="00C907D2" w:rsidRDefault="004A4BB1" w:rsidP="004A4BB1">
            <w:pPr>
              <w:spacing w:after="60"/>
              <w:rPr>
                <w:rFonts w:cstheme="minorHAnsi"/>
                <w:sz w:val="16"/>
                <w:szCs w:val="16"/>
              </w:rPr>
            </w:pPr>
            <w:r w:rsidRPr="00C907D2">
              <w:rPr>
                <w:rFonts w:cstheme="minorHAnsi"/>
                <w:sz w:val="16"/>
                <w:szCs w:val="16"/>
              </w:rPr>
              <w:t>6</w:t>
            </w:r>
            <w:r>
              <w:rPr>
                <w:rFonts w:cstheme="minorHAnsi"/>
                <w:sz w:val="16"/>
                <w:szCs w:val="16"/>
              </w:rPr>
              <w:t>,</w:t>
            </w:r>
            <w:r w:rsidRPr="00C907D2">
              <w:rPr>
                <w:rFonts w:cstheme="minorHAnsi"/>
                <w:sz w:val="16"/>
                <w:szCs w:val="16"/>
              </w:rPr>
              <w:t>726</w:t>
            </w:r>
            <w:r>
              <w:rPr>
                <w:rFonts w:cstheme="minorHAnsi"/>
                <w:sz w:val="16"/>
                <w:szCs w:val="16"/>
              </w:rPr>
              <w:t>,</w:t>
            </w:r>
            <w:r w:rsidRPr="00C907D2">
              <w:rPr>
                <w:rFonts w:cstheme="minorHAnsi"/>
                <w:sz w:val="16"/>
                <w:szCs w:val="16"/>
              </w:rPr>
              <w:t>000</w:t>
            </w:r>
          </w:p>
        </w:tc>
        <w:tc>
          <w:tcPr>
            <w:tcW w:w="1842" w:type="dxa"/>
            <w:shd w:val="clear" w:color="auto" w:fill="F2F2F2" w:themeFill="background1" w:themeFillShade="F2"/>
          </w:tcPr>
          <w:p w14:paraId="3DFABE18" w14:textId="74092541" w:rsidR="004A4BB1" w:rsidRPr="00C907D2" w:rsidRDefault="004A4BB1" w:rsidP="004A4BB1">
            <w:pPr>
              <w:spacing w:after="60"/>
              <w:rPr>
                <w:rFonts w:cstheme="minorHAnsi"/>
                <w:sz w:val="16"/>
                <w:szCs w:val="16"/>
              </w:rPr>
            </w:pPr>
            <w:r w:rsidRPr="00C907D2">
              <w:rPr>
                <w:rFonts w:cstheme="minorHAnsi"/>
                <w:sz w:val="16"/>
                <w:szCs w:val="16"/>
              </w:rPr>
              <w:t>478</w:t>
            </w:r>
          </w:p>
        </w:tc>
      </w:tr>
      <w:tr w:rsidR="004A4BB1" w:rsidRPr="00C907D2" w14:paraId="31ECB60F" w14:textId="5C15A9B0" w:rsidTr="004A4BB1">
        <w:tc>
          <w:tcPr>
            <w:tcW w:w="2694" w:type="dxa"/>
            <w:shd w:val="clear" w:color="auto" w:fill="EBEFF9"/>
          </w:tcPr>
          <w:p w14:paraId="69BFDF0C" w14:textId="0D4B9BB3" w:rsidR="004A4BB1" w:rsidRPr="00741CCF" w:rsidRDefault="004A4BB1" w:rsidP="004A4BB1">
            <w:pPr>
              <w:spacing w:after="60"/>
              <w:rPr>
                <w:rFonts w:cstheme="minorHAnsi"/>
                <w:b/>
                <w:bCs/>
                <w:sz w:val="16"/>
                <w:szCs w:val="16"/>
              </w:rPr>
            </w:pPr>
            <w:r w:rsidRPr="008B18AE">
              <w:rPr>
                <w:rFonts w:eastAsia="Times New Roman" w:cstheme="minorHAnsi"/>
                <w:b/>
                <w:bCs/>
                <w:color w:val="000000"/>
                <w:sz w:val="16"/>
                <w:szCs w:val="16"/>
              </w:rPr>
              <w:t>Year 3 (Jul 20-Jun 21)</w:t>
            </w:r>
          </w:p>
        </w:tc>
        <w:tc>
          <w:tcPr>
            <w:tcW w:w="1842" w:type="dxa"/>
          </w:tcPr>
          <w:p w14:paraId="00DCB857" w14:textId="4F030822" w:rsidR="004A4BB1" w:rsidRPr="00C907D2" w:rsidRDefault="004A4BB1" w:rsidP="004A4BB1">
            <w:pPr>
              <w:spacing w:after="60"/>
              <w:rPr>
                <w:rFonts w:cstheme="minorHAnsi"/>
                <w:sz w:val="16"/>
                <w:szCs w:val="16"/>
              </w:rPr>
            </w:pPr>
            <w:r w:rsidRPr="00C907D2">
              <w:rPr>
                <w:rFonts w:cstheme="minorHAnsi"/>
                <w:sz w:val="16"/>
                <w:szCs w:val="16"/>
              </w:rPr>
              <w:t>5</w:t>
            </w:r>
            <w:r>
              <w:rPr>
                <w:rFonts w:cstheme="minorHAnsi"/>
                <w:sz w:val="16"/>
                <w:szCs w:val="16"/>
              </w:rPr>
              <w:t>,</w:t>
            </w:r>
            <w:r w:rsidRPr="00C907D2">
              <w:rPr>
                <w:rFonts w:cstheme="minorHAnsi"/>
                <w:sz w:val="16"/>
                <w:szCs w:val="16"/>
              </w:rPr>
              <w:t>402</w:t>
            </w:r>
            <w:r>
              <w:rPr>
                <w:rFonts w:cstheme="minorHAnsi"/>
                <w:sz w:val="16"/>
                <w:szCs w:val="16"/>
              </w:rPr>
              <w:t>,</w:t>
            </w:r>
            <w:r w:rsidRPr="00C907D2">
              <w:rPr>
                <w:rFonts w:cstheme="minorHAnsi"/>
                <w:sz w:val="16"/>
                <w:szCs w:val="16"/>
              </w:rPr>
              <w:t>983</w:t>
            </w:r>
          </w:p>
        </w:tc>
        <w:tc>
          <w:tcPr>
            <w:tcW w:w="1560" w:type="dxa"/>
          </w:tcPr>
          <w:p w14:paraId="2E988114" w14:textId="106CD9C2" w:rsidR="004A4BB1" w:rsidRPr="00C907D2" w:rsidRDefault="004A4BB1" w:rsidP="004A4BB1">
            <w:pPr>
              <w:spacing w:after="60"/>
              <w:rPr>
                <w:rFonts w:cstheme="minorHAnsi"/>
                <w:sz w:val="16"/>
                <w:szCs w:val="16"/>
              </w:rPr>
            </w:pPr>
            <w:r w:rsidRPr="00C907D2">
              <w:rPr>
                <w:rFonts w:cstheme="minorHAnsi"/>
                <w:sz w:val="16"/>
                <w:szCs w:val="16"/>
              </w:rPr>
              <w:t>5</w:t>
            </w:r>
            <w:r>
              <w:rPr>
                <w:rFonts w:cstheme="minorHAnsi"/>
                <w:sz w:val="16"/>
                <w:szCs w:val="16"/>
              </w:rPr>
              <w:t>,</w:t>
            </w:r>
            <w:r w:rsidRPr="00C907D2">
              <w:rPr>
                <w:rFonts w:cstheme="minorHAnsi"/>
                <w:sz w:val="16"/>
                <w:szCs w:val="16"/>
              </w:rPr>
              <w:t>402</w:t>
            </w:r>
            <w:r>
              <w:rPr>
                <w:rFonts w:cstheme="minorHAnsi"/>
                <w:sz w:val="16"/>
                <w:szCs w:val="16"/>
              </w:rPr>
              <w:t>,</w:t>
            </w:r>
            <w:r w:rsidRPr="00C907D2">
              <w:rPr>
                <w:rFonts w:cstheme="minorHAnsi"/>
                <w:sz w:val="16"/>
                <w:szCs w:val="16"/>
              </w:rPr>
              <w:t>988</w:t>
            </w:r>
          </w:p>
        </w:tc>
        <w:tc>
          <w:tcPr>
            <w:tcW w:w="1842" w:type="dxa"/>
            <w:shd w:val="clear" w:color="auto" w:fill="F2F2F2" w:themeFill="background1" w:themeFillShade="F2"/>
          </w:tcPr>
          <w:p w14:paraId="2B9C9AD5" w14:textId="604EB092" w:rsidR="004A4BB1" w:rsidRPr="00C907D2" w:rsidRDefault="004A4BB1" w:rsidP="004A4BB1">
            <w:pPr>
              <w:spacing w:after="60"/>
              <w:rPr>
                <w:rFonts w:cstheme="minorHAnsi"/>
                <w:sz w:val="16"/>
                <w:szCs w:val="16"/>
              </w:rPr>
            </w:pPr>
            <w:r w:rsidRPr="00C907D2">
              <w:rPr>
                <w:rFonts w:cstheme="minorHAnsi"/>
                <w:sz w:val="16"/>
                <w:szCs w:val="16"/>
              </w:rPr>
              <w:t>5</w:t>
            </w:r>
          </w:p>
        </w:tc>
      </w:tr>
      <w:tr w:rsidR="004A4BB1" w:rsidRPr="00C907D2" w14:paraId="12CA71EE" w14:textId="60BEE716" w:rsidTr="004A4BB1">
        <w:tc>
          <w:tcPr>
            <w:tcW w:w="2694" w:type="dxa"/>
            <w:shd w:val="clear" w:color="auto" w:fill="EBEFF9"/>
          </w:tcPr>
          <w:p w14:paraId="61112305" w14:textId="781B9173" w:rsidR="004A4BB1" w:rsidRPr="00741CCF" w:rsidRDefault="004A4BB1" w:rsidP="004A4BB1">
            <w:pPr>
              <w:spacing w:after="60"/>
              <w:rPr>
                <w:rFonts w:cstheme="minorHAnsi"/>
                <w:b/>
                <w:bCs/>
                <w:sz w:val="16"/>
                <w:szCs w:val="16"/>
              </w:rPr>
            </w:pPr>
            <w:r w:rsidRPr="008B18AE">
              <w:rPr>
                <w:rFonts w:eastAsia="Times New Roman" w:cstheme="minorHAnsi"/>
                <w:b/>
                <w:bCs/>
                <w:color w:val="000000"/>
                <w:sz w:val="16"/>
                <w:szCs w:val="16"/>
              </w:rPr>
              <w:t>Year 4 (Jul 21-Jun 22)</w:t>
            </w:r>
          </w:p>
        </w:tc>
        <w:tc>
          <w:tcPr>
            <w:tcW w:w="1842" w:type="dxa"/>
          </w:tcPr>
          <w:p w14:paraId="69795689" w14:textId="613EBE6E" w:rsidR="004A4BB1" w:rsidRPr="00C907D2" w:rsidRDefault="004A4BB1" w:rsidP="004A4BB1">
            <w:pPr>
              <w:spacing w:after="60"/>
              <w:rPr>
                <w:rFonts w:cstheme="minorHAnsi"/>
                <w:sz w:val="16"/>
                <w:szCs w:val="16"/>
              </w:rPr>
            </w:pPr>
            <w:r w:rsidRPr="00C907D2">
              <w:rPr>
                <w:rFonts w:cstheme="minorHAnsi"/>
                <w:sz w:val="16"/>
                <w:szCs w:val="16"/>
              </w:rPr>
              <w:t>5</w:t>
            </w:r>
            <w:r>
              <w:rPr>
                <w:rFonts w:cstheme="minorHAnsi"/>
                <w:sz w:val="16"/>
                <w:szCs w:val="16"/>
              </w:rPr>
              <w:t>,</w:t>
            </w:r>
            <w:r w:rsidRPr="00C907D2">
              <w:rPr>
                <w:rFonts w:cstheme="minorHAnsi"/>
                <w:sz w:val="16"/>
                <w:szCs w:val="16"/>
              </w:rPr>
              <w:t>991</w:t>
            </w:r>
            <w:r>
              <w:rPr>
                <w:rFonts w:cstheme="minorHAnsi"/>
                <w:sz w:val="16"/>
                <w:szCs w:val="16"/>
              </w:rPr>
              <w:t>,</w:t>
            </w:r>
            <w:r w:rsidRPr="00C907D2">
              <w:rPr>
                <w:rFonts w:cstheme="minorHAnsi"/>
                <w:sz w:val="16"/>
                <w:szCs w:val="16"/>
              </w:rPr>
              <w:t>674</w:t>
            </w:r>
          </w:p>
        </w:tc>
        <w:tc>
          <w:tcPr>
            <w:tcW w:w="1560" w:type="dxa"/>
          </w:tcPr>
          <w:p w14:paraId="6EF9B483" w14:textId="76F9C381" w:rsidR="004A4BB1" w:rsidRPr="00C907D2" w:rsidRDefault="004A4BB1" w:rsidP="004A4BB1">
            <w:pPr>
              <w:spacing w:after="60"/>
              <w:rPr>
                <w:rFonts w:cstheme="minorHAnsi"/>
                <w:sz w:val="16"/>
                <w:szCs w:val="16"/>
              </w:rPr>
            </w:pPr>
            <w:r w:rsidRPr="00C907D2">
              <w:rPr>
                <w:rFonts w:cstheme="minorHAnsi"/>
                <w:sz w:val="16"/>
                <w:szCs w:val="16"/>
              </w:rPr>
              <w:t>5</w:t>
            </w:r>
            <w:r>
              <w:rPr>
                <w:rFonts w:cstheme="minorHAnsi"/>
                <w:sz w:val="16"/>
                <w:szCs w:val="16"/>
              </w:rPr>
              <w:t>,</w:t>
            </w:r>
            <w:r w:rsidRPr="00C907D2">
              <w:rPr>
                <w:rFonts w:cstheme="minorHAnsi"/>
                <w:sz w:val="16"/>
                <w:szCs w:val="16"/>
              </w:rPr>
              <w:t>991</w:t>
            </w:r>
            <w:r>
              <w:rPr>
                <w:rFonts w:cstheme="minorHAnsi"/>
                <w:sz w:val="16"/>
                <w:szCs w:val="16"/>
              </w:rPr>
              <w:t>,</w:t>
            </w:r>
            <w:r w:rsidRPr="00C907D2">
              <w:rPr>
                <w:rFonts w:cstheme="minorHAnsi"/>
                <w:sz w:val="16"/>
                <w:szCs w:val="16"/>
              </w:rPr>
              <w:t>674</w:t>
            </w:r>
          </w:p>
        </w:tc>
        <w:tc>
          <w:tcPr>
            <w:tcW w:w="1842" w:type="dxa"/>
            <w:shd w:val="clear" w:color="auto" w:fill="F2F2F2" w:themeFill="background1" w:themeFillShade="F2"/>
          </w:tcPr>
          <w:p w14:paraId="7C8EF142" w14:textId="68E12BE7" w:rsidR="004A4BB1" w:rsidRPr="00C907D2" w:rsidRDefault="00F5654C" w:rsidP="004A4BB1">
            <w:pPr>
              <w:spacing w:after="60"/>
              <w:rPr>
                <w:rFonts w:cstheme="minorHAnsi"/>
                <w:sz w:val="16"/>
                <w:szCs w:val="16"/>
              </w:rPr>
            </w:pPr>
            <w:r>
              <w:rPr>
                <w:rFonts w:cstheme="minorHAnsi"/>
                <w:sz w:val="16"/>
                <w:szCs w:val="16"/>
              </w:rPr>
              <w:t>0</w:t>
            </w:r>
          </w:p>
        </w:tc>
      </w:tr>
      <w:tr w:rsidR="004A4BB1" w:rsidRPr="00C907D2" w14:paraId="1220FF14" w14:textId="77777777" w:rsidTr="004A4BB1">
        <w:tc>
          <w:tcPr>
            <w:tcW w:w="2694" w:type="dxa"/>
            <w:shd w:val="clear" w:color="auto" w:fill="EBEFF9"/>
          </w:tcPr>
          <w:p w14:paraId="49907A1E" w14:textId="6952466F" w:rsidR="004A4BB1" w:rsidRPr="009A6D0F" w:rsidRDefault="004A4BB1" w:rsidP="004A4BB1">
            <w:pPr>
              <w:spacing w:after="60"/>
              <w:rPr>
                <w:rFonts w:eastAsia="Times New Roman" w:cstheme="minorHAnsi"/>
                <w:b/>
                <w:bCs/>
                <w:color w:val="000000"/>
                <w:sz w:val="16"/>
                <w:szCs w:val="16"/>
              </w:rPr>
            </w:pPr>
            <w:r w:rsidRPr="009A6D0F">
              <w:rPr>
                <w:rFonts w:eastAsia="Times New Roman" w:cstheme="minorHAnsi"/>
                <w:b/>
                <w:bCs/>
                <w:color w:val="000000"/>
                <w:sz w:val="16"/>
                <w:szCs w:val="16"/>
              </w:rPr>
              <w:t>Total</w:t>
            </w:r>
          </w:p>
        </w:tc>
        <w:tc>
          <w:tcPr>
            <w:tcW w:w="1842" w:type="dxa"/>
            <w:shd w:val="clear" w:color="auto" w:fill="EBEFF9"/>
          </w:tcPr>
          <w:p w14:paraId="46A99DED" w14:textId="01083538" w:rsidR="004A4BB1" w:rsidRPr="00D40ADB" w:rsidRDefault="004A4BB1" w:rsidP="004A4BB1">
            <w:pPr>
              <w:spacing w:after="60"/>
              <w:rPr>
                <w:rFonts w:cstheme="minorHAnsi"/>
                <w:b/>
                <w:bCs/>
                <w:sz w:val="16"/>
                <w:szCs w:val="16"/>
                <w:u w:val="single"/>
              </w:rPr>
            </w:pPr>
            <w:r w:rsidRPr="00D40ADB">
              <w:rPr>
                <w:rFonts w:cstheme="minorHAnsi"/>
                <w:b/>
                <w:bCs/>
                <w:sz w:val="16"/>
                <w:szCs w:val="16"/>
                <w:u w:val="single"/>
              </w:rPr>
              <w:t>19,989,675.50</w:t>
            </w:r>
          </w:p>
        </w:tc>
        <w:tc>
          <w:tcPr>
            <w:tcW w:w="1560" w:type="dxa"/>
            <w:shd w:val="clear" w:color="auto" w:fill="EBEFF9"/>
          </w:tcPr>
          <w:p w14:paraId="741C5C72" w14:textId="581BF36F" w:rsidR="004A4BB1" w:rsidRPr="00D40ADB" w:rsidRDefault="004A4BB1" w:rsidP="004A4BB1">
            <w:pPr>
              <w:spacing w:after="60"/>
              <w:rPr>
                <w:rFonts w:cstheme="minorHAnsi"/>
                <w:b/>
                <w:bCs/>
                <w:sz w:val="16"/>
                <w:szCs w:val="16"/>
                <w:u w:val="single"/>
              </w:rPr>
            </w:pPr>
            <w:r w:rsidRPr="00D40ADB">
              <w:rPr>
                <w:rFonts w:cstheme="minorHAnsi"/>
                <w:b/>
                <w:bCs/>
                <w:sz w:val="16"/>
                <w:szCs w:val="16"/>
                <w:u w:val="single"/>
              </w:rPr>
              <w:t>19,990,158.50</w:t>
            </w:r>
          </w:p>
        </w:tc>
        <w:tc>
          <w:tcPr>
            <w:tcW w:w="1842" w:type="dxa"/>
            <w:shd w:val="clear" w:color="auto" w:fill="EBEFF9"/>
          </w:tcPr>
          <w:p w14:paraId="7F1368F6" w14:textId="5311754E" w:rsidR="004A4BB1" w:rsidRPr="00D40ADB" w:rsidRDefault="004A4BB1" w:rsidP="004A4BB1">
            <w:pPr>
              <w:spacing w:after="60"/>
              <w:rPr>
                <w:rFonts w:cstheme="minorHAnsi"/>
                <w:b/>
                <w:bCs/>
                <w:sz w:val="16"/>
                <w:szCs w:val="16"/>
                <w:u w:val="single"/>
              </w:rPr>
            </w:pPr>
            <w:r w:rsidRPr="00D40ADB">
              <w:rPr>
                <w:rFonts w:cstheme="minorHAnsi"/>
                <w:b/>
                <w:bCs/>
                <w:sz w:val="16"/>
                <w:szCs w:val="16"/>
                <w:u w:val="single"/>
              </w:rPr>
              <w:t>483.00</w:t>
            </w:r>
          </w:p>
        </w:tc>
      </w:tr>
    </w:tbl>
    <w:p w14:paraId="24224486" w14:textId="3F00BB9C" w:rsidR="00C80A9A" w:rsidRDefault="00C80A9A" w:rsidP="001A5A7F">
      <w:pPr>
        <w:pStyle w:val="TableHeadingBlue"/>
        <w:spacing w:before="160"/>
      </w:pPr>
      <w:r>
        <w:t>Table</w:t>
      </w:r>
      <w:r w:rsidR="00F5654C">
        <w:t xml:space="preserve"> 2</w:t>
      </w:r>
      <w:r>
        <w:t>: Activities Drawdown Comparison (AUD) (September 2018 – June 2022)</w:t>
      </w:r>
    </w:p>
    <w:tbl>
      <w:tblPr>
        <w:tblStyle w:val="TableGrid"/>
        <w:tblW w:w="7938" w:type="dxa"/>
        <w:tblInd w:w="-5" w:type="dxa"/>
        <w:tblLayout w:type="fixed"/>
        <w:tblLook w:val="04A0" w:firstRow="1" w:lastRow="0" w:firstColumn="1" w:lastColumn="0" w:noHBand="0" w:noVBand="1"/>
      </w:tblPr>
      <w:tblGrid>
        <w:gridCol w:w="2694"/>
        <w:gridCol w:w="1842"/>
        <w:gridCol w:w="1560"/>
        <w:gridCol w:w="1842"/>
      </w:tblGrid>
      <w:tr w:rsidR="004A4BB1" w:rsidRPr="00C907D2" w14:paraId="295FE766" w14:textId="77777777" w:rsidTr="004A4BB1">
        <w:tc>
          <w:tcPr>
            <w:tcW w:w="2694" w:type="dxa"/>
            <w:tcBorders>
              <w:top w:val="single" w:sz="4" w:space="0" w:color="auto"/>
            </w:tcBorders>
            <w:shd w:val="clear" w:color="auto" w:fill="1D336D" w:themeFill="background2"/>
          </w:tcPr>
          <w:p w14:paraId="66F31A66" w14:textId="77777777" w:rsidR="004A4BB1" w:rsidRPr="00A85281" w:rsidRDefault="004A4BB1" w:rsidP="00986A20">
            <w:pPr>
              <w:spacing w:after="120"/>
              <w:rPr>
                <w:rFonts w:cstheme="minorHAnsi"/>
                <w:b/>
                <w:bCs/>
                <w:color w:val="E4EAF8"/>
                <w:sz w:val="16"/>
                <w:szCs w:val="16"/>
              </w:rPr>
            </w:pPr>
            <w:r w:rsidRPr="00A85281">
              <w:rPr>
                <w:rFonts w:cstheme="minorHAnsi"/>
                <w:b/>
                <w:bCs/>
                <w:color w:val="E4EAF8"/>
                <w:sz w:val="16"/>
                <w:szCs w:val="16"/>
              </w:rPr>
              <w:t>Fiscal Year</w:t>
            </w:r>
          </w:p>
        </w:tc>
        <w:tc>
          <w:tcPr>
            <w:tcW w:w="1842" w:type="dxa"/>
            <w:shd w:val="clear" w:color="auto" w:fill="1D336D" w:themeFill="background2"/>
          </w:tcPr>
          <w:p w14:paraId="59E7C25B" w14:textId="77777777" w:rsidR="004A4BB1" w:rsidRPr="00A85281" w:rsidRDefault="004A4BB1" w:rsidP="00986A20">
            <w:pPr>
              <w:spacing w:after="120"/>
              <w:rPr>
                <w:rFonts w:cstheme="minorHAnsi"/>
                <w:b/>
                <w:bCs/>
                <w:color w:val="E4EAF8"/>
                <w:sz w:val="16"/>
                <w:szCs w:val="16"/>
              </w:rPr>
            </w:pPr>
            <w:r w:rsidRPr="00A85281">
              <w:rPr>
                <w:rFonts w:cstheme="minorHAnsi"/>
                <w:b/>
                <w:bCs/>
                <w:color w:val="E4EAF8"/>
                <w:sz w:val="16"/>
                <w:szCs w:val="16"/>
              </w:rPr>
              <w:t>Approved Budget</w:t>
            </w:r>
          </w:p>
        </w:tc>
        <w:tc>
          <w:tcPr>
            <w:tcW w:w="1560" w:type="dxa"/>
            <w:shd w:val="clear" w:color="auto" w:fill="1D336D" w:themeFill="background2"/>
          </w:tcPr>
          <w:p w14:paraId="2B181518" w14:textId="77777777" w:rsidR="004A4BB1" w:rsidRPr="00A85281" w:rsidRDefault="004A4BB1" w:rsidP="00986A20">
            <w:pPr>
              <w:spacing w:after="120"/>
              <w:rPr>
                <w:rFonts w:cstheme="minorHAnsi"/>
                <w:b/>
                <w:bCs/>
                <w:color w:val="E4EAF8"/>
                <w:sz w:val="16"/>
                <w:szCs w:val="16"/>
              </w:rPr>
            </w:pPr>
            <w:r w:rsidRPr="00A85281">
              <w:rPr>
                <w:rFonts w:cstheme="minorHAnsi"/>
                <w:b/>
                <w:bCs/>
                <w:color w:val="E4EAF8"/>
                <w:sz w:val="16"/>
                <w:szCs w:val="16"/>
              </w:rPr>
              <w:t>Actual Spent</w:t>
            </w:r>
          </w:p>
        </w:tc>
        <w:tc>
          <w:tcPr>
            <w:tcW w:w="1842" w:type="dxa"/>
            <w:shd w:val="clear" w:color="auto" w:fill="1D336D" w:themeFill="background2"/>
          </w:tcPr>
          <w:p w14:paraId="55EE131B" w14:textId="77777777" w:rsidR="004A4BB1" w:rsidRPr="00A85281" w:rsidRDefault="004A4BB1" w:rsidP="00986A20">
            <w:pPr>
              <w:spacing w:after="120"/>
              <w:rPr>
                <w:rFonts w:cstheme="minorHAnsi"/>
                <w:b/>
                <w:bCs/>
                <w:color w:val="E4EAF8"/>
                <w:sz w:val="16"/>
                <w:szCs w:val="16"/>
              </w:rPr>
            </w:pPr>
            <w:r w:rsidRPr="00A85281">
              <w:rPr>
                <w:rFonts w:cstheme="minorHAnsi"/>
                <w:b/>
                <w:bCs/>
                <w:color w:val="E4EAF8"/>
                <w:sz w:val="16"/>
                <w:szCs w:val="16"/>
              </w:rPr>
              <w:t>Variance ($)</w:t>
            </w:r>
          </w:p>
        </w:tc>
      </w:tr>
      <w:tr w:rsidR="004A4BB1" w:rsidRPr="00C907D2" w14:paraId="028DF775" w14:textId="77777777" w:rsidTr="004A4BB1">
        <w:tc>
          <w:tcPr>
            <w:tcW w:w="2694" w:type="dxa"/>
            <w:shd w:val="clear" w:color="auto" w:fill="EBEFF9"/>
          </w:tcPr>
          <w:p w14:paraId="422E742D" w14:textId="313E2AF6" w:rsidR="004A4BB1" w:rsidRPr="00741CCF" w:rsidRDefault="004A4BB1" w:rsidP="004A4BB1">
            <w:pPr>
              <w:spacing w:after="120"/>
              <w:rPr>
                <w:rFonts w:cstheme="minorHAnsi"/>
                <w:b/>
                <w:bCs/>
                <w:sz w:val="16"/>
                <w:szCs w:val="16"/>
              </w:rPr>
            </w:pPr>
            <w:r w:rsidRPr="008B18AE">
              <w:rPr>
                <w:rFonts w:eastAsia="Times New Roman" w:cstheme="minorHAnsi"/>
                <w:b/>
                <w:bCs/>
                <w:color w:val="000000"/>
                <w:sz w:val="16"/>
                <w:szCs w:val="16"/>
              </w:rPr>
              <w:t>Year 1 (Sep 18-Jun 19)</w:t>
            </w:r>
          </w:p>
        </w:tc>
        <w:tc>
          <w:tcPr>
            <w:tcW w:w="1842" w:type="dxa"/>
            <w:shd w:val="clear" w:color="auto" w:fill="auto"/>
          </w:tcPr>
          <w:p w14:paraId="4AA2DB99"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140,945.54</w:t>
            </w:r>
          </w:p>
        </w:tc>
        <w:tc>
          <w:tcPr>
            <w:tcW w:w="1560" w:type="dxa"/>
            <w:shd w:val="clear" w:color="auto" w:fill="auto"/>
          </w:tcPr>
          <w:p w14:paraId="64CF5692"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140,945.54</w:t>
            </w:r>
          </w:p>
        </w:tc>
        <w:tc>
          <w:tcPr>
            <w:tcW w:w="1842" w:type="dxa"/>
            <w:shd w:val="clear" w:color="auto" w:fill="F2F2F2" w:themeFill="background1" w:themeFillShade="F2"/>
          </w:tcPr>
          <w:p w14:paraId="0138FEA7" w14:textId="3DA4851F" w:rsidR="004A4BB1" w:rsidRPr="00C907D2" w:rsidRDefault="00F5654C" w:rsidP="00986A20">
            <w:pPr>
              <w:spacing w:after="120"/>
              <w:rPr>
                <w:rFonts w:cstheme="minorHAnsi"/>
                <w:sz w:val="16"/>
                <w:szCs w:val="16"/>
              </w:rPr>
            </w:pPr>
            <w:r>
              <w:rPr>
                <w:rFonts w:eastAsia="Times New Roman" w:cstheme="minorHAnsi"/>
                <w:color w:val="000000"/>
                <w:sz w:val="16"/>
                <w:szCs w:val="16"/>
              </w:rPr>
              <w:t>0</w:t>
            </w:r>
          </w:p>
        </w:tc>
      </w:tr>
      <w:tr w:rsidR="004A4BB1" w:rsidRPr="00C907D2" w14:paraId="3EBD7458" w14:textId="77777777" w:rsidTr="004A4BB1">
        <w:tc>
          <w:tcPr>
            <w:tcW w:w="2694" w:type="dxa"/>
            <w:shd w:val="clear" w:color="auto" w:fill="EBEFF9"/>
          </w:tcPr>
          <w:p w14:paraId="0A210B1C" w14:textId="482D3345" w:rsidR="004A4BB1" w:rsidRPr="00741CCF" w:rsidRDefault="004A4BB1" w:rsidP="004A4BB1">
            <w:pPr>
              <w:spacing w:after="120"/>
              <w:rPr>
                <w:rFonts w:cstheme="minorHAnsi"/>
                <w:b/>
                <w:bCs/>
                <w:sz w:val="16"/>
                <w:szCs w:val="16"/>
              </w:rPr>
            </w:pPr>
            <w:r w:rsidRPr="008B18AE">
              <w:rPr>
                <w:rFonts w:eastAsia="Times New Roman" w:cstheme="minorHAnsi"/>
                <w:b/>
                <w:bCs/>
                <w:color w:val="000000"/>
                <w:sz w:val="16"/>
                <w:szCs w:val="16"/>
              </w:rPr>
              <w:t>Year 2 (Jul 19-Jun 20)</w:t>
            </w:r>
          </w:p>
        </w:tc>
        <w:tc>
          <w:tcPr>
            <w:tcW w:w="1842" w:type="dxa"/>
            <w:shd w:val="clear" w:color="auto" w:fill="auto"/>
          </w:tcPr>
          <w:p w14:paraId="1A8DFED7"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4,476,119.81</w:t>
            </w:r>
          </w:p>
        </w:tc>
        <w:tc>
          <w:tcPr>
            <w:tcW w:w="1560" w:type="dxa"/>
            <w:shd w:val="clear" w:color="auto" w:fill="auto"/>
          </w:tcPr>
          <w:p w14:paraId="54762F38"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4,464,213.17</w:t>
            </w:r>
          </w:p>
        </w:tc>
        <w:tc>
          <w:tcPr>
            <w:tcW w:w="1842" w:type="dxa"/>
            <w:shd w:val="clear" w:color="auto" w:fill="F2F2F2" w:themeFill="background1" w:themeFillShade="F2"/>
          </w:tcPr>
          <w:p w14:paraId="54FE66E0"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11,906.64</w:t>
            </w:r>
          </w:p>
        </w:tc>
      </w:tr>
      <w:tr w:rsidR="004A4BB1" w:rsidRPr="00C907D2" w14:paraId="5BCF8489" w14:textId="77777777" w:rsidTr="004A4BB1">
        <w:tc>
          <w:tcPr>
            <w:tcW w:w="2694" w:type="dxa"/>
            <w:shd w:val="clear" w:color="auto" w:fill="EBEFF9"/>
          </w:tcPr>
          <w:p w14:paraId="7E3E7129" w14:textId="15B06EB9" w:rsidR="004A4BB1" w:rsidRPr="00741CCF" w:rsidRDefault="004A4BB1" w:rsidP="004A4BB1">
            <w:pPr>
              <w:spacing w:after="120"/>
              <w:rPr>
                <w:rFonts w:cstheme="minorHAnsi"/>
                <w:b/>
                <w:bCs/>
                <w:sz w:val="16"/>
                <w:szCs w:val="16"/>
              </w:rPr>
            </w:pPr>
            <w:r w:rsidRPr="008B18AE">
              <w:rPr>
                <w:rFonts w:eastAsia="Times New Roman" w:cstheme="minorHAnsi"/>
                <w:b/>
                <w:bCs/>
                <w:color w:val="000000"/>
                <w:sz w:val="16"/>
                <w:szCs w:val="16"/>
              </w:rPr>
              <w:t>Year 3 (Jul 20-Jun 21)</w:t>
            </w:r>
          </w:p>
        </w:tc>
        <w:tc>
          <w:tcPr>
            <w:tcW w:w="1842" w:type="dxa"/>
            <w:shd w:val="clear" w:color="auto" w:fill="auto"/>
          </w:tcPr>
          <w:p w14:paraId="3A652E78"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2,997,831.94</w:t>
            </w:r>
          </w:p>
        </w:tc>
        <w:tc>
          <w:tcPr>
            <w:tcW w:w="1560" w:type="dxa"/>
            <w:shd w:val="clear" w:color="auto" w:fill="auto"/>
          </w:tcPr>
          <w:p w14:paraId="56B4801E"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2,809,958.16</w:t>
            </w:r>
          </w:p>
        </w:tc>
        <w:tc>
          <w:tcPr>
            <w:tcW w:w="1842" w:type="dxa"/>
            <w:shd w:val="clear" w:color="auto" w:fill="F2F2F2" w:themeFill="background1" w:themeFillShade="F2"/>
          </w:tcPr>
          <w:p w14:paraId="65A3E686"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187,873.79</w:t>
            </w:r>
          </w:p>
        </w:tc>
      </w:tr>
      <w:tr w:rsidR="004A4BB1" w:rsidRPr="00C907D2" w14:paraId="18F43F3A" w14:textId="77777777" w:rsidTr="004A4BB1">
        <w:tc>
          <w:tcPr>
            <w:tcW w:w="2694" w:type="dxa"/>
            <w:shd w:val="clear" w:color="auto" w:fill="EBEFF9"/>
          </w:tcPr>
          <w:p w14:paraId="3254C49A" w14:textId="28A28E2D" w:rsidR="004A4BB1" w:rsidRPr="00741CCF" w:rsidRDefault="004A4BB1" w:rsidP="004A4BB1">
            <w:pPr>
              <w:spacing w:after="120"/>
              <w:rPr>
                <w:rFonts w:cstheme="minorHAnsi"/>
                <w:b/>
                <w:bCs/>
                <w:sz w:val="16"/>
                <w:szCs w:val="16"/>
              </w:rPr>
            </w:pPr>
            <w:r w:rsidRPr="008B18AE">
              <w:rPr>
                <w:rFonts w:eastAsia="Times New Roman" w:cstheme="minorHAnsi"/>
                <w:b/>
                <w:bCs/>
                <w:color w:val="000000"/>
                <w:sz w:val="16"/>
                <w:szCs w:val="16"/>
              </w:rPr>
              <w:t>Year 4 (Jul 21-Jun 22)</w:t>
            </w:r>
          </w:p>
        </w:tc>
        <w:tc>
          <w:tcPr>
            <w:tcW w:w="1842" w:type="dxa"/>
            <w:shd w:val="clear" w:color="auto" w:fill="auto"/>
          </w:tcPr>
          <w:p w14:paraId="570D5180"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3,252,233.29</w:t>
            </w:r>
          </w:p>
        </w:tc>
        <w:tc>
          <w:tcPr>
            <w:tcW w:w="1560" w:type="dxa"/>
            <w:shd w:val="clear" w:color="auto" w:fill="auto"/>
          </w:tcPr>
          <w:p w14:paraId="34FC89DF" w14:textId="77777777" w:rsidR="004A4BB1" w:rsidRPr="00C907D2" w:rsidRDefault="004A4BB1" w:rsidP="00986A20">
            <w:pPr>
              <w:spacing w:after="120"/>
              <w:rPr>
                <w:rFonts w:cstheme="minorHAnsi"/>
                <w:sz w:val="16"/>
                <w:szCs w:val="16"/>
              </w:rPr>
            </w:pPr>
            <w:r w:rsidRPr="008B18AE">
              <w:rPr>
                <w:rFonts w:eastAsia="Times New Roman" w:cstheme="minorHAnsi"/>
                <w:color w:val="000000"/>
                <w:sz w:val="16"/>
                <w:szCs w:val="16"/>
              </w:rPr>
              <w:t>3,388,931.06</w:t>
            </w:r>
          </w:p>
        </w:tc>
        <w:tc>
          <w:tcPr>
            <w:tcW w:w="1842" w:type="dxa"/>
            <w:shd w:val="clear" w:color="auto" w:fill="F2F2F2" w:themeFill="background1" w:themeFillShade="F2"/>
          </w:tcPr>
          <w:p w14:paraId="5741F8D7" w14:textId="77777777" w:rsidR="004A4BB1" w:rsidRPr="00C907D2" w:rsidRDefault="004A4BB1" w:rsidP="00986A20">
            <w:pPr>
              <w:spacing w:after="120"/>
              <w:rPr>
                <w:rFonts w:cstheme="minorHAnsi"/>
                <w:sz w:val="16"/>
                <w:szCs w:val="16"/>
              </w:rPr>
            </w:pPr>
            <w:r w:rsidRPr="009668AB">
              <w:rPr>
                <w:rFonts w:eastAsia="Times New Roman" w:cstheme="minorHAnsi"/>
                <w:color w:val="C00000"/>
                <w:sz w:val="16"/>
                <w:szCs w:val="16"/>
              </w:rPr>
              <w:t>(136,697.77)</w:t>
            </w:r>
          </w:p>
        </w:tc>
      </w:tr>
      <w:tr w:rsidR="004A4BB1" w:rsidRPr="00C907D2" w14:paraId="43DDD0DF" w14:textId="77777777" w:rsidTr="004A4BB1">
        <w:tc>
          <w:tcPr>
            <w:tcW w:w="2694" w:type="dxa"/>
            <w:shd w:val="clear" w:color="auto" w:fill="EBEFF9"/>
          </w:tcPr>
          <w:p w14:paraId="6D2A55DB" w14:textId="77777777" w:rsidR="004A4BB1" w:rsidRPr="009A6D0F" w:rsidRDefault="004A4BB1" w:rsidP="00986A20">
            <w:pPr>
              <w:spacing w:after="120"/>
              <w:rPr>
                <w:rFonts w:eastAsia="Times New Roman" w:cstheme="minorHAnsi"/>
                <w:b/>
                <w:bCs/>
                <w:color w:val="000000"/>
                <w:sz w:val="16"/>
                <w:szCs w:val="16"/>
              </w:rPr>
            </w:pPr>
            <w:r w:rsidRPr="009A6D0F">
              <w:rPr>
                <w:rFonts w:eastAsia="Times New Roman" w:cstheme="minorHAnsi"/>
                <w:b/>
                <w:bCs/>
                <w:color w:val="000000"/>
                <w:sz w:val="16"/>
                <w:szCs w:val="16"/>
              </w:rPr>
              <w:t>Total</w:t>
            </w:r>
          </w:p>
        </w:tc>
        <w:tc>
          <w:tcPr>
            <w:tcW w:w="1842" w:type="dxa"/>
            <w:shd w:val="clear" w:color="auto" w:fill="D6EDBD"/>
          </w:tcPr>
          <w:p w14:paraId="7A69255C" w14:textId="77777777" w:rsidR="004A4BB1" w:rsidRPr="00D40ADB" w:rsidRDefault="004A4BB1" w:rsidP="00986A20">
            <w:pPr>
              <w:spacing w:after="120"/>
              <w:rPr>
                <w:rFonts w:cstheme="minorHAnsi"/>
                <w:b/>
                <w:bCs/>
                <w:sz w:val="16"/>
                <w:szCs w:val="16"/>
                <w:u w:val="single"/>
              </w:rPr>
            </w:pPr>
            <w:r w:rsidRPr="008B18AE">
              <w:rPr>
                <w:rFonts w:eastAsia="Times New Roman" w:cstheme="minorHAnsi"/>
                <w:b/>
                <w:bCs/>
                <w:color w:val="000000"/>
                <w:sz w:val="16"/>
                <w:szCs w:val="16"/>
                <w:u w:val="single"/>
              </w:rPr>
              <w:t>10,867,130.59</w:t>
            </w:r>
          </w:p>
        </w:tc>
        <w:tc>
          <w:tcPr>
            <w:tcW w:w="1560" w:type="dxa"/>
            <w:shd w:val="clear" w:color="auto" w:fill="D6EDBD"/>
          </w:tcPr>
          <w:p w14:paraId="2ECB3D06" w14:textId="77777777" w:rsidR="004A4BB1" w:rsidRPr="00D40ADB" w:rsidRDefault="004A4BB1" w:rsidP="00986A20">
            <w:pPr>
              <w:spacing w:after="120"/>
              <w:rPr>
                <w:rFonts w:cstheme="minorHAnsi"/>
                <w:b/>
                <w:bCs/>
                <w:sz w:val="16"/>
                <w:szCs w:val="16"/>
                <w:u w:val="single"/>
              </w:rPr>
            </w:pPr>
            <w:r w:rsidRPr="008B18AE">
              <w:rPr>
                <w:rFonts w:eastAsia="Times New Roman" w:cstheme="minorHAnsi"/>
                <w:b/>
                <w:bCs/>
                <w:color w:val="000000"/>
                <w:sz w:val="16"/>
                <w:szCs w:val="16"/>
                <w:u w:val="single"/>
              </w:rPr>
              <w:t>10,804,047.93</w:t>
            </w:r>
          </w:p>
        </w:tc>
        <w:tc>
          <w:tcPr>
            <w:tcW w:w="1842" w:type="dxa"/>
            <w:shd w:val="clear" w:color="auto" w:fill="D6EDBD"/>
          </w:tcPr>
          <w:p w14:paraId="45F0D9BC" w14:textId="77777777" w:rsidR="004A4BB1" w:rsidRPr="00D40ADB" w:rsidRDefault="004A4BB1" w:rsidP="00986A20">
            <w:pPr>
              <w:spacing w:after="120"/>
              <w:rPr>
                <w:rFonts w:cstheme="minorHAnsi"/>
                <w:b/>
                <w:bCs/>
                <w:sz w:val="16"/>
                <w:szCs w:val="16"/>
                <w:u w:val="single"/>
              </w:rPr>
            </w:pPr>
            <w:r w:rsidRPr="008B18AE">
              <w:rPr>
                <w:rFonts w:eastAsia="Times New Roman" w:cstheme="minorHAnsi"/>
                <w:b/>
                <w:bCs/>
                <w:color w:val="000000"/>
                <w:sz w:val="16"/>
                <w:szCs w:val="16"/>
                <w:u w:val="single"/>
              </w:rPr>
              <w:t>63,082.66</w:t>
            </w:r>
          </w:p>
        </w:tc>
      </w:tr>
    </w:tbl>
    <w:p w14:paraId="28DE354F" w14:textId="30855A43" w:rsidR="0019559F" w:rsidRPr="00BA3C96" w:rsidRDefault="00BA3C96" w:rsidP="001A5A7F">
      <w:pPr>
        <w:pStyle w:val="TableHeadingBlue"/>
        <w:spacing w:before="160"/>
      </w:pPr>
      <w:r>
        <w:t>Table</w:t>
      </w:r>
      <w:r w:rsidR="002463E3">
        <w:t xml:space="preserve"> </w:t>
      </w:r>
      <w:r w:rsidR="00F5654C">
        <w:t>3</w:t>
      </w:r>
      <w:r>
        <w:t xml:space="preserve">: </w:t>
      </w:r>
      <w:r w:rsidR="00700864" w:rsidRPr="007825FE">
        <w:t xml:space="preserve">ACCESS Cambodia - Budget Vs Actual Spent Report </w:t>
      </w:r>
      <w:r w:rsidR="00245B1D" w:rsidRPr="007825FE">
        <w:t>(a)</w:t>
      </w:r>
      <w:r>
        <w:t xml:space="preserve"> </w:t>
      </w:r>
      <w:r w:rsidR="00700864" w:rsidRPr="00906E86">
        <w:rPr>
          <w:rFonts w:cstheme="minorHAnsi"/>
          <w:i/>
          <w:iCs/>
        </w:rPr>
        <w:t>(Sep</w:t>
      </w:r>
      <w:r w:rsidR="00906E86" w:rsidRPr="00906E86">
        <w:rPr>
          <w:rFonts w:cstheme="minorHAnsi"/>
          <w:i/>
          <w:iCs/>
        </w:rPr>
        <w:t>tember 2018 – June 2022</w:t>
      </w:r>
      <w:r w:rsidR="00700864" w:rsidRPr="00906E86">
        <w:rPr>
          <w:rFonts w:cstheme="minorHAnsi"/>
          <w:i/>
          <w:iCs/>
        </w:rPr>
        <w:t>)</w:t>
      </w:r>
    </w:p>
    <w:tbl>
      <w:tblPr>
        <w:tblStyle w:val="DefaultTable"/>
        <w:tblW w:w="0" w:type="auto"/>
        <w:tblLook w:val="04A0" w:firstRow="1" w:lastRow="0" w:firstColumn="1" w:lastColumn="0" w:noHBand="0" w:noVBand="1"/>
      </w:tblPr>
      <w:tblGrid>
        <w:gridCol w:w="960"/>
        <w:gridCol w:w="1729"/>
        <w:gridCol w:w="850"/>
        <w:gridCol w:w="1276"/>
        <w:gridCol w:w="1559"/>
        <w:gridCol w:w="1559"/>
        <w:gridCol w:w="1560"/>
      </w:tblGrid>
      <w:tr w:rsidR="00012A66" w:rsidRPr="003740BF" w14:paraId="14B23DCF" w14:textId="77777777" w:rsidTr="00E7035F">
        <w:trPr>
          <w:cnfStyle w:val="100000000000" w:firstRow="1" w:lastRow="0" w:firstColumn="0" w:lastColumn="0" w:oddVBand="0" w:evenVBand="0" w:oddHBand="0" w:evenHBand="0" w:firstRowFirstColumn="0" w:firstRowLastColumn="0" w:lastRowFirstColumn="0" w:lastRowLastColumn="0"/>
          <w:cantSplit/>
          <w:trHeight w:val="175"/>
          <w:tblHeader/>
        </w:trPr>
        <w:tc>
          <w:tcPr>
            <w:cnfStyle w:val="001000000000" w:firstRow="0" w:lastRow="0" w:firstColumn="1" w:lastColumn="0" w:oddVBand="0" w:evenVBand="0" w:oddHBand="0" w:evenHBand="0" w:firstRowFirstColumn="0" w:firstRowLastColumn="0" w:lastRowFirstColumn="0" w:lastRowLastColumn="0"/>
            <w:tcW w:w="960" w:type="dxa"/>
            <w:hideMark/>
          </w:tcPr>
          <w:p w14:paraId="7F801543" w14:textId="77777777" w:rsidR="00C7033F" w:rsidRPr="00A85281" w:rsidRDefault="00C7033F" w:rsidP="00B3291F">
            <w:pPr>
              <w:spacing w:after="0"/>
              <w:rPr>
                <w:rFonts w:cstheme="minorHAnsi"/>
                <w:b/>
                <w:bCs/>
                <w:color w:val="E4EAF8"/>
                <w:sz w:val="16"/>
                <w:szCs w:val="16"/>
              </w:rPr>
            </w:pPr>
            <w:r w:rsidRPr="00A85281">
              <w:rPr>
                <w:rFonts w:cstheme="minorHAnsi"/>
                <w:b/>
                <w:bCs/>
                <w:color w:val="E4EAF8"/>
                <w:sz w:val="16"/>
                <w:szCs w:val="16"/>
              </w:rPr>
              <w:t>EOPO</w:t>
            </w:r>
          </w:p>
        </w:tc>
        <w:tc>
          <w:tcPr>
            <w:tcW w:w="1729" w:type="dxa"/>
            <w:hideMark/>
          </w:tcPr>
          <w:p w14:paraId="6FBCB235" w14:textId="58EB1E18" w:rsidR="00C7033F" w:rsidRPr="00A85281" w:rsidRDefault="00C7033F" w:rsidP="00B3291F">
            <w:pPr>
              <w:spacing w:after="0"/>
              <w:cnfStyle w:val="100000000000" w:firstRow="1" w:lastRow="0" w:firstColumn="0" w:lastColumn="0" w:oddVBand="0" w:evenVBand="0" w:oddHBand="0" w:evenHBand="0" w:firstRowFirstColumn="0" w:firstRowLastColumn="0" w:lastRowFirstColumn="0" w:lastRowLastColumn="0"/>
              <w:rPr>
                <w:rFonts w:cstheme="minorHAnsi"/>
                <w:b/>
                <w:bCs/>
                <w:color w:val="E4EAF8"/>
                <w:sz w:val="16"/>
                <w:szCs w:val="16"/>
              </w:rPr>
            </w:pPr>
            <w:r w:rsidRPr="00A85281">
              <w:rPr>
                <w:rFonts w:cstheme="minorHAnsi"/>
                <w:b/>
                <w:bCs/>
                <w:color w:val="E4EAF8"/>
                <w:sz w:val="16"/>
                <w:szCs w:val="16"/>
              </w:rPr>
              <w:t>Sector</w:t>
            </w:r>
          </w:p>
        </w:tc>
        <w:tc>
          <w:tcPr>
            <w:tcW w:w="850" w:type="dxa"/>
            <w:hideMark/>
          </w:tcPr>
          <w:p w14:paraId="350D99A9" w14:textId="77777777" w:rsidR="00C7033F" w:rsidRPr="00A85281" w:rsidRDefault="00C7033F" w:rsidP="00B3291F">
            <w:pPr>
              <w:spacing w:after="0"/>
              <w:cnfStyle w:val="100000000000" w:firstRow="1" w:lastRow="0" w:firstColumn="0" w:lastColumn="0" w:oddVBand="0" w:evenVBand="0" w:oddHBand="0" w:evenHBand="0" w:firstRowFirstColumn="0" w:firstRowLastColumn="0" w:lastRowFirstColumn="0" w:lastRowLastColumn="0"/>
              <w:rPr>
                <w:rFonts w:cstheme="minorHAnsi"/>
                <w:b/>
                <w:bCs/>
                <w:color w:val="E4EAF8"/>
                <w:sz w:val="16"/>
                <w:szCs w:val="16"/>
              </w:rPr>
            </w:pPr>
            <w:r w:rsidRPr="00A85281">
              <w:rPr>
                <w:rFonts w:cstheme="minorHAnsi"/>
                <w:b/>
                <w:bCs/>
                <w:color w:val="E4EAF8"/>
                <w:sz w:val="16"/>
                <w:szCs w:val="16"/>
              </w:rPr>
              <w:t>IO</w:t>
            </w:r>
          </w:p>
        </w:tc>
        <w:tc>
          <w:tcPr>
            <w:tcW w:w="1276" w:type="dxa"/>
            <w:hideMark/>
          </w:tcPr>
          <w:p w14:paraId="65CCAC5A" w14:textId="77777777" w:rsidR="00C7033F" w:rsidRPr="00A85281" w:rsidRDefault="00C7033F" w:rsidP="00B3291F">
            <w:pPr>
              <w:spacing w:after="0"/>
              <w:cnfStyle w:val="100000000000" w:firstRow="1" w:lastRow="0" w:firstColumn="0" w:lastColumn="0" w:oddVBand="0" w:evenVBand="0" w:oddHBand="0" w:evenHBand="0" w:firstRowFirstColumn="0" w:firstRowLastColumn="0" w:lastRowFirstColumn="0" w:lastRowLastColumn="0"/>
              <w:rPr>
                <w:rFonts w:cstheme="minorHAnsi"/>
                <w:b/>
                <w:bCs/>
                <w:color w:val="E4EAF8"/>
                <w:sz w:val="16"/>
                <w:szCs w:val="16"/>
              </w:rPr>
            </w:pPr>
            <w:r w:rsidRPr="00A85281">
              <w:rPr>
                <w:rFonts w:cstheme="minorHAnsi"/>
                <w:b/>
                <w:bCs/>
                <w:color w:val="E4EAF8"/>
                <w:sz w:val="16"/>
                <w:szCs w:val="16"/>
              </w:rPr>
              <w:t>Budget (A)</w:t>
            </w:r>
          </w:p>
        </w:tc>
        <w:tc>
          <w:tcPr>
            <w:tcW w:w="1559" w:type="dxa"/>
            <w:hideMark/>
          </w:tcPr>
          <w:p w14:paraId="77FCEF3B" w14:textId="77777777" w:rsidR="00C7033F" w:rsidRPr="00A85281" w:rsidRDefault="00C7033F" w:rsidP="00B3291F">
            <w:pPr>
              <w:spacing w:after="0"/>
              <w:cnfStyle w:val="100000000000" w:firstRow="1" w:lastRow="0" w:firstColumn="0" w:lastColumn="0" w:oddVBand="0" w:evenVBand="0" w:oddHBand="0" w:evenHBand="0" w:firstRowFirstColumn="0" w:firstRowLastColumn="0" w:lastRowFirstColumn="0" w:lastRowLastColumn="0"/>
              <w:rPr>
                <w:rFonts w:cstheme="minorHAnsi"/>
                <w:b/>
                <w:bCs/>
                <w:color w:val="E4EAF8"/>
                <w:sz w:val="16"/>
                <w:szCs w:val="16"/>
              </w:rPr>
            </w:pPr>
            <w:r w:rsidRPr="00A85281">
              <w:rPr>
                <w:rFonts w:cstheme="minorHAnsi"/>
                <w:b/>
                <w:bCs/>
                <w:color w:val="E4EAF8"/>
                <w:sz w:val="16"/>
                <w:szCs w:val="16"/>
              </w:rPr>
              <w:t>Actual Spent (B)</w:t>
            </w:r>
          </w:p>
        </w:tc>
        <w:tc>
          <w:tcPr>
            <w:tcW w:w="1559" w:type="dxa"/>
            <w:hideMark/>
          </w:tcPr>
          <w:p w14:paraId="3D7291E9" w14:textId="77777777" w:rsidR="00C7033F" w:rsidRPr="00A85281" w:rsidRDefault="00C7033F" w:rsidP="00B3291F">
            <w:pPr>
              <w:spacing w:after="0"/>
              <w:cnfStyle w:val="100000000000" w:firstRow="1" w:lastRow="0" w:firstColumn="0" w:lastColumn="0" w:oddVBand="0" w:evenVBand="0" w:oddHBand="0" w:evenHBand="0" w:firstRowFirstColumn="0" w:firstRowLastColumn="0" w:lastRowFirstColumn="0" w:lastRowLastColumn="0"/>
              <w:rPr>
                <w:rFonts w:cstheme="minorHAnsi"/>
                <w:b/>
                <w:bCs/>
                <w:color w:val="E4EAF8"/>
                <w:sz w:val="16"/>
                <w:szCs w:val="16"/>
              </w:rPr>
            </w:pPr>
            <w:r w:rsidRPr="00A85281">
              <w:rPr>
                <w:rFonts w:cstheme="minorHAnsi"/>
                <w:b/>
                <w:bCs/>
                <w:color w:val="E4EAF8"/>
                <w:sz w:val="16"/>
                <w:szCs w:val="16"/>
              </w:rPr>
              <w:t>Variance (C=A-B)</w:t>
            </w:r>
          </w:p>
        </w:tc>
        <w:tc>
          <w:tcPr>
            <w:tcW w:w="1560" w:type="dxa"/>
            <w:hideMark/>
          </w:tcPr>
          <w:p w14:paraId="6F546BA3" w14:textId="77777777" w:rsidR="00C7033F" w:rsidRPr="00A85281" w:rsidRDefault="00C7033F" w:rsidP="00B3291F">
            <w:pPr>
              <w:spacing w:after="0"/>
              <w:cnfStyle w:val="100000000000" w:firstRow="1" w:lastRow="0" w:firstColumn="0" w:lastColumn="0" w:oddVBand="0" w:evenVBand="0" w:oddHBand="0" w:evenHBand="0" w:firstRowFirstColumn="0" w:firstRowLastColumn="0" w:lastRowFirstColumn="0" w:lastRowLastColumn="0"/>
              <w:rPr>
                <w:rFonts w:cstheme="minorHAnsi"/>
                <w:b/>
                <w:bCs/>
                <w:color w:val="E4EAF8"/>
                <w:sz w:val="16"/>
                <w:szCs w:val="16"/>
              </w:rPr>
            </w:pPr>
            <w:r w:rsidRPr="00A85281">
              <w:rPr>
                <w:rFonts w:cstheme="minorHAnsi"/>
                <w:b/>
                <w:bCs/>
                <w:color w:val="E4EAF8"/>
                <w:sz w:val="16"/>
                <w:szCs w:val="16"/>
              </w:rPr>
              <w:t>% under / (over)</w:t>
            </w:r>
          </w:p>
        </w:tc>
      </w:tr>
      <w:tr w:rsidR="003740BF" w:rsidRPr="003740BF" w14:paraId="5BD1BD39" w14:textId="77777777" w:rsidTr="006B49F5">
        <w:trPr>
          <w:cantSplit/>
          <w:trHeight w:val="17"/>
        </w:trPr>
        <w:tc>
          <w:tcPr>
            <w:cnfStyle w:val="001000000000" w:firstRow="0" w:lastRow="0" w:firstColumn="1" w:lastColumn="0" w:oddVBand="0" w:evenVBand="0" w:oddHBand="0" w:evenHBand="0" w:firstRowFirstColumn="0" w:firstRowLastColumn="0" w:lastRowFirstColumn="0" w:lastRowLastColumn="0"/>
            <w:tcW w:w="960" w:type="dxa"/>
            <w:noWrap/>
            <w:hideMark/>
          </w:tcPr>
          <w:p w14:paraId="14F9EFC4" w14:textId="77777777" w:rsidR="003740BF" w:rsidRPr="003740BF" w:rsidRDefault="003740BF" w:rsidP="00B3291F">
            <w:pPr>
              <w:spacing w:after="0"/>
              <w:rPr>
                <w:rFonts w:cstheme="minorHAnsi"/>
                <w:sz w:val="16"/>
                <w:szCs w:val="16"/>
              </w:rPr>
            </w:pPr>
            <w:r w:rsidRPr="003740BF">
              <w:rPr>
                <w:rFonts w:cstheme="minorHAnsi"/>
                <w:sz w:val="16"/>
                <w:szCs w:val="16"/>
              </w:rPr>
              <w:t>EOPO 1</w:t>
            </w:r>
          </w:p>
        </w:tc>
        <w:tc>
          <w:tcPr>
            <w:tcW w:w="1729" w:type="dxa"/>
            <w:noWrap/>
            <w:hideMark/>
          </w:tcPr>
          <w:p w14:paraId="536FE335" w14:textId="77777777"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PFM</w:t>
            </w:r>
          </w:p>
        </w:tc>
        <w:tc>
          <w:tcPr>
            <w:tcW w:w="850" w:type="dxa"/>
            <w:noWrap/>
            <w:hideMark/>
          </w:tcPr>
          <w:p w14:paraId="066C3A28" w14:textId="77777777"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IO 1.1</w:t>
            </w:r>
          </w:p>
        </w:tc>
        <w:tc>
          <w:tcPr>
            <w:tcW w:w="1276" w:type="dxa"/>
            <w:noWrap/>
            <w:hideMark/>
          </w:tcPr>
          <w:p w14:paraId="00FFB21A" w14:textId="5B6349D0"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363,907 </w:t>
            </w:r>
          </w:p>
        </w:tc>
        <w:tc>
          <w:tcPr>
            <w:tcW w:w="1559" w:type="dxa"/>
            <w:noWrap/>
            <w:hideMark/>
          </w:tcPr>
          <w:p w14:paraId="6C60514E" w14:textId="0A3B05DE"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357,207 </w:t>
            </w:r>
          </w:p>
        </w:tc>
        <w:tc>
          <w:tcPr>
            <w:tcW w:w="1559" w:type="dxa"/>
            <w:noWrap/>
            <w:hideMark/>
          </w:tcPr>
          <w:p w14:paraId="461C1094" w14:textId="0EEB990D"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$6,700.45 </w:t>
            </w:r>
          </w:p>
        </w:tc>
        <w:tc>
          <w:tcPr>
            <w:tcW w:w="1560" w:type="dxa"/>
            <w:noWrap/>
            <w:hideMark/>
          </w:tcPr>
          <w:p w14:paraId="3DB4CAB8" w14:textId="6592AB85"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1.88%</w:t>
            </w:r>
            <w:r w:rsidR="005A03A5">
              <w:rPr>
                <w:rFonts w:cstheme="minorHAnsi"/>
                <w:sz w:val="16"/>
                <w:szCs w:val="16"/>
              </w:rPr>
              <w:t xml:space="preserve"> </w:t>
            </w:r>
            <w:r w:rsidR="00355089">
              <w:rPr>
                <w:rFonts w:cstheme="minorHAnsi"/>
                <w:sz w:val="16"/>
                <w:szCs w:val="16"/>
              </w:rPr>
              <w:t>(b)</w:t>
            </w:r>
          </w:p>
        </w:tc>
      </w:tr>
      <w:tr w:rsidR="003740BF" w:rsidRPr="003740BF" w14:paraId="12AB4198" w14:textId="77777777" w:rsidTr="00E7035F">
        <w:trPr>
          <w:cnfStyle w:val="000000010000" w:firstRow="0" w:lastRow="0" w:firstColumn="0" w:lastColumn="0" w:oddVBand="0" w:evenVBand="0" w:oddHBand="0" w:evenHBand="1" w:firstRowFirstColumn="0" w:firstRowLastColumn="0" w:lastRowFirstColumn="0" w:lastRowLastColumn="0"/>
          <w:cantSplit/>
          <w:trHeight w:val="137"/>
        </w:trPr>
        <w:tc>
          <w:tcPr>
            <w:cnfStyle w:val="001000000000" w:firstRow="0" w:lastRow="0" w:firstColumn="1" w:lastColumn="0" w:oddVBand="0" w:evenVBand="0" w:oddHBand="0" w:evenHBand="0" w:firstRowFirstColumn="0" w:firstRowLastColumn="0" w:lastRowFirstColumn="0" w:lastRowLastColumn="0"/>
            <w:tcW w:w="960" w:type="dxa"/>
            <w:noWrap/>
            <w:hideMark/>
          </w:tcPr>
          <w:p w14:paraId="18551F62" w14:textId="3D261BB4" w:rsidR="003740BF" w:rsidRPr="003740BF" w:rsidRDefault="003740BF" w:rsidP="00B3291F">
            <w:pPr>
              <w:spacing w:after="0"/>
              <w:rPr>
                <w:rFonts w:cstheme="minorHAnsi"/>
                <w:sz w:val="16"/>
                <w:szCs w:val="16"/>
              </w:rPr>
            </w:pPr>
            <w:r w:rsidRPr="003740BF">
              <w:rPr>
                <w:rFonts w:cstheme="minorHAnsi"/>
                <w:sz w:val="16"/>
                <w:szCs w:val="16"/>
              </w:rPr>
              <w:t> </w:t>
            </w:r>
            <w:r w:rsidR="00BA3C96">
              <w:rPr>
                <w:rFonts w:cstheme="minorHAnsi"/>
                <w:sz w:val="16"/>
                <w:szCs w:val="16"/>
              </w:rPr>
              <w:t>EOPO1</w:t>
            </w:r>
          </w:p>
        </w:tc>
        <w:tc>
          <w:tcPr>
            <w:tcW w:w="1729" w:type="dxa"/>
            <w:noWrap/>
            <w:hideMark/>
          </w:tcPr>
          <w:p w14:paraId="14A1A6C1" w14:textId="7070E409" w:rsidR="003740BF" w:rsidRPr="003740BF" w:rsidRDefault="00BA3C96"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Pr>
                <w:rFonts w:cstheme="minorHAnsi"/>
                <w:sz w:val="16"/>
                <w:szCs w:val="16"/>
              </w:rPr>
              <w:t>PFM</w:t>
            </w:r>
          </w:p>
        </w:tc>
        <w:tc>
          <w:tcPr>
            <w:tcW w:w="850" w:type="dxa"/>
            <w:noWrap/>
            <w:hideMark/>
          </w:tcPr>
          <w:p w14:paraId="1886FDC7" w14:textId="77777777"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IO 1.2</w:t>
            </w:r>
          </w:p>
        </w:tc>
        <w:tc>
          <w:tcPr>
            <w:tcW w:w="1276" w:type="dxa"/>
            <w:noWrap/>
            <w:hideMark/>
          </w:tcPr>
          <w:p w14:paraId="0DC26F99" w14:textId="4096F97A"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502,225 </w:t>
            </w:r>
          </w:p>
        </w:tc>
        <w:tc>
          <w:tcPr>
            <w:tcW w:w="1559" w:type="dxa"/>
            <w:noWrap/>
            <w:hideMark/>
          </w:tcPr>
          <w:p w14:paraId="773FEBD0" w14:textId="078D946A"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494,673 </w:t>
            </w:r>
          </w:p>
        </w:tc>
        <w:tc>
          <w:tcPr>
            <w:tcW w:w="1559" w:type="dxa"/>
            <w:noWrap/>
            <w:hideMark/>
          </w:tcPr>
          <w:p w14:paraId="6A468358" w14:textId="7FA4B5C6"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$7,551.59 </w:t>
            </w:r>
          </w:p>
        </w:tc>
        <w:tc>
          <w:tcPr>
            <w:tcW w:w="1560" w:type="dxa"/>
            <w:noWrap/>
            <w:hideMark/>
          </w:tcPr>
          <w:p w14:paraId="2E29BFAE" w14:textId="1353648E" w:rsidR="003740BF" w:rsidRPr="00013FFD"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color w:val="auto"/>
                <w:sz w:val="16"/>
                <w:szCs w:val="16"/>
              </w:rPr>
            </w:pPr>
            <w:r w:rsidRPr="00013FFD">
              <w:rPr>
                <w:rFonts w:cstheme="minorHAnsi"/>
                <w:color w:val="auto"/>
                <w:sz w:val="16"/>
                <w:szCs w:val="16"/>
              </w:rPr>
              <w:t>1.53%</w:t>
            </w:r>
            <w:r w:rsidR="00D4753F" w:rsidRPr="00013FFD">
              <w:rPr>
                <w:rFonts w:cstheme="minorHAnsi"/>
                <w:color w:val="auto"/>
                <w:sz w:val="16"/>
                <w:szCs w:val="16"/>
              </w:rPr>
              <w:t xml:space="preserve"> </w:t>
            </w:r>
            <w:r w:rsidR="00355089" w:rsidRPr="00013FFD">
              <w:rPr>
                <w:rFonts w:cstheme="minorHAnsi"/>
                <w:color w:val="auto"/>
                <w:sz w:val="16"/>
                <w:szCs w:val="16"/>
              </w:rPr>
              <w:t>(</w:t>
            </w:r>
            <w:r w:rsidR="00296B0C" w:rsidRPr="00013FFD">
              <w:rPr>
                <w:rFonts w:cstheme="minorHAnsi"/>
                <w:color w:val="auto"/>
                <w:sz w:val="16"/>
                <w:szCs w:val="16"/>
              </w:rPr>
              <w:t>b</w:t>
            </w:r>
            <w:r w:rsidR="00355089" w:rsidRPr="00013FFD">
              <w:rPr>
                <w:rFonts w:cstheme="minorHAnsi"/>
                <w:color w:val="auto"/>
                <w:sz w:val="16"/>
                <w:szCs w:val="16"/>
              </w:rPr>
              <w:t>)</w:t>
            </w:r>
          </w:p>
        </w:tc>
      </w:tr>
      <w:tr w:rsidR="003740BF" w:rsidRPr="003740BF" w14:paraId="40CED59F" w14:textId="77777777" w:rsidTr="00E7035F">
        <w:trPr>
          <w:cantSplit/>
          <w:trHeight w:val="175"/>
        </w:trPr>
        <w:tc>
          <w:tcPr>
            <w:cnfStyle w:val="001000000000" w:firstRow="0" w:lastRow="0" w:firstColumn="1" w:lastColumn="0" w:oddVBand="0" w:evenVBand="0" w:oddHBand="0" w:evenHBand="0" w:firstRowFirstColumn="0" w:firstRowLastColumn="0" w:lastRowFirstColumn="0" w:lastRowLastColumn="0"/>
            <w:tcW w:w="960" w:type="dxa"/>
            <w:noWrap/>
            <w:hideMark/>
          </w:tcPr>
          <w:p w14:paraId="4F000D5B" w14:textId="77777777" w:rsidR="003740BF" w:rsidRPr="003740BF" w:rsidRDefault="003740BF" w:rsidP="00B3291F">
            <w:pPr>
              <w:spacing w:after="0"/>
              <w:rPr>
                <w:rFonts w:cstheme="minorHAnsi"/>
                <w:sz w:val="16"/>
                <w:szCs w:val="16"/>
              </w:rPr>
            </w:pPr>
            <w:r w:rsidRPr="003740BF">
              <w:rPr>
                <w:rFonts w:cstheme="minorHAnsi"/>
                <w:sz w:val="16"/>
                <w:szCs w:val="16"/>
              </w:rPr>
              <w:t>EOPO2</w:t>
            </w:r>
          </w:p>
        </w:tc>
        <w:tc>
          <w:tcPr>
            <w:tcW w:w="1729" w:type="dxa"/>
            <w:noWrap/>
            <w:hideMark/>
          </w:tcPr>
          <w:p w14:paraId="500D2B2F" w14:textId="77777777"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GBV</w:t>
            </w:r>
          </w:p>
        </w:tc>
        <w:tc>
          <w:tcPr>
            <w:tcW w:w="850" w:type="dxa"/>
            <w:noWrap/>
            <w:hideMark/>
          </w:tcPr>
          <w:p w14:paraId="243E7CB9" w14:textId="77777777"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IO 2.1</w:t>
            </w:r>
          </w:p>
        </w:tc>
        <w:tc>
          <w:tcPr>
            <w:tcW w:w="1276" w:type="dxa"/>
            <w:noWrap/>
            <w:hideMark/>
          </w:tcPr>
          <w:p w14:paraId="0C438619" w14:textId="733A5E75"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2,605,499 </w:t>
            </w:r>
          </w:p>
        </w:tc>
        <w:tc>
          <w:tcPr>
            <w:tcW w:w="1559" w:type="dxa"/>
            <w:noWrap/>
            <w:hideMark/>
          </w:tcPr>
          <w:p w14:paraId="157C2C1A" w14:textId="2F80E950"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2,599,144 </w:t>
            </w:r>
          </w:p>
        </w:tc>
        <w:tc>
          <w:tcPr>
            <w:tcW w:w="1559" w:type="dxa"/>
            <w:noWrap/>
            <w:hideMark/>
          </w:tcPr>
          <w:p w14:paraId="57B48BB4" w14:textId="09CD1615"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$6,355.50 </w:t>
            </w:r>
          </w:p>
        </w:tc>
        <w:tc>
          <w:tcPr>
            <w:tcW w:w="1560" w:type="dxa"/>
            <w:noWrap/>
            <w:hideMark/>
          </w:tcPr>
          <w:p w14:paraId="44606350" w14:textId="1E09D86B" w:rsidR="003740BF" w:rsidRPr="00013FFD"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b/>
                <w:bCs/>
                <w:color w:val="auto"/>
                <w:sz w:val="16"/>
                <w:szCs w:val="16"/>
              </w:rPr>
            </w:pPr>
            <w:r w:rsidRPr="00013FFD">
              <w:rPr>
                <w:rFonts w:cstheme="minorHAnsi"/>
                <w:b/>
                <w:bCs/>
                <w:color w:val="auto"/>
                <w:sz w:val="16"/>
                <w:szCs w:val="16"/>
              </w:rPr>
              <w:t>0.24%</w:t>
            </w:r>
            <w:r w:rsidR="006B49F5">
              <w:rPr>
                <w:rFonts w:cstheme="minorHAnsi"/>
                <w:b/>
                <w:bCs/>
                <w:color w:val="auto"/>
                <w:sz w:val="16"/>
                <w:szCs w:val="16"/>
              </w:rPr>
              <w:t xml:space="preserve"> </w:t>
            </w:r>
            <w:r w:rsidR="00355089" w:rsidRPr="00013FFD">
              <w:rPr>
                <w:rFonts w:cstheme="minorHAnsi"/>
                <w:b/>
                <w:bCs/>
                <w:color w:val="auto"/>
                <w:sz w:val="16"/>
                <w:szCs w:val="16"/>
              </w:rPr>
              <w:t>(</w:t>
            </w:r>
            <w:r w:rsidR="00296B0C" w:rsidRPr="00013FFD">
              <w:rPr>
                <w:rFonts w:cstheme="minorHAnsi"/>
                <w:b/>
                <w:bCs/>
                <w:color w:val="auto"/>
                <w:sz w:val="16"/>
                <w:szCs w:val="16"/>
              </w:rPr>
              <w:t>c</w:t>
            </w:r>
            <w:r w:rsidR="00355089" w:rsidRPr="00013FFD">
              <w:rPr>
                <w:rFonts w:cstheme="minorHAnsi"/>
                <w:b/>
                <w:bCs/>
                <w:color w:val="auto"/>
                <w:sz w:val="16"/>
                <w:szCs w:val="16"/>
              </w:rPr>
              <w:t>)</w:t>
            </w:r>
          </w:p>
        </w:tc>
      </w:tr>
      <w:tr w:rsidR="003740BF" w:rsidRPr="003740BF" w14:paraId="09849FE2" w14:textId="77777777" w:rsidTr="00E7035F">
        <w:trPr>
          <w:cnfStyle w:val="000000010000" w:firstRow="0" w:lastRow="0" w:firstColumn="0" w:lastColumn="0" w:oddVBand="0" w:evenVBand="0" w:oddHBand="0" w:evenHBand="1" w:firstRowFirstColumn="0" w:firstRowLastColumn="0" w:lastRowFirstColumn="0" w:lastRowLastColumn="0"/>
          <w:cantSplit/>
          <w:trHeight w:val="71"/>
        </w:trPr>
        <w:tc>
          <w:tcPr>
            <w:cnfStyle w:val="001000000000" w:firstRow="0" w:lastRow="0" w:firstColumn="1" w:lastColumn="0" w:oddVBand="0" w:evenVBand="0" w:oddHBand="0" w:evenHBand="0" w:firstRowFirstColumn="0" w:firstRowLastColumn="0" w:lastRowFirstColumn="0" w:lastRowLastColumn="0"/>
            <w:tcW w:w="960" w:type="dxa"/>
            <w:noWrap/>
            <w:hideMark/>
          </w:tcPr>
          <w:p w14:paraId="59E5FB45" w14:textId="2C711728" w:rsidR="003740BF" w:rsidRPr="003740BF" w:rsidRDefault="003740BF" w:rsidP="00B3291F">
            <w:pPr>
              <w:spacing w:after="0"/>
              <w:rPr>
                <w:rFonts w:cstheme="minorHAnsi"/>
                <w:sz w:val="16"/>
                <w:szCs w:val="16"/>
              </w:rPr>
            </w:pPr>
            <w:r w:rsidRPr="003740BF">
              <w:rPr>
                <w:rFonts w:cstheme="minorHAnsi"/>
                <w:sz w:val="16"/>
                <w:szCs w:val="16"/>
              </w:rPr>
              <w:t> </w:t>
            </w:r>
            <w:r w:rsidR="00BA3C96">
              <w:rPr>
                <w:rFonts w:cstheme="minorHAnsi"/>
                <w:sz w:val="16"/>
                <w:szCs w:val="16"/>
              </w:rPr>
              <w:t>EOPO2</w:t>
            </w:r>
          </w:p>
        </w:tc>
        <w:tc>
          <w:tcPr>
            <w:tcW w:w="1729" w:type="dxa"/>
            <w:noWrap/>
            <w:hideMark/>
          </w:tcPr>
          <w:p w14:paraId="66E55CFB" w14:textId="2C61D7C7" w:rsidR="003740BF" w:rsidRPr="003740BF" w:rsidRDefault="00BA3C96"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Pr>
                <w:rFonts w:cstheme="minorHAnsi"/>
                <w:sz w:val="16"/>
                <w:szCs w:val="16"/>
              </w:rPr>
              <w:t>GBV</w:t>
            </w:r>
          </w:p>
        </w:tc>
        <w:tc>
          <w:tcPr>
            <w:tcW w:w="850" w:type="dxa"/>
            <w:noWrap/>
            <w:hideMark/>
          </w:tcPr>
          <w:p w14:paraId="082CFE00" w14:textId="77777777"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IO 2.2</w:t>
            </w:r>
          </w:p>
        </w:tc>
        <w:tc>
          <w:tcPr>
            <w:tcW w:w="1276" w:type="dxa"/>
            <w:noWrap/>
            <w:hideMark/>
          </w:tcPr>
          <w:p w14:paraId="4119004B" w14:textId="0DF26295"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2,630,408 </w:t>
            </w:r>
          </w:p>
        </w:tc>
        <w:tc>
          <w:tcPr>
            <w:tcW w:w="1559" w:type="dxa"/>
            <w:noWrap/>
            <w:hideMark/>
          </w:tcPr>
          <w:p w14:paraId="772D2338" w14:textId="2D42EC79"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2,620,167 </w:t>
            </w:r>
          </w:p>
        </w:tc>
        <w:tc>
          <w:tcPr>
            <w:tcW w:w="1559" w:type="dxa"/>
            <w:noWrap/>
            <w:hideMark/>
          </w:tcPr>
          <w:p w14:paraId="19AD23B7" w14:textId="7AF6C4A7"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$10,241.11 </w:t>
            </w:r>
          </w:p>
        </w:tc>
        <w:tc>
          <w:tcPr>
            <w:tcW w:w="1560" w:type="dxa"/>
            <w:noWrap/>
            <w:hideMark/>
          </w:tcPr>
          <w:p w14:paraId="223FED70" w14:textId="5D9121C1" w:rsidR="003740BF" w:rsidRPr="00013FFD"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b/>
                <w:bCs/>
                <w:color w:val="auto"/>
                <w:sz w:val="16"/>
                <w:szCs w:val="16"/>
              </w:rPr>
            </w:pPr>
            <w:r w:rsidRPr="00013FFD">
              <w:rPr>
                <w:rFonts w:cstheme="minorHAnsi"/>
                <w:b/>
                <w:bCs/>
                <w:color w:val="auto"/>
                <w:sz w:val="16"/>
                <w:szCs w:val="16"/>
              </w:rPr>
              <w:t>0.39%</w:t>
            </w:r>
            <w:r w:rsidR="006B49F5">
              <w:rPr>
                <w:rFonts w:cstheme="minorHAnsi"/>
                <w:b/>
                <w:bCs/>
                <w:color w:val="auto"/>
                <w:sz w:val="16"/>
                <w:szCs w:val="16"/>
              </w:rPr>
              <w:t xml:space="preserve"> </w:t>
            </w:r>
            <w:r w:rsidR="00355089" w:rsidRPr="00013FFD">
              <w:rPr>
                <w:rFonts w:cstheme="minorHAnsi"/>
                <w:b/>
                <w:bCs/>
                <w:color w:val="auto"/>
                <w:sz w:val="16"/>
                <w:szCs w:val="16"/>
              </w:rPr>
              <w:t>(</w:t>
            </w:r>
            <w:r w:rsidR="00296B0C" w:rsidRPr="00013FFD">
              <w:rPr>
                <w:rFonts w:cstheme="minorHAnsi"/>
                <w:b/>
                <w:bCs/>
                <w:color w:val="auto"/>
                <w:sz w:val="16"/>
                <w:szCs w:val="16"/>
              </w:rPr>
              <w:t>c</w:t>
            </w:r>
            <w:r w:rsidR="00355089" w:rsidRPr="00013FFD">
              <w:rPr>
                <w:rFonts w:cstheme="minorHAnsi"/>
                <w:b/>
                <w:bCs/>
                <w:color w:val="auto"/>
                <w:sz w:val="16"/>
                <w:szCs w:val="16"/>
              </w:rPr>
              <w:t>)</w:t>
            </w:r>
          </w:p>
        </w:tc>
      </w:tr>
      <w:tr w:rsidR="003740BF" w:rsidRPr="003740BF" w14:paraId="55C660ED" w14:textId="77777777" w:rsidTr="00E7035F">
        <w:trPr>
          <w:cantSplit/>
          <w:trHeight w:val="96"/>
        </w:trPr>
        <w:tc>
          <w:tcPr>
            <w:cnfStyle w:val="001000000000" w:firstRow="0" w:lastRow="0" w:firstColumn="1" w:lastColumn="0" w:oddVBand="0" w:evenVBand="0" w:oddHBand="0" w:evenHBand="0" w:firstRowFirstColumn="0" w:firstRowLastColumn="0" w:lastRowFirstColumn="0" w:lastRowLastColumn="0"/>
            <w:tcW w:w="960" w:type="dxa"/>
            <w:noWrap/>
            <w:hideMark/>
          </w:tcPr>
          <w:p w14:paraId="3FF64B70" w14:textId="7D1D6F64" w:rsidR="003740BF" w:rsidRPr="003740BF" w:rsidRDefault="003740BF" w:rsidP="00B3291F">
            <w:pPr>
              <w:spacing w:after="0"/>
              <w:rPr>
                <w:rFonts w:cstheme="minorHAnsi"/>
                <w:sz w:val="16"/>
                <w:szCs w:val="16"/>
              </w:rPr>
            </w:pPr>
            <w:r w:rsidRPr="003740BF">
              <w:rPr>
                <w:rFonts w:cstheme="minorHAnsi"/>
                <w:sz w:val="16"/>
                <w:szCs w:val="16"/>
              </w:rPr>
              <w:t> </w:t>
            </w:r>
            <w:r w:rsidR="00BA3C96" w:rsidRPr="003740BF">
              <w:rPr>
                <w:rFonts w:cstheme="minorHAnsi"/>
                <w:sz w:val="16"/>
                <w:szCs w:val="16"/>
              </w:rPr>
              <w:t> </w:t>
            </w:r>
            <w:r w:rsidR="00BA3C96">
              <w:rPr>
                <w:rFonts w:cstheme="minorHAnsi"/>
                <w:sz w:val="16"/>
                <w:szCs w:val="16"/>
              </w:rPr>
              <w:t>EOPO2</w:t>
            </w:r>
          </w:p>
        </w:tc>
        <w:tc>
          <w:tcPr>
            <w:tcW w:w="1729" w:type="dxa"/>
            <w:noWrap/>
            <w:hideMark/>
          </w:tcPr>
          <w:p w14:paraId="66B8D337" w14:textId="77777777"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Disability</w:t>
            </w:r>
          </w:p>
        </w:tc>
        <w:tc>
          <w:tcPr>
            <w:tcW w:w="850" w:type="dxa"/>
            <w:noWrap/>
            <w:hideMark/>
          </w:tcPr>
          <w:p w14:paraId="5B8BC26A" w14:textId="77777777"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IO 2.3</w:t>
            </w:r>
          </w:p>
        </w:tc>
        <w:tc>
          <w:tcPr>
            <w:tcW w:w="1276" w:type="dxa"/>
            <w:noWrap/>
            <w:hideMark/>
          </w:tcPr>
          <w:p w14:paraId="1BAE49C1" w14:textId="766D5766"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1,278,916 </w:t>
            </w:r>
          </w:p>
        </w:tc>
        <w:tc>
          <w:tcPr>
            <w:tcW w:w="1559" w:type="dxa"/>
            <w:noWrap/>
            <w:hideMark/>
          </w:tcPr>
          <w:p w14:paraId="08504483" w14:textId="414DF781"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1,286,241 </w:t>
            </w:r>
          </w:p>
        </w:tc>
        <w:tc>
          <w:tcPr>
            <w:tcW w:w="1559" w:type="dxa"/>
            <w:noWrap/>
            <w:hideMark/>
          </w:tcPr>
          <w:p w14:paraId="0A610F70" w14:textId="5C60C300"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-$7,324.62 </w:t>
            </w:r>
          </w:p>
        </w:tc>
        <w:tc>
          <w:tcPr>
            <w:tcW w:w="1560" w:type="dxa"/>
            <w:noWrap/>
            <w:hideMark/>
          </w:tcPr>
          <w:p w14:paraId="4899F7DB" w14:textId="67FFBADA" w:rsidR="003740BF" w:rsidRPr="00013FFD"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b/>
                <w:bCs/>
                <w:color w:val="auto"/>
                <w:sz w:val="16"/>
                <w:szCs w:val="16"/>
              </w:rPr>
            </w:pPr>
            <w:r w:rsidRPr="00013FFD">
              <w:rPr>
                <w:rFonts w:cstheme="minorHAnsi"/>
                <w:b/>
                <w:bCs/>
                <w:color w:val="auto"/>
                <w:sz w:val="16"/>
                <w:szCs w:val="16"/>
              </w:rPr>
              <w:t>-0.57%</w:t>
            </w:r>
            <w:r w:rsidR="006B49F5">
              <w:rPr>
                <w:rFonts w:cstheme="minorHAnsi"/>
                <w:b/>
                <w:bCs/>
                <w:color w:val="auto"/>
                <w:sz w:val="16"/>
                <w:szCs w:val="16"/>
              </w:rPr>
              <w:t xml:space="preserve"> </w:t>
            </w:r>
            <w:r w:rsidR="00355089" w:rsidRPr="00013FFD">
              <w:rPr>
                <w:rFonts w:cstheme="minorHAnsi"/>
                <w:b/>
                <w:bCs/>
                <w:color w:val="auto"/>
                <w:sz w:val="16"/>
                <w:szCs w:val="16"/>
              </w:rPr>
              <w:t>(</w:t>
            </w:r>
            <w:r w:rsidR="00296B0C" w:rsidRPr="00013FFD">
              <w:rPr>
                <w:rFonts w:cstheme="minorHAnsi"/>
                <w:b/>
                <w:bCs/>
                <w:color w:val="auto"/>
                <w:sz w:val="16"/>
                <w:szCs w:val="16"/>
              </w:rPr>
              <w:t>d</w:t>
            </w:r>
            <w:r w:rsidR="00355089" w:rsidRPr="00013FFD">
              <w:rPr>
                <w:rFonts w:cstheme="minorHAnsi"/>
                <w:b/>
                <w:bCs/>
                <w:color w:val="auto"/>
                <w:sz w:val="16"/>
                <w:szCs w:val="16"/>
              </w:rPr>
              <w:t>)</w:t>
            </w:r>
          </w:p>
        </w:tc>
      </w:tr>
      <w:tr w:rsidR="003740BF" w:rsidRPr="003740BF" w14:paraId="472FB355" w14:textId="77777777" w:rsidTr="00E7035F">
        <w:trPr>
          <w:cnfStyle w:val="000000010000" w:firstRow="0" w:lastRow="0" w:firstColumn="0" w:lastColumn="0" w:oddVBand="0" w:evenVBand="0" w:oddHBand="0" w:evenHBand="1" w:firstRowFirstColumn="0" w:firstRowLastColumn="0" w:lastRowFirstColumn="0" w:lastRowLastColumn="0"/>
          <w:cantSplit/>
          <w:trHeight w:val="303"/>
        </w:trPr>
        <w:tc>
          <w:tcPr>
            <w:cnfStyle w:val="001000000000" w:firstRow="0" w:lastRow="0" w:firstColumn="1" w:lastColumn="0" w:oddVBand="0" w:evenVBand="0" w:oddHBand="0" w:evenHBand="0" w:firstRowFirstColumn="0" w:firstRowLastColumn="0" w:lastRowFirstColumn="0" w:lastRowLastColumn="0"/>
            <w:tcW w:w="960" w:type="dxa"/>
            <w:noWrap/>
            <w:hideMark/>
          </w:tcPr>
          <w:p w14:paraId="3681522B" w14:textId="0BFA60AE" w:rsidR="003740BF" w:rsidRPr="003740BF" w:rsidRDefault="003740BF" w:rsidP="00B3291F">
            <w:pPr>
              <w:spacing w:after="0"/>
              <w:rPr>
                <w:rFonts w:cstheme="minorHAnsi"/>
                <w:sz w:val="16"/>
                <w:szCs w:val="16"/>
              </w:rPr>
            </w:pPr>
            <w:r w:rsidRPr="003740BF">
              <w:rPr>
                <w:rFonts w:cstheme="minorHAnsi"/>
                <w:sz w:val="16"/>
                <w:szCs w:val="16"/>
              </w:rPr>
              <w:t> </w:t>
            </w:r>
            <w:r w:rsidR="00BA3C96" w:rsidRPr="003740BF">
              <w:rPr>
                <w:rFonts w:cstheme="minorHAnsi"/>
                <w:sz w:val="16"/>
                <w:szCs w:val="16"/>
              </w:rPr>
              <w:t> </w:t>
            </w:r>
            <w:r w:rsidR="00BA3C96">
              <w:rPr>
                <w:rFonts w:cstheme="minorHAnsi"/>
                <w:sz w:val="16"/>
                <w:szCs w:val="16"/>
              </w:rPr>
              <w:t>EOPO2</w:t>
            </w:r>
          </w:p>
        </w:tc>
        <w:tc>
          <w:tcPr>
            <w:tcW w:w="1729" w:type="dxa"/>
            <w:noWrap/>
            <w:hideMark/>
          </w:tcPr>
          <w:p w14:paraId="1A3A0EF2" w14:textId="66E1E5DA"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w:t>
            </w:r>
            <w:r w:rsidR="00BA3C96">
              <w:rPr>
                <w:rFonts w:cstheme="minorHAnsi"/>
                <w:sz w:val="16"/>
                <w:szCs w:val="16"/>
              </w:rPr>
              <w:t>Disability</w:t>
            </w:r>
          </w:p>
        </w:tc>
        <w:tc>
          <w:tcPr>
            <w:tcW w:w="850" w:type="dxa"/>
            <w:noWrap/>
            <w:hideMark/>
          </w:tcPr>
          <w:p w14:paraId="405C0CCA" w14:textId="77777777"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IO 2.4</w:t>
            </w:r>
          </w:p>
        </w:tc>
        <w:tc>
          <w:tcPr>
            <w:tcW w:w="1276" w:type="dxa"/>
            <w:noWrap/>
            <w:hideMark/>
          </w:tcPr>
          <w:p w14:paraId="26638809" w14:textId="2B70E633"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810,215 </w:t>
            </w:r>
          </w:p>
        </w:tc>
        <w:tc>
          <w:tcPr>
            <w:tcW w:w="1559" w:type="dxa"/>
            <w:noWrap/>
            <w:hideMark/>
          </w:tcPr>
          <w:p w14:paraId="53669543" w14:textId="069FFE48"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773,745 </w:t>
            </w:r>
          </w:p>
        </w:tc>
        <w:tc>
          <w:tcPr>
            <w:tcW w:w="1559" w:type="dxa"/>
            <w:noWrap/>
            <w:hideMark/>
          </w:tcPr>
          <w:p w14:paraId="21791CEF" w14:textId="40BF4DC9"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$36,469.72 </w:t>
            </w:r>
          </w:p>
        </w:tc>
        <w:tc>
          <w:tcPr>
            <w:tcW w:w="1560" w:type="dxa"/>
            <w:noWrap/>
            <w:hideMark/>
          </w:tcPr>
          <w:p w14:paraId="3E57BE63" w14:textId="67DD5C6B" w:rsidR="003740BF" w:rsidRPr="00013FFD"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color w:val="auto"/>
                <w:sz w:val="16"/>
                <w:szCs w:val="16"/>
              </w:rPr>
            </w:pPr>
            <w:r w:rsidRPr="00013FFD">
              <w:rPr>
                <w:rFonts w:cstheme="minorHAnsi"/>
                <w:color w:val="auto"/>
                <w:sz w:val="16"/>
                <w:szCs w:val="16"/>
              </w:rPr>
              <w:t>4.71%</w:t>
            </w:r>
            <w:r w:rsidR="006B49F5">
              <w:rPr>
                <w:rFonts w:cstheme="minorHAnsi"/>
                <w:color w:val="auto"/>
                <w:sz w:val="16"/>
                <w:szCs w:val="16"/>
              </w:rPr>
              <w:t xml:space="preserve"> </w:t>
            </w:r>
            <w:r w:rsidR="00355089" w:rsidRPr="00013FFD">
              <w:rPr>
                <w:rFonts w:cstheme="minorHAnsi"/>
                <w:color w:val="auto"/>
                <w:sz w:val="16"/>
                <w:szCs w:val="16"/>
              </w:rPr>
              <w:t>(</w:t>
            </w:r>
            <w:r w:rsidR="00296B0C" w:rsidRPr="00013FFD">
              <w:rPr>
                <w:rFonts w:cstheme="minorHAnsi"/>
                <w:color w:val="auto"/>
                <w:sz w:val="16"/>
                <w:szCs w:val="16"/>
              </w:rPr>
              <w:t>e</w:t>
            </w:r>
            <w:r w:rsidR="00355089" w:rsidRPr="00013FFD">
              <w:rPr>
                <w:rFonts w:cstheme="minorHAnsi"/>
                <w:color w:val="auto"/>
                <w:sz w:val="16"/>
                <w:szCs w:val="16"/>
              </w:rPr>
              <w:t>)</w:t>
            </w:r>
          </w:p>
        </w:tc>
      </w:tr>
      <w:tr w:rsidR="003740BF" w:rsidRPr="003740BF" w14:paraId="77164BA6" w14:textId="77777777" w:rsidTr="00E7035F">
        <w:trPr>
          <w:cantSplit/>
          <w:trHeight w:val="161"/>
        </w:trPr>
        <w:tc>
          <w:tcPr>
            <w:cnfStyle w:val="001000000000" w:firstRow="0" w:lastRow="0" w:firstColumn="1" w:lastColumn="0" w:oddVBand="0" w:evenVBand="0" w:oddHBand="0" w:evenHBand="0" w:firstRowFirstColumn="0" w:firstRowLastColumn="0" w:lastRowFirstColumn="0" w:lastRowLastColumn="0"/>
            <w:tcW w:w="960" w:type="dxa"/>
            <w:noWrap/>
            <w:hideMark/>
          </w:tcPr>
          <w:p w14:paraId="0BFF95C7" w14:textId="79F77A41" w:rsidR="003740BF" w:rsidRPr="003740BF" w:rsidRDefault="003740BF" w:rsidP="00B3291F">
            <w:pPr>
              <w:spacing w:after="0"/>
              <w:rPr>
                <w:rFonts w:cstheme="minorHAnsi"/>
                <w:sz w:val="16"/>
                <w:szCs w:val="16"/>
              </w:rPr>
            </w:pPr>
            <w:r w:rsidRPr="003740BF">
              <w:rPr>
                <w:rFonts w:cstheme="minorHAnsi"/>
                <w:sz w:val="16"/>
                <w:szCs w:val="16"/>
              </w:rPr>
              <w:t> </w:t>
            </w:r>
            <w:r w:rsidR="00BA3C96" w:rsidRPr="003740BF">
              <w:rPr>
                <w:rFonts w:cstheme="minorHAnsi"/>
                <w:sz w:val="16"/>
                <w:szCs w:val="16"/>
              </w:rPr>
              <w:t> </w:t>
            </w:r>
            <w:r w:rsidR="00BA3C96">
              <w:rPr>
                <w:rFonts w:cstheme="minorHAnsi"/>
                <w:sz w:val="16"/>
                <w:szCs w:val="16"/>
              </w:rPr>
              <w:t>EOPO2</w:t>
            </w:r>
          </w:p>
        </w:tc>
        <w:tc>
          <w:tcPr>
            <w:tcW w:w="1729" w:type="dxa"/>
            <w:noWrap/>
            <w:hideMark/>
          </w:tcPr>
          <w:p w14:paraId="6721BB39" w14:textId="566EF7DF"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w:t>
            </w:r>
            <w:r w:rsidR="00BA3C96">
              <w:rPr>
                <w:rFonts w:cstheme="minorHAnsi"/>
                <w:sz w:val="16"/>
                <w:szCs w:val="16"/>
              </w:rPr>
              <w:t>Disability</w:t>
            </w:r>
          </w:p>
        </w:tc>
        <w:tc>
          <w:tcPr>
            <w:tcW w:w="850" w:type="dxa"/>
            <w:noWrap/>
            <w:hideMark/>
          </w:tcPr>
          <w:p w14:paraId="141861EF" w14:textId="77777777"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IO 2.5</w:t>
            </w:r>
          </w:p>
        </w:tc>
        <w:tc>
          <w:tcPr>
            <w:tcW w:w="1276" w:type="dxa"/>
            <w:noWrap/>
            <w:hideMark/>
          </w:tcPr>
          <w:p w14:paraId="0671DAB4" w14:textId="2500E1E0"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1,701,953 </w:t>
            </w:r>
          </w:p>
        </w:tc>
        <w:tc>
          <w:tcPr>
            <w:tcW w:w="1559" w:type="dxa"/>
            <w:noWrap/>
            <w:hideMark/>
          </w:tcPr>
          <w:p w14:paraId="58DFECCD" w14:textId="703D27B0"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1,691,131 </w:t>
            </w:r>
          </w:p>
        </w:tc>
        <w:tc>
          <w:tcPr>
            <w:tcW w:w="1559" w:type="dxa"/>
            <w:noWrap/>
            <w:hideMark/>
          </w:tcPr>
          <w:p w14:paraId="218C6445" w14:textId="2B75239C"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$10,821.35 </w:t>
            </w:r>
          </w:p>
        </w:tc>
        <w:tc>
          <w:tcPr>
            <w:tcW w:w="1560" w:type="dxa"/>
            <w:noWrap/>
            <w:hideMark/>
          </w:tcPr>
          <w:p w14:paraId="21EF5ED8" w14:textId="7DCA228A" w:rsidR="003740BF" w:rsidRPr="00013FFD"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b/>
                <w:bCs/>
                <w:color w:val="auto"/>
                <w:sz w:val="16"/>
                <w:szCs w:val="16"/>
              </w:rPr>
            </w:pPr>
            <w:r w:rsidRPr="00013FFD">
              <w:rPr>
                <w:rFonts w:cstheme="minorHAnsi"/>
                <w:b/>
                <w:bCs/>
                <w:color w:val="auto"/>
                <w:sz w:val="16"/>
                <w:szCs w:val="16"/>
              </w:rPr>
              <w:t>0.64%</w:t>
            </w:r>
            <w:r w:rsidR="006B49F5">
              <w:rPr>
                <w:rFonts w:cstheme="minorHAnsi"/>
                <w:b/>
                <w:bCs/>
                <w:color w:val="auto"/>
                <w:sz w:val="16"/>
                <w:szCs w:val="16"/>
              </w:rPr>
              <w:t xml:space="preserve"> </w:t>
            </w:r>
            <w:r w:rsidR="00355089" w:rsidRPr="00013FFD">
              <w:rPr>
                <w:rFonts w:cstheme="minorHAnsi"/>
                <w:b/>
                <w:bCs/>
                <w:color w:val="auto"/>
                <w:sz w:val="16"/>
                <w:szCs w:val="16"/>
              </w:rPr>
              <w:t>(</w:t>
            </w:r>
            <w:r w:rsidR="00947DC7" w:rsidRPr="00013FFD">
              <w:rPr>
                <w:rFonts w:cstheme="minorHAnsi"/>
                <w:b/>
                <w:bCs/>
                <w:color w:val="auto"/>
                <w:sz w:val="16"/>
                <w:szCs w:val="16"/>
              </w:rPr>
              <w:t>f</w:t>
            </w:r>
            <w:r w:rsidR="00355089" w:rsidRPr="00013FFD">
              <w:rPr>
                <w:rFonts w:cstheme="minorHAnsi"/>
                <w:b/>
                <w:bCs/>
                <w:color w:val="auto"/>
                <w:sz w:val="16"/>
                <w:szCs w:val="16"/>
              </w:rPr>
              <w:t>)</w:t>
            </w:r>
          </w:p>
        </w:tc>
      </w:tr>
      <w:tr w:rsidR="003740BF" w:rsidRPr="003740BF" w14:paraId="55DEF89A" w14:textId="77777777" w:rsidTr="00E7035F">
        <w:trPr>
          <w:cnfStyle w:val="000000010000" w:firstRow="0" w:lastRow="0" w:firstColumn="0" w:lastColumn="0" w:oddVBand="0" w:evenVBand="0" w:oddHBand="0" w:evenHBand="1" w:firstRowFirstColumn="0" w:firstRowLastColumn="0" w:lastRowFirstColumn="0" w:lastRowLastColumn="0"/>
          <w:cantSplit/>
          <w:trHeight w:val="15"/>
        </w:trPr>
        <w:tc>
          <w:tcPr>
            <w:cnfStyle w:val="001000000000" w:firstRow="0" w:lastRow="0" w:firstColumn="1" w:lastColumn="0" w:oddVBand="0" w:evenVBand="0" w:oddHBand="0" w:evenHBand="0" w:firstRowFirstColumn="0" w:firstRowLastColumn="0" w:lastRowFirstColumn="0" w:lastRowLastColumn="0"/>
            <w:tcW w:w="960" w:type="dxa"/>
            <w:noWrap/>
            <w:hideMark/>
          </w:tcPr>
          <w:p w14:paraId="2D610E93" w14:textId="03C390A5" w:rsidR="003740BF" w:rsidRPr="003740BF" w:rsidRDefault="003740BF" w:rsidP="00B3291F">
            <w:pPr>
              <w:spacing w:after="0"/>
              <w:rPr>
                <w:rFonts w:cstheme="minorHAnsi"/>
                <w:sz w:val="16"/>
                <w:szCs w:val="16"/>
              </w:rPr>
            </w:pPr>
            <w:r w:rsidRPr="003740BF">
              <w:rPr>
                <w:rFonts w:cstheme="minorHAnsi"/>
                <w:sz w:val="16"/>
                <w:szCs w:val="16"/>
              </w:rPr>
              <w:t> </w:t>
            </w:r>
            <w:r w:rsidR="00BA3C96" w:rsidRPr="003740BF">
              <w:rPr>
                <w:rFonts w:cstheme="minorHAnsi"/>
                <w:sz w:val="16"/>
                <w:szCs w:val="16"/>
              </w:rPr>
              <w:t> </w:t>
            </w:r>
            <w:r w:rsidR="00BA3C96">
              <w:rPr>
                <w:rFonts w:cstheme="minorHAnsi"/>
                <w:sz w:val="16"/>
                <w:szCs w:val="16"/>
              </w:rPr>
              <w:t>EOPO2</w:t>
            </w:r>
          </w:p>
        </w:tc>
        <w:tc>
          <w:tcPr>
            <w:tcW w:w="1729" w:type="dxa"/>
            <w:noWrap/>
            <w:hideMark/>
          </w:tcPr>
          <w:p w14:paraId="7F78ED33" w14:textId="77777777"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CIP</w:t>
            </w:r>
          </w:p>
        </w:tc>
        <w:tc>
          <w:tcPr>
            <w:tcW w:w="850" w:type="dxa"/>
            <w:noWrap/>
            <w:hideMark/>
          </w:tcPr>
          <w:p w14:paraId="5D30A886" w14:textId="77777777"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IO 2.6</w:t>
            </w:r>
          </w:p>
        </w:tc>
        <w:tc>
          <w:tcPr>
            <w:tcW w:w="1276" w:type="dxa"/>
            <w:noWrap/>
            <w:hideMark/>
          </w:tcPr>
          <w:p w14:paraId="2EBE0535" w14:textId="3D0FD806"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483,844 </w:t>
            </w:r>
          </w:p>
        </w:tc>
        <w:tc>
          <w:tcPr>
            <w:tcW w:w="1559" w:type="dxa"/>
            <w:noWrap/>
            <w:hideMark/>
          </w:tcPr>
          <w:p w14:paraId="4ADA84A4" w14:textId="470197A4"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479,874 </w:t>
            </w:r>
          </w:p>
        </w:tc>
        <w:tc>
          <w:tcPr>
            <w:tcW w:w="1559" w:type="dxa"/>
            <w:noWrap/>
            <w:hideMark/>
          </w:tcPr>
          <w:p w14:paraId="3C1F5EDF" w14:textId="1C8F77AF"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 xml:space="preserve"> $3,970.53 </w:t>
            </w:r>
          </w:p>
        </w:tc>
        <w:tc>
          <w:tcPr>
            <w:tcW w:w="1560" w:type="dxa"/>
            <w:noWrap/>
            <w:hideMark/>
          </w:tcPr>
          <w:p w14:paraId="1A875BF1" w14:textId="55DB750E" w:rsidR="003740BF" w:rsidRPr="003740BF"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sz w:val="16"/>
                <w:szCs w:val="16"/>
              </w:rPr>
            </w:pPr>
            <w:r w:rsidRPr="003740BF">
              <w:rPr>
                <w:rFonts w:cstheme="minorHAnsi"/>
                <w:sz w:val="16"/>
                <w:szCs w:val="16"/>
              </w:rPr>
              <w:t>0.83%</w:t>
            </w:r>
            <w:r w:rsidR="006B49F5">
              <w:rPr>
                <w:rFonts w:cstheme="minorHAnsi"/>
                <w:sz w:val="16"/>
                <w:szCs w:val="16"/>
              </w:rPr>
              <w:t xml:space="preserve"> </w:t>
            </w:r>
            <w:r w:rsidR="00DE182B">
              <w:rPr>
                <w:rFonts w:cstheme="minorHAnsi"/>
                <w:sz w:val="16"/>
                <w:szCs w:val="16"/>
              </w:rPr>
              <w:t>(</w:t>
            </w:r>
            <w:r w:rsidR="00947DC7">
              <w:rPr>
                <w:rFonts w:cstheme="minorHAnsi"/>
                <w:sz w:val="16"/>
                <w:szCs w:val="16"/>
              </w:rPr>
              <w:t>g</w:t>
            </w:r>
            <w:r w:rsidR="00DE182B">
              <w:rPr>
                <w:rFonts w:cstheme="minorHAnsi"/>
                <w:sz w:val="16"/>
                <w:szCs w:val="16"/>
              </w:rPr>
              <w:t>)</w:t>
            </w:r>
          </w:p>
        </w:tc>
      </w:tr>
      <w:tr w:rsidR="003740BF" w:rsidRPr="003740BF" w14:paraId="6EB0FE83" w14:textId="77777777" w:rsidTr="00E7035F">
        <w:trPr>
          <w:cantSplit/>
          <w:trHeight w:val="15"/>
        </w:trPr>
        <w:tc>
          <w:tcPr>
            <w:cnfStyle w:val="001000000000" w:firstRow="0" w:lastRow="0" w:firstColumn="1" w:lastColumn="0" w:oddVBand="0" w:evenVBand="0" w:oddHBand="0" w:evenHBand="0" w:firstRowFirstColumn="0" w:firstRowLastColumn="0" w:lastRowFirstColumn="0" w:lastRowLastColumn="0"/>
            <w:tcW w:w="960" w:type="dxa"/>
            <w:noWrap/>
            <w:hideMark/>
          </w:tcPr>
          <w:p w14:paraId="65F413CB" w14:textId="5EC60A2F" w:rsidR="003740BF" w:rsidRPr="003740BF" w:rsidRDefault="003740BF" w:rsidP="00B3291F">
            <w:pPr>
              <w:spacing w:after="0"/>
              <w:rPr>
                <w:rFonts w:cstheme="minorHAnsi"/>
                <w:sz w:val="16"/>
                <w:szCs w:val="16"/>
              </w:rPr>
            </w:pPr>
            <w:r w:rsidRPr="003740BF">
              <w:rPr>
                <w:rFonts w:cstheme="minorHAnsi"/>
                <w:sz w:val="16"/>
                <w:szCs w:val="16"/>
              </w:rPr>
              <w:t> </w:t>
            </w:r>
            <w:r w:rsidR="00BA3C96" w:rsidRPr="003740BF">
              <w:rPr>
                <w:rFonts w:cstheme="minorHAnsi"/>
                <w:sz w:val="16"/>
                <w:szCs w:val="16"/>
              </w:rPr>
              <w:t> </w:t>
            </w:r>
            <w:r w:rsidR="00BA3C96">
              <w:rPr>
                <w:rFonts w:cstheme="minorHAnsi"/>
                <w:sz w:val="16"/>
                <w:szCs w:val="16"/>
              </w:rPr>
              <w:t>EOPO2</w:t>
            </w:r>
          </w:p>
        </w:tc>
        <w:tc>
          <w:tcPr>
            <w:tcW w:w="1729" w:type="dxa"/>
            <w:noWrap/>
            <w:hideMark/>
          </w:tcPr>
          <w:p w14:paraId="5FA84981" w14:textId="16A02D2A"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GESI / </w:t>
            </w:r>
            <w:r w:rsidR="00BA3C96">
              <w:rPr>
                <w:rFonts w:cstheme="minorHAnsi"/>
                <w:sz w:val="16"/>
                <w:szCs w:val="16"/>
              </w:rPr>
              <w:t>Cross-cutting</w:t>
            </w:r>
          </w:p>
        </w:tc>
        <w:tc>
          <w:tcPr>
            <w:tcW w:w="850" w:type="dxa"/>
            <w:noWrap/>
            <w:hideMark/>
          </w:tcPr>
          <w:p w14:paraId="5618D63E" w14:textId="77777777"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IO2.7</w:t>
            </w:r>
          </w:p>
        </w:tc>
        <w:tc>
          <w:tcPr>
            <w:tcW w:w="1276" w:type="dxa"/>
            <w:noWrap/>
            <w:hideMark/>
          </w:tcPr>
          <w:p w14:paraId="11DFF672" w14:textId="737C8834"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490,164 </w:t>
            </w:r>
          </w:p>
        </w:tc>
        <w:tc>
          <w:tcPr>
            <w:tcW w:w="1559" w:type="dxa"/>
            <w:noWrap/>
            <w:hideMark/>
          </w:tcPr>
          <w:p w14:paraId="57FE38CC" w14:textId="18D8A08B"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 501,867 </w:t>
            </w:r>
          </w:p>
        </w:tc>
        <w:tc>
          <w:tcPr>
            <w:tcW w:w="1559" w:type="dxa"/>
            <w:noWrap/>
            <w:hideMark/>
          </w:tcPr>
          <w:p w14:paraId="4ED5CB97" w14:textId="422F5B27"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 xml:space="preserve">-$11,702.97 </w:t>
            </w:r>
          </w:p>
        </w:tc>
        <w:tc>
          <w:tcPr>
            <w:tcW w:w="1560" w:type="dxa"/>
            <w:noWrap/>
            <w:hideMark/>
          </w:tcPr>
          <w:p w14:paraId="7AF045C1" w14:textId="78F1FDAD" w:rsidR="003740BF" w:rsidRPr="003740BF" w:rsidRDefault="003740BF" w:rsidP="00B3291F">
            <w:pPr>
              <w:spacing w:after="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740BF">
              <w:rPr>
                <w:rFonts w:cstheme="minorHAnsi"/>
                <w:sz w:val="16"/>
                <w:szCs w:val="16"/>
              </w:rPr>
              <w:t>-2.33%</w:t>
            </w:r>
            <w:r w:rsidR="00947DC7">
              <w:rPr>
                <w:rFonts w:cstheme="minorHAnsi"/>
                <w:sz w:val="16"/>
                <w:szCs w:val="16"/>
              </w:rPr>
              <w:t xml:space="preserve"> (h)</w:t>
            </w:r>
          </w:p>
        </w:tc>
      </w:tr>
      <w:tr w:rsidR="003740BF" w:rsidRPr="005C0271" w14:paraId="7EC4F04C" w14:textId="77777777" w:rsidTr="00FC5D0D">
        <w:trPr>
          <w:cnfStyle w:val="000000010000" w:firstRow="0" w:lastRow="0" w:firstColumn="0" w:lastColumn="0" w:oddVBand="0" w:evenVBand="0" w:oddHBand="0" w:evenHBand="1" w:firstRowFirstColumn="0" w:firstRowLastColumn="0" w:lastRowFirstColumn="0" w:lastRowLastColumn="0"/>
          <w:cantSplit/>
          <w:trHeight w:val="160"/>
        </w:trPr>
        <w:tc>
          <w:tcPr>
            <w:cnfStyle w:val="001000000000" w:firstRow="0" w:lastRow="0" w:firstColumn="1" w:lastColumn="0" w:oddVBand="0" w:evenVBand="0" w:oddHBand="0" w:evenHBand="0" w:firstRowFirstColumn="0" w:firstRowLastColumn="0" w:lastRowFirstColumn="0" w:lastRowLastColumn="0"/>
            <w:tcW w:w="960" w:type="dxa"/>
            <w:noWrap/>
            <w:hideMark/>
          </w:tcPr>
          <w:p w14:paraId="1720DC1B" w14:textId="28A568BB" w:rsidR="003740BF" w:rsidRPr="005C0271" w:rsidRDefault="003740BF" w:rsidP="00B3291F">
            <w:pPr>
              <w:spacing w:after="0"/>
              <w:rPr>
                <w:rFonts w:cstheme="minorHAnsi"/>
                <w:b/>
                <w:bCs/>
                <w:sz w:val="16"/>
                <w:szCs w:val="16"/>
              </w:rPr>
            </w:pPr>
            <w:r w:rsidRPr="005C0271">
              <w:rPr>
                <w:rFonts w:cstheme="minorHAnsi"/>
                <w:b/>
                <w:bCs/>
                <w:sz w:val="16"/>
                <w:szCs w:val="16"/>
              </w:rPr>
              <w:t> </w:t>
            </w:r>
            <w:r w:rsidR="00954F6F">
              <w:rPr>
                <w:rFonts w:cstheme="minorHAnsi"/>
                <w:b/>
                <w:bCs/>
                <w:sz w:val="16"/>
                <w:szCs w:val="16"/>
              </w:rPr>
              <w:t>-</w:t>
            </w:r>
          </w:p>
        </w:tc>
        <w:tc>
          <w:tcPr>
            <w:tcW w:w="1729" w:type="dxa"/>
            <w:noWrap/>
            <w:hideMark/>
          </w:tcPr>
          <w:p w14:paraId="62A8BCAA" w14:textId="47CDEC63" w:rsidR="003740BF" w:rsidRPr="005C0271" w:rsidRDefault="00954F6F" w:rsidP="00B3291F">
            <w:pPr>
              <w:spacing w:after="0"/>
              <w:cnfStyle w:val="000000010000" w:firstRow="0" w:lastRow="0" w:firstColumn="0" w:lastColumn="0" w:oddVBand="0" w:evenVBand="0" w:oddHBand="0" w:evenHBand="1" w:firstRowFirstColumn="0" w:firstRowLastColumn="0" w:lastRowFirstColumn="0" w:lastRowLastColumn="0"/>
              <w:rPr>
                <w:rFonts w:cstheme="minorHAnsi"/>
                <w:b/>
                <w:bCs/>
                <w:sz w:val="16"/>
                <w:szCs w:val="16"/>
              </w:rPr>
            </w:pPr>
            <w:r>
              <w:rPr>
                <w:rFonts w:cstheme="minorHAnsi"/>
                <w:b/>
                <w:bCs/>
                <w:sz w:val="16"/>
                <w:szCs w:val="16"/>
              </w:rPr>
              <w:t>-</w:t>
            </w:r>
          </w:p>
        </w:tc>
        <w:tc>
          <w:tcPr>
            <w:tcW w:w="850" w:type="dxa"/>
            <w:noWrap/>
            <w:hideMark/>
          </w:tcPr>
          <w:p w14:paraId="7E5AC32F" w14:textId="77777777" w:rsidR="003740BF" w:rsidRPr="005C0271"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b/>
                <w:bCs/>
                <w:sz w:val="16"/>
                <w:szCs w:val="16"/>
              </w:rPr>
            </w:pPr>
            <w:r w:rsidRPr="005C0271">
              <w:rPr>
                <w:rFonts w:cstheme="minorHAnsi"/>
                <w:b/>
                <w:bCs/>
                <w:sz w:val="16"/>
                <w:szCs w:val="16"/>
              </w:rPr>
              <w:t>TOTAL</w:t>
            </w:r>
          </w:p>
        </w:tc>
        <w:tc>
          <w:tcPr>
            <w:tcW w:w="1276" w:type="dxa"/>
            <w:noWrap/>
            <w:hideMark/>
          </w:tcPr>
          <w:p w14:paraId="7AFEE4D2" w14:textId="1E2DA686" w:rsidR="003740BF" w:rsidRPr="002D5222"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b/>
                <w:bCs/>
                <w:sz w:val="16"/>
                <w:szCs w:val="16"/>
                <w:u w:val="single"/>
              </w:rPr>
            </w:pPr>
            <w:r w:rsidRPr="002D5222">
              <w:rPr>
                <w:rFonts w:cstheme="minorHAnsi"/>
                <w:b/>
                <w:bCs/>
                <w:sz w:val="16"/>
                <w:szCs w:val="16"/>
                <w:u w:val="single"/>
              </w:rPr>
              <w:t xml:space="preserve"> 10,867,131 </w:t>
            </w:r>
          </w:p>
        </w:tc>
        <w:tc>
          <w:tcPr>
            <w:tcW w:w="1559" w:type="dxa"/>
            <w:noWrap/>
            <w:hideMark/>
          </w:tcPr>
          <w:p w14:paraId="1F9D4B25" w14:textId="12E5B025" w:rsidR="003740BF" w:rsidRPr="002D5222"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b/>
                <w:bCs/>
                <w:sz w:val="16"/>
                <w:szCs w:val="16"/>
                <w:u w:val="single"/>
              </w:rPr>
            </w:pPr>
            <w:r w:rsidRPr="002D5222">
              <w:rPr>
                <w:rFonts w:cstheme="minorHAnsi"/>
                <w:b/>
                <w:bCs/>
                <w:sz w:val="16"/>
                <w:szCs w:val="16"/>
                <w:u w:val="single"/>
              </w:rPr>
              <w:t xml:space="preserve"> 10,804,048 </w:t>
            </w:r>
          </w:p>
        </w:tc>
        <w:tc>
          <w:tcPr>
            <w:tcW w:w="1559" w:type="dxa"/>
            <w:noWrap/>
            <w:hideMark/>
          </w:tcPr>
          <w:p w14:paraId="705891D8" w14:textId="62BE3757" w:rsidR="003740BF" w:rsidRPr="002D5222"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b/>
                <w:bCs/>
                <w:sz w:val="16"/>
                <w:szCs w:val="16"/>
                <w:u w:val="single"/>
              </w:rPr>
            </w:pPr>
            <w:r w:rsidRPr="002D5222">
              <w:rPr>
                <w:rFonts w:cstheme="minorHAnsi"/>
                <w:b/>
                <w:bCs/>
                <w:sz w:val="16"/>
                <w:szCs w:val="16"/>
                <w:u w:val="single"/>
              </w:rPr>
              <w:t xml:space="preserve"> $63,082.66 </w:t>
            </w:r>
          </w:p>
        </w:tc>
        <w:tc>
          <w:tcPr>
            <w:tcW w:w="1560" w:type="dxa"/>
            <w:noWrap/>
            <w:hideMark/>
          </w:tcPr>
          <w:p w14:paraId="10E00FA5" w14:textId="4A39EC70" w:rsidR="003740BF" w:rsidRPr="002D5222" w:rsidRDefault="003740BF" w:rsidP="00B3291F">
            <w:pPr>
              <w:spacing w:after="0"/>
              <w:cnfStyle w:val="000000010000" w:firstRow="0" w:lastRow="0" w:firstColumn="0" w:lastColumn="0" w:oddVBand="0" w:evenVBand="0" w:oddHBand="0" w:evenHBand="1" w:firstRowFirstColumn="0" w:firstRowLastColumn="0" w:lastRowFirstColumn="0" w:lastRowLastColumn="0"/>
              <w:rPr>
                <w:rFonts w:cstheme="minorHAnsi"/>
                <w:b/>
                <w:bCs/>
                <w:sz w:val="16"/>
                <w:szCs w:val="16"/>
                <w:u w:val="single"/>
              </w:rPr>
            </w:pPr>
            <w:r w:rsidRPr="002D5222">
              <w:rPr>
                <w:rFonts w:cstheme="minorHAnsi"/>
                <w:b/>
                <w:bCs/>
                <w:sz w:val="16"/>
                <w:szCs w:val="16"/>
                <w:u w:val="single"/>
              </w:rPr>
              <w:t>0.58%</w:t>
            </w:r>
          </w:p>
        </w:tc>
      </w:tr>
    </w:tbl>
    <w:p w14:paraId="1B29062A" w14:textId="77777777" w:rsidR="00BF18EC" w:rsidRPr="00DE182B" w:rsidRDefault="00BF18EC" w:rsidP="00FB5119">
      <w:pPr>
        <w:rPr>
          <w:rFonts w:cstheme="minorHAnsi"/>
          <w:sz w:val="16"/>
          <w:szCs w:val="16"/>
        </w:rPr>
      </w:pPr>
    </w:p>
    <w:p w14:paraId="6159751B" w14:textId="5E394799" w:rsidR="00B66366" w:rsidRDefault="00B66366" w:rsidP="00FB5119"/>
    <w:p w14:paraId="5EBC40A9" w14:textId="417C6956" w:rsidR="004C3650" w:rsidRDefault="004C3650" w:rsidP="00FB5119"/>
    <w:p w14:paraId="0EED3D6D" w14:textId="77777777" w:rsidR="005367CA" w:rsidRDefault="005367CA" w:rsidP="00FB5119">
      <w:pPr>
        <w:sectPr w:rsidR="005367CA" w:rsidSect="0059336F">
          <w:headerReference w:type="default" r:id="rId50"/>
          <w:pgSz w:w="11906" w:h="16838" w:code="9"/>
          <w:pgMar w:top="1814" w:right="1134" w:bottom="1134" w:left="1134" w:header="851" w:footer="454" w:gutter="0"/>
          <w:pgBorders w:offsetFrom="page">
            <w:top w:val="single" w:sz="48" w:space="0" w:color="507CB9"/>
            <w:left w:val="single" w:sz="48" w:space="0" w:color="507CB9"/>
            <w:bottom w:val="single" w:sz="48" w:space="0" w:color="507CB9"/>
            <w:right w:val="single" w:sz="48" w:space="0" w:color="507CB9"/>
          </w:pgBorders>
          <w:cols w:space="709"/>
          <w:docGrid w:linePitch="360"/>
        </w:sectPr>
      </w:pPr>
    </w:p>
    <w:p w14:paraId="7DA394C9" w14:textId="72BC68AD" w:rsidR="004C3650" w:rsidRPr="007825FE" w:rsidRDefault="005367CA" w:rsidP="00326D32">
      <w:pPr>
        <w:pStyle w:val="Heading1"/>
        <w:rPr>
          <w:b w:val="0"/>
          <w:bCs/>
        </w:rPr>
      </w:pPr>
      <w:bookmarkStart w:id="142" w:name="_Toc116327908"/>
      <w:bookmarkStart w:id="143" w:name="_Toc116328021"/>
      <w:bookmarkStart w:id="144" w:name="_Toc116328085"/>
      <w:bookmarkStart w:id="145" w:name="_Toc116371573"/>
      <w:bookmarkStart w:id="146" w:name="_Toc116371698"/>
      <w:bookmarkStart w:id="147" w:name="_Toc116371767"/>
      <w:bookmarkStart w:id="148" w:name="_Toc116378190"/>
      <w:bookmarkStart w:id="149" w:name="_Toc122460810"/>
      <w:r w:rsidRPr="007825FE">
        <w:rPr>
          <w:b w:val="0"/>
          <w:bCs/>
        </w:rPr>
        <w:lastRenderedPageBreak/>
        <w:t>A</w:t>
      </w:r>
      <w:r w:rsidR="00485A21" w:rsidRPr="007825FE">
        <w:rPr>
          <w:b w:val="0"/>
          <w:bCs/>
        </w:rPr>
        <w:t>nnex</w:t>
      </w:r>
      <w:r w:rsidRPr="007825FE">
        <w:rPr>
          <w:b w:val="0"/>
          <w:bCs/>
        </w:rPr>
        <w:t xml:space="preserve"> </w:t>
      </w:r>
      <w:r w:rsidR="00AD5F7E">
        <w:rPr>
          <w:b w:val="0"/>
          <w:bCs/>
        </w:rPr>
        <w:t>8</w:t>
      </w:r>
      <w:r w:rsidR="00AD5F7E" w:rsidRPr="007825FE">
        <w:rPr>
          <w:b w:val="0"/>
          <w:bCs/>
        </w:rPr>
        <w:t xml:space="preserve"> </w:t>
      </w:r>
      <w:r w:rsidRPr="007825FE">
        <w:rPr>
          <w:b w:val="0"/>
          <w:bCs/>
        </w:rPr>
        <w:t xml:space="preserve">ACCESS </w:t>
      </w:r>
      <w:r w:rsidR="00485A21" w:rsidRPr="007825FE">
        <w:rPr>
          <w:b w:val="0"/>
          <w:bCs/>
        </w:rPr>
        <w:t>Organisational Chart</w:t>
      </w:r>
      <w:bookmarkEnd w:id="142"/>
      <w:bookmarkEnd w:id="143"/>
      <w:bookmarkEnd w:id="144"/>
      <w:bookmarkEnd w:id="145"/>
      <w:bookmarkEnd w:id="146"/>
      <w:bookmarkEnd w:id="147"/>
      <w:bookmarkEnd w:id="148"/>
      <w:bookmarkEnd w:id="149"/>
    </w:p>
    <w:p w14:paraId="6BAA9AE2" w14:textId="69694F42" w:rsidR="004202C9" w:rsidRDefault="00B7596C" w:rsidP="008B7CD0">
      <w:r w:rsidRPr="005367CA">
        <w:rPr>
          <w:noProof/>
        </w:rPr>
        <w:drawing>
          <wp:inline distT="0" distB="0" distL="0" distR="0" wp14:anchorId="4426DEBA" wp14:editId="21758613">
            <wp:extent cx="7340600" cy="5174818"/>
            <wp:effectExtent l="0" t="0" r="0" b="6985"/>
            <wp:docPr id="18" name="Picture 18" descr="Diagram showing the organisational chart for the ACCESS program including reporting lines between ro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showing the organisational chart for the ACCESS program including reporting lines between roles. "/>
                    <pic:cNvPicPr/>
                  </pic:nvPicPr>
                  <pic:blipFill>
                    <a:blip r:embed="rId51"/>
                    <a:stretch>
                      <a:fillRect/>
                    </a:stretch>
                  </pic:blipFill>
                  <pic:spPr>
                    <a:xfrm>
                      <a:off x="0" y="0"/>
                      <a:ext cx="7347808" cy="5179899"/>
                    </a:xfrm>
                    <a:prstGeom prst="rect">
                      <a:avLst/>
                    </a:prstGeom>
                  </pic:spPr>
                </pic:pic>
              </a:graphicData>
            </a:graphic>
          </wp:inline>
        </w:drawing>
      </w:r>
    </w:p>
    <w:sectPr w:rsidR="004202C9" w:rsidSect="001B64B5">
      <w:headerReference w:type="default" r:id="rId52"/>
      <w:pgSz w:w="16838" w:h="11906" w:orient="landscape" w:code="9"/>
      <w:pgMar w:top="1134" w:right="1814" w:bottom="1134" w:left="1134" w:header="851" w:footer="454" w:gutter="0"/>
      <w:pgBorders w:offsetFrom="page">
        <w:top w:val="single" w:sz="48" w:space="0" w:color="507CB9"/>
        <w:left w:val="single" w:sz="48" w:space="0" w:color="507CB9"/>
        <w:bottom w:val="single" w:sz="48" w:space="0" w:color="507CB9"/>
        <w:right w:val="single" w:sz="48" w:space="0" w:color="507CB9"/>
      </w:pgBorders>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745512" w14:textId="77777777" w:rsidR="00BF11FD" w:rsidRDefault="00BF11FD" w:rsidP="00473290">
      <w:r>
        <w:separator/>
      </w:r>
    </w:p>
  </w:endnote>
  <w:endnote w:type="continuationSeparator" w:id="0">
    <w:p w14:paraId="47394D0E" w14:textId="77777777" w:rsidR="00BF11FD" w:rsidRDefault="00BF11FD" w:rsidP="00473290">
      <w:r>
        <w:continuationSeparator/>
      </w:r>
    </w:p>
  </w:endnote>
  <w:endnote w:type="continuationNotice" w:id="1">
    <w:p w14:paraId="5615A11C" w14:textId="77777777" w:rsidR="00BF11FD" w:rsidRDefault="00BF11F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quot;Arial&quot;,sans-serif">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quot;Courier New&quot;">
    <w:altName w:val="Cambria"/>
    <w:panose1 w:val="00000000000000000000"/>
    <w:charset w:val="00"/>
    <w:family w:val="roman"/>
    <w:notTrueType/>
    <w:pitch w:val="default"/>
  </w:font>
  <w:font w:name="Century Gothic">
    <w:altName w:val="Calibri"/>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rpid C1 SCd Regular">
    <w:altName w:val="Arial"/>
    <w:charset w:val="00"/>
    <w:family w:val="swiss"/>
    <w:pitch w:val="variable"/>
    <w:sig w:usb0="A00000EF" w:usb1="50002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979CE" w14:textId="77777777" w:rsidR="00D67843" w:rsidRDefault="00D67843" w:rsidP="009D07D2">
    <w:pPr>
      <w:pStyle w:val="Footer"/>
    </w:pPr>
  </w:p>
  <w:p w14:paraId="63E2C50D" w14:textId="0C566FF1" w:rsidR="00D67843" w:rsidRDefault="00D67843" w:rsidP="009D07D2">
    <w:pPr>
      <w:pStyle w:val="Footer"/>
    </w:pPr>
  </w:p>
  <w:p w14:paraId="0DAE6F2C" w14:textId="1181F318" w:rsidR="00D67843" w:rsidRDefault="00D67843" w:rsidP="009D07D2">
    <w:pPr>
      <w:pStyle w:val="Footer"/>
    </w:pPr>
  </w:p>
  <w:p w14:paraId="77EBB097" w14:textId="075BDE60" w:rsidR="00D67843" w:rsidRDefault="00D67843" w:rsidP="009D07D2">
    <w:pPr>
      <w:pStyle w:val="Footer"/>
    </w:pPr>
  </w:p>
  <w:p w14:paraId="27E2873E" w14:textId="77777777" w:rsidR="00D67843" w:rsidRDefault="00D67843" w:rsidP="009D07D2">
    <w:pPr>
      <w:pStyle w:val="Footer"/>
    </w:pPr>
  </w:p>
  <w:tbl>
    <w:tblPr>
      <w:tblStyle w:val="PlainGridBlack"/>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67843" w14:paraId="02F954FA" w14:textId="77777777" w:rsidTr="009D07D2">
      <w:tc>
        <w:tcPr>
          <w:tcW w:w="9638" w:type="dxa"/>
        </w:tcPr>
        <w:p w14:paraId="386B2F10" w14:textId="49D655C3" w:rsidR="00D67843" w:rsidRDefault="00D67843" w:rsidP="009D07D2">
          <w:pPr>
            <w:pStyle w:val="Footer"/>
          </w:pPr>
        </w:p>
      </w:tc>
    </w:tr>
  </w:tbl>
  <w:p w14:paraId="323DBE55" w14:textId="77777777" w:rsidR="00D67843" w:rsidRDefault="00D67843" w:rsidP="009D07D2">
    <w:pPr>
      <w:pStyle w:val="Footer"/>
    </w:pPr>
  </w:p>
  <w:p w14:paraId="05BB8F9D" w14:textId="77777777" w:rsidR="00D67843" w:rsidRPr="009D07D2" w:rsidRDefault="00D67843" w:rsidP="009D07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E3D97" w14:textId="6C762EEF" w:rsidR="00D67843" w:rsidRDefault="00D67843" w:rsidP="0099396E">
    <w:pPr>
      <w:pStyle w:val="Footer"/>
      <w:jc w:val="right"/>
    </w:pPr>
    <w:r>
      <w:rPr>
        <w:noProof/>
      </w:rPr>
      <w:drawing>
        <wp:inline distT="0" distB="0" distL="0" distR="0" wp14:anchorId="67DA32AC" wp14:editId="0A0F5C51">
          <wp:extent cx="2057142" cy="745714"/>
          <wp:effectExtent l="0" t="0" r="635" b="0"/>
          <wp:docPr id="39" name="Picture 39" descr="Alinea Internation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linea International logo"/>
                  <pic:cNvPicPr/>
                </pic:nvPicPr>
                <pic:blipFill>
                  <a:blip r:embed="rId1"/>
                  <a:stretch>
                    <a:fillRect/>
                  </a:stretch>
                </pic:blipFill>
                <pic:spPr>
                  <a:xfrm>
                    <a:off x="0" y="0"/>
                    <a:ext cx="2057142" cy="745714"/>
                  </a:xfrm>
                  <a:prstGeom prst="rect">
                    <a:avLst/>
                  </a:prstGeom>
                </pic:spPr>
              </pic:pic>
            </a:graphicData>
          </a:graphic>
        </wp:inline>
      </w:drawing>
    </w:r>
  </w:p>
  <w:p w14:paraId="252DB501" w14:textId="77777777" w:rsidR="00D67843" w:rsidRDefault="00D67843" w:rsidP="0099396E">
    <w:pPr>
      <w:pStyle w:val="Footer"/>
      <w:jc w:val="right"/>
    </w:pPr>
  </w:p>
  <w:p w14:paraId="6585B776" w14:textId="77777777" w:rsidR="00D67843" w:rsidRPr="0040094A" w:rsidRDefault="00D67843" w:rsidP="0099396E">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Light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6"/>
      <w:gridCol w:w="2122"/>
    </w:tblGrid>
    <w:tr w:rsidR="00BC110E" w14:paraId="3C45CA20" w14:textId="77777777" w:rsidTr="00A56AF4">
      <w:tc>
        <w:tcPr>
          <w:tcW w:w="3899" w:type="pct"/>
        </w:tcPr>
        <w:p w14:paraId="1F18EA9C" w14:textId="4F6884D9" w:rsidR="00466985" w:rsidRPr="00F37B76" w:rsidRDefault="00466985" w:rsidP="00466985">
          <w:pPr>
            <w:pStyle w:val="Footer"/>
          </w:pPr>
          <w:r>
            <w:fldChar w:fldCharType="begin"/>
          </w:r>
          <w:r>
            <w:instrText>STYLEREF  "Cover Title"</w:instrText>
          </w:r>
          <w:r>
            <w:fldChar w:fldCharType="separate"/>
          </w:r>
          <w:r w:rsidR="00A7530D">
            <w:rPr>
              <w:noProof/>
            </w:rPr>
            <w:t>Australia-Cambodia Cooperation for Equitable Sustainable Services (ACCESS) End of program evaluation</w:t>
          </w:r>
          <w:r>
            <w:fldChar w:fldCharType="end"/>
          </w:r>
          <w:r>
            <w:t xml:space="preserve"> </w:t>
          </w:r>
          <w:r w:rsidRPr="00082288">
            <w:t>|</w:t>
          </w:r>
          <w:r>
            <w:t xml:space="preserve"> </w:t>
          </w:r>
          <w:r>
            <w:fldChar w:fldCharType="begin"/>
          </w:r>
          <w:r>
            <w:instrText>STYLEREF  "Cover Subtitle"</w:instrText>
          </w:r>
          <w:r>
            <w:fldChar w:fldCharType="separate"/>
          </w:r>
          <w:r w:rsidR="00A7530D">
            <w:rPr>
              <w:noProof/>
            </w:rPr>
            <w:t>FINAL Report</w:t>
          </w:r>
          <w:r>
            <w:fldChar w:fldCharType="end"/>
          </w:r>
        </w:p>
      </w:tc>
      <w:tc>
        <w:tcPr>
          <w:tcW w:w="1101" w:type="pct"/>
        </w:tcPr>
        <w:p w14:paraId="19ED3638" w14:textId="77777777" w:rsidR="00466985" w:rsidRPr="00DB6F99" w:rsidRDefault="00466985" w:rsidP="00466985">
          <w:pPr>
            <w:pStyle w:val="Footer"/>
            <w:jc w:val="right"/>
            <w:rPr>
              <w:i/>
            </w:rPr>
          </w:pPr>
          <w:r w:rsidRPr="00DB6F99">
            <w:t xml:space="preserve">Page </w:t>
          </w:r>
          <w:r w:rsidRPr="00DB6F99">
            <w:rPr>
              <w:i/>
            </w:rPr>
            <w:fldChar w:fldCharType="begin"/>
          </w:r>
          <w:r w:rsidRPr="00DB6F99">
            <w:instrText xml:space="preserve"> PAGE  \* Arabic </w:instrText>
          </w:r>
          <w:r w:rsidRPr="00DB6F99">
            <w:rPr>
              <w:i/>
            </w:rPr>
            <w:fldChar w:fldCharType="separate"/>
          </w:r>
          <w:r>
            <w:rPr>
              <w:i/>
            </w:rPr>
            <w:t>4</w:t>
          </w:r>
          <w:r w:rsidRPr="00DB6F99">
            <w:rPr>
              <w:i/>
            </w:rPr>
            <w:fldChar w:fldCharType="end"/>
          </w:r>
          <w:r w:rsidRPr="00DB6F99">
            <w:t xml:space="preserve"> of </w:t>
          </w:r>
          <w:r>
            <w:fldChar w:fldCharType="begin"/>
          </w:r>
          <w:r>
            <w:instrText>NUMPAGES  \* Arabic</w:instrText>
          </w:r>
          <w:r>
            <w:fldChar w:fldCharType="separate"/>
          </w:r>
          <w:r>
            <w:t>15</w:t>
          </w:r>
          <w:r>
            <w:fldChar w:fldCharType="end"/>
          </w:r>
        </w:p>
      </w:tc>
    </w:tr>
  </w:tbl>
  <w:p w14:paraId="14005CE6" w14:textId="77777777" w:rsidR="00091B54" w:rsidRDefault="00091B54" w:rsidP="007825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Light1"/>
      <w:tblW w:w="5000" w:type="pct"/>
      <w:tblLook w:val="04A0" w:firstRow="1" w:lastRow="0" w:firstColumn="1" w:lastColumn="0" w:noHBand="0" w:noVBand="1"/>
    </w:tblPr>
    <w:tblGrid>
      <w:gridCol w:w="7508"/>
      <w:gridCol w:w="2120"/>
    </w:tblGrid>
    <w:tr w:rsidR="00091B54" w14:paraId="4115DA9C" w14:textId="77777777" w:rsidTr="00946CAF">
      <w:tc>
        <w:tcPr>
          <w:tcW w:w="3899" w:type="pct"/>
        </w:tcPr>
        <w:p w14:paraId="61D829AE" w14:textId="452B9098" w:rsidR="00091B54" w:rsidRPr="00F37B76" w:rsidRDefault="00091B54" w:rsidP="003D0AAB">
          <w:pPr>
            <w:pStyle w:val="Footer"/>
          </w:pPr>
          <w:r>
            <w:fldChar w:fldCharType="begin"/>
          </w:r>
          <w:r>
            <w:instrText>STYLEREF  "Cover Title"</w:instrText>
          </w:r>
          <w:r>
            <w:fldChar w:fldCharType="separate"/>
          </w:r>
          <w:r w:rsidR="00311B93">
            <w:rPr>
              <w:noProof/>
            </w:rPr>
            <w:t>Australia-Cambodia Cooperation for Equitable Sustainable Services (ACCESS) End of program evaluation</w:t>
          </w:r>
          <w:r>
            <w:fldChar w:fldCharType="end"/>
          </w:r>
          <w:r>
            <w:t xml:space="preserve"> </w:t>
          </w:r>
          <w:r w:rsidRPr="00082288">
            <w:t>|</w:t>
          </w:r>
          <w:r>
            <w:t xml:space="preserve"> </w:t>
          </w:r>
          <w:r>
            <w:fldChar w:fldCharType="begin"/>
          </w:r>
          <w:r>
            <w:instrText>STYLEREF  "Cover Subtitle"</w:instrText>
          </w:r>
          <w:r>
            <w:fldChar w:fldCharType="separate"/>
          </w:r>
          <w:r w:rsidR="00311B93">
            <w:rPr>
              <w:noProof/>
            </w:rPr>
            <w:t>FINAL Report</w:t>
          </w:r>
          <w:r>
            <w:fldChar w:fldCharType="end"/>
          </w:r>
        </w:p>
      </w:tc>
      <w:tc>
        <w:tcPr>
          <w:tcW w:w="1101" w:type="pct"/>
        </w:tcPr>
        <w:p w14:paraId="3CC3DD84" w14:textId="77777777" w:rsidR="00091B54" w:rsidRPr="00DB6F99" w:rsidRDefault="00091B54" w:rsidP="003D0AAB">
          <w:pPr>
            <w:pStyle w:val="Footer"/>
            <w:jc w:val="right"/>
            <w:rPr>
              <w:i/>
            </w:rPr>
          </w:pPr>
          <w:r w:rsidRPr="00DB6F99">
            <w:t xml:space="preserve">Page </w:t>
          </w:r>
          <w:r w:rsidRPr="00DB6F99">
            <w:rPr>
              <w:i/>
            </w:rPr>
            <w:fldChar w:fldCharType="begin"/>
          </w:r>
          <w:r w:rsidRPr="00DB6F99">
            <w:instrText xml:space="preserve"> PAGE  \* Arabic </w:instrText>
          </w:r>
          <w:r w:rsidRPr="00DB6F99">
            <w:rPr>
              <w:i/>
            </w:rPr>
            <w:fldChar w:fldCharType="separate"/>
          </w:r>
          <w:r>
            <w:rPr>
              <w:i/>
            </w:rPr>
            <w:t>4</w:t>
          </w:r>
          <w:r w:rsidRPr="00DB6F99">
            <w:rPr>
              <w:i/>
            </w:rPr>
            <w:fldChar w:fldCharType="end"/>
          </w:r>
          <w:r w:rsidRPr="00DB6F99">
            <w:t xml:space="preserve"> of </w:t>
          </w:r>
          <w:r>
            <w:fldChar w:fldCharType="begin"/>
          </w:r>
          <w:r>
            <w:instrText>NUMPAGES  \* Arabic</w:instrText>
          </w:r>
          <w:r>
            <w:fldChar w:fldCharType="separate"/>
          </w:r>
          <w:r>
            <w:t>15</w:t>
          </w:r>
          <w:r>
            <w:fldChar w:fldCharType="end"/>
          </w:r>
        </w:p>
      </w:tc>
    </w:tr>
  </w:tbl>
  <w:p w14:paraId="7E705B59" w14:textId="77777777" w:rsidR="00091B54" w:rsidRPr="0040094A" w:rsidRDefault="00091B54" w:rsidP="003D0AAB">
    <w:pPr>
      <w:pStyle w:val="Footer"/>
    </w:pPr>
  </w:p>
  <w:p w14:paraId="376D6CE1" w14:textId="77777777" w:rsidR="00091B54" w:rsidRDefault="00091B5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Light1"/>
      <w:tblW w:w="497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2"/>
      <w:gridCol w:w="3060"/>
    </w:tblGrid>
    <w:tr w:rsidR="003D0AAB" w14:paraId="6BFF5A2F" w14:textId="77777777" w:rsidTr="00A56AF4">
      <w:trPr>
        <w:trHeight w:val="322"/>
      </w:trPr>
      <w:tc>
        <w:tcPr>
          <w:tcW w:w="3403" w:type="pct"/>
        </w:tcPr>
        <w:p w14:paraId="31CAF805" w14:textId="6876EF64" w:rsidR="003D0AAB" w:rsidRPr="00F37B76" w:rsidRDefault="007B4E85" w:rsidP="003D0AAB">
          <w:pPr>
            <w:pStyle w:val="Footer"/>
          </w:pPr>
          <w:r>
            <w:fldChar w:fldCharType="begin"/>
          </w:r>
          <w:r>
            <w:instrText>STYLEREF  "Cover Title"</w:instrText>
          </w:r>
          <w:r>
            <w:fldChar w:fldCharType="separate"/>
          </w:r>
          <w:r w:rsidR="00A7530D">
            <w:rPr>
              <w:noProof/>
            </w:rPr>
            <w:t>Australia-Cambodia Cooperation for Equitable Sustainable Services (ACCESS) End of program evaluation</w:t>
          </w:r>
          <w:r>
            <w:fldChar w:fldCharType="end"/>
          </w:r>
          <w:r w:rsidR="003D0AAB">
            <w:t xml:space="preserve"> </w:t>
          </w:r>
          <w:r w:rsidR="003D0AAB" w:rsidRPr="00082288">
            <w:t>|</w:t>
          </w:r>
          <w:r w:rsidR="003D0AAB">
            <w:t xml:space="preserve"> </w:t>
          </w:r>
          <w:r>
            <w:fldChar w:fldCharType="begin"/>
          </w:r>
          <w:r>
            <w:instrText>STYLEREF  "Cover Subtitle"</w:instrText>
          </w:r>
          <w:r>
            <w:fldChar w:fldCharType="separate"/>
          </w:r>
          <w:r w:rsidR="00A7530D">
            <w:rPr>
              <w:noProof/>
            </w:rPr>
            <w:t>FINAL Report</w:t>
          </w:r>
          <w:r>
            <w:fldChar w:fldCharType="end"/>
          </w:r>
        </w:p>
      </w:tc>
      <w:tc>
        <w:tcPr>
          <w:tcW w:w="1597" w:type="pct"/>
        </w:tcPr>
        <w:p w14:paraId="5299A943" w14:textId="77777777" w:rsidR="003D0AAB" w:rsidRPr="00DB6F99" w:rsidRDefault="003D0AAB" w:rsidP="003D0AAB">
          <w:pPr>
            <w:pStyle w:val="Footer"/>
            <w:jc w:val="right"/>
            <w:rPr>
              <w:i/>
            </w:rPr>
          </w:pPr>
          <w:r w:rsidRPr="00DB6F99">
            <w:t xml:space="preserve">Page </w:t>
          </w:r>
          <w:r w:rsidRPr="00DB6F99">
            <w:rPr>
              <w:i/>
            </w:rPr>
            <w:fldChar w:fldCharType="begin"/>
          </w:r>
          <w:r w:rsidRPr="00DB6F99">
            <w:instrText xml:space="preserve"> PAGE  \* Arabic </w:instrText>
          </w:r>
          <w:r w:rsidRPr="00DB6F99">
            <w:rPr>
              <w:i/>
            </w:rPr>
            <w:fldChar w:fldCharType="separate"/>
          </w:r>
          <w:r>
            <w:rPr>
              <w:i/>
            </w:rPr>
            <w:t>4</w:t>
          </w:r>
          <w:r w:rsidRPr="00DB6F99">
            <w:rPr>
              <w:i/>
            </w:rPr>
            <w:fldChar w:fldCharType="end"/>
          </w:r>
          <w:r w:rsidRPr="00DB6F99">
            <w:t xml:space="preserve"> of </w:t>
          </w:r>
          <w:r>
            <w:fldChar w:fldCharType="begin"/>
          </w:r>
          <w:r>
            <w:instrText>NUMPAGES  \* Arabic</w:instrText>
          </w:r>
          <w:r>
            <w:fldChar w:fldCharType="separate"/>
          </w:r>
          <w:r>
            <w:t>15</w:t>
          </w:r>
          <w:r>
            <w:fldChar w:fldCharType="end"/>
          </w:r>
        </w:p>
      </w:tc>
    </w:tr>
  </w:tbl>
  <w:p w14:paraId="4EAF970D" w14:textId="77777777" w:rsidR="00753A23" w:rsidRDefault="00753A23" w:rsidP="00A56AF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5F0BBD" w14:textId="77777777" w:rsidR="00BF11FD" w:rsidRPr="003337B3" w:rsidRDefault="00BF11FD" w:rsidP="003337B3">
      <w:pPr>
        <w:pStyle w:val="FootnoteText"/>
        <w:rPr>
          <w:color w:val="1D336D" w:themeColor="background2"/>
        </w:rPr>
      </w:pPr>
      <w:r w:rsidRPr="003337B3">
        <w:rPr>
          <w:color w:val="1D336D" w:themeColor="background2"/>
        </w:rPr>
        <w:separator/>
      </w:r>
    </w:p>
  </w:footnote>
  <w:footnote w:type="continuationSeparator" w:id="0">
    <w:p w14:paraId="10BAD1ED" w14:textId="77777777" w:rsidR="00BF11FD" w:rsidRPr="003337B3" w:rsidRDefault="00BF11FD" w:rsidP="003337B3">
      <w:pPr>
        <w:pStyle w:val="FootnoteText"/>
        <w:rPr>
          <w:color w:val="1D336D" w:themeColor="background2"/>
        </w:rPr>
      </w:pPr>
      <w:r w:rsidRPr="003337B3">
        <w:rPr>
          <w:color w:val="1D336D" w:themeColor="background2"/>
        </w:rPr>
        <w:continuationSeparator/>
      </w:r>
    </w:p>
  </w:footnote>
  <w:footnote w:type="continuationNotice" w:id="1">
    <w:p w14:paraId="250AA7B3" w14:textId="77777777" w:rsidR="00BF11FD" w:rsidRDefault="00BF11FD" w:rsidP="003337B3">
      <w:pPr>
        <w:pStyle w:val="FootnoteText"/>
      </w:pPr>
    </w:p>
  </w:footnote>
  <w:footnote w:id="2">
    <w:p w14:paraId="40139B49" w14:textId="77777777" w:rsidR="00492FBE" w:rsidRDefault="00492FBE" w:rsidP="00492FBE">
      <w:pPr>
        <w:pStyle w:val="FootnoteText"/>
        <w:rPr>
          <w:rFonts w:ascii="Arial" w:hAnsi="Arial"/>
          <w:szCs w:val="14"/>
        </w:rPr>
      </w:pPr>
      <w:r w:rsidRPr="06B5EF27">
        <w:rPr>
          <w:rStyle w:val="FootnoteReference"/>
          <w:rFonts w:ascii="Arial" w:hAnsi="Arial"/>
          <w:szCs w:val="14"/>
        </w:rPr>
        <w:footnoteRef/>
      </w:r>
      <w:r w:rsidRPr="06B5EF27">
        <w:rPr>
          <w:rFonts w:ascii="Arial" w:hAnsi="Arial"/>
          <w:szCs w:val="14"/>
        </w:rPr>
        <w:t xml:space="preserve"> Source: </w:t>
      </w:r>
      <w:r>
        <w:t>Australia Cambodia COVID-19 Development Response Plan</w:t>
      </w:r>
    </w:p>
  </w:footnote>
  <w:footnote w:id="3">
    <w:p w14:paraId="4B390A13" w14:textId="77777777" w:rsidR="00492FBE" w:rsidRPr="005D49EB" w:rsidRDefault="00492FBE" w:rsidP="00492FBE">
      <w:pPr>
        <w:pStyle w:val="FootnoteText"/>
        <w:rPr>
          <w:lang w:val="en-NZ"/>
        </w:rPr>
      </w:pPr>
      <w:r>
        <w:rPr>
          <w:rStyle w:val="FootnoteReference"/>
        </w:rPr>
        <w:footnoteRef/>
      </w:r>
      <w:r>
        <w:t xml:space="preserve"> </w:t>
      </w:r>
      <w:r w:rsidRPr="004F41CB">
        <w:t>https://www.cbm.org/news/news/news-2015/putting-disability-on-the-agenda-in-cambodia/#:~:text=Disability%20in%20Cambodia,whom%20have%20amputations%20%5B3%5D</w:t>
      </w:r>
      <w:r>
        <w:t>.</w:t>
      </w:r>
    </w:p>
  </w:footnote>
  <w:footnote w:id="4">
    <w:p w14:paraId="66444A79" w14:textId="77777777" w:rsidR="00492FBE" w:rsidRPr="00FE7BBD" w:rsidRDefault="00492FBE" w:rsidP="00492FBE">
      <w:pPr>
        <w:pStyle w:val="FootnoteText"/>
        <w:rPr>
          <w:lang w:val="en-NZ"/>
        </w:rPr>
      </w:pPr>
      <w:r>
        <w:rPr>
          <w:rStyle w:val="FootnoteReference"/>
        </w:rPr>
        <w:footnoteRef/>
      </w:r>
      <w:r>
        <w:t xml:space="preserve"> </w:t>
      </w:r>
      <w:hyperlink r:id="rId1">
        <w:r w:rsidRPr="1394C6FB">
          <w:rPr>
            <w:rStyle w:val="Hyperlink"/>
          </w:rPr>
          <w:t>https://cambodia.un.org/sites/default/files/2022-03/Gender%20Deep%20Dive%20-%20CCA%20Cambodia_V6_010322_LQ.pdf</w:t>
        </w:r>
      </w:hyperlink>
      <w:r>
        <w:t xml:space="preserve">; </w:t>
      </w:r>
      <w:hyperlink r:id="rId2">
        <w:r w:rsidRPr="2B8D2D0D">
          <w:rPr>
            <w:rStyle w:val="Hyperlink"/>
          </w:rPr>
          <w:t>https://gsdrc.org/document-library/triple-jeopardy-gender-based-violence-and-human-rights-violations-experienced-by-women-with-disabilities-in-cambodia/</w:t>
        </w:r>
      </w:hyperlink>
      <w:r>
        <w:t xml:space="preserve"> </w:t>
      </w:r>
    </w:p>
  </w:footnote>
  <w:footnote w:id="5">
    <w:p w14:paraId="3B21CBBA" w14:textId="79236317" w:rsidR="00360226" w:rsidRDefault="00360226">
      <w:pPr>
        <w:pStyle w:val="FootnoteText"/>
      </w:pPr>
      <w:r>
        <w:rPr>
          <w:rStyle w:val="FootnoteReference"/>
        </w:rPr>
        <w:footnoteRef/>
      </w:r>
      <w:r>
        <w:t xml:space="preserve"> The restructure was in line with Sub-Decree 94 which restructured a former General Technical Department into three General Departments.</w:t>
      </w:r>
    </w:p>
  </w:footnote>
  <w:footnote w:id="6">
    <w:p w14:paraId="3E991A8B" w14:textId="7F3F6887" w:rsidR="00AC3DEA" w:rsidRPr="00AC3DEA" w:rsidRDefault="00AC3DEA">
      <w:pPr>
        <w:pStyle w:val="FootnoteText"/>
        <w:rPr>
          <w:lang w:val="en-NZ"/>
        </w:rPr>
      </w:pPr>
      <w:r>
        <w:rPr>
          <w:rStyle w:val="FootnoteReference"/>
        </w:rPr>
        <w:footnoteRef/>
      </w:r>
      <w:r>
        <w:t xml:space="preserve"> </w:t>
      </w:r>
      <w:r w:rsidRPr="747280BF">
        <w:rPr>
          <w:rFonts w:ascii="Arial" w:eastAsia="Arial" w:hAnsi="Arial" w:cs="Arial"/>
        </w:rPr>
        <w:t xml:space="preserve">This insight may be modified after the results of the second ACCESS SAQUS, </w:t>
      </w:r>
      <w:r w:rsidR="00A2192B">
        <w:rPr>
          <w:rFonts w:ascii="Arial" w:eastAsia="Arial" w:hAnsi="Arial" w:cs="Arial"/>
        </w:rPr>
        <w:t>with a</w:t>
      </w:r>
      <w:r w:rsidRPr="747280BF">
        <w:rPr>
          <w:rFonts w:ascii="Arial" w:eastAsia="Arial" w:hAnsi="Arial" w:cs="Arial"/>
        </w:rPr>
        <w:t xml:space="preserve"> sample size</w:t>
      </w:r>
      <w:r w:rsidR="00A2192B">
        <w:rPr>
          <w:rFonts w:ascii="Arial" w:eastAsia="Arial" w:hAnsi="Arial" w:cs="Arial"/>
        </w:rPr>
        <w:t xml:space="preserve"> of 538 people. The </w:t>
      </w:r>
      <w:r w:rsidRPr="747280BF">
        <w:rPr>
          <w:rFonts w:ascii="Arial" w:eastAsia="Arial" w:hAnsi="Arial" w:cs="Arial"/>
        </w:rPr>
        <w:t>results from the first SAQUS offer a baseline picture only.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6732E" w14:textId="4E7AD158" w:rsidR="00D67843" w:rsidRDefault="00BF11FD" w:rsidP="00EE1892">
    <w:pPr>
      <w:pStyle w:val="Header"/>
      <w:jc w:val="right"/>
    </w:pPr>
    <w:sdt>
      <w:sdtPr>
        <w:alias w:val="PIck Background"/>
        <w:tag w:val="PIck Background"/>
        <w:id w:val="-691995685"/>
        <w:showingPlcHdr/>
        <w15:color w:val="99CC00"/>
        <w:docPartList>
          <w:docPartGallery w:val="Custom 5"/>
          <w:docPartCategory w:val="Background"/>
        </w:docPartList>
      </w:sdtPr>
      <w:sdtEndPr/>
      <w:sdtContent>
        <w:r w:rsidR="007825FE">
          <w:t xml:space="preserve">     </w:t>
        </w:r>
      </w:sdtContent>
    </w:sdt>
    <w:r w:rsidR="007414DD">
      <w:rPr>
        <w:noProof/>
      </w:rPr>
      <w:drawing>
        <wp:anchor distT="0" distB="0" distL="114300" distR="114300" simplePos="0" relativeHeight="251658240" behindDoc="0" locked="0" layoutInCell="1" allowOverlap="1" wp14:anchorId="6D144300" wp14:editId="6E89FEEA">
          <wp:simplePos x="0" y="0"/>
          <wp:positionH relativeFrom="margin">
            <wp:posOffset>4786630</wp:posOffset>
          </wp:positionH>
          <wp:positionV relativeFrom="paragraph">
            <wp:posOffset>-16510</wp:posOffset>
          </wp:positionV>
          <wp:extent cx="1326515" cy="483870"/>
          <wp:effectExtent l="0" t="0" r="6985" b="0"/>
          <wp:wrapSquare wrapText="bothSides"/>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pic:nvPicPr>
                <pic:blipFill>
                  <a:blip r:embed="rId1"/>
                  <a:stretch>
                    <a:fillRect/>
                  </a:stretch>
                </pic:blipFill>
                <pic:spPr>
                  <a:xfrm>
                    <a:off x="0" y="0"/>
                    <a:ext cx="1326515" cy="48387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E86C5" w14:textId="57D39E8B" w:rsidR="00D67843" w:rsidRDefault="00AF13F3">
    <w:pPr>
      <w:pStyle w:val="Header"/>
    </w:pPr>
    <w:r>
      <w:rPr>
        <w:noProof/>
      </w:rPr>
      <w:drawing>
        <wp:anchor distT="0" distB="0" distL="114300" distR="114300" simplePos="0" relativeHeight="251659270" behindDoc="1" locked="0" layoutInCell="1" allowOverlap="1" wp14:anchorId="7083B513" wp14:editId="417920C6">
          <wp:simplePos x="0" y="0"/>
          <wp:positionH relativeFrom="column">
            <wp:posOffset>-1033568</wp:posOffset>
          </wp:positionH>
          <wp:positionV relativeFrom="line">
            <wp:posOffset>-709930</wp:posOffset>
          </wp:positionV>
          <wp:extent cx="8457565" cy="7162800"/>
          <wp:effectExtent l="0" t="0" r="635" b="0"/>
          <wp:wrapTight wrapText="bothSides">
            <wp:wrapPolygon edited="0">
              <wp:start x="0" y="0"/>
              <wp:lineTo x="0" y="21543"/>
              <wp:lineTo x="21553" y="21543"/>
              <wp:lineTo x="21553" y="0"/>
              <wp:lineTo x="0" y="0"/>
            </wp:wrapPolygon>
          </wp:wrapTight>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
                  <a:srcRect b="3590"/>
                  <a:stretch/>
                </pic:blipFill>
                <pic:spPr bwMode="auto">
                  <a:xfrm>
                    <a:off x="0" y="0"/>
                    <a:ext cx="8457565" cy="716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CA71F" w14:textId="50E5A36A" w:rsidR="00091B54" w:rsidRPr="008253D4" w:rsidRDefault="00BB65A8" w:rsidP="008253D4">
    <w:pPr>
      <w:pStyle w:val="Header"/>
      <w:jc w:val="right"/>
      <w:rPr>
        <w:noProof/>
      </w:rPr>
    </w:pPr>
    <w:r>
      <w:rPr>
        <w:noProof/>
      </w:rPr>
      <w:drawing>
        <wp:anchor distT="0" distB="0" distL="114300" distR="114300" simplePos="0" relativeHeight="251658242" behindDoc="0" locked="0" layoutInCell="1" allowOverlap="1" wp14:anchorId="14BAECFB" wp14:editId="7CCDDA34">
          <wp:simplePos x="0" y="0"/>
          <wp:positionH relativeFrom="margin">
            <wp:align>right</wp:align>
          </wp:positionH>
          <wp:positionV relativeFrom="paragraph">
            <wp:posOffset>-16721</wp:posOffset>
          </wp:positionV>
          <wp:extent cx="1326515" cy="483870"/>
          <wp:effectExtent l="0" t="0" r="6985" b="0"/>
          <wp:wrapSquare wrapText="bothSides"/>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a:blip r:embed="rId1"/>
                  <a:stretch>
                    <a:fillRect/>
                  </a:stretch>
                </pic:blipFill>
                <pic:spPr>
                  <a:xfrm>
                    <a:off x="0" y="0"/>
                    <a:ext cx="1326515" cy="483870"/>
                  </a:xfrm>
                  <a:prstGeom prst="rect">
                    <a:avLst/>
                  </a:prstGeom>
                </pic:spPr>
              </pic:pic>
            </a:graphicData>
          </a:graphic>
        </wp:anchor>
      </w:drawing>
    </w:r>
  </w:p>
  <w:p w14:paraId="4AA43FE8" w14:textId="49533B11" w:rsidR="00091B54" w:rsidRDefault="00091B5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DC397" w14:textId="77777777" w:rsidR="00091B54" w:rsidRPr="009D07D2" w:rsidRDefault="00091B54" w:rsidP="009D07D2">
    <w:pPr>
      <w:pStyle w:val="Header"/>
      <w:jc w:val="right"/>
    </w:pPr>
    <w:r>
      <w:rPr>
        <w:noProof/>
      </w:rPr>
      <w:drawing>
        <wp:inline distT="0" distB="0" distL="0" distR="0" wp14:anchorId="3EFD14E9" wp14:editId="5DA233DB">
          <wp:extent cx="1324800" cy="414000"/>
          <wp:effectExtent l="0" t="0" r="0" b="5715"/>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1"/>
                  <a:stretch>
                    <a:fillRect/>
                  </a:stretch>
                </pic:blipFill>
                <pic:spPr>
                  <a:xfrm>
                    <a:off x="0" y="0"/>
                    <a:ext cx="1324800" cy="414000"/>
                  </a:xfrm>
                  <a:prstGeom prst="rect">
                    <a:avLst/>
                  </a:prstGeom>
                </pic:spPr>
              </pic:pic>
            </a:graphicData>
          </a:graphic>
        </wp:inline>
      </w:drawing>
    </w:r>
  </w:p>
  <w:p w14:paraId="68F5379E" w14:textId="77777777" w:rsidR="00091B54" w:rsidRDefault="00091B5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00CA4" w14:textId="022CD9A8" w:rsidR="00112635" w:rsidRDefault="00112635" w:rsidP="00EE1892">
    <w:pPr>
      <w:pStyle w:val="Header"/>
      <w:jc w:val="right"/>
    </w:pPr>
    <w:r>
      <w:rPr>
        <w:noProof/>
      </w:rPr>
      <w:drawing>
        <wp:anchor distT="0" distB="0" distL="114300" distR="114300" simplePos="0" relativeHeight="251658243" behindDoc="0" locked="0" layoutInCell="1" allowOverlap="1" wp14:anchorId="0273918D" wp14:editId="46401EAF">
          <wp:simplePos x="0" y="0"/>
          <wp:positionH relativeFrom="margin">
            <wp:posOffset>7701280</wp:posOffset>
          </wp:positionH>
          <wp:positionV relativeFrom="paragraph">
            <wp:posOffset>-311785</wp:posOffset>
          </wp:positionV>
          <wp:extent cx="1326515" cy="483870"/>
          <wp:effectExtent l="0" t="0" r="6985" b="0"/>
          <wp:wrapSquare wrapText="bothSides"/>
          <wp:docPr id="813682690" name="Picture 8136826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82690" name="Picture 813682690">
                    <a:extLst>
                      <a:ext uri="{C183D7F6-B498-43B3-948B-1728B52AA6E4}">
                        <adec:decorative xmlns:adec="http://schemas.microsoft.com/office/drawing/2017/decorative" val="1"/>
                      </a:ext>
                    </a:extLst>
                  </pic:cNvPr>
                  <pic:cNvPicPr/>
                </pic:nvPicPr>
                <pic:blipFill>
                  <a:blip r:embed="rId1"/>
                  <a:stretch>
                    <a:fillRect/>
                  </a:stretch>
                </pic:blipFill>
                <pic:spPr>
                  <a:xfrm>
                    <a:off x="0" y="0"/>
                    <a:ext cx="1326515" cy="483870"/>
                  </a:xfrm>
                  <a:prstGeom prst="rect">
                    <a:avLst/>
                  </a:prstGeom>
                </pic:spPr>
              </pic:pic>
            </a:graphicData>
          </a:graphic>
        </wp:anchor>
      </w:drawing>
    </w:r>
    <w:sdt>
      <w:sdtPr>
        <w:alias w:val="PIck Background"/>
        <w:tag w:val="PIck Background"/>
        <w:id w:val="-421494713"/>
        <w:showingPlcHdr/>
        <w15:color w:val="99CC00"/>
        <w:docPartList>
          <w:docPartGallery w:val="Custom 5"/>
          <w:docPartCategory w:val="Background"/>
        </w:docPartList>
      </w:sdtPr>
      <w:sdtEndPr/>
      <w:sdtContent>
        <w:r w:rsidR="007825FE">
          <w:t xml:space="preserve">     </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C8B42" w14:textId="0DA6B0CA" w:rsidR="000009DD" w:rsidRDefault="000009DD" w:rsidP="00EE1892">
    <w:pPr>
      <w:pStyle w:val="Header"/>
      <w:jc w:val="right"/>
    </w:pPr>
    <w:r>
      <w:rPr>
        <w:noProof/>
      </w:rPr>
      <w:drawing>
        <wp:inline distT="0" distB="0" distL="0" distR="0" wp14:anchorId="111F069E" wp14:editId="489EA330">
          <wp:extent cx="1326515" cy="483870"/>
          <wp:effectExtent l="0" t="0" r="6985" b="0"/>
          <wp:docPr id="813682693" name="Picture 813682693" descr="Alinea Internation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82693" name="Picture 813682693" descr="Alinea International logo"/>
                  <pic:cNvPicPr/>
                </pic:nvPicPr>
                <pic:blipFill>
                  <a:blip r:embed="rId1"/>
                  <a:stretch>
                    <a:fillRect/>
                  </a:stretch>
                </pic:blipFill>
                <pic:spPr>
                  <a:xfrm>
                    <a:off x="0" y="0"/>
                    <a:ext cx="1326515" cy="483870"/>
                  </a:xfrm>
                  <a:prstGeom prst="rect">
                    <a:avLst/>
                  </a:prstGeom>
                </pic:spPr>
              </pic:pic>
            </a:graphicData>
          </a:graphic>
        </wp:inline>
      </w:drawing>
    </w:r>
    <w:r>
      <w:rPr>
        <w:noProof/>
      </w:rPr>
      <w:drawing>
        <wp:anchor distT="0" distB="0" distL="114300" distR="114300" simplePos="0" relativeHeight="251658244" behindDoc="0" locked="0" layoutInCell="1" allowOverlap="1" wp14:anchorId="4C470CB6" wp14:editId="271CE8D8">
          <wp:simplePos x="0" y="0"/>
          <wp:positionH relativeFrom="margin">
            <wp:posOffset>7701280</wp:posOffset>
          </wp:positionH>
          <wp:positionV relativeFrom="paragraph">
            <wp:posOffset>-311785</wp:posOffset>
          </wp:positionV>
          <wp:extent cx="1326515" cy="483870"/>
          <wp:effectExtent l="0" t="0" r="6985" b="0"/>
          <wp:wrapSquare wrapText="bothSides"/>
          <wp:docPr id="813682692" name="Picture 8136826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82692" name="Picture 813682692">
                    <a:extLst>
                      <a:ext uri="{C183D7F6-B498-43B3-948B-1728B52AA6E4}">
                        <adec:decorative xmlns:adec="http://schemas.microsoft.com/office/drawing/2017/decorative" val="1"/>
                      </a:ext>
                    </a:extLst>
                  </pic:cNvPr>
                  <pic:cNvPicPr/>
                </pic:nvPicPr>
                <pic:blipFill>
                  <a:blip r:embed="rId1"/>
                  <a:stretch>
                    <a:fillRect/>
                  </a:stretch>
                </pic:blipFill>
                <pic:spPr>
                  <a:xfrm>
                    <a:off x="0" y="0"/>
                    <a:ext cx="1326515" cy="483870"/>
                  </a:xfrm>
                  <a:prstGeom prst="rect">
                    <a:avLst/>
                  </a:prstGeom>
                </pic:spPr>
              </pic:pic>
            </a:graphicData>
          </a:graphic>
        </wp:anchor>
      </w:drawing>
    </w:r>
    <w:sdt>
      <w:sdtPr>
        <w:alias w:val="PIck Background"/>
        <w:tag w:val="PIck Background"/>
        <w:id w:val="72476308"/>
        <w:showingPlcHdr/>
        <w15:color w:val="99CC00"/>
        <w:docPartList>
          <w:docPartGallery w:val="Custom 5"/>
          <w:docPartCategory w:val="Background"/>
        </w:docPartList>
      </w:sdtPr>
      <w:sdtEndPr/>
      <w:sdtContent>
        <w:r w:rsidR="007825FE">
          <w:t xml:space="preserve">     </w:t>
        </w:r>
      </w:sdtContent>
    </w:sdt>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47494" w14:textId="746411D5" w:rsidR="000009DD" w:rsidRDefault="000009DD" w:rsidP="00EE1892">
    <w:pPr>
      <w:pStyle w:val="Header"/>
      <w:jc w:val="right"/>
    </w:pPr>
    <w:r>
      <w:rPr>
        <w:noProof/>
      </w:rPr>
      <w:drawing>
        <wp:inline distT="0" distB="0" distL="0" distR="0" wp14:anchorId="5AB9247C" wp14:editId="05F35F9D">
          <wp:extent cx="1326515" cy="483870"/>
          <wp:effectExtent l="0" t="0" r="6985" b="0"/>
          <wp:docPr id="813682698" name="Picture 813682698" descr="Alinea Internation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82698" name="Picture 813682698" descr="Alinea International logo"/>
                  <pic:cNvPicPr/>
                </pic:nvPicPr>
                <pic:blipFill>
                  <a:blip r:embed="rId1"/>
                  <a:stretch>
                    <a:fillRect/>
                  </a:stretch>
                </pic:blipFill>
                <pic:spPr>
                  <a:xfrm>
                    <a:off x="0" y="0"/>
                    <a:ext cx="1326515" cy="483870"/>
                  </a:xfrm>
                  <a:prstGeom prst="rect">
                    <a:avLst/>
                  </a:prstGeom>
                </pic:spPr>
              </pic:pic>
            </a:graphicData>
          </a:graphic>
        </wp:inline>
      </w:drawing>
    </w:r>
    <w:sdt>
      <w:sdtPr>
        <w:alias w:val="PIck Background"/>
        <w:tag w:val="PIck Background"/>
        <w:id w:val="-952711320"/>
        <w:showingPlcHdr/>
        <w15:color w:val="99CC00"/>
        <w:docPartList>
          <w:docPartGallery w:val="Custom 5"/>
          <w:docPartCategory w:val="Background"/>
        </w:docPartList>
      </w:sdtPr>
      <w:sdtEndPr/>
      <w:sdtContent>
        <w:r w:rsidR="007825FE">
          <w:t xml:space="preserve">     </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62038"/>
    <w:multiLevelType w:val="hybridMultilevel"/>
    <w:tmpl w:val="6F487DD0"/>
    <w:lvl w:ilvl="0" w:tplc="248C5F60">
      <w:start w:val="1"/>
      <w:numFmt w:val="bullet"/>
      <w:lvlText w:val=""/>
      <w:lvlJc w:val="left"/>
      <w:pPr>
        <w:ind w:left="720" w:hanging="360"/>
      </w:pPr>
      <w:rPr>
        <w:rFonts w:ascii="Symbol" w:hAnsi="Symbol" w:hint="default"/>
        <w:color w:val="1D336D" w:themeColor="background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C42FB"/>
    <w:multiLevelType w:val="multilevel"/>
    <w:tmpl w:val="C3A40D2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04474E65"/>
    <w:multiLevelType w:val="multilevel"/>
    <w:tmpl w:val="1B2E107C"/>
    <w:styleLink w:val="Headings"/>
    <w:lvl w:ilvl="0">
      <w:start w:val="1"/>
      <w:numFmt w:val="decimal"/>
      <w:pStyle w:val="ListNumber"/>
      <w:lvlText w:val="%1."/>
      <w:lvlJc w:val="left"/>
      <w:pPr>
        <w:tabs>
          <w:tab w:val="num" w:pos="284"/>
        </w:tabs>
        <w:ind w:left="284" w:hanging="284"/>
      </w:pPr>
      <w:rPr>
        <w:rFonts w:hint="default"/>
        <w:color w:val="2294CD"/>
      </w:rPr>
    </w:lvl>
    <w:lvl w:ilvl="1">
      <w:start w:val="1"/>
      <w:numFmt w:val="lowerLetter"/>
      <w:pStyle w:val="ListNumber2"/>
      <w:lvlText w:val="%2."/>
      <w:lvlJc w:val="left"/>
      <w:pPr>
        <w:tabs>
          <w:tab w:val="num" w:pos="567"/>
        </w:tabs>
        <w:ind w:left="568" w:hanging="284"/>
      </w:pPr>
      <w:rPr>
        <w:rFonts w:hint="default"/>
        <w:color w:val="2294CD"/>
      </w:rPr>
    </w:lvl>
    <w:lvl w:ilvl="2">
      <w:start w:val="1"/>
      <w:numFmt w:val="lowerRoman"/>
      <w:pStyle w:val="ListNumber3"/>
      <w:lvlText w:val="%3."/>
      <w:lvlJc w:val="left"/>
      <w:pPr>
        <w:tabs>
          <w:tab w:val="num" w:pos="851"/>
        </w:tabs>
        <w:ind w:left="852" w:hanging="284"/>
      </w:pPr>
      <w:rPr>
        <w:rFonts w:hint="default"/>
        <w:color w:val="2294CD"/>
      </w:rPr>
    </w:lvl>
    <w:lvl w:ilvl="3">
      <w:start w:val="1"/>
      <w:numFmt w:val="none"/>
      <w:lvlText w:val=""/>
      <w:lvlJc w:val="left"/>
      <w:pPr>
        <w:tabs>
          <w:tab w:val="num" w:pos="284"/>
        </w:tabs>
        <w:ind w:left="1136" w:hanging="284"/>
      </w:pPr>
      <w:rPr>
        <w:rFonts w:hint="default"/>
        <w:b w:val="0"/>
        <w:i w:val="0"/>
        <w:color w:val="1D336D" w:themeColor="background2"/>
      </w:rPr>
    </w:lvl>
    <w:lvl w:ilvl="4">
      <w:start w:val="1"/>
      <w:numFmt w:val="none"/>
      <w:lvlText w:val=""/>
      <w:lvlJc w:val="left"/>
      <w:pPr>
        <w:tabs>
          <w:tab w:val="num" w:pos="567"/>
        </w:tabs>
        <w:ind w:left="1420" w:hanging="284"/>
      </w:pPr>
      <w:rPr>
        <w:rFonts w:hint="default"/>
        <w:b w:val="0"/>
        <w:i w:val="0"/>
        <w:color w:val="1D336D" w:themeColor="background2"/>
      </w:rPr>
    </w:lvl>
    <w:lvl w:ilvl="5">
      <w:start w:val="1"/>
      <w:numFmt w:val="none"/>
      <w:lvlText w:val=""/>
      <w:lvlJc w:val="left"/>
      <w:pPr>
        <w:tabs>
          <w:tab w:val="num" w:pos="851"/>
        </w:tabs>
        <w:ind w:left="1704" w:hanging="284"/>
      </w:pPr>
      <w:rPr>
        <w:rFonts w:hint="default"/>
        <w:b w:val="0"/>
        <w:i w:val="0"/>
        <w:color w:val="1D336D" w:themeColor="background2"/>
      </w:rPr>
    </w:lvl>
    <w:lvl w:ilvl="6">
      <w:start w:val="1"/>
      <w:numFmt w:val="none"/>
      <w:lvlText w:val=""/>
      <w:lvlJc w:val="left"/>
      <w:pPr>
        <w:ind w:left="1988" w:hanging="284"/>
      </w:pPr>
      <w:rPr>
        <w:rFonts w:hint="default"/>
      </w:rPr>
    </w:lvl>
    <w:lvl w:ilvl="7">
      <w:start w:val="1"/>
      <w:numFmt w:val="none"/>
      <w:suff w:val="nothing"/>
      <w:lvlText w:val=""/>
      <w:lvlJc w:val="left"/>
      <w:pPr>
        <w:ind w:left="2272" w:hanging="284"/>
      </w:pPr>
      <w:rPr>
        <w:rFonts w:hint="default"/>
      </w:rPr>
    </w:lvl>
    <w:lvl w:ilvl="8">
      <w:start w:val="1"/>
      <w:numFmt w:val="none"/>
      <w:suff w:val="nothing"/>
      <w:lvlText w:val=""/>
      <w:lvlJc w:val="left"/>
      <w:pPr>
        <w:ind w:left="2556" w:hanging="284"/>
      </w:pPr>
      <w:rPr>
        <w:rFonts w:hint="default"/>
      </w:rPr>
    </w:lvl>
  </w:abstractNum>
  <w:abstractNum w:abstractNumId="3" w15:restartNumberingAfterBreak="0">
    <w:nsid w:val="05111D7E"/>
    <w:multiLevelType w:val="hybridMultilevel"/>
    <w:tmpl w:val="08948A58"/>
    <w:lvl w:ilvl="0" w:tplc="A8CC33C8">
      <w:numFmt w:val="bullet"/>
      <w:lvlText w:val="-"/>
      <w:lvlJc w:val="left"/>
      <w:pPr>
        <w:ind w:left="720" w:hanging="360"/>
      </w:pPr>
      <w:rPr>
        <w:rFonts w:ascii="Arial" w:eastAsiaTheme="maj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A13200"/>
    <w:multiLevelType w:val="multilevel"/>
    <w:tmpl w:val="70D89F36"/>
    <w:lvl w:ilvl="0">
      <w:start w:val="1"/>
      <w:numFmt w:val="bullet"/>
      <w:lvlText w:val=""/>
      <w:lvlJc w:val="left"/>
      <w:pPr>
        <w:tabs>
          <w:tab w:val="num" w:pos="720"/>
        </w:tabs>
        <w:ind w:left="720" w:hanging="360"/>
      </w:pPr>
      <w:rPr>
        <w:rFonts w:ascii="Symbol" w:hAnsi="Symbol" w:hint="default"/>
        <w:color w:val="1D336D" w:themeColor="background2"/>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586B17"/>
    <w:multiLevelType w:val="hybridMultilevel"/>
    <w:tmpl w:val="19760286"/>
    <w:lvl w:ilvl="0" w:tplc="0C090001">
      <w:start w:val="1"/>
      <w:numFmt w:val="bullet"/>
      <w:lvlText w:val=""/>
      <w:lvlJc w:val="left"/>
      <w:pPr>
        <w:ind w:left="720" w:hanging="360"/>
      </w:pPr>
      <w:rPr>
        <w:rFonts w:ascii="Symbol" w:hAnsi="Symbol" w:hint="default"/>
      </w:rPr>
    </w:lvl>
    <w:lvl w:ilvl="1" w:tplc="797AAFA0">
      <w:start w:val="1"/>
      <w:numFmt w:val="bullet"/>
      <w:lvlText w:val="o"/>
      <w:lvlJc w:val="left"/>
      <w:pPr>
        <w:ind w:left="1440" w:hanging="360"/>
      </w:pPr>
      <w:rPr>
        <w:rFonts w:ascii="Courier New" w:hAnsi="Courier New" w:hint="default"/>
      </w:rPr>
    </w:lvl>
    <w:lvl w:ilvl="2" w:tplc="4120C5E8">
      <w:start w:val="1"/>
      <w:numFmt w:val="bullet"/>
      <w:lvlText w:val=""/>
      <w:lvlJc w:val="left"/>
      <w:pPr>
        <w:ind w:left="2160" w:hanging="360"/>
      </w:pPr>
      <w:rPr>
        <w:rFonts w:ascii="Wingdings" w:hAnsi="Wingdings" w:hint="default"/>
      </w:rPr>
    </w:lvl>
    <w:lvl w:ilvl="3" w:tplc="E6D07146">
      <w:start w:val="1"/>
      <w:numFmt w:val="bullet"/>
      <w:lvlText w:val=""/>
      <w:lvlJc w:val="left"/>
      <w:pPr>
        <w:ind w:left="2880" w:hanging="360"/>
      </w:pPr>
      <w:rPr>
        <w:rFonts w:ascii="Symbol" w:hAnsi="Symbol" w:hint="default"/>
      </w:rPr>
    </w:lvl>
    <w:lvl w:ilvl="4" w:tplc="0D2CA3FC">
      <w:start w:val="1"/>
      <w:numFmt w:val="bullet"/>
      <w:lvlText w:val="o"/>
      <w:lvlJc w:val="left"/>
      <w:pPr>
        <w:ind w:left="3600" w:hanging="360"/>
      </w:pPr>
      <w:rPr>
        <w:rFonts w:ascii="Courier New" w:hAnsi="Courier New" w:hint="default"/>
      </w:rPr>
    </w:lvl>
    <w:lvl w:ilvl="5" w:tplc="8C9A6FE4">
      <w:start w:val="1"/>
      <w:numFmt w:val="bullet"/>
      <w:lvlText w:val=""/>
      <w:lvlJc w:val="left"/>
      <w:pPr>
        <w:ind w:left="4320" w:hanging="360"/>
      </w:pPr>
      <w:rPr>
        <w:rFonts w:ascii="Wingdings" w:hAnsi="Wingdings" w:hint="default"/>
      </w:rPr>
    </w:lvl>
    <w:lvl w:ilvl="6" w:tplc="FFA040B8">
      <w:start w:val="1"/>
      <w:numFmt w:val="bullet"/>
      <w:lvlText w:val=""/>
      <w:lvlJc w:val="left"/>
      <w:pPr>
        <w:ind w:left="5040" w:hanging="360"/>
      </w:pPr>
      <w:rPr>
        <w:rFonts w:ascii="Symbol" w:hAnsi="Symbol" w:hint="default"/>
      </w:rPr>
    </w:lvl>
    <w:lvl w:ilvl="7" w:tplc="41084B30">
      <w:start w:val="1"/>
      <w:numFmt w:val="bullet"/>
      <w:lvlText w:val="o"/>
      <w:lvlJc w:val="left"/>
      <w:pPr>
        <w:ind w:left="5760" w:hanging="360"/>
      </w:pPr>
      <w:rPr>
        <w:rFonts w:ascii="Courier New" w:hAnsi="Courier New" w:hint="default"/>
      </w:rPr>
    </w:lvl>
    <w:lvl w:ilvl="8" w:tplc="D758CA0E">
      <w:start w:val="1"/>
      <w:numFmt w:val="bullet"/>
      <w:lvlText w:val=""/>
      <w:lvlJc w:val="left"/>
      <w:pPr>
        <w:ind w:left="6480" w:hanging="360"/>
      </w:pPr>
      <w:rPr>
        <w:rFonts w:ascii="Wingdings" w:hAnsi="Wingdings" w:hint="default"/>
      </w:rPr>
    </w:lvl>
  </w:abstractNum>
  <w:abstractNum w:abstractNumId="6" w15:restartNumberingAfterBreak="0">
    <w:nsid w:val="08ABA75E"/>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9E570FA"/>
    <w:multiLevelType w:val="hybridMultilevel"/>
    <w:tmpl w:val="FFFFFFFF"/>
    <w:lvl w:ilvl="0" w:tplc="561497B2">
      <w:start w:val="1"/>
      <w:numFmt w:val="bullet"/>
      <w:lvlText w:val="·"/>
      <w:lvlJc w:val="left"/>
      <w:pPr>
        <w:ind w:left="720" w:hanging="360"/>
      </w:pPr>
      <w:rPr>
        <w:rFonts w:ascii="Symbol" w:hAnsi="Symbol" w:hint="default"/>
      </w:rPr>
    </w:lvl>
    <w:lvl w:ilvl="1" w:tplc="F43C5546">
      <w:start w:val="1"/>
      <w:numFmt w:val="bullet"/>
      <w:lvlText w:val="o"/>
      <w:lvlJc w:val="left"/>
      <w:pPr>
        <w:ind w:left="1440" w:hanging="360"/>
      </w:pPr>
      <w:rPr>
        <w:rFonts w:ascii="Courier New" w:hAnsi="Courier New" w:hint="default"/>
      </w:rPr>
    </w:lvl>
    <w:lvl w:ilvl="2" w:tplc="B374ED70">
      <w:start w:val="1"/>
      <w:numFmt w:val="bullet"/>
      <w:lvlText w:val=""/>
      <w:lvlJc w:val="left"/>
      <w:pPr>
        <w:ind w:left="2160" w:hanging="360"/>
      </w:pPr>
      <w:rPr>
        <w:rFonts w:ascii="Wingdings" w:hAnsi="Wingdings" w:hint="default"/>
      </w:rPr>
    </w:lvl>
    <w:lvl w:ilvl="3" w:tplc="807236A4">
      <w:start w:val="1"/>
      <w:numFmt w:val="bullet"/>
      <w:lvlText w:val=""/>
      <w:lvlJc w:val="left"/>
      <w:pPr>
        <w:ind w:left="2880" w:hanging="360"/>
      </w:pPr>
      <w:rPr>
        <w:rFonts w:ascii="Symbol" w:hAnsi="Symbol" w:hint="default"/>
      </w:rPr>
    </w:lvl>
    <w:lvl w:ilvl="4" w:tplc="8F925FE2">
      <w:start w:val="1"/>
      <w:numFmt w:val="bullet"/>
      <w:lvlText w:val="o"/>
      <w:lvlJc w:val="left"/>
      <w:pPr>
        <w:ind w:left="3600" w:hanging="360"/>
      </w:pPr>
      <w:rPr>
        <w:rFonts w:ascii="Courier New" w:hAnsi="Courier New" w:hint="default"/>
      </w:rPr>
    </w:lvl>
    <w:lvl w:ilvl="5" w:tplc="C74A1CE4">
      <w:start w:val="1"/>
      <w:numFmt w:val="bullet"/>
      <w:lvlText w:val=""/>
      <w:lvlJc w:val="left"/>
      <w:pPr>
        <w:ind w:left="4320" w:hanging="360"/>
      </w:pPr>
      <w:rPr>
        <w:rFonts w:ascii="Wingdings" w:hAnsi="Wingdings" w:hint="default"/>
      </w:rPr>
    </w:lvl>
    <w:lvl w:ilvl="6" w:tplc="C638F70A">
      <w:start w:val="1"/>
      <w:numFmt w:val="bullet"/>
      <w:lvlText w:val=""/>
      <w:lvlJc w:val="left"/>
      <w:pPr>
        <w:ind w:left="5040" w:hanging="360"/>
      </w:pPr>
      <w:rPr>
        <w:rFonts w:ascii="Symbol" w:hAnsi="Symbol" w:hint="default"/>
      </w:rPr>
    </w:lvl>
    <w:lvl w:ilvl="7" w:tplc="F8FEECE6">
      <w:start w:val="1"/>
      <w:numFmt w:val="bullet"/>
      <w:lvlText w:val="o"/>
      <w:lvlJc w:val="left"/>
      <w:pPr>
        <w:ind w:left="5760" w:hanging="360"/>
      </w:pPr>
      <w:rPr>
        <w:rFonts w:ascii="Courier New" w:hAnsi="Courier New" w:hint="default"/>
      </w:rPr>
    </w:lvl>
    <w:lvl w:ilvl="8" w:tplc="D8BA1660">
      <w:start w:val="1"/>
      <w:numFmt w:val="bullet"/>
      <w:lvlText w:val=""/>
      <w:lvlJc w:val="left"/>
      <w:pPr>
        <w:ind w:left="6480" w:hanging="360"/>
      </w:pPr>
      <w:rPr>
        <w:rFonts w:ascii="Wingdings" w:hAnsi="Wingdings" w:hint="default"/>
      </w:rPr>
    </w:lvl>
  </w:abstractNum>
  <w:abstractNum w:abstractNumId="8" w15:restartNumberingAfterBreak="0">
    <w:nsid w:val="0A2F6B80"/>
    <w:multiLevelType w:val="multilevel"/>
    <w:tmpl w:val="E46EFE04"/>
    <w:styleLink w:val="Numberedlist"/>
    <w:lvl w:ilvl="0">
      <w:start w:val="1"/>
      <w:numFmt w:val="decimal"/>
      <w:lvlText w:val="%1."/>
      <w:lvlJc w:val="left"/>
      <w:pPr>
        <w:ind w:left="284" w:hanging="284"/>
      </w:pPr>
      <w:rPr>
        <w:rFonts w:hint="default"/>
      </w:rPr>
    </w:lvl>
    <w:lvl w:ilvl="1">
      <w:start w:val="1"/>
      <w:numFmt w:val="decimal"/>
      <w:lvlText w:val="%2."/>
      <w:lvlJc w:val="left"/>
      <w:pPr>
        <w:ind w:left="644" w:hanging="360"/>
      </w:p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284"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9" w15:restartNumberingAfterBreak="0">
    <w:nsid w:val="0A336AEC"/>
    <w:multiLevelType w:val="hybridMultilevel"/>
    <w:tmpl w:val="E1DC30EC"/>
    <w:lvl w:ilvl="0" w:tplc="184C8552">
      <w:start w:val="1"/>
      <w:numFmt w:val="decimal"/>
      <w:lvlText w:val="%1."/>
      <w:lvlJc w:val="left"/>
      <w:pPr>
        <w:ind w:left="822" w:hanging="360"/>
      </w:pPr>
      <w:rPr>
        <w:rFonts w:asciiTheme="minorHAnsi" w:eastAsiaTheme="majorEastAsia" w:hAnsiTheme="minorHAnsi" w:cs="Calibri"/>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0" w15:restartNumberingAfterBreak="0">
    <w:nsid w:val="0A947A50"/>
    <w:multiLevelType w:val="hybridMultilevel"/>
    <w:tmpl w:val="42320E76"/>
    <w:lvl w:ilvl="0" w:tplc="4344F20E">
      <w:start w:val="1"/>
      <w:numFmt w:val="bullet"/>
      <w:lvlText w:val=""/>
      <w:lvlJc w:val="left"/>
      <w:pPr>
        <w:ind w:left="720" w:hanging="360"/>
      </w:pPr>
      <w:rPr>
        <w:rFonts w:ascii="Symbol" w:hAnsi="Symbol" w:hint="default"/>
        <w:color w:val="1D336D" w:themeColor="background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6F5D6C"/>
    <w:multiLevelType w:val="hybridMultilevel"/>
    <w:tmpl w:val="3152827E"/>
    <w:lvl w:ilvl="0" w:tplc="9E7694B2">
      <w:start w:val="1"/>
      <w:numFmt w:val="bullet"/>
      <w:lvlText w:val="·"/>
      <w:lvlJc w:val="left"/>
      <w:pPr>
        <w:ind w:left="720" w:hanging="360"/>
      </w:pPr>
      <w:rPr>
        <w:rFonts w:ascii="Symbol" w:hAnsi="Symbol" w:hint="default"/>
        <w:color w:val="1D336D" w:themeColor="background2"/>
      </w:rPr>
    </w:lvl>
    <w:lvl w:ilvl="1" w:tplc="A4C0F868">
      <w:start w:val="1"/>
      <w:numFmt w:val="bullet"/>
      <w:lvlText w:val="o"/>
      <w:lvlJc w:val="left"/>
      <w:pPr>
        <w:ind w:left="1440" w:hanging="360"/>
      </w:pPr>
      <w:rPr>
        <w:rFonts w:ascii="Courier New" w:hAnsi="Courier New" w:hint="default"/>
      </w:rPr>
    </w:lvl>
    <w:lvl w:ilvl="2" w:tplc="6D8025A0">
      <w:start w:val="1"/>
      <w:numFmt w:val="bullet"/>
      <w:lvlText w:val=""/>
      <w:lvlJc w:val="left"/>
      <w:pPr>
        <w:ind w:left="2160" w:hanging="360"/>
      </w:pPr>
      <w:rPr>
        <w:rFonts w:ascii="Wingdings" w:hAnsi="Wingdings" w:hint="default"/>
      </w:rPr>
    </w:lvl>
    <w:lvl w:ilvl="3" w:tplc="E89C3D5C">
      <w:start w:val="1"/>
      <w:numFmt w:val="bullet"/>
      <w:lvlText w:val=""/>
      <w:lvlJc w:val="left"/>
      <w:pPr>
        <w:ind w:left="2880" w:hanging="360"/>
      </w:pPr>
      <w:rPr>
        <w:rFonts w:ascii="Symbol" w:hAnsi="Symbol" w:hint="default"/>
      </w:rPr>
    </w:lvl>
    <w:lvl w:ilvl="4" w:tplc="83E0B936">
      <w:start w:val="1"/>
      <w:numFmt w:val="bullet"/>
      <w:lvlText w:val="o"/>
      <w:lvlJc w:val="left"/>
      <w:pPr>
        <w:ind w:left="3600" w:hanging="360"/>
      </w:pPr>
      <w:rPr>
        <w:rFonts w:ascii="Courier New" w:hAnsi="Courier New" w:hint="default"/>
      </w:rPr>
    </w:lvl>
    <w:lvl w:ilvl="5" w:tplc="E342E5F6">
      <w:start w:val="1"/>
      <w:numFmt w:val="bullet"/>
      <w:lvlText w:val=""/>
      <w:lvlJc w:val="left"/>
      <w:pPr>
        <w:ind w:left="4320" w:hanging="360"/>
      </w:pPr>
      <w:rPr>
        <w:rFonts w:ascii="Wingdings" w:hAnsi="Wingdings" w:hint="default"/>
      </w:rPr>
    </w:lvl>
    <w:lvl w:ilvl="6" w:tplc="97423CF4">
      <w:start w:val="1"/>
      <w:numFmt w:val="bullet"/>
      <w:lvlText w:val=""/>
      <w:lvlJc w:val="left"/>
      <w:pPr>
        <w:ind w:left="5040" w:hanging="360"/>
      </w:pPr>
      <w:rPr>
        <w:rFonts w:ascii="Symbol" w:hAnsi="Symbol" w:hint="default"/>
      </w:rPr>
    </w:lvl>
    <w:lvl w:ilvl="7" w:tplc="C29A0780">
      <w:start w:val="1"/>
      <w:numFmt w:val="bullet"/>
      <w:lvlText w:val="o"/>
      <w:lvlJc w:val="left"/>
      <w:pPr>
        <w:ind w:left="5760" w:hanging="360"/>
      </w:pPr>
      <w:rPr>
        <w:rFonts w:ascii="Courier New" w:hAnsi="Courier New" w:hint="default"/>
      </w:rPr>
    </w:lvl>
    <w:lvl w:ilvl="8" w:tplc="2AEA9EF8">
      <w:start w:val="1"/>
      <w:numFmt w:val="bullet"/>
      <w:lvlText w:val=""/>
      <w:lvlJc w:val="left"/>
      <w:pPr>
        <w:ind w:left="6480" w:hanging="360"/>
      </w:pPr>
      <w:rPr>
        <w:rFonts w:ascii="Wingdings" w:hAnsi="Wingdings" w:hint="default"/>
      </w:rPr>
    </w:lvl>
  </w:abstractNum>
  <w:abstractNum w:abstractNumId="12" w15:restartNumberingAfterBreak="0">
    <w:nsid w:val="0C7464BB"/>
    <w:multiLevelType w:val="multilevel"/>
    <w:tmpl w:val="D3EEE87C"/>
    <w:name w:val="AutoNum"/>
    <w:lvl w:ilvl="0">
      <w:start w:val="1"/>
      <w:numFmt w:val="decimal"/>
      <w:lvlText w:val="%1."/>
      <w:lvlJc w:val="left"/>
      <w:pPr>
        <w:ind w:left="360" w:hanging="360"/>
      </w:pPr>
      <w:rPr>
        <w:rFonts w:asciiTheme="majorHAnsi" w:hAnsiTheme="majorHAnsi" w:hint="default"/>
        <w:b/>
        <w:i w:val="0"/>
        <w:color w:val="585858" w:themeColor="text2"/>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15:restartNumberingAfterBreak="0">
    <w:nsid w:val="0EB022D8"/>
    <w:multiLevelType w:val="hybridMultilevel"/>
    <w:tmpl w:val="F756204A"/>
    <w:lvl w:ilvl="0" w:tplc="C930CACE">
      <w:start w:val="1"/>
      <w:numFmt w:val="bullet"/>
      <w:pStyle w:val="TableBullets"/>
      <w:lvlText w:val=""/>
      <w:lvlJc w:val="left"/>
      <w:pPr>
        <w:ind w:left="360" w:hanging="360"/>
      </w:pPr>
      <w:rPr>
        <w:rFonts w:ascii="Wingdings" w:hAnsi="Wingdings"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17A17FE"/>
    <w:multiLevelType w:val="multilevel"/>
    <w:tmpl w:val="09685C38"/>
    <w:numStyleLink w:val="MasterHeadings"/>
  </w:abstractNum>
  <w:abstractNum w:abstractNumId="15" w15:restartNumberingAfterBreak="0">
    <w:nsid w:val="13FF3EF9"/>
    <w:multiLevelType w:val="hybridMultilevel"/>
    <w:tmpl w:val="CE90EC6C"/>
    <w:lvl w:ilvl="0" w:tplc="89088038">
      <w:start w:val="1"/>
      <w:numFmt w:val="bullet"/>
      <w:lvlText w:val=""/>
      <w:lvlJc w:val="left"/>
      <w:pPr>
        <w:ind w:left="720" w:hanging="360"/>
      </w:pPr>
      <w:rPr>
        <w:rFonts w:ascii="Symbol" w:hAnsi="Symbol" w:hint="default"/>
        <w:color w:val="1D336D" w:themeColor="background2"/>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1CFF0717"/>
    <w:multiLevelType w:val="hybridMultilevel"/>
    <w:tmpl w:val="B50C0ADC"/>
    <w:lvl w:ilvl="0" w:tplc="E758DE60">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EF96B4E"/>
    <w:multiLevelType w:val="hybridMultilevel"/>
    <w:tmpl w:val="AF6AE812"/>
    <w:lvl w:ilvl="0" w:tplc="E80801E0">
      <w:start w:val="1"/>
      <w:numFmt w:val="decimal"/>
      <w:lvlText w:val="%1."/>
      <w:lvlJc w:val="left"/>
      <w:pPr>
        <w:ind w:left="890" w:hanging="360"/>
      </w:pPr>
    </w:lvl>
    <w:lvl w:ilvl="1" w:tplc="14090019" w:tentative="1">
      <w:start w:val="1"/>
      <w:numFmt w:val="lowerLetter"/>
      <w:lvlText w:val="%2."/>
      <w:lvlJc w:val="left"/>
      <w:pPr>
        <w:ind w:left="1610" w:hanging="360"/>
      </w:pPr>
    </w:lvl>
    <w:lvl w:ilvl="2" w:tplc="1409001B" w:tentative="1">
      <w:start w:val="1"/>
      <w:numFmt w:val="lowerRoman"/>
      <w:lvlText w:val="%3."/>
      <w:lvlJc w:val="right"/>
      <w:pPr>
        <w:ind w:left="2330" w:hanging="180"/>
      </w:pPr>
    </w:lvl>
    <w:lvl w:ilvl="3" w:tplc="1409000F" w:tentative="1">
      <w:start w:val="1"/>
      <w:numFmt w:val="decimal"/>
      <w:lvlText w:val="%4."/>
      <w:lvlJc w:val="left"/>
      <w:pPr>
        <w:ind w:left="3050" w:hanging="360"/>
      </w:pPr>
    </w:lvl>
    <w:lvl w:ilvl="4" w:tplc="14090019" w:tentative="1">
      <w:start w:val="1"/>
      <w:numFmt w:val="lowerLetter"/>
      <w:lvlText w:val="%5."/>
      <w:lvlJc w:val="left"/>
      <w:pPr>
        <w:ind w:left="3770" w:hanging="360"/>
      </w:pPr>
    </w:lvl>
    <w:lvl w:ilvl="5" w:tplc="1409001B" w:tentative="1">
      <w:start w:val="1"/>
      <w:numFmt w:val="lowerRoman"/>
      <w:lvlText w:val="%6."/>
      <w:lvlJc w:val="right"/>
      <w:pPr>
        <w:ind w:left="4490" w:hanging="180"/>
      </w:pPr>
    </w:lvl>
    <w:lvl w:ilvl="6" w:tplc="1409000F" w:tentative="1">
      <w:start w:val="1"/>
      <w:numFmt w:val="decimal"/>
      <w:lvlText w:val="%7."/>
      <w:lvlJc w:val="left"/>
      <w:pPr>
        <w:ind w:left="5210" w:hanging="360"/>
      </w:pPr>
    </w:lvl>
    <w:lvl w:ilvl="7" w:tplc="14090019" w:tentative="1">
      <w:start w:val="1"/>
      <w:numFmt w:val="lowerLetter"/>
      <w:lvlText w:val="%8."/>
      <w:lvlJc w:val="left"/>
      <w:pPr>
        <w:ind w:left="5930" w:hanging="360"/>
      </w:pPr>
    </w:lvl>
    <w:lvl w:ilvl="8" w:tplc="1409001B" w:tentative="1">
      <w:start w:val="1"/>
      <w:numFmt w:val="lowerRoman"/>
      <w:lvlText w:val="%9."/>
      <w:lvlJc w:val="right"/>
      <w:pPr>
        <w:ind w:left="6650" w:hanging="180"/>
      </w:pPr>
    </w:lvl>
  </w:abstractNum>
  <w:abstractNum w:abstractNumId="18" w15:restartNumberingAfterBreak="0">
    <w:nsid w:val="20884178"/>
    <w:multiLevelType w:val="multilevel"/>
    <w:tmpl w:val="1B2E107C"/>
    <w:numStyleLink w:val="Headings"/>
  </w:abstractNum>
  <w:abstractNum w:abstractNumId="19" w15:restartNumberingAfterBreak="0">
    <w:nsid w:val="208C8D56"/>
    <w:multiLevelType w:val="hybridMultilevel"/>
    <w:tmpl w:val="FFFFFFFF"/>
    <w:lvl w:ilvl="0" w:tplc="BFC8FB92">
      <w:start w:val="1"/>
      <w:numFmt w:val="bullet"/>
      <w:lvlText w:val="·"/>
      <w:lvlJc w:val="left"/>
      <w:pPr>
        <w:ind w:left="720" w:hanging="360"/>
      </w:pPr>
      <w:rPr>
        <w:rFonts w:ascii="Symbol" w:hAnsi="Symbol" w:hint="default"/>
      </w:rPr>
    </w:lvl>
    <w:lvl w:ilvl="1" w:tplc="BBF41256">
      <w:start w:val="1"/>
      <w:numFmt w:val="bullet"/>
      <w:lvlText w:val="o"/>
      <w:lvlJc w:val="left"/>
      <w:pPr>
        <w:ind w:left="1440" w:hanging="360"/>
      </w:pPr>
      <w:rPr>
        <w:rFonts w:ascii="Courier New" w:hAnsi="Courier New" w:hint="default"/>
      </w:rPr>
    </w:lvl>
    <w:lvl w:ilvl="2" w:tplc="DE784D8C">
      <w:start w:val="1"/>
      <w:numFmt w:val="bullet"/>
      <w:lvlText w:val=""/>
      <w:lvlJc w:val="left"/>
      <w:pPr>
        <w:ind w:left="2160" w:hanging="360"/>
      </w:pPr>
      <w:rPr>
        <w:rFonts w:ascii="Wingdings" w:hAnsi="Wingdings" w:hint="default"/>
      </w:rPr>
    </w:lvl>
    <w:lvl w:ilvl="3" w:tplc="76FE5D36">
      <w:start w:val="1"/>
      <w:numFmt w:val="bullet"/>
      <w:lvlText w:val=""/>
      <w:lvlJc w:val="left"/>
      <w:pPr>
        <w:ind w:left="2880" w:hanging="360"/>
      </w:pPr>
      <w:rPr>
        <w:rFonts w:ascii="Symbol" w:hAnsi="Symbol" w:hint="default"/>
      </w:rPr>
    </w:lvl>
    <w:lvl w:ilvl="4" w:tplc="65002926">
      <w:start w:val="1"/>
      <w:numFmt w:val="bullet"/>
      <w:lvlText w:val="o"/>
      <w:lvlJc w:val="left"/>
      <w:pPr>
        <w:ind w:left="3600" w:hanging="360"/>
      </w:pPr>
      <w:rPr>
        <w:rFonts w:ascii="Courier New" w:hAnsi="Courier New" w:hint="default"/>
      </w:rPr>
    </w:lvl>
    <w:lvl w:ilvl="5" w:tplc="EBE4445E">
      <w:start w:val="1"/>
      <w:numFmt w:val="bullet"/>
      <w:lvlText w:val=""/>
      <w:lvlJc w:val="left"/>
      <w:pPr>
        <w:ind w:left="4320" w:hanging="360"/>
      </w:pPr>
      <w:rPr>
        <w:rFonts w:ascii="Wingdings" w:hAnsi="Wingdings" w:hint="default"/>
      </w:rPr>
    </w:lvl>
    <w:lvl w:ilvl="6" w:tplc="4064D03E">
      <w:start w:val="1"/>
      <w:numFmt w:val="bullet"/>
      <w:lvlText w:val=""/>
      <w:lvlJc w:val="left"/>
      <w:pPr>
        <w:ind w:left="5040" w:hanging="360"/>
      </w:pPr>
      <w:rPr>
        <w:rFonts w:ascii="Symbol" w:hAnsi="Symbol" w:hint="default"/>
      </w:rPr>
    </w:lvl>
    <w:lvl w:ilvl="7" w:tplc="638C5794">
      <w:start w:val="1"/>
      <w:numFmt w:val="bullet"/>
      <w:lvlText w:val="o"/>
      <w:lvlJc w:val="left"/>
      <w:pPr>
        <w:ind w:left="5760" w:hanging="360"/>
      </w:pPr>
      <w:rPr>
        <w:rFonts w:ascii="Courier New" w:hAnsi="Courier New" w:hint="default"/>
      </w:rPr>
    </w:lvl>
    <w:lvl w:ilvl="8" w:tplc="2B282430">
      <w:start w:val="1"/>
      <w:numFmt w:val="bullet"/>
      <w:lvlText w:val=""/>
      <w:lvlJc w:val="left"/>
      <w:pPr>
        <w:ind w:left="6480" w:hanging="360"/>
      </w:pPr>
      <w:rPr>
        <w:rFonts w:ascii="Wingdings" w:hAnsi="Wingdings" w:hint="default"/>
      </w:rPr>
    </w:lvl>
  </w:abstractNum>
  <w:abstractNum w:abstractNumId="20" w15:restartNumberingAfterBreak="0">
    <w:nsid w:val="234256C0"/>
    <w:multiLevelType w:val="multilevel"/>
    <w:tmpl w:val="1436D14C"/>
    <w:lvl w:ilvl="0">
      <w:start w:val="1"/>
      <w:numFmt w:val="none"/>
      <w:pStyle w:val="TableHeading"/>
      <w:lvlText w:val=""/>
      <w:lvlJc w:val="left"/>
      <w:pPr>
        <w:tabs>
          <w:tab w:val="num" w:pos="0"/>
        </w:tabs>
        <w:ind w:left="0" w:firstLine="0"/>
      </w:pPr>
      <w:rPr>
        <w:rFonts w:hint="default"/>
      </w:rPr>
    </w:lvl>
    <w:lvl w:ilvl="1">
      <w:start w:val="1"/>
      <w:numFmt w:val="decimal"/>
      <w:lvlText w:val="%2."/>
      <w:lvlJc w:val="left"/>
      <w:pPr>
        <w:tabs>
          <w:tab w:val="num" w:pos="284"/>
        </w:tabs>
        <w:ind w:left="284" w:hanging="284"/>
      </w:pPr>
      <w:rPr>
        <w:rFonts w:hint="default"/>
        <w:color w:val="1D336D" w:themeColor="background2"/>
      </w:rPr>
    </w:lvl>
    <w:lvl w:ilvl="2">
      <w:start w:val="1"/>
      <w:numFmt w:val="none"/>
      <w:lvlText w:val=""/>
      <w:lvlJc w:val="left"/>
      <w:pPr>
        <w:tabs>
          <w:tab w:val="num" w:pos="568"/>
        </w:tabs>
        <w:ind w:left="568" w:firstLine="0"/>
      </w:pPr>
      <w:rPr>
        <w:rFonts w:hint="default"/>
      </w:rPr>
    </w:lvl>
    <w:lvl w:ilvl="3">
      <w:start w:val="1"/>
      <w:numFmt w:val="none"/>
      <w:lvlText w:val=""/>
      <w:lvlJc w:val="left"/>
      <w:pPr>
        <w:tabs>
          <w:tab w:val="num" w:pos="852"/>
        </w:tabs>
        <w:ind w:left="852" w:firstLine="0"/>
      </w:pPr>
      <w:rPr>
        <w:rFonts w:hint="default"/>
      </w:rPr>
    </w:lvl>
    <w:lvl w:ilvl="4">
      <w:start w:val="1"/>
      <w:numFmt w:val="none"/>
      <w:lvlText w:val=""/>
      <w:lvlJc w:val="left"/>
      <w:pPr>
        <w:tabs>
          <w:tab w:val="num" w:pos="1136"/>
        </w:tabs>
        <w:ind w:left="1136" w:firstLine="0"/>
      </w:pPr>
      <w:rPr>
        <w:rFonts w:hint="default"/>
      </w:rPr>
    </w:lvl>
    <w:lvl w:ilvl="5">
      <w:start w:val="1"/>
      <w:numFmt w:val="none"/>
      <w:lvlText w:val=""/>
      <w:lvlJc w:val="left"/>
      <w:pPr>
        <w:tabs>
          <w:tab w:val="num" w:pos="1420"/>
        </w:tabs>
        <w:ind w:left="1420" w:firstLine="0"/>
      </w:pPr>
      <w:rPr>
        <w:rFonts w:hint="default"/>
      </w:rPr>
    </w:lvl>
    <w:lvl w:ilvl="6">
      <w:start w:val="1"/>
      <w:numFmt w:val="none"/>
      <w:lvlText w:val=""/>
      <w:lvlJc w:val="left"/>
      <w:pPr>
        <w:tabs>
          <w:tab w:val="num" w:pos="1704"/>
        </w:tabs>
        <w:ind w:left="1704" w:firstLine="0"/>
      </w:pPr>
      <w:rPr>
        <w:rFonts w:hint="default"/>
      </w:rPr>
    </w:lvl>
    <w:lvl w:ilvl="7">
      <w:start w:val="1"/>
      <w:numFmt w:val="none"/>
      <w:lvlText w:val=""/>
      <w:lvlJc w:val="left"/>
      <w:pPr>
        <w:tabs>
          <w:tab w:val="num" w:pos="1988"/>
        </w:tabs>
        <w:ind w:left="1988" w:firstLine="0"/>
      </w:pPr>
      <w:rPr>
        <w:rFonts w:hint="default"/>
      </w:rPr>
    </w:lvl>
    <w:lvl w:ilvl="8">
      <w:start w:val="1"/>
      <w:numFmt w:val="none"/>
      <w:lvlText w:val=""/>
      <w:lvlJc w:val="left"/>
      <w:pPr>
        <w:tabs>
          <w:tab w:val="num" w:pos="2272"/>
        </w:tabs>
        <w:ind w:left="2272" w:firstLine="0"/>
      </w:pPr>
      <w:rPr>
        <w:rFonts w:hint="default"/>
      </w:rPr>
    </w:lvl>
  </w:abstractNum>
  <w:abstractNum w:abstractNumId="21" w15:restartNumberingAfterBreak="0">
    <w:nsid w:val="25062CF6"/>
    <w:multiLevelType w:val="hybridMultilevel"/>
    <w:tmpl w:val="FFFFFFFF"/>
    <w:lvl w:ilvl="0" w:tplc="1250D574">
      <w:start w:val="1"/>
      <w:numFmt w:val="bullet"/>
      <w:lvlText w:val="-"/>
      <w:lvlJc w:val="left"/>
      <w:pPr>
        <w:ind w:left="720" w:hanging="360"/>
      </w:pPr>
      <w:rPr>
        <w:rFonts w:ascii="&quot;Arial&quot;,sans-serif" w:hAnsi="&quot;Arial&quot;,sans-serif" w:hint="default"/>
      </w:rPr>
    </w:lvl>
    <w:lvl w:ilvl="1" w:tplc="3EA2374E">
      <w:start w:val="1"/>
      <w:numFmt w:val="bullet"/>
      <w:lvlText w:val="o"/>
      <w:lvlJc w:val="left"/>
      <w:pPr>
        <w:ind w:left="1440" w:hanging="360"/>
      </w:pPr>
      <w:rPr>
        <w:rFonts w:ascii="Courier New" w:hAnsi="Courier New" w:hint="default"/>
      </w:rPr>
    </w:lvl>
    <w:lvl w:ilvl="2" w:tplc="095090CE">
      <w:start w:val="1"/>
      <w:numFmt w:val="bullet"/>
      <w:lvlText w:val=""/>
      <w:lvlJc w:val="left"/>
      <w:pPr>
        <w:ind w:left="2160" w:hanging="360"/>
      </w:pPr>
      <w:rPr>
        <w:rFonts w:ascii="Wingdings" w:hAnsi="Wingdings" w:hint="default"/>
      </w:rPr>
    </w:lvl>
    <w:lvl w:ilvl="3" w:tplc="9AE6E19A">
      <w:start w:val="1"/>
      <w:numFmt w:val="bullet"/>
      <w:lvlText w:val=""/>
      <w:lvlJc w:val="left"/>
      <w:pPr>
        <w:ind w:left="2880" w:hanging="360"/>
      </w:pPr>
      <w:rPr>
        <w:rFonts w:ascii="Symbol" w:hAnsi="Symbol" w:hint="default"/>
      </w:rPr>
    </w:lvl>
    <w:lvl w:ilvl="4" w:tplc="7E5036CC">
      <w:start w:val="1"/>
      <w:numFmt w:val="bullet"/>
      <w:lvlText w:val="o"/>
      <w:lvlJc w:val="left"/>
      <w:pPr>
        <w:ind w:left="3600" w:hanging="360"/>
      </w:pPr>
      <w:rPr>
        <w:rFonts w:ascii="Courier New" w:hAnsi="Courier New" w:hint="default"/>
      </w:rPr>
    </w:lvl>
    <w:lvl w:ilvl="5" w:tplc="A426E2E2">
      <w:start w:val="1"/>
      <w:numFmt w:val="bullet"/>
      <w:lvlText w:val=""/>
      <w:lvlJc w:val="left"/>
      <w:pPr>
        <w:ind w:left="4320" w:hanging="360"/>
      </w:pPr>
      <w:rPr>
        <w:rFonts w:ascii="Wingdings" w:hAnsi="Wingdings" w:hint="default"/>
      </w:rPr>
    </w:lvl>
    <w:lvl w:ilvl="6" w:tplc="B2F29992">
      <w:start w:val="1"/>
      <w:numFmt w:val="bullet"/>
      <w:lvlText w:val=""/>
      <w:lvlJc w:val="left"/>
      <w:pPr>
        <w:ind w:left="5040" w:hanging="360"/>
      </w:pPr>
      <w:rPr>
        <w:rFonts w:ascii="Symbol" w:hAnsi="Symbol" w:hint="default"/>
      </w:rPr>
    </w:lvl>
    <w:lvl w:ilvl="7" w:tplc="1BE819B6">
      <w:start w:val="1"/>
      <w:numFmt w:val="bullet"/>
      <w:lvlText w:val="o"/>
      <w:lvlJc w:val="left"/>
      <w:pPr>
        <w:ind w:left="5760" w:hanging="360"/>
      </w:pPr>
      <w:rPr>
        <w:rFonts w:ascii="Courier New" w:hAnsi="Courier New" w:hint="default"/>
      </w:rPr>
    </w:lvl>
    <w:lvl w:ilvl="8" w:tplc="AB707158">
      <w:start w:val="1"/>
      <w:numFmt w:val="bullet"/>
      <w:lvlText w:val=""/>
      <w:lvlJc w:val="left"/>
      <w:pPr>
        <w:ind w:left="6480" w:hanging="360"/>
      </w:pPr>
      <w:rPr>
        <w:rFonts w:ascii="Wingdings" w:hAnsi="Wingdings" w:hint="default"/>
      </w:rPr>
    </w:lvl>
  </w:abstractNum>
  <w:abstractNum w:abstractNumId="22" w15:restartNumberingAfterBreak="0">
    <w:nsid w:val="250A28BC"/>
    <w:multiLevelType w:val="multilevel"/>
    <w:tmpl w:val="540E1750"/>
    <w:numStyleLink w:val="Bullets"/>
  </w:abstractNum>
  <w:abstractNum w:abstractNumId="23" w15:restartNumberingAfterBreak="0">
    <w:nsid w:val="25CF27A3"/>
    <w:multiLevelType w:val="multilevel"/>
    <w:tmpl w:val="9E6E64A4"/>
    <w:lvl w:ilvl="0">
      <w:start w:val="1"/>
      <w:numFmt w:val="bullet"/>
      <w:lvlText w:val=""/>
      <w:lvlJc w:val="left"/>
      <w:pPr>
        <w:ind w:left="357" w:hanging="357"/>
      </w:pPr>
      <w:rPr>
        <w:rFonts w:ascii="Symbol" w:hAnsi="Symbol" w:hint="default"/>
      </w:rPr>
    </w:lvl>
    <w:lvl w:ilvl="1">
      <w:start w:val="1"/>
      <w:numFmt w:val="bullet"/>
      <w:lvlText w:val="−"/>
      <w:lvlJc w:val="left"/>
      <w:pPr>
        <w:tabs>
          <w:tab w:val="num" w:pos="714"/>
        </w:tabs>
        <w:ind w:left="714" w:hanging="357"/>
      </w:pPr>
      <w:rPr>
        <w:rFonts w:ascii="Calibri" w:hAnsi="Calibri" w:hint="default"/>
      </w:rPr>
    </w:lvl>
    <w:lvl w:ilvl="2">
      <w:start w:val="1"/>
      <w:numFmt w:val="bullet"/>
      <w:lvlText w:val="−"/>
      <w:lvlJc w:val="left"/>
      <w:pPr>
        <w:ind w:left="1071" w:hanging="357"/>
      </w:pPr>
      <w:rPr>
        <w:rFonts w:ascii="Calibri" w:hAnsi="Calibri" w:hint="default"/>
      </w:rPr>
    </w:lvl>
    <w:lvl w:ilvl="3">
      <w:start w:val="1"/>
      <w:numFmt w:val="bullet"/>
      <w:lvlText w:val="−"/>
      <w:lvlJc w:val="left"/>
      <w:pPr>
        <w:ind w:left="1428" w:hanging="357"/>
      </w:pPr>
      <w:rPr>
        <w:rFonts w:ascii="Calibri" w:hAnsi="Calibri" w:hint="default"/>
      </w:rPr>
    </w:lvl>
    <w:lvl w:ilvl="4">
      <w:start w:val="1"/>
      <w:numFmt w:val="bullet"/>
      <w:pStyle w:val="ListBullet5"/>
      <w:lvlText w:val="−"/>
      <w:lvlJc w:val="left"/>
      <w:pPr>
        <w:ind w:left="1785" w:hanging="357"/>
      </w:pPr>
      <w:rPr>
        <w:rFonts w:ascii="Calibri" w:hAnsi="Calibri" w:hint="default"/>
      </w:rPr>
    </w:lvl>
    <w:lvl w:ilvl="5">
      <w:start w:val="1"/>
      <w:numFmt w:val="bullet"/>
      <w:lvlText w:val="−"/>
      <w:lvlJc w:val="left"/>
      <w:pPr>
        <w:ind w:left="2142" w:hanging="357"/>
      </w:pPr>
      <w:rPr>
        <w:rFonts w:ascii="Calibri" w:hAnsi="Calibri" w:hint="default"/>
      </w:rPr>
    </w:lvl>
    <w:lvl w:ilvl="6">
      <w:start w:val="1"/>
      <w:numFmt w:val="bullet"/>
      <w:lvlText w:val="−"/>
      <w:lvlJc w:val="left"/>
      <w:pPr>
        <w:ind w:left="2499" w:hanging="357"/>
      </w:pPr>
      <w:rPr>
        <w:rFonts w:ascii="Calibri" w:hAnsi="Calibri" w:hint="default"/>
      </w:rPr>
    </w:lvl>
    <w:lvl w:ilvl="7">
      <w:start w:val="1"/>
      <w:numFmt w:val="bullet"/>
      <w:lvlText w:val="−"/>
      <w:lvlJc w:val="left"/>
      <w:pPr>
        <w:ind w:left="2856" w:hanging="357"/>
      </w:pPr>
      <w:rPr>
        <w:rFonts w:ascii="Calibri" w:hAnsi="Calibri" w:hint="default"/>
      </w:rPr>
    </w:lvl>
    <w:lvl w:ilvl="8">
      <w:start w:val="1"/>
      <w:numFmt w:val="bullet"/>
      <w:lvlText w:val="−"/>
      <w:lvlJc w:val="left"/>
      <w:pPr>
        <w:ind w:left="3213" w:hanging="357"/>
      </w:pPr>
      <w:rPr>
        <w:rFonts w:ascii="Calibri" w:hAnsi="Calibri" w:hint="default"/>
      </w:rPr>
    </w:lvl>
  </w:abstractNum>
  <w:abstractNum w:abstractNumId="24" w15:restartNumberingAfterBreak="0">
    <w:nsid w:val="27995462"/>
    <w:multiLevelType w:val="hybridMultilevel"/>
    <w:tmpl w:val="D8C8FA10"/>
    <w:lvl w:ilvl="0" w:tplc="C8D0757C">
      <w:start w:val="1"/>
      <w:numFmt w:val="bullet"/>
      <w:pStyle w:val="BulletPoints1"/>
      <w:lvlText w:val=""/>
      <w:lvlJc w:val="left"/>
      <w:pPr>
        <w:ind w:left="2345" w:hanging="360"/>
      </w:pPr>
      <w:rPr>
        <w:rFonts w:ascii="Symbol" w:hAnsi="Symbol" w:hint="default"/>
        <w:color w:val="2294CD"/>
        <w:w w:val="99"/>
        <w:sz w:val="20"/>
        <w:szCs w:val="20"/>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5" w15:restartNumberingAfterBreak="0">
    <w:nsid w:val="28962AF9"/>
    <w:multiLevelType w:val="multilevel"/>
    <w:tmpl w:val="837A4AC4"/>
    <w:lvl w:ilvl="0">
      <w:start w:val="1"/>
      <w:numFmt w:val="bullet"/>
      <w:lvlText w:val=""/>
      <w:lvlJc w:val="left"/>
      <w:pPr>
        <w:tabs>
          <w:tab w:val="num" w:pos="555"/>
        </w:tabs>
        <w:ind w:left="555" w:hanging="360"/>
      </w:pPr>
      <w:rPr>
        <w:rFonts w:ascii="Symbol" w:hAnsi="Symbol" w:hint="default"/>
        <w:color w:val="1D336D" w:themeColor="background2"/>
        <w:sz w:val="20"/>
      </w:rPr>
    </w:lvl>
    <w:lvl w:ilvl="1" w:tentative="1">
      <w:start w:val="1"/>
      <w:numFmt w:val="bullet"/>
      <w:lvlText w:val=""/>
      <w:lvlJc w:val="left"/>
      <w:pPr>
        <w:tabs>
          <w:tab w:val="num" w:pos="1275"/>
        </w:tabs>
        <w:ind w:left="1275" w:hanging="360"/>
      </w:pPr>
      <w:rPr>
        <w:rFonts w:ascii="Symbol" w:hAnsi="Symbol" w:hint="default"/>
        <w:sz w:val="20"/>
      </w:rPr>
    </w:lvl>
    <w:lvl w:ilvl="2" w:tentative="1">
      <w:start w:val="1"/>
      <w:numFmt w:val="bullet"/>
      <w:lvlText w:val=""/>
      <w:lvlJc w:val="left"/>
      <w:pPr>
        <w:tabs>
          <w:tab w:val="num" w:pos="1995"/>
        </w:tabs>
        <w:ind w:left="1995" w:hanging="360"/>
      </w:pPr>
      <w:rPr>
        <w:rFonts w:ascii="Symbol" w:hAnsi="Symbol" w:hint="default"/>
        <w:sz w:val="20"/>
      </w:rPr>
    </w:lvl>
    <w:lvl w:ilvl="3" w:tentative="1">
      <w:start w:val="1"/>
      <w:numFmt w:val="bullet"/>
      <w:lvlText w:val=""/>
      <w:lvlJc w:val="left"/>
      <w:pPr>
        <w:tabs>
          <w:tab w:val="num" w:pos="2715"/>
        </w:tabs>
        <w:ind w:left="2715" w:hanging="360"/>
      </w:pPr>
      <w:rPr>
        <w:rFonts w:ascii="Symbol" w:hAnsi="Symbol" w:hint="default"/>
        <w:sz w:val="20"/>
      </w:rPr>
    </w:lvl>
    <w:lvl w:ilvl="4" w:tentative="1">
      <w:start w:val="1"/>
      <w:numFmt w:val="bullet"/>
      <w:lvlText w:val=""/>
      <w:lvlJc w:val="left"/>
      <w:pPr>
        <w:tabs>
          <w:tab w:val="num" w:pos="3435"/>
        </w:tabs>
        <w:ind w:left="3435" w:hanging="360"/>
      </w:pPr>
      <w:rPr>
        <w:rFonts w:ascii="Symbol" w:hAnsi="Symbol" w:hint="default"/>
        <w:sz w:val="20"/>
      </w:rPr>
    </w:lvl>
    <w:lvl w:ilvl="5" w:tentative="1">
      <w:start w:val="1"/>
      <w:numFmt w:val="bullet"/>
      <w:lvlText w:val=""/>
      <w:lvlJc w:val="left"/>
      <w:pPr>
        <w:tabs>
          <w:tab w:val="num" w:pos="4155"/>
        </w:tabs>
        <w:ind w:left="4155" w:hanging="360"/>
      </w:pPr>
      <w:rPr>
        <w:rFonts w:ascii="Symbol" w:hAnsi="Symbol" w:hint="default"/>
        <w:sz w:val="20"/>
      </w:rPr>
    </w:lvl>
    <w:lvl w:ilvl="6" w:tentative="1">
      <w:start w:val="1"/>
      <w:numFmt w:val="bullet"/>
      <w:lvlText w:val=""/>
      <w:lvlJc w:val="left"/>
      <w:pPr>
        <w:tabs>
          <w:tab w:val="num" w:pos="4875"/>
        </w:tabs>
        <w:ind w:left="4875" w:hanging="360"/>
      </w:pPr>
      <w:rPr>
        <w:rFonts w:ascii="Symbol" w:hAnsi="Symbol" w:hint="default"/>
        <w:sz w:val="20"/>
      </w:rPr>
    </w:lvl>
    <w:lvl w:ilvl="7" w:tentative="1">
      <w:start w:val="1"/>
      <w:numFmt w:val="bullet"/>
      <w:lvlText w:val=""/>
      <w:lvlJc w:val="left"/>
      <w:pPr>
        <w:tabs>
          <w:tab w:val="num" w:pos="5595"/>
        </w:tabs>
        <w:ind w:left="5595" w:hanging="360"/>
      </w:pPr>
      <w:rPr>
        <w:rFonts w:ascii="Symbol" w:hAnsi="Symbol" w:hint="default"/>
        <w:sz w:val="20"/>
      </w:rPr>
    </w:lvl>
    <w:lvl w:ilvl="8" w:tentative="1">
      <w:start w:val="1"/>
      <w:numFmt w:val="bullet"/>
      <w:lvlText w:val=""/>
      <w:lvlJc w:val="left"/>
      <w:pPr>
        <w:tabs>
          <w:tab w:val="num" w:pos="6315"/>
        </w:tabs>
        <w:ind w:left="6315" w:hanging="360"/>
      </w:pPr>
      <w:rPr>
        <w:rFonts w:ascii="Symbol" w:hAnsi="Symbol" w:hint="default"/>
        <w:sz w:val="20"/>
      </w:rPr>
    </w:lvl>
  </w:abstractNum>
  <w:abstractNum w:abstractNumId="26" w15:restartNumberingAfterBreak="0">
    <w:nsid w:val="2F853ED8"/>
    <w:multiLevelType w:val="hybridMultilevel"/>
    <w:tmpl w:val="3D30CE1A"/>
    <w:lvl w:ilvl="0" w:tplc="537AC74E">
      <w:start w:val="1"/>
      <w:numFmt w:val="bullet"/>
      <w:lvlText w:val=""/>
      <w:lvlJc w:val="left"/>
      <w:pPr>
        <w:ind w:left="644" w:hanging="360"/>
      </w:pPr>
      <w:rPr>
        <w:rFonts w:ascii="Symbol" w:hAnsi="Symbol" w:hint="default"/>
        <w:color w:val="1D336D" w:themeColor="background2"/>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7" w15:restartNumberingAfterBreak="0">
    <w:nsid w:val="306FE987"/>
    <w:multiLevelType w:val="hybridMultilevel"/>
    <w:tmpl w:val="532A0B42"/>
    <w:lvl w:ilvl="0" w:tplc="6A4C6DF4">
      <w:start w:val="1"/>
      <w:numFmt w:val="lowerLetter"/>
      <w:lvlText w:val="%1."/>
      <w:lvlJc w:val="left"/>
      <w:pPr>
        <w:ind w:left="720" w:hanging="360"/>
      </w:pPr>
      <w:rPr>
        <w:rFonts w:ascii="Arial" w:hAnsi="Arial" w:cs="Arial" w:hint="default"/>
        <w:sz w:val="20"/>
        <w:szCs w:val="20"/>
      </w:rPr>
    </w:lvl>
    <w:lvl w:ilvl="1" w:tplc="4DC26810">
      <w:start w:val="1"/>
      <w:numFmt w:val="lowerLetter"/>
      <w:lvlText w:val="%2."/>
      <w:lvlJc w:val="left"/>
      <w:pPr>
        <w:ind w:left="1440" w:hanging="360"/>
      </w:pPr>
    </w:lvl>
    <w:lvl w:ilvl="2" w:tplc="B9F8E5AA">
      <w:start w:val="1"/>
      <w:numFmt w:val="lowerRoman"/>
      <w:lvlText w:val="%3."/>
      <w:lvlJc w:val="right"/>
      <w:pPr>
        <w:ind w:left="2160" w:hanging="180"/>
      </w:pPr>
    </w:lvl>
    <w:lvl w:ilvl="3" w:tplc="645CB58E">
      <w:start w:val="1"/>
      <w:numFmt w:val="decimal"/>
      <w:lvlText w:val="%4."/>
      <w:lvlJc w:val="left"/>
      <w:pPr>
        <w:ind w:left="2880" w:hanging="360"/>
      </w:pPr>
    </w:lvl>
    <w:lvl w:ilvl="4" w:tplc="87ECF90E">
      <w:start w:val="1"/>
      <w:numFmt w:val="lowerLetter"/>
      <w:lvlText w:val="%5."/>
      <w:lvlJc w:val="left"/>
      <w:pPr>
        <w:ind w:left="3600" w:hanging="360"/>
      </w:pPr>
    </w:lvl>
    <w:lvl w:ilvl="5" w:tplc="48C4EA4A">
      <w:start w:val="1"/>
      <w:numFmt w:val="lowerRoman"/>
      <w:lvlText w:val="%6."/>
      <w:lvlJc w:val="right"/>
      <w:pPr>
        <w:ind w:left="4320" w:hanging="180"/>
      </w:pPr>
    </w:lvl>
    <w:lvl w:ilvl="6" w:tplc="DBC6F0BA">
      <w:start w:val="1"/>
      <w:numFmt w:val="decimal"/>
      <w:lvlText w:val="%7."/>
      <w:lvlJc w:val="left"/>
      <w:pPr>
        <w:ind w:left="5040" w:hanging="360"/>
      </w:pPr>
    </w:lvl>
    <w:lvl w:ilvl="7" w:tplc="C868D5FA">
      <w:start w:val="1"/>
      <w:numFmt w:val="lowerLetter"/>
      <w:lvlText w:val="%8."/>
      <w:lvlJc w:val="left"/>
      <w:pPr>
        <w:ind w:left="5760" w:hanging="360"/>
      </w:pPr>
    </w:lvl>
    <w:lvl w:ilvl="8" w:tplc="625E3BDC">
      <w:start w:val="1"/>
      <w:numFmt w:val="lowerRoman"/>
      <w:lvlText w:val="%9."/>
      <w:lvlJc w:val="right"/>
      <w:pPr>
        <w:ind w:left="6480" w:hanging="180"/>
      </w:pPr>
    </w:lvl>
  </w:abstractNum>
  <w:abstractNum w:abstractNumId="28" w15:restartNumberingAfterBreak="0">
    <w:nsid w:val="34AE3043"/>
    <w:multiLevelType w:val="multilevel"/>
    <w:tmpl w:val="09685C38"/>
    <w:styleLink w:val="MasterHeadings"/>
    <w:lvl w:ilvl="0">
      <w:start w:val="1"/>
      <w:numFmt w:val="none"/>
      <w:pStyle w:val="CoverTitle"/>
      <w:suff w:val="nothing"/>
      <w:lvlText w:val=""/>
      <w:lvlJc w:val="left"/>
      <w:pPr>
        <w:ind w:left="0" w:firstLine="0"/>
      </w:pPr>
      <w:rPr>
        <w:rFonts w:hint="default"/>
      </w:rPr>
    </w:lvl>
    <w:lvl w:ilvl="1">
      <w:start w:val="1"/>
      <w:numFmt w:val="decimal"/>
      <w:pStyle w:val="NumberedHeading1"/>
      <w:lvlText w:val="%2."/>
      <w:lvlJc w:val="left"/>
      <w:pPr>
        <w:tabs>
          <w:tab w:val="num" w:pos="567"/>
        </w:tabs>
        <w:ind w:left="567" w:hanging="567"/>
      </w:pPr>
      <w:rPr>
        <w:rFonts w:hint="default"/>
      </w:rPr>
    </w:lvl>
    <w:lvl w:ilvl="2">
      <w:start w:val="1"/>
      <w:numFmt w:val="decimal"/>
      <w:pStyle w:val="NumberedHeading2"/>
      <w:lvlText w:val="%2.%3."/>
      <w:lvlJc w:val="left"/>
      <w:pPr>
        <w:tabs>
          <w:tab w:val="num" w:pos="567"/>
        </w:tabs>
        <w:ind w:left="567" w:hanging="567"/>
      </w:pPr>
      <w:rPr>
        <w:rFonts w:hint="default"/>
      </w:rPr>
    </w:lvl>
    <w:lvl w:ilvl="3">
      <w:start w:val="1"/>
      <w:numFmt w:val="decimal"/>
      <w:lvlText w:val="%2.%3.%4."/>
      <w:lvlJc w:val="left"/>
      <w:pPr>
        <w:tabs>
          <w:tab w:val="num" w:pos="851"/>
        </w:tabs>
        <w:ind w:left="851" w:hanging="851"/>
      </w:pPr>
      <w:rPr>
        <w:rFonts w:hint="default"/>
      </w:rPr>
    </w:lvl>
    <w:lvl w:ilvl="4">
      <w:start w:val="1"/>
      <w:numFmt w:val="decimal"/>
      <w:lvlText w:val="%5."/>
      <w:lvlJc w:val="left"/>
      <w:pPr>
        <w:tabs>
          <w:tab w:val="num" w:pos="851"/>
        </w:tabs>
        <w:ind w:left="851" w:hanging="284"/>
      </w:pPr>
      <w:rPr>
        <w:rFonts w:hint="default"/>
        <w:color w:val="585858" w:themeColor="text2"/>
      </w:rPr>
    </w:lvl>
    <w:lvl w:ilvl="5">
      <w:start w:val="1"/>
      <w:numFmt w:val="lowerLetter"/>
      <w:lvlText w:val="%6."/>
      <w:lvlJc w:val="left"/>
      <w:pPr>
        <w:tabs>
          <w:tab w:val="num" w:pos="1134"/>
        </w:tabs>
        <w:ind w:left="1134" w:hanging="283"/>
      </w:pPr>
      <w:rPr>
        <w:rFonts w:hint="default"/>
        <w:color w:val="585858" w:themeColor="text2"/>
      </w:rPr>
    </w:lvl>
    <w:lvl w:ilvl="6">
      <w:start w:val="1"/>
      <w:numFmt w:val="lowerRoman"/>
      <w:lvlText w:val="%7."/>
      <w:lvlJc w:val="left"/>
      <w:pPr>
        <w:tabs>
          <w:tab w:val="num" w:pos="1418"/>
        </w:tabs>
        <w:ind w:left="1418" w:hanging="284"/>
      </w:pPr>
      <w:rPr>
        <w:rFonts w:hint="default"/>
        <w:color w:val="585858" w:themeColor="text2"/>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9" w15:restartNumberingAfterBreak="0">
    <w:nsid w:val="36AF16B0"/>
    <w:multiLevelType w:val="multilevel"/>
    <w:tmpl w:val="D0223A3E"/>
    <w:lvl w:ilvl="0">
      <w:start w:val="1"/>
      <w:numFmt w:val="bullet"/>
      <w:lvlText w:val=""/>
      <w:lvlJc w:val="left"/>
      <w:pPr>
        <w:ind w:left="644" w:hanging="360"/>
      </w:pPr>
      <w:rPr>
        <w:rFonts w:ascii="Symbol" w:hAnsi="Symbol" w:hint="default"/>
        <w:b w:val="0"/>
        <w:i w:val="0"/>
        <w:color w:val="585858" w:themeColor="text2"/>
      </w:rPr>
    </w:lvl>
    <w:lvl w:ilvl="1">
      <w:start w:val="1"/>
      <w:numFmt w:val="bullet"/>
      <w:lvlText w:val="o"/>
      <w:lvlJc w:val="left"/>
      <w:pPr>
        <w:ind w:left="1001" w:hanging="360"/>
      </w:pPr>
      <w:rPr>
        <w:rFonts w:ascii="Courier New" w:hAnsi="Courier New" w:cs="Courier New" w:hint="default"/>
      </w:rPr>
    </w:lvl>
    <w:lvl w:ilvl="2">
      <w:start w:val="1"/>
      <w:numFmt w:val="bullet"/>
      <w:lvlText w:val="-"/>
      <w:lvlJc w:val="left"/>
      <w:pPr>
        <w:ind w:left="1358" w:hanging="360"/>
      </w:pPr>
      <w:rPr>
        <w:rFonts w:ascii="Calibri Light" w:eastAsiaTheme="minorHAnsi" w:hAnsi="Calibri Light" w:cs="Calibri Light" w:hint="default"/>
      </w:rPr>
    </w:lvl>
    <w:lvl w:ilvl="3">
      <w:start w:val="1"/>
      <w:numFmt w:val="none"/>
      <w:lvlText w:val=""/>
      <w:lvlJc w:val="left"/>
      <w:pPr>
        <w:tabs>
          <w:tab w:val="num" w:pos="1356"/>
        </w:tabs>
        <w:ind w:left="1356" w:firstLine="0"/>
      </w:pPr>
      <w:rPr>
        <w:rFonts w:hint="default"/>
      </w:rPr>
    </w:lvl>
    <w:lvl w:ilvl="4">
      <w:start w:val="1"/>
      <w:numFmt w:val="none"/>
      <w:lvlText w:val=""/>
      <w:lvlJc w:val="left"/>
      <w:pPr>
        <w:ind w:left="1356" w:firstLine="0"/>
      </w:pPr>
      <w:rPr>
        <w:rFonts w:hint="default"/>
      </w:rPr>
    </w:lvl>
    <w:lvl w:ilvl="5">
      <w:start w:val="1"/>
      <w:numFmt w:val="none"/>
      <w:lvlText w:val=""/>
      <w:lvlJc w:val="left"/>
      <w:pPr>
        <w:ind w:left="1356" w:firstLine="0"/>
      </w:pPr>
      <w:rPr>
        <w:rFonts w:hint="default"/>
      </w:rPr>
    </w:lvl>
    <w:lvl w:ilvl="6">
      <w:start w:val="1"/>
      <w:numFmt w:val="none"/>
      <w:lvlText w:val=""/>
      <w:lvlJc w:val="left"/>
      <w:pPr>
        <w:ind w:left="1356" w:firstLine="0"/>
      </w:pPr>
      <w:rPr>
        <w:rFonts w:hint="default"/>
      </w:rPr>
    </w:lvl>
    <w:lvl w:ilvl="7">
      <w:start w:val="1"/>
      <w:numFmt w:val="none"/>
      <w:lvlText w:val=""/>
      <w:lvlJc w:val="left"/>
      <w:pPr>
        <w:ind w:left="1356" w:firstLine="0"/>
      </w:pPr>
      <w:rPr>
        <w:rFonts w:hint="default"/>
      </w:rPr>
    </w:lvl>
    <w:lvl w:ilvl="8">
      <w:start w:val="1"/>
      <w:numFmt w:val="none"/>
      <w:lvlText w:val=""/>
      <w:lvlJc w:val="left"/>
      <w:pPr>
        <w:ind w:left="1356" w:firstLine="0"/>
      </w:pPr>
      <w:rPr>
        <w:rFonts w:hint="default"/>
      </w:rPr>
    </w:lvl>
  </w:abstractNum>
  <w:abstractNum w:abstractNumId="30" w15:restartNumberingAfterBreak="0">
    <w:nsid w:val="3D8A300A"/>
    <w:multiLevelType w:val="hybridMultilevel"/>
    <w:tmpl w:val="FFFFFFFF"/>
    <w:lvl w:ilvl="0" w:tplc="1B420EA2">
      <w:start w:val="1"/>
      <w:numFmt w:val="bullet"/>
      <w:lvlText w:val="·"/>
      <w:lvlJc w:val="left"/>
      <w:pPr>
        <w:ind w:left="720" w:hanging="360"/>
      </w:pPr>
      <w:rPr>
        <w:rFonts w:ascii="Symbol" w:hAnsi="Symbol" w:hint="default"/>
      </w:rPr>
    </w:lvl>
    <w:lvl w:ilvl="1" w:tplc="BECC2F6A">
      <w:start w:val="1"/>
      <w:numFmt w:val="bullet"/>
      <w:lvlText w:val="o"/>
      <w:lvlJc w:val="left"/>
      <w:pPr>
        <w:ind w:left="1440" w:hanging="360"/>
      </w:pPr>
      <w:rPr>
        <w:rFonts w:ascii="Courier New" w:hAnsi="Courier New" w:hint="default"/>
      </w:rPr>
    </w:lvl>
    <w:lvl w:ilvl="2" w:tplc="3FFABBB8">
      <w:start w:val="1"/>
      <w:numFmt w:val="bullet"/>
      <w:lvlText w:val=""/>
      <w:lvlJc w:val="left"/>
      <w:pPr>
        <w:ind w:left="2160" w:hanging="360"/>
      </w:pPr>
      <w:rPr>
        <w:rFonts w:ascii="Wingdings" w:hAnsi="Wingdings" w:hint="default"/>
      </w:rPr>
    </w:lvl>
    <w:lvl w:ilvl="3" w:tplc="F7D415B4">
      <w:start w:val="1"/>
      <w:numFmt w:val="bullet"/>
      <w:lvlText w:val=""/>
      <w:lvlJc w:val="left"/>
      <w:pPr>
        <w:ind w:left="2880" w:hanging="360"/>
      </w:pPr>
      <w:rPr>
        <w:rFonts w:ascii="Symbol" w:hAnsi="Symbol" w:hint="default"/>
      </w:rPr>
    </w:lvl>
    <w:lvl w:ilvl="4" w:tplc="005AEB16">
      <w:start w:val="1"/>
      <w:numFmt w:val="bullet"/>
      <w:lvlText w:val="o"/>
      <w:lvlJc w:val="left"/>
      <w:pPr>
        <w:ind w:left="3600" w:hanging="360"/>
      </w:pPr>
      <w:rPr>
        <w:rFonts w:ascii="Courier New" w:hAnsi="Courier New" w:hint="default"/>
      </w:rPr>
    </w:lvl>
    <w:lvl w:ilvl="5" w:tplc="3942056A">
      <w:start w:val="1"/>
      <w:numFmt w:val="bullet"/>
      <w:lvlText w:val=""/>
      <w:lvlJc w:val="left"/>
      <w:pPr>
        <w:ind w:left="4320" w:hanging="360"/>
      </w:pPr>
      <w:rPr>
        <w:rFonts w:ascii="Wingdings" w:hAnsi="Wingdings" w:hint="default"/>
      </w:rPr>
    </w:lvl>
    <w:lvl w:ilvl="6" w:tplc="16DC6932">
      <w:start w:val="1"/>
      <w:numFmt w:val="bullet"/>
      <w:lvlText w:val=""/>
      <w:lvlJc w:val="left"/>
      <w:pPr>
        <w:ind w:left="5040" w:hanging="360"/>
      </w:pPr>
      <w:rPr>
        <w:rFonts w:ascii="Symbol" w:hAnsi="Symbol" w:hint="default"/>
      </w:rPr>
    </w:lvl>
    <w:lvl w:ilvl="7" w:tplc="446C65F4">
      <w:start w:val="1"/>
      <w:numFmt w:val="bullet"/>
      <w:lvlText w:val="o"/>
      <w:lvlJc w:val="left"/>
      <w:pPr>
        <w:ind w:left="5760" w:hanging="360"/>
      </w:pPr>
      <w:rPr>
        <w:rFonts w:ascii="Courier New" w:hAnsi="Courier New" w:hint="default"/>
      </w:rPr>
    </w:lvl>
    <w:lvl w:ilvl="8" w:tplc="D9CACDCE">
      <w:start w:val="1"/>
      <w:numFmt w:val="bullet"/>
      <w:lvlText w:val=""/>
      <w:lvlJc w:val="left"/>
      <w:pPr>
        <w:ind w:left="6480" w:hanging="360"/>
      </w:pPr>
      <w:rPr>
        <w:rFonts w:ascii="Wingdings" w:hAnsi="Wingdings" w:hint="default"/>
      </w:rPr>
    </w:lvl>
  </w:abstractNum>
  <w:abstractNum w:abstractNumId="31" w15:restartNumberingAfterBreak="0">
    <w:nsid w:val="3E2F5B8B"/>
    <w:multiLevelType w:val="hybridMultilevel"/>
    <w:tmpl w:val="BF3E3136"/>
    <w:lvl w:ilvl="0" w:tplc="08090019">
      <w:start w:val="1"/>
      <w:numFmt w:val="lowerLetter"/>
      <w:lvlText w:val="%1."/>
      <w:lvlJc w:val="left"/>
      <w:pPr>
        <w:ind w:left="720" w:hanging="360"/>
      </w:pPr>
      <w:rPr>
        <w:rFonts w:hint="default"/>
        <w:b w:val="0"/>
        <w:bCs w:val="0"/>
        <w:sz w:val="20"/>
        <w:szCs w:val="2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2" w15:restartNumberingAfterBreak="0">
    <w:nsid w:val="41161929"/>
    <w:multiLevelType w:val="hybridMultilevel"/>
    <w:tmpl w:val="045EF902"/>
    <w:lvl w:ilvl="0" w:tplc="488A247E">
      <w:start w:val="1"/>
      <w:numFmt w:val="bullet"/>
      <w:lvlText w:val=""/>
      <w:lvlJc w:val="left"/>
      <w:pPr>
        <w:ind w:left="720" w:hanging="360"/>
      </w:pPr>
      <w:rPr>
        <w:rFonts w:ascii="Symbol" w:hAnsi="Symbol" w:hint="default"/>
        <w:color w:val="1D336D"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15E0125"/>
    <w:multiLevelType w:val="multilevel"/>
    <w:tmpl w:val="540E1750"/>
    <w:styleLink w:val="Bullets"/>
    <w:lvl w:ilvl="0">
      <w:start w:val="1"/>
      <w:numFmt w:val="decimal"/>
      <w:pStyle w:val="ListBullet"/>
      <w:lvlText w:val="%1."/>
      <w:lvlJc w:val="left"/>
      <w:pPr>
        <w:ind w:left="360" w:hanging="360"/>
      </w:pPr>
      <w:rPr>
        <w:rFonts w:hint="default"/>
        <w:color w:val="2294CD"/>
      </w:rPr>
    </w:lvl>
    <w:lvl w:ilvl="1">
      <w:start w:val="1"/>
      <w:numFmt w:val="bullet"/>
      <w:pStyle w:val="ListBullet2"/>
      <w:lvlText w:val="○"/>
      <w:lvlJc w:val="left"/>
      <w:pPr>
        <w:tabs>
          <w:tab w:val="num" w:pos="567"/>
        </w:tabs>
        <w:ind w:left="568" w:hanging="284"/>
      </w:pPr>
      <w:rPr>
        <w:rFonts w:ascii="Calibri" w:hAnsi="Calibri" w:hint="default"/>
        <w:color w:val="2294CD"/>
      </w:rPr>
    </w:lvl>
    <w:lvl w:ilvl="2">
      <w:start w:val="1"/>
      <w:numFmt w:val="bullet"/>
      <w:pStyle w:val="ListBullet3"/>
      <w:lvlText w:val="▪"/>
      <w:lvlJc w:val="left"/>
      <w:pPr>
        <w:tabs>
          <w:tab w:val="num" w:pos="851"/>
        </w:tabs>
        <w:ind w:left="852" w:hanging="284"/>
      </w:pPr>
      <w:rPr>
        <w:rFonts w:ascii="Calibri" w:hAnsi="Calibri" w:hint="default"/>
        <w:color w:val="2294CD"/>
      </w:rPr>
    </w:lvl>
    <w:lvl w:ilvl="3">
      <w:start w:val="1"/>
      <w:numFmt w:val="bullet"/>
      <w:lvlText w:val="−"/>
      <w:lvlJc w:val="left"/>
      <w:pPr>
        <w:tabs>
          <w:tab w:val="num" w:pos="1134"/>
        </w:tabs>
        <w:ind w:left="1136" w:hanging="284"/>
      </w:pPr>
      <w:rPr>
        <w:rFonts w:ascii="Calibri" w:hAnsi="Calibri" w:hint="default"/>
        <w:color w:val="1D336D" w:themeColor="background2"/>
      </w:rPr>
    </w:lvl>
    <w:lvl w:ilvl="4">
      <w:start w:val="1"/>
      <w:numFmt w:val="bullet"/>
      <w:lvlText w:val="−"/>
      <w:lvlJc w:val="left"/>
      <w:pPr>
        <w:tabs>
          <w:tab w:val="num" w:pos="1418"/>
        </w:tabs>
        <w:ind w:left="1420" w:hanging="284"/>
      </w:pPr>
      <w:rPr>
        <w:rFonts w:ascii="Calibri" w:hAnsi="Calibri" w:hint="default"/>
      </w:rPr>
    </w:lvl>
    <w:lvl w:ilvl="5">
      <w:start w:val="1"/>
      <w:numFmt w:val="bullet"/>
      <w:lvlText w:val="−"/>
      <w:lvlJc w:val="left"/>
      <w:pPr>
        <w:tabs>
          <w:tab w:val="num" w:pos="1777"/>
        </w:tabs>
        <w:ind w:left="1704" w:hanging="284"/>
      </w:pPr>
      <w:rPr>
        <w:rFonts w:ascii="Calibri" w:hAnsi="Calibri" w:hint="default"/>
      </w:rPr>
    </w:lvl>
    <w:lvl w:ilvl="6">
      <w:start w:val="1"/>
      <w:numFmt w:val="bullet"/>
      <w:lvlText w:val="−"/>
      <w:lvlJc w:val="left"/>
      <w:pPr>
        <w:tabs>
          <w:tab w:val="num" w:pos="2061"/>
        </w:tabs>
        <w:ind w:left="1988" w:hanging="284"/>
      </w:pPr>
      <w:rPr>
        <w:rFonts w:ascii="Calibri" w:hAnsi="Calibri" w:hint="default"/>
      </w:rPr>
    </w:lvl>
    <w:lvl w:ilvl="7">
      <w:start w:val="1"/>
      <w:numFmt w:val="bullet"/>
      <w:lvlText w:val="−"/>
      <w:lvlJc w:val="left"/>
      <w:pPr>
        <w:tabs>
          <w:tab w:val="num" w:pos="2345"/>
        </w:tabs>
        <w:ind w:left="2272" w:hanging="284"/>
      </w:pPr>
      <w:rPr>
        <w:rFonts w:ascii="Calibri" w:hAnsi="Calibri" w:hint="default"/>
      </w:rPr>
    </w:lvl>
    <w:lvl w:ilvl="8">
      <w:start w:val="1"/>
      <w:numFmt w:val="bullet"/>
      <w:lvlText w:val="−"/>
      <w:lvlJc w:val="left"/>
      <w:pPr>
        <w:tabs>
          <w:tab w:val="num" w:pos="2629"/>
        </w:tabs>
        <w:ind w:left="2556" w:hanging="284"/>
      </w:pPr>
      <w:rPr>
        <w:rFonts w:ascii="Calibri" w:hAnsi="Calibri" w:hint="default"/>
      </w:rPr>
    </w:lvl>
  </w:abstractNum>
  <w:abstractNum w:abstractNumId="34" w15:restartNumberingAfterBreak="0">
    <w:nsid w:val="42B43768"/>
    <w:multiLevelType w:val="hybridMultilevel"/>
    <w:tmpl w:val="04625D68"/>
    <w:lvl w:ilvl="0" w:tplc="DFB2515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445E0D61"/>
    <w:multiLevelType w:val="hybridMultilevel"/>
    <w:tmpl w:val="8102CD88"/>
    <w:lvl w:ilvl="0" w:tplc="5BDC6C52">
      <w:start w:val="1"/>
      <w:numFmt w:val="decimal"/>
      <w:pStyle w:val="TOC1"/>
      <w:lvlText w:val="%1."/>
      <w:lvlJc w:val="left"/>
      <w:pPr>
        <w:ind w:left="720" w:hanging="360"/>
      </w:pPr>
      <w:rPr>
        <w:b/>
        <w:bCs/>
        <w:color w:val="1D336D" w:themeColor="background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6" w15:restartNumberingAfterBreak="0">
    <w:nsid w:val="47BE79B0"/>
    <w:multiLevelType w:val="hybridMultilevel"/>
    <w:tmpl w:val="299CB5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488E3B1E"/>
    <w:multiLevelType w:val="multilevel"/>
    <w:tmpl w:val="A9FA82B6"/>
    <w:numStyleLink w:val="AlphaList"/>
  </w:abstractNum>
  <w:abstractNum w:abstractNumId="38" w15:restartNumberingAfterBreak="0">
    <w:nsid w:val="48A52E75"/>
    <w:multiLevelType w:val="multilevel"/>
    <w:tmpl w:val="63309836"/>
    <w:styleLink w:val="NumberedList0"/>
    <w:lvl w:ilvl="0">
      <w:start w:val="1"/>
      <w:numFmt w:val="bullet"/>
      <w:lvlText w:val=""/>
      <w:lvlJc w:val="left"/>
      <w:pPr>
        <w:ind w:left="644" w:hanging="360"/>
      </w:pPr>
      <w:rPr>
        <w:rFonts w:ascii="Symbol" w:hAnsi="Symbol" w:hint="default"/>
        <w:b w:val="0"/>
        <w:i w:val="0"/>
        <w:color w:val="585858" w:themeColor="text2"/>
      </w:rPr>
    </w:lvl>
    <w:lvl w:ilvl="1">
      <w:start w:val="1"/>
      <w:numFmt w:val="lowerLetter"/>
      <w:lvlText w:val="%2."/>
      <w:lvlJc w:val="left"/>
      <w:pPr>
        <w:ind w:left="998" w:hanging="357"/>
      </w:pPr>
      <w:rPr>
        <w:rFonts w:hint="default"/>
        <w:b w:val="0"/>
        <w:i w:val="0"/>
        <w:color w:val="585858" w:themeColor="text2"/>
      </w:rPr>
    </w:lvl>
    <w:lvl w:ilvl="2">
      <w:start w:val="1"/>
      <w:numFmt w:val="lowerRoman"/>
      <w:lvlText w:val="%3."/>
      <w:lvlJc w:val="left"/>
      <w:pPr>
        <w:ind w:left="1355" w:hanging="357"/>
      </w:pPr>
      <w:rPr>
        <w:rFonts w:hint="default"/>
        <w:b w:val="0"/>
        <w:i w:val="0"/>
        <w:color w:val="585858" w:themeColor="text2"/>
      </w:rPr>
    </w:lvl>
    <w:lvl w:ilvl="3">
      <w:start w:val="1"/>
      <w:numFmt w:val="none"/>
      <w:lvlText w:val=""/>
      <w:lvlJc w:val="left"/>
      <w:pPr>
        <w:tabs>
          <w:tab w:val="num" w:pos="1356"/>
        </w:tabs>
        <w:ind w:left="1356" w:firstLine="0"/>
      </w:pPr>
      <w:rPr>
        <w:rFonts w:hint="default"/>
      </w:rPr>
    </w:lvl>
    <w:lvl w:ilvl="4">
      <w:start w:val="1"/>
      <w:numFmt w:val="none"/>
      <w:lvlText w:val=""/>
      <w:lvlJc w:val="left"/>
      <w:pPr>
        <w:ind w:left="1356" w:firstLine="0"/>
      </w:pPr>
      <w:rPr>
        <w:rFonts w:hint="default"/>
      </w:rPr>
    </w:lvl>
    <w:lvl w:ilvl="5">
      <w:start w:val="1"/>
      <w:numFmt w:val="none"/>
      <w:lvlText w:val=""/>
      <w:lvlJc w:val="left"/>
      <w:pPr>
        <w:ind w:left="1356" w:firstLine="0"/>
      </w:pPr>
      <w:rPr>
        <w:rFonts w:hint="default"/>
      </w:rPr>
    </w:lvl>
    <w:lvl w:ilvl="6">
      <w:start w:val="1"/>
      <w:numFmt w:val="none"/>
      <w:lvlText w:val=""/>
      <w:lvlJc w:val="left"/>
      <w:pPr>
        <w:ind w:left="1356" w:firstLine="0"/>
      </w:pPr>
      <w:rPr>
        <w:rFonts w:hint="default"/>
      </w:rPr>
    </w:lvl>
    <w:lvl w:ilvl="7">
      <w:start w:val="1"/>
      <w:numFmt w:val="none"/>
      <w:lvlText w:val=""/>
      <w:lvlJc w:val="left"/>
      <w:pPr>
        <w:ind w:left="1356" w:firstLine="0"/>
      </w:pPr>
      <w:rPr>
        <w:rFonts w:hint="default"/>
      </w:rPr>
    </w:lvl>
    <w:lvl w:ilvl="8">
      <w:start w:val="1"/>
      <w:numFmt w:val="none"/>
      <w:lvlText w:val=""/>
      <w:lvlJc w:val="left"/>
      <w:pPr>
        <w:ind w:left="1356" w:firstLine="0"/>
      </w:pPr>
      <w:rPr>
        <w:rFonts w:hint="default"/>
      </w:rPr>
    </w:lvl>
  </w:abstractNum>
  <w:abstractNum w:abstractNumId="39" w15:restartNumberingAfterBreak="0">
    <w:nsid w:val="4C715FE4"/>
    <w:multiLevelType w:val="hybridMultilevel"/>
    <w:tmpl w:val="0660EA1A"/>
    <w:lvl w:ilvl="0" w:tplc="6A4C6DF4">
      <w:start w:val="1"/>
      <w:numFmt w:val="lowerLetter"/>
      <w:lvlText w:val="%1."/>
      <w:lvlJc w:val="left"/>
      <w:pPr>
        <w:ind w:left="720" w:hanging="360"/>
      </w:pPr>
      <w:rPr>
        <w:rFonts w:ascii="Arial" w:hAnsi="Arial" w:cs="Arial" w:hint="default"/>
        <w:sz w:val="20"/>
        <w:szCs w:val="20"/>
      </w:rPr>
    </w:lvl>
    <w:lvl w:ilvl="1" w:tplc="FFFFFFFF">
      <w:start w:val="1"/>
      <w:numFmt w:val="bullet"/>
      <w:lvlText w:val="o"/>
      <w:lvlJc w:val="left"/>
      <w:pPr>
        <w:ind w:left="1440" w:hanging="360"/>
      </w:pPr>
      <w:rPr>
        <w:rFonts w:ascii="&quot;Courier New&quot;" w:hAnsi="&quot;Courier New&quot;"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0" w15:restartNumberingAfterBreak="0">
    <w:nsid w:val="4DBF2CF9"/>
    <w:multiLevelType w:val="hybridMultilevel"/>
    <w:tmpl w:val="FFFFFFFF"/>
    <w:lvl w:ilvl="0" w:tplc="779AB0C6">
      <w:start w:val="1"/>
      <w:numFmt w:val="decimal"/>
      <w:lvlText w:val="%1."/>
      <w:lvlJc w:val="left"/>
      <w:pPr>
        <w:ind w:left="720" w:hanging="360"/>
      </w:pPr>
    </w:lvl>
    <w:lvl w:ilvl="1" w:tplc="1CD20368">
      <w:start w:val="1"/>
      <w:numFmt w:val="lowerLetter"/>
      <w:lvlText w:val="%2."/>
      <w:lvlJc w:val="left"/>
      <w:pPr>
        <w:ind w:left="1440" w:hanging="360"/>
      </w:pPr>
    </w:lvl>
    <w:lvl w:ilvl="2" w:tplc="FEA6BD46">
      <w:start w:val="1"/>
      <w:numFmt w:val="lowerRoman"/>
      <w:lvlText w:val="%3."/>
      <w:lvlJc w:val="right"/>
      <w:pPr>
        <w:ind w:left="2160" w:hanging="180"/>
      </w:pPr>
    </w:lvl>
    <w:lvl w:ilvl="3" w:tplc="D8E8FB9C">
      <w:start w:val="1"/>
      <w:numFmt w:val="decimal"/>
      <w:lvlText w:val="%4."/>
      <w:lvlJc w:val="left"/>
      <w:pPr>
        <w:ind w:left="2880" w:hanging="360"/>
      </w:pPr>
    </w:lvl>
    <w:lvl w:ilvl="4" w:tplc="338257E6">
      <w:start w:val="1"/>
      <w:numFmt w:val="lowerLetter"/>
      <w:lvlText w:val="%5."/>
      <w:lvlJc w:val="left"/>
      <w:pPr>
        <w:ind w:left="3600" w:hanging="360"/>
      </w:pPr>
    </w:lvl>
    <w:lvl w:ilvl="5" w:tplc="9AF2B9D8">
      <w:start w:val="1"/>
      <w:numFmt w:val="lowerRoman"/>
      <w:lvlText w:val="%6."/>
      <w:lvlJc w:val="right"/>
      <w:pPr>
        <w:ind w:left="4320" w:hanging="180"/>
      </w:pPr>
    </w:lvl>
    <w:lvl w:ilvl="6" w:tplc="42A8721E">
      <w:start w:val="1"/>
      <w:numFmt w:val="decimal"/>
      <w:lvlText w:val="%7."/>
      <w:lvlJc w:val="left"/>
      <w:pPr>
        <w:ind w:left="5040" w:hanging="360"/>
      </w:pPr>
    </w:lvl>
    <w:lvl w:ilvl="7" w:tplc="83D4D11C">
      <w:start w:val="1"/>
      <w:numFmt w:val="lowerLetter"/>
      <w:lvlText w:val="%8."/>
      <w:lvlJc w:val="left"/>
      <w:pPr>
        <w:ind w:left="5760" w:hanging="360"/>
      </w:pPr>
    </w:lvl>
    <w:lvl w:ilvl="8" w:tplc="D1F2CF30">
      <w:start w:val="1"/>
      <w:numFmt w:val="lowerRoman"/>
      <w:lvlText w:val="%9."/>
      <w:lvlJc w:val="right"/>
      <w:pPr>
        <w:ind w:left="6480" w:hanging="180"/>
      </w:pPr>
    </w:lvl>
  </w:abstractNum>
  <w:abstractNum w:abstractNumId="41" w15:restartNumberingAfterBreak="0">
    <w:nsid w:val="4F204247"/>
    <w:multiLevelType w:val="multilevel"/>
    <w:tmpl w:val="5B0EA73C"/>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505C1F37"/>
    <w:multiLevelType w:val="hybridMultilevel"/>
    <w:tmpl w:val="74F41CC8"/>
    <w:lvl w:ilvl="0" w:tplc="08090003">
      <w:start w:val="1"/>
      <w:numFmt w:val="bullet"/>
      <w:lvlText w:val="o"/>
      <w:lvlJc w:val="left"/>
      <w:pPr>
        <w:ind w:left="928" w:hanging="360"/>
      </w:pPr>
      <w:rPr>
        <w:rFonts w:ascii="Courier New" w:hAnsi="Courier New" w:cs="Courier New" w:hint="default"/>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43" w15:restartNumberingAfterBreak="0">
    <w:nsid w:val="50807BDA"/>
    <w:multiLevelType w:val="hybridMultilevel"/>
    <w:tmpl w:val="E662E5F6"/>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517336AB"/>
    <w:multiLevelType w:val="hybridMultilevel"/>
    <w:tmpl w:val="FFFFFFFF"/>
    <w:lvl w:ilvl="0" w:tplc="EAF8D37E">
      <w:start w:val="1"/>
      <w:numFmt w:val="bullet"/>
      <w:lvlText w:val="·"/>
      <w:lvlJc w:val="left"/>
      <w:pPr>
        <w:ind w:left="720" w:hanging="360"/>
      </w:pPr>
      <w:rPr>
        <w:rFonts w:ascii="Symbol" w:hAnsi="Symbol" w:hint="default"/>
      </w:rPr>
    </w:lvl>
    <w:lvl w:ilvl="1" w:tplc="09C65A62">
      <w:start w:val="1"/>
      <w:numFmt w:val="bullet"/>
      <w:lvlText w:val="o"/>
      <w:lvlJc w:val="left"/>
      <w:pPr>
        <w:ind w:left="1440" w:hanging="360"/>
      </w:pPr>
      <w:rPr>
        <w:rFonts w:ascii="Courier New" w:hAnsi="Courier New" w:hint="default"/>
      </w:rPr>
    </w:lvl>
    <w:lvl w:ilvl="2" w:tplc="FE8873AA">
      <w:start w:val="1"/>
      <w:numFmt w:val="bullet"/>
      <w:lvlText w:val=""/>
      <w:lvlJc w:val="left"/>
      <w:pPr>
        <w:ind w:left="2160" w:hanging="360"/>
      </w:pPr>
      <w:rPr>
        <w:rFonts w:ascii="Wingdings" w:hAnsi="Wingdings" w:hint="default"/>
      </w:rPr>
    </w:lvl>
    <w:lvl w:ilvl="3" w:tplc="E4E85EC8">
      <w:start w:val="1"/>
      <w:numFmt w:val="bullet"/>
      <w:lvlText w:val=""/>
      <w:lvlJc w:val="left"/>
      <w:pPr>
        <w:ind w:left="2880" w:hanging="360"/>
      </w:pPr>
      <w:rPr>
        <w:rFonts w:ascii="Symbol" w:hAnsi="Symbol" w:hint="default"/>
      </w:rPr>
    </w:lvl>
    <w:lvl w:ilvl="4" w:tplc="7AB04CD2">
      <w:start w:val="1"/>
      <w:numFmt w:val="bullet"/>
      <w:lvlText w:val="o"/>
      <w:lvlJc w:val="left"/>
      <w:pPr>
        <w:ind w:left="3600" w:hanging="360"/>
      </w:pPr>
      <w:rPr>
        <w:rFonts w:ascii="Courier New" w:hAnsi="Courier New" w:hint="default"/>
      </w:rPr>
    </w:lvl>
    <w:lvl w:ilvl="5" w:tplc="7B5E385A">
      <w:start w:val="1"/>
      <w:numFmt w:val="bullet"/>
      <w:lvlText w:val=""/>
      <w:lvlJc w:val="left"/>
      <w:pPr>
        <w:ind w:left="4320" w:hanging="360"/>
      </w:pPr>
      <w:rPr>
        <w:rFonts w:ascii="Wingdings" w:hAnsi="Wingdings" w:hint="default"/>
      </w:rPr>
    </w:lvl>
    <w:lvl w:ilvl="6" w:tplc="42506522">
      <w:start w:val="1"/>
      <w:numFmt w:val="bullet"/>
      <w:lvlText w:val=""/>
      <w:lvlJc w:val="left"/>
      <w:pPr>
        <w:ind w:left="5040" w:hanging="360"/>
      </w:pPr>
      <w:rPr>
        <w:rFonts w:ascii="Symbol" w:hAnsi="Symbol" w:hint="default"/>
      </w:rPr>
    </w:lvl>
    <w:lvl w:ilvl="7" w:tplc="46E089EA">
      <w:start w:val="1"/>
      <w:numFmt w:val="bullet"/>
      <w:lvlText w:val="o"/>
      <w:lvlJc w:val="left"/>
      <w:pPr>
        <w:ind w:left="5760" w:hanging="360"/>
      </w:pPr>
      <w:rPr>
        <w:rFonts w:ascii="Courier New" w:hAnsi="Courier New" w:hint="default"/>
      </w:rPr>
    </w:lvl>
    <w:lvl w:ilvl="8" w:tplc="523E65B0">
      <w:start w:val="1"/>
      <w:numFmt w:val="bullet"/>
      <w:lvlText w:val=""/>
      <w:lvlJc w:val="left"/>
      <w:pPr>
        <w:ind w:left="6480" w:hanging="360"/>
      </w:pPr>
      <w:rPr>
        <w:rFonts w:ascii="Wingdings" w:hAnsi="Wingdings" w:hint="default"/>
      </w:rPr>
    </w:lvl>
  </w:abstractNum>
  <w:abstractNum w:abstractNumId="45" w15:restartNumberingAfterBreak="0">
    <w:nsid w:val="519C0440"/>
    <w:multiLevelType w:val="hybridMultilevel"/>
    <w:tmpl w:val="B9C08B5A"/>
    <w:lvl w:ilvl="0" w:tplc="BD7AA33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5D5D45B"/>
    <w:multiLevelType w:val="hybridMultilevel"/>
    <w:tmpl w:val="FFFFFFFF"/>
    <w:lvl w:ilvl="0" w:tplc="793A1732">
      <w:start w:val="1"/>
      <w:numFmt w:val="bullet"/>
      <w:lvlText w:val=""/>
      <w:lvlJc w:val="left"/>
      <w:pPr>
        <w:ind w:left="720" w:hanging="360"/>
      </w:pPr>
      <w:rPr>
        <w:rFonts w:ascii="Symbol" w:hAnsi="Symbol" w:hint="default"/>
      </w:rPr>
    </w:lvl>
    <w:lvl w:ilvl="1" w:tplc="33269806">
      <w:start w:val="1"/>
      <w:numFmt w:val="bullet"/>
      <w:lvlText w:val="o"/>
      <w:lvlJc w:val="left"/>
      <w:pPr>
        <w:ind w:left="1440" w:hanging="360"/>
      </w:pPr>
      <w:rPr>
        <w:rFonts w:ascii="Courier New" w:hAnsi="Courier New" w:hint="default"/>
      </w:rPr>
    </w:lvl>
    <w:lvl w:ilvl="2" w:tplc="9C7E331E">
      <w:start w:val="1"/>
      <w:numFmt w:val="bullet"/>
      <w:lvlText w:val=""/>
      <w:lvlJc w:val="left"/>
      <w:pPr>
        <w:ind w:left="2160" w:hanging="360"/>
      </w:pPr>
      <w:rPr>
        <w:rFonts w:ascii="Wingdings" w:hAnsi="Wingdings" w:hint="default"/>
      </w:rPr>
    </w:lvl>
    <w:lvl w:ilvl="3" w:tplc="4E14CF2A">
      <w:start w:val="1"/>
      <w:numFmt w:val="bullet"/>
      <w:lvlText w:val=""/>
      <w:lvlJc w:val="left"/>
      <w:pPr>
        <w:ind w:left="2880" w:hanging="360"/>
      </w:pPr>
      <w:rPr>
        <w:rFonts w:ascii="Symbol" w:hAnsi="Symbol" w:hint="default"/>
      </w:rPr>
    </w:lvl>
    <w:lvl w:ilvl="4" w:tplc="1E92430A">
      <w:start w:val="1"/>
      <w:numFmt w:val="bullet"/>
      <w:lvlText w:val="o"/>
      <w:lvlJc w:val="left"/>
      <w:pPr>
        <w:ind w:left="3600" w:hanging="360"/>
      </w:pPr>
      <w:rPr>
        <w:rFonts w:ascii="Courier New" w:hAnsi="Courier New" w:hint="default"/>
      </w:rPr>
    </w:lvl>
    <w:lvl w:ilvl="5" w:tplc="63BC96D0">
      <w:start w:val="1"/>
      <w:numFmt w:val="bullet"/>
      <w:lvlText w:val=""/>
      <w:lvlJc w:val="left"/>
      <w:pPr>
        <w:ind w:left="4320" w:hanging="360"/>
      </w:pPr>
      <w:rPr>
        <w:rFonts w:ascii="Wingdings" w:hAnsi="Wingdings" w:hint="default"/>
      </w:rPr>
    </w:lvl>
    <w:lvl w:ilvl="6" w:tplc="433240F0">
      <w:start w:val="1"/>
      <w:numFmt w:val="bullet"/>
      <w:lvlText w:val=""/>
      <w:lvlJc w:val="left"/>
      <w:pPr>
        <w:ind w:left="5040" w:hanging="360"/>
      </w:pPr>
      <w:rPr>
        <w:rFonts w:ascii="Symbol" w:hAnsi="Symbol" w:hint="default"/>
      </w:rPr>
    </w:lvl>
    <w:lvl w:ilvl="7" w:tplc="A4EA200E">
      <w:start w:val="1"/>
      <w:numFmt w:val="bullet"/>
      <w:lvlText w:val="o"/>
      <w:lvlJc w:val="left"/>
      <w:pPr>
        <w:ind w:left="5760" w:hanging="360"/>
      </w:pPr>
      <w:rPr>
        <w:rFonts w:ascii="Courier New" w:hAnsi="Courier New" w:hint="default"/>
      </w:rPr>
    </w:lvl>
    <w:lvl w:ilvl="8" w:tplc="0078404E">
      <w:start w:val="1"/>
      <w:numFmt w:val="bullet"/>
      <w:lvlText w:val=""/>
      <w:lvlJc w:val="left"/>
      <w:pPr>
        <w:ind w:left="6480" w:hanging="360"/>
      </w:pPr>
      <w:rPr>
        <w:rFonts w:ascii="Wingdings" w:hAnsi="Wingdings" w:hint="default"/>
      </w:rPr>
    </w:lvl>
  </w:abstractNum>
  <w:abstractNum w:abstractNumId="47" w15:restartNumberingAfterBreak="0">
    <w:nsid w:val="5DF13706"/>
    <w:multiLevelType w:val="hybridMultilevel"/>
    <w:tmpl w:val="AC2CB292"/>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8" w15:restartNumberingAfterBreak="0">
    <w:nsid w:val="5E1E95E6"/>
    <w:multiLevelType w:val="hybridMultilevel"/>
    <w:tmpl w:val="FFFFFFFF"/>
    <w:lvl w:ilvl="0" w:tplc="2D6A8B0A">
      <w:start w:val="1"/>
      <w:numFmt w:val="bullet"/>
      <w:lvlText w:val="·"/>
      <w:lvlJc w:val="left"/>
      <w:pPr>
        <w:ind w:left="720" w:hanging="360"/>
      </w:pPr>
      <w:rPr>
        <w:rFonts w:ascii="Symbol" w:hAnsi="Symbol" w:hint="default"/>
      </w:rPr>
    </w:lvl>
    <w:lvl w:ilvl="1" w:tplc="726877EA">
      <w:start w:val="1"/>
      <w:numFmt w:val="bullet"/>
      <w:lvlText w:val="o"/>
      <w:lvlJc w:val="left"/>
      <w:pPr>
        <w:ind w:left="1440" w:hanging="360"/>
      </w:pPr>
      <w:rPr>
        <w:rFonts w:ascii="Courier New" w:hAnsi="Courier New" w:hint="default"/>
      </w:rPr>
    </w:lvl>
    <w:lvl w:ilvl="2" w:tplc="A81CC826">
      <w:start w:val="1"/>
      <w:numFmt w:val="bullet"/>
      <w:lvlText w:val=""/>
      <w:lvlJc w:val="left"/>
      <w:pPr>
        <w:ind w:left="2160" w:hanging="360"/>
      </w:pPr>
      <w:rPr>
        <w:rFonts w:ascii="Wingdings" w:hAnsi="Wingdings" w:hint="default"/>
      </w:rPr>
    </w:lvl>
    <w:lvl w:ilvl="3" w:tplc="0480EB5E">
      <w:start w:val="1"/>
      <w:numFmt w:val="bullet"/>
      <w:lvlText w:val=""/>
      <w:lvlJc w:val="left"/>
      <w:pPr>
        <w:ind w:left="2880" w:hanging="360"/>
      </w:pPr>
      <w:rPr>
        <w:rFonts w:ascii="Symbol" w:hAnsi="Symbol" w:hint="default"/>
      </w:rPr>
    </w:lvl>
    <w:lvl w:ilvl="4" w:tplc="0FDE14C6">
      <w:start w:val="1"/>
      <w:numFmt w:val="bullet"/>
      <w:lvlText w:val="o"/>
      <w:lvlJc w:val="left"/>
      <w:pPr>
        <w:ind w:left="3600" w:hanging="360"/>
      </w:pPr>
      <w:rPr>
        <w:rFonts w:ascii="Courier New" w:hAnsi="Courier New" w:hint="default"/>
      </w:rPr>
    </w:lvl>
    <w:lvl w:ilvl="5" w:tplc="41607B1A">
      <w:start w:val="1"/>
      <w:numFmt w:val="bullet"/>
      <w:lvlText w:val=""/>
      <w:lvlJc w:val="left"/>
      <w:pPr>
        <w:ind w:left="4320" w:hanging="360"/>
      </w:pPr>
      <w:rPr>
        <w:rFonts w:ascii="Wingdings" w:hAnsi="Wingdings" w:hint="default"/>
      </w:rPr>
    </w:lvl>
    <w:lvl w:ilvl="6" w:tplc="135E4F7E">
      <w:start w:val="1"/>
      <w:numFmt w:val="bullet"/>
      <w:lvlText w:val=""/>
      <w:lvlJc w:val="left"/>
      <w:pPr>
        <w:ind w:left="5040" w:hanging="360"/>
      </w:pPr>
      <w:rPr>
        <w:rFonts w:ascii="Symbol" w:hAnsi="Symbol" w:hint="default"/>
      </w:rPr>
    </w:lvl>
    <w:lvl w:ilvl="7" w:tplc="F8E8A0A0">
      <w:start w:val="1"/>
      <w:numFmt w:val="bullet"/>
      <w:lvlText w:val="o"/>
      <w:lvlJc w:val="left"/>
      <w:pPr>
        <w:ind w:left="5760" w:hanging="360"/>
      </w:pPr>
      <w:rPr>
        <w:rFonts w:ascii="Courier New" w:hAnsi="Courier New" w:hint="default"/>
      </w:rPr>
    </w:lvl>
    <w:lvl w:ilvl="8" w:tplc="AE184290">
      <w:start w:val="1"/>
      <w:numFmt w:val="bullet"/>
      <w:lvlText w:val=""/>
      <w:lvlJc w:val="left"/>
      <w:pPr>
        <w:ind w:left="6480" w:hanging="360"/>
      </w:pPr>
      <w:rPr>
        <w:rFonts w:ascii="Wingdings" w:hAnsi="Wingdings" w:hint="default"/>
      </w:rPr>
    </w:lvl>
  </w:abstractNum>
  <w:abstractNum w:abstractNumId="49" w15:restartNumberingAfterBreak="0">
    <w:nsid w:val="5F37039B"/>
    <w:multiLevelType w:val="hybridMultilevel"/>
    <w:tmpl w:val="1C80CC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0" w15:restartNumberingAfterBreak="0">
    <w:nsid w:val="627D1F93"/>
    <w:multiLevelType w:val="multilevel"/>
    <w:tmpl w:val="A9FA82B6"/>
    <w:styleLink w:val="AlphaList"/>
    <w:lvl w:ilvl="0">
      <w:start w:val="1"/>
      <w:numFmt w:val="lowerLetter"/>
      <w:pStyle w:val="List"/>
      <w:lvlText w:val="%1."/>
      <w:lvlJc w:val="left"/>
      <w:pPr>
        <w:ind w:left="284" w:hanging="284"/>
      </w:pPr>
      <w:rPr>
        <w:rFonts w:hint="default"/>
        <w:b w:val="0"/>
        <w:color w:val="2294CD"/>
      </w:rPr>
    </w:lvl>
    <w:lvl w:ilvl="1">
      <w:start w:val="1"/>
      <w:numFmt w:val="lowerRoman"/>
      <w:pStyle w:val="List2"/>
      <w:lvlText w:val="%2."/>
      <w:lvlJc w:val="left"/>
      <w:pPr>
        <w:ind w:left="568" w:hanging="284"/>
      </w:pPr>
      <w:rPr>
        <w:rFonts w:hint="default"/>
        <w:b w:val="0"/>
        <w:color w:val="2294CD"/>
      </w:rPr>
    </w:lvl>
    <w:lvl w:ilvl="2">
      <w:start w:val="1"/>
      <w:numFmt w:val="decimal"/>
      <w:pStyle w:val="List3"/>
      <w:lvlText w:val="%3."/>
      <w:lvlJc w:val="left"/>
      <w:pPr>
        <w:ind w:left="852" w:hanging="284"/>
      </w:pPr>
      <w:rPr>
        <w:rFonts w:hint="default"/>
        <w:b w:val="0"/>
        <w:color w:val="2294CD"/>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51" w15:restartNumberingAfterBreak="0">
    <w:nsid w:val="661CC2DF"/>
    <w:multiLevelType w:val="hybridMultilevel"/>
    <w:tmpl w:val="FFFFFFFF"/>
    <w:lvl w:ilvl="0" w:tplc="0070315E">
      <w:start w:val="1"/>
      <w:numFmt w:val="bullet"/>
      <w:lvlText w:val="·"/>
      <w:lvlJc w:val="left"/>
      <w:pPr>
        <w:ind w:left="720" w:hanging="360"/>
      </w:pPr>
      <w:rPr>
        <w:rFonts w:ascii="Symbol" w:hAnsi="Symbol" w:hint="default"/>
      </w:rPr>
    </w:lvl>
    <w:lvl w:ilvl="1" w:tplc="296A2FE6">
      <w:start w:val="1"/>
      <w:numFmt w:val="bullet"/>
      <w:lvlText w:val="o"/>
      <w:lvlJc w:val="left"/>
      <w:pPr>
        <w:ind w:left="1440" w:hanging="360"/>
      </w:pPr>
      <w:rPr>
        <w:rFonts w:ascii="Courier New" w:hAnsi="Courier New" w:hint="default"/>
      </w:rPr>
    </w:lvl>
    <w:lvl w:ilvl="2" w:tplc="ED047B68">
      <w:start w:val="1"/>
      <w:numFmt w:val="bullet"/>
      <w:lvlText w:val=""/>
      <w:lvlJc w:val="left"/>
      <w:pPr>
        <w:ind w:left="2160" w:hanging="360"/>
      </w:pPr>
      <w:rPr>
        <w:rFonts w:ascii="Wingdings" w:hAnsi="Wingdings" w:hint="default"/>
      </w:rPr>
    </w:lvl>
    <w:lvl w:ilvl="3" w:tplc="D2442EF6">
      <w:start w:val="1"/>
      <w:numFmt w:val="bullet"/>
      <w:lvlText w:val=""/>
      <w:lvlJc w:val="left"/>
      <w:pPr>
        <w:ind w:left="2880" w:hanging="360"/>
      </w:pPr>
      <w:rPr>
        <w:rFonts w:ascii="Symbol" w:hAnsi="Symbol" w:hint="default"/>
      </w:rPr>
    </w:lvl>
    <w:lvl w:ilvl="4" w:tplc="DDF801C0">
      <w:start w:val="1"/>
      <w:numFmt w:val="bullet"/>
      <w:lvlText w:val="o"/>
      <w:lvlJc w:val="left"/>
      <w:pPr>
        <w:ind w:left="3600" w:hanging="360"/>
      </w:pPr>
      <w:rPr>
        <w:rFonts w:ascii="Courier New" w:hAnsi="Courier New" w:hint="default"/>
      </w:rPr>
    </w:lvl>
    <w:lvl w:ilvl="5" w:tplc="6138F59C">
      <w:start w:val="1"/>
      <w:numFmt w:val="bullet"/>
      <w:lvlText w:val=""/>
      <w:lvlJc w:val="left"/>
      <w:pPr>
        <w:ind w:left="4320" w:hanging="360"/>
      </w:pPr>
      <w:rPr>
        <w:rFonts w:ascii="Wingdings" w:hAnsi="Wingdings" w:hint="default"/>
      </w:rPr>
    </w:lvl>
    <w:lvl w:ilvl="6" w:tplc="02A85B4E">
      <w:start w:val="1"/>
      <w:numFmt w:val="bullet"/>
      <w:lvlText w:val=""/>
      <w:lvlJc w:val="left"/>
      <w:pPr>
        <w:ind w:left="5040" w:hanging="360"/>
      </w:pPr>
      <w:rPr>
        <w:rFonts w:ascii="Symbol" w:hAnsi="Symbol" w:hint="default"/>
      </w:rPr>
    </w:lvl>
    <w:lvl w:ilvl="7" w:tplc="3D30A5DE">
      <w:start w:val="1"/>
      <w:numFmt w:val="bullet"/>
      <w:lvlText w:val="o"/>
      <w:lvlJc w:val="left"/>
      <w:pPr>
        <w:ind w:left="5760" w:hanging="360"/>
      </w:pPr>
      <w:rPr>
        <w:rFonts w:ascii="Courier New" w:hAnsi="Courier New" w:hint="default"/>
      </w:rPr>
    </w:lvl>
    <w:lvl w:ilvl="8" w:tplc="B960514E">
      <w:start w:val="1"/>
      <w:numFmt w:val="bullet"/>
      <w:lvlText w:val=""/>
      <w:lvlJc w:val="left"/>
      <w:pPr>
        <w:ind w:left="6480" w:hanging="360"/>
      </w:pPr>
      <w:rPr>
        <w:rFonts w:ascii="Wingdings" w:hAnsi="Wingdings" w:hint="default"/>
      </w:rPr>
    </w:lvl>
  </w:abstractNum>
  <w:abstractNum w:abstractNumId="52" w15:restartNumberingAfterBreak="0">
    <w:nsid w:val="66842994"/>
    <w:multiLevelType w:val="hybridMultilevel"/>
    <w:tmpl w:val="BF3E3136"/>
    <w:lvl w:ilvl="0" w:tplc="FFFFFFFF">
      <w:start w:val="1"/>
      <w:numFmt w:val="lowerLetter"/>
      <w:lvlText w:val="%1."/>
      <w:lvlJc w:val="left"/>
      <w:pPr>
        <w:ind w:left="720" w:hanging="360"/>
      </w:pPr>
      <w:rPr>
        <w:rFonts w:hint="default"/>
        <w:b w:val="0"/>
        <w:bCs w:val="0"/>
        <w:sz w:val="20"/>
        <w:szCs w:val="2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3" w15:restartNumberingAfterBreak="0">
    <w:nsid w:val="672E1570"/>
    <w:multiLevelType w:val="hybridMultilevel"/>
    <w:tmpl w:val="7C1C9FE6"/>
    <w:lvl w:ilvl="0" w:tplc="937C6FE8">
      <w:numFmt w:val="bullet"/>
      <w:lvlText w:val="-"/>
      <w:lvlJc w:val="left"/>
      <w:pPr>
        <w:ind w:left="720" w:hanging="360"/>
      </w:pPr>
      <w:rPr>
        <w:rFonts w:ascii="Arial" w:eastAsiaTheme="maj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8BC37F7"/>
    <w:multiLevelType w:val="multilevel"/>
    <w:tmpl w:val="7B2811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69EE1B34"/>
    <w:multiLevelType w:val="hybridMultilevel"/>
    <w:tmpl w:val="9D8214D8"/>
    <w:lvl w:ilvl="0" w:tplc="02409446">
      <w:start w:val="1"/>
      <w:numFmt w:val="bullet"/>
      <w:lvlText w:val=""/>
      <w:lvlJc w:val="left"/>
      <w:pPr>
        <w:ind w:left="720" w:hanging="360"/>
      </w:pPr>
      <w:rPr>
        <w:rFonts w:ascii="Symbol" w:hAnsi="Symbol" w:hint="default"/>
        <w:color w:val="1D336D" w:themeColor="background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CB524BD"/>
    <w:multiLevelType w:val="multilevel"/>
    <w:tmpl w:val="63309836"/>
    <w:numStyleLink w:val="NumberedList0"/>
  </w:abstractNum>
  <w:abstractNum w:abstractNumId="57" w15:restartNumberingAfterBreak="0">
    <w:nsid w:val="6EE63FEA"/>
    <w:multiLevelType w:val="hybridMultilevel"/>
    <w:tmpl w:val="E14CAEF4"/>
    <w:lvl w:ilvl="0" w:tplc="58F06C06">
      <w:start w:val="1"/>
      <w:numFmt w:val="bullet"/>
      <w:lvlText w:val=""/>
      <w:lvlJc w:val="left"/>
      <w:pPr>
        <w:ind w:left="1440" w:hanging="360"/>
      </w:pPr>
      <w:rPr>
        <w:rFonts w:ascii="Symbol" w:hAnsi="Symbol" w:hint="default"/>
        <w:color w:val="1D336D" w:themeColor="background2"/>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8" w15:restartNumberingAfterBreak="0">
    <w:nsid w:val="6F5D7FDC"/>
    <w:multiLevelType w:val="multilevel"/>
    <w:tmpl w:val="CF744E1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9" w15:restartNumberingAfterBreak="0">
    <w:nsid w:val="79EC2B61"/>
    <w:multiLevelType w:val="multilevel"/>
    <w:tmpl w:val="D6922730"/>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0" w15:restartNumberingAfterBreak="0">
    <w:nsid w:val="7A4800EC"/>
    <w:multiLevelType w:val="hybridMultilevel"/>
    <w:tmpl w:val="F7D6733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1" w15:restartNumberingAfterBreak="0">
    <w:nsid w:val="7A636EE9"/>
    <w:multiLevelType w:val="hybridMultilevel"/>
    <w:tmpl w:val="442EF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0"/>
  </w:num>
  <w:num w:numId="2">
    <w:abstractNumId w:val="51"/>
  </w:num>
  <w:num w:numId="3">
    <w:abstractNumId w:val="7"/>
  </w:num>
  <w:num w:numId="4">
    <w:abstractNumId w:val="48"/>
  </w:num>
  <w:num w:numId="5">
    <w:abstractNumId w:val="44"/>
  </w:num>
  <w:num w:numId="6">
    <w:abstractNumId w:val="19"/>
  </w:num>
  <w:num w:numId="7">
    <w:abstractNumId w:val="46"/>
  </w:num>
  <w:num w:numId="8">
    <w:abstractNumId w:val="5"/>
  </w:num>
  <w:num w:numId="9">
    <w:abstractNumId w:val="27"/>
  </w:num>
  <w:num w:numId="10">
    <w:abstractNumId w:val="50"/>
  </w:num>
  <w:num w:numId="11">
    <w:abstractNumId w:val="33"/>
  </w:num>
  <w:num w:numId="12">
    <w:abstractNumId w:val="38"/>
  </w:num>
  <w:num w:numId="13">
    <w:abstractNumId w:val="41"/>
  </w:num>
  <w:num w:numId="14">
    <w:abstractNumId w:val="2"/>
  </w:num>
  <w:num w:numId="15">
    <w:abstractNumId w:val="28"/>
  </w:num>
  <w:num w:numId="16">
    <w:abstractNumId w:val="20"/>
  </w:num>
  <w:num w:numId="17">
    <w:abstractNumId w:val="14"/>
  </w:num>
  <w:num w:numId="18">
    <w:abstractNumId w:val="54"/>
  </w:num>
  <w:num w:numId="19">
    <w:abstractNumId w:val="4"/>
  </w:num>
  <w:num w:numId="20">
    <w:abstractNumId w:val="58"/>
  </w:num>
  <w:num w:numId="21">
    <w:abstractNumId w:val="61"/>
  </w:num>
  <w:num w:numId="22">
    <w:abstractNumId w:val="8"/>
  </w:num>
  <w:num w:numId="23">
    <w:abstractNumId w:val="9"/>
  </w:num>
  <w:num w:numId="24">
    <w:abstractNumId w:val="36"/>
  </w:num>
  <w:num w:numId="25">
    <w:abstractNumId w:val="37"/>
  </w:num>
  <w:num w:numId="26">
    <w:abstractNumId w:val="18"/>
  </w:num>
  <w:num w:numId="27">
    <w:abstractNumId w:val="21"/>
  </w:num>
  <w:num w:numId="28">
    <w:abstractNumId w:val="11"/>
  </w:num>
  <w:num w:numId="29">
    <w:abstractNumId w:val="23"/>
  </w:num>
  <w:num w:numId="30">
    <w:abstractNumId w:val="13"/>
  </w:num>
  <w:num w:numId="31">
    <w:abstractNumId w:val="22"/>
    <w:lvlOverride w:ilvl="0">
      <w:lvl w:ilvl="0">
        <w:start w:val="1"/>
        <w:numFmt w:val="decimal"/>
        <w:pStyle w:val="ListBullet"/>
        <w:lvlText w:val="%1."/>
        <w:lvlJc w:val="left"/>
        <w:pPr>
          <w:ind w:left="360" w:hanging="360"/>
        </w:pPr>
        <w:rPr>
          <w:rFonts w:hint="default"/>
          <w:color w:val="1D336D" w:themeColor="background2"/>
        </w:rPr>
      </w:lvl>
    </w:lvlOverride>
  </w:num>
  <w:num w:numId="32">
    <w:abstractNumId w:val="30"/>
  </w:num>
  <w:num w:numId="33">
    <w:abstractNumId w:val="49"/>
  </w:num>
  <w:num w:numId="34">
    <w:abstractNumId w:val="26"/>
  </w:num>
  <w:num w:numId="35">
    <w:abstractNumId w:val="39"/>
  </w:num>
  <w:num w:numId="36">
    <w:abstractNumId w:val="31"/>
  </w:num>
  <w:num w:numId="37">
    <w:abstractNumId w:val="56"/>
  </w:num>
  <w:num w:numId="38">
    <w:abstractNumId w:val="29"/>
  </w:num>
  <w:num w:numId="39">
    <w:abstractNumId w:val="42"/>
  </w:num>
  <w:num w:numId="40">
    <w:abstractNumId w:val="47"/>
  </w:num>
  <w:num w:numId="41">
    <w:abstractNumId w:val="24"/>
  </w:num>
  <w:num w:numId="42">
    <w:abstractNumId w:val="0"/>
  </w:num>
  <w:num w:numId="43">
    <w:abstractNumId w:val="10"/>
  </w:num>
  <w:num w:numId="44">
    <w:abstractNumId w:val="55"/>
  </w:num>
  <w:num w:numId="45">
    <w:abstractNumId w:val="17"/>
  </w:num>
  <w:num w:numId="46">
    <w:abstractNumId w:val="35"/>
  </w:num>
  <w:num w:numId="47">
    <w:abstractNumId w:val="15"/>
  </w:num>
  <w:num w:numId="48">
    <w:abstractNumId w:val="25"/>
  </w:num>
  <w:num w:numId="49">
    <w:abstractNumId w:val="45"/>
  </w:num>
  <w:num w:numId="50">
    <w:abstractNumId w:val="34"/>
  </w:num>
  <w:num w:numId="51">
    <w:abstractNumId w:val="59"/>
  </w:num>
  <w:num w:numId="52">
    <w:abstractNumId w:val="1"/>
  </w:num>
  <w:num w:numId="53">
    <w:abstractNumId w:val="60"/>
  </w:num>
  <w:num w:numId="54">
    <w:abstractNumId w:val="6"/>
  </w:num>
  <w:num w:numId="55">
    <w:abstractNumId w:val="57"/>
  </w:num>
  <w:num w:numId="56">
    <w:abstractNumId w:val="43"/>
  </w:num>
  <w:num w:numId="57">
    <w:abstractNumId w:val="53"/>
  </w:num>
  <w:num w:numId="58">
    <w:abstractNumId w:val="3"/>
  </w:num>
  <w:num w:numId="59">
    <w:abstractNumId w:val="52"/>
  </w:num>
  <w:num w:numId="60">
    <w:abstractNumId w:val="32"/>
  </w:num>
  <w:num w:numId="61">
    <w:abstractNumId w:val="16"/>
  </w:num>
  <w:num w:numId="62">
    <w:abstractNumId w:val="20"/>
  </w:num>
  <w:num w:numId="63">
    <w:abstractNumId w:val="2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284"/>
  <w:drawingGridHorizontalSpacing w:val="120"/>
  <w:displayHorizontalDrawingGridEvery w:val="2"/>
  <w:characterSpacingControl w:val="doNotCompress"/>
  <w:hdrShapeDefaults>
    <o:shapedefaults v:ext="edit" spidmax="2050" style="mso-position-vertical-relative:line;v-text-anchor:middle" fillcolor="none [3215]" strokecolor="none [2415]">
      <v:fill color="none [3215]"/>
      <v:stroke color="none [2415]" weight="5pt"/>
      <v:textbox inset=",2.5mm,,2.5mm"/>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zQ1NDQyMzQwMzcwMjZS0lEKTi0uzszPAykwrAUAWj75HCwAAAA="/>
  </w:docVars>
  <w:rsids>
    <w:rsidRoot w:val="00FD3110"/>
    <w:rsid w:val="00000078"/>
    <w:rsid w:val="000007F2"/>
    <w:rsid w:val="000009DD"/>
    <w:rsid w:val="00000C89"/>
    <w:rsid w:val="00000FEE"/>
    <w:rsid w:val="0000128C"/>
    <w:rsid w:val="0000190C"/>
    <w:rsid w:val="00001B07"/>
    <w:rsid w:val="00001E48"/>
    <w:rsid w:val="00001FB1"/>
    <w:rsid w:val="00002463"/>
    <w:rsid w:val="000025B4"/>
    <w:rsid w:val="00002AC0"/>
    <w:rsid w:val="00002B7E"/>
    <w:rsid w:val="00002F04"/>
    <w:rsid w:val="00003299"/>
    <w:rsid w:val="00003488"/>
    <w:rsid w:val="00003575"/>
    <w:rsid w:val="00003AE3"/>
    <w:rsid w:val="00003E52"/>
    <w:rsid w:val="0000459A"/>
    <w:rsid w:val="00004AA8"/>
    <w:rsid w:val="000050D8"/>
    <w:rsid w:val="000059A7"/>
    <w:rsid w:val="00005A67"/>
    <w:rsid w:val="00005F30"/>
    <w:rsid w:val="00005FA8"/>
    <w:rsid w:val="00006210"/>
    <w:rsid w:val="00006B68"/>
    <w:rsid w:val="00006D28"/>
    <w:rsid w:val="00007268"/>
    <w:rsid w:val="00007333"/>
    <w:rsid w:val="0000780B"/>
    <w:rsid w:val="0000793E"/>
    <w:rsid w:val="00007DE5"/>
    <w:rsid w:val="00007E53"/>
    <w:rsid w:val="00010113"/>
    <w:rsid w:val="00010E67"/>
    <w:rsid w:val="00011236"/>
    <w:rsid w:val="0001126F"/>
    <w:rsid w:val="00011CB8"/>
    <w:rsid w:val="000125FF"/>
    <w:rsid w:val="00012A66"/>
    <w:rsid w:val="00012CFC"/>
    <w:rsid w:val="0001394E"/>
    <w:rsid w:val="00013A01"/>
    <w:rsid w:val="00013F4D"/>
    <w:rsid w:val="00013FFD"/>
    <w:rsid w:val="0001442C"/>
    <w:rsid w:val="0001483E"/>
    <w:rsid w:val="0001486F"/>
    <w:rsid w:val="0001487E"/>
    <w:rsid w:val="000148B7"/>
    <w:rsid w:val="00014B1C"/>
    <w:rsid w:val="00014B36"/>
    <w:rsid w:val="00014C25"/>
    <w:rsid w:val="00015524"/>
    <w:rsid w:val="000160F1"/>
    <w:rsid w:val="00016394"/>
    <w:rsid w:val="000163F7"/>
    <w:rsid w:val="00016680"/>
    <w:rsid w:val="000168F3"/>
    <w:rsid w:val="000173BB"/>
    <w:rsid w:val="0001760E"/>
    <w:rsid w:val="00017694"/>
    <w:rsid w:val="00017C00"/>
    <w:rsid w:val="00017FDB"/>
    <w:rsid w:val="0002037D"/>
    <w:rsid w:val="000203AB"/>
    <w:rsid w:val="0002043C"/>
    <w:rsid w:val="000205FA"/>
    <w:rsid w:val="0002097C"/>
    <w:rsid w:val="00020FF0"/>
    <w:rsid w:val="0002146B"/>
    <w:rsid w:val="000214C1"/>
    <w:rsid w:val="0002152C"/>
    <w:rsid w:val="000215FE"/>
    <w:rsid w:val="00022829"/>
    <w:rsid w:val="000238DD"/>
    <w:rsid w:val="00023F07"/>
    <w:rsid w:val="0002403D"/>
    <w:rsid w:val="000241F9"/>
    <w:rsid w:val="00024DB8"/>
    <w:rsid w:val="000250AF"/>
    <w:rsid w:val="000251FB"/>
    <w:rsid w:val="00025338"/>
    <w:rsid w:val="00025401"/>
    <w:rsid w:val="00025537"/>
    <w:rsid w:val="0002559F"/>
    <w:rsid w:val="00025A26"/>
    <w:rsid w:val="000261C2"/>
    <w:rsid w:val="00026B4B"/>
    <w:rsid w:val="00026F70"/>
    <w:rsid w:val="00026F8A"/>
    <w:rsid w:val="000271EC"/>
    <w:rsid w:val="0002721A"/>
    <w:rsid w:val="000272AD"/>
    <w:rsid w:val="00027355"/>
    <w:rsid w:val="000276FF"/>
    <w:rsid w:val="000279A8"/>
    <w:rsid w:val="00027D6B"/>
    <w:rsid w:val="00030607"/>
    <w:rsid w:val="00030C39"/>
    <w:rsid w:val="0003112C"/>
    <w:rsid w:val="0003140E"/>
    <w:rsid w:val="000318D5"/>
    <w:rsid w:val="000319C5"/>
    <w:rsid w:val="00031BEE"/>
    <w:rsid w:val="00032AF3"/>
    <w:rsid w:val="00032CD5"/>
    <w:rsid w:val="000330E9"/>
    <w:rsid w:val="00033272"/>
    <w:rsid w:val="000337DA"/>
    <w:rsid w:val="00033B8E"/>
    <w:rsid w:val="00033EA7"/>
    <w:rsid w:val="000340E9"/>
    <w:rsid w:val="000347A3"/>
    <w:rsid w:val="00034955"/>
    <w:rsid w:val="00034A8D"/>
    <w:rsid w:val="00034DD2"/>
    <w:rsid w:val="00034E14"/>
    <w:rsid w:val="00034EF9"/>
    <w:rsid w:val="00035219"/>
    <w:rsid w:val="0003521A"/>
    <w:rsid w:val="00035A42"/>
    <w:rsid w:val="000364D7"/>
    <w:rsid w:val="00036705"/>
    <w:rsid w:val="00036B62"/>
    <w:rsid w:val="00036C12"/>
    <w:rsid w:val="00036FF1"/>
    <w:rsid w:val="000373B0"/>
    <w:rsid w:val="000377C2"/>
    <w:rsid w:val="000379AA"/>
    <w:rsid w:val="00037D37"/>
    <w:rsid w:val="000405EC"/>
    <w:rsid w:val="000407BC"/>
    <w:rsid w:val="00040B00"/>
    <w:rsid w:val="00040CB4"/>
    <w:rsid w:val="00040D6E"/>
    <w:rsid w:val="00040FD1"/>
    <w:rsid w:val="000412AC"/>
    <w:rsid w:val="00041327"/>
    <w:rsid w:val="00041336"/>
    <w:rsid w:val="0004201E"/>
    <w:rsid w:val="00042432"/>
    <w:rsid w:val="00042F38"/>
    <w:rsid w:val="000430D5"/>
    <w:rsid w:val="000430E3"/>
    <w:rsid w:val="000430E5"/>
    <w:rsid w:val="000432B7"/>
    <w:rsid w:val="00043707"/>
    <w:rsid w:val="00043CB5"/>
    <w:rsid w:val="00043FE8"/>
    <w:rsid w:val="000442FA"/>
    <w:rsid w:val="00044322"/>
    <w:rsid w:val="000444D0"/>
    <w:rsid w:val="00044569"/>
    <w:rsid w:val="00045009"/>
    <w:rsid w:val="00045053"/>
    <w:rsid w:val="00045227"/>
    <w:rsid w:val="000456A7"/>
    <w:rsid w:val="00045AAA"/>
    <w:rsid w:val="00045C3A"/>
    <w:rsid w:val="00045CB1"/>
    <w:rsid w:val="00045EC6"/>
    <w:rsid w:val="00046367"/>
    <w:rsid w:val="00046728"/>
    <w:rsid w:val="000469A0"/>
    <w:rsid w:val="00046AA4"/>
    <w:rsid w:val="00046EC3"/>
    <w:rsid w:val="00047308"/>
    <w:rsid w:val="0004770B"/>
    <w:rsid w:val="00047794"/>
    <w:rsid w:val="000478A0"/>
    <w:rsid w:val="00047FD8"/>
    <w:rsid w:val="00050051"/>
    <w:rsid w:val="0005070A"/>
    <w:rsid w:val="00050875"/>
    <w:rsid w:val="00050995"/>
    <w:rsid w:val="00050A63"/>
    <w:rsid w:val="00050ACE"/>
    <w:rsid w:val="00050C17"/>
    <w:rsid w:val="00050E8C"/>
    <w:rsid w:val="00050EB2"/>
    <w:rsid w:val="000511F1"/>
    <w:rsid w:val="000512B9"/>
    <w:rsid w:val="0005175F"/>
    <w:rsid w:val="00051817"/>
    <w:rsid w:val="00051B12"/>
    <w:rsid w:val="00051D89"/>
    <w:rsid w:val="000520E2"/>
    <w:rsid w:val="0005216D"/>
    <w:rsid w:val="000522C3"/>
    <w:rsid w:val="0005258E"/>
    <w:rsid w:val="000525B8"/>
    <w:rsid w:val="000525C0"/>
    <w:rsid w:val="00052DDB"/>
    <w:rsid w:val="00052ECB"/>
    <w:rsid w:val="0005302A"/>
    <w:rsid w:val="0005306A"/>
    <w:rsid w:val="0005310F"/>
    <w:rsid w:val="000533A0"/>
    <w:rsid w:val="000534A4"/>
    <w:rsid w:val="00053A5D"/>
    <w:rsid w:val="00053B4B"/>
    <w:rsid w:val="00053E7C"/>
    <w:rsid w:val="00053E8A"/>
    <w:rsid w:val="00054079"/>
    <w:rsid w:val="0005455E"/>
    <w:rsid w:val="00054588"/>
    <w:rsid w:val="000547B1"/>
    <w:rsid w:val="000549AB"/>
    <w:rsid w:val="000553DB"/>
    <w:rsid w:val="00055411"/>
    <w:rsid w:val="00055670"/>
    <w:rsid w:val="0005599A"/>
    <w:rsid w:val="00055A1C"/>
    <w:rsid w:val="00055D39"/>
    <w:rsid w:val="00055DBE"/>
    <w:rsid w:val="00056047"/>
    <w:rsid w:val="00056304"/>
    <w:rsid w:val="00056323"/>
    <w:rsid w:val="0005683F"/>
    <w:rsid w:val="00056A6C"/>
    <w:rsid w:val="00056C87"/>
    <w:rsid w:val="000572E3"/>
    <w:rsid w:val="000576B1"/>
    <w:rsid w:val="000578EE"/>
    <w:rsid w:val="000601FF"/>
    <w:rsid w:val="00060BD5"/>
    <w:rsid w:val="00061163"/>
    <w:rsid w:val="0006132A"/>
    <w:rsid w:val="00061738"/>
    <w:rsid w:val="00061758"/>
    <w:rsid w:val="00061A43"/>
    <w:rsid w:val="00061AC3"/>
    <w:rsid w:val="00061C93"/>
    <w:rsid w:val="00061EBB"/>
    <w:rsid w:val="00061F9C"/>
    <w:rsid w:val="000620C5"/>
    <w:rsid w:val="000620EF"/>
    <w:rsid w:val="0006218F"/>
    <w:rsid w:val="00062586"/>
    <w:rsid w:val="00062791"/>
    <w:rsid w:val="00062DCA"/>
    <w:rsid w:val="00062F19"/>
    <w:rsid w:val="00063571"/>
    <w:rsid w:val="00063BFF"/>
    <w:rsid w:val="00063F4E"/>
    <w:rsid w:val="00063F6E"/>
    <w:rsid w:val="00064A8E"/>
    <w:rsid w:val="00064D77"/>
    <w:rsid w:val="00064E84"/>
    <w:rsid w:val="00064F88"/>
    <w:rsid w:val="0006562C"/>
    <w:rsid w:val="00065949"/>
    <w:rsid w:val="00065AA3"/>
    <w:rsid w:val="00065CB0"/>
    <w:rsid w:val="00065D6B"/>
    <w:rsid w:val="00065D88"/>
    <w:rsid w:val="00065DCB"/>
    <w:rsid w:val="00066D1D"/>
    <w:rsid w:val="00066D7B"/>
    <w:rsid w:val="00066FCB"/>
    <w:rsid w:val="00067308"/>
    <w:rsid w:val="0006753B"/>
    <w:rsid w:val="00067A44"/>
    <w:rsid w:val="00067AE0"/>
    <w:rsid w:val="00070191"/>
    <w:rsid w:val="000706A2"/>
    <w:rsid w:val="000706EF"/>
    <w:rsid w:val="00070E10"/>
    <w:rsid w:val="00070F93"/>
    <w:rsid w:val="0007128B"/>
    <w:rsid w:val="00071A5D"/>
    <w:rsid w:val="00072B5E"/>
    <w:rsid w:val="00072B63"/>
    <w:rsid w:val="00073127"/>
    <w:rsid w:val="00073794"/>
    <w:rsid w:val="000749FE"/>
    <w:rsid w:val="00074DB5"/>
    <w:rsid w:val="00074E01"/>
    <w:rsid w:val="00074F5F"/>
    <w:rsid w:val="000751F2"/>
    <w:rsid w:val="00075475"/>
    <w:rsid w:val="00075853"/>
    <w:rsid w:val="00075DC8"/>
    <w:rsid w:val="0007632A"/>
    <w:rsid w:val="00076723"/>
    <w:rsid w:val="00076BC0"/>
    <w:rsid w:val="00076FA1"/>
    <w:rsid w:val="0007752F"/>
    <w:rsid w:val="000775BA"/>
    <w:rsid w:val="00077C08"/>
    <w:rsid w:val="00080084"/>
    <w:rsid w:val="0008028D"/>
    <w:rsid w:val="000807C1"/>
    <w:rsid w:val="00080859"/>
    <w:rsid w:val="00080921"/>
    <w:rsid w:val="000810C5"/>
    <w:rsid w:val="000812D3"/>
    <w:rsid w:val="00081370"/>
    <w:rsid w:val="00081613"/>
    <w:rsid w:val="000819EE"/>
    <w:rsid w:val="00081BDC"/>
    <w:rsid w:val="00081F7A"/>
    <w:rsid w:val="00082288"/>
    <w:rsid w:val="00082533"/>
    <w:rsid w:val="000825BB"/>
    <w:rsid w:val="00082A5B"/>
    <w:rsid w:val="00083152"/>
    <w:rsid w:val="0008377F"/>
    <w:rsid w:val="000839CE"/>
    <w:rsid w:val="00083B07"/>
    <w:rsid w:val="00083FDC"/>
    <w:rsid w:val="00084621"/>
    <w:rsid w:val="00085027"/>
    <w:rsid w:val="0008511B"/>
    <w:rsid w:val="00085278"/>
    <w:rsid w:val="00085AC0"/>
    <w:rsid w:val="00085D83"/>
    <w:rsid w:val="000865F2"/>
    <w:rsid w:val="0008671C"/>
    <w:rsid w:val="000868D0"/>
    <w:rsid w:val="0008698D"/>
    <w:rsid w:val="00086B78"/>
    <w:rsid w:val="00086D1D"/>
    <w:rsid w:val="00086D1E"/>
    <w:rsid w:val="00086FD7"/>
    <w:rsid w:val="00087018"/>
    <w:rsid w:val="00087261"/>
    <w:rsid w:val="00087280"/>
    <w:rsid w:val="0008745D"/>
    <w:rsid w:val="000877DB"/>
    <w:rsid w:val="0008791D"/>
    <w:rsid w:val="00090A22"/>
    <w:rsid w:val="00090A58"/>
    <w:rsid w:val="00090B20"/>
    <w:rsid w:val="00090E19"/>
    <w:rsid w:val="00091515"/>
    <w:rsid w:val="0009187C"/>
    <w:rsid w:val="00091B04"/>
    <w:rsid w:val="00091B54"/>
    <w:rsid w:val="00091D63"/>
    <w:rsid w:val="00092395"/>
    <w:rsid w:val="00092CE0"/>
    <w:rsid w:val="00092D11"/>
    <w:rsid w:val="00092ED3"/>
    <w:rsid w:val="000934A7"/>
    <w:rsid w:val="00093BCA"/>
    <w:rsid w:val="000943E0"/>
    <w:rsid w:val="00094E75"/>
    <w:rsid w:val="00094ECB"/>
    <w:rsid w:val="000953D7"/>
    <w:rsid w:val="00095499"/>
    <w:rsid w:val="000954B0"/>
    <w:rsid w:val="00096228"/>
    <w:rsid w:val="00096300"/>
    <w:rsid w:val="000967C0"/>
    <w:rsid w:val="0009682B"/>
    <w:rsid w:val="0009696A"/>
    <w:rsid w:val="00096BFC"/>
    <w:rsid w:val="00096F8D"/>
    <w:rsid w:val="00097400"/>
    <w:rsid w:val="000975F9"/>
    <w:rsid w:val="00097632"/>
    <w:rsid w:val="000978B9"/>
    <w:rsid w:val="000979FB"/>
    <w:rsid w:val="00097B59"/>
    <w:rsid w:val="00097CAB"/>
    <w:rsid w:val="00097ED2"/>
    <w:rsid w:val="000A0135"/>
    <w:rsid w:val="000A0254"/>
    <w:rsid w:val="000A05C9"/>
    <w:rsid w:val="000A0885"/>
    <w:rsid w:val="000A0B77"/>
    <w:rsid w:val="000A0BF9"/>
    <w:rsid w:val="000A0D46"/>
    <w:rsid w:val="000A0EBA"/>
    <w:rsid w:val="000A0FE4"/>
    <w:rsid w:val="000A186C"/>
    <w:rsid w:val="000A18ED"/>
    <w:rsid w:val="000A1DBF"/>
    <w:rsid w:val="000A2983"/>
    <w:rsid w:val="000A2CC8"/>
    <w:rsid w:val="000A30B9"/>
    <w:rsid w:val="000A3218"/>
    <w:rsid w:val="000A32B6"/>
    <w:rsid w:val="000A3B4C"/>
    <w:rsid w:val="000A3E0C"/>
    <w:rsid w:val="000A3F2B"/>
    <w:rsid w:val="000A50FE"/>
    <w:rsid w:val="000A593C"/>
    <w:rsid w:val="000A5984"/>
    <w:rsid w:val="000A5A36"/>
    <w:rsid w:val="000A5F56"/>
    <w:rsid w:val="000A61A3"/>
    <w:rsid w:val="000A6304"/>
    <w:rsid w:val="000A6733"/>
    <w:rsid w:val="000A6A4E"/>
    <w:rsid w:val="000A6CFC"/>
    <w:rsid w:val="000A711E"/>
    <w:rsid w:val="000A74A9"/>
    <w:rsid w:val="000A7699"/>
    <w:rsid w:val="000A7971"/>
    <w:rsid w:val="000A7C76"/>
    <w:rsid w:val="000A7D76"/>
    <w:rsid w:val="000A7E01"/>
    <w:rsid w:val="000A7EB3"/>
    <w:rsid w:val="000A7F2D"/>
    <w:rsid w:val="000B0026"/>
    <w:rsid w:val="000B0072"/>
    <w:rsid w:val="000B030A"/>
    <w:rsid w:val="000B09B5"/>
    <w:rsid w:val="000B0B79"/>
    <w:rsid w:val="000B0C71"/>
    <w:rsid w:val="000B0D16"/>
    <w:rsid w:val="000B0D80"/>
    <w:rsid w:val="000B0E6F"/>
    <w:rsid w:val="000B1002"/>
    <w:rsid w:val="000B1078"/>
    <w:rsid w:val="000B14D2"/>
    <w:rsid w:val="000B15A9"/>
    <w:rsid w:val="000B170C"/>
    <w:rsid w:val="000B1839"/>
    <w:rsid w:val="000B18DD"/>
    <w:rsid w:val="000B1AF9"/>
    <w:rsid w:val="000B1B68"/>
    <w:rsid w:val="000B1CEB"/>
    <w:rsid w:val="000B1DAE"/>
    <w:rsid w:val="000B1E71"/>
    <w:rsid w:val="000B2033"/>
    <w:rsid w:val="000B2095"/>
    <w:rsid w:val="000B20AF"/>
    <w:rsid w:val="000B20E7"/>
    <w:rsid w:val="000B21A6"/>
    <w:rsid w:val="000B228E"/>
    <w:rsid w:val="000B2BEE"/>
    <w:rsid w:val="000B2DA1"/>
    <w:rsid w:val="000B3066"/>
    <w:rsid w:val="000B32FE"/>
    <w:rsid w:val="000B341C"/>
    <w:rsid w:val="000B36AF"/>
    <w:rsid w:val="000B39E9"/>
    <w:rsid w:val="000B4580"/>
    <w:rsid w:val="000B46EC"/>
    <w:rsid w:val="000B4AA0"/>
    <w:rsid w:val="000B4B24"/>
    <w:rsid w:val="000B4BE4"/>
    <w:rsid w:val="000B4C8C"/>
    <w:rsid w:val="000B5250"/>
    <w:rsid w:val="000B52F6"/>
    <w:rsid w:val="000B5602"/>
    <w:rsid w:val="000B5A65"/>
    <w:rsid w:val="000B5C32"/>
    <w:rsid w:val="000B5D4E"/>
    <w:rsid w:val="000B5FF9"/>
    <w:rsid w:val="000B609A"/>
    <w:rsid w:val="000B611A"/>
    <w:rsid w:val="000B647F"/>
    <w:rsid w:val="000B6C92"/>
    <w:rsid w:val="000B70DC"/>
    <w:rsid w:val="000B742B"/>
    <w:rsid w:val="000B7552"/>
    <w:rsid w:val="000B7BBB"/>
    <w:rsid w:val="000B7E04"/>
    <w:rsid w:val="000B7F5D"/>
    <w:rsid w:val="000C0633"/>
    <w:rsid w:val="000C098A"/>
    <w:rsid w:val="000C0EFB"/>
    <w:rsid w:val="000C0FD8"/>
    <w:rsid w:val="000C127F"/>
    <w:rsid w:val="000C12A8"/>
    <w:rsid w:val="000C14F7"/>
    <w:rsid w:val="000C208E"/>
    <w:rsid w:val="000C2966"/>
    <w:rsid w:val="000C2F76"/>
    <w:rsid w:val="000C3369"/>
    <w:rsid w:val="000C353C"/>
    <w:rsid w:val="000C39B1"/>
    <w:rsid w:val="000C39B6"/>
    <w:rsid w:val="000C3B03"/>
    <w:rsid w:val="000C3F76"/>
    <w:rsid w:val="000C448A"/>
    <w:rsid w:val="000C44B9"/>
    <w:rsid w:val="000C46CF"/>
    <w:rsid w:val="000C4789"/>
    <w:rsid w:val="000C4BC5"/>
    <w:rsid w:val="000C4BFF"/>
    <w:rsid w:val="000C4C31"/>
    <w:rsid w:val="000C4D05"/>
    <w:rsid w:val="000C5769"/>
    <w:rsid w:val="000C6342"/>
    <w:rsid w:val="000C6A36"/>
    <w:rsid w:val="000C6D89"/>
    <w:rsid w:val="000C7231"/>
    <w:rsid w:val="000C743B"/>
    <w:rsid w:val="000C7A42"/>
    <w:rsid w:val="000C7D29"/>
    <w:rsid w:val="000D05A9"/>
    <w:rsid w:val="000D0C32"/>
    <w:rsid w:val="000D0F8B"/>
    <w:rsid w:val="000D107D"/>
    <w:rsid w:val="000D15CA"/>
    <w:rsid w:val="000D1A40"/>
    <w:rsid w:val="000D1D18"/>
    <w:rsid w:val="000D1FF3"/>
    <w:rsid w:val="000D2534"/>
    <w:rsid w:val="000D2AC4"/>
    <w:rsid w:val="000D3773"/>
    <w:rsid w:val="000D3E85"/>
    <w:rsid w:val="000D3F89"/>
    <w:rsid w:val="000D453D"/>
    <w:rsid w:val="000D461D"/>
    <w:rsid w:val="000D4E90"/>
    <w:rsid w:val="000D5349"/>
    <w:rsid w:val="000D5783"/>
    <w:rsid w:val="000D57DD"/>
    <w:rsid w:val="000D5B3A"/>
    <w:rsid w:val="000D5C36"/>
    <w:rsid w:val="000D637E"/>
    <w:rsid w:val="000D6622"/>
    <w:rsid w:val="000D66B7"/>
    <w:rsid w:val="000D6D9E"/>
    <w:rsid w:val="000D6FBF"/>
    <w:rsid w:val="000D7618"/>
    <w:rsid w:val="000D7E25"/>
    <w:rsid w:val="000D7F35"/>
    <w:rsid w:val="000D7F5E"/>
    <w:rsid w:val="000E0164"/>
    <w:rsid w:val="000E0203"/>
    <w:rsid w:val="000E0774"/>
    <w:rsid w:val="000E0AA7"/>
    <w:rsid w:val="000E0B5E"/>
    <w:rsid w:val="000E0C9F"/>
    <w:rsid w:val="000E1057"/>
    <w:rsid w:val="000E113A"/>
    <w:rsid w:val="000E1515"/>
    <w:rsid w:val="000E1A13"/>
    <w:rsid w:val="000E20F1"/>
    <w:rsid w:val="000E22EC"/>
    <w:rsid w:val="000E27CE"/>
    <w:rsid w:val="000E27E2"/>
    <w:rsid w:val="000E2B94"/>
    <w:rsid w:val="000E2CA9"/>
    <w:rsid w:val="000E3048"/>
    <w:rsid w:val="000E31D9"/>
    <w:rsid w:val="000E347B"/>
    <w:rsid w:val="000E3632"/>
    <w:rsid w:val="000E3939"/>
    <w:rsid w:val="000E3977"/>
    <w:rsid w:val="000E3B6E"/>
    <w:rsid w:val="000E3E14"/>
    <w:rsid w:val="000E41CD"/>
    <w:rsid w:val="000E42EA"/>
    <w:rsid w:val="000E4334"/>
    <w:rsid w:val="000E492F"/>
    <w:rsid w:val="000E4DBE"/>
    <w:rsid w:val="000E5086"/>
    <w:rsid w:val="000E5104"/>
    <w:rsid w:val="000E5601"/>
    <w:rsid w:val="000E56BD"/>
    <w:rsid w:val="000E57B2"/>
    <w:rsid w:val="000E58F3"/>
    <w:rsid w:val="000E590A"/>
    <w:rsid w:val="000E5973"/>
    <w:rsid w:val="000E5B00"/>
    <w:rsid w:val="000E5FAD"/>
    <w:rsid w:val="000E6286"/>
    <w:rsid w:val="000E672E"/>
    <w:rsid w:val="000E6C12"/>
    <w:rsid w:val="000E7334"/>
    <w:rsid w:val="000E7343"/>
    <w:rsid w:val="000E73B5"/>
    <w:rsid w:val="000E7896"/>
    <w:rsid w:val="000E796D"/>
    <w:rsid w:val="000F0E2D"/>
    <w:rsid w:val="000F0F18"/>
    <w:rsid w:val="000F11B2"/>
    <w:rsid w:val="000F120A"/>
    <w:rsid w:val="000F126B"/>
    <w:rsid w:val="000F1435"/>
    <w:rsid w:val="000F14E3"/>
    <w:rsid w:val="000F164E"/>
    <w:rsid w:val="000F1927"/>
    <w:rsid w:val="000F1B24"/>
    <w:rsid w:val="000F1F16"/>
    <w:rsid w:val="000F24EE"/>
    <w:rsid w:val="000F26EE"/>
    <w:rsid w:val="000F3590"/>
    <w:rsid w:val="000F365C"/>
    <w:rsid w:val="000F39D8"/>
    <w:rsid w:val="000F3BB3"/>
    <w:rsid w:val="000F40C3"/>
    <w:rsid w:val="000F478C"/>
    <w:rsid w:val="000F493A"/>
    <w:rsid w:val="000F49EB"/>
    <w:rsid w:val="000F4A5B"/>
    <w:rsid w:val="000F4A71"/>
    <w:rsid w:val="000F4D5C"/>
    <w:rsid w:val="000F540F"/>
    <w:rsid w:val="000F542F"/>
    <w:rsid w:val="000F5873"/>
    <w:rsid w:val="000F58B8"/>
    <w:rsid w:val="000F5A6D"/>
    <w:rsid w:val="000F5BCB"/>
    <w:rsid w:val="000F5DB5"/>
    <w:rsid w:val="000F67CC"/>
    <w:rsid w:val="000F6F6B"/>
    <w:rsid w:val="000F717A"/>
    <w:rsid w:val="000F7286"/>
    <w:rsid w:val="000F7966"/>
    <w:rsid w:val="000F7FF2"/>
    <w:rsid w:val="00100070"/>
    <w:rsid w:val="001000AE"/>
    <w:rsid w:val="001000E4"/>
    <w:rsid w:val="001003E5"/>
    <w:rsid w:val="001003FB"/>
    <w:rsid w:val="00100478"/>
    <w:rsid w:val="00100B08"/>
    <w:rsid w:val="00100C41"/>
    <w:rsid w:val="00101432"/>
    <w:rsid w:val="001014F7"/>
    <w:rsid w:val="0010191A"/>
    <w:rsid w:val="00102008"/>
    <w:rsid w:val="00102495"/>
    <w:rsid w:val="001024F8"/>
    <w:rsid w:val="00102823"/>
    <w:rsid w:val="00102ACC"/>
    <w:rsid w:val="0010300C"/>
    <w:rsid w:val="00103316"/>
    <w:rsid w:val="001034BC"/>
    <w:rsid w:val="0010367F"/>
    <w:rsid w:val="001036B1"/>
    <w:rsid w:val="0010385E"/>
    <w:rsid w:val="00103D43"/>
    <w:rsid w:val="00104201"/>
    <w:rsid w:val="0010432F"/>
    <w:rsid w:val="001044B5"/>
    <w:rsid w:val="0010467A"/>
    <w:rsid w:val="001046F2"/>
    <w:rsid w:val="001050B2"/>
    <w:rsid w:val="001052C5"/>
    <w:rsid w:val="0010538F"/>
    <w:rsid w:val="001056BC"/>
    <w:rsid w:val="0010578A"/>
    <w:rsid w:val="00105BE3"/>
    <w:rsid w:val="0010627B"/>
    <w:rsid w:val="001064CB"/>
    <w:rsid w:val="00106551"/>
    <w:rsid w:val="00106C87"/>
    <w:rsid w:val="0010708C"/>
    <w:rsid w:val="0010710A"/>
    <w:rsid w:val="0010725A"/>
    <w:rsid w:val="00107B48"/>
    <w:rsid w:val="00107C50"/>
    <w:rsid w:val="00110081"/>
    <w:rsid w:val="001101BE"/>
    <w:rsid w:val="001102E0"/>
    <w:rsid w:val="001103EC"/>
    <w:rsid w:val="0011051D"/>
    <w:rsid w:val="001107D8"/>
    <w:rsid w:val="00110ED5"/>
    <w:rsid w:val="00110EE6"/>
    <w:rsid w:val="00110F68"/>
    <w:rsid w:val="0011106A"/>
    <w:rsid w:val="00111410"/>
    <w:rsid w:val="0011176F"/>
    <w:rsid w:val="00111796"/>
    <w:rsid w:val="00111BBD"/>
    <w:rsid w:val="00111CC1"/>
    <w:rsid w:val="00111CFA"/>
    <w:rsid w:val="001120FA"/>
    <w:rsid w:val="001121C0"/>
    <w:rsid w:val="00112620"/>
    <w:rsid w:val="00112635"/>
    <w:rsid w:val="0011291A"/>
    <w:rsid w:val="00112B48"/>
    <w:rsid w:val="00113776"/>
    <w:rsid w:val="001138C2"/>
    <w:rsid w:val="00113BE1"/>
    <w:rsid w:val="00113C27"/>
    <w:rsid w:val="001141B5"/>
    <w:rsid w:val="00114641"/>
    <w:rsid w:val="00114B60"/>
    <w:rsid w:val="00114F13"/>
    <w:rsid w:val="00115237"/>
    <w:rsid w:val="0011536C"/>
    <w:rsid w:val="00115CD2"/>
    <w:rsid w:val="00115F4D"/>
    <w:rsid w:val="00116192"/>
    <w:rsid w:val="00116494"/>
    <w:rsid w:val="00116870"/>
    <w:rsid w:val="00116A64"/>
    <w:rsid w:val="00116AB8"/>
    <w:rsid w:val="00116B34"/>
    <w:rsid w:val="00116B55"/>
    <w:rsid w:val="00116BDB"/>
    <w:rsid w:val="00117596"/>
    <w:rsid w:val="00117616"/>
    <w:rsid w:val="00117DBB"/>
    <w:rsid w:val="00120133"/>
    <w:rsid w:val="00120440"/>
    <w:rsid w:val="00120F6C"/>
    <w:rsid w:val="0012114F"/>
    <w:rsid w:val="00121439"/>
    <w:rsid w:val="00121480"/>
    <w:rsid w:val="0012151E"/>
    <w:rsid w:val="001215D7"/>
    <w:rsid w:val="00121629"/>
    <w:rsid w:val="00121908"/>
    <w:rsid w:val="001219FA"/>
    <w:rsid w:val="00121EA0"/>
    <w:rsid w:val="00121F9C"/>
    <w:rsid w:val="001224B5"/>
    <w:rsid w:val="0012294A"/>
    <w:rsid w:val="00122B73"/>
    <w:rsid w:val="001236B0"/>
    <w:rsid w:val="001236F4"/>
    <w:rsid w:val="0012371A"/>
    <w:rsid w:val="001237FC"/>
    <w:rsid w:val="0012398D"/>
    <w:rsid w:val="00123B01"/>
    <w:rsid w:val="0012430F"/>
    <w:rsid w:val="001246EF"/>
    <w:rsid w:val="0012471B"/>
    <w:rsid w:val="00124864"/>
    <w:rsid w:val="00124ADA"/>
    <w:rsid w:val="00124D29"/>
    <w:rsid w:val="001252E8"/>
    <w:rsid w:val="0012548A"/>
    <w:rsid w:val="001254BD"/>
    <w:rsid w:val="001256C5"/>
    <w:rsid w:val="00125B4F"/>
    <w:rsid w:val="00125E60"/>
    <w:rsid w:val="00125FBF"/>
    <w:rsid w:val="001264E0"/>
    <w:rsid w:val="0012653B"/>
    <w:rsid w:val="0012672B"/>
    <w:rsid w:val="0012678D"/>
    <w:rsid w:val="0012682B"/>
    <w:rsid w:val="00127539"/>
    <w:rsid w:val="001279A8"/>
    <w:rsid w:val="00127B87"/>
    <w:rsid w:val="00127BC7"/>
    <w:rsid w:val="00127E1F"/>
    <w:rsid w:val="001303DE"/>
    <w:rsid w:val="001305E5"/>
    <w:rsid w:val="001307CB"/>
    <w:rsid w:val="0013088F"/>
    <w:rsid w:val="001308EB"/>
    <w:rsid w:val="00130CC1"/>
    <w:rsid w:val="001310FC"/>
    <w:rsid w:val="00131706"/>
    <w:rsid w:val="00132F1F"/>
    <w:rsid w:val="0013343A"/>
    <w:rsid w:val="00133D57"/>
    <w:rsid w:val="00133D79"/>
    <w:rsid w:val="001345EE"/>
    <w:rsid w:val="00134A47"/>
    <w:rsid w:val="001357F2"/>
    <w:rsid w:val="00135B3C"/>
    <w:rsid w:val="00135BF7"/>
    <w:rsid w:val="00136769"/>
    <w:rsid w:val="0013680A"/>
    <w:rsid w:val="0013681E"/>
    <w:rsid w:val="001369CD"/>
    <w:rsid w:val="00136A7E"/>
    <w:rsid w:val="00136C65"/>
    <w:rsid w:val="00136D98"/>
    <w:rsid w:val="00136D9C"/>
    <w:rsid w:val="00136F98"/>
    <w:rsid w:val="00136FBB"/>
    <w:rsid w:val="001377FD"/>
    <w:rsid w:val="001379AA"/>
    <w:rsid w:val="00137A8C"/>
    <w:rsid w:val="00140861"/>
    <w:rsid w:val="001409C3"/>
    <w:rsid w:val="00140CCE"/>
    <w:rsid w:val="00140CE3"/>
    <w:rsid w:val="00140DFA"/>
    <w:rsid w:val="00140F94"/>
    <w:rsid w:val="001412DB"/>
    <w:rsid w:val="001413A0"/>
    <w:rsid w:val="001413EF"/>
    <w:rsid w:val="001417CB"/>
    <w:rsid w:val="00141852"/>
    <w:rsid w:val="00141D46"/>
    <w:rsid w:val="001422E9"/>
    <w:rsid w:val="00142898"/>
    <w:rsid w:val="00142CA3"/>
    <w:rsid w:val="00143017"/>
    <w:rsid w:val="00143043"/>
    <w:rsid w:val="00143049"/>
    <w:rsid w:val="00143571"/>
    <w:rsid w:val="00143588"/>
    <w:rsid w:val="001435A7"/>
    <w:rsid w:val="00143803"/>
    <w:rsid w:val="00143DEC"/>
    <w:rsid w:val="00143FFC"/>
    <w:rsid w:val="00144DE6"/>
    <w:rsid w:val="001455FB"/>
    <w:rsid w:val="00145656"/>
    <w:rsid w:val="00145BD6"/>
    <w:rsid w:val="00145F1A"/>
    <w:rsid w:val="0014606B"/>
    <w:rsid w:val="00146251"/>
    <w:rsid w:val="00146310"/>
    <w:rsid w:val="0014640D"/>
    <w:rsid w:val="001469D0"/>
    <w:rsid w:val="00146E5D"/>
    <w:rsid w:val="0014720F"/>
    <w:rsid w:val="00147544"/>
    <w:rsid w:val="001476F5"/>
    <w:rsid w:val="00147E4E"/>
    <w:rsid w:val="0015019A"/>
    <w:rsid w:val="001501AF"/>
    <w:rsid w:val="001503CC"/>
    <w:rsid w:val="001506F8"/>
    <w:rsid w:val="00150708"/>
    <w:rsid w:val="00150789"/>
    <w:rsid w:val="00150A96"/>
    <w:rsid w:val="00151114"/>
    <w:rsid w:val="001513DF"/>
    <w:rsid w:val="00151A66"/>
    <w:rsid w:val="00151BAF"/>
    <w:rsid w:val="00151D22"/>
    <w:rsid w:val="0015269E"/>
    <w:rsid w:val="00152B18"/>
    <w:rsid w:val="00152E46"/>
    <w:rsid w:val="001534C6"/>
    <w:rsid w:val="001538A6"/>
    <w:rsid w:val="001538BF"/>
    <w:rsid w:val="00153B6A"/>
    <w:rsid w:val="00153BD2"/>
    <w:rsid w:val="00154698"/>
    <w:rsid w:val="00154704"/>
    <w:rsid w:val="00154718"/>
    <w:rsid w:val="0015478D"/>
    <w:rsid w:val="00154C49"/>
    <w:rsid w:val="00155391"/>
    <w:rsid w:val="00155DE2"/>
    <w:rsid w:val="001566A5"/>
    <w:rsid w:val="001569EA"/>
    <w:rsid w:val="00156C09"/>
    <w:rsid w:val="00156F91"/>
    <w:rsid w:val="00157ABD"/>
    <w:rsid w:val="00157BCC"/>
    <w:rsid w:val="00157FE8"/>
    <w:rsid w:val="00160035"/>
    <w:rsid w:val="001605E8"/>
    <w:rsid w:val="00160C37"/>
    <w:rsid w:val="00160F3F"/>
    <w:rsid w:val="00161488"/>
    <w:rsid w:val="00161528"/>
    <w:rsid w:val="001616CA"/>
    <w:rsid w:val="001619CF"/>
    <w:rsid w:val="00161B24"/>
    <w:rsid w:val="00161CA4"/>
    <w:rsid w:val="00161E46"/>
    <w:rsid w:val="00162045"/>
    <w:rsid w:val="001622C8"/>
    <w:rsid w:val="0016233C"/>
    <w:rsid w:val="001624D7"/>
    <w:rsid w:val="001631BC"/>
    <w:rsid w:val="001631E9"/>
    <w:rsid w:val="001634A0"/>
    <w:rsid w:val="00163511"/>
    <w:rsid w:val="00163C36"/>
    <w:rsid w:val="00163E2C"/>
    <w:rsid w:val="00164264"/>
    <w:rsid w:val="0016429B"/>
    <w:rsid w:val="001642AA"/>
    <w:rsid w:val="00164339"/>
    <w:rsid w:val="0016474D"/>
    <w:rsid w:val="001651D3"/>
    <w:rsid w:val="001653AA"/>
    <w:rsid w:val="00165488"/>
    <w:rsid w:val="001655B9"/>
    <w:rsid w:val="00165AA9"/>
    <w:rsid w:val="00165AB5"/>
    <w:rsid w:val="00165FC3"/>
    <w:rsid w:val="0016617C"/>
    <w:rsid w:val="001665F6"/>
    <w:rsid w:val="00166951"/>
    <w:rsid w:val="00166E17"/>
    <w:rsid w:val="00167371"/>
    <w:rsid w:val="001679CC"/>
    <w:rsid w:val="00167F8C"/>
    <w:rsid w:val="001703BA"/>
    <w:rsid w:val="00170945"/>
    <w:rsid w:val="00170EF3"/>
    <w:rsid w:val="001710CB"/>
    <w:rsid w:val="0017117E"/>
    <w:rsid w:val="0017143B"/>
    <w:rsid w:val="00171EAC"/>
    <w:rsid w:val="001720C1"/>
    <w:rsid w:val="00172260"/>
    <w:rsid w:val="00172372"/>
    <w:rsid w:val="00172420"/>
    <w:rsid w:val="0017249B"/>
    <w:rsid w:val="001724E6"/>
    <w:rsid w:val="00172622"/>
    <w:rsid w:val="00172C82"/>
    <w:rsid w:val="00172CB1"/>
    <w:rsid w:val="00172D74"/>
    <w:rsid w:val="001730CC"/>
    <w:rsid w:val="0017318C"/>
    <w:rsid w:val="001732AD"/>
    <w:rsid w:val="0017353A"/>
    <w:rsid w:val="00173ABE"/>
    <w:rsid w:val="00173B2C"/>
    <w:rsid w:val="00173D9F"/>
    <w:rsid w:val="001748E7"/>
    <w:rsid w:val="001750D1"/>
    <w:rsid w:val="001755EA"/>
    <w:rsid w:val="001757A5"/>
    <w:rsid w:val="00175A81"/>
    <w:rsid w:val="00175C41"/>
    <w:rsid w:val="00176C27"/>
    <w:rsid w:val="00176CE3"/>
    <w:rsid w:val="00176EBD"/>
    <w:rsid w:val="00177944"/>
    <w:rsid w:val="00177A37"/>
    <w:rsid w:val="00177AD1"/>
    <w:rsid w:val="001807CE"/>
    <w:rsid w:val="00180885"/>
    <w:rsid w:val="001809D5"/>
    <w:rsid w:val="00180B38"/>
    <w:rsid w:val="00180FE4"/>
    <w:rsid w:val="001811C7"/>
    <w:rsid w:val="00181C92"/>
    <w:rsid w:val="00181D6F"/>
    <w:rsid w:val="0018330D"/>
    <w:rsid w:val="00183420"/>
    <w:rsid w:val="001834CF"/>
    <w:rsid w:val="00183533"/>
    <w:rsid w:val="0018394F"/>
    <w:rsid w:val="00183B70"/>
    <w:rsid w:val="0018402B"/>
    <w:rsid w:val="001845FD"/>
    <w:rsid w:val="00184813"/>
    <w:rsid w:val="00184DDF"/>
    <w:rsid w:val="0018525F"/>
    <w:rsid w:val="00185506"/>
    <w:rsid w:val="0018589D"/>
    <w:rsid w:val="001859E8"/>
    <w:rsid w:val="00185B7F"/>
    <w:rsid w:val="00185C65"/>
    <w:rsid w:val="00185DF3"/>
    <w:rsid w:val="001860A5"/>
    <w:rsid w:val="0018647F"/>
    <w:rsid w:val="00186602"/>
    <w:rsid w:val="00186847"/>
    <w:rsid w:val="00186FF6"/>
    <w:rsid w:val="0018707F"/>
    <w:rsid w:val="0018709F"/>
    <w:rsid w:val="0018727F"/>
    <w:rsid w:val="001872B1"/>
    <w:rsid w:val="00187306"/>
    <w:rsid w:val="001876D6"/>
    <w:rsid w:val="0018795C"/>
    <w:rsid w:val="0019043F"/>
    <w:rsid w:val="00190500"/>
    <w:rsid w:val="001907DA"/>
    <w:rsid w:val="00190A52"/>
    <w:rsid w:val="00190A56"/>
    <w:rsid w:val="00190B93"/>
    <w:rsid w:val="00191817"/>
    <w:rsid w:val="00191D90"/>
    <w:rsid w:val="00191E58"/>
    <w:rsid w:val="00191EB3"/>
    <w:rsid w:val="0019213D"/>
    <w:rsid w:val="00192398"/>
    <w:rsid w:val="00192453"/>
    <w:rsid w:val="00192551"/>
    <w:rsid w:val="00192786"/>
    <w:rsid w:val="00192819"/>
    <w:rsid w:val="00192D76"/>
    <w:rsid w:val="00192E70"/>
    <w:rsid w:val="001932BC"/>
    <w:rsid w:val="00193422"/>
    <w:rsid w:val="00193426"/>
    <w:rsid w:val="0019344B"/>
    <w:rsid w:val="001935C4"/>
    <w:rsid w:val="001938F1"/>
    <w:rsid w:val="00193E92"/>
    <w:rsid w:val="00194170"/>
    <w:rsid w:val="0019439C"/>
    <w:rsid w:val="001949BD"/>
    <w:rsid w:val="00194C6E"/>
    <w:rsid w:val="00194EEF"/>
    <w:rsid w:val="001952D1"/>
    <w:rsid w:val="0019559F"/>
    <w:rsid w:val="00195915"/>
    <w:rsid w:val="00195DD0"/>
    <w:rsid w:val="00195E2C"/>
    <w:rsid w:val="00196169"/>
    <w:rsid w:val="0019617B"/>
    <w:rsid w:val="00196364"/>
    <w:rsid w:val="0019639C"/>
    <w:rsid w:val="001963FE"/>
    <w:rsid w:val="00196441"/>
    <w:rsid w:val="00196CF7"/>
    <w:rsid w:val="00197669"/>
    <w:rsid w:val="00197C87"/>
    <w:rsid w:val="001A0104"/>
    <w:rsid w:val="001A05AA"/>
    <w:rsid w:val="001A0715"/>
    <w:rsid w:val="001A0735"/>
    <w:rsid w:val="001A0ABA"/>
    <w:rsid w:val="001A19F9"/>
    <w:rsid w:val="001A2238"/>
    <w:rsid w:val="001A254E"/>
    <w:rsid w:val="001A268D"/>
    <w:rsid w:val="001A2A59"/>
    <w:rsid w:val="001A2B61"/>
    <w:rsid w:val="001A2E76"/>
    <w:rsid w:val="001A2E98"/>
    <w:rsid w:val="001A338A"/>
    <w:rsid w:val="001A33D5"/>
    <w:rsid w:val="001A3507"/>
    <w:rsid w:val="001A3B81"/>
    <w:rsid w:val="001A3C17"/>
    <w:rsid w:val="001A46D9"/>
    <w:rsid w:val="001A4907"/>
    <w:rsid w:val="001A4EAD"/>
    <w:rsid w:val="001A50C3"/>
    <w:rsid w:val="001A5432"/>
    <w:rsid w:val="001A5A18"/>
    <w:rsid w:val="001A5A7F"/>
    <w:rsid w:val="001A5AD7"/>
    <w:rsid w:val="001A5B5C"/>
    <w:rsid w:val="001A5CF3"/>
    <w:rsid w:val="001A5E1C"/>
    <w:rsid w:val="001A5F34"/>
    <w:rsid w:val="001A65F7"/>
    <w:rsid w:val="001A687E"/>
    <w:rsid w:val="001A720E"/>
    <w:rsid w:val="001A76A2"/>
    <w:rsid w:val="001A7EB6"/>
    <w:rsid w:val="001A7F27"/>
    <w:rsid w:val="001B012D"/>
    <w:rsid w:val="001B0179"/>
    <w:rsid w:val="001B0A11"/>
    <w:rsid w:val="001B0B03"/>
    <w:rsid w:val="001B0B50"/>
    <w:rsid w:val="001B0D00"/>
    <w:rsid w:val="001B12A1"/>
    <w:rsid w:val="001B12AE"/>
    <w:rsid w:val="001B160E"/>
    <w:rsid w:val="001B195E"/>
    <w:rsid w:val="001B2605"/>
    <w:rsid w:val="001B27DF"/>
    <w:rsid w:val="001B2A99"/>
    <w:rsid w:val="001B2CF3"/>
    <w:rsid w:val="001B2D57"/>
    <w:rsid w:val="001B2F29"/>
    <w:rsid w:val="001B2F59"/>
    <w:rsid w:val="001B30CB"/>
    <w:rsid w:val="001B31F5"/>
    <w:rsid w:val="001B374F"/>
    <w:rsid w:val="001B46FB"/>
    <w:rsid w:val="001B515E"/>
    <w:rsid w:val="001B5199"/>
    <w:rsid w:val="001B5281"/>
    <w:rsid w:val="001B5582"/>
    <w:rsid w:val="001B55C9"/>
    <w:rsid w:val="001B56BE"/>
    <w:rsid w:val="001B5BE2"/>
    <w:rsid w:val="001B5C0A"/>
    <w:rsid w:val="001B5DF1"/>
    <w:rsid w:val="001B5E30"/>
    <w:rsid w:val="001B5E54"/>
    <w:rsid w:val="001B61F6"/>
    <w:rsid w:val="001B6338"/>
    <w:rsid w:val="001B63B9"/>
    <w:rsid w:val="001B64B5"/>
    <w:rsid w:val="001B66B9"/>
    <w:rsid w:val="001B6790"/>
    <w:rsid w:val="001B6D70"/>
    <w:rsid w:val="001B6DF6"/>
    <w:rsid w:val="001B70C7"/>
    <w:rsid w:val="001B750B"/>
    <w:rsid w:val="001B75D9"/>
    <w:rsid w:val="001B7BDA"/>
    <w:rsid w:val="001B7DE2"/>
    <w:rsid w:val="001C03FA"/>
    <w:rsid w:val="001C0686"/>
    <w:rsid w:val="001C0D05"/>
    <w:rsid w:val="001C0DAE"/>
    <w:rsid w:val="001C0FEA"/>
    <w:rsid w:val="001C1687"/>
    <w:rsid w:val="001C1823"/>
    <w:rsid w:val="001C199C"/>
    <w:rsid w:val="001C1CE4"/>
    <w:rsid w:val="001C2338"/>
    <w:rsid w:val="001C27A3"/>
    <w:rsid w:val="001C2AB4"/>
    <w:rsid w:val="001C3F16"/>
    <w:rsid w:val="001C4075"/>
    <w:rsid w:val="001C45FF"/>
    <w:rsid w:val="001C4625"/>
    <w:rsid w:val="001C475D"/>
    <w:rsid w:val="001C485E"/>
    <w:rsid w:val="001C4B16"/>
    <w:rsid w:val="001C4EC0"/>
    <w:rsid w:val="001C525C"/>
    <w:rsid w:val="001C5444"/>
    <w:rsid w:val="001C5526"/>
    <w:rsid w:val="001C59BD"/>
    <w:rsid w:val="001C5B03"/>
    <w:rsid w:val="001C6013"/>
    <w:rsid w:val="001C627A"/>
    <w:rsid w:val="001C6388"/>
    <w:rsid w:val="001C7055"/>
    <w:rsid w:val="001C7063"/>
    <w:rsid w:val="001C718A"/>
    <w:rsid w:val="001C78F2"/>
    <w:rsid w:val="001C7B77"/>
    <w:rsid w:val="001C7F84"/>
    <w:rsid w:val="001D03C2"/>
    <w:rsid w:val="001D03C7"/>
    <w:rsid w:val="001D065D"/>
    <w:rsid w:val="001D0921"/>
    <w:rsid w:val="001D0B64"/>
    <w:rsid w:val="001D0E0F"/>
    <w:rsid w:val="001D124F"/>
    <w:rsid w:val="001D13DA"/>
    <w:rsid w:val="001D1414"/>
    <w:rsid w:val="001D158F"/>
    <w:rsid w:val="001D16EE"/>
    <w:rsid w:val="001D16F1"/>
    <w:rsid w:val="001D1A03"/>
    <w:rsid w:val="001D1AFF"/>
    <w:rsid w:val="001D1BCB"/>
    <w:rsid w:val="001D1BE1"/>
    <w:rsid w:val="001D2061"/>
    <w:rsid w:val="001D28F3"/>
    <w:rsid w:val="001D2BFE"/>
    <w:rsid w:val="001D2CE5"/>
    <w:rsid w:val="001D2F23"/>
    <w:rsid w:val="001D2F3E"/>
    <w:rsid w:val="001D31FA"/>
    <w:rsid w:val="001D35AB"/>
    <w:rsid w:val="001D3F80"/>
    <w:rsid w:val="001D407D"/>
    <w:rsid w:val="001D4296"/>
    <w:rsid w:val="001D4620"/>
    <w:rsid w:val="001D4A2C"/>
    <w:rsid w:val="001D4A35"/>
    <w:rsid w:val="001D4BF3"/>
    <w:rsid w:val="001D4D25"/>
    <w:rsid w:val="001D5458"/>
    <w:rsid w:val="001D59B5"/>
    <w:rsid w:val="001D5C6C"/>
    <w:rsid w:val="001D5F06"/>
    <w:rsid w:val="001D5FF5"/>
    <w:rsid w:val="001D710C"/>
    <w:rsid w:val="001D711B"/>
    <w:rsid w:val="001D7127"/>
    <w:rsid w:val="001D7544"/>
    <w:rsid w:val="001D7892"/>
    <w:rsid w:val="001D7A99"/>
    <w:rsid w:val="001D7E29"/>
    <w:rsid w:val="001E003F"/>
    <w:rsid w:val="001E0D08"/>
    <w:rsid w:val="001E0E7F"/>
    <w:rsid w:val="001E0F55"/>
    <w:rsid w:val="001E1589"/>
    <w:rsid w:val="001E17FA"/>
    <w:rsid w:val="001E1925"/>
    <w:rsid w:val="001E239B"/>
    <w:rsid w:val="001E2658"/>
    <w:rsid w:val="001E26D6"/>
    <w:rsid w:val="001E2977"/>
    <w:rsid w:val="001E2BAD"/>
    <w:rsid w:val="001E2EB1"/>
    <w:rsid w:val="001E2F68"/>
    <w:rsid w:val="001E30DD"/>
    <w:rsid w:val="001E3163"/>
    <w:rsid w:val="001E329C"/>
    <w:rsid w:val="001E382C"/>
    <w:rsid w:val="001E3D27"/>
    <w:rsid w:val="001E3D76"/>
    <w:rsid w:val="001E3DBB"/>
    <w:rsid w:val="001E3EDC"/>
    <w:rsid w:val="001E418D"/>
    <w:rsid w:val="001E4A7F"/>
    <w:rsid w:val="001E538B"/>
    <w:rsid w:val="001E55C3"/>
    <w:rsid w:val="001E5750"/>
    <w:rsid w:val="001E62F2"/>
    <w:rsid w:val="001E6573"/>
    <w:rsid w:val="001E6585"/>
    <w:rsid w:val="001E6B9A"/>
    <w:rsid w:val="001E6C93"/>
    <w:rsid w:val="001E72E9"/>
    <w:rsid w:val="001E7678"/>
    <w:rsid w:val="001E7873"/>
    <w:rsid w:val="001E7B52"/>
    <w:rsid w:val="001E7E74"/>
    <w:rsid w:val="001E7FCC"/>
    <w:rsid w:val="001F025B"/>
    <w:rsid w:val="001F0AE3"/>
    <w:rsid w:val="001F0CC6"/>
    <w:rsid w:val="001F0D3E"/>
    <w:rsid w:val="001F20C2"/>
    <w:rsid w:val="001F28C6"/>
    <w:rsid w:val="001F294D"/>
    <w:rsid w:val="001F30AB"/>
    <w:rsid w:val="001F3245"/>
    <w:rsid w:val="001F341E"/>
    <w:rsid w:val="001F3D79"/>
    <w:rsid w:val="001F42AE"/>
    <w:rsid w:val="001F42B3"/>
    <w:rsid w:val="001F4348"/>
    <w:rsid w:val="001F4694"/>
    <w:rsid w:val="001F486D"/>
    <w:rsid w:val="001F49E2"/>
    <w:rsid w:val="001F4D3F"/>
    <w:rsid w:val="001F4E89"/>
    <w:rsid w:val="001F5070"/>
    <w:rsid w:val="001F5180"/>
    <w:rsid w:val="001F5193"/>
    <w:rsid w:val="001F553E"/>
    <w:rsid w:val="001F5A58"/>
    <w:rsid w:val="001F5C39"/>
    <w:rsid w:val="001F61C5"/>
    <w:rsid w:val="001F6463"/>
    <w:rsid w:val="001F6558"/>
    <w:rsid w:val="001F661B"/>
    <w:rsid w:val="001F67CA"/>
    <w:rsid w:val="001F6981"/>
    <w:rsid w:val="001F6DC1"/>
    <w:rsid w:val="001F7371"/>
    <w:rsid w:val="001F7578"/>
    <w:rsid w:val="001F762A"/>
    <w:rsid w:val="001F7CCE"/>
    <w:rsid w:val="002001C9"/>
    <w:rsid w:val="002002BF"/>
    <w:rsid w:val="00200688"/>
    <w:rsid w:val="002008D7"/>
    <w:rsid w:val="00200B0A"/>
    <w:rsid w:val="00200B0D"/>
    <w:rsid w:val="00200C9D"/>
    <w:rsid w:val="00201358"/>
    <w:rsid w:val="0020169A"/>
    <w:rsid w:val="00201A5F"/>
    <w:rsid w:val="00201EBE"/>
    <w:rsid w:val="00201ECE"/>
    <w:rsid w:val="00202B30"/>
    <w:rsid w:val="00202C19"/>
    <w:rsid w:val="0020319D"/>
    <w:rsid w:val="00203212"/>
    <w:rsid w:val="00203398"/>
    <w:rsid w:val="0020347E"/>
    <w:rsid w:val="00203A1F"/>
    <w:rsid w:val="00203A48"/>
    <w:rsid w:val="00203EBB"/>
    <w:rsid w:val="00203F8A"/>
    <w:rsid w:val="002042E9"/>
    <w:rsid w:val="0020439A"/>
    <w:rsid w:val="0020492D"/>
    <w:rsid w:val="00204994"/>
    <w:rsid w:val="00204D6F"/>
    <w:rsid w:val="00204E9A"/>
    <w:rsid w:val="00205003"/>
    <w:rsid w:val="00205874"/>
    <w:rsid w:val="00205B58"/>
    <w:rsid w:val="00205EB1"/>
    <w:rsid w:val="00205F75"/>
    <w:rsid w:val="00205FE6"/>
    <w:rsid w:val="00206501"/>
    <w:rsid w:val="00206642"/>
    <w:rsid w:val="00206741"/>
    <w:rsid w:val="002067A8"/>
    <w:rsid w:val="0020699B"/>
    <w:rsid w:val="00206DB8"/>
    <w:rsid w:val="00206DBA"/>
    <w:rsid w:val="00207159"/>
    <w:rsid w:val="002071A3"/>
    <w:rsid w:val="00207248"/>
    <w:rsid w:val="00207496"/>
    <w:rsid w:val="00210C89"/>
    <w:rsid w:val="00210E83"/>
    <w:rsid w:val="00210F26"/>
    <w:rsid w:val="00211125"/>
    <w:rsid w:val="00211287"/>
    <w:rsid w:val="00212627"/>
    <w:rsid w:val="00212930"/>
    <w:rsid w:val="00212C07"/>
    <w:rsid w:val="002132E3"/>
    <w:rsid w:val="0021388D"/>
    <w:rsid w:val="00213928"/>
    <w:rsid w:val="00213E04"/>
    <w:rsid w:val="00213EF9"/>
    <w:rsid w:val="00214026"/>
    <w:rsid w:val="00214268"/>
    <w:rsid w:val="00214641"/>
    <w:rsid w:val="00214714"/>
    <w:rsid w:val="00214867"/>
    <w:rsid w:val="002149D6"/>
    <w:rsid w:val="00214AAD"/>
    <w:rsid w:val="00214C47"/>
    <w:rsid w:val="002152DB"/>
    <w:rsid w:val="0021578E"/>
    <w:rsid w:val="0021592C"/>
    <w:rsid w:val="002159FB"/>
    <w:rsid w:val="00216645"/>
    <w:rsid w:val="00216870"/>
    <w:rsid w:val="002169B9"/>
    <w:rsid w:val="00216D1B"/>
    <w:rsid w:val="00216F4D"/>
    <w:rsid w:val="00217733"/>
    <w:rsid w:val="0021792D"/>
    <w:rsid w:val="00217E2C"/>
    <w:rsid w:val="00217E6A"/>
    <w:rsid w:val="00220463"/>
    <w:rsid w:val="00220A01"/>
    <w:rsid w:val="00220B2E"/>
    <w:rsid w:val="00220BA7"/>
    <w:rsid w:val="00220C06"/>
    <w:rsid w:val="00220F69"/>
    <w:rsid w:val="00221040"/>
    <w:rsid w:val="002213BE"/>
    <w:rsid w:val="0022158B"/>
    <w:rsid w:val="002218A9"/>
    <w:rsid w:val="00221914"/>
    <w:rsid w:val="00221B58"/>
    <w:rsid w:val="00221E07"/>
    <w:rsid w:val="00221E0E"/>
    <w:rsid w:val="00221F43"/>
    <w:rsid w:val="00221F51"/>
    <w:rsid w:val="002220B2"/>
    <w:rsid w:val="002221FC"/>
    <w:rsid w:val="00222561"/>
    <w:rsid w:val="002225B1"/>
    <w:rsid w:val="002228A4"/>
    <w:rsid w:val="00222966"/>
    <w:rsid w:val="00222E10"/>
    <w:rsid w:val="002237F7"/>
    <w:rsid w:val="00223AF8"/>
    <w:rsid w:val="00223E48"/>
    <w:rsid w:val="00223FA1"/>
    <w:rsid w:val="00224260"/>
    <w:rsid w:val="0022484C"/>
    <w:rsid w:val="00224B35"/>
    <w:rsid w:val="00224C44"/>
    <w:rsid w:val="00225154"/>
    <w:rsid w:val="00225669"/>
    <w:rsid w:val="0022588B"/>
    <w:rsid w:val="00225B21"/>
    <w:rsid w:val="00225CE5"/>
    <w:rsid w:val="002263C5"/>
    <w:rsid w:val="00226A16"/>
    <w:rsid w:val="00226C6B"/>
    <w:rsid w:val="00226DED"/>
    <w:rsid w:val="0022749F"/>
    <w:rsid w:val="0022751D"/>
    <w:rsid w:val="00227731"/>
    <w:rsid w:val="00227E43"/>
    <w:rsid w:val="00230464"/>
    <w:rsid w:val="002306C6"/>
    <w:rsid w:val="00230825"/>
    <w:rsid w:val="00230CF7"/>
    <w:rsid w:val="00231153"/>
    <w:rsid w:val="0023173B"/>
    <w:rsid w:val="00231B50"/>
    <w:rsid w:val="00231D3E"/>
    <w:rsid w:val="002327BD"/>
    <w:rsid w:val="0023284D"/>
    <w:rsid w:val="00232919"/>
    <w:rsid w:val="00232982"/>
    <w:rsid w:val="002336D0"/>
    <w:rsid w:val="00233759"/>
    <w:rsid w:val="00233766"/>
    <w:rsid w:val="00233CE0"/>
    <w:rsid w:val="00233EFB"/>
    <w:rsid w:val="0023414C"/>
    <w:rsid w:val="0023457A"/>
    <w:rsid w:val="002345D3"/>
    <w:rsid w:val="0023498F"/>
    <w:rsid w:val="00234F03"/>
    <w:rsid w:val="0023506B"/>
    <w:rsid w:val="002352D1"/>
    <w:rsid w:val="00235365"/>
    <w:rsid w:val="00235A5F"/>
    <w:rsid w:val="00235CB1"/>
    <w:rsid w:val="00235DCA"/>
    <w:rsid w:val="00236A09"/>
    <w:rsid w:val="00236B3B"/>
    <w:rsid w:val="0023781F"/>
    <w:rsid w:val="00237896"/>
    <w:rsid w:val="00237FA1"/>
    <w:rsid w:val="002401F2"/>
    <w:rsid w:val="00240587"/>
    <w:rsid w:val="002406C9"/>
    <w:rsid w:val="002407EA"/>
    <w:rsid w:val="00240F1D"/>
    <w:rsid w:val="00241137"/>
    <w:rsid w:val="002412CC"/>
    <w:rsid w:val="00241CC3"/>
    <w:rsid w:val="002422C6"/>
    <w:rsid w:val="00242834"/>
    <w:rsid w:val="00242873"/>
    <w:rsid w:val="00242AD8"/>
    <w:rsid w:val="0024343D"/>
    <w:rsid w:val="00243573"/>
    <w:rsid w:val="0024368E"/>
    <w:rsid w:val="002438E9"/>
    <w:rsid w:val="00243BE2"/>
    <w:rsid w:val="00243E44"/>
    <w:rsid w:val="00243FC9"/>
    <w:rsid w:val="002445C9"/>
    <w:rsid w:val="00244C13"/>
    <w:rsid w:val="00244ECD"/>
    <w:rsid w:val="00245099"/>
    <w:rsid w:val="002453E7"/>
    <w:rsid w:val="00245638"/>
    <w:rsid w:val="00245703"/>
    <w:rsid w:val="0024593D"/>
    <w:rsid w:val="00245B1D"/>
    <w:rsid w:val="0024638E"/>
    <w:rsid w:val="002463E3"/>
    <w:rsid w:val="00246755"/>
    <w:rsid w:val="002468CD"/>
    <w:rsid w:val="002470F7"/>
    <w:rsid w:val="002473CC"/>
    <w:rsid w:val="00247546"/>
    <w:rsid w:val="002478F1"/>
    <w:rsid w:val="00247C92"/>
    <w:rsid w:val="00247CD5"/>
    <w:rsid w:val="00247EF9"/>
    <w:rsid w:val="00247F0E"/>
    <w:rsid w:val="00250500"/>
    <w:rsid w:val="002506F9"/>
    <w:rsid w:val="00250AF5"/>
    <w:rsid w:val="00250D74"/>
    <w:rsid w:val="00250FA9"/>
    <w:rsid w:val="002519C2"/>
    <w:rsid w:val="00251AC1"/>
    <w:rsid w:val="00251D18"/>
    <w:rsid w:val="00251DE9"/>
    <w:rsid w:val="00252457"/>
    <w:rsid w:val="00252670"/>
    <w:rsid w:val="00252A72"/>
    <w:rsid w:val="00252D9A"/>
    <w:rsid w:val="00252F54"/>
    <w:rsid w:val="00253261"/>
    <w:rsid w:val="002532DF"/>
    <w:rsid w:val="00253301"/>
    <w:rsid w:val="00253D21"/>
    <w:rsid w:val="00254AFE"/>
    <w:rsid w:val="00254FA2"/>
    <w:rsid w:val="0025512A"/>
    <w:rsid w:val="00255262"/>
    <w:rsid w:val="0025548B"/>
    <w:rsid w:val="002557ED"/>
    <w:rsid w:val="0025586D"/>
    <w:rsid w:val="00255DE9"/>
    <w:rsid w:val="002560EE"/>
    <w:rsid w:val="00256167"/>
    <w:rsid w:val="002561C7"/>
    <w:rsid w:val="0025646F"/>
    <w:rsid w:val="002568D1"/>
    <w:rsid w:val="00256E24"/>
    <w:rsid w:val="00256E39"/>
    <w:rsid w:val="00256EAB"/>
    <w:rsid w:val="00257177"/>
    <w:rsid w:val="002574FD"/>
    <w:rsid w:val="00257DC5"/>
    <w:rsid w:val="0026027A"/>
    <w:rsid w:val="0026063C"/>
    <w:rsid w:val="00260E2E"/>
    <w:rsid w:val="00260F26"/>
    <w:rsid w:val="002611AD"/>
    <w:rsid w:val="00261594"/>
    <w:rsid w:val="0026169C"/>
    <w:rsid w:val="00261893"/>
    <w:rsid w:val="00261BFB"/>
    <w:rsid w:val="002620E2"/>
    <w:rsid w:val="002627BD"/>
    <w:rsid w:val="00262A42"/>
    <w:rsid w:val="00262BB4"/>
    <w:rsid w:val="00262DCF"/>
    <w:rsid w:val="00262E53"/>
    <w:rsid w:val="00263138"/>
    <w:rsid w:val="002631E8"/>
    <w:rsid w:val="002634E3"/>
    <w:rsid w:val="0026369E"/>
    <w:rsid w:val="002637CE"/>
    <w:rsid w:val="00263822"/>
    <w:rsid w:val="0026394C"/>
    <w:rsid w:val="00263A5F"/>
    <w:rsid w:val="002641E6"/>
    <w:rsid w:val="00264C95"/>
    <w:rsid w:val="00265084"/>
    <w:rsid w:val="00265779"/>
    <w:rsid w:val="002659D6"/>
    <w:rsid w:val="00265AE0"/>
    <w:rsid w:val="00266094"/>
    <w:rsid w:val="00266403"/>
    <w:rsid w:val="002664F0"/>
    <w:rsid w:val="002666A9"/>
    <w:rsid w:val="00266A61"/>
    <w:rsid w:val="00267143"/>
    <w:rsid w:val="002671BE"/>
    <w:rsid w:val="002673F1"/>
    <w:rsid w:val="002676BD"/>
    <w:rsid w:val="002677CA"/>
    <w:rsid w:val="0026797B"/>
    <w:rsid w:val="00267D49"/>
    <w:rsid w:val="00270052"/>
    <w:rsid w:val="00270781"/>
    <w:rsid w:val="0027079B"/>
    <w:rsid w:val="0027081C"/>
    <w:rsid w:val="00270829"/>
    <w:rsid w:val="00270FF7"/>
    <w:rsid w:val="00271345"/>
    <w:rsid w:val="0027144D"/>
    <w:rsid w:val="00271D49"/>
    <w:rsid w:val="00271DB1"/>
    <w:rsid w:val="00271EAD"/>
    <w:rsid w:val="00271F76"/>
    <w:rsid w:val="002721C0"/>
    <w:rsid w:val="00272226"/>
    <w:rsid w:val="00272344"/>
    <w:rsid w:val="0027273D"/>
    <w:rsid w:val="002728A1"/>
    <w:rsid w:val="00272B49"/>
    <w:rsid w:val="0027322B"/>
    <w:rsid w:val="00273783"/>
    <w:rsid w:val="00273B7D"/>
    <w:rsid w:val="00274477"/>
    <w:rsid w:val="002745CE"/>
    <w:rsid w:val="00274944"/>
    <w:rsid w:val="00274984"/>
    <w:rsid w:val="00274A8B"/>
    <w:rsid w:val="00274F5B"/>
    <w:rsid w:val="00274FE7"/>
    <w:rsid w:val="0027507D"/>
    <w:rsid w:val="0027528B"/>
    <w:rsid w:val="002754D6"/>
    <w:rsid w:val="00276203"/>
    <w:rsid w:val="00276504"/>
    <w:rsid w:val="00276661"/>
    <w:rsid w:val="00276772"/>
    <w:rsid w:val="002772BD"/>
    <w:rsid w:val="002772F7"/>
    <w:rsid w:val="00277504"/>
    <w:rsid w:val="00277639"/>
    <w:rsid w:val="002778BE"/>
    <w:rsid w:val="002779A0"/>
    <w:rsid w:val="00277B38"/>
    <w:rsid w:val="00277C8B"/>
    <w:rsid w:val="002800B9"/>
    <w:rsid w:val="002800EE"/>
    <w:rsid w:val="00280207"/>
    <w:rsid w:val="00280298"/>
    <w:rsid w:val="00280322"/>
    <w:rsid w:val="00280390"/>
    <w:rsid w:val="002803F0"/>
    <w:rsid w:val="00280608"/>
    <w:rsid w:val="00280904"/>
    <w:rsid w:val="002809E5"/>
    <w:rsid w:val="002809E7"/>
    <w:rsid w:val="00280D9A"/>
    <w:rsid w:val="0028103B"/>
    <w:rsid w:val="002810C5"/>
    <w:rsid w:val="0028248F"/>
    <w:rsid w:val="0028281C"/>
    <w:rsid w:val="00282A44"/>
    <w:rsid w:val="00282B06"/>
    <w:rsid w:val="00282B7E"/>
    <w:rsid w:val="00283117"/>
    <w:rsid w:val="002833FD"/>
    <w:rsid w:val="00283614"/>
    <w:rsid w:val="00283BE7"/>
    <w:rsid w:val="00283C46"/>
    <w:rsid w:val="00283C5A"/>
    <w:rsid w:val="00283E46"/>
    <w:rsid w:val="00283EBC"/>
    <w:rsid w:val="00283F89"/>
    <w:rsid w:val="002840A0"/>
    <w:rsid w:val="0028474D"/>
    <w:rsid w:val="0028499C"/>
    <w:rsid w:val="00284A3C"/>
    <w:rsid w:val="00284B9C"/>
    <w:rsid w:val="00284CCD"/>
    <w:rsid w:val="00284D9E"/>
    <w:rsid w:val="00284EAB"/>
    <w:rsid w:val="002851E2"/>
    <w:rsid w:val="002853AE"/>
    <w:rsid w:val="00285643"/>
    <w:rsid w:val="0028619B"/>
    <w:rsid w:val="00286700"/>
    <w:rsid w:val="002867AF"/>
    <w:rsid w:val="00286AD1"/>
    <w:rsid w:val="00286E92"/>
    <w:rsid w:val="002876B6"/>
    <w:rsid w:val="0028780C"/>
    <w:rsid w:val="0028794F"/>
    <w:rsid w:val="002879E8"/>
    <w:rsid w:val="00287A43"/>
    <w:rsid w:val="00287ABB"/>
    <w:rsid w:val="00287B03"/>
    <w:rsid w:val="00287BFB"/>
    <w:rsid w:val="00290283"/>
    <w:rsid w:val="002905DC"/>
    <w:rsid w:val="00290952"/>
    <w:rsid w:val="00290A10"/>
    <w:rsid w:val="002910BD"/>
    <w:rsid w:val="00291313"/>
    <w:rsid w:val="00291B4C"/>
    <w:rsid w:val="002920E9"/>
    <w:rsid w:val="0029211F"/>
    <w:rsid w:val="0029245C"/>
    <w:rsid w:val="002929AF"/>
    <w:rsid w:val="00292A4F"/>
    <w:rsid w:val="00292BE3"/>
    <w:rsid w:val="00292D5B"/>
    <w:rsid w:val="002934CD"/>
    <w:rsid w:val="002935FD"/>
    <w:rsid w:val="002936C0"/>
    <w:rsid w:val="002937B4"/>
    <w:rsid w:val="0029382F"/>
    <w:rsid w:val="00293F2C"/>
    <w:rsid w:val="0029408A"/>
    <w:rsid w:val="002943F3"/>
    <w:rsid w:val="0029482E"/>
    <w:rsid w:val="00294957"/>
    <w:rsid w:val="00294983"/>
    <w:rsid w:val="002949B9"/>
    <w:rsid w:val="00294A41"/>
    <w:rsid w:val="00294C01"/>
    <w:rsid w:val="0029548A"/>
    <w:rsid w:val="002957A7"/>
    <w:rsid w:val="0029582A"/>
    <w:rsid w:val="00295A63"/>
    <w:rsid w:val="00295C1B"/>
    <w:rsid w:val="00296207"/>
    <w:rsid w:val="002963A0"/>
    <w:rsid w:val="0029644B"/>
    <w:rsid w:val="00296A83"/>
    <w:rsid w:val="00296B0C"/>
    <w:rsid w:val="00296B15"/>
    <w:rsid w:val="002970DA"/>
    <w:rsid w:val="002976F1"/>
    <w:rsid w:val="00297773"/>
    <w:rsid w:val="002979FF"/>
    <w:rsid w:val="00297D09"/>
    <w:rsid w:val="002A07EB"/>
    <w:rsid w:val="002A090F"/>
    <w:rsid w:val="002A1900"/>
    <w:rsid w:val="002A1A02"/>
    <w:rsid w:val="002A1C6E"/>
    <w:rsid w:val="002A1EEF"/>
    <w:rsid w:val="002A279C"/>
    <w:rsid w:val="002A2CED"/>
    <w:rsid w:val="002A2CFD"/>
    <w:rsid w:val="002A2F3F"/>
    <w:rsid w:val="002A2FFE"/>
    <w:rsid w:val="002A3A4B"/>
    <w:rsid w:val="002A3C80"/>
    <w:rsid w:val="002A3CA3"/>
    <w:rsid w:val="002A3FDC"/>
    <w:rsid w:val="002A40EA"/>
    <w:rsid w:val="002A433F"/>
    <w:rsid w:val="002A5A80"/>
    <w:rsid w:val="002A5EF6"/>
    <w:rsid w:val="002A61B0"/>
    <w:rsid w:val="002A639F"/>
    <w:rsid w:val="002A647A"/>
    <w:rsid w:val="002A6B85"/>
    <w:rsid w:val="002A6BC2"/>
    <w:rsid w:val="002A6BFC"/>
    <w:rsid w:val="002A6F50"/>
    <w:rsid w:val="002A707A"/>
    <w:rsid w:val="002A70A3"/>
    <w:rsid w:val="002A7168"/>
    <w:rsid w:val="002A73D9"/>
    <w:rsid w:val="002A76D3"/>
    <w:rsid w:val="002A78E7"/>
    <w:rsid w:val="002A7CDF"/>
    <w:rsid w:val="002A7CEE"/>
    <w:rsid w:val="002A7E31"/>
    <w:rsid w:val="002B013E"/>
    <w:rsid w:val="002B0613"/>
    <w:rsid w:val="002B0660"/>
    <w:rsid w:val="002B08F3"/>
    <w:rsid w:val="002B0F79"/>
    <w:rsid w:val="002B1088"/>
    <w:rsid w:val="002B1455"/>
    <w:rsid w:val="002B145B"/>
    <w:rsid w:val="002B184F"/>
    <w:rsid w:val="002B1889"/>
    <w:rsid w:val="002B18F9"/>
    <w:rsid w:val="002B1925"/>
    <w:rsid w:val="002B1CE8"/>
    <w:rsid w:val="002B1D62"/>
    <w:rsid w:val="002B1E63"/>
    <w:rsid w:val="002B202B"/>
    <w:rsid w:val="002B2557"/>
    <w:rsid w:val="002B2C8F"/>
    <w:rsid w:val="002B2D9E"/>
    <w:rsid w:val="002B2E3A"/>
    <w:rsid w:val="002B314B"/>
    <w:rsid w:val="002B31B1"/>
    <w:rsid w:val="002B32D9"/>
    <w:rsid w:val="002B3A87"/>
    <w:rsid w:val="002B427F"/>
    <w:rsid w:val="002B5208"/>
    <w:rsid w:val="002B550F"/>
    <w:rsid w:val="002B5B91"/>
    <w:rsid w:val="002B5BB8"/>
    <w:rsid w:val="002B5BDA"/>
    <w:rsid w:val="002B6AC2"/>
    <w:rsid w:val="002B6CD5"/>
    <w:rsid w:val="002B6D21"/>
    <w:rsid w:val="002B6D33"/>
    <w:rsid w:val="002B6F85"/>
    <w:rsid w:val="002B7005"/>
    <w:rsid w:val="002B736B"/>
    <w:rsid w:val="002B760D"/>
    <w:rsid w:val="002B7940"/>
    <w:rsid w:val="002B7962"/>
    <w:rsid w:val="002B7EB0"/>
    <w:rsid w:val="002C0193"/>
    <w:rsid w:val="002C046E"/>
    <w:rsid w:val="002C0542"/>
    <w:rsid w:val="002C090C"/>
    <w:rsid w:val="002C0AB1"/>
    <w:rsid w:val="002C0B04"/>
    <w:rsid w:val="002C0B0E"/>
    <w:rsid w:val="002C0CD1"/>
    <w:rsid w:val="002C1269"/>
    <w:rsid w:val="002C1292"/>
    <w:rsid w:val="002C15B1"/>
    <w:rsid w:val="002C1700"/>
    <w:rsid w:val="002C177D"/>
    <w:rsid w:val="002C1ACA"/>
    <w:rsid w:val="002C216E"/>
    <w:rsid w:val="002C2175"/>
    <w:rsid w:val="002C2330"/>
    <w:rsid w:val="002C2599"/>
    <w:rsid w:val="002C2609"/>
    <w:rsid w:val="002C28D3"/>
    <w:rsid w:val="002C29DF"/>
    <w:rsid w:val="002C2FF9"/>
    <w:rsid w:val="002C369B"/>
    <w:rsid w:val="002C3A09"/>
    <w:rsid w:val="002C411A"/>
    <w:rsid w:val="002C414E"/>
    <w:rsid w:val="002C4DEA"/>
    <w:rsid w:val="002C52D5"/>
    <w:rsid w:val="002C573C"/>
    <w:rsid w:val="002C58AF"/>
    <w:rsid w:val="002C5915"/>
    <w:rsid w:val="002C593B"/>
    <w:rsid w:val="002C5BC8"/>
    <w:rsid w:val="002C5C7C"/>
    <w:rsid w:val="002C5EDB"/>
    <w:rsid w:val="002C63B0"/>
    <w:rsid w:val="002C6ACA"/>
    <w:rsid w:val="002C6B35"/>
    <w:rsid w:val="002C6B47"/>
    <w:rsid w:val="002C6BF6"/>
    <w:rsid w:val="002C6D17"/>
    <w:rsid w:val="002C6D68"/>
    <w:rsid w:val="002C75DE"/>
    <w:rsid w:val="002C76A2"/>
    <w:rsid w:val="002C7F3F"/>
    <w:rsid w:val="002D0169"/>
    <w:rsid w:val="002D06F9"/>
    <w:rsid w:val="002D0963"/>
    <w:rsid w:val="002D0B97"/>
    <w:rsid w:val="002D0C5D"/>
    <w:rsid w:val="002D0F46"/>
    <w:rsid w:val="002D1364"/>
    <w:rsid w:val="002D156D"/>
    <w:rsid w:val="002D1C44"/>
    <w:rsid w:val="002D2D2B"/>
    <w:rsid w:val="002D2D3F"/>
    <w:rsid w:val="002D3127"/>
    <w:rsid w:val="002D3567"/>
    <w:rsid w:val="002D369B"/>
    <w:rsid w:val="002D383D"/>
    <w:rsid w:val="002D383E"/>
    <w:rsid w:val="002D3C30"/>
    <w:rsid w:val="002D3CD0"/>
    <w:rsid w:val="002D3FD7"/>
    <w:rsid w:val="002D40EB"/>
    <w:rsid w:val="002D4110"/>
    <w:rsid w:val="002D4170"/>
    <w:rsid w:val="002D425B"/>
    <w:rsid w:val="002D4857"/>
    <w:rsid w:val="002D48BF"/>
    <w:rsid w:val="002D4A0D"/>
    <w:rsid w:val="002D4D82"/>
    <w:rsid w:val="002D5222"/>
    <w:rsid w:val="002D532E"/>
    <w:rsid w:val="002D53AE"/>
    <w:rsid w:val="002D5456"/>
    <w:rsid w:val="002D5CD3"/>
    <w:rsid w:val="002D5DAE"/>
    <w:rsid w:val="002D5EDC"/>
    <w:rsid w:val="002D60E4"/>
    <w:rsid w:val="002D6123"/>
    <w:rsid w:val="002D64EC"/>
    <w:rsid w:val="002D6556"/>
    <w:rsid w:val="002D6625"/>
    <w:rsid w:val="002D6828"/>
    <w:rsid w:val="002D69E9"/>
    <w:rsid w:val="002D7594"/>
    <w:rsid w:val="002D760F"/>
    <w:rsid w:val="002D77F7"/>
    <w:rsid w:val="002D7D8D"/>
    <w:rsid w:val="002D7DE0"/>
    <w:rsid w:val="002D7E20"/>
    <w:rsid w:val="002D7EAF"/>
    <w:rsid w:val="002D7F91"/>
    <w:rsid w:val="002E0837"/>
    <w:rsid w:val="002E0B13"/>
    <w:rsid w:val="002E1028"/>
    <w:rsid w:val="002E102B"/>
    <w:rsid w:val="002E102E"/>
    <w:rsid w:val="002E108D"/>
    <w:rsid w:val="002E1400"/>
    <w:rsid w:val="002E197B"/>
    <w:rsid w:val="002E1F4A"/>
    <w:rsid w:val="002E1FAB"/>
    <w:rsid w:val="002E2114"/>
    <w:rsid w:val="002E2464"/>
    <w:rsid w:val="002E256E"/>
    <w:rsid w:val="002E2643"/>
    <w:rsid w:val="002E291C"/>
    <w:rsid w:val="002E3016"/>
    <w:rsid w:val="002E3181"/>
    <w:rsid w:val="002E334F"/>
    <w:rsid w:val="002E35DD"/>
    <w:rsid w:val="002E4021"/>
    <w:rsid w:val="002E4568"/>
    <w:rsid w:val="002E4CCC"/>
    <w:rsid w:val="002E4D8B"/>
    <w:rsid w:val="002E4E03"/>
    <w:rsid w:val="002E4FFD"/>
    <w:rsid w:val="002E5E6C"/>
    <w:rsid w:val="002E6217"/>
    <w:rsid w:val="002E65DB"/>
    <w:rsid w:val="002E65E1"/>
    <w:rsid w:val="002E6AE7"/>
    <w:rsid w:val="002E6B59"/>
    <w:rsid w:val="002E710B"/>
    <w:rsid w:val="002E71D8"/>
    <w:rsid w:val="002E74B2"/>
    <w:rsid w:val="002E7551"/>
    <w:rsid w:val="002E7916"/>
    <w:rsid w:val="002E7944"/>
    <w:rsid w:val="002E7E87"/>
    <w:rsid w:val="002F09C1"/>
    <w:rsid w:val="002F0A93"/>
    <w:rsid w:val="002F0D54"/>
    <w:rsid w:val="002F1011"/>
    <w:rsid w:val="002F158B"/>
    <w:rsid w:val="002F196D"/>
    <w:rsid w:val="002F1BDB"/>
    <w:rsid w:val="002F1FF9"/>
    <w:rsid w:val="002F24CE"/>
    <w:rsid w:val="002F28F6"/>
    <w:rsid w:val="002F29C7"/>
    <w:rsid w:val="002F2E89"/>
    <w:rsid w:val="002F477D"/>
    <w:rsid w:val="002F47CC"/>
    <w:rsid w:val="002F493E"/>
    <w:rsid w:val="002F4E37"/>
    <w:rsid w:val="002F5275"/>
    <w:rsid w:val="002F54D8"/>
    <w:rsid w:val="002F551A"/>
    <w:rsid w:val="002F55AF"/>
    <w:rsid w:val="002F57A6"/>
    <w:rsid w:val="002F5ABB"/>
    <w:rsid w:val="002F5B33"/>
    <w:rsid w:val="002F5B4C"/>
    <w:rsid w:val="002F5E27"/>
    <w:rsid w:val="002F5FBC"/>
    <w:rsid w:val="002F60E3"/>
    <w:rsid w:val="002F643D"/>
    <w:rsid w:val="002F6678"/>
    <w:rsid w:val="002F6770"/>
    <w:rsid w:val="002F6B5D"/>
    <w:rsid w:val="002F70F5"/>
    <w:rsid w:val="002F7853"/>
    <w:rsid w:val="002F798F"/>
    <w:rsid w:val="002F7A62"/>
    <w:rsid w:val="002F7C41"/>
    <w:rsid w:val="003001BB"/>
    <w:rsid w:val="00300222"/>
    <w:rsid w:val="00300342"/>
    <w:rsid w:val="003004B5"/>
    <w:rsid w:val="00300827"/>
    <w:rsid w:val="00300BCA"/>
    <w:rsid w:val="00300E50"/>
    <w:rsid w:val="00300EFD"/>
    <w:rsid w:val="003014C1"/>
    <w:rsid w:val="00301A3A"/>
    <w:rsid w:val="00301B90"/>
    <w:rsid w:val="00301D57"/>
    <w:rsid w:val="00301E0B"/>
    <w:rsid w:val="003022A4"/>
    <w:rsid w:val="00302475"/>
    <w:rsid w:val="00302568"/>
    <w:rsid w:val="00302870"/>
    <w:rsid w:val="00302FB4"/>
    <w:rsid w:val="00303075"/>
    <w:rsid w:val="00303137"/>
    <w:rsid w:val="003036EF"/>
    <w:rsid w:val="0030385B"/>
    <w:rsid w:val="003041B9"/>
    <w:rsid w:val="003041E0"/>
    <w:rsid w:val="0030452E"/>
    <w:rsid w:val="00304622"/>
    <w:rsid w:val="003054BD"/>
    <w:rsid w:val="00305D47"/>
    <w:rsid w:val="00306436"/>
    <w:rsid w:val="00306BD3"/>
    <w:rsid w:val="00307114"/>
    <w:rsid w:val="0030772D"/>
    <w:rsid w:val="00307B89"/>
    <w:rsid w:val="00307E61"/>
    <w:rsid w:val="0031006F"/>
    <w:rsid w:val="003101F5"/>
    <w:rsid w:val="00310734"/>
    <w:rsid w:val="003109D3"/>
    <w:rsid w:val="00310B3A"/>
    <w:rsid w:val="00310F5B"/>
    <w:rsid w:val="003113BD"/>
    <w:rsid w:val="00311723"/>
    <w:rsid w:val="0031185E"/>
    <w:rsid w:val="00311935"/>
    <w:rsid w:val="00311B93"/>
    <w:rsid w:val="00311D8E"/>
    <w:rsid w:val="0031227F"/>
    <w:rsid w:val="00312298"/>
    <w:rsid w:val="00312439"/>
    <w:rsid w:val="003124B1"/>
    <w:rsid w:val="0031255D"/>
    <w:rsid w:val="00312583"/>
    <w:rsid w:val="003126C5"/>
    <w:rsid w:val="00312722"/>
    <w:rsid w:val="00312B2F"/>
    <w:rsid w:val="00313224"/>
    <w:rsid w:val="00313260"/>
    <w:rsid w:val="00313CCF"/>
    <w:rsid w:val="00313D17"/>
    <w:rsid w:val="00313DD0"/>
    <w:rsid w:val="00314509"/>
    <w:rsid w:val="003145B8"/>
    <w:rsid w:val="00314789"/>
    <w:rsid w:val="00314805"/>
    <w:rsid w:val="0031498C"/>
    <w:rsid w:val="0031511E"/>
    <w:rsid w:val="003151F5"/>
    <w:rsid w:val="003152A0"/>
    <w:rsid w:val="00315544"/>
    <w:rsid w:val="00315E8A"/>
    <w:rsid w:val="00316150"/>
    <w:rsid w:val="003161C3"/>
    <w:rsid w:val="00316336"/>
    <w:rsid w:val="00316623"/>
    <w:rsid w:val="00316956"/>
    <w:rsid w:val="00316B1B"/>
    <w:rsid w:val="00316B80"/>
    <w:rsid w:val="00316D10"/>
    <w:rsid w:val="00316E16"/>
    <w:rsid w:val="00316F51"/>
    <w:rsid w:val="00316FC0"/>
    <w:rsid w:val="00317234"/>
    <w:rsid w:val="00317619"/>
    <w:rsid w:val="003176A1"/>
    <w:rsid w:val="00317832"/>
    <w:rsid w:val="00317974"/>
    <w:rsid w:val="00317C81"/>
    <w:rsid w:val="00317DEE"/>
    <w:rsid w:val="00317E25"/>
    <w:rsid w:val="0031D6F9"/>
    <w:rsid w:val="00320112"/>
    <w:rsid w:val="0032035B"/>
    <w:rsid w:val="0032065A"/>
    <w:rsid w:val="00320A22"/>
    <w:rsid w:val="00320BE7"/>
    <w:rsid w:val="00320CA6"/>
    <w:rsid w:val="00320EB3"/>
    <w:rsid w:val="003213B4"/>
    <w:rsid w:val="0032164E"/>
    <w:rsid w:val="00321A1F"/>
    <w:rsid w:val="00322192"/>
    <w:rsid w:val="003223A5"/>
    <w:rsid w:val="003227C5"/>
    <w:rsid w:val="00322E52"/>
    <w:rsid w:val="00322FE6"/>
    <w:rsid w:val="0032318E"/>
    <w:rsid w:val="003233A2"/>
    <w:rsid w:val="003233E5"/>
    <w:rsid w:val="003235C0"/>
    <w:rsid w:val="003241FE"/>
    <w:rsid w:val="003245F8"/>
    <w:rsid w:val="0032479C"/>
    <w:rsid w:val="003247F7"/>
    <w:rsid w:val="00324B2F"/>
    <w:rsid w:val="00324D7C"/>
    <w:rsid w:val="00324D8A"/>
    <w:rsid w:val="00324F72"/>
    <w:rsid w:val="003253CC"/>
    <w:rsid w:val="00325A4A"/>
    <w:rsid w:val="00325DE4"/>
    <w:rsid w:val="00325FF6"/>
    <w:rsid w:val="00326246"/>
    <w:rsid w:val="0032640B"/>
    <w:rsid w:val="00326565"/>
    <w:rsid w:val="003269AC"/>
    <w:rsid w:val="00326B0B"/>
    <w:rsid w:val="00326D32"/>
    <w:rsid w:val="00326E18"/>
    <w:rsid w:val="00326F97"/>
    <w:rsid w:val="00327021"/>
    <w:rsid w:val="003271C6"/>
    <w:rsid w:val="003272ED"/>
    <w:rsid w:val="003278A3"/>
    <w:rsid w:val="00327ED1"/>
    <w:rsid w:val="00330009"/>
    <w:rsid w:val="00330607"/>
    <w:rsid w:val="00330B3B"/>
    <w:rsid w:val="0033123B"/>
    <w:rsid w:val="003312BE"/>
    <w:rsid w:val="00331307"/>
    <w:rsid w:val="00331502"/>
    <w:rsid w:val="00331983"/>
    <w:rsid w:val="003319B5"/>
    <w:rsid w:val="00331B63"/>
    <w:rsid w:val="00331F13"/>
    <w:rsid w:val="00331FC7"/>
    <w:rsid w:val="0033258A"/>
    <w:rsid w:val="00332DB2"/>
    <w:rsid w:val="003333A6"/>
    <w:rsid w:val="003333D6"/>
    <w:rsid w:val="003337B3"/>
    <w:rsid w:val="00333916"/>
    <w:rsid w:val="00333932"/>
    <w:rsid w:val="00333B22"/>
    <w:rsid w:val="00333BA2"/>
    <w:rsid w:val="00333F46"/>
    <w:rsid w:val="003341E3"/>
    <w:rsid w:val="003342D3"/>
    <w:rsid w:val="00334AFD"/>
    <w:rsid w:val="00334B9A"/>
    <w:rsid w:val="00334E71"/>
    <w:rsid w:val="00334ED3"/>
    <w:rsid w:val="003352AA"/>
    <w:rsid w:val="00335DE7"/>
    <w:rsid w:val="00335F34"/>
    <w:rsid w:val="00336294"/>
    <w:rsid w:val="003363DE"/>
    <w:rsid w:val="00336424"/>
    <w:rsid w:val="003366F4"/>
    <w:rsid w:val="003366F8"/>
    <w:rsid w:val="00336875"/>
    <w:rsid w:val="00336B00"/>
    <w:rsid w:val="00336D21"/>
    <w:rsid w:val="00336D8A"/>
    <w:rsid w:val="00337CB9"/>
    <w:rsid w:val="00337E02"/>
    <w:rsid w:val="00337F39"/>
    <w:rsid w:val="00340019"/>
    <w:rsid w:val="00340285"/>
    <w:rsid w:val="00340302"/>
    <w:rsid w:val="00340321"/>
    <w:rsid w:val="00340580"/>
    <w:rsid w:val="003409C7"/>
    <w:rsid w:val="00340B77"/>
    <w:rsid w:val="00340CAF"/>
    <w:rsid w:val="00340EE3"/>
    <w:rsid w:val="0034121E"/>
    <w:rsid w:val="003414BC"/>
    <w:rsid w:val="00341F05"/>
    <w:rsid w:val="00342295"/>
    <w:rsid w:val="003423F2"/>
    <w:rsid w:val="003424D6"/>
    <w:rsid w:val="003424F9"/>
    <w:rsid w:val="00342D58"/>
    <w:rsid w:val="00342DF9"/>
    <w:rsid w:val="003432DF"/>
    <w:rsid w:val="0034385E"/>
    <w:rsid w:val="00343E6F"/>
    <w:rsid w:val="0034422D"/>
    <w:rsid w:val="003442DE"/>
    <w:rsid w:val="00344BD0"/>
    <w:rsid w:val="00345AE3"/>
    <w:rsid w:val="00345F51"/>
    <w:rsid w:val="00346145"/>
    <w:rsid w:val="003462BC"/>
    <w:rsid w:val="0034637E"/>
    <w:rsid w:val="003473C4"/>
    <w:rsid w:val="003479AB"/>
    <w:rsid w:val="00347A49"/>
    <w:rsid w:val="00347E99"/>
    <w:rsid w:val="00347F1E"/>
    <w:rsid w:val="00350149"/>
    <w:rsid w:val="00350A22"/>
    <w:rsid w:val="00350E9A"/>
    <w:rsid w:val="003510EA"/>
    <w:rsid w:val="0035148D"/>
    <w:rsid w:val="00351ED6"/>
    <w:rsid w:val="00352329"/>
    <w:rsid w:val="003525D1"/>
    <w:rsid w:val="0035297F"/>
    <w:rsid w:val="00352C49"/>
    <w:rsid w:val="00352DB1"/>
    <w:rsid w:val="00353148"/>
    <w:rsid w:val="003534C6"/>
    <w:rsid w:val="00353856"/>
    <w:rsid w:val="00353DE6"/>
    <w:rsid w:val="00354164"/>
    <w:rsid w:val="00354348"/>
    <w:rsid w:val="0035457D"/>
    <w:rsid w:val="00355089"/>
    <w:rsid w:val="003552FE"/>
    <w:rsid w:val="00355604"/>
    <w:rsid w:val="00355D78"/>
    <w:rsid w:val="00355FD0"/>
    <w:rsid w:val="003560D1"/>
    <w:rsid w:val="00356591"/>
    <w:rsid w:val="00356AF3"/>
    <w:rsid w:val="00356B98"/>
    <w:rsid w:val="00356CA2"/>
    <w:rsid w:val="00357074"/>
    <w:rsid w:val="00357B1F"/>
    <w:rsid w:val="00360226"/>
    <w:rsid w:val="0036036F"/>
    <w:rsid w:val="003609A2"/>
    <w:rsid w:val="00360AEB"/>
    <w:rsid w:val="00361816"/>
    <w:rsid w:val="00361E62"/>
    <w:rsid w:val="00361F7C"/>
    <w:rsid w:val="00362102"/>
    <w:rsid w:val="0036297E"/>
    <w:rsid w:val="00362B12"/>
    <w:rsid w:val="00363013"/>
    <w:rsid w:val="00363098"/>
    <w:rsid w:val="00363592"/>
    <w:rsid w:val="003638C8"/>
    <w:rsid w:val="00363935"/>
    <w:rsid w:val="00363A6F"/>
    <w:rsid w:val="00363ACF"/>
    <w:rsid w:val="00363B32"/>
    <w:rsid w:val="00363D2B"/>
    <w:rsid w:val="00363EDC"/>
    <w:rsid w:val="00363FEB"/>
    <w:rsid w:val="003641BC"/>
    <w:rsid w:val="003644A2"/>
    <w:rsid w:val="003644B2"/>
    <w:rsid w:val="00364A77"/>
    <w:rsid w:val="003656A7"/>
    <w:rsid w:val="00365A87"/>
    <w:rsid w:val="00365AFF"/>
    <w:rsid w:val="00365B53"/>
    <w:rsid w:val="00365C4F"/>
    <w:rsid w:val="00366036"/>
    <w:rsid w:val="00366774"/>
    <w:rsid w:val="003668B2"/>
    <w:rsid w:val="00366A32"/>
    <w:rsid w:val="00366A3F"/>
    <w:rsid w:val="00366A44"/>
    <w:rsid w:val="00366B3B"/>
    <w:rsid w:val="00366B54"/>
    <w:rsid w:val="0036708C"/>
    <w:rsid w:val="0036754E"/>
    <w:rsid w:val="00367792"/>
    <w:rsid w:val="003677B9"/>
    <w:rsid w:val="00367AB7"/>
    <w:rsid w:val="00367BCA"/>
    <w:rsid w:val="00367D48"/>
    <w:rsid w:val="0037045F"/>
    <w:rsid w:val="00370509"/>
    <w:rsid w:val="00370866"/>
    <w:rsid w:val="003708E1"/>
    <w:rsid w:val="00370945"/>
    <w:rsid w:val="0037129E"/>
    <w:rsid w:val="00371B4C"/>
    <w:rsid w:val="00372479"/>
    <w:rsid w:val="00372AF0"/>
    <w:rsid w:val="00372D4B"/>
    <w:rsid w:val="00373457"/>
    <w:rsid w:val="0037348C"/>
    <w:rsid w:val="00373828"/>
    <w:rsid w:val="003740BF"/>
    <w:rsid w:val="0037432C"/>
    <w:rsid w:val="0037478A"/>
    <w:rsid w:val="00374DC9"/>
    <w:rsid w:val="00374E8E"/>
    <w:rsid w:val="00375A52"/>
    <w:rsid w:val="00375C67"/>
    <w:rsid w:val="00375D84"/>
    <w:rsid w:val="0037610E"/>
    <w:rsid w:val="0037635B"/>
    <w:rsid w:val="003768FC"/>
    <w:rsid w:val="00376E51"/>
    <w:rsid w:val="00377797"/>
    <w:rsid w:val="00377BE8"/>
    <w:rsid w:val="0038022B"/>
    <w:rsid w:val="003805CE"/>
    <w:rsid w:val="00380878"/>
    <w:rsid w:val="003809CF"/>
    <w:rsid w:val="00380BA3"/>
    <w:rsid w:val="00380E3D"/>
    <w:rsid w:val="00380FD7"/>
    <w:rsid w:val="003811A3"/>
    <w:rsid w:val="003812AE"/>
    <w:rsid w:val="003812B1"/>
    <w:rsid w:val="0038183B"/>
    <w:rsid w:val="00381915"/>
    <w:rsid w:val="00381932"/>
    <w:rsid w:val="00381BE8"/>
    <w:rsid w:val="00382164"/>
    <w:rsid w:val="003822EA"/>
    <w:rsid w:val="003823E6"/>
    <w:rsid w:val="00382856"/>
    <w:rsid w:val="00382957"/>
    <w:rsid w:val="00382B40"/>
    <w:rsid w:val="00382C8F"/>
    <w:rsid w:val="00382F6C"/>
    <w:rsid w:val="00383449"/>
    <w:rsid w:val="003835D9"/>
    <w:rsid w:val="00383A6C"/>
    <w:rsid w:val="00383C3E"/>
    <w:rsid w:val="00383CAC"/>
    <w:rsid w:val="00383DB5"/>
    <w:rsid w:val="00384035"/>
    <w:rsid w:val="00384231"/>
    <w:rsid w:val="00384629"/>
    <w:rsid w:val="00385044"/>
    <w:rsid w:val="003854C5"/>
    <w:rsid w:val="0038585A"/>
    <w:rsid w:val="0038606B"/>
    <w:rsid w:val="003867F7"/>
    <w:rsid w:val="00386A3E"/>
    <w:rsid w:val="00386A94"/>
    <w:rsid w:val="00386C53"/>
    <w:rsid w:val="00387AD5"/>
    <w:rsid w:val="00390252"/>
    <w:rsid w:val="00390345"/>
    <w:rsid w:val="003905DC"/>
    <w:rsid w:val="003906DA"/>
    <w:rsid w:val="003907A3"/>
    <w:rsid w:val="00390BB0"/>
    <w:rsid w:val="00390D36"/>
    <w:rsid w:val="00390D47"/>
    <w:rsid w:val="00390E56"/>
    <w:rsid w:val="00391129"/>
    <w:rsid w:val="003915A9"/>
    <w:rsid w:val="003915B8"/>
    <w:rsid w:val="00391B9D"/>
    <w:rsid w:val="00391C99"/>
    <w:rsid w:val="00391D8F"/>
    <w:rsid w:val="003920C1"/>
    <w:rsid w:val="003922D4"/>
    <w:rsid w:val="0039230C"/>
    <w:rsid w:val="0039233D"/>
    <w:rsid w:val="0039291A"/>
    <w:rsid w:val="00392BC2"/>
    <w:rsid w:val="00392CE7"/>
    <w:rsid w:val="00393244"/>
    <w:rsid w:val="003935F6"/>
    <w:rsid w:val="00393A15"/>
    <w:rsid w:val="00393A21"/>
    <w:rsid w:val="00394068"/>
    <w:rsid w:val="0039471C"/>
    <w:rsid w:val="003948B8"/>
    <w:rsid w:val="00394B7F"/>
    <w:rsid w:val="00394BE3"/>
    <w:rsid w:val="00395235"/>
    <w:rsid w:val="0039591C"/>
    <w:rsid w:val="00395DFC"/>
    <w:rsid w:val="00395E7A"/>
    <w:rsid w:val="00396422"/>
    <w:rsid w:val="00396727"/>
    <w:rsid w:val="003969D7"/>
    <w:rsid w:val="00396BF3"/>
    <w:rsid w:val="00396C10"/>
    <w:rsid w:val="00396D5E"/>
    <w:rsid w:val="00397164"/>
    <w:rsid w:val="00397E96"/>
    <w:rsid w:val="003A050C"/>
    <w:rsid w:val="003A07BA"/>
    <w:rsid w:val="003A10B8"/>
    <w:rsid w:val="003A10F1"/>
    <w:rsid w:val="003A128B"/>
    <w:rsid w:val="003A15FC"/>
    <w:rsid w:val="003A1DB3"/>
    <w:rsid w:val="003A233B"/>
    <w:rsid w:val="003A245B"/>
    <w:rsid w:val="003A257B"/>
    <w:rsid w:val="003A2ADA"/>
    <w:rsid w:val="003A2C2C"/>
    <w:rsid w:val="003A3075"/>
    <w:rsid w:val="003A31E8"/>
    <w:rsid w:val="003A363B"/>
    <w:rsid w:val="003A3721"/>
    <w:rsid w:val="003A3A35"/>
    <w:rsid w:val="003A3AE2"/>
    <w:rsid w:val="003A417C"/>
    <w:rsid w:val="003A4202"/>
    <w:rsid w:val="003A4425"/>
    <w:rsid w:val="003A443A"/>
    <w:rsid w:val="003A4B61"/>
    <w:rsid w:val="003A5075"/>
    <w:rsid w:val="003A54EA"/>
    <w:rsid w:val="003A5660"/>
    <w:rsid w:val="003A5A64"/>
    <w:rsid w:val="003A5A90"/>
    <w:rsid w:val="003A5C8D"/>
    <w:rsid w:val="003A5D1D"/>
    <w:rsid w:val="003A649C"/>
    <w:rsid w:val="003A66E4"/>
    <w:rsid w:val="003A66F9"/>
    <w:rsid w:val="003A6724"/>
    <w:rsid w:val="003A6A0C"/>
    <w:rsid w:val="003A6F98"/>
    <w:rsid w:val="003A70D9"/>
    <w:rsid w:val="003A73C5"/>
    <w:rsid w:val="003A7FBC"/>
    <w:rsid w:val="003B022B"/>
    <w:rsid w:val="003B0408"/>
    <w:rsid w:val="003B0441"/>
    <w:rsid w:val="003B0D5B"/>
    <w:rsid w:val="003B0F17"/>
    <w:rsid w:val="003B118F"/>
    <w:rsid w:val="003B1320"/>
    <w:rsid w:val="003B15A6"/>
    <w:rsid w:val="003B17D2"/>
    <w:rsid w:val="003B1A87"/>
    <w:rsid w:val="003B2212"/>
    <w:rsid w:val="003B28D5"/>
    <w:rsid w:val="003B2C1C"/>
    <w:rsid w:val="003B2CC0"/>
    <w:rsid w:val="003B2EAF"/>
    <w:rsid w:val="003B3515"/>
    <w:rsid w:val="003B357D"/>
    <w:rsid w:val="003B43C2"/>
    <w:rsid w:val="003B4515"/>
    <w:rsid w:val="003B4751"/>
    <w:rsid w:val="003B5E30"/>
    <w:rsid w:val="003B5F5A"/>
    <w:rsid w:val="003B6188"/>
    <w:rsid w:val="003B6827"/>
    <w:rsid w:val="003B784C"/>
    <w:rsid w:val="003B7A98"/>
    <w:rsid w:val="003C0533"/>
    <w:rsid w:val="003C0E4D"/>
    <w:rsid w:val="003C1059"/>
    <w:rsid w:val="003C1281"/>
    <w:rsid w:val="003C17F6"/>
    <w:rsid w:val="003C1BA8"/>
    <w:rsid w:val="003C1C47"/>
    <w:rsid w:val="003C1D1A"/>
    <w:rsid w:val="003C1F3D"/>
    <w:rsid w:val="003C203B"/>
    <w:rsid w:val="003C225E"/>
    <w:rsid w:val="003C2FCF"/>
    <w:rsid w:val="003C33BF"/>
    <w:rsid w:val="003C3A54"/>
    <w:rsid w:val="003C48C8"/>
    <w:rsid w:val="003C4F86"/>
    <w:rsid w:val="003C4FF7"/>
    <w:rsid w:val="003C56F9"/>
    <w:rsid w:val="003C57E3"/>
    <w:rsid w:val="003C5EAE"/>
    <w:rsid w:val="003C63ED"/>
    <w:rsid w:val="003C6520"/>
    <w:rsid w:val="003C6528"/>
    <w:rsid w:val="003C65D9"/>
    <w:rsid w:val="003C6638"/>
    <w:rsid w:val="003C68ED"/>
    <w:rsid w:val="003C6DB6"/>
    <w:rsid w:val="003C6F44"/>
    <w:rsid w:val="003C70D1"/>
    <w:rsid w:val="003C7515"/>
    <w:rsid w:val="003C767B"/>
    <w:rsid w:val="003C77BB"/>
    <w:rsid w:val="003C7DFE"/>
    <w:rsid w:val="003D0113"/>
    <w:rsid w:val="003D0307"/>
    <w:rsid w:val="003D05EA"/>
    <w:rsid w:val="003D07F0"/>
    <w:rsid w:val="003D082D"/>
    <w:rsid w:val="003D0AAB"/>
    <w:rsid w:val="003D12CA"/>
    <w:rsid w:val="003D165A"/>
    <w:rsid w:val="003D18FF"/>
    <w:rsid w:val="003D1C7E"/>
    <w:rsid w:val="003D2119"/>
    <w:rsid w:val="003D2CC2"/>
    <w:rsid w:val="003D2E7B"/>
    <w:rsid w:val="003D3153"/>
    <w:rsid w:val="003D3545"/>
    <w:rsid w:val="003D3667"/>
    <w:rsid w:val="003D36CF"/>
    <w:rsid w:val="003D3723"/>
    <w:rsid w:val="003D3BE8"/>
    <w:rsid w:val="003D3EC2"/>
    <w:rsid w:val="003D3ED9"/>
    <w:rsid w:val="003D4301"/>
    <w:rsid w:val="003D4D9B"/>
    <w:rsid w:val="003D4EE8"/>
    <w:rsid w:val="003D5380"/>
    <w:rsid w:val="003D5944"/>
    <w:rsid w:val="003D5B99"/>
    <w:rsid w:val="003D5D3B"/>
    <w:rsid w:val="003D5EE8"/>
    <w:rsid w:val="003D62BB"/>
    <w:rsid w:val="003D6690"/>
    <w:rsid w:val="003D66DD"/>
    <w:rsid w:val="003D69A0"/>
    <w:rsid w:val="003D6C12"/>
    <w:rsid w:val="003D6D84"/>
    <w:rsid w:val="003D7087"/>
    <w:rsid w:val="003D7102"/>
    <w:rsid w:val="003D7262"/>
    <w:rsid w:val="003D7346"/>
    <w:rsid w:val="003D77FE"/>
    <w:rsid w:val="003D78F6"/>
    <w:rsid w:val="003D79F1"/>
    <w:rsid w:val="003D7D55"/>
    <w:rsid w:val="003E0066"/>
    <w:rsid w:val="003E072D"/>
    <w:rsid w:val="003E0C81"/>
    <w:rsid w:val="003E1059"/>
    <w:rsid w:val="003E1526"/>
    <w:rsid w:val="003E1DCF"/>
    <w:rsid w:val="003E1DD2"/>
    <w:rsid w:val="003E1F55"/>
    <w:rsid w:val="003E231E"/>
    <w:rsid w:val="003E29D4"/>
    <w:rsid w:val="003E2B21"/>
    <w:rsid w:val="003E2E84"/>
    <w:rsid w:val="003E2EE9"/>
    <w:rsid w:val="003E3617"/>
    <w:rsid w:val="003E361D"/>
    <w:rsid w:val="003E3672"/>
    <w:rsid w:val="003E3BB8"/>
    <w:rsid w:val="003E3D13"/>
    <w:rsid w:val="003E4138"/>
    <w:rsid w:val="003E4623"/>
    <w:rsid w:val="003E56E9"/>
    <w:rsid w:val="003E5BFC"/>
    <w:rsid w:val="003E5F74"/>
    <w:rsid w:val="003E61A4"/>
    <w:rsid w:val="003E699B"/>
    <w:rsid w:val="003E6F9A"/>
    <w:rsid w:val="003E6FFA"/>
    <w:rsid w:val="003E748E"/>
    <w:rsid w:val="003E74AE"/>
    <w:rsid w:val="003E75CB"/>
    <w:rsid w:val="003E777C"/>
    <w:rsid w:val="003F0080"/>
    <w:rsid w:val="003F00CA"/>
    <w:rsid w:val="003F00EA"/>
    <w:rsid w:val="003F020B"/>
    <w:rsid w:val="003F066A"/>
    <w:rsid w:val="003F079C"/>
    <w:rsid w:val="003F093F"/>
    <w:rsid w:val="003F0B29"/>
    <w:rsid w:val="003F0EE2"/>
    <w:rsid w:val="003F14F2"/>
    <w:rsid w:val="003F152A"/>
    <w:rsid w:val="003F1BAB"/>
    <w:rsid w:val="003F1EAA"/>
    <w:rsid w:val="003F21D5"/>
    <w:rsid w:val="003F2426"/>
    <w:rsid w:val="003F2577"/>
    <w:rsid w:val="003F2949"/>
    <w:rsid w:val="003F300F"/>
    <w:rsid w:val="003F37EB"/>
    <w:rsid w:val="003F3A26"/>
    <w:rsid w:val="003F3A8D"/>
    <w:rsid w:val="003F3D54"/>
    <w:rsid w:val="003F3EDE"/>
    <w:rsid w:val="003F3FAC"/>
    <w:rsid w:val="003F4063"/>
    <w:rsid w:val="003F444F"/>
    <w:rsid w:val="003F446C"/>
    <w:rsid w:val="003F50C6"/>
    <w:rsid w:val="003F543B"/>
    <w:rsid w:val="003F5DCD"/>
    <w:rsid w:val="003F63D0"/>
    <w:rsid w:val="003F6504"/>
    <w:rsid w:val="003F655F"/>
    <w:rsid w:val="003F6612"/>
    <w:rsid w:val="003F6769"/>
    <w:rsid w:val="003F68DD"/>
    <w:rsid w:val="003F6C14"/>
    <w:rsid w:val="003F6DB3"/>
    <w:rsid w:val="003F710C"/>
    <w:rsid w:val="003F734C"/>
    <w:rsid w:val="003F74EA"/>
    <w:rsid w:val="003F764B"/>
    <w:rsid w:val="003F7678"/>
    <w:rsid w:val="003F78FB"/>
    <w:rsid w:val="003F7B6A"/>
    <w:rsid w:val="003F7B89"/>
    <w:rsid w:val="003F7D58"/>
    <w:rsid w:val="003F7DBE"/>
    <w:rsid w:val="00400296"/>
    <w:rsid w:val="00400326"/>
    <w:rsid w:val="004004EF"/>
    <w:rsid w:val="00400770"/>
    <w:rsid w:val="0040094A"/>
    <w:rsid w:val="0040096D"/>
    <w:rsid w:val="00400A03"/>
    <w:rsid w:val="00400CF2"/>
    <w:rsid w:val="004010B3"/>
    <w:rsid w:val="004017D6"/>
    <w:rsid w:val="00401D18"/>
    <w:rsid w:val="00401E76"/>
    <w:rsid w:val="00401EC3"/>
    <w:rsid w:val="00401F73"/>
    <w:rsid w:val="00401FB8"/>
    <w:rsid w:val="00402185"/>
    <w:rsid w:val="00402216"/>
    <w:rsid w:val="00402464"/>
    <w:rsid w:val="004030E0"/>
    <w:rsid w:val="004030E3"/>
    <w:rsid w:val="0040329B"/>
    <w:rsid w:val="0040369F"/>
    <w:rsid w:val="00403761"/>
    <w:rsid w:val="00404055"/>
    <w:rsid w:val="0040421E"/>
    <w:rsid w:val="00404842"/>
    <w:rsid w:val="00404874"/>
    <w:rsid w:val="00404C07"/>
    <w:rsid w:val="00405277"/>
    <w:rsid w:val="004055E1"/>
    <w:rsid w:val="00405750"/>
    <w:rsid w:val="00405755"/>
    <w:rsid w:val="0040593F"/>
    <w:rsid w:val="0040596F"/>
    <w:rsid w:val="00405C72"/>
    <w:rsid w:val="00405DA2"/>
    <w:rsid w:val="00406176"/>
    <w:rsid w:val="00407042"/>
    <w:rsid w:val="0040704B"/>
    <w:rsid w:val="004075B9"/>
    <w:rsid w:val="0040768E"/>
    <w:rsid w:val="00407E82"/>
    <w:rsid w:val="0041020A"/>
    <w:rsid w:val="0041038B"/>
    <w:rsid w:val="004103C8"/>
    <w:rsid w:val="00410548"/>
    <w:rsid w:val="00410875"/>
    <w:rsid w:val="00410C73"/>
    <w:rsid w:val="00410CAA"/>
    <w:rsid w:val="00410D76"/>
    <w:rsid w:val="00410E21"/>
    <w:rsid w:val="004112C8"/>
    <w:rsid w:val="00411D7E"/>
    <w:rsid w:val="00411F33"/>
    <w:rsid w:val="00411F90"/>
    <w:rsid w:val="0041207F"/>
    <w:rsid w:val="0041216F"/>
    <w:rsid w:val="00412462"/>
    <w:rsid w:val="00412884"/>
    <w:rsid w:val="00412C11"/>
    <w:rsid w:val="00412D22"/>
    <w:rsid w:val="004139B0"/>
    <w:rsid w:val="00413F23"/>
    <w:rsid w:val="00414509"/>
    <w:rsid w:val="004148BA"/>
    <w:rsid w:val="004149A2"/>
    <w:rsid w:val="00414C81"/>
    <w:rsid w:val="00414D1C"/>
    <w:rsid w:val="004151D2"/>
    <w:rsid w:val="004155EB"/>
    <w:rsid w:val="00415976"/>
    <w:rsid w:val="00415CFC"/>
    <w:rsid w:val="0041639D"/>
    <w:rsid w:val="004163ED"/>
    <w:rsid w:val="00416817"/>
    <w:rsid w:val="004168E3"/>
    <w:rsid w:val="004174E4"/>
    <w:rsid w:val="004178DB"/>
    <w:rsid w:val="004201E2"/>
    <w:rsid w:val="004202C9"/>
    <w:rsid w:val="00420335"/>
    <w:rsid w:val="0042036F"/>
    <w:rsid w:val="00420787"/>
    <w:rsid w:val="00420A44"/>
    <w:rsid w:val="00420F45"/>
    <w:rsid w:val="004214CE"/>
    <w:rsid w:val="00421663"/>
    <w:rsid w:val="00421938"/>
    <w:rsid w:val="004219EC"/>
    <w:rsid w:val="0042229D"/>
    <w:rsid w:val="004227CA"/>
    <w:rsid w:val="0042312F"/>
    <w:rsid w:val="004232AF"/>
    <w:rsid w:val="00423A42"/>
    <w:rsid w:val="00423FA0"/>
    <w:rsid w:val="004241C1"/>
    <w:rsid w:val="00424582"/>
    <w:rsid w:val="00424DD1"/>
    <w:rsid w:val="0042507E"/>
    <w:rsid w:val="00425157"/>
    <w:rsid w:val="00425337"/>
    <w:rsid w:val="00425582"/>
    <w:rsid w:val="00425CAB"/>
    <w:rsid w:val="00425D16"/>
    <w:rsid w:val="00426062"/>
    <w:rsid w:val="0042611A"/>
    <w:rsid w:val="004265C6"/>
    <w:rsid w:val="00427049"/>
    <w:rsid w:val="00427535"/>
    <w:rsid w:val="00427630"/>
    <w:rsid w:val="004279BA"/>
    <w:rsid w:val="00427AD6"/>
    <w:rsid w:val="00427D0F"/>
    <w:rsid w:val="00427D59"/>
    <w:rsid w:val="00427FA0"/>
    <w:rsid w:val="00430E4D"/>
    <w:rsid w:val="00431084"/>
    <w:rsid w:val="00431504"/>
    <w:rsid w:val="004316BB"/>
    <w:rsid w:val="00431762"/>
    <w:rsid w:val="00431CE7"/>
    <w:rsid w:val="00431CFD"/>
    <w:rsid w:val="00432079"/>
    <w:rsid w:val="00432314"/>
    <w:rsid w:val="00432432"/>
    <w:rsid w:val="00432581"/>
    <w:rsid w:val="00432919"/>
    <w:rsid w:val="00432EA2"/>
    <w:rsid w:val="00433CA9"/>
    <w:rsid w:val="00434098"/>
    <w:rsid w:val="004343AB"/>
    <w:rsid w:val="0043541D"/>
    <w:rsid w:val="00435586"/>
    <w:rsid w:val="00435C89"/>
    <w:rsid w:val="00435D9B"/>
    <w:rsid w:val="00435DD7"/>
    <w:rsid w:val="00435E2A"/>
    <w:rsid w:val="004360A3"/>
    <w:rsid w:val="00436252"/>
    <w:rsid w:val="00436413"/>
    <w:rsid w:val="00436510"/>
    <w:rsid w:val="00436A81"/>
    <w:rsid w:val="004373CB"/>
    <w:rsid w:val="0043795D"/>
    <w:rsid w:val="00437AF9"/>
    <w:rsid w:val="004403C6"/>
    <w:rsid w:val="0044041C"/>
    <w:rsid w:val="00440536"/>
    <w:rsid w:val="004408DF"/>
    <w:rsid w:val="00440D29"/>
    <w:rsid w:val="00440E54"/>
    <w:rsid w:val="0044104F"/>
    <w:rsid w:val="004410E7"/>
    <w:rsid w:val="0044164D"/>
    <w:rsid w:val="004418E1"/>
    <w:rsid w:val="00441A8E"/>
    <w:rsid w:val="00442139"/>
    <w:rsid w:val="00442171"/>
    <w:rsid w:val="004425FA"/>
    <w:rsid w:val="004427E9"/>
    <w:rsid w:val="004428B7"/>
    <w:rsid w:val="00442B6E"/>
    <w:rsid w:val="00442BA4"/>
    <w:rsid w:val="00442CFB"/>
    <w:rsid w:val="00442ED3"/>
    <w:rsid w:val="0044329A"/>
    <w:rsid w:val="00443686"/>
    <w:rsid w:val="00443B34"/>
    <w:rsid w:val="00443CA1"/>
    <w:rsid w:val="00443DCB"/>
    <w:rsid w:val="00443DED"/>
    <w:rsid w:val="004441EF"/>
    <w:rsid w:val="00444DAA"/>
    <w:rsid w:val="00444E77"/>
    <w:rsid w:val="00444F63"/>
    <w:rsid w:val="004450F5"/>
    <w:rsid w:val="004454EA"/>
    <w:rsid w:val="0044563A"/>
    <w:rsid w:val="00445709"/>
    <w:rsid w:val="00445893"/>
    <w:rsid w:val="004459D6"/>
    <w:rsid w:val="00445A49"/>
    <w:rsid w:val="00445C36"/>
    <w:rsid w:val="00445C81"/>
    <w:rsid w:val="00445E19"/>
    <w:rsid w:val="004467F1"/>
    <w:rsid w:val="00446C15"/>
    <w:rsid w:val="00446F55"/>
    <w:rsid w:val="004473DC"/>
    <w:rsid w:val="0044782A"/>
    <w:rsid w:val="00447A5E"/>
    <w:rsid w:val="00447DAD"/>
    <w:rsid w:val="004508CA"/>
    <w:rsid w:val="004511D2"/>
    <w:rsid w:val="00451634"/>
    <w:rsid w:val="004517A2"/>
    <w:rsid w:val="004518A5"/>
    <w:rsid w:val="004518F1"/>
    <w:rsid w:val="00451F32"/>
    <w:rsid w:val="0045234A"/>
    <w:rsid w:val="00452698"/>
    <w:rsid w:val="00452DF7"/>
    <w:rsid w:val="00452E7F"/>
    <w:rsid w:val="00453285"/>
    <w:rsid w:val="004532F1"/>
    <w:rsid w:val="004532F3"/>
    <w:rsid w:val="004535BB"/>
    <w:rsid w:val="00453832"/>
    <w:rsid w:val="0045384D"/>
    <w:rsid w:val="00453967"/>
    <w:rsid w:val="0045398E"/>
    <w:rsid w:val="00453CDB"/>
    <w:rsid w:val="00454204"/>
    <w:rsid w:val="0045429D"/>
    <w:rsid w:val="004544E0"/>
    <w:rsid w:val="004546B0"/>
    <w:rsid w:val="00454B30"/>
    <w:rsid w:val="00454B93"/>
    <w:rsid w:val="00454EAB"/>
    <w:rsid w:val="00454EF6"/>
    <w:rsid w:val="00455312"/>
    <w:rsid w:val="00455772"/>
    <w:rsid w:val="00455AD8"/>
    <w:rsid w:val="00455EFC"/>
    <w:rsid w:val="00455FD3"/>
    <w:rsid w:val="004564DE"/>
    <w:rsid w:val="004566CC"/>
    <w:rsid w:val="004568B5"/>
    <w:rsid w:val="004569C9"/>
    <w:rsid w:val="00456CFF"/>
    <w:rsid w:val="00456D69"/>
    <w:rsid w:val="00456FB6"/>
    <w:rsid w:val="00457049"/>
    <w:rsid w:val="00457359"/>
    <w:rsid w:val="004575E7"/>
    <w:rsid w:val="00457C30"/>
    <w:rsid w:val="00457C7D"/>
    <w:rsid w:val="00457D8F"/>
    <w:rsid w:val="00457DE0"/>
    <w:rsid w:val="00460717"/>
    <w:rsid w:val="00460912"/>
    <w:rsid w:val="004609B6"/>
    <w:rsid w:val="00460FD9"/>
    <w:rsid w:val="004614E2"/>
    <w:rsid w:val="00461DCE"/>
    <w:rsid w:val="00462AD1"/>
    <w:rsid w:val="00462E6F"/>
    <w:rsid w:val="00462F6D"/>
    <w:rsid w:val="00462F9F"/>
    <w:rsid w:val="00462FC3"/>
    <w:rsid w:val="0046349F"/>
    <w:rsid w:val="004638A9"/>
    <w:rsid w:val="004638FC"/>
    <w:rsid w:val="004639D8"/>
    <w:rsid w:val="00463D5E"/>
    <w:rsid w:val="00463D7B"/>
    <w:rsid w:val="00463DDC"/>
    <w:rsid w:val="00463EC3"/>
    <w:rsid w:val="00463FC4"/>
    <w:rsid w:val="004640FA"/>
    <w:rsid w:val="00464F51"/>
    <w:rsid w:val="004652FF"/>
    <w:rsid w:val="0046571F"/>
    <w:rsid w:val="0046590C"/>
    <w:rsid w:val="00465B1E"/>
    <w:rsid w:val="00465B54"/>
    <w:rsid w:val="004662FF"/>
    <w:rsid w:val="004668D3"/>
    <w:rsid w:val="00466985"/>
    <w:rsid w:val="0046706D"/>
    <w:rsid w:val="004670DE"/>
    <w:rsid w:val="0046733A"/>
    <w:rsid w:val="004675BE"/>
    <w:rsid w:val="004679BC"/>
    <w:rsid w:val="00467AF3"/>
    <w:rsid w:val="00467C90"/>
    <w:rsid w:val="00467C93"/>
    <w:rsid w:val="00467EC1"/>
    <w:rsid w:val="00467F7C"/>
    <w:rsid w:val="0047078A"/>
    <w:rsid w:val="00470DE9"/>
    <w:rsid w:val="00470F14"/>
    <w:rsid w:val="004713FA"/>
    <w:rsid w:val="00471429"/>
    <w:rsid w:val="00471A68"/>
    <w:rsid w:val="00471C25"/>
    <w:rsid w:val="00471EA1"/>
    <w:rsid w:val="00471F3B"/>
    <w:rsid w:val="00472407"/>
    <w:rsid w:val="004725E8"/>
    <w:rsid w:val="004726CF"/>
    <w:rsid w:val="00472C65"/>
    <w:rsid w:val="00472EB5"/>
    <w:rsid w:val="00473290"/>
    <w:rsid w:val="004735A6"/>
    <w:rsid w:val="00473FBA"/>
    <w:rsid w:val="00474510"/>
    <w:rsid w:val="004745DF"/>
    <w:rsid w:val="00474818"/>
    <w:rsid w:val="00474A45"/>
    <w:rsid w:val="00474AAB"/>
    <w:rsid w:val="00474AED"/>
    <w:rsid w:val="00474F23"/>
    <w:rsid w:val="004750B3"/>
    <w:rsid w:val="004750C6"/>
    <w:rsid w:val="00475918"/>
    <w:rsid w:val="00475950"/>
    <w:rsid w:val="00475A1D"/>
    <w:rsid w:val="0047631E"/>
    <w:rsid w:val="00476381"/>
    <w:rsid w:val="0047642C"/>
    <w:rsid w:val="0047671B"/>
    <w:rsid w:val="00476813"/>
    <w:rsid w:val="00476FD5"/>
    <w:rsid w:val="00477329"/>
    <w:rsid w:val="0047766E"/>
    <w:rsid w:val="004776CD"/>
    <w:rsid w:val="00477C4D"/>
    <w:rsid w:val="00477C6D"/>
    <w:rsid w:val="00480198"/>
    <w:rsid w:val="004803C9"/>
    <w:rsid w:val="00480957"/>
    <w:rsid w:val="00480CA1"/>
    <w:rsid w:val="00480F33"/>
    <w:rsid w:val="004812CB"/>
    <w:rsid w:val="00481782"/>
    <w:rsid w:val="004819E8"/>
    <w:rsid w:val="00481AF7"/>
    <w:rsid w:val="0048226F"/>
    <w:rsid w:val="00482323"/>
    <w:rsid w:val="00482893"/>
    <w:rsid w:val="004829A5"/>
    <w:rsid w:val="00482CD2"/>
    <w:rsid w:val="00483007"/>
    <w:rsid w:val="004834E3"/>
    <w:rsid w:val="0048351C"/>
    <w:rsid w:val="00483760"/>
    <w:rsid w:val="004837AA"/>
    <w:rsid w:val="00483CA4"/>
    <w:rsid w:val="00483EA7"/>
    <w:rsid w:val="004842A5"/>
    <w:rsid w:val="004846F5"/>
    <w:rsid w:val="00484A58"/>
    <w:rsid w:val="0048516F"/>
    <w:rsid w:val="00485271"/>
    <w:rsid w:val="0048529A"/>
    <w:rsid w:val="00485346"/>
    <w:rsid w:val="004857F0"/>
    <w:rsid w:val="004859F8"/>
    <w:rsid w:val="00485A21"/>
    <w:rsid w:val="00485EC8"/>
    <w:rsid w:val="0048636A"/>
    <w:rsid w:val="00486909"/>
    <w:rsid w:val="00486AB2"/>
    <w:rsid w:val="00486E60"/>
    <w:rsid w:val="0048772D"/>
    <w:rsid w:val="0048784E"/>
    <w:rsid w:val="00487873"/>
    <w:rsid w:val="00490D60"/>
    <w:rsid w:val="004912BF"/>
    <w:rsid w:val="004913EB"/>
    <w:rsid w:val="0049181E"/>
    <w:rsid w:val="00491D1F"/>
    <w:rsid w:val="0049208E"/>
    <w:rsid w:val="004926D0"/>
    <w:rsid w:val="00492D8D"/>
    <w:rsid w:val="00492FBE"/>
    <w:rsid w:val="00493897"/>
    <w:rsid w:val="00493C5F"/>
    <w:rsid w:val="00493D6C"/>
    <w:rsid w:val="00494106"/>
    <w:rsid w:val="00494401"/>
    <w:rsid w:val="00494558"/>
    <w:rsid w:val="0049490D"/>
    <w:rsid w:val="00494C7F"/>
    <w:rsid w:val="00494C81"/>
    <w:rsid w:val="004950CB"/>
    <w:rsid w:val="00495759"/>
    <w:rsid w:val="004957F5"/>
    <w:rsid w:val="004958A1"/>
    <w:rsid w:val="00495C0E"/>
    <w:rsid w:val="00495DFD"/>
    <w:rsid w:val="00495FFF"/>
    <w:rsid w:val="004960A7"/>
    <w:rsid w:val="004962CD"/>
    <w:rsid w:val="004963C7"/>
    <w:rsid w:val="004965AE"/>
    <w:rsid w:val="0049691C"/>
    <w:rsid w:val="00496A45"/>
    <w:rsid w:val="00496AC5"/>
    <w:rsid w:val="00496E55"/>
    <w:rsid w:val="004974AE"/>
    <w:rsid w:val="0049777C"/>
    <w:rsid w:val="00497E7E"/>
    <w:rsid w:val="0049F7DC"/>
    <w:rsid w:val="004A0077"/>
    <w:rsid w:val="004A00E4"/>
    <w:rsid w:val="004A0672"/>
    <w:rsid w:val="004A06F9"/>
    <w:rsid w:val="004A0DF5"/>
    <w:rsid w:val="004A12D1"/>
    <w:rsid w:val="004A139C"/>
    <w:rsid w:val="004A215E"/>
    <w:rsid w:val="004A2348"/>
    <w:rsid w:val="004A2A25"/>
    <w:rsid w:val="004A2BA2"/>
    <w:rsid w:val="004A2D15"/>
    <w:rsid w:val="004A2D68"/>
    <w:rsid w:val="004A37EF"/>
    <w:rsid w:val="004A387E"/>
    <w:rsid w:val="004A3AA8"/>
    <w:rsid w:val="004A4263"/>
    <w:rsid w:val="004A4416"/>
    <w:rsid w:val="004A45EA"/>
    <w:rsid w:val="004A487E"/>
    <w:rsid w:val="004A4AEA"/>
    <w:rsid w:val="004A4BB1"/>
    <w:rsid w:val="004A4EFF"/>
    <w:rsid w:val="004A5A4E"/>
    <w:rsid w:val="004A5B64"/>
    <w:rsid w:val="004A5BA1"/>
    <w:rsid w:val="004A5D94"/>
    <w:rsid w:val="004A5DCE"/>
    <w:rsid w:val="004A5ECF"/>
    <w:rsid w:val="004A63CB"/>
    <w:rsid w:val="004A65A6"/>
    <w:rsid w:val="004A66EA"/>
    <w:rsid w:val="004A6A67"/>
    <w:rsid w:val="004A6FC2"/>
    <w:rsid w:val="004A7616"/>
    <w:rsid w:val="004A76F1"/>
    <w:rsid w:val="004A7BC3"/>
    <w:rsid w:val="004B01F6"/>
    <w:rsid w:val="004B03B7"/>
    <w:rsid w:val="004B048D"/>
    <w:rsid w:val="004B079B"/>
    <w:rsid w:val="004B0958"/>
    <w:rsid w:val="004B09D4"/>
    <w:rsid w:val="004B0A11"/>
    <w:rsid w:val="004B0DAA"/>
    <w:rsid w:val="004B103E"/>
    <w:rsid w:val="004B10BC"/>
    <w:rsid w:val="004B130F"/>
    <w:rsid w:val="004B1446"/>
    <w:rsid w:val="004B1469"/>
    <w:rsid w:val="004B14A8"/>
    <w:rsid w:val="004B1A02"/>
    <w:rsid w:val="004B2288"/>
    <w:rsid w:val="004B2953"/>
    <w:rsid w:val="004B2CC9"/>
    <w:rsid w:val="004B3076"/>
    <w:rsid w:val="004B31CF"/>
    <w:rsid w:val="004B3599"/>
    <w:rsid w:val="004B38BD"/>
    <w:rsid w:val="004B3D20"/>
    <w:rsid w:val="004B3D22"/>
    <w:rsid w:val="004B3D61"/>
    <w:rsid w:val="004B44EC"/>
    <w:rsid w:val="004B458A"/>
    <w:rsid w:val="004B4A3A"/>
    <w:rsid w:val="004B5319"/>
    <w:rsid w:val="004B5352"/>
    <w:rsid w:val="004B588E"/>
    <w:rsid w:val="004B5D52"/>
    <w:rsid w:val="004B6509"/>
    <w:rsid w:val="004B659E"/>
    <w:rsid w:val="004B66E3"/>
    <w:rsid w:val="004B67F7"/>
    <w:rsid w:val="004B6A06"/>
    <w:rsid w:val="004B72C8"/>
    <w:rsid w:val="004B74F7"/>
    <w:rsid w:val="004B7881"/>
    <w:rsid w:val="004B7B02"/>
    <w:rsid w:val="004B7E57"/>
    <w:rsid w:val="004B7F6A"/>
    <w:rsid w:val="004C029F"/>
    <w:rsid w:val="004C067A"/>
    <w:rsid w:val="004C0991"/>
    <w:rsid w:val="004C0B4A"/>
    <w:rsid w:val="004C0CBE"/>
    <w:rsid w:val="004C0CEC"/>
    <w:rsid w:val="004C1062"/>
    <w:rsid w:val="004C1240"/>
    <w:rsid w:val="004C17B4"/>
    <w:rsid w:val="004C18A5"/>
    <w:rsid w:val="004C196B"/>
    <w:rsid w:val="004C1BF7"/>
    <w:rsid w:val="004C1C9E"/>
    <w:rsid w:val="004C2324"/>
    <w:rsid w:val="004C2696"/>
    <w:rsid w:val="004C3650"/>
    <w:rsid w:val="004C394E"/>
    <w:rsid w:val="004C3AFB"/>
    <w:rsid w:val="004C4291"/>
    <w:rsid w:val="004C4674"/>
    <w:rsid w:val="004C48A0"/>
    <w:rsid w:val="004C4CC1"/>
    <w:rsid w:val="004C4CF6"/>
    <w:rsid w:val="004C4ED9"/>
    <w:rsid w:val="004C52DB"/>
    <w:rsid w:val="004C53DC"/>
    <w:rsid w:val="004C5913"/>
    <w:rsid w:val="004C5C01"/>
    <w:rsid w:val="004C5D05"/>
    <w:rsid w:val="004C5D8D"/>
    <w:rsid w:val="004C5DDE"/>
    <w:rsid w:val="004C6065"/>
    <w:rsid w:val="004C6201"/>
    <w:rsid w:val="004C67E2"/>
    <w:rsid w:val="004C6CAB"/>
    <w:rsid w:val="004C728A"/>
    <w:rsid w:val="004C797A"/>
    <w:rsid w:val="004C7E11"/>
    <w:rsid w:val="004C7EC4"/>
    <w:rsid w:val="004D0936"/>
    <w:rsid w:val="004D0F65"/>
    <w:rsid w:val="004D13F9"/>
    <w:rsid w:val="004D1407"/>
    <w:rsid w:val="004D17F4"/>
    <w:rsid w:val="004D1998"/>
    <w:rsid w:val="004D1AFD"/>
    <w:rsid w:val="004D1BF6"/>
    <w:rsid w:val="004D2162"/>
    <w:rsid w:val="004D2A4A"/>
    <w:rsid w:val="004D2BF7"/>
    <w:rsid w:val="004D3335"/>
    <w:rsid w:val="004D3A91"/>
    <w:rsid w:val="004D3E36"/>
    <w:rsid w:val="004D3E83"/>
    <w:rsid w:val="004D3EAE"/>
    <w:rsid w:val="004D3F04"/>
    <w:rsid w:val="004D411E"/>
    <w:rsid w:val="004D449A"/>
    <w:rsid w:val="004D4996"/>
    <w:rsid w:val="004D54FB"/>
    <w:rsid w:val="004D5C13"/>
    <w:rsid w:val="004D5C47"/>
    <w:rsid w:val="004D5CD1"/>
    <w:rsid w:val="004D5FE1"/>
    <w:rsid w:val="004D5FF2"/>
    <w:rsid w:val="004D606E"/>
    <w:rsid w:val="004D61B7"/>
    <w:rsid w:val="004D652B"/>
    <w:rsid w:val="004D6821"/>
    <w:rsid w:val="004D6A4C"/>
    <w:rsid w:val="004D6DC3"/>
    <w:rsid w:val="004D7222"/>
    <w:rsid w:val="004D7224"/>
    <w:rsid w:val="004D77E3"/>
    <w:rsid w:val="004D796F"/>
    <w:rsid w:val="004D7A2A"/>
    <w:rsid w:val="004D7D4F"/>
    <w:rsid w:val="004E0244"/>
    <w:rsid w:val="004E052E"/>
    <w:rsid w:val="004E0C52"/>
    <w:rsid w:val="004E0D75"/>
    <w:rsid w:val="004E0EAC"/>
    <w:rsid w:val="004E1069"/>
    <w:rsid w:val="004E12BB"/>
    <w:rsid w:val="004E183B"/>
    <w:rsid w:val="004E1FD8"/>
    <w:rsid w:val="004E25CD"/>
    <w:rsid w:val="004E2B46"/>
    <w:rsid w:val="004E2B96"/>
    <w:rsid w:val="004E2CCC"/>
    <w:rsid w:val="004E2E5A"/>
    <w:rsid w:val="004E3459"/>
    <w:rsid w:val="004E348E"/>
    <w:rsid w:val="004E3A9B"/>
    <w:rsid w:val="004E3D2F"/>
    <w:rsid w:val="004E3D6B"/>
    <w:rsid w:val="004E3FBA"/>
    <w:rsid w:val="004E42E6"/>
    <w:rsid w:val="004E4591"/>
    <w:rsid w:val="004E459A"/>
    <w:rsid w:val="004E4869"/>
    <w:rsid w:val="004E4A46"/>
    <w:rsid w:val="004E4DF1"/>
    <w:rsid w:val="004E506B"/>
    <w:rsid w:val="004E53CC"/>
    <w:rsid w:val="004E5C1B"/>
    <w:rsid w:val="004E5F66"/>
    <w:rsid w:val="004E608B"/>
    <w:rsid w:val="004E615F"/>
    <w:rsid w:val="004E6D17"/>
    <w:rsid w:val="004E7905"/>
    <w:rsid w:val="004E7DA3"/>
    <w:rsid w:val="004F026E"/>
    <w:rsid w:val="004F07A0"/>
    <w:rsid w:val="004F0A21"/>
    <w:rsid w:val="004F0B1D"/>
    <w:rsid w:val="004F0B1E"/>
    <w:rsid w:val="004F0BF9"/>
    <w:rsid w:val="004F0D46"/>
    <w:rsid w:val="004F0EDD"/>
    <w:rsid w:val="004F1257"/>
    <w:rsid w:val="004F1D79"/>
    <w:rsid w:val="004F2000"/>
    <w:rsid w:val="004F26D8"/>
    <w:rsid w:val="004F26EE"/>
    <w:rsid w:val="004F27B3"/>
    <w:rsid w:val="004F2A5C"/>
    <w:rsid w:val="004F2B2D"/>
    <w:rsid w:val="004F2F12"/>
    <w:rsid w:val="004F32EC"/>
    <w:rsid w:val="004F3B27"/>
    <w:rsid w:val="004F42F7"/>
    <w:rsid w:val="004F46CA"/>
    <w:rsid w:val="004F4D47"/>
    <w:rsid w:val="004F520F"/>
    <w:rsid w:val="004F5991"/>
    <w:rsid w:val="004F5A44"/>
    <w:rsid w:val="004F5ABC"/>
    <w:rsid w:val="004F5F3F"/>
    <w:rsid w:val="004F71B8"/>
    <w:rsid w:val="004F7AE0"/>
    <w:rsid w:val="004F7DCC"/>
    <w:rsid w:val="005002D0"/>
    <w:rsid w:val="00500427"/>
    <w:rsid w:val="0050054F"/>
    <w:rsid w:val="005008D5"/>
    <w:rsid w:val="00500D78"/>
    <w:rsid w:val="00500D7A"/>
    <w:rsid w:val="00500EAD"/>
    <w:rsid w:val="00500EC9"/>
    <w:rsid w:val="0050121E"/>
    <w:rsid w:val="005012B7"/>
    <w:rsid w:val="005018F9"/>
    <w:rsid w:val="00501B53"/>
    <w:rsid w:val="00501DCC"/>
    <w:rsid w:val="00501F70"/>
    <w:rsid w:val="00502613"/>
    <w:rsid w:val="00502F0B"/>
    <w:rsid w:val="00502F0C"/>
    <w:rsid w:val="00502F72"/>
    <w:rsid w:val="00503289"/>
    <w:rsid w:val="00503571"/>
    <w:rsid w:val="00503808"/>
    <w:rsid w:val="00503F21"/>
    <w:rsid w:val="00504261"/>
    <w:rsid w:val="00504FD5"/>
    <w:rsid w:val="005053B2"/>
    <w:rsid w:val="0050589D"/>
    <w:rsid w:val="00505BE1"/>
    <w:rsid w:val="00506048"/>
    <w:rsid w:val="0050607A"/>
    <w:rsid w:val="0050645A"/>
    <w:rsid w:val="005069C0"/>
    <w:rsid w:val="00506D40"/>
    <w:rsid w:val="0050712F"/>
    <w:rsid w:val="00507A95"/>
    <w:rsid w:val="00510357"/>
    <w:rsid w:val="005105BD"/>
    <w:rsid w:val="005109A7"/>
    <w:rsid w:val="00510A46"/>
    <w:rsid w:val="00510AC3"/>
    <w:rsid w:val="00510C56"/>
    <w:rsid w:val="00510D77"/>
    <w:rsid w:val="005110BF"/>
    <w:rsid w:val="00511322"/>
    <w:rsid w:val="005115DD"/>
    <w:rsid w:val="0051177C"/>
    <w:rsid w:val="00511CDC"/>
    <w:rsid w:val="00512542"/>
    <w:rsid w:val="00512772"/>
    <w:rsid w:val="00512E53"/>
    <w:rsid w:val="00513464"/>
    <w:rsid w:val="00513877"/>
    <w:rsid w:val="0051387F"/>
    <w:rsid w:val="00513C36"/>
    <w:rsid w:val="00513C44"/>
    <w:rsid w:val="00513D0E"/>
    <w:rsid w:val="00514016"/>
    <w:rsid w:val="00514128"/>
    <w:rsid w:val="0051413D"/>
    <w:rsid w:val="005144FA"/>
    <w:rsid w:val="0051485D"/>
    <w:rsid w:val="00514B2F"/>
    <w:rsid w:val="00514E7E"/>
    <w:rsid w:val="0051551D"/>
    <w:rsid w:val="005156B6"/>
    <w:rsid w:val="0051587F"/>
    <w:rsid w:val="00515B66"/>
    <w:rsid w:val="00515CC9"/>
    <w:rsid w:val="00515FE3"/>
    <w:rsid w:val="0051641E"/>
    <w:rsid w:val="00516721"/>
    <w:rsid w:val="00516737"/>
    <w:rsid w:val="00516957"/>
    <w:rsid w:val="00516B10"/>
    <w:rsid w:val="00516DBC"/>
    <w:rsid w:val="005170A6"/>
    <w:rsid w:val="005170DC"/>
    <w:rsid w:val="00517260"/>
    <w:rsid w:val="00517559"/>
    <w:rsid w:val="0051794B"/>
    <w:rsid w:val="0052015B"/>
    <w:rsid w:val="005201AE"/>
    <w:rsid w:val="00520B8A"/>
    <w:rsid w:val="00520B8D"/>
    <w:rsid w:val="00520DC4"/>
    <w:rsid w:val="00521278"/>
    <w:rsid w:val="00521BA1"/>
    <w:rsid w:val="00521DAF"/>
    <w:rsid w:val="005221F8"/>
    <w:rsid w:val="005225F2"/>
    <w:rsid w:val="00522DE1"/>
    <w:rsid w:val="00522FBD"/>
    <w:rsid w:val="00523049"/>
    <w:rsid w:val="00523937"/>
    <w:rsid w:val="00523D6E"/>
    <w:rsid w:val="005240D8"/>
    <w:rsid w:val="005241A9"/>
    <w:rsid w:val="0052426B"/>
    <w:rsid w:val="00524B76"/>
    <w:rsid w:val="0052503A"/>
    <w:rsid w:val="005250D6"/>
    <w:rsid w:val="0052513B"/>
    <w:rsid w:val="00525146"/>
    <w:rsid w:val="005254E3"/>
    <w:rsid w:val="00525698"/>
    <w:rsid w:val="005258FB"/>
    <w:rsid w:val="0052593F"/>
    <w:rsid w:val="00525A68"/>
    <w:rsid w:val="00525A6E"/>
    <w:rsid w:val="00525B25"/>
    <w:rsid w:val="00525CDB"/>
    <w:rsid w:val="00525D10"/>
    <w:rsid w:val="00525EBA"/>
    <w:rsid w:val="00526E29"/>
    <w:rsid w:val="00526F72"/>
    <w:rsid w:val="00527304"/>
    <w:rsid w:val="00527510"/>
    <w:rsid w:val="005276B4"/>
    <w:rsid w:val="00527880"/>
    <w:rsid w:val="00527953"/>
    <w:rsid w:val="00527AF1"/>
    <w:rsid w:val="00527E25"/>
    <w:rsid w:val="00530A08"/>
    <w:rsid w:val="005311B5"/>
    <w:rsid w:val="0053178D"/>
    <w:rsid w:val="005319FB"/>
    <w:rsid w:val="00531CB7"/>
    <w:rsid w:val="00531F86"/>
    <w:rsid w:val="00531FD2"/>
    <w:rsid w:val="0053219A"/>
    <w:rsid w:val="00532378"/>
    <w:rsid w:val="005324E4"/>
    <w:rsid w:val="0053256D"/>
    <w:rsid w:val="0053290B"/>
    <w:rsid w:val="00532A03"/>
    <w:rsid w:val="00532BC8"/>
    <w:rsid w:val="00532D2A"/>
    <w:rsid w:val="00533017"/>
    <w:rsid w:val="005331A9"/>
    <w:rsid w:val="00533482"/>
    <w:rsid w:val="00533547"/>
    <w:rsid w:val="005336B9"/>
    <w:rsid w:val="00533978"/>
    <w:rsid w:val="00534246"/>
    <w:rsid w:val="005344BF"/>
    <w:rsid w:val="005344EA"/>
    <w:rsid w:val="0053455A"/>
    <w:rsid w:val="00534617"/>
    <w:rsid w:val="005347B6"/>
    <w:rsid w:val="005349A0"/>
    <w:rsid w:val="00535001"/>
    <w:rsid w:val="00535092"/>
    <w:rsid w:val="00535305"/>
    <w:rsid w:val="00535810"/>
    <w:rsid w:val="005359A9"/>
    <w:rsid w:val="00535B45"/>
    <w:rsid w:val="005360B6"/>
    <w:rsid w:val="005363AB"/>
    <w:rsid w:val="005367CA"/>
    <w:rsid w:val="00537DBB"/>
    <w:rsid w:val="00537E5B"/>
    <w:rsid w:val="00540320"/>
    <w:rsid w:val="00540378"/>
    <w:rsid w:val="00540B65"/>
    <w:rsid w:val="00540E0B"/>
    <w:rsid w:val="00541028"/>
    <w:rsid w:val="005410F0"/>
    <w:rsid w:val="00541414"/>
    <w:rsid w:val="00541551"/>
    <w:rsid w:val="0054176A"/>
    <w:rsid w:val="00541770"/>
    <w:rsid w:val="00541924"/>
    <w:rsid w:val="00541BC7"/>
    <w:rsid w:val="005421F0"/>
    <w:rsid w:val="00542544"/>
    <w:rsid w:val="00542A60"/>
    <w:rsid w:val="00542C98"/>
    <w:rsid w:val="00542CC9"/>
    <w:rsid w:val="00542D76"/>
    <w:rsid w:val="00542EA3"/>
    <w:rsid w:val="00543DC8"/>
    <w:rsid w:val="00543E04"/>
    <w:rsid w:val="005442C1"/>
    <w:rsid w:val="0054432A"/>
    <w:rsid w:val="005445A6"/>
    <w:rsid w:val="00544BD7"/>
    <w:rsid w:val="00544D15"/>
    <w:rsid w:val="00544FAF"/>
    <w:rsid w:val="005451CE"/>
    <w:rsid w:val="00545D6C"/>
    <w:rsid w:val="00546696"/>
    <w:rsid w:val="005466EC"/>
    <w:rsid w:val="00547238"/>
    <w:rsid w:val="00547321"/>
    <w:rsid w:val="00547905"/>
    <w:rsid w:val="005479F0"/>
    <w:rsid w:val="00547A66"/>
    <w:rsid w:val="00547BD8"/>
    <w:rsid w:val="00547E76"/>
    <w:rsid w:val="00550113"/>
    <w:rsid w:val="0055015D"/>
    <w:rsid w:val="005502D2"/>
    <w:rsid w:val="00550708"/>
    <w:rsid w:val="00550ABE"/>
    <w:rsid w:val="00550B58"/>
    <w:rsid w:val="00550C2F"/>
    <w:rsid w:val="00551B8D"/>
    <w:rsid w:val="00551C7D"/>
    <w:rsid w:val="00551EC6"/>
    <w:rsid w:val="005521BF"/>
    <w:rsid w:val="00552204"/>
    <w:rsid w:val="00552416"/>
    <w:rsid w:val="00552490"/>
    <w:rsid w:val="00552868"/>
    <w:rsid w:val="0055298B"/>
    <w:rsid w:val="00552BF7"/>
    <w:rsid w:val="00553030"/>
    <w:rsid w:val="00553441"/>
    <w:rsid w:val="00554442"/>
    <w:rsid w:val="00554838"/>
    <w:rsid w:val="00554B05"/>
    <w:rsid w:val="00554C4C"/>
    <w:rsid w:val="00554C5F"/>
    <w:rsid w:val="00554E2C"/>
    <w:rsid w:val="00554E85"/>
    <w:rsid w:val="005552ED"/>
    <w:rsid w:val="005555B7"/>
    <w:rsid w:val="00555719"/>
    <w:rsid w:val="00555A14"/>
    <w:rsid w:val="00555C63"/>
    <w:rsid w:val="00555E7B"/>
    <w:rsid w:val="00555F3D"/>
    <w:rsid w:val="005560CE"/>
    <w:rsid w:val="005560CF"/>
    <w:rsid w:val="005561F7"/>
    <w:rsid w:val="00556557"/>
    <w:rsid w:val="00556D62"/>
    <w:rsid w:val="0055707C"/>
    <w:rsid w:val="005572AC"/>
    <w:rsid w:val="0055747D"/>
    <w:rsid w:val="0055752E"/>
    <w:rsid w:val="00557657"/>
    <w:rsid w:val="00557AF4"/>
    <w:rsid w:val="00557D0B"/>
    <w:rsid w:val="00557EBF"/>
    <w:rsid w:val="00560186"/>
    <w:rsid w:val="005601FE"/>
    <w:rsid w:val="00560580"/>
    <w:rsid w:val="0056091E"/>
    <w:rsid w:val="00560BCE"/>
    <w:rsid w:val="00560C02"/>
    <w:rsid w:val="00560CC7"/>
    <w:rsid w:val="00560CDB"/>
    <w:rsid w:val="00560F99"/>
    <w:rsid w:val="005616FA"/>
    <w:rsid w:val="00561876"/>
    <w:rsid w:val="005620F3"/>
    <w:rsid w:val="00562805"/>
    <w:rsid w:val="00562E41"/>
    <w:rsid w:val="00562F86"/>
    <w:rsid w:val="00562FA1"/>
    <w:rsid w:val="00563213"/>
    <w:rsid w:val="005637F3"/>
    <w:rsid w:val="0056388C"/>
    <w:rsid w:val="0056407F"/>
    <w:rsid w:val="00564378"/>
    <w:rsid w:val="00564A75"/>
    <w:rsid w:val="00564C7A"/>
    <w:rsid w:val="005652E2"/>
    <w:rsid w:val="00565406"/>
    <w:rsid w:val="005654DC"/>
    <w:rsid w:val="00565C47"/>
    <w:rsid w:val="00566837"/>
    <w:rsid w:val="00566E07"/>
    <w:rsid w:val="00567225"/>
    <w:rsid w:val="005672B2"/>
    <w:rsid w:val="00567443"/>
    <w:rsid w:val="005674B6"/>
    <w:rsid w:val="00567EAE"/>
    <w:rsid w:val="0057039C"/>
    <w:rsid w:val="0057042B"/>
    <w:rsid w:val="00570759"/>
    <w:rsid w:val="0057086E"/>
    <w:rsid w:val="00570884"/>
    <w:rsid w:val="0057095F"/>
    <w:rsid w:val="00570D83"/>
    <w:rsid w:val="00570FF6"/>
    <w:rsid w:val="00571814"/>
    <w:rsid w:val="00571846"/>
    <w:rsid w:val="00571A27"/>
    <w:rsid w:val="00571A3C"/>
    <w:rsid w:val="00571BD3"/>
    <w:rsid w:val="00571E56"/>
    <w:rsid w:val="00572657"/>
    <w:rsid w:val="005727BE"/>
    <w:rsid w:val="005728F2"/>
    <w:rsid w:val="00572956"/>
    <w:rsid w:val="00573198"/>
    <w:rsid w:val="00573428"/>
    <w:rsid w:val="00573513"/>
    <w:rsid w:val="00573C15"/>
    <w:rsid w:val="00573C6B"/>
    <w:rsid w:val="00573DBA"/>
    <w:rsid w:val="005743F4"/>
    <w:rsid w:val="00574599"/>
    <w:rsid w:val="00574617"/>
    <w:rsid w:val="00574A53"/>
    <w:rsid w:val="00574F56"/>
    <w:rsid w:val="005757E6"/>
    <w:rsid w:val="00575929"/>
    <w:rsid w:val="00575CC7"/>
    <w:rsid w:val="00575D4D"/>
    <w:rsid w:val="005762E8"/>
    <w:rsid w:val="0057666C"/>
    <w:rsid w:val="005769B6"/>
    <w:rsid w:val="00576A46"/>
    <w:rsid w:val="00576ACE"/>
    <w:rsid w:val="005777F7"/>
    <w:rsid w:val="005801A1"/>
    <w:rsid w:val="0058040C"/>
    <w:rsid w:val="0058045F"/>
    <w:rsid w:val="00580F29"/>
    <w:rsid w:val="00581069"/>
    <w:rsid w:val="00581230"/>
    <w:rsid w:val="00581461"/>
    <w:rsid w:val="00581D3D"/>
    <w:rsid w:val="005821D2"/>
    <w:rsid w:val="005823C2"/>
    <w:rsid w:val="0058245D"/>
    <w:rsid w:val="00582706"/>
    <w:rsid w:val="00582742"/>
    <w:rsid w:val="00582811"/>
    <w:rsid w:val="0058291F"/>
    <w:rsid w:val="00582F5A"/>
    <w:rsid w:val="005831EE"/>
    <w:rsid w:val="00583A10"/>
    <w:rsid w:val="00583BF9"/>
    <w:rsid w:val="00583C09"/>
    <w:rsid w:val="00583DB4"/>
    <w:rsid w:val="0058431E"/>
    <w:rsid w:val="005846F0"/>
    <w:rsid w:val="0058479E"/>
    <w:rsid w:val="005847AE"/>
    <w:rsid w:val="00584898"/>
    <w:rsid w:val="0058508A"/>
    <w:rsid w:val="005855FD"/>
    <w:rsid w:val="00585C26"/>
    <w:rsid w:val="00585EB9"/>
    <w:rsid w:val="005860AC"/>
    <w:rsid w:val="00586152"/>
    <w:rsid w:val="005865F4"/>
    <w:rsid w:val="00586AAC"/>
    <w:rsid w:val="00586B33"/>
    <w:rsid w:val="00586EAE"/>
    <w:rsid w:val="005871F2"/>
    <w:rsid w:val="00587FC9"/>
    <w:rsid w:val="005905F9"/>
    <w:rsid w:val="0059087B"/>
    <w:rsid w:val="00590A94"/>
    <w:rsid w:val="00590CD6"/>
    <w:rsid w:val="00590E30"/>
    <w:rsid w:val="00590F2B"/>
    <w:rsid w:val="005910F8"/>
    <w:rsid w:val="005918DD"/>
    <w:rsid w:val="005918E4"/>
    <w:rsid w:val="00591E9A"/>
    <w:rsid w:val="005929BF"/>
    <w:rsid w:val="00592EDC"/>
    <w:rsid w:val="00592FA7"/>
    <w:rsid w:val="0059336F"/>
    <w:rsid w:val="005937CF"/>
    <w:rsid w:val="005937F9"/>
    <w:rsid w:val="00593ED4"/>
    <w:rsid w:val="00593FD0"/>
    <w:rsid w:val="005948CC"/>
    <w:rsid w:val="00594C10"/>
    <w:rsid w:val="00595048"/>
    <w:rsid w:val="005955C0"/>
    <w:rsid w:val="005956D8"/>
    <w:rsid w:val="005957AE"/>
    <w:rsid w:val="00595C3A"/>
    <w:rsid w:val="00595C60"/>
    <w:rsid w:val="00595D6B"/>
    <w:rsid w:val="00596177"/>
    <w:rsid w:val="0059619D"/>
    <w:rsid w:val="0059674B"/>
    <w:rsid w:val="0059698D"/>
    <w:rsid w:val="00596CB2"/>
    <w:rsid w:val="00596FDB"/>
    <w:rsid w:val="005970D0"/>
    <w:rsid w:val="005A03A5"/>
    <w:rsid w:val="005A052F"/>
    <w:rsid w:val="005A0696"/>
    <w:rsid w:val="005A1034"/>
    <w:rsid w:val="005A1178"/>
    <w:rsid w:val="005A1B01"/>
    <w:rsid w:val="005A20E5"/>
    <w:rsid w:val="005A2654"/>
    <w:rsid w:val="005A279C"/>
    <w:rsid w:val="005A28FB"/>
    <w:rsid w:val="005A29EF"/>
    <w:rsid w:val="005A2A83"/>
    <w:rsid w:val="005A2B0D"/>
    <w:rsid w:val="005A2E5F"/>
    <w:rsid w:val="005A397D"/>
    <w:rsid w:val="005A3C56"/>
    <w:rsid w:val="005A3CBA"/>
    <w:rsid w:val="005A410D"/>
    <w:rsid w:val="005A45C4"/>
    <w:rsid w:val="005A49C3"/>
    <w:rsid w:val="005A4C3D"/>
    <w:rsid w:val="005A4E44"/>
    <w:rsid w:val="005A571E"/>
    <w:rsid w:val="005A5AFE"/>
    <w:rsid w:val="005A5DF5"/>
    <w:rsid w:val="005A62F9"/>
    <w:rsid w:val="005A656F"/>
    <w:rsid w:val="005A6703"/>
    <w:rsid w:val="005A6909"/>
    <w:rsid w:val="005A6D37"/>
    <w:rsid w:val="005A6E9D"/>
    <w:rsid w:val="005A706A"/>
    <w:rsid w:val="005A7419"/>
    <w:rsid w:val="005A7DCB"/>
    <w:rsid w:val="005A7EE3"/>
    <w:rsid w:val="005A7EFD"/>
    <w:rsid w:val="005B0430"/>
    <w:rsid w:val="005B04F0"/>
    <w:rsid w:val="005B0676"/>
    <w:rsid w:val="005B0834"/>
    <w:rsid w:val="005B0AA3"/>
    <w:rsid w:val="005B0E68"/>
    <w:rsid w:val="005B1200"/>
    <w:rsid w:val="005B1AE2"/>
    <w:rsid w:val="005B1EB3"/>
    <w:rsid w:val="005B1F03"/>
    <w:rsid w:val="005B1FCA"/>
    <w:rsid w:val="005B2213"/>
    <w:rsid w:val="005B2BE7"/>
    <w:rsid w:val="005B2C29"/>
    <w:rsid w:val="005B2D73"/>
    <w:rsid w:val="005B3763"/>
    <w:rsid w:val="005B3B2E"/>
    <w:rsid w:val="005B3CE8"/>
    <w:rsid w:val="005B3EDE"/>
    <w:rsid w:val="005B4085"/>
    <w:rsid w:val="005B40B6"/>
    <w:rsid w:val="005B4AE6"/>
    <w:rsid w:val="005B5195"/>
    <w:rsid w:val="005B51F7"/>
    <w:rsid w:val="005B53EE"/>
    <w:rsid w:val="005B5659"/>
    <w:rsid w:val="005B567D"/>
    <w:rsid w:val="005B5FC9"/>
    <w:rsid w:val="005B6453"/>
    <w:rsid w:val="005B69CB"/>
    <w:rsid w:val="005B6E44"/>
    <w:rsid w:val="005B6E70"/>
    <w:rsid w:val="005B779A"/>
    <w:rsid w:val="005B78AE"/>
    <w:rsid w:val="005B7F27"/>
    <w:rsid w:val="005C0271"/>
    <w:rsid w:val="005C02F5"/>
    <w:rsid w:val="005C0BEB"/>
    <w:rsid w:val="005C0C71"/>
    <w:rsid w:val="005C0DDC"/>
    <w:rsid w:val="005C0F45"/>
    <w:rsid w:val="005C18E6"/>
    <w:rsid w:val="005C202F"/>
    <w:rsid w:val="005C2315"/>
    <w:rsid w:val="005C2328"/>
    <w:rsid w:val="005C267A"/>
    <w:rsid w:val="005C29B6"/>
    <w:rsid w:val="005C2B04"/>
    <w:rsid w:val="005C30A1"/>
    <w:rsid w:val="005C32B4"/>
    <w:rsid w:val="005C357F"/>
    <w:rsid w:val="005C3684"/>
    <w:rsid w:val="005C39A9"/>
    <w:rsid w:val="005C3C1C"/>
    <w:rsid w:val="005C3EF2"/>
    <w:rsid w:val="005C41B8"/>
    <w:rsid w:val="005C4427"/>
    <w:rsid w:val="005C477C"/>
    <w:rsid w:val="005C48BA"/>
    <w:rsid w:val="005C49EA"/>
    <w:rsid w:val="005C4A7E"/>
    <w:rsid w:val="005C4C27"/>
    <w:rsid w:val="005C4F3B"/>
    <w:rsid w:val="005C53C4"/>
    <w:rsid w:val="005C6728"/>
    <w:rsid w:val="005C6AF4"/>
    <w:rsid w:val="005C6E4D"/>
    <w:rsid w:val="005C6F46"/>
    <w:rsid w:val="005C6FBD"/>
    <w:rsid w:val="005C7664"/>
    <w:rsid w:val="005C783F"/>
    <w:rsid w:val="005C79AF"/>
    <w:rsid w:val="005C7D84"/>
    <w:rsid w:val="005D0C67"/>
    <w:rsid w:val="005D0C99"/>
    <w:rsid w:val="005D0DDC"/>
    <w:rsid w:val="005D0EAD"/>
    <w:rsid w:val="005D1243"/>
    <w:rsid w:val="005D13BB"/>
    <w:rsid w:val="005D1541"/>
    <w:rsid w:val="005D1945"/>
    <w:rsid w:val="005D1B64"/>
    <w:rsid w:val="005D1D5A"/>
    <w:rsid w:val="005D1DE3"/>
    <w:rsid w:val="005D1F41"/>
    <w:rsid w:val="005D218D"/>
    <w:rsid w:val="005D2273"/>
    <w:rsid w:val="005D270E"/>
    <w:rsid w:val="005D297A"/>
    <w:rsid w:val="005D2A4B"/>
    <w:rsid w:val="005D2FF9"/>
    <w:rsid w:val="005D30CE"/>
    <w:rsid w:val="005D32FF"/>
    <w:rsid w:val="005D3336"/>
    <w:rsid w:val="005D337E"/>
    <w:rsid w:val="005D3531"/>
    <w:rsid w:val="005D35CC"/>
    <w:rsid w:val="005D38F9"/>
    <w:rsid w:val="005D3C73"/>
    <w:rsid w:val="005D3E46"/>
    <w:rsid w:val="005D3F46"/>
    <w:rsid w:val="005D4074"/>
    <w:rsid w:val="005D417E"/>
    <w:rsid w:val="005D449D"/>
    <w:rsid w:val="005D4958"/>
    <w:rsid w:val="005D4CB9"/>
    <w:rsid w:val="005D5109"/>
    <w:rsid w:val="005D58A2"/>
    <w:rsid w:val="005D5A14"/>
    <w:rsid w:val="005D5E9B"/>
    <w:rsid w:val="005D659F"/>
    <w:rsid w:val="005D677D"/>
    <w:rsid w:val="005D6881"/>
    <w:rsid w:val="005D6984"/>
    <w:rsid w:val="005D6EB2"/>
    <w:rsid w:val="005D748D"/>
    <w:rsid w:val="005D7A02"/>
    <w:rsid w:val="005D7D7C"/>
    <w:rsid w:val="005D7E78"/>
    <w:rsid w:val="005D7F90"/>
    <w:rsid w:val="005DBA45"/>
    <w:rsid w:val="005E0346"/>
    <w:rsid w:val="005E036D"/>
    <w:rsid w:val="005E0848"/>
    <w:rsid w:val="005E08D6"/>
    <w:rsid w:val="005E1632"/>
    <w:rsid w:val="005E165D"/>
    <w:rsid w:val="005E1813"/>
    <w:rsid w:val="005E1F14"/>
    <w:rsid w:val="005E22FA"/>
    <w:rsid w:val="005E240E"/>
    <w:rsid w:val="005E2429"/>
    <w:rsid w:val="005E2442"/>
    <w:rsid w:val="005E25B2"/>
    <w:rsid w:val="005E2652"/>
    <w:rsid w:val="005E2CEE"/>
    <w:rsid w:val="005E2E3E"/>
    <w:rsid w:val="005E2EC3"/>
    <w:rsid w:val="005E3125"/>
    <w:rsid w:val="005E31EA"/>
    <w:rsid w:val="005E3A2E"/>
    <w:rsid w:val="005E3B19"/>
    <w:rsid w:val="005E4543"/>
    <w:rsid w:val="005E46C9"/>
    <w:rsid w:val="005E48A3"/>
    <w:rsid w:val="005E4AAC"/>
    <w:rsid w:val="005E4C24"/>
    <w:rsid w:val="005E500C"/>
    <w:rsid w:val="005E5462"/>
    <w:rsid w:val="005E5684"/>
    <w:rsid w:val="005E59B8"/>
    <w:rsid w:val="005E5A57"/>
    <w:rsid w:val="005E5CFD"/>
    <w:rsid w:val="005E5DA1"/>
    <w:rsid w:val="005E5F62"/>
    <w:rsid w:val="005E60B6"/>
    <w:rsid w:val="005E6159"/>
    <w:rsid w:val="005E6414"/>
    <w:rsid w:val="005E6432"/>
    <w:rsid w:val="005E6B78"/>
    <w:rsid w:val="005E6BA9"/>
    <w:rsid w:val="005E6C2E"/>
    <w:rsid w:val="005E74D1"/>
    <w:rsid w:val="005E7C80"/>
    <w:rsid w:val="005E7E32"/>
    <w:rsid w:val="005F0430"/>
    <w:rsid w:val="005F06AC"/>
    <w:rsid w:val="005F0CF7"/>
    <w:rsid w:val="005F0CFC"/>
    <w:rsid w:val="005F0E95"/>
    <w:rsid w:val="005F128D"/>
    <w:rsid w:val="005F13BB"/>
    <w:rsid w:val="005F162B"/>
    <w:rsid w:val="005F18CE"/>
    <w:rsid w:val="005F1B6D"/>
    <w:rsid w:val="005F2DFC"/>
    <w:rsid w:val="005F2F00"/>
    <w:rsid w:val="005F342D"/>
    <w:rsid w:val="005F371B"/>
    <w:rsid w:val="005F38E2"/>
    <w:rsid w:val="005F3DE1"/>
    <w:rsid w:val="005F43C4"/>
    <w:rsid w:val="005F45C6"/>
    <w:rsid w:val="005F45DD"/>
    <w:rsid w:val="005F49CC"/>
    <w:rsid w:val="005F4E0C"/>
    <w:rsid w:val="005F4E6F"/>
    <w:rsid w:val="005F544F"/>
    <w:rsid w:val="005F54A2"/>
    <w:rsid w:val="005F55CF"/>
    <w:rsid w:val="005F5C8B"/>
    <w:rsid w:val="005F5D63"/>
    <w:rsid w:val="005F62A2"/>
    <w:rsid w:val="005F66D3"/>
    <w:rsid w:val="005F6B07"/>
    <w:rsid w:val="005F6C3B"/>
    <w:rsid w:val="005F6CC5"/>
    <w:rsid w:val="005F6CDE"/>
    <w:rsid w:val="005F6D3F"/>
    <w:rsid w:val="005F6DB5"/>
    <w:rsid w:val="005F6F22"/>
    <w:rsid w:val="005F709E"/>
    <w:rsid w:val="005F72E6"/>
    <w:rsid w:val="005F765A"/>
    <w:rsid w:val="005F76BE"/>
    <w:rsid w:val="005F77AE"/>
    <w:rsid w:val="005F7992"/>
    <w:rsid w:val="005F7A11"/>
    <w:rsid w:val="005F7A2F"/>
    <w:rsid w:val="005F7F66"/>
    <w:rsid w:val="006005A8"/>
    <w:rsid w:val="00600613"/>
    <w:rsid w:val="006007CA"/>
    <w:rsid w:val="00600865"/>
    <w:rsid w:val="00600F8D"/>
    <w:rsid w:val="00601C99"/>
    <w:rsid w:val="00601CF1"/>
    <w:rsid w:val="006022B9"/>
    <w:rsid w:val="006022D1"/>
    <w:rsid w:val="00602402"/>
    <w:rsid w:val="00602764"/>
    <w:rsid w:val="00603354"/>
    <w:rsid w:val="00603655"/>
    <w:rsid w:val="00603A31"/>
    <w:rsid w:val="00603B76"/>
    <w:rsid w:val="00603D64"/>
    <w:rsid w:val="00603F2C"/>
    <w:rsid w:val="00604330"/>
    <w:rsid w:val="006043F3"/>
    <w:rsid w:val="00604428"/>
    <w:rsid w:val="0060443F"/>
    <w:rsid w:val="00604617"/>
    <w:rsid w:val="00604897"/>
    <w:rsid w:val="006050DD"/>
    <w:rsid w:val="00605270"/>
    <w:rsid w:val="00605AB2"/>
    <w:rsid w:val="00605EBA"/>
    <w:rsid w:val="00605F1D"/>
    <w:rsid w:val="006060FF"/>
    <w:rsid w:val="00606ABC"/>
    <w:rsid w:val="00606FEC"/>
    <w:rsid w:val="00607202"/>
    <w:rsid w:val="00607216"/>
    <w:rsid w:val="00607766"/>
    <w:rsid w:val="00607AD3"/>
    <w:rsid w:val="00607F85"/>
    <w:rsid w:val="006101B7"/>
    <w:rsid w:val="006102CD"/>
    <w:rsid w:val="006102D9"/>
    <w:rsid w:val="006103DE"/>
    <w:rsid w:val="0061084E"/>
    <w:rsid w:val="006108A1"/>
    <w:rsid w:val="00610A52"/>
    <w:rsid w:val="00610D03"/>
    <w:rsid w:val="006119DA"/>
    <w:rsid w:val="00611AE2"/>
    <w:rsid w:val="00611DCE"/>
    <w:rsid w:val="00612004"/>
    <w:rsid w:val="006121DE"/>
    <w:rsid w:val="0061220C"/>
    <w:rsid w:val="006122F8"/>
    <w:rsid w:val="006129E5"/>
    <w:rsid w:val="00613328"/>
    <w:rsid w:val="006133A6"/>
    <w:rsid w:val="006134B7"/>
    <w:rsid w:val="00613BE8"/>
    <w:rsid w:val="00613D11"/>
    <w:rsid w:val="00613FF1"/>
    <w:rsid w:val="00614009"/>
    <w:rsid w:val="00614118"/>
    <w:rsid w:val="006146A9"/>
    <w:rsid w:val="006149A6"/>
    <w:rsid w:val="006149A7"/>
    <w:rsid w:val="00614FCA"/>
    <w:rsid w:val="00615341"/>
    <w:rsid w:val="006154AD"/>
    <w:rsid w:val="00615670"/>
    <w:rsid w:val="00615742"/>
    <w:rsid w:val="00615D69"/>
    <w:rsid w:val="00615E53"/>
    <w:rsid w:val="00616527"/>
    <w:rsid w:val="00616AE8"/>
    <w:rsid w:val="00616BDB"/>
    <w:rsid w:val="0061756C"/>
    <w:rsid w:val="006177D0"/>
    <w:rsid w:val="00617A6B"/>
    <w:rsid w:val="00617D89"/>
    <w:rsid w:val="00620711"/>
    <w:rsid w:val="00620F90"/>
    <w:rsid w:val="00621B0C"/>
    <w:rsid w:val="00621E68"/>
    <w:rsid w:val="0062243C"/>
    <w:rsid w:val="00622500"/>
    <w:rsid w:val="006226F3"/>
    <w:rsid w:val="006230D8"/>
    <w:rsid w:val="00623206"/>
    <w:rsid w:val="0062348B"/>
    <w:rsid w:val="00623709"/>
    <w:rsid w:val="00623D79"/>
    <w:rsid w:val="00623DD1"/>
    <w:rsid w:val="006243E1"/>
    <w:rsid w:val="0062466C"/>
    <w:rsid w:val="00624A9D"/>
    <w:rsid w:val="00624F9C"/>
    <w:rsid w:val="00624FDD"/>
    <w:rsid w:val="0062510A"/>
    <w:rsid w:val="006256D1"/>
    <w:rsid w:val="00625A9F"/>
    <w:rsid w:val="00625BE8"/>
    <w:rsid w:val="00625E4A"/>
    <w:rsid w:val="0062646D"/>
    <w:rsid w:val="0062691D"/>
    <w:rsid w:val="00626BE2"/>
    <w:rsid w:val="00626C6E"/>
    <w:rsid w:val="00626EE4"/>
    <w:rsid w:val="0062798C"/>
    <w:rsid w:val="0062798F"/>
    <w:rsid w:val="00627E82"/>
    <w:rsid w:val="00630373"/>
    <w:rsid w:val="006304C5"/>
    <w:rsid w:val="00630835"/>
    <w:rsid w:val="006309EC"/>
    <w:rsid w:val="006318A4"/>
    <w:rsid w:val="00631B65"/>
    <w:rsid w:val="00631E77"/>
    <w:rsid w:val="0063250B"/>
    <w:rsid w:val="00632546"/>
    <w:rsid w:val="0063274D"/>
    <w:rsid w:val="00632C61"/>
    <w:rsid w:val="00632F1D"/>
    <w:rsid w:val="006331F4"/>
    <w:rsid w:val="00633D04"/>
    <w:rsid w:val="00633E65"/>
    <w:rsid w:val="00633ED7"/>
    <w:rsid w:val="00634240"/>
    <w:rsid w:val="0063461C"/>
    <w:rsid w:val="006350D9"/>
    <w:rsid w:val="006352E4"/>
    <w:rsid w:val="00635BCD"/>
    <w:rsid w:val="00635C95"/>
    <w:rsid w:val="00635E1B"/>
    <w:rsid w:val="0063631F"/>
    <w:rsid w:val="0063697C"/>
    <w:rsid w:val="00636C28"/>
    <w:rsid w:val="00637486"/>
    <w:rsid w:val="00637BD3"/>
    <w:rsid w:val="00640453"/>
    <w:rsid w:val="00640C6C"/>
    <w:rsid w:val="00640E22"/>
    <w:rsid w:val="006410AF"/>
    <w:rsid w:val="006415AC"/>
    <w:rsid w:val="006415CC"/>
    <w:rsid w:val="00641A48"/>
    <w:rsid w:val="0064273F"/>
    <w:rsid w:val="00642C70"/>
    <w:rsid w:val="006430C9"/>
    <w:rsid w:val="00643149"/>
    <w:rsid w:val="0064334E"/>
    <w:rsid w:val="006435D2"/>
    <w:rsid w:val="006437BA"/>
    <w:rsid w:val="00643BDA"/>
    <w:rsid w:val="00643E8A"/>
    <w:rsid w:val="00643F5A"/>
    <w:rsid w:val="00644104"/>
    <w:rsid w:val="006445E6"/>
    <w:rsid w:val="00644640"/>
    <w:rsid w:val="006447ED"/>
    <w:rsid w:val="00644BFF"/>
    <w:rsid w:val="00644ECA"/>
    <w:rsid w:val="006450C8"/>
    <w:rsid w:val="00645149"/>
    <w:rsid w:val="0064655E"/>
    <w:rsid w:val="006467CF"/>
    <w:rsid w:val="00647064"/>
    <w:rsid w:val="00647547"/>
    <w:rsid w:val="006475F4"/>
    <w:rsid w:val="006478B8"/>
    <w:rsid w:val="006479D2"/>
    <w:rsid w:val="00647EC6"/>
    <w:rsid w:val="00647F2D"/>
    <w:rsid w:val="00650614"/>
    <w:rsid w:val="0065083A"/>
    <w:rsid w:val="006509A9"/>
    <w:rsid w:val="00650F55"/>
    <w:rsid w:val="00650FB4"/>
    <w:rsid w:val="00651572"/>
    <w:rsid w:val="006517BD"/>
    <w:rsid w:val="00651AA5"/>
    <w:rsid w:val="00651BE1"/>
    <w:rsid w:val="00651D41"/>
    <w:rsid w:val="006521C9"/>
    <w:rsid w:val="00652AF9"/>
    <w:rsid w:val="00652AFE"/>
    <w:rsid w:val="00652C03"/>
    <w:rsid w:val="00652C89"/>
    <w:rsid w:val="00652ECB"/>
    <w:rsid w:val="00653000"/>
    <w:rsid w:val="00653488"/>
    <w:rsid w:val="00653555"/>
    <w:rsid w:val="0065392F"/>
    <w:rsid w:val="00653BED"/>
    <w:rsid w:val="00654414"/>
    <w:rsid w:val="0065480B"/>
    <w:rsid w:val="00654AD6"/>
    <w:rsid w:val="00655151"/>
    <w:rsid w:val="0065526D"/>
    <w:rsid w:val="006556E5"/>
    <w:rsid w:val="00655700"/>
    <w:rsid w:val="00655C75"/>
    <w:rsid w:val="00655CC3"/>
    <w:rsid w:val="00655D1A"/>
    <w:rsid w:val="00655D7B"/>
    <w:rsid w:val="00655EF4"/>
    <w:rsid w:val="00656216"/>
    <w:rsid w:val="00656905"/>
    <w:rsid w:val="00656A7A"/>
    <w:rsid w:val="00656BE2"/>
    <w:rsid w:val="00656FCE"/>
    <w:rsid w:val="006572DA"/>
    <w:rsid w:val="00657529"/>
    <w:rsid w:val="006575CE"/>
    <w:rsid w:val="00657673"/>
    <w:rsid w:val="00657DBE"/>
    <w:rsid w:val="00657DD2"/>
    <w:rsid w:val="006600DE"/>
    <w:rsid w:val="006603D1"/>
    <w:rsid w:val="00660494"/>
    <w:rsid w:val="00660805"/>
    <w:rsid w:val="00660B42"/>
    <w:rsid w:val="00660D97"/>
    <w:rsid w:val="00660FB7"/>
    <w:rsid w:val="00660FC3"/>
    <w:rsid w:val="006617C5"/>
    <w:rsid w:val="0066241B"/>
    <w:rsid w:val="006627FA"/>
    <w:rsid w:val="006628F3"/>
    <w:rsid w:val="00662B44"/>
    <w:rsid w:val="00663359"/>
    <w:rsid w:val="00663665"/>
    <w:rsid w:val="006644EA"/>
    <w:rsid w:val="00664734"/>
    <w:rsid w:val="00664A74"/>
    <w:rsid w:val="00664A75"/>
    <w:rsid w:val="00664A78"/>
    <w:rsid w:val="00664B46"/>
    <w:rsid w:val="00664BE2"/>
    <w:rsid w:val="00664F6B"/>
    <w:rsid w:val="006652EB"/>
    <w:rsid w:val="0066539E"/>
    <w:rsid w:val="00665449"/>
    <w:rsid w:val="00665919"/>
    <w:rsid w:val="00665C8F"/>
    <w:rsid w:val="00665E53"/>
    <w:rsid w:val="00665F4E"/>
    <w:rsid w:val="006660A6"/>
    <w:rsid w:val="00666103"/>
    <w:rsid w:val="00666827"/>
    <w:rsid w:val="00666D20"/>
    <w:rsid w:val="00666E40"/>
    <w:rsid w:val="006671D8"/>
    <w:rsid w:val="00667311"/>
    <w:rsid w:val="0066754D"/>
    <w:rsid w:val="00667632"/>
    <w:rsid w:val="00667E27"/>
    <w:rsid w:val="00667F2E"/>
    <w:rsid w:val="0067020A"/>
    <w:rsid w:val="006708EE"/>
    <w:rsid w:val="00670A2E"/>
    <w:rsid w:val="00670C7D"/>
    <w:rsid w:val="00670CDA"/>
    <w:rsid w:val="00671698"/>
    <w:rsid w:val="0067175E"/>
    <w:rsid w:val="006726BA"/>
    <w:rsid w:val="006728D1"/>
    <w:rsid w:val="00672956"/>
    <w:rsid w:val="00672D58"/>
    <w:rsid w:val="00672D8D"/>
    <w:rsid w:val="0067312E"/>
    <w:rsid w:val="00673166"/>
    <w:rsid w:val="006739F8"/>
    <w:rsid w:val="00673D96"/>
    <w:rsid w:val="00673E87"/>
    <w:rsid w:val="0067406E"/>
    <w:rsid w:val="0067414E"/>
    <w:rsid w:val="006741E2"/>
    <w:rsid w:val="00674391"/>
    <w:rsid w:val="00674610"/>
    <w:rsid w:val="006749C7"/>
    <w:rsid w:val="00674C08"/>
    <w:rsid w:val="006750DF"/>
    <w:rsid w:val="006751F1"/>
    <w:rsid w:val="006753FE"/>
    <w:rsid w:val="00675725"/>
    <w:rsid w:val="006758E0"/>
    <w:rsid w:val="0067663D"/>
    <w:rsid w:val="00676874"/>
    <w:rsid w:val="00676AFC"/>
    <w:rsid w:val="00676B0A"/>
    <w:rsid w:val="00676B38"/>
    <w:rsid w:val="00677037"/>
    <w:rsid w:val="006779AF"/>
    <w:rsid w:val="00677A83"/>
    <w:rsid w:val="006806B2"/>
    <w:rsid w:val="00680732"/>
    <w:rsid w:val="0068090D"/>
    <w:rsid w:val="00680CCA"/>
    <w:rsid w:val="0068111F"/>
    <w:rsid w:val="0068149B"/>
    <w:rsid w:val="0068181D"/>
    <w:rsid w:val="0068212A"/>
    <w:rsid w:val="006823DE"/>
    <w:rsid w:val="0068242F"/>
    <w:rsid w:val="00682672"/>
    <w:rsid w:val="006828BE"/>
    <w:rsid w:val="00682A9E"/>
    <w:rsid w:val="00682C3E"/>
    <w:rsid w:val="00682D59"/>
    <w:rsid w:val="00682E75"/>
    <w:rsid w:val="006830E9"/>
    <w:rsid w:val="00683CAE"/>
    <w:rsid w:val="00684448"/>
    <w:rsid w:val="006847BC"/>
    <w:rsid w:val="00685851"/>
    <w:rsid w:val="006858F4"/>
    <w:rsid w:val="00686050"/>
    <w:rsid w:val="006863BC"/>
    <w:rsid w:val="00686A7A"/>
    <w:rsid w:val="006870C4"/>
    <w:rsid w:val="006872C5"/>
    <w:rsid w:val="00687372"/>
    <w:rsid w:val="006873F4"/>
    <w:rsid w:val="00687D40"/>
    <w:rsid w:val="00687E76"/>
    <w:rsid w:val="00687F88"/>
    <w:rsid w:val="00690341"/>
    <w:rsid w:val="00690448"/>
    <w:rsid w:val="00690FA8"/>
    <w:rsid w:val="0069101C"/>
    <w:rsid w:val="0069145A"/>
    <w:rsid w:val="006914CD"/>
    <w:rsid w:val="00691501"/>
    <w:rsid w:val="00691752"/>
    <w:rsid w:val="00691814"/>
    <w:rsid w:val="00691A90"/>
    <w:rsid w:val="00691BDA"/>
    <w:rsid w:val="00692072"/>
    <w:rsid w:val="00692385"/>
    <w:rsid w:val="0069252F"/>
    <w:rsid w:val="00692776"/>
    <w:rsid w:val="00692A83"/>
    <w:rsid w:val="00692B56"/>
    <w:rsid w:val="00692C1A"/>
    <w:rsid w:val="00692C2F"/>
    <w:rsid w:val="00692DA1"/>
    <w:rsid w:val="00692E69"/>
    <w:rsid w:val="00692F70"/>
    <w:rsid w:val="00693281"/>
    <w:rsid w:val="006932FC"/>
    <w:rsid w:val="0069334A"/>
    <w:rsid w:val="006935E5"/>
    <w:rsid w:val="00693866"/>
    <w:rsid w:val="00693DE2"/>
    <w:rsid w:val="0069432E"/>
    <w:rsid w:val="006945F4"/>
    <w:rsid w:val="00694C63"/>
    <w:rsid w:val="00694D36"/>
    <w:rsid w:val="00694D7F"/>
    <w:rsid w:val="00694F70"/>
    <w:rsid w:val="00694FCA"/>
    <w:rsid w:val="006950DA"/>
    <w:rsid w:val="006951CE"/>
    <w:rsid w:val="00695276"/>
    <w:rsid w:val="00695777"/>
    <w:rsid w:val="00695913"/>
    <w:rsid w:val="00695960"/>
    <w:rsid w:val="00695D49"/>
    <w:rsid w:val="00695EAD"/>
    <w:rsid w:val="00695F68"/>
    <w:rsid w:val="00695FD3"/>
    <w:rsid w:val="006968C7"/>
    <w:rsid w:val="00696900"/>
    <w:rsid w:val="00696A79"/>
    <w:rsid w:val="0069716D"/>
    <w:rsid w:val="0069732C"/>
    <w:rsid w:val="00697415"/>
    <w:rsid w:val="00697E1D"/>
    <w:rsid w:val="00697F4A"/>
    <w:rsid w:val="006A023E"/>
    <w:rsid w:val="006A071A"/>
    <w:rsid w:val="006A0CF7"/>
    <w:rsid w:val="006A0F0F"/>
    <w:rsid w:val="006A0FE8"/>
    <w:rsid w:val="006A1082"/>
    <w:rsid w:val="006A1B33"/>
    <w:rsid w:val="006A27D2"/>
    <w:rsid w:val="006A28C3"/>
    <w:rsid w:val="006A2A82"/>
    <w:rsid w:val="006A2AF7"/>
    <w:rsid w:val="006A2B4B"/>
    <w:rsid w:val="006A2B92"/>
    <w:rsid w:val="006A3059"/>
    <w:rsid w:val="006A31AF"/>
    <w:rsid w:val="006A33B3"/>
    <w:rsid w:val="006A3799"/>
    <w:rsid w:val="006A3860"/>
    <w:rsid w:val="006A3C83"/>
    <w:rsid w:val="006A3EDB"/>
    <w:rsid w:val="006A4207"/>
    <w:rsid w:val="006A43BF"/>
    <w:rsid w:val="006A44E8"/>
    <w:rsid w:val="006A4AEC"/>
    <w:rsid w:val="006A4B42"/>
    <w:rsid w:val="006A4CA4"/>
    <w:rsid w:val="006A51CA"/>
    <w:rsid w:val="006A529A"/>
    <w:rsid w:val="006A5462"/>
    <w:rsid w:val="006A5902"/>
    <w:rsid w:val="006A5C02"/>
    <w:rsid w:val="006A5C90"/>
    <w:rsid w:val="006A5E35"/>
    <w:rsid w:val="006A7446"/>
    <w:rsid w:val="006A75F1"/>
    <w:rsid w:val="006A774C"/>
    <w:rsid w:val="006A795D"/>
    <w:rsid w:val="006B05A5"/>
    <w:rsid w:val="006B05BC"/>
    <w:rsid w:val="006B06C0"/>
    <w:rsid w:val="006B1D60"/>
    <w:rsid w:val="006B234A"/>
    <w:rsid w:val="006B2410"/>
    <w:rsid w:val="006B2960"/>
    <w:rsid w:val="006B2DF7"/>
    <w:rsid w:val="006B2FA1"/>
    <w:rsid w:val="006B30C6"/>
    <w:rsid w:val="006B3D08"/>
    <w:rsid w:val="006B3E23"/>
    <w:rsid w:val="006B3F9E"/>
    <w:rsid w:val="006B41E1"/>
    <w:rsid w:val="006B4704"/>
    <w:rsid w:val="006B49F5"/>
    <w:rsid w:val="006B4ABF"/>
    <w:rsid w:val="006B5005"/>
    <w:rsid w:val="006B51BD"/>
    <w:rsid w:val="006B5504"/>
    <w:rsid w:val="006B55B0"/>
    <w:rsid w:val="006B56D0"/>
    <w:rsid w:val="006B59A1"/>
    <w:rsid w:val="006B5D05"/>
    <w:rsid w:val="006B5EF7"/>
    <w:rsid w:val="006B6C81"/>
    <w:rsid w:val="006B7018"/>
    <w:rsid w:val="006B7576"/>
    <w:rsid w:val="006B782E"/>
    <w:rsid w:val="006B7DD6"/>
    <w:rsid w:val="006B7F30"/>
    <w:rsid w:val="006BEEC9"/>
    <w:rsid w:val="006C004F"/>
    <w:rsid w:val="006C0269"/>
    <w:rsid w:val="006C0371"/>
    <w:rsid w:val="006C0F5A"/>
    <w:rsid w:val="006C1742"/>
    <w:rsid w:val="006C18BB"/>
    <w:rsid w:val="006C18CD"/>
    <w:rsid w:val="006C1F46"/>
    <w:rsid w:val="006C21F3"/>
    <w:rsid w:val="006C2555"/>
    <w:rsid w:val="006C2A6B"/>
    <w:rsid w:val="006C2C24"/>
    <w:rsid w:val="006C2FAD"/>
    <w:rsid w:val="006C309C"/>
    <w:rsid w:val="006C3442"/>
    <w:rsid w:val="006C345A"/>
    <w:rsid w:val="006C34A4"/>
    <w:rsid w:val="006C3522"/>
    <w:rsid w:val="006C35AC"/>
    <w:rsid w:val="006C384D"/>
    <w:rsid w:val="006C38CD"/>
    <w:rsid w:val="006C3B57"/>
    <w:rsid w:val="006C3EC7"/>
    <w:rsid w:val="006C3F55"/>
    <w:rsid w:val="006C3FDF"/>
    <w:rsid w:val="006C411F"/>
    <w:rsid w:val="006C413C"/>
    <w:rsid w:val="006C44C3"/>
    <w:rsid w:val="006C4558"/>
    <w:rsid w:val="006C4603"/>
    <w:rsid w:val="006C4605"/>
    <w:rsid w:val="006C4830"/>
    <w:rsid w:val="006C48B7"/>
    <w:rsid w:val="006C4A0D"/>
    <w:rsid w:val="006C4B7A"/>
    <w:rsid w:val="006C4BFA"/>
    <w:rsid w:val="006C55F5"/>
    <w:rsid w:val="006C56A0"/>
    <w:rsid w:val="006C5715"/>
    <w:rsid w:val="006C5791"/>
    <w:rsid w:val="006C5FDB"/>
    <w:rsid w:val="006C6014"/>
    <w:rsid w:val="006C672A"/>
    <w:rsid w:val="006C6AF2"/>
    <w:rsid w:val="006C6B2A"/>
    <w:rsid w:val="006C6CEF"/>
    <w:rsid w:val="006C6D51"/>
    <w:rsid w:val="006C6DE6"/>
    <w:rsid w:val="006C6E87"/>
    <w:rsid w:val="006C6F24"/>
    <w:rsid w:val="006C7083"/>
    <w:rsid w:val="006C71F8"/>
    <w:rsid w:val="006C78F5"/>
    <w:rsid w:val="006C7B6C"/>
    <w:rsid w:val="006C7C3D"/>
    <w:rsid w:val="006C7D47"/>
    <w:rsid w:val="006C7D52"/>
    <w:rsid w:val="006C7FC7"/>
    <w:rsid w:val="006D04C1"/>
    <w:rsid w:val="006D0503"/>
    <w:rsid w:val="006D0AB5"/>
    <w:rsid w:val="006D0DA4"/>
    <w:rsid w:val="006D0F41"/>
    <w:rsid w:val="006D1218"/>
    <w:rsid w:val="006D127A"/>
    <w:rsid w:val="006D161F"/>
    <w:rsid w:val="006D1758"/>
    <w:rsid w:val="006D175E"/>
    <w:rsid w:val="006D1A39"/>
    <w:rsid w:val="006D1B63"/>
    <w:rsid w:val="006D1F40"/>
    <w:rsid w:val="006D2188"/>
    <w:rsid w:val="006D21CF"/>
    <w:rsid w:val="006D275F"/>
    <w:rsid w:val="006D28C3"/>
    <w:rsid w:val="006D2969"/>
    <w:rsid w:val="006D2F1B"/>
    <w:rsid w:val="006D359E"/>
    <w:rsid w:val="006D3A43"/>
    <w:rsid w:val="006D3CD6"/>
    <w:rsid w:val="006D3E48"/>
    <w:rsid w:val="006D3FD2"/>
    <w:rsid w:val="006D41E8"/>
    <w:rsid w:val="006D4572"/>
    <w:rsid w:val="006D4643"/>
    <w:rsid w:val="006D49A7"/>
    <w:rsid w:val="006D49A9"/>
    <w:rsid w:val="006D4CA0"/>
    <w:rsid w:val="006D4E31"/>
    <w:rsid w:val="006D4EDB"/>
    <w:rsid w:val="006D52ED"/>
    <w:rsid w:val="006D538C"/>
    <w:rsid w:val="006D57C4"/>
    <w:rsid w:val="006D5A81"/>
    <w:rsid w:val="006D5CE3"/>
    <w:rsid w:val="006D6060"/>
    <w:rsid w:val="006D63DD"/>
    <w:rsid w:val="006D6602"/>
    <w:rsid w:val="006D6640"/>
    <w:rsid w:val="006D6672"/>
    <w:rsid w:val="006D6A96"/>
    <w:rsid w:val="006D6D31"/>
    <w:rsid w:val="006D7298"/>
    <w:rsid w:val="006D78C8"/>
    <w:rsid w:val="006D7A3C"/>
    <w:rsid w:val="006D7AFB"/>
    <w:rsid w:val="006E0C28"/>
    <w:rsid w:val="006E0E49"/>
    <w:rsid w:val="006E10C8"/>
    <w:rsid w:val="006E1623"/>
    <w:rsid w:val="006E1754"/>
    <w:rsid w:val="006E1B89"/>
    <w:rsid w:val="006E1DBD"/>
    <w:rsid w:val="006E1E1D"/>
    <w:rsid w:val="006E1ED3"/>
    <w:rsid w:val="006E228D"/>
    <w:rsid w:val="006E262F"/>
    <w:rsid w:val="006E2724"/>
    <w:rsid w:val="006E27D2"/>
    <w:rsid w:val="006E2863"/>
    <w:rsid w:val="006E2E20"/>
    <w:rsid w:val="006E301E"/>
    <w:rsid w:val="006E3169"/>
    <w:rsid w:val="006E31E2"/>
    <w:rsid w:val="006E334F"/>
    <w:rsid w:val="006E34D0"/>
    <w:rsid w:val="006E35CB"/>
    <w:rsid w:val="006E36EB"/>
    <w:rsid w:val="006E4279"/>
    <w:rsid w:val="006E4680"/>
    <w:rsid w:val="006E471C"/>
    <w:rsid w:val="006E4A6E"/>
    <w:rsid w:val="006E4AE8"/>
    <w:rsid w:val="006E4CE9"/>
    <w:rsid w:val="006E4D09"/>
    <w:rsid w:val="006E51F2"/>
    <w:rsid w:val="006E5646"/>
    <w:rsid w:val="006E5C00"/>
    <w:rsid w:val="006E5E57"/>
    <w:rsid w:val="006E60C8"/>
    <w:rsid w:val="006E60DB"/>
    <w:rsid w:val="006E64AB"/>
    <w:rsid w:val="006E6D0F"/>
    <w:rsid w:val="006E71EC"/>
    <w:rsid w:val="006E71EE"/>
    <w:rsid w:val="006E737B"/>
    <w:rsid w:val="006E7A3A"/>
    <w:rsid w:val="006E7B82"/>
    <w:rsid w:val="006E7EC8"/>
    <w:rsid w:val="006E7EEE"/>
    <w:rsid w:val="006EE085"/>
    <w:rsid w:val="006F02E3"/>
    <w:rsid w:val="006F0955"/>
    <w:rsid w:val="006F09EB"/>
    <w:rsid w:val="006F0C44"/>
    <w:rsid w:val="006F11A2"/>
    <w:rsid w:val="006F12B1"/>
    <w:rsid w:val="006F135A"/>
    <w:rsid w:val="006F1A5C"/>
    <w:rsid w:val="006F1AD6"/>
    <w:rsid w:val="006F1BFD"/>
    <w:rsid w:val="006F1D3B"/>
    <w:rsid w:val="006F1D5A"/>
    <w:rsid w:val="006F1EF4"/>
    <w:rsid w:val="006F1FFE"/>
    <w:rsid w:val="006F23AB"/>
    <w:rsid w:val="006F2A07"/>
    <w:rsid w:val="006F2CE7"/>
    <w:rsid w:val="006F2E24"/>
    <w:rsid w:val="006F31E8"/>
    <w:rsid w:val="006F32ED"/>
    <w:rsid w:val="006F35F7"/>
    <w:rsid w:val="006F390A"/>
    <w:rsid w:val="006F3941"/>
    <w:rsid w:val="006F3DE8"/>
    <w:rsid w:val="006F3DFC"/>
    <w:rsid w:val="006F3E5D"/>
    <w:rsid w:val="006F3EE2"/>
    <w:rsid w:val="006F40D4"/>
    <w:rsid w:val="006F4540"/>
    <w:rsid w:val="006F4760"/>
    <w:rsid w:val="006F4974"/>
    <w:rsid w:val="006F4A3C"/>
    <w:rsid w:val="006F4B48"/>
    <w:rsid w:val="006F4C6F"/>
    <w:rsid w:val="006F4F38"/>
    <w:rsid w:val="006F5448"/>
    <w:rsid w:val="006F5698"/>
    <w:rsid w:val="006F64A3"/>
    <w:rsid w:val="006F66CA"/>
    <w:rsid w:val="006F6A3D"/>
    <w:rsid w:val="006F6D38"/>
    <w:rsid w:val="006F6E09"/>
    <w:rsid w:val="006F6E67"/>
    <w:rsid w:val="006F6F6D"/>
    <w:rsid w:val="006F710C"/>
    <w:rsid w:val="006F71E7"/>
    <w:rsid w:val="006F7388"/>
    <w:rsid w:val="006F75F9"/>
    <w:rsid w:val="006F79B5"/>
    <w:rsid w:val="006F7F7D"/>
    <w:rsid w:val="006F7FDC"/>
    <w:rsid w:val="00700476"/>
    <w:rsid w:val="00700864"/>
    <w:rsid w:val="00700891"/>
    <w:rsid w:val="00700A63"/>
    <w:rsid w:val="00700B77"/>
    <w:rsid w:val="00700CDD"/>
    <w:rsid w:val="00700DF9"/>
    <w:rsid w:val="00700E81"/>
    <w:rsid w:val="0070130A"/>
    <w:rsid w:val="00701382"/>
    <w:rsid w:val="00701509"/>
    <w:rsid w:val="007019D2"/>
    <w:rsid w:val="00701A0D"/>
    <w:rsid w:val="00701D23"/>
    <w:rsid w:val="00702015"/>
    <w:rsid w:val="007024DE"/>
    <w:rsid w:val="007024E4"/>
    <w:rsid w:val="00702944"/>
    <w:rsid w:val="00702999"/>
    <w:rsid w:val="00702DA7"/>
    <w:rsid w:val="00703101"/>
    <w:rsid w:val="00703536"/>
    <w:rsid w:val="0070462B"/>
    <w:rsid w:val="007047F5"/>
    <w:rsid w:val="00704AB9"/>
    <w:rsid w:val="00704DE0"/>
    <w:rsid w:val="00704F16"/>
    <w:rsid w:val="00704FBB"/>
    <w:rsid w:val="00705254"/>
    <w:rsid w:val="007052DA"/>
    <w:rsid w:val="007054EB"/>
    <w:rsid w:val="00705681"/>
    <w:rsid w:val="007056C7"/>
    <w:rsid w:val="00705757"/>
    <w:rsid w:val="00705BC6"/>
    <w:rsid w:val="00705DA4"/>
    <w:rsid w:val="00706215"/>
    <w:rsid w:val="007070A5"/>
    <w:rsid w:val="0070718B"/>
    <w:rsid w:val="0070745B"/>
    <w:rsid w:val="00710314"/>
    <w:rsid w:val="007103FE"/>
    <w:rsid w:val="00710724"/>
    <w:rsid w:val="007109BD"/>
    <w:rsid w:val="00710A63"/>
    <w:rsid w:val="00710B19"/>
    <w:rsid w:val="00710C93"/>
    <w:rsid w:val="00710D5A"/>
    <w:rsid w:val="00710F3B"/>
    <w:rsid w:val="0071110F"/>
    <w:rsid w:val="007111DB"/>
    <w:rsid w:val="007113B7"/>
    <w:rsid w:val="0071145B"/>
    <w:rsid w:val="00711AAA"/>
    <w:rsid w:val="00711E39"/>
    <w:rsid w:val="0071204C"/>
    <w:rsid w:val="007122C8"/>
    <w:rsid w:val="007123EF"/>
    <w:rsid w:val="00712669"/>
    <w:rsid w:val="0071271D"/>
    <w:rsid w:val="00712D57"/>
    <w:rsid w:val="00713079"/>
    <w:rsid w:val="007130DC"/>
    <w:rsid w:val="007131E3"/>
    <w:rsid w:val="007133BA"/>
    <w:rsid w:val="00713708"/>
    <w:rsid w:val="00713912"/>
    <w:rsid w:val="00713EEA"/>
    <w:rsid w:val="007144F0"/>
    <w:rsid w:val="00714649"/>
    <w:rsid w:val="007147E4"/>
    <w:rsid w:val="00714864"/>
    <w:rsid w:val="007149AF"/>
    <w:rsid w:val="00714A4B"/>
    <w:rsid w:val="007151E4"/>
    <w:rsid w:val="00715592"/>
    <w:rsid w:val="007155FE"/>
    <w:rsid w:val="0071592E"/>
    <w:rsid w:val="007167BE"/>
    <w:rsid w:val="00716B24"/>
    <w:rsid w:val="00717068"/>
    <w:rsid w:val="00717144"/>
    <w:rsid w:val="007177F3"/>
    <w:rsid w:val="007178F9"/>
    <w:rsid w:val="00717B89"/>
    <w:rsid w:val="00717CD0"/>
    <w:rsid w:val="00717D83"/>
    <w:rsid w:val="00720241"/>
    <w:rsid w:val="00720342"/>
    <w:rsid w:val="0072039D"/>
    <w:rsid w:val="00720587"/>
    <w:rsid w:val="007205E5"/>
    <w:rsid w:val="0072081C"/>
    <w:rsid w:val="00720834"/>
    <w:rsid w:val="00720D0F"/>
    <w:rsid w:val="00720E1F"/>
    <w:rsid w:val="00721002"/>
    <w:rsid w:val="00721082"/>
    <w:rsid w:val="00721109"/>
    <w:rsid w:val="00721454"/>
    <w:rsid w:val="00721604"/>
    <w:rsid w:val="00721790"/>
    <w:rsid w:val="007217CF"/>
    <w:rsid w:val="00721E3F"/>
    <w:rsid w:val="00721E6C"/>
    <w:rsid w:val="00722251"/>
    <w:rsid w:val="00722BFC"/>
    <w:rsid w:val="007231DC"/>
    <w:rsid w:val="007234F3"/>
    <w:rsid w:val="007235FE"/>
    <w:rsid w:val="00723A41"/>
    <w:rsid w:val="00723D49"/>
    <w:rsid w:val="0072479F"/>
    <w:rsid w:val="007248A3"/>
    <w:rsid w:val="007249F4"/>
    <w:rsid w:val="00724B94"/>
    <w:rsid w:val="00724BFF"/>
    <w:rsid w:val="00724D5C"/>
    <w:rsid w:val="00725476"/>
    <w:rsid w:val="007255C6"/>
    <w:rsid w:val="00725AA5"/>
    <w:rsid w:val="00725DFC"/>
    <w:rsid w:val="00725E67"/>
    <w:rsid w:val="007262F8"/>
    <w:rsid w:val="007267BD"/>
    <w:rsid w:val="007267E1"/>
    <w:rsid w:val="00726B9B"/>
    <w:rsid w:val="00726D77"/>
    <w:rsid w:val="00727385"/>
    <w:rsid w:val="007273B9"/>
    <w:rsid w:val="00727476"/>
    <w:rsid w:val="007276CE"/>
    <w:rsid w:val="00727794"/>
    <w:rsid w:val="0072792C"/>
    <w:rsid w:val="00727B52"/>
    <w:rsid w:val="00727B63"/>
    <w:rsid w:val="00727D4B"/>
    <w:rsid w:val="00727EBA"/>
    <w:rsid w:val="00727FCD"/>
    <w:rsid w:val="00730B49"/>
    <w:rsid w:val="00731085"/>
    <w:rsid w:val="007312F3"/>
    <w:rsid w:val="00731597"/>
    <w:rsid w:val="00731D24"/>
    <w:rsid w:val="00731E9C"/>
    <w:rsid w:val="00732058"/>
    <w:rsid w:val="00732165"/>
    <w:rsid w:val="00732497"/>
    <w:rsid w:val="00732781"/>
    <w:rsid w:val="00732972"/>
    <w:rsid w:val="00732FC4"/>
    <w:rsid w:val="00733056"/>
    <w:rsid w:val="00733220"/>
    <w:rsid w:val="00733288"/>
    <w:rsid w:val="00733629"/>
    <w:rsid w:val="0073397E"/>
    <w:rsid w:val="00733B2D"/>
    <w:rsid w:val="00733CF8"/>
    <w:rsid w:val="00733D1E"/>
    <w:rsid w:val="00733D9B"/>
    <w:rsid w:val="007342F7"/>
    <w:rsid w:val="0073435D"/>
    <w:rsid w:val="007343A3"/>
    <w:rsid w:val="0073492C"/>
    <w:rsid w:val="00734BE0"/>
    <w:rsid w:val="00734D8A"/>
    <w:rsid w:val="0073508F"/>
    <w:rsid w:val="00735501"/>
    <w:rsid w:val="007355BC"/>
    <w:rsid w:val="0073565B"/>
    <w:rsid w:val="00735772"/>
    <w:rsid w:val="0073582E"/>
    <w:rsid w:val="0073597D"/>
    <w:rsid w:val="00735A7D"/>
    <w:rsid w:val="00736697"/>
    <w:rsid w:val="00736719"/>
    <w:rsid w:val="007368D9"/>
    <w:rsid w:val="00736EB2"/>
    <w:rsid w:val="0073736D"/>
    <w:rsid w:val="0073760E"/>
    <w:rsid w:val="007378CE"/>
    <w:rsid w:val="00737AC2"/>
    <w:rsid w:val="00737B6F"/>
    <w:rsid w:val="00737C14"/>
    <w:rsid w:val="007402A2"/>
    <w:rsid w:val="00740711"/>
    <w:rsid w:val="007409DD"/>
    <w:rsid w:val="00740D2C"/>
    <w:rsid w:val="00740F6C"/>
    <w:rsid w:val="007414DD"/>
    <w:rsid w:val="007418C2"/>
    <w:rsid w:val="007418EF"/>
    <w:rsid w:val="00741B7B"/>
    <w:rsid w:val="00741BCD"/>
    <w:rsid w:val="00741CCF"/>
    <w:rsid w:val="00741DF8"/>
    <w:rsid w:val="0074247D"/>
    <w:rsid w:val="007428A6"/>
    <w:rsid w:val="00743097"/>
    <w:rsid w:val="007433D6"/>
    <w:rsid w:val="00743B14"/>
    <w:rsid w:val="00743C5C"/>
    <w:rsid w:val="00743D2A"/>
    <w:rsid w:val="00743DA9"/>
    <w:rsid w:val="00744025"/>
    <w:rsid w:val="00744115"/>
    <w:rsid w:val="00744C1E"/>
    <w:rsid w:val="00744DED"/>
    <w:rsid w:val="007455D4"/>
    <w:rsid w:val="007455F0"/>
    <w:rsid w:val="007456EB"/>
    <w:rsid w:val="00745767"/>
    <w:rsid w:val="00745AAA"/>
    <w:rsid w:val="00746514"/>
    <w:rsid w:val="00746548"/>
    <w:rsid w:val="007469F8"/>
    <w:rsid w:val="00746DB0"/>
    <w:rsid w:val="00746FD2"/>
    <w:rsid w:val="0074730E"/>
    <w:rsid w:val="00747400"/>
    <w:rsid w:val="00747402"/>
    <w:rsid w:val="007474D9"/>
    <w:rsid w:val="00747579"/>
    <w:rsid w:val="00747581"/>
    <w:rsid w:val="007476BB"/>
    <w:rsid w:val="0074774E"/>
    <w:rsid w:val="00747D74"/>
    <w:rsid w:val="00747F27"/>
    <w:rsid w:val="00747FCF"/>
    <w:rsid w:val="00750572"/>
    <w:rsid w:val="00751273"/>
    <w:rsid w:val="007516BC"/>
    <w:rsid w:val="0075173A"/>
    <w:rsid w:val="007518B3"/>
    <w:rsid w:val="00751C40"/>
    <w:rsid w:val="00751E04"/>
    <w:rsid w:val="00751E06"/>
    <w:rsid w:val="00751EDC"/>
    <w:rsid w:val="00751F79"/>
    <w:rsid w:val="00752185"/>
    <w:rsid w:val="00752D15"/>
    <w:rsid w:val="00752E02"/>
    <w:rsid w:val="00753336"/>
    <w:rsid w:val="007535AE"/>
    <w:rsid w:val="00753798"/>
    <w:rsid w:val="00753A23"/>
    <w:rsid w:val="00753EB8"/>
    <w:rsid w:val="00754471"/>
    <w:rsid w:val="00754618"/>
    <w:rsid w:val="0075466A"/>
    <w:rsid w:val="00754CC9"/>
    <w:rsid w:val="00754D1F"/>
    <w:rsid w:val="0075505B"/>
    <w:rsid w:val="007552CF"/>
    <w:rsid w:val="007555E4"/>
    <w:rsid w:val="0075584D"/>
    <w:rsid w:val="007558D2"/>
    <w:rsid w:val="00756C70"/>
    <w:rsid w:val="00756D0D"/>
    <w:rsid w:val="00757151"/>
    <w:rsid w:val="0075765B"/>
    <w:rsid w:val="00757808"/>
    <w:rsid w:val="007579D7"/>
    <w:rsid w:val="00757BEB"/>
    <w:rsid w:val="0076013D"/>
    <w:rsid w:val="00760508"/>
    <w:rsid w:val="00760566"/>
    <w:rsid w:val="0076067C"/>
    <w:rsid w:val="00760AF5"/>
    <w:rsid w:val="00760AFD"/>
    <w:rsid w:val="00760D5E"/>
    <w:rsid w:val="00760E70"/>
    <w:rsid w:val="00760F2B"/>
    <w:rsid w:val="00761280"/>
    <w:rsid w:val="00761366"/>
    <w:rsid w:val="007614DC"/>
    <w:rsid w:val="0076175A"/>
    <w:rsid w:val="00761B3A"/>
    <w:rsid w:val="00761D30"/>
    <w:rsid w:val="00762050"/>
    <w:rsid w:val="00762083"/>
    <w:rsid w:val="007623DE"/>
    <w:rsid w:val="00762927"/>
    <w:rsid w:val="00762A09"/>
    <w:rsid w:val="00762A51"/>
    <w:rsid w:val="00762ACB"/>
    <w:rsid w:val="00762FB6"/>
    <w:rsid w:val="007630A7"/>
    <w:rsid w:val="00763154"/>
    <w:rsid w:val="007633F3"/>
    <w:rsid w:val="007639A9"/>
    <w:rsid w:val="00763B6E"/>
    <w:rsid w:val="00764157"/>
    <w:rsid w:val="00764FBA"/>
    <w:rsid w:val="007650CA"/>
    <w:rsid w:val="00765982"/>
    <w:rsid w:val="007666E2"/>
    <w:rsid w:val="00767570"/>
    <w:rsid w:val="00767B6E"/>
    <w:rsid w:val="00767D64"/>
    <w:rsid w:val="007701C1"/>
    <w:rsid w:val="00770963"/>
    <w:rsid w:val="00770AC5"/>
    <w:rsid w:val="00770AE0"/>
    <w:rsid w:val="00771BC4"/>
    <w:rsid w:val="00771C00"/>
    <w:rsid w:val="00771E8F"/>
    <w:rsid w:val="00771EEF"/>
    <w:rsid w:val="00771F69"/>
    <w:rsid w:val="00772727"/>
    <w:rsid w:val="007727D6"/>
    <w:rsid w:val="00772A35"/>
    <w:rsid w:val="00772FFC"/>
    <w:rsid w:val="00773354"/>
    <w:rsid w:val="0077361D"/>
    <w:rsid w:val="00773D78"/>
    <w:rsid w:val="00774985"/>
    <w:rsid w:val="00774D72"/>
    <w:rsid w:val="007752BE"/>
    <w:rsid w:val="007754AE"/>
    <w:rsid w:val="00776078"/>
    <w:rsid w:val="00776B02"/>
    <w:rsid w:val="00776D88"/>
    <w:rsid w:val="00777C4F"/>
    <w:rsid w:val="00777D8E"/>
    <w:rsid w:val="00777E2B"/>
    <w:rsid w:val="0078069B"/>
    <w:rsid w:val="00780FB7"/>
    <w:rsid w:val="00781225"/>
    <w:rsid w:val="00781737"/>
    <w:rsid w:val="00781DC3"/>
    <w:rsid w:val="00781E79"/>
    <w:rsid w:val="007821E7"/>
    <w:rsid w:val="0078254B"/>
    <w:rsid w:val="007825EA"/>
    <w:rsid w:val="007825FE"/>
    <w:rsid w:val="00783107"/>
    <w:rsid w:val="007835D2"/>
    <w:rsid w:val="007836D6"/>
    <w:rsid w:val="00783897"/>
    <w:rsid w:val="00783C5A"/>
    <w:rsid w:val="00783E58"/>
    <w:rsid w:val="0078404D"/>
    <w:rsid w:val="00784050"/>
    <w:rsid w:val="0078432E"/>
    <w:rsid w:val="00784F54"/>
    <w:rsid w:val="007850B2"/>
    <w:rsid w:val="007851AF"/>
    <w:rsid w:val="007851FF"/>
    <w:rsid w:val="007852A1"/>
    <w:rsid w:val="007857B9"/>
    <w:rsid w:val="00785928"/>
    <w:rsid w:val="00785D3B"/>
    <w:rsid w:val="00785DEB"/>
    <w:rsid w:val="00785DEE"/>
    <w:rsid w:val="007860D2"/>
    <w:rsid w:val="007861BB"/>
    <w:rsid w:val="00786514"/>
    <w:rsid w:val="007868E7"/>
    <w:rsid w:val="00786F6F"/>
    <w:rsid w:val="0078727E"/>
    <w:rsid w:val="007874F0"/>
    <w:rsid w:val="00787660"/>
    <w:rsid w:val="007877F1"/>
    <w:rsid w:val="00787A60"/>
    <w:rsid w:val="00787C30"/>
    <w:rsid w:val="00787CE0"/>
    <w:rsid w:val="0079025A"/>
    <w:rsid w:val="00790264"/>
    <w:rsid w:val="007906C2"/>
    <w:rsid w:val="00790736"/>
    <w:rsid w:val="007911CF"/>
    <w:rsid w:val="00791841"/>
    <w:rsid w:val="0079195E"/>
    <w:rsid w:val="00791A7B"/>
    <w:rsid w:val="00792BA7"/>
    <w:rsid w:val="00793A3B"/>
    <w:rsid w:val="00794452"/>
    <w:rsid w:val="00794968"/>
    <w:rsid w:val="00794B02"/>
    <w:rsid w:val="00794C62"/>
    <w:rsid w:val="00794DA5"/>
    <w:rsid w:val="00794E1E"/>
    <w:rsid w:val="00794F0F"/>
    <w:rsid w:val="007950CD"/>
    <w:rsid w:val="00795452"/>
    <w:rsid w:val="00795568"/>
    <w:rsid w:val="00795E44"/>
    <w:rsid w:val="0079626F"/>
    <w:rsid w:val="00796504"/>
    <w:rsid w:val="0079680B"/>
    <w:rsid w:val="00796A4C"/>
    <w:rsid w:val="00797009"/>
    <w:rsid w:val="00797063"/>
    <w:rsid w:val="007974BC"/>
    <w:rsid w:val="00797684"/>
    <w:rsid w:val="00797A4C"/>
    <w:rsid w:val="007A037C"/>
    <w:rsid w:val="007A0450"/>
    <w:rsid w:val="007A0590"/>
    <w:rsid w:val="007A09B9"/>
    <w:rsid w:val="007A0A30"/>
    <w:rsid w:val="007A0B9D"/>
    <w:rsid w:val="007A0CD0"/>
    <w:rsid w:val="007A11A0"/>
    <w:rsid w:val="007A11B1"/>
    <w:rsid w:val="007A1395"/>
    <w:rsid w:val="007A139A"/>
    <w:rsid w:val="007A1440"/>
    <w:rsid w:val="007A1638"/>
    <w:rsid w:val="007A18C4"/>
    <w:rsid w:val="007A2539"/>
    <w:rsid w:val="007A2690"/>
    <w:rsid w:val="007A29FA"/>
    <w:rsid w:val="007A2A8F"/>
    <w:rsid w:val="007A2BCA"/>
    <w:rsid w:val="007A2F63"/>
    <w:rsid w:val="007A3CA1"/>
    <w:rsid w:val="007A43B1"/>
    <w:rsid w:val="007A442E"/>
    <w:rsid w:val="007A4A27"/>
    <w:rsid w:val="007A4B7A"/>
    <w:rsid w:val="007A4EAB"/>
    <w:rsid w:val="007A51BB"/>
    <w:rsid w:val="007A55DA"/>
    <w:rsid w:val="007A56DB"/>
    <w:rsid w:val="007A5790"/>
    <w:rsid w:val="007A5E35"/>
    <w:rsid w:val="007A5F14"/>
    <w:rsid w:val="007A6327"/>
    <w:rsid w:val="007A657B"/>
    <w:rsid w:val="007A6B63"/>
    <w:rsid w:val="007A6C2F"/>
    <w:rsid w:val="007A6C8B"/>
    <w:rsid w:val="007A6D1E"/>
    <w:rsid w:val="007A71F5"/>
    <w:rsid w:val="007A722D"/>
    <w:rsid w:val="007A7353"/>
    <w:rsid w:val="007B01D3"/>
    <w:rsid w:val="007B0312"/>
    <w:rsid w:val="007B0680"/>
    <w:rsid w:val="007B0944"/>
    <w:rsid w:val="007B0A20"/>
    <w:rsid w:val="007B1030"/>
    <w:rsid w:val="007B114C"/>
    <w:rsid w:val="007B1364"/>
    <w:rsid w:val="007B1FFC"/>
    <w:rsid w:val="007B20DE"/>
    <w:rsid w:val="007B2311"/>
    <w:rsid w:val="007B3631"/>
    <w:rsid w:val="007B39C6"/>
    <w:rsid w:val="007B3F92"/>
    <w:rsid w:val="007B40E9"/>
    <w:rsid w:val="007B46A4"/>
    <w:rsid w:val="007B4913"/>
    <w:rsid w:val="007B4E85"/>
    <w:rsid w:val="007B54C2"/>
    <w:rsid w:val="007B5966"/>
    <w:rsid w:val="007B5A5C"/>
    <w:rsid w:val="007B5C06"/>
    <w:rsid w:val="007B61CF"/>
    <w:rsid w:val="007B620F"/>
    <w:rsid w:val="007B6253"/>
    <w:rsid w:val="007B6882"/>
    <w:rsid w:val="007B6952"/>
    <w:rsid w:val="007B6C76"/>
    <w:rsid w:val="007B76B6"/>
    <w:rsid w:val="007B778A"/>
    <w:rsid w:val="007B7931"/>
    <w:rsid w:val="007B7BF1"/>
    <w:rsid w:val="007C02CF"/>
    <w:rsid w:val="007C06CD"/>
    <w:rsid w:val="007C08E1"/>
    <w:rsid w:val="007C0C38"/>
    <w:rsid w:val="007C0D89"/>
    <w:rsid w:val="007C109B"/>
    <w:rsid w:val="007C1747"/>
    <w:rsid w:val="007C1C99"/>
    <w:rsid w:val="007C1D83"/>
    <w:rsid w:val="007C272F"/>
    <w:rsid w:val="007C299E"/>
    <w:rsid w:val="007C2B7D"/>
    <w:rsid w:val="007C2BF6"/>
    <w:rsid w:val="007C2CDA"/>
    <w:rsid w:val="007C2D68"/>
    <w:rsid w:val="007C3161"/>
    <w:rsid w:val="007C3A73"/>
    <w:rsid w:val="007C3E90"/>
    <w:rsid w:val="007C3FE7"/>
    <w:rsid w:val="007C4316"/>
    <w:rsid w:val="007C4670"/>
    <w:rsid w:val="007C476A"/>
    <w:rsid w:val="007C52F7"/>
    <w:rsid w:val="007C5945"/>
    <w:rsid w:val="007C5D07"/>
    <w:rsid w:val="007C5D12"/>
    <w:rsid w:val="007C620D"/>
    <w:rsid w:val="007C64D2"/>
    <w:rsid w:val="007C682A"/>
    <w:rsid w:val="007C6DDC"/>
    <w:rsid w:val="007C6E36"/>
    <w:rsid w:val="007C7021"/>
    <w:rsid w:val="007C70D9"/>
    <w:rsid w:val="007C7119"/>
    <w:rsid w:val="007C72DF"/>
    <w:rsid w:val="007C74C1"/>
    <w:rsid w:val="007C7F20"/>
    <w:rsid w:val="007D03BC"/>
    <w:rsid w:val="007D08D1"/>
    <w:rsid w:val="007D104D"/>
    <w:rsid w:val="007D1253"/>
    <w:rsid w:val="007D1919"/>
    <w:rsid w:val="007D27ED"/>
    <w:rsid w:val="007D3F3D"/>
    <w:rsid w:val="007D405A"/>
    <w:rsid w:val="007D406B"/>
    <w:rsid w:val="007D4D4B"/>
    <w:rsid w:val="007D533D"/>
    <w:rsid w:val="007D58CD"/>
    <w:rsid w:val="007D5999"/>
    <w:rsid w:val="007D5A77"/>
    <w:rsid w:val="007D641D"/>
    <w:rsid w:val="007D64BD"/>
    <w:rsid w:val="007D654A"/>
    <w:rsid w:val="007D6ACD"/>
    <w:rsid w:val="007D6BDB"/>
    <w:rsid w:val="007D6CB6"/>
    <w:rsid w:val="007D7295"/>
    <w:rsid w:val="007D7374"/>
    <w:rsid w:val="007D7F80"/>
    <w:rsid w:val="007E01F1"/>
    <w:rsid w:val="007E034A"/>
    <w:rsid w:val="007E0389"/>
    <w:rsid w:val="007E0483"/>
    <w:rsid w:val="007E0AAD"/>
    <w:rsid w:val="007E0B8C"/>
    <w:rsid w:val="007E0C54"/>
    <w:rsid w:val="007E0E9B"/>
    <w:rsid w:val="007E1777"/>
    <w:rsid w:val="007E1AEA"/>
    <w:rsid w:val="007E1F7A"/>
    <w:rsid w:val="007E2132"/>
    <w:rsid w:val="007E25AA"/>
    <w:rsid w:val="007E2A00"/>
    <w:rsid w:val="007E2CC0"/>
    <w:rsid w:val="007E3321"/>
    <w:rsid w:val="007E39EC"/>
    <w:rsid w:val="007E4095"/>
    <w:rsid w:val="007E4144"/>
    <w:rsid w:val="007E42DC"/>
    <w:rsid w:val="007E4433"/>
    <w:rsid w:val="007E4A31"/>
    <w:rsid w:val="007E56BB"/>
    <w:rsid w:val="007E5EB5"/>
    <w:rsid w:val="007E6195"/>
    <w:rsid w:val="007E625F"/>
    <w:rsid w:val="007E6566"/>
    <w:rsid w:val="007E6D94"/>
    <w:rsid w:val="007E6E9E"/>
    <w:rsid w:val="007E6EDB"/>
    <w:rsid w:val="007E7040"/>
    <w:rsid w:val="007E7226"/>
    <w:rsid w:val="007E7233"/>
    <w:rsid w:val="007E753E"/>
    <w:rsid w:val="007E7EDE"/>
    <w:rsid w:val="007EEA97"/>
    <w:rsid w:val="007F01D7"/>
    <w:rsid w:val="007F0588"/>
    <w:rsid w:val="007F0FC0"/>
    <w:rsid w:val="007F13AA"/>
    <w:rsid w:val="007F141F"/>
    <w:rsid w:val="007F1883"/>
    <w:rsid w:val="007F1B03"/>
    <w:rsid w:val="007F2299"/>
    <w:rsid w:val="007F232D"/>
    <w:rsid w:val="007F2449"/>
    <w:rsid w:val="007F261E"/>
    <w:rsid w:val="007F2795"/>
    <w:rsid w:val="007F2E2F"/>
    <w:rsid w:val="007F3007"/>
    <w:rsid w:val="007F3073"/>
    <w:rsid w:val="007F308D"/>
    <w:rsid w:val="007F31E8"/>
    <w:rsid w:val="007F3A47"/>
    <w:rsid w:val="007F3D4D"/>
    <w:rsid w:val="007F414E"/>
    <w:rsid w:val="007F4429"/>
    <w:rsid w:val="007F448B"/>
    <w:rsid w:val="007F4A97"/>
    <w:rsid w:val="007F4AB9"/>
    <w:rsid w:val="007F4BE5"/>
    <w:rsid w:val="007F4C0F"/>
    <w:rsid w:val="007F4F4E"/>
    <w:rsid w:val="007F4F55"/>
    <w:rsid w:val="007F533E"/>
    <w:rsid w:val="007F53C3"/>
    <w:rsid w:val="007F54F2"/>
    <w:rsid w:val="007F580C"/>
    <w:rsid w:val="007F5B9C"/>
    <w:rsid w:val="007F5F63"/>
    <w:rsid w:val="007F6301"/>
    <w:rsid w:val="007F6328"/>
    <w:rsid w:val="007F632C"/>
    <w:rsid w:val="007F64D0"/>
    <w:rsid w:val="007F6556"/>
    <w:rsid w:val="007F6613"/>
    <w:rsid w:val="007F6D40"/>
    <w:rsid w:val="007F6E78"/>
    <w:rsid w:val="007F7041"/>
    <w:rsid w:val="007F70F8"/>
    <w:rsid w:val="007F73BA"/>
    <w:rsid w:val="007F768F"/>
    <w:rsid w:val="007F7765"/>
    <w:rsid w:val="007F779F"/>
    <w:rsid w:val="007F7872"/>
    <w:rsid w:val="007F7D04"/>
    <w:rsid w:val="007F7D5C"/>
    <w:rsid w:val="007F7E0A"/>
    <w:rsid w:val="007F7F0A"/>
    <w:rsid w:val="007F7FFE"/>
    <w:rsid w:val="0080047E"/>
    <w:rsid w:val="00800501"/>
    <w:rsid w:val="008005F3"/>
    <w:rsid w:val="00800F1A"/>
    <w:rsid w:val="0080102D"/>
    <w:rsid w:val="0080105E"/>
    <w:rsid w:val="00801178"/>
    <w:rsid w:val="008011D8"/>
    <w:rsid w:val="00801A4F"/>
    <w:rsid w:val="00801D9D"/>
    <w:rsid w:val="00802089"/>
    <w:rsid w:val="00802513"/>
    <w:rsid w:val="00802A4E"/>
    <w:rsid w:val="00802AED"/>
    <w:rsid w:val="00803041"/>
    <w:rsid w:val="008032AA"/>
    <w:rsid w:val="00803576"/>
    <w:rsid w:val="0080358D"/>
    <w:rsid w:val="00803965"/>
    <w:rsid w:val="00803E80"/>
    <w:rsid w:val="00804492"/>
    <w:rsid w:val="00805053"/>
    <w:rsid w:val="008054CF"/>
    <w:rsid w:val="00805578"/>
    <w:rsid w:val="00805590"/>
    <w:rsid w:val="008056DA"/>
    <w:rsid w:val="00805C85"/>
    <w:rsid w:val="008067B7"/>
    <w:rsid w:val="00807245"/>
    <w:rsid w:val="008072BD"/>
    <w:rsid w:val="00807510"/>
    <w:rsid w:val="008076A1"/>
    <w:rsid w:val="00807B26"/>
    <w:rsid w:val="00807D53"/>
    <w:rsid w:val="00807E4D"/>
    <w:rsid w:val="00807F7A"/>
    <w:rsid w:val="00807FE8"/>
    <w:rsid w:val="008106F6"/>
    <w:rsid w:val="00810A60"/>
    <w:rsid w:val="00810FDB"/>
    <w:rsid w:val="0081112B"/>
    <w:rsid w:val="0081140E"/>
    <w:rsid w:val="00811873"/>
    <w:rsid w:val="00811DA5"/>
    <w:rsid w:val="00811EC2"/>
    <w:rsid w:val="00811EC7"/>
    <w:rsid w:val="00812011"/>
    <w:rsid w:val="0081223D"/>
    <w:rsid w:val="00812424"/>
    <w:rsid w:val="0081262A"/>
    <w:rsid w:val="008127AA"/>
    <w:rsid w:val="00812A11"/>
    <w:rsid w:val="00813613"/>
    <w:rsid w:val="00813A4F"/>
    <w:rsid w:val="00813DC3"/>
    <w:rsid w:val="00814774"/>
    <w:rsid w:val="00814A40"/>
    <w:rsid w:val="00814B26"/>
    <w:rsid w:val="00814CDF"/>
    <w:rsid w:val="0081501A"/>
    <w:rsid w:val="00815230"/>
    <w:rsid w:val="00815B52"/>
    <w:rsid w:val="00815C8D"/>
    <w:rsid w:val="00815E55"/>
    <w:rsid w:val="00815FE3"/>
    <w:rsid w:val="00816343"/>
    <w:rsid w:val="0081668A"/>
    <w:rsid w:val="0081676C"/>
    <w:rsid w:val="00816A92"/>
    <w:rsid w:val="00816CBC"/>
    <w:rsid w:val="00816E6C"/>
    <w:rsid w:val="0081731E"/>
    <w:rsid w:val="0081794E"/>
    <w:rsid w:val="00817A55"/>
    <w:rsid w:val="0082008A"/>
    <w:rsid w:val="00820284"/>
    <w:rsid w:val="00820C0F"/>
    <w:rsid w:val="00820CAE"/>
    <w:rsid w:val="00820CC5"/>
    <w:rsid w:val="00821587"/>
    <w:rsid w:val="00821722"/>
    <w:rsid w:val="00822134"/>
    <w:rsid w:val="008221AE"/>
    <w:rsid w:val="008222F6"/>
    <w:rsid w:val="008228F6"/>
    <w:rsid w:val="00822C44"/>
    <w:rsid w:val="00822D3D"/>
    <w:rsid w:val="00822F2C"/>
    <w:rsid w:val="008230DB"/>
    <w:rsid w:val="0082340D"/>
    <w:rsid w:val="008238FA"/>
    <w:rsid w:val="0082398D"/>
    <w:rsid w:val="00823A01"/>
    <w:rsid w:val="008240B2"/>
    <w:rsid w:val="00824285"/>
    <w:rsid w:val="008244AC"/>
    <w:rsid w:val="008248F3"/>
    <w:rsid w:val="00824B9B"/>
    <w:rsid w:val="00824B9C"/>
    <w:rsid w:val="00824E15"/>
    <w:rsid w:val="00824F85"/>
    <w:rsid w:val="008253D4"/>
    <w:rsid w:val="008254D3"/>
    <w:rsid w:val="00826309"/>
    <w:rsid w:val="0082653C"/>
    <w:rsid w:val="00826805"/>
    <w:rsid w:val="00826ED2"/>
    <w:rsid w:val="00826F63"/>
    <w:rsid w:val="00826FF2"/>
    <w:rsid w:val="00827100"/>
    <w:rsid w:val="0082710F"/>
    <w:rsid w:val="008279F9"/>
    <w:rsid w:val="00827C04"/>
    <w:rsid w:val="00830573"/>
    <w:rsid w:val="0083115D"/>
    <w:rsid w:val="008311B2"/>
    <w:rsid w:val="00831416"/>
    <w:rsid w:val="008314EB"/>
    <w:rsid w:val="00831939"/>
    <w:rsid w:val="00831B06"/>
    <w:rsid w:val="00831B4F"/>
    <w:rsid w:val="00831D18"/>
    <w:rsid w:val="00831E86"/>
    <w:rsid w:val="00832041"/>
    <w:rsid w:val="008326B7"/>
    <w:rsid w:val="008328A6"/>
    <w:rsid w:val="00833652"/>
    <w:rsid w:val="00833B29"/>
    <w:rsid w:val="00833C8B"/>
    <w:rsid w:val="00833D96"/>
    <w:rsid w:val="00833EC0"/>
    <w:rsid w:val="008340CF"/>
    <w:rsid w:val="0083454B"/>
    <w:rsid w:val="008347E3"/>
    <w:rsid w:val="00834A2B"/>
    <w:rsid w:val="00834C58"/>
    <w:rsid w:val="00835086"/>
    <w:rsid w:val="00835131"/>
    <w:rsid w:val="008354DC"/>
    <w:rsid w:val="008354E9"/>
    <w:rsid w:val="00835760"/>
    <w:rsid w:val="00835E5D"/>
    <w:rsid w:val="00835E8A"/>
    <w:rsid w:val="00836145"/>
    <w:rsid w:val="008361D8"/>
    <w:rsid w:val="008367A5"/>
    <w:rsid w:val="008371C2"/>
    <w:rsid w:val="00837450"/>
    <w:rsid w:val="00837482"/>
    <w:rsid w:val="008378CE"/>
    <w:rsid w:val="00837C54"/>
    <w:rsid w:val="00837F04"/>
    <w:rsid w:val="00840AB8"/>
    <w:rsid w:val="00840BA9"/>
    <w:rsid w:val="00841216"/>
    <w:rsid w:val="0084125D"/>
    <w:rsid w:val="00841554"/>
    <w:rsid w:val="008421D6"/>
    <w:rsid w:val="00842A1A"/>
    <w:rsid w:val="00842A4C"/>
    <w:rsid w:val="00842C8E"/>
    <w:rsid w:val="008436AE"/>
    <w:rsid w:val="0084451B"/>
    <w:rsid w:val="00844761"/>
    <w:rsid w:val="00844E0B"/>
    <w:rsid w:val="00845014"/>
    <w:rsid w:val="008458B5"/>
    <w:rsid w:val="00845C2A"/>
    <w:rsid w:val="00845F18"/>
    <w:rsid w:val="00846026"/>
    <w:rsid w:val="0084607D"/>
    <w:rsid w:val="0084699D"/>
    <w:rsid w:val="00846AAD"/>
    <w:rsid w:val="00846B3A"/>
    <w:rsid w:val="00847293"/>
    <w:rsid w:val="008472AF"/>
    <w:rsid w:val="00847662"/>
    <w:rsid w:val="00847CB4"/>
    <w:rsid w:val="00847E29"/>
    <w:rsid w:val="00847E43"/>
    <w:rsid w:val="00847ECB"/>
    <w:rsid w:val="00847FA5"/>
    <w:rsid w:val="008503E0"/>
    <w:rsid w:val="0085042D"/>
    <w:rsid w:val="0085077A"/>
    <w:rsid w:val="00850ABE"/>
    <w:rsid w:val="00850BA4"/>
    <w:rsid w:val="00850D6B"/>
    <w:rsid w:val="00851DCA"/>
    <w:rsid w:val="00851EFB"/>
    <w:rsid w:val="00851F09"/>
    <w:rsid w:val="008524F3"/>
    <w:rsid w:val="0085268C"/>
    <w:rsid w:val="008529CF"/>
    <w:rsid w:val="008529E1"/>
    <w:rsid w:val="00852CA4"/>
    <w:rsid w:val="008540F9"/>
    <w:rsid w:val="0085455F"/>
    <w:rsid w:val="00854817"/>
    <w:rsid w:val="008549AD"/>
    <w:rsid w:val="00854AE7"/>
    <w:rsid w:val="00854B47"/>
    <w:rsid w:val="00855066"/>
    <w:rsid w:val="008551AD"/>
    <w:rsid w:val="00855874"/>
    <w:rsid w:val="008561DB"/>
    <w:rsid w:val="008561F9"/>
    <w:rsid w:val="00856680"/>
    <w:rsid w:val="008569CD"/>
    <w:rsid w:val="00856CDC"/>
    <w:rsid w:val="0085720C"/>
    <w:rsid w:val="00857511"/>
    <w:rsid w:val="00857534"/>
    <w:rsid w:val="00857D60"/>
    <w:rsid w:val="00857D95"/>
    <w:rsid w:val="00857DF8"/>
    <w:rsid w:val="00857EB5"/>
    <w:rsid w:val="00860043"/>
    <w:rsid w:val="00860356"/>
    <w:rsid w:val="0086043C"/>
    <w:rsid w:val="00860B25"/>
    <w:rsid w:val="00861251"/>
    <w:rsid w:val="00861761"/>
    <w:rsid w:val="008619CD"/>
    <w:rsid w:val="00861C4A"/>
    <w:rsid w:val="008627B1"/>
    <w:rsid w:val="008627BA"/>
    <w:rsid w:val="00862908"/>
    <w:rsid w:val="00862AE2"/>
    <w:rsid w:val="00862EE0"/>
    <w:rsid w:val="0086359F"/>
    <w:rsid w:val="00863665"/>
    <w:rsid w:val="0086382B"/>
    <w:rsid w:val="00863E6F"/>
    <w:rsid w:val="008641A6"/>
    <w:rsid w:val="008641FB"/>
    <w:rsid w:val="00864264"/>
    <w:rsid w:val="00864CF1"/>
    <w:rsid w:val="00864E63"/>
    <w:rsid w:val="008650B0"/>
    <w:rsid w:val="008654C1"/>
    <w:rsid w:val="00865C55"/>
    <w:rsid w:val="00865FEE"/>
    <w:rsid w:val="008662C6"/>
    <w:rsid w:val="0086686A"/>
    <w:rsid w:val="00866A60"/>
    <w:rsid w:val="00866D0B"/>
    <w:rsid w:val="00866F3D"/>
    <w:rsid w:val="00867B13"/>
    <w:rsid w:val="00867BDC"/>
    <w:rsid w:val="00867DF4"/>
    <w:rsid w:val="00867ED8"/>
    <w:rsid w:val="00867F1E"/>
    <w:rsid w:val="008703C8"/>
    <w:rsid w:val="008704E5"/>
    <w:rsid w:val="0087106C"/>
    <w:rsid w:val="0087148D"/>
    <w:rsid w:val="008718BF"/>
    <w:rsid w:val="00871A35"/>
    <w:rsid w:val="00871AFF"/>
    <w:rsid w:val="00871DF1"/>
    <w:rsid w:val="00871E13"/>
    <w:rsid w:val="00871EF5"/>
    <w:rsid w:val="008725F1"/>
    <w:rsid w:val="0087267F"/>
    <w:rsid w:val="008726FC"/>
    <w:rsid w:val="00872797"/>
    <w:rsid w:val="00872C99"/>
    <w:rsid w:val="00872ED2"/>
    <w:rsid w:val="008730E0"/>
    <w:rsid w:val="008731E5"/>
    <w:rsid w:val="0087325D"/>
    <w:rsid w:val="0087378E"/>
    <w:rsid w:val="00873804"/>
    <w:rsid w:val="00873C95"/>
    <w:rsid w:val="008740BB"/>
    <w:rsid w:val="008744B8"/>
    <w:rsid w:val="008746C4"/>
    <w:rsid w:val="008746ED"/>
    <w:rsid w:val="00874D55"/>
    <w:rsid w:val="008750A5"/>
    <w:rsid w:val="00875257"/>
    <w:rsid w:val="008756CF"/>
    <w:rsid w:val="008759B6"/>
    <w:rsid w:val="00875B3B"/>
    <w:rsid w:val="00875EB0"/>
    <w:rsid w:val="00875ED7"/>
    <w:rsid w:val="0087652E"/>
    <w:rsid w:val="00876713"/>
    <w:rsid w:val="00876942"/>
    <w:rsid w:val="00876CA9"/>
    <w:rsid w:val="00876E07"/>
    <w:rsid w:val="00876EAC"/>
    <w:rsid w:val="00877281"/>
    <w:rsid w:val="00877B2B"/>
    <w:rsid w:val="00877F3C"/>
    <w:rsid w:val="00880316"/>
    <w:rsid w:val="0088041A"/>
    <w:rsid w:val="00880633"/>
    <w:rsid w:val="00880662"/>
    <w:rsid w:val="00880710"/>
    <w:rsid w:val="00880A03"/>
    <w:rsid w:val="00880A26"/>
    <w:rsid w:val="00880B95"/>
    <w:rsid w:val="0088113D"/>
    <w:rsid w:val="0088114F"/>
    <w:rsid w:val="0088175C"/>
    <w:rsid w:val="008818A1"/>
    <w:rsid w:val="00881D2A"/>
    <w:rsid w:val="00881D65"/>
    <w:rsid w:val="00881FCB"/>
    <w:rsid w:val="00882C76"/>
    <w:rsid w:val="00882EEB"/>
    <w:rsid w:val="0088397A"/>
    <w:rsid w:val="00883A02"/>
    <w:rsid w:val="00883B96"/>
    <w:rsid w:val="00883BB5"/>
    <w:rsid w:val="008843C9"/>
    <w:rsid w:val="008844D5"/>
    <w:rsid w:val="00884532"/>
    <w:rsid w:val="0088469B"/>
    <w:rsid w:val="00884727"/>
    <w:rsid w:val="008849ED"/>
    <w:rsid w:val="00884BA1"/>
    <w:rsid w:val="0088552D"/>
    <w:rsid w:val="00885719"/>
    <w:rsid w:val="00885AA7"/>
    <w:rsid w:val="00885AF8"/>
    <w:rsid w:val="00885F96"/>
    <w:rsid w:val="008862D9"/>
    <w:rsid w:val="008863A2"/>
    <w:rsid w:val="0088649C"/>
    <w:rsid w:val="00886A6E"/>
    <w:rsid w:val="0088700F"/>
    <w:rsid w:val="008871C3"/>
    <w:rsid w:val="00887380"/>
    <w:rsid w:val="00887A1D"/>
    <w:rsid w:val="00887A86"/>
    <w:rsid w:val="00887B61"/>
    <w:rsid w:val="00887E39"/>
    <w:rsid w:val="00887EC4"/>
    <w:rsid w:val="0089042B"/>
    <w:rsid w:val="00890775"/>
    <w:rsid w:val="00890A8C"/>
    <w:rsid w:val="00890CE6"/>
    <w:rsid w:val="00891CAF"/>
    <w:rsid w:val="00891D19"/>
    <w:rsid w:val="0089203D"/>
    <w:rsid w:val="0089214B"/>
    <w:rsid w:val="008921C7"/>
    <w:rsid w:val="008922CA"/>
    <w:rsid w:val="008925F9"/>
    <w:rsid w:val="00893342"/>
    <w:rsid w:val="00893C14"/>
    <w:rsid w:val="00893F0D"/>
    <w:rsid w:val="008940CE"/>
    <w:rsid w:val="0089422B"/>
    <w:rsid w:val="00894566"/>
    <w:rsid w:val="0089488D"/>
    <w:rsid w:val="0089501D"/>
    <w:rsid w:val="00895678"/>
    <w:rsid w:val="0089579F"/>
    <w:rsid w:val="00895907"/>
    <w:rsid w:val="00895983"/>
    <w:rsid w:val="00895EEA"/>
    <w:rsid w:val="00895FC2"/>
    <w:rsid w:val="008960BB"/>
    <w:rsid w:val="0089651C"/>
    <w:rsid w:val="0089665C"/>
    <w:rsid w:val="008967D3"/>
    <w:rsid w:val="00896886"/>
    <w:rsid w:val="00896A2A"/>
    <w:rsid w:val="00896B80"/>
    <w:rsid w:val="00896F10"/>
    <w:rsid w:val="008971D6"/>
    <w:rsid w:val="00897263"/>
    <w:rsid w:val="0089791C"/>
    <w:rsid w:val="00897B2A"/>
    <w:rsid w:val="008A0301"/>
    <w:rsid w:val="008A07D6"/>
    <w:rsid w:val="008A0BC1"/>
    <w:rsid w:val="008A110B"/>
    <w:rsid w:val="008A14D8"/>
    <w:rsid w:val="008A1601"/>
    <w:rsid w:val="008A16BF"/>
    <w:rsid w:val="008A199C"/>
    <w:rsid w:val="008A1B46"/>
    <w:rsid w:val="008A1C77"/>
    <w:rsid w:val="008A1D1F"/>
    <w:rsid w:val="008A2018"/>
    <w:rsid w:val="008A207E"/>
    <w:rsid w:val="008A2159"/>
    <w:rsid w:val="008A2A56"/>
    <w:rsid w:val="008A2EB8"/>
    <w:rsid w:val="008A318F"/>
    <w:rsid w:val="008A3D7C"/>
    <w:rsid w:val="008A3E97"/>
    <w:rsid w:val="008A464A"/>
    <w:rsid w:val="008A4E72"/>
    <w:rsid w:val="008A5214"/>
    <w:rsid w:val="008A53DB"/>
    <w:rsid w:val="008A5862"/>
    <w:rsid w:val="008A5B1D"/>
    <w:rsid w:val="008A5E11"/>
    <w:rsid w:val="008A5E6F"/>
    <w:rsid w:val="008A60B7"/>
    <w:rsid w:val="008A61F0"/>
    <w:rsid w:val="008A6341"/>
    <w:rsid w:val="008A64DA"/>
    <w:rsid w:val="008A6885"/>
    <w:rsid w:val="008A6DAE"/>
    <w:rsid w:val="008A72AD"/>
    <w:rsid w:val="008A735F"/>
    <w:rsid w:val="008A7584"/>
    <w:rsid w:val="008A76CC"/>
    <w:rsid w:val="008A7789"/>
    <w:rsid w:val="008A7C37"/>
    <w:rsid w:val="008A7D48"/>
    <w:rsid w:val="008B0115"/>
    <w:rsid w:val="008B0242"/>
    <w:rsid w:val="008B0800"/>
    <w:rsid w:val="008B0A6D"/>
    <w:rsid w:val="008B0B6D"/>
    <w:rsid w:val="008B0C05"/>
    <w:rsid w:val="008B106B"/>
    <w:rsid w:val="008B10C8"/>
    <w:rsid w:val="008B18AE"/>
    <w:rsid w:val="008B19A9"/>
    <w:rsid w:val="008B1E1B"/>
    <w:rsid w:val="008B2111"/>
    <w:rsid w:val="008B26F0"/>
    <w:rsid w:val="008B27F9"/>
    <w:rsid w:val="008B29DA"/>
    <w:rsid w:val="008B2A9F"/>
    <w:rsid w:val="008B2AD1"/>
    <w:rsid w:val="008B2D00"/>
    <w:rsid w:val="008B2F16"/>
    <w:rsid w:val="008B3733"/>
    <w:rsid w:val="008B39B6"/>
    <w:rsid w:val="008B3A71"/>
    <w:rsid w:val="008B419B"/>
    <w:rsid w:val="008B423D"/>
    <w:rsid w:val="008B48BD"/>
    <w:rsid w:val="008B4DB0"/>
    <w:rsid w:val="008B4E27"/>
    <w:rsid w:val="008B4E7C"/>
    <w:rsid w:val="008B4F41"/>
    <w:rsid w:val="008B538A"/>
    <w:rsid w:val="008B53FF"/>
    <w:rsid w:val="008B55A8"/>
    <w:rsid w:val="008B5DBE"/>
    <w:rsid w:val="008B646A"/>
    <w:rsid w:val="008B6556"/>
    <w:rsid w:val="008B6A77"/>
    <w:rsid w:val="008B6AAD"/>
    <w:rsid w:val="008B6CBF"/>
    <w:rsid w:val="008B6CDC"/>
    <w:rsid w:val="008B6EBF"/>
    <w:rsid w:val="008B6F6A"/>
    <w:rsid w:val="008B7149"/>
    <w:rsid w:val="008B75B8"/>
    <w:rsid w:val="008B7CD0"/>
    <w:rsid w:val="008B7ED0"/>
    <w:rsid w:val="008C00CD"/>
    <w:rsid w:val="008C011F"/>
    <w:rsid w:val="008C03BA"/>
    <w:rsid w:val="008C0A5E"/>
    <w:rsid w:val="008C0E7D"/>
    <w:rsid w:val="008C114D"/>
    <w:rsid w:val="008C130C"/>
    <w:rsid w:val="008C1557"/>
    <w:rsid w:val="008C1700"/>
    <w:rsid w:val="008C186B"/>
    <w:rsid w:val="008C18BD"/>
    <w:rsid w:val="008C1AB3"/>
    <w:rsid w:val="008C1C85"/>
    <w:rsid w:val="008C20C2"/>
    <w:rsid w:val="008C2138"/>
    <w:rsid w:val="008C2263"/>
    <w:rsid w:val="008C237C"/>
    <w:rsid w:val="008C2A1B"/>
    <w:rsid w:val="008C2E41"/>
    <w:rsid w:val="008C43DA"/>
    <w:rsid w:val="008C44C2"/>
    <w:rsid w:val="008C46AC"/>
    <w:rsid w:val="008C47EE"/>
    <w:rsid w:val="008C4C54"/>
    <w:rsid w:val="008C4D95"/>
    <w:rsid w:val="008C5367"/>
    <w:rsid w:val="008C57E1"/>
    <w:rsid w:val="008C5AB2"/>
    <w:rsid w:val="008C5EEA"/>
    <w:rsid w:val="008C5F54"/>
    <w:rsid w:val="008C61F0"/>
    <w:rsid w:val="008C646C"/>
    <w:rsid w:val="008C6896"/>
    <w:rsid w:val="008C6A51"/>
    <w:rsid w:val="008C6BBC"/>
    <w:rsid w:val="008C6C17"/>
    <w:rsid w:val="008C6E75"/>
    <w:rsid w:val="008C73C9"/>
    <w:rsid w:val="008C74C0"/>
    <w:rsid w:val="008C75D0"/>
    <w:rsid w:val="008C7648"/>
    <w:rsid w:val="008C78C8"/>
    <w:rsid w:val="008C7CA9"/>
    <w:rsid w:val="008C7D29"/>
    <w:rsid w:val="008C7E1D"/>
    <w:rsid w:val="008D0C0E"/>
    <w:rsid w:val="008D0FA8"/>
    <w:rsid w:val="008D10E7"/>
    <w:rsid w:val="008D153E"/>
    <w:rsid w:val="008D178B"/>
    <w:rsid w:val="008D272C"/>
    <w:rsid w:val="008D27F9"/>
    <w:rsid w:val="008D2973"/>
    <w:rsid w:val="008D33C6"/>
    <w:rsid w:val="008D34C7"/>
    <w:rsid w:val="008D3630"/>
    <w:rsid w:val="008D395E"/>
    <w:rsid w:val="008D3A51"/>
    <w:rsid w:val="008D4231"/>
    <w:rsid w:val="008D45C2"/>
    <w:rsid w:val="008D45EA"/>
    <w:rsid w:val="008D4607"/>
    <w:rsid w:val="008D47BE"/>
    <w:rsid w:val="008D4859"/>
    <w:rsid w:val="008D4A85"/>
    <w:rsid w:val="008D4AFB"/>
    <w:rsid w:val="008D5024"/>
    <w:rsid w:val="008D514A"/>
    <w:rsid w:val="008D5259"/>
    <w:rsid w:val="008D52D9"/>
    <w:rsid w:val="008D533B"/>
    <w:rsid w:val="008D5883"/>
    <w:rsid w:val="008D5C1E"/>
    <w:rsid w:val="008D5CB6"/>
    <w:rsid w:val="008D5F7C"/>
    <w:rsid w:val="008D63D4"/>
    <w:rsid w:val="008D692D"/>
    <w:rsid w:val="008D69FA"/>
    <w:rsid w:val="008D6B63"/>
    <w:rsid w:val="008D76A0"/>
    <w:rsid w:val="008D7797"/>
    <w:rsid w:val="008D7863"/>
    <w:rsid w:val="008D7B9F"/>
    <w:rsid w:val="008E0062"/>
    <w:rsid w:val="008E0391"/>
    <w:rsid w:val="008E03C0"/>
    <w:rsid w:val="008E060E"/>
    <w:rsid w:val="008E06F9"/>
    <w:rsid w:val="008E09B5"/>
    <w:rsid w:val="008E0BD3"/>
    <w:rsid w:val="008E0CE8"/>
    <w:rsid w:val="008E0D55"/>
    <w:rsid w:val="008E10D1"/>
    <w:rsid w:val="008E1DDE"/>
    <w:rsid w:val="008E1F59"/>
    <w:rsid w:val="008E20BD"/>
    <w:rsid w:val="008E2731"/>
    <w:rsid w:val="008E2E5A"/>
    <w:rsid w:val="008E2EF1"/>
    <w:rsid w:val="008E2F89"/>
    <w:rsid w:val="008E3289"/>
    <w:rsid w:val="008E334E"/>
    <w:rsid w:val="008E3363"/>
    <w:rsid w:val="008E337D"/>
    <w:rsid w:val="008E3AE6"/>
    <w:rsid w:val="008E406A"/>
    <w:rsid w:val="008E420C"/>
    <w:rsid w:val="008E4434"/>
    <w:rsid w:val="008E47A2"/>
    <w:rsid w:val="008E49EA"/>
    <w:rsid w:val="008E4C54"/>
    <w:rsid w:val="008E52F2"/>
    <w:rsid w:val="008E552D"/>
    <w:rsid w:val="008E562B"/>
    <w:rsid w:val="008E5679"/>
    <w:rsid w:val="008E5760"/>
    <w:rsid w:val="008E5863"/>
    <w:rsid w:val="008E5C82"/>
    <w:rsid w:val="008E5E26"/>
    <w:rsid w:val="008E5E8D"/>
    <w:rsid w:val="008E60AC"/>
    <w:rsid w:val="008E6E3B"/>
    <w:rsid w:val="008E6F3C"/>
    <w:rsid w:val="008E77CF"/>
    <w:rsid w:val="008E780C"/>
    <w:rsid w:val="008E78D4"/>
    <w:rsid w:val="008E7A90"/>
    <w:rsid w:val="008E7CD5"/>
    <w:rsid w:val="008E7CDE"/>
    <w:rsid w:val="008E7D2A"/>
    <w:rsid w:val="008E7E23"/>
    <w:rsid w:val="008E7E6D"/>
    <w:rsid w:val="008F0B1F"/>
    <w:rsid w:val="008F0B87"/>
    <w:rsid w:val="008F1076"/>
    <w:rsid w:val="008F17A9"/>
    <w:rsid w:val="008F1823"/>
    <w:rsid w:val="008F18D5"/>
    <w:rsid w:val="008F1A7B"/>
    <w:rsid w:val="008F1D72"/>
    <w:rsid w:val="008F22A2"/>
    <w:rsid w:val="008F23E8"/>
    <w:rsid w:val="008F27E1"/>
    <w:rsid w:val="008F2DBE"/>
    <w:rsid w:val="008F2DD0"/>
    <w:rsid w:val="008F2E1D"/>
    <w:rsid w:val="008F2E7E"/>
    <w:rsid w:val="008F304F"/>
    <w:rsid w:val="008F3176"/>
    <w:rsid w:val="008F3270"/>
    <w:rsid w:val="008F345B"/>
    <w:rsid w:val="008F35BB"/>
    <w:rsid w:val="008F3946"/>
    <w:rsid w:val="008F3B53"/>
    <w:rsid w:val="008F401E"/>
    <w:rsid w:val="008F438C"/>
    <w:rsid w:val="008F492F"/>
    <w:rsid w:val="008F4D20"/>
    <w:rsid w:val="008F5023"/>
    <w:rsid w:val="008F5219"/>
    <w:rsid w:val="008F54FA"/>
    <w:rsid w:val="008F5681"/>
    <w:rsid w:val="008F56B9"/>
    <w:rsid w:val="008F5842"/>
    <w:rsid w:val="008F5941"/>
    <w:rsid w:val="008F6837"/>
    <w:rsid w:val="008F7954"/>
    <w:rsid w:val="008F7F4C"/>
    <w:rsid w:val="008F8383"/>
    <w:rsid w:val="009004AD"/>
    <w:rsid w:val="00900A77"/>
    <w:rsid w:val="00900DFB"/>
    <w:rsid w:val="00901057"/>
    <w:rsid w:val="0090112C"/>
    <w:rsid w:val="009011D6"/>
    <w:rsid w:val="009017AE"/>
    <w:rsid w:val="009017B6"/>
    <w:rsid w:val="009017DF"/>
    <w:rsid w:val="00901808"/>
    <w:rsid w:val="00901C03"/>
    <w:rsid w:val="00902009"/>
    <w:rsid w:val="009023D5"/>
    <w:rsid w:val="009027BA"/>
    <w:rsid w:val="00902BE4"/>
    <w:rsid w:val="00902E5D"/>
    <w:rsid w:val="009031A4"/>
    <w:rsid w:val="009032F6"/>
    <w:rsid w:val="00903725"/>
    <w:rsid w:val="009039A0"/>
    <w:rsid w:val="00903C11"/>
    <w:rsid w:val="00904B42"/>
    <w:rsid w:val="00904C59"/>
    <w:rsid w:val="00905207"/>
    <w:rsid w:val="00905260"/>
    <w:rsid w:val="00905500"/>
    <w:rsid w:val="0090612E"/>
    <w:rsid w:val="0090624D"/>
    <w:rsid w:val="00906E86"/>
    <w:rsid w:val="00907B1E"/>
    <w:rsid w:val="00907D69"/>
    <w:rsid w:val="0091020D"/>
    <w:rsid w:val="0091087D"/>
    <w:rsid w:val="00910EF1"/>
    <w:rsid w:val="0091104B"/>
    <w:rsid w:val="00911337"/>
    <w:rsid w:val="00911B7C"/>
    <w:rsid w:val="009125C5"/>
    <w:rsid w:val="00912CF9"/>
    <w:rsid w:val="00913293"/>
    <w:rsid w:val="009134F3"/>
    <w:rsid w:val="00913FFC"/>
    <w:rsid w:val="009143EA"/>
    <w:rsid w:val="00914CC1"/>
    <w:rsid w:val="00914F18"/>
    <w:rsid w:val="0091567C"/>
    <w:rsid w:val="00915AF9"/>
    <w:rsid w:val="00915B26"/>
    <w:rsid w:val="00915EEF"/>
    <w:rsid w:val="00915FB4"/>
    <w:rsid w:val="00916143"/>
    <w:rsid w:val="00916199"/>
    <w:rsid w:val="009162E3"/>
    <w:rsid w:val="009165FF"/>
    <w:rsid w:val="00916714"/>
    <w:rsid w:val="0091672D"/>
    <w:rsid w:val="00916818"/>
    <w:rsid w:val="00916A4F"/>
    <w:rsid w:val="00916AFB"/>
    <w:rsid w:val="00916E95"/>
    <w:rsid w:val="009179D6"/>
    <w:rsid w:val="00917FA0"/>
    <w:rsid w:val="0091C423"/>
    <w:rsid w:val="00920376"/>
    <w:rsid w:val="00921120"/>
    <w:rsid w:val="0092156C"/>
    <w:rsid w:val="0092166F"/>
    <w:rsid w:val="0092198B"/>
    <w:rsid w:val="00921CB6"/>
    <w:rsid w:val="00921DE3"/>
    <w:rsid w:val="00921DE8"/>
    <w:rsid w:val="00922598"/>
    <w:rsid w:val="00922686"/>
    <w:rsid w:val="00922C71"/>
    <w:rsid w:val="00922F42"/>
    <w:rsid w:val="00923367"/>
    <w:rsid w:val="009233D9"/>
    <w:rsid w:val="009234D7"/>
    <w:rsid w:val="00923BB9"/>
    <w:rsid w:val="00923D01"/>
    <w:rsid w:val="00923D6E"/>
    <w:rsid w:val="00924042"/>
    <w:rsid w:val="009241B9"/>
    <w:rsid w:val="009253F4"/>
    <w:rsid w:val="009254DB"/>
    <w:rsid w:val="0092566C"/>
    <w:rsid w:val="009257BD"/>
    <w:rsid w:val="00926336"/>
    <w:rsid w:val="00926441"/>
    <w:rsid w:val="00926861"/>
    <w:rsid w:val="00926DD7"/>
    <w:rsid w:val="00927601"/>
    <w:rsid w:val="00927EFC"/>
    <w:rsid w:val="00927F09"/>
    <w:rsid w:val="00930E32"/>
    <w:rsid w:val="00930F17"/>
    <w:rsid w:val="00930FE6"/>
    <w:rsid w:val="009310E0"/>
    <w:rsid w:val="00931147"/>
    <w:rsid w:val="0093132F"/>
    <w:rsid w:val="00931759"/>
    <w:rsid w:val="00931907"/>
    <w:rsid w:val="0093199E"/>
    <w:rsid w:val="00932082"/>
    <w:rsid w:val="009321D1"/>
    <w:rsid w:val="00932885"/>
    <w:rsid w:val="0093292D"/>
    <w:rsid w:val="009329C8"/>
    <w:rsid w:val="00932B81"/>
    <w:rsid w:val="009332C5"/>
    <w:rsid w:val="009333C2"/>
    <w:rsid w:val="0093387D"/>
    <w:rsid w:val="00934B6B"/>
    <w:rsid w:val="00934BDB"/>
    <w:rsid w:val="00934F58"/>
    <w:rsid w:val="0093535F"/>
    <w:rsid w:val="00935370"/>
    <w:rsid w:val="00935465"/>
    <w:rsid w:val="00935CB7"/>
    <w:rsid w:val="00935EAE"/>
    <w:rsid w:val="00936662"/>
    <w:rsid w:val="00936AB2"/>
    <w:rsid w:val="00936B07"/>
    <w:rsid w:val="00936B6B"/>
    <w:rsid w:val="00936EC2"/>
    <w:rsid w:val="00937348"/>
    <w:rsid w:val="00937C85"/>
    <w:rsid w:val="009402F9"/>
    <w:rsid w:val="009403C0"/>
    <w:rsid w:val="009404EF"/>
    <w:rsid w:val="009405F2"/>
    <w:rsid w:val="0094066E"/>
    <w:rsid w:val="00940C07"/>
    <w:rsid w:val="00940DE5"/>
    <w:rsid w:val="009410D7"/>
    <w:rsid w:val="00941156"/>
    <w:rsid w:val="00941627"/>
    <w:rsid w:val="00941936"/>
    <w:rsid w:val="00941C03"/>
    <w:rsid w:val="0094227B"/>
    <w:rsid w:val="009423E7"/>
    <w:rsid w:val="009428E3"/>
    <w:rsid w:val="00942973"/>
    <w:rsid w:val="00942AE1"/>
    <w:rsid w:val="00942CE4"/>
    <w:rsid w:val="009433F2"/>
    <w:rsid w:val="00943748"/>
    <w:rsid w:val="00943892"/>
    <w:rsid w:val="00944238"/>
    <w:rsid w:val="00944281"/>
    <w:rsid w:val="009442BB"/>
    <w:rsid w:val="009442D8"/>
    <w:rsid w:val="00944559"/>
    <w:rsid w:val="00944C55"/>
    <w:rsid w:val="00944EDC"/>
    <w:rsid w:val="0094506A"/>
    <w:rsid w:val="009450D7"/>
    <w:rsid w:val="009452D0"/>
    <w:rsid w:val="00945647"/>
    <w:rsid w:val="0094590C"/>
    <w:rsid w:val="00945A70"/>
    <w:rsid w:val="00945B71"/>
    <w:rsid w:val="0094636A"/>
    <w:rsid w:val="0094662F"/>
    <w:rsid w:val="0094683E"/>
    <w:rsid w:val="00946CAF"/>
    <w:rsid w:val="009472C4"/>
    <w:rsid w:val="009473BB"/>
    <w:rsid w:val="00947B1E"/>
    <w:rsid w:val="00947B39"/>
    <w:rsid w:val="00947DC7"/>
    <w:rsid w:val="009500C0"/>
    <w:rsid w:val="0095013D"/>
    <w:rsid w:val="00950440"/>
    <w:rsid w:val="00950644"/>
    <w:rsid w:val="009508EC"/>
    <w:rsid w:val="009509CB"/>
    <w:rsid w:val="00950A5D"/>
    <w:rsid w:val="00951118"/>
    <w:rsid w:val="0095131B"/>
    <w:rsid w:val="009513AE"/>
    <w:rsid w:val="00951963"/>
    <w:rsid w:val="00951DEE"/>
    <w:rsid w:val="0095220F"/>
    <w:rsid w:val="00952AA2"/>
    <w:rsid w:val="00952B23"/>
    <w:rsid w:val="00952C62"/>
    <w:rsid w:val="00952C7C"/>
    <w:rsid w:val="00953277"/>
    <w:rsid w:val="0095387D"/>
    <w:rsid w:val="0095449A"/>
    <w:rsid w:val="00954575"/>
    <w:rsid w:val="00954781"/>
    <w:rsid w:val="009548D7"/>
    <w:rsid w:val="00954DD6"/>
    <w:rsid w:val="00954F6D"/>
    <w:rsid w:val="00954F6F"/>
    <w:rsid w:val="00955BAD"/>
    <w:rsid w:val="00955C01"/>
    <w:rsid w:val="00955D45"/>
    <w:rsid w:val="00955EF6"/>
    <w:rsid w:val="0095641B"/>
    <w:rsid w:val="00956487"/>
    <w:rsid w:val="00956900"/>
    <w:rsid w:val="00956C1A"/>
    <w:rsid w:val="00956E42"/>
    <w:rsid w:val="00956EAE"/>
    <w:rsid w:val="00956EE1"/>
    <w:rsid w:val="00957563"/>
    <w:rsid w:val="00957645"/>
    <w:rsid w:val="009577E6"/>
    <w:rsid w:val="00960012"/>
    <w:rsid w:val="0096020C"/>
    <w:rsid w:val="00960569"/>
    <w:rsid w:val="0096072E"/>
    <w:rsid w:val="00960901"/>
    <w:rsid w:val="0096094C"/>
    <w:rsid w:val="00960E4B"/>
    <w:rsid w:val="009610FB"/>
    <w:rsid w:val="00962923"/>
    <w:rsid w:val="00962FD5"/>
    <w:rsid w:val="0096317E"/>
    <w:rsid w:val="00963298"/>
    <w:rsid w:val="009636B9"/>
    <w:rsid w:val="00963A3B"/>
    <w:rsid w:val="00963AD0"/>
    <w:rsid w:val="00964A80"/>
    <w:rsid w:val="00964BAD"/>
    <w:rsid w:val="0096519B"/>
    <w:rsid w:val="009652CF"/>
    <w:rsid w:val="00965778"/>
    <w:rsid w:val="0096584B"/>
    <w:rsid w:val="00965B72"/>
    <w:rsid w:val="00965C8C"/>
    <w:rsid w:val="009661E1"/>
    <w:rsid w:val="009668AB"/>
    <w:rsid w:val="0096692A"/>
    <w:rsid w:val="00966ECB"/>
    <w:rsid w:val="00967333"/>
    <w:rsid w:val="00967468"/>
    <w:rsid w:val="00967610"/>
    <w:rsid w:val="00970034"/>
    <w:rsid w:val="00970505"/>
    <w:rsid w:val="00970916"/>
    <w:rsid w:val="009709DC"/>
    <w:rsid w:val="00970D05"/>
    <w:rsid w:val="00970D9C"/>
    <w:rsid w:val="00970EDA"/>
    <w:rsid w:val="009711F2"/>
    <w:rsid w:val="009712C7"/>
    <w:rsid w:val="009715C5"/>
    <w:rsid w:val="009715DF"/>
    <w:rsid w:val="009719DB"/>
    <w:rsid w:val="00972754"/>
    <w:rsid w:val="00972C57"/>
    <w:rsid w:val="009738FE"/>
    <w:rsid w:val="009744AB"/>
    <w:rsid w:val="00975099"/>
    <w:rsid w:val="009753E4"/>
    <w:rsid w:val="009754CD"/>
    <w:rsid w:val="00975502"/>
    <w:rsid w:val="00975E67"/>
    <w:rsid w:val="009761FA"/>
    <w:rsid w:val="00976995"/>
    <w:rsid w:val="00976ECB"/>
    <w:rsid w:val="00977123"/>
    <w:rsid w:val="00977215"/>
    <w:rsid w:val="0097733E"/>
    <w:rsid w:val="009802C4"/>
    <w:rsid w:val="00980317"/>
    <w:rsid w:val="00980868"/>
    <w:rsid w:val="0098086C"/>
    <w:rsid w:val="00980B9F"/>
    <w:rsid w:val="009816EF"/>
    <w:rsid w:val="00981811"/>
    <w:rsid w:val="00981C35"/>
    <w:rsid w:val="009823F4"/>
    <w:rsid w:val="009825F3"/>
    <w:rsid w:val="00982693"/>
    <w:rsid w:val="009826B3"/>
    <w:rsid w:val="00982AE6"/>
    <w:rsid w:val="00982FB3"/>
    <w:rsid w:val="009834EA"/>
    <w:rsid w:val="009839E4"/>
    <w:rsid w:val="00983AAA"/>
    <w:rsid w:val="00983BC0"/>
    <w:rsid w:val="009848D3"/>
    <w:rsid w:val="00984F37"/>
    <w:rsid w:val="00984F47"/>
    <w:rsid w:val="009852BC"/>
    <w:rsid w:val="00985AB7"/>
    <w:rsid w:val="00985B0E"/>
    <w:rsid w:val="00985D63"/>
    <w:rsid w:val="00985D6D"/>
    <w:rsid w:val="00985F80"/>
    <w:rsid w:val="009865EE"/>
    <w:rsid w:val="009867E5"/>
    <w:rsid w:val="00986A62"/>
    <w:rsid w:val="00986AC8"/>
    <w:rsid w:val="00986B05"/>
    <w:rsid w:val="00986E90"/>
    <w:rsid w:val="009870F4"/>
    <w:rsid w:val="00987284"/>
    <w:rsid w:val="00987DFB"/>
    <w:rsid w:val="00987E7D"/>
    <w:rsid w:val="0098B833"/>
    <w:rsid w:val="009901E3"/>
    <w:rsid w:val="0099029E"/>
    <w:rsid w:val="00990592"/>
    <w:rsid w:val="00990833"/>
    <w:rsid w:val="00990C51"/>
    <w:rsid w:val="00990CB4"/>
    <w:rsid w:val="009910AD"/>
    <w:rsid w:val="0099116B"/>
    <w:rsid w:val="0099125B"/>
    <w:rsid w:val="0099180B"/>
    <w:rsid w:val="00992234"/>
    <w:rsid w:val="009927A8"/>
    <w:rsid w:val="00992A0E"/>
    <w:rsid w:val="009930A6"/>
    <w:rsid w:val="009931D7"/>
    <w:rsid w:val="009932A0"/>
    <w:rsid w:val="0099396E"/>
    <w:rsid w:val="00993B4D"/>
    <w:rsid w:val="00993D05"/>
    <w:rsid w:val="00993DB5"/>
    <w:rsid w:val="00993F22"/>
    <w:rsid w:val="00994615"/>
    <w:rsid w:val="00994685"/>
    <w:rsid w:val="0099496F"/>
    <w:rsid w:val="00994A6B"/>
    <w:rsid w:val="009953DE"/>
    <w:rsid w:val="00995542"/>
    <w:rsid w:val="0099572B"/>
    <w:rsid w:val="009958B8"/>
    <w:rsid w:val="00995C28"/>
    <w:rsid w:val="00995F52"/>
    <w:rsid w:val="0099610C"/>
    <w:rsid w:val="009963BA"/>
    <w:rsid w:val="009963EF"/>
    <w:rsid w:val="009964EF"/>
    <w:rsid w:val="00996A78"/>
    <w:rsid w:val="00996AAF"/>
    <w:rsid w:val="00996AC0"/>
    <w:rsid w:val="00996ADB"/>
    <w:rsid w:val="00996D7B"/>
    <w:rsid w:val="0099705A"/>
    <w:rsid w:val="0099717F"/>
    <w:rsid w:val="009979FF"/>
    <w:rsid w:val="00997EA0"/>
    <w:rsid w:val="009A00D4"/>
    <w:rsid w:val="009A097D"/>
    <w:rsid w:val="009A0AE5"/>
    <w:rsid w:val="009A0DD0"/>
    <w:rsid w:val="009A0EC5"/>
    <w:rsid w:val="009A17DD"/>
    <w:rsid w:val="009A17E1"/>
    <w:rsid w:val="009A231B"/>
    <w:rsid w:val="009A2A58"/>
    <w:rsid w:val="009A2A64"/>
    <w:rsid w:val="009A2CB8"/>
    <w:rsid w:val="009A2D94"/>
    <w:rsid w:val="009A2EF4"/>
    <w:rsid w:val="009A2F8D"/>
    <w:rsid w:val="009A30F5"/>
    <w:rsid w:val="009A317F"/>
    <w:rsid w:val="009A32BF"/>
    <w:rsid w:val="009A35C5"/>
    <w:rsid w:val="009A385A"/>
    <w:rsid w:val="009A38D4"/>
    <w:rsid w:val="009A39B1"/>
    <w:rsid w:val="009A3E27"/>
    <w:rsid w:val="009A3EE4"/>
    <w:rsid w:val="009A4016"/>
    <w:rsid w:val="009A42A9"/>
    <w:rsid w:val="009A43D1"/>
    <w:rsid w:val="009A44A6"/>
    <w:rsid w:val="009A474C"/>
    <w:rsid w:val="009A4869"/>
    <w:rsid w:val="009A4DD6"/>
    <w:rsid w:val="009A5039"/>
    <w:rsid w:val="009A525B"/>
    <w:rsid w:val="009A5318"/>
    <w:rsid w:val="009A553E"/>
    <w:rsid w:val="009A5E77"/>
    <w:rsid w:val="009A5ED2"/>
    <w:rsid w:val="009A6384"/>
    <w:rsid w:val="009A64F5"/>
    <w:rsid w:val="009A65B0"/>
    <w:rsid w:val="009A67DF"/>
    <w:rsid w:val="009A6D0F"/>
    <w:rsid w:val="009A6D7E"/>
    <w:rsid w:val="009A6E5F"/>
    <w:rsid w:val="009A6F66"/>
    <w:rsid w:val="009A6FB6"/>
    <w:rsid w:val="009A7545"/>
    <w:rsid w:val="009B064A"/>
    <w:rsid w:val="009B0744"/>
    <w:rsid w:val="009B0A6A"/>
    <w:rsid w:val="009B0D42"/>
    <w:rsid w:val="009B0F3C"/>
    <w:rsid w:val="009B0FB1"/>
    <w:rsid w:val="009B13BB"/>
    <w:rsid w:val="009B1428"/>
    <w:rsid w:val="009B169B"/>
    <w:rsid w:val="009B1748"/>
    <w:rsid w:val="009B19AC"/>
    <w:rsid w:val="009B1A54"/>
    <w:rsid w:val="009B1BD2"/>
    <w:rsid w:val="009B1C32"/>
    <w:rsid w:val="009B1CF9"/>
    <w:rsid w:val="009B1ED2"/>
    <w:rsid w:val="009B20A1"/>
    <w:rsid w:val="009B2394"/>
    <w:rsid w:val="009B26DC"/>
    <w:rsid w:val="009B28B5"/>
    <w:rsid w:val="009B2BEA"/>
    <w:rsid w:val="009B2C1D"/>
    <w:rsid w:val="009B3062"/>
    <w:rsid w:val="009B3278"/>
    <w:rsid w:val="009B377E"/>
    <w:rsid w:val="009B3AFF"/>
    <w:rsid w:val="009B3D8A"/>
    <w:rsid w:val="009B43FC"/>
    <w:rsid w:val="009B46FC"/>
    <w:rsid w:val="009B489D"/>
    <w:rsid w:val="009B565D"/>
    <w:rsid w:val="009B5ABA"/>
    <w:rsid w:val="009B6D42"/>
    <w:rsid w:val="009B70B1"/>
    <w:rsid w:val="009B70F0"/>
    <w:rsid w:val="009B7112"/>
    <w:rsid w:val="009B72EC"/>
    <w:rsid w:val="009B768F"/>
    <w:rsid w:val="009B7A82"/>
    <w:rsid w:val="009B7CC3"/>
    <w:rsid w:val="009BBD6E"/>
    <w:rsid w:val="009C0139"/>
    <w:rsid w:val="009C036F"/>
    <w:rsid w:val="009C03F2"/>
    <w:rsid w:val="009C0763"/>
    <w:rsid w:val="009C0994"/>
    <w:rsid w:val="009C0B90"/>
    <w:rsid w:val="009C0EBD"/>
    <w:rsid w:val="009C13E1"/>
    <w:rsid w:val="009C1547"/>
    <w:rsid w:val="009C1648"/>
    <w:rsid w:val="009C1AC4"/>
    <w:rsid w:val="009C1C72"/>
    <w:rsid w:val="009C1ED5"/>
    <w:rsid w:val="009C207D"/>
    <w:rsid w:val="009C2F2B"/>
    <w:rsid w:val="009C354B"/>
    <w:rsid w:val="009C37EE"/>
    <w:rsid w:val="009C3934"/>
    <w:rsid w:val="009C3B97"/>
    <w:rsid w:val="009C3C59"/>
    <w:rsid w:val="009C3F56"/>
    <w:rsid w:val="009C420B"/>
    <w:rsid w:val="009C4666"/>
    <w:rsid w:val="009C4ADE"/>
    <w:rsid w:val="009C4CAC"/>
    <w:rsid w:val="009C5223"/>
    <w:rsid w:val="009C523A"/>
    <w:rsid w:val="009C5434"/>
    <w:rsid w:val="009C5A3B"/>
    <w:rsid w:val="009C5BAD"/>
    <w:rsid w:val="009C62D6"/>
    <w:rsid w:val="009C62E0"/>
    <w:rsid w:val="009C631F"/>
    <w:rsid w:val="009C654B"/>
    <w:rsid w:val="009C665E"/>
    <w:rsid w:val="009C6862"/>
    <w:rsid w:val="009C6A5C"/>
    <w:rsid w:val="009C6C1A"/>
    <w:rsid w:val="009C7202"/>
    <w:rsid w:val="009C7279"/>
    <w:rsid w:val="009C7329"/>
    <w:rsid w:val="009C7553"/>
    <w:rsid w:val="009C762C"/>
    <w:rsid w:val="009C7C95"/>
    <w:rsid w:val="009D01B1"/>
    <w:rsid w:val="009D035B"/>
    <w:rsid w:val="009D07D2"/>
    <w:rsid w:val="009D0D11"/>
    <w:rsid w:val="009D0F66"/>
    <w:rsid w:val="009D1288"/>
    <w:rsid w:val="009D1AEF"/>
    <w:rsid w:val="009D1C8A"/>
    <w:rsid w:val="009D232B"/>
    <w:rsid w:val="009D2369"/>
    <w:rsid w:val="009D2BD6"/>
    <w:rsid w:val="009D2CE2"/>
    <w:rsid w:val="009D3117"/>
    <w:rsid w:val="009D34EC"/>
    <w:rsid w:val="009D3719"/>
    <w:rsid w:val="009D3992"/>
    <w:rsid w:val="009D3C73"/>
    <w:rsid w:val="009D3CF6"/>
    <w:rsid w:val="009D45B4"/>
    <w:rsid w:val="009D463B"/>
    <w:rsid w:val="009D4A2D"/>
    <w:rsid w:val="009D5433"/>
    <w:rsid w:val="009D63CE"/>
    <w:rsid w:val="009D6972"/>
    <w:rsid w:val="009D6D52"/>
    <w:rsid w:val="009D70BC"/>
    <w:rsid w:val="009D74E1"/>
    <w:rsid w:val="009D75AC"/>
    <w:rsid w:val="009D7736"/>
    <w:rsid w:val="009D77E9"/>
    <w:rsid w:val="009D7E4D"/>
    <w:rsid w:val="009D7E6E"/>
    <w:rsid w:val="009E02C9"/>
    <w:rsid w:val="009E032C"/>
    <w:rsid w:val="009E07B4"/>
    <w:rsid w:val="009E08D6"/>
    <w:rsid w:val="009E09B0"/>
    <w:rsid w:val="009E0C23"/>
    <w:rsid w:val="009E10E1"/>
    <w:rsid w:val="009E185A"/>
    <w:rsid w:val="009E2188"/>
    <w:rsid w:val="009E2706"/>
    <w:rsid w:val="009E28A8"/>
    <w:rsid w:val="009E28DB"/>
    <w:rsid w:val="009E2A01"/>
    <w:rsid w:val="009E2EAB"/>
    <w:rsid w:val="009E2F65"/>
    <w:rsid w:val="009E33C9"/>
    <w:rsid w:val="009E3497"/>
    <w:rsid w:val="009E3677"/>
    <w:rsid w:val="009E3806"/>
    <w:rsid w:val="009E3CEB"/>
    <w:rsid w:val="009E4161"/>
    <w:rsid w:val="009E42D3"/>
    <w:rsid w:val="009E47A2"/>
    <w:rsid w:val="009E4B52"/>
    <w:rsid w:val="009E4D36"/>
    <w:rsid w:val="009E50AE"/>
    <w:rsid w:val="009E5CA6"/>
    <w:rsid w:val="009E5FC0"/>
    <w:rsid w:val="009E6236"/>
    <w:rsid w:val="009E62EF"/>
    <w:rsid w:val="009E63E4"/>
    <w:rsid w:val="009E6FFE"/>
    <w:rsid w:val="009E742E"/>
    <w:rsid w:val="009E7506"/>
    <w:rsid w:val="009E7A06"/>
    <w:rsid w:val="009E7E5E"/>
    <w:rsid w:val="009E7FA1"/>
    <w:rsid w:val="009F0BEC"/>
    <w:rsid w:val="009F0EA9"/>
    <w:rsid w:val="009F11B1"/>
    <w:rsid w:val="009F1B31"/>
    <w:rsid w:val="009F222C"/>
    <w:rsid w:val="009F239C"/>
    <w:rsid w:val="009F2636"/>
    <w:rsid w:val="009F28FF"/>
    <w:rsid w:val="009F292C"/>
    <w:rsid w:val="009F2B4C"/>
    <w:rsid w:val="009F2C3F"/>
    <w:rsid w:val="009F31B1"/>
    <w:rsid w:val="009F380B"/>
    <w:rsid w:val="009F3EF3"/>
    <w:rsid w:val="009F422D"/>
    <w:rsid w:val="009F464E"/>
    <w:rsid w:val="009F4773"/>
    <w:rsid w:val="009F48E6"/>
    <w:rsid w:val="009F4CAB"/>
    <w:rsid w:val="009F515A"/>
    <w:rsid w:val="009F51FD"/>
    <w:rsid w:val="009F59DA"/>
    <w:rsid w:val="009F5AC1"/>
    <w:rsid w:val="009F5F3E"/>
    <w:rsid w:val="009F5FF6"/>
    <w:rsid w:val="009F665F"/>
    <w:rsid w:val="009F69BF"/>
    <w:rsid w:val="009F6BB7"/>
    <w:rsid w:val="009F6D51"/>
    <w:rsid w:val="009F6DB2"/>
    <w:rsid w:val="009F6EAE"/>
    <w:rsid w:val="009F6F9F"/>
    <w:rsid w:val="009F6FA5"/>
    <w:rsid w:val="009F71DA"/>
    <w:rsid w:val="009F7236"/>
    <w:rsid w:val="009F7316"/>
    <w:rsid w:val="009F74EA"/>
    <w:rsid w:val="009F7969"/>
    <w:rsid w:val="009F7AEE"/>
    <w:rsid w:val="009F7F93"/>
    <w:rsid w:val="00A00050"/>
    <w:rsid w:val="00A00549"/>
    <w:rsid w:val="00A008B6"/>
    <w:rsid w:val="00A011CF"/>
    <w:rsid w:val="00A01710"/>
    <w:rsid w:val="00A01B72"/>
    <w:rsid w:val="00A01CBC"/>
    <w:rsid w:val="00A01CC1"/>
    <w:rsid w:val="00A01F42"/>
    <w:rsid w:val="00A0264B"/>
    <w:rsid w:val="00A026C0"/>
    <w:rsid w:val="00A0278C"/>
    <w:rsid w:val="00A027CC"/>
    <w:rsid w:val="00A02B7A"/>
    <w:rsid w:val="00A02B82"/>
    <w:rsid w:val="00A02EAF"/>
    <w:rsid w:val="00A03814"/>
    <w:rsid w:val="00A03933"/>
    <w:rsid w:val="00A03C8A"/>
    <w:rsid w:val="00A03EEB"/>
    <w:rsid w:val="00A04325"/>
    <w:rsid w:val="00A05B33"/>
    <w:rsid w:val="00A05B61"/>
    <w:rsid w:val="00A05FEC"/>
    <w:rsid w:val="00A06434"/>
    <w:rsid w:val="00A06DC0"/>
    <w:rsid w:val="00A07017"/>
    <w:rsid w:val="00A07701"/>
    <w:rsid w:val="00A07970"/>
    <w:rsid w:val="00A07989"/>
    <w:rsid w:val="00A07A49"/>
    <w:rsid w:val="00A07D54"/>
    <w:rsid w:val="00A07F7C"/>
    <w:rsid w:val="00A1029B"/>
    <w:rsid w:val="00A102EF"/>
    <w:rsid w:val="00A103AE"/>
    <w:rsid w:val="00A104B4"/>
    <w:rsid w:val="00A10527"/>
    <w:rsid w:val="00A109AE"/>
    <w:rsid w:val="00A10A22"/>
    <w:rsid w:val="00A10B9A"/>
    <w:rsid w:val="00A112D9"/>
    <w:rsid w:val="00A112FB"/>
    <w:rsid w:val="00A118A4"/>
    <w:rsid w:val="00A11AE9"/>
    <w:rsid w:val="00A11C4B"/>
    <w:rsid w:val="00A11D89"/>
    <w:rsid w:val="00A1202E"/>
    <w:rsid w:val="00A12117"/>
    <w:rsid w:val="00A1269D"/>
    <w:rsid w:val="00A126CB"/>
    <w:rsid w:val="00A13032"/>
    <w:rsid w:val="00A1331B"/>
    <w:rsid w:val="00A13501"/>
    <w:rsid w:val="00A137B9"/>
    <w:rsid w:val="00A13AFE"/>
    <w:rsid w:val="00A13CC9"/>
    <w:rsid w:val="00A13FAD"/>
    <w:rsid w:val="00A1416C"/>
    <w:rsid w:val="00A1446D"/>
    <w:rsid w:val="00A14699"/>
    <w:rsid w:val="00A14832"/>
    <w:rsid w:val="00A148D9"/>
    <w:rsid w:val="00A1601B"/>
    <w:rsid w:val="00A16185"/>
    <w:rsid w:val="00A16257"/>
    <w:rsid w:val="00A167F6"/>
    <w:rsid w:val="00A16BFD"/>
    <w:rsid w:val="00A16CAF"/>
    <w:rsid w:val="00A16FA8"/>
    <w:rsid w:val="00A1763A"/>
    <w:rsid w:val="00A17DE9"/>
    <w:rsid w:val="00A200EC"/>
    <w:rsid w:val="00A20230"/>
    <w:rsid w:val="00A20953"/>
    <w:rsid w:val="00A20A9D"/>
    <w:rsid w:val="00A20E2A"/>
    <w:rsid w:val="00A20F4A"/>
    <w:rsid w:val="00A210B7"/>
    <w:rsid w:val="00A214D4"/>
    <w:rsid w:val="00A2192B"/>
    <w:rsid w:val="00A219F3"/>
    <w:rsid w:val="00A21F45"/>
    <w:rsid w:val="00A22290"/>
    <w:rsid w:val="00A2257D"/>
    <w:rsid w:val="00A228AE"/>
    <w:rsid w:val="00A22C06"/>
    <w:rsid w:val="00A22E07"/>
    <w:rsid w:val="00A22EC7"/>
    <w:rsid w:val="00A237BD"/>
    <w:rsid w:val="00A23D04"/>
    <w:rsid w:val="00A243CC"/>
    <w:rsid w:val="00A24933"/>
    <w:rsid w:val="00A24A75"/>
    <w:rsid w:val="00A24F01"/>
    <w:rsid w:val="00A24F31"/>
    <w:rsid w:val="00A25345"/>
    <w:rsid w:val="00A25501"/>
    <w:rsid w:val="00A25B05"/>
    <w:rsid w:val="00A25B56"/>
    <w:rsid w:val="00A25BC3"/>
    <w:rsid w:val="00A25BC9"/>
    <w:rsid w:val="00A25C50"/>
    <w:rsid w:val="00A25DB6"/>
    <w:rsid w:val="00A25F99"/>
    <w:rsid w:val="00A25FAC"/>
    <w:rsid w:val="00A261DF"/>
    <w:rsid w:val="00A2632C"/>
    <w:rsid w:val="00A269A1"/>
    <w:rsid w:val="00A27EA3"/>
    <w:rsid w:val="00A30483"/>
    <w:rsid w:val="00A308D4"/>
    <w:rsid w:val="00A30C5F"/>
    <w:rsid w:val="00A30EED"/>
    <w:rsid w:val="00A30EFD"/>
    <w:rsid w:val="00A314C9"/>
    <w:rsid w:val="00A31572"/>
    <w:rsid w:val="00A31D0F"/>
    <w:rsid w:val="00A3205C"/>
    <w:rsid w:val="00A32E16"/>
    <w:rsid w:val="00A33239"/>
    <w:rsid w:val="00A33588"/>
    <w:rsid w:val="00A336D6"/>
    <w:rsid w:val="00A34333"/>
    <w:rsid w:val="00A34511"/>
    <w:rsid w:val="00A34587"/>
    <w:rsid w:val="00A34AB9"/>
    <w:rsid w:val="00A34AC2"/>
    <w:rsid w:val="00A34E8D"/>
    <w:rsid w:val="00A34EBA"/>
    <w:rsid w:val="00A34EE2"/>
    <w:rsid w:val="00A358B8"/>
    <w:rsid w:val="00A35A22"/>
    <w:rsid w:val="00A35F02"/>
    <w:rsid w:val="00A35F32"/>
    <w:rsid w:val="00A36407"/>
    <w:rsid w:val="00A3660D"/>
    <w:rsid w:val="00A3665E"/>
    <w:rsid w:val="00A36710"/>
    <w:rsid w:val="00A367D8"/>
    <w:rsid w:val="00A36888"/>
    <w:rsid w:val="00A36C26"/>
    <w:rsid w:val="00A370F4"/>
    <w:rsid w:val="00A37C9D"/>
    <w:rsid w:val="00A40050"/>
    <w:rsid w:val="00A40172"/>
    <w:rsid w:val="00A401A7"/>
    <w:rsid w:val="00A40259"/>
    <w:rsid w:val="00A40450"/>
    <w:rsid w:val="00A405D8"/>
    <w:rsid w:val="00A4086F"/>
    <w:rsid w:val="00A40A21"/>
    <w:rsid w:val="00A40E9D"/>
    <w:rsid w:val="00A41303"/>
    <w:rsid w:val="00A41485"/>
    <w:rsid w:val="00A415B1"/>
    <w:rsid w:val="00A4180F"/>
    <w:rsid w:val="00A41A5E"/>
    <w:rsid w:val="00A41BC5"/>
    <w:rsid w:val="00A422CD"/>
    <w:rsid w:val="00A42318"/>
    <w:rsid w:val="00A4235A"/>
    <w:rsid w:val="00A42702"/>
    <w:rsid w:val="00A429CB"/>
    <w:rsid w:val="00A42AB1"/>
    <w:rsid w:val="00A42B5E"/>
    <w:rsid w:val="00A42DF6"/>
    <w:rsid w:val="00A431D5"/>
    <w:rsid w:val="00A435A8"/>
    <w:rsid w:val="00A4384E"/>
    <w:rsid w:val="00A442A5"/>
    <w:rsid w:val="00A444BF"/>
    <w:rsid w:val="00A444EB"/>
    <w:rsid w:val="00A45855"/>
    <w:rsid w:val="00A45B75"/>
    <w:rsid w:val="00A46034"/>
    <w:rsid w:val="00A460DF"/>
    <w:rsid w:val="00A462E6"/>
    <w:rsid w:val="00A46433"/>
    <w:rsid w:val="00A46497"/>
    <w:rsid w:val="00A465B8"/>
    <w:rsid w:val="00A478EE"/>
    <w:rsid w:val="00A47911"/>
    <w:rsid w:val="00A4799A"/>
    <w:rsid w:val="00A505E0"/>
    <w:rsid w:val="00A50A17"/>
    <w:rsid w:val="00A50AFC"/>
    <w:rsid w:val="00A50E7E"/>
    <w:rsid w:val="00A510EC"/>
    <w:rsid w:val="00A513DE"/>
    <w:rsid w:val="00A513ED"/>
    <w:rsid w:val="00A514DF"/>
    <w:rsid w:val="00A51BC1"/>
    <w:rsid w:val="00A51CC1"/>
    <w:rsid w:val="00A52407"/>
    <w:rsid w:val="00A52A8C"/>
    <w:rsid w:val="00A52CA4"/>
    <w:rsid w:val="00A52E79"/>
    <w:rsid w:val="00A53002"/>
    <w:rsid w:val="00A53182"/>
    <w:rsid w:val="00A531B1"/>
    <w:rsid w:val="00A534CF"/>
    <w:rsid w:val="00A537DD"/>
    <w:rsid w:val="00A5392B"/>
    <w:rsid w:val="00A53E24"/>
    <w:rsid w:val="00A5403C"/>
    <w:rsid w:val="00A5408E"/>
    <w:rsid w:val="00A54260"/>
    <w:rsid w:val="00A547DA"/>
    <w:rsid w:val="00A54989"/>
    <w:rsid w:val="00A54B69"/>
    <w:rsid w:val="00A5508E"/>
    <w:rsid w:val="00A55100"/>
    <w:rsid w:val="00A55456"/>
    <w:rsid w:val="00A55837"/>
    <w:rsid w:val="00A55AC4"/>
    <w:rsid w:val="00A55B92"/>
    <w:rsid w:val="00A563DD"/>
    <w:rsid w:val="00A564EB"/>
    <w:rsid w:val="00A56700"/>
    <w:rsid w:val="00A5679F"/>
    <w:rsid w:val="00A56AF4"/>
    <w:rsid w:val="00A56E05"/>
    <w:rsid w:val="00A570CC"/>
    <w:rsid w:val="00A5739C"/>
    <w:rsid w:val="00A574CC"/>
    <w:rsid w:val="00A5779D"/>
    <w:rsid w:val="00A57988"/>
    <w:rsid w:val="00A57B38"/>
    <w:rsid w:val="00A5AF18"/>
    <w:rsid w:val="00A60408"/>
    <w:rsid w:val="00A6084F"/>
    <w:rsid w:val="00A60AFF"/>
    <w:rsid w:val="00A60EF7"/>
    <w:rsid w:val="00A60F26"/>
    <w:rsid w:val="00A60F88"/>
    <w:rsid w:val="00A60F8E"/>
    <w:rsid w:val="00A612AE"/>
    <w:rsid w:val="00A61438"/>
    <w:rsid w:val="00A61685"/>
    <w:rsid w:val="00A619B2"/>
    <w:rsid w:val="00A61E36"/>
    <w:rsid w:val="00A6203C"/>
    <w:rsid w:val="00A6233B"/>
    <w:rsid w:val="00A6246E"/>
    <w:rsid w:val="00A6266E"/>
    <w:rsid w:val="00A63204"/>
    <w:rsid w:val="00A63BC0"/>
    <w:rsid w:val="00A63D6F"/>
    <w:rsid w:val="00A63FCD"/>
    <w:rsid w:val="00A64076"/>
    <w:rsid w:val="00A64083"/>
    <w:rsid w:val="00A6481E"/>
    <w:rsid w:val="00A64973"/>
    <w:rsid w:val="00A6497F"/>
    <w:rsid w:val="00A649D2"/>
    <w:rsid w:val="00A64B57"/>
    <w:rsid w:val="00A64E93"/>
    <w:rsid w:val="00A6524F"/>
    <w:rsid w:val="00A65B8A"/>
    <w:rsid w:val="00A65CDB"/>
    <w:rsid w:val="00A6625F"/>
    <w:rsid w:val="00A6655F"/>
    <w:rsid w:val="00A665BC"/>
    <w:rsid w:val="00A6678D"/>
    <w:rsid w:val="00A66AEA"/>
    <w:rsid w:val="00A66F3E"/>
    <w:rsid w:val="00A67238"/>
    <w:rsid w:val="00A6779C"/>
    <w:rsid w:val="00A67C11"/>
    <w:rsid w:val="00A67DA7"/>
    <w:rsid w:val="00A67FE9"/>
    <w:rsid w:val="00A70093"/>
    <w:rsid w:val="00A7061A"/>
    <w:rsid w:val="00A70B29"/>
    <w:rsid w:val="00A70D32"/>
    <w:rsid w:val="00A70FFE"/>
    <w:rsid w:val="00A71268"/>
    <w:rsid w:val="00A71385"/>
    <w:rsid w:val="00A71428"/>
    <w:rsid w:val="00A71601"/>
    <w:rsid w:val="00A718C4"/>
    <w:rsid w:val="00A71E97"/>
    <w:rsid w:val="00A71F97"/>
    <w:rsid w:val="00A7231F"/>
    <w:rsid w:val="00A72C47"/>
    <w:rsid w:val="00A72D21"/>
    <w:rsid w:val="00A73B44"/>
    <w:rsid w:val="00A73C63"/>
    <w:rsid w:val="00A73E36"/>
    <w:rsid w:val="00A73E39"/>
    <w:rsid w:val="00A74243"/>
    <w:rsid w:val="00A748EB"/>
    <w:rsid w:val="00A750F4"/>
    <w:rsid w:val="00A7530D"/>
    <w:rsid w:val="00A7554A"/>
    <w:rsid w:val="00A75F1D"/>
    <w:rsid w:val="00A7644E"/>
    <w:rsid w:val="00A764B7"/>
    <w:rsid w:val="00A76C3B"/>
    <w:rsid w:val="00A77492"/>
    <w:rsid w:val="00A77A96"/>
    <w:rsid w:val="00A80290"/>
    <w:rsid w:val="00A805C7"/>
    <w:rsid w:val="00A80AA0"/>
    <w:rsid w:val="00A81292"/>
    <w:rsid w:val="00A816CA"/>
    <w:rsid w:val="00A8182D"/>
    <w:rsid w:val="00A81910"/>
    <w:rsid w:val="00A82312"/>
    <w:rsid w:val="00A826B8"/>
    <w:rsid w:val="00A82703"/>
    <w:rsid w:val="00A83416"/>
    <w:rsid w:val="00A835DB"/>
    <w:rsid w:val="00A83B0F"/>
    <w:rsid w:val="00A84237"/>
    <w:rsid w:val="00A842D3"/>
    <w:rsid w:val="00A843C2"/>
    <w:rsid w:val="00A84475"/>
    <w:rsid w:val="00A84F97"/>
    <w:rsid w:val="00A84FAC"/>
    <w:rsid w:val="00A85044"/>
    <w:rsid w:val="00A8519E"/>
    <w:rsid w:val="00A85281"/>
    <w:rsid w:val="00A85774"/>
    <w:rsid w:val="00A858DF"/>
    <w:rsid w:val="00A85A1B"/>
    <w:rsid w:val="00A85C8A"/>
    <w:rsid w:val="00A85F13"/>
    <w:rsid w:val="00A86397"/>
    <w:rsid w:val="00A86AC8"/>
    <w:rsid w:val="00A86C6B"/>
    <w:rsid w:val="00A86C8E"/>
    <w:rsid w:val="00A86C9F"/>
    <w:rsid w:val="00A86DA6"/>
    <w:rsid w:val="00A8709C"/>
    <w:rsid w:val="00A905B1"/>
    <w:rsid w:val="00A91039"/>
    <w:rsid w:val="00A91250"/>
    <w:rsid w:val="00A914B0"/>
    <w:rsid w:val="00A91B99"/>
    <w:rsid w:val="00A91D44"/>
    <w:rsid w:val="00A91ED1"/>
    <w:rsid w:val="00A921EC"/>
    <w:rsid w:val="00A92344"/>
    <w:rsid w:val="00A92563"/>
    <w:rsid w:val="00A926A5"/>
    <w:rsid w:val="00A92710"/>
    <w:rsid w:val="00A927AC"/>
    <w:rsid w:val="00A92C47"/>
    <w:rsid w:val="00A92CD2"/>
    <w:rsid w:val="00A931D6"/>
    <w:rsid w:val="00A934C7"/>
    <w:rsid w:val="00A93A0B"/>
    <w:rsid w:val="00A93DD0"/>
    <w:rsid w:val="00A93EB7"/>
    <w:rsid w:val="00A93F28"/>
    <w:rsid w:val="00A94842"/>
    <w:rsid w:val="00A94D00"/>
    <w:rsid w:val="00A94FDE"/>
    <w:rsid w:val="00A95000"/>
    <w:rsid w:val="00A95426"/>
    <w:rsid w:val="00A954A4"/>
    <w:rsid w:val="00A956EA"/>
    <w:rsid w:val="00A95AF0"/>
    <w:rsid w:val="00A95CB1"/>
    <w:rsid w:val="00A95F06"/>
    <w:rsid w:val="00A9609D"/>
    <w:rsid w:val="00A96293"/>
    <w:rsid w:val="00A96353"/>
    <w:rsid w:val="00A96402"/>
    <w:rsid w:val="00A9700F"/>
    <w:rsid w:val="00A978B2"/>
    <w:rsid w:val="00A979DC"/>
    <w:rsid w:val="00A97A78"/>
    <w:rsid w:val="00A97AC2"/>
    <w:rsid w:val="00A97D24"/>
    <w:rsid w:val="00AA01CE"/>
    <w:rsid w:val="00AA082F"/>
    <w:rsid w:val="00AA0A62"/>
    <w:rsid w:val="00AA0F8F"/>
    <w:rsid w:val="00AA181C"/>
    <w:rsid w:val="00AA1893"/>
    <w:rsid w:val="00AA1AEA"/>
    <w:rsid w:val="00AA1CA6"/>
    <w:rsid w:val="00AA1E69"/>
    <w:rsid w:val="00AA1F8A"/>
    <w:rsid w:val="00AA2352"/>
    <w:rsid w:val="00AA256A"/>
    <w:rsid w:val="00AA2856"/>
    <w:rsid w:val="00AA29A3"/>
    <w:rsid w:val="00AA2A5B"/>
    <w:rsid w:val="00AA31E0"/>
    <w:rsid w:val="00AA3555"/>
    <w:rsid w:val="00AA35D2"/>
    <w:rsid w:val="00AA3703"/>
    <w:rsid w:val="00AA39E8"/>
    <w:rsid w:val="00AA39F5"/>
    <w:rsid w:val="00AA3DF4"/>
    <w:rsid w:val="00AA3E5E"/>
    <w:rsid w:val="00AA3FA6"/>
    <w:rsid w:val="00AA462E"/>
    <w:rsid w:val="00AA4637"/>
    <w:rsid w:val="00AA51B5"/>
    <w:rsid w:val="00AA55F3"/>
    <w:rsid w:val="00AA566E"/>
    <w:rsid w:val="00AA5A2D"/>
    <w:rsid w:val="00AA5AD2"/>
    <w:rsid w:val="00AA5CD4"/>
    <w:rsid w:val="00AA5DB3"/>
    <w:rsid w:val="00AA6901"/>
    <w:rsid w:val="00AA715E"/>
    <w:rsid w:val="00AA746C"/>
    <w:rsid w:val="00AA775E"/>
    <w:rsid w:val="00AA7A65"/>
    <w:rsid w:val="00AA7CDC"/>
    <w:rsid w:val="00AA7E19"/>
    <w:rsid w:val="00AA7E6C"/>
    <w:rsid w:val="00AA7F15"/>
    <w:rsid w:val="00AB03BE"/>
    <w:rsid w:val="00AB0420"/>
    <w:rsid w:val="00AB0471"/>
    <w:rsid w:val="00AB0489"/>
    <w:rsid w:val="00AB04BC"/>
    <w:rsid w:val="00AB0C18"/>
    <w:rsid w:val="00AB1107"/>
    <w:rsid w:val="00AB14FC"/>
    <w:rsid w:val="00AB1678"/>
    <w:rsid w:val="00AB1E1E"/>
    <w:rsid w:val="00AB27C8"/>
    <w:rsid w:val="00AB2A73"/>
    <w:rsid w:val="00AB2B7F"/>
    <w:rsid w:val="00AB3289"/>
    <w:rsid w:val="00AB334D"/>
    <w:rsid w:val="00AB35ED"/>
    <w:rsid w:val="00AB3929"/>
    <w:rsid w:val="00AB488C"/>
    <w:rsid w:val="00AB4C35"/>
    <w:rsid w:val="00AB587F"/>
    <w:rsid w:val="00AB5BCB"/>
    <w:rsid w:val="00AB5C7E"/>
    <w:rsid w:val="00AB5F8D"/>
    <w:rsid w:val="00AB6039"/>
    <w:rsid w:val="00AB62E4"/>
    <w:rsid w:val="00AB6FBA"/>
    <w:rsid w:val="00AB7E12"/>
    <w:rsid w:val="00AC02AB"/>
    <w:rsid w:val="00AC04A2"/>
    <w:rsid w:val="00AC0E7B"/>
    <w:rsid w:val="00AC131B"/>
    <w:rsid w:val="00AC1665"/>
    <w:rsid w:val="00AC1761"/>
    <w:rsid w:val="00AC19AF"/>
    <w:rsid w:val="00AC1FE7"/>
    <w:rsid w:val="00AC235A"/>
    <w:rsid w:val="00AC2932"/>
    <w:rsid w:val="00AC2DC1"/>
    <w:rsid w:val="00AC2DD6"/>
    <w:rsid w:val="00AC339F"/>
    <w:rsid w:val="00AC394E"/>
    <w:rsid w:val="00AC3BCD"/>
    <w:rsid w:val="00AC3BF5"/>
    <w:rsid w:val="00AC3DEA"/>
    <w:rsid w:val="00AC4572"/>
    <w:rsid w:val="00AC4E62"/>
    <w:rsid w:val="00AC4E6E"/>
    <w:rsid w:val="00AC52C1"/>
    <w:rsid w:val="00AC56C1"/>
    <w:rsid w:val="00AC5953"/>
    <w:rsid w:val="00AC597D"/>
    <w:rsid w:val="00AC5BEF"/>
    <w:rsid w:val="00AC5D59"/>
    <w:rsid w:val="00AC603A"/>
    <w:rsid w:val="00AC6603"/>
    <w:rsid w:val="00AC7A4E"/>
    <w:rsid w:val="00AC7AB9"/>
    <w:rsid w:val="00AC7E5D"/>
    <w:rsid w:val="00AD02D6"/>
    <w:rsid w:val="00AD06BC"/>
    <w:rsid w:val="00AD092C"/>
    <w:rsid w:val="00AD0C6F"/>
    <w:rsid w:val="00AD0E42"/>
    <w:rsid w:val="00AD1297"/>
    <w:rsid w:val="00AD1380"/>
    <w:rsid w:val="00AD161E"/>
    <w:rsid w:val="00AD1667"/>
    <w:rsid w:val="00AD1748"/>
    <w:rsid w:val="00AD1782"/>
    <w:rsid w:val="00AD191B"/>
    <w:rsid w:val="00AD1AF3"/>
    <w:rsid w:val="00AD1B16"/>
    <w:rsid w:val="00AD1BB1"/>
    <w:rsid w:val="00AD1E86"/>
    <w:rsid w:val="00AD1F9A"/>
    <w:rsid w:val="00AD1FE1"/>
    <w:rsid w:val="00AD256C"/>
    <w:rsid w:val="00AD29A0"/>
    <w:rsid w:val="00AD3315"/>
    <w:rsid w:val="00AD3525"/>
    <w:rsid w:val="00AD3BC4"/>
    <w:rsid w:val="00AD3D8A"/>
    <w:rsid w:val="00AD4267"/>
    <w:rsid w:val="00AD4682"/>
    <w:rsid w:val="00AD50AC"/>
    <w:rsid w:val="00AD50E2"/>
    <w:rsid w:val="00AD5510"/>
    <w:rsid w:val="00AD590C"/>
    <w:rsid w:val="00AD5E74"/>
    <w:rsid w:val="00AD5EF6"/>
    <w:rsid w:val="00AD5F7E"/>
    <w:rsid w:val="00AD6063"/>
    <w:rsid w:val="00AD6159"/>
    <w:rsid w:val="00AD6164"/>
    <w:rsid w:val="00AD67AB"/>
    <w:rsid w:val="00AD6C2D"/>
    <w:rsid w:val="00AD6E6C"/>
    <w:rsid w:val="00AD6FC4"/>
    <w:rsid w:val="00AD7820"/>
    <w:rsid w:val="00AD7B7F"/>
    <w:rsid w:val="00AD7E35"/>
    <w:rsid w:val="00AE0249"/>
    <w:rsid w:val="00AE03FE"/>
    <w:rsid w:val="00AE0A11"/>
    <w:rsid w:val="00AE0B17"/>
    <w:rsid w:val="00AE0C4B"/>
    <w:rsid w:val="00AE0E27"/>
    <w:rsid w:val="00AE1522"/>
    <w:rsid w:val="00AE1862"/>
    <w:rsid w:val="00AE1ABC"/>
    <w:rsid w:val="00AE1D0D"/>
    <w:rsid w:val="00AE1DF4"/>
    <w:rsid w:val="00AE2928"/>
    <w:rsid w:val="00AE30FD"/>
    <w:rsid w:val="00AE31AB"/>
    <w:rsid w:val="00AE31B2"/>
    <w:rsid w:val="00AE37CD"/>
    <w:rsid w:val="00AE3976"/>
    <w:rsid w:val="00AE403B"/>
    <w:rsid w:val="00AE41FF"/>
    <w:rsid w:val="00AE4522"/>
    <w:rsid w:val="00AE4AC4"/>
    <w:rsid w:val="00AE4DE3"/>
    <w:rsid w:val="00AE4E27"/>
    <w:rsid w:val="00AE57A9"/>
    <w:rsid w:val="00AE5A25"/>
    <w:rsid w:val="00AE5A42"/>
    <w:rsid w:val="00AE5C48"/>
    <w:rsid w:val="00AE6CF9"/>
    <w:rsid w:val="00AE6EB4"/>
    <w:rsid w:val="00AE7C67"/>
    <w:rsid w:val="00AE7E38"/>
    <w:rsid w:val="00AF0065"/>
    <w:rsid w:val="00AF0656"/>
    <w:rsid w:val="00AF08FF"/>
    <w:rsid w:val="00AF0A42"/>
    <w:rsid w:val="00AF1222"/>
    <w:rsid w:val="00AF13F3"/>
    <w:rsid w:val="00AF14F1"/>
    <w:rsid w:val="00AF15B7"/>
    <w:rsid w:val="00AF1EA1"/>
    <w:rsid w:val="00AF264C"/>
    <w:rsid w:val="00AF291C"/>
    <w:rsid w:val="00AF2A6A"/>
    <w:rsid w:val="00AF32DB"/>
    <w:rsid w:val="00AF3A68"/>
    <w:rsid w:val="00AF421E"/>
    <w:rsid w:val="00AF4496"/>
    <w:rsid w:val="00AF488E"/>
    <w:rsid w:val="00AF4C9A"/>
    <w:rsid w:val="00AF4E5A"/>
    <w:rsid w:val="00AF5275"/>
    <w:rsid w:val="00AF57DF"/>
    <w:rsid w:val="00AF5A35"/>
    <w:rsid w:val="00AF5BFA"/>
    <w:rsid w:val="00AF5C37"/>
    <w:rsid w:val="00AF5E97"/>
    <w:rsid w:val="00AF5EDF"/>
    <w:rsid w:val="00AF6715"/>
    <w:rsid w:val="00AF6B88"/>
    <w:rsid w:val="00AF6E55"/>
    <w:rsid w:val="00AF7270"/>
    <w:rsid w:val="00AF73BA"/>
    <w:rsid w:val="00AF7402"/>
    <w:rsid w:val="00AF778F"/>
    <w:rsid w:val="00AF77DD"/>
    <w:rsid w:val="00AF7C19"/>
    <w:rsid w:val="00AF7D61"/>
    <w:rsid w:val="00B0002F"/>
    <w:rsid w:val="00B000C2"/>
    <w:rsid w:val="00B003B0"/>
    <w:rsid w:val="00B006CB"/>
    <w:rsid w:val="00B00C52"/>
    <w:rsid w:val="00B00D20"/>
    <w:rsid w:val="00B00D62"/>
    <w:rsid w:val="00B00EC3"/>
    <w:rsid w:val="00B010C8"/>
    <w:rsid w:val="00B0110A"/>
    <w:rsid w:val="00B01182"/>
    <w:rsid w:val="00B011B5"/>
    <w:rsid w:val="00B015F5"/>
    <w:rsid w:val="00B01DAB"/>
    <w:rsid w:val="00B020E7"/>
    <w:rsid w:val="00B02194"/>
    <w:rsid w:val="00B02B67"/>
    <w:rsid w:val="00B02F06"/>
    <w:rsid w:val="00B03010"/>
    <w:rsid w:val="00B0322C"/>
    <w:rsid w:val="00B035A6"/>
    <w:rsid w:val="00B0391D"/>
    <w:rsid w:val="00B042FC"/>
    <w:rsid w:val="00B04468"/>
    <w:rsid w:val="00B04A27"/>
    <w:rsid w:val="00B04DFA"/>
    <w:rsid w:val="00B0502A"/>
    <w:rsid w:val="00B0517F"/>
    <w:rsid w:val="00B0580E"/>
    <w:rsid w:val="00B05896"/>
    <w:rsid w:val="00B063FA"/>
    <w:rsid w:val="00B06A50"/>
    <w:rsid w:val="00B06EBE"/>
    <w:rsid w:val="00B073E9"/>
    <w:rsid w:val="00B07C73"/>
    <w:rsid w:val="00B07D93"/>
    <w:rsid w:val="00B10388"/>
    <w:rsid w:val="00B108EA"/>
    <w:rsid w:val="00B10E59"/>
    <w:rsid w:val="00B111D6"/>
    <w:rsid w:val="00B112FC"/>
    <w:rsid w:val="00B1169A"/>
    <w:rsid w:val="00B11931"/>
    <w:rsid w:val="00B11CF3"/>
    <w:rsid w:val="00B12397"/>
    <w:rsid w:val="00B12EA6"/>
    <w:rsid w:val="00B13770"/>
    <w:rsid w:val="00B13790"/>
    <w:rsid w:val="00B13B34"/>
    <w:rsid w:val="00B13D4A"/>
    <w:rsid w:val="00B13DCF"/>
    <w:rsid w:val="00B1414E"/>
    <w:rsid w:val="00B14406"/>
    <w:rsid w:val="00B147F7"/>
    <w:rsid w:val="00B14A2C"/>
    <w:rsid w:val="00B14C0F"/>
    <w:rsid w:val="00B1511A"/>
    <w:rsid w:val="00B157D6"/>
    <w:rsid w:val="00B159F0"/>
    <w:rsid w:val="00B15F50"/>
    <w:rsid w:val="00B1626A"/>
    <w:rsid w:val="00B163E3"/>
    <w:rsid w:val="00B16409"/>
    <w:rsid w:val="00B1646F"/>
    <w:rsid w:val="00B1673D"/>
    <w:rsid w:val="00B16764"/>
    <w:rsid w:val="00B170E6"/>
    <w:rsid w:val="00B172BE"/>
    <w:rsid w:val="00B172EF"/>
    <w:rsid w:val="00B17417"/>
    <w:rsid w:val="00B1768D"/>
    <w:rsid w:val="00B177F8"/>
    <w:rsid w:val="00B17A11"/>
    <w:rsid w:val="00B207AC"/>
    <w:rsid w:val="00B20931"/>
    <w:rsid w:val="00B20B5D"/>
    <w:rsid w:val="00B21204"/>
    <w:rsid w:val="00B21694"/>
    <w:rsid w:val="00B216BC"/>
    <w:rsid w:val="00B21A4C"/>
    <w:rsid w:val="00B21DE7"/>
    <w:rsid w:val="00B22031"/>
    <w:rsid w:val="00B22130"/>
    <w:rsid w:val="00B222FA"/>
    <w:rsid w:val="00B2282D"/>
    <w:rsid w:val="00B22D03"/>
    <w:rsid w:val="00B2339D"/>
    <w:rsid w:val="00B23879"/>
    <w:rsid w:val="00B2390E"/>
    <w:rsid w:val="00B239AD"/>
    <w:rsid w:val="00B23A56"/>
    <w:rsid w:val="00B23C69"/>
    <w:rsid w:val="00B23EC8"/>
    <w:rsid w:val="00B24425"/>
    <w:rsid w:val="00B24733"/>
    <w:rsid w:val="00B247DA"/>
    <w:rsid w:val="00B24C13"/>
    <w:rsid w:val="00B25168"/>
    <w:rsid w:val="00B25ECB"/>
    <w:rsid w:val="00B261AD"/>
    <w:rsid w:val="00B262A1"/>
    <w:rsid w:val="00B265AB"/>
    <w:rsid w:val="00B26716"/>
    <w:rsid w:val="00B2682E"/>
    <w:rsid w:val="00B26B5C"/>
    <w:rsid w:val="00B26EC8"/>
    <w:rsid w:val="00B2736D"/>
    <w:rsid w:val="00B2753F"/>
    <w:rsid w:val="00B27CF5"/>
    <w:rsid w:val="00B27D89"/>
    <w:rsid w:val="00B303BF"/>
    <w:rsid w:val="00B3096D"/>
    <w:rsid w:val="00B30C67"/>
    <w:rsid w:val="00B30E50"/>
    <w:rsid w:val="00B313E8"/>
    <w:rsid w:val="00B314F2"/>
    <w:rsid w:val="00B317A5"/>
    <w:rsid w:val="00B318FE"/>
    <w:rsid w:val="00B31A9D"/>
    <w:rsid w:val="00B32559"/>
    <w:rsid w:val="00B32877"/>
    <w:rsid w:val="00B3291F"/>
    <w:rsid w:val="00B32EE2"/>
    <w:rsid w:val="00B334EA"/>
    <w:rsid w:val="00B3353E"/>
    <w:rsid w:val="00B33880"/>
    <w:rsid w:val="00B33964"/>
    <w:rsid w:val="00B3396B"/>
    <w:rsid w:val="00B3397F"/>
    <w:rsid w:val="00B342A3"/>
    <w:rsid w:val="00B343F6"/>
    <w:rsid w:val="00B348FE"/>
    <w:rsid w:val="00B34922"/>
    <w:rsid w:val="00B34B7B"/>
    <w:rsid w:val="00B34CB2"/>
    <w:rsid w:val="00B34F2F"/>
    <w:rsid w:val="00B35092"/>
    <w:rsid w:val="00B35401"/>
    <w:rsid w:val="00B355C6"/>
    <w:rsid w:val="00B35649"/>
    <w:rsid w:val="00B3565D"/>
    <w:rsid w:val="00B356AA"/>
    <w:rsid w:val="00B357FB"/>
    <w:rsid w:val="00B359D3"/>
    <w:rsid w:val="00B35BD1"/>
    <w:rsid w:val="00B35E94"/>
    <w:rsid w:val="00B36453"/>
    <w:rsid w:val="00B366AE"/>
    <w:rsid w:val="00B36989"/>
    <w:rsid w:val="00B370D5"/>
    <w:rsid w:val="00B372AA"/>
    <w:rsid w:val="00B37477"/>
    <w:rsid w:val="00B3772A"/>
    <w:rsid w:val="00B378C3"/>
    <w:rsid w:val="00B3799C"/>
    <w:rsid w:val="00B37FEE"/>
    <w:rsid w:val="00B402F6"/>
    <w:rsid w:val="00B40657"/>
    <w:rsid w:val="00B4077D"/>
    <w:rsid w:val="00B40805"/>
    <w:rsid w:val="00B40AD7"/>
    <w:rsid w:val="00B40EA0"/>
    <w:rsid w:val="00B41956"/>
    <w:rsid w:val="00B4198F"/>
    <w:rsid w:val="00B41C19"/>
    <w:rsid w:val="00B42198"/>
    <w:rsid w:val="00B422BA"/>
    <w:rsid w:val="00B4261A"/>
    <w:rsid w:val="00B427EF"/>
    <w:rsid w:val="00B42D2B"/>
    <w:rsid w:val="00B42D3A"/>
    <w:rsid w:val="00B42EED"/>
    <w:rsid w:val="00B43489"/>
    <w:rsid w:val="00B436D1"/>
    <w:rsid w:val="00B43723"/>
    <w:rsid w:val="00B43C44"/>
    <w:rsid w:val="00B43F9C"/>
    <w:rsid w:val="00B4431F"/>
    <w:rsid w:val="00B443B5"/>
    <w:rsid w:val="00B44990"/>
    <w:rsid w:val="00B44BFB"/>
    <w:rsid w:val="00B4553A"/>
    <w:rsid w:val="00B4558C"/>
    <w:rsid w:val="00B458E7"/>
    <w:rsid w:val="00B4601B"/>
    <w:rsid w:val="00B46048"/>
    <w:rsid w:val="00B464F2"/>
    <w:rsid w:val="00B466D6"/>
    <w:rsid w:val="00B46A1B"/>
    <w:rsid w:val="00B46AD5"/>
    <w:rsid w:val="00B46B68"/>
    <w:rsid w:val="00B46D1D"/>
    <w:rsid w:val="00B4708D"/>
    <w:rsid w:val="00B4715C"/>
    <w:rsid w:val="00B472D4"/>
    <w:rsid w:val="00B477DB"/>
    <w:rsid w:val="00B47D2F"/>
    <w:rsid w:val="00B47ED1"/>
    <w:rsid w:val="00B47FDB"/>
    <w:rsid w:val="00B501CA"/>
    <w:rsid w:val="00B5084E"/>
    <w:rsid w:val="00B50DCD"/>
    <w:rsid w:val="00B51477"/>
    <w:rsid w:val="00B514E6"/>
    <w:rsid w:val="00B51775"/>
    <w:rsid w:val="00B518BD"/>
    <w:rsid w:val="00B51F2E"/>
    <w:rsid w:val="00B5250D"/>
    <w:rsid w:val="00B52553"/>
    <w:rsid w:val="00B52691"/>
    <w:rsid w:val="00B528BC"/>
    <w:rsid w:val="00B529F1"/>
    <w:rsid w:val="00B5322A"/>
    <w:rsid w:val="00B5414A"/>
    <w:rsid w:val="00B543DC"/>
    <w:rsid w:val="00B54698"/>
    <w:rsid w:val="00B546DC"/>
    <w:rsid w:val="00B54815"/>
    <w:rsid w:val="00B5494A"/>
    <w:rsid w:val="00B54B5D"/>
    <w:rsid w:val="00B54EF7"/>
    <w:rsid w:val="00B5518D"/>
    <w:rsid w:val="00B5578B"/>
    <w:rsid w:val="00B55E6A"/>
    <w:rsid w:val="00B5605F"/>
    <w:rsid w:val="00B56108"/>
    <w:rsid w:val="00B564D7"/>
    <w:rsid w:val="00B5682D"/>
    <w:rsid w:val="00B57188"/>
    <w:rsid w:val="00B571F7"/>
    <w:rsid w:val="00B57858"/>
    <w:rsid w:val="00B57CD1"/>
    <w:rsid w:val="00B57E6B"/>
    <w:rsid w:val="00B604D5"/>
    <w:rsid w:val="00B606FB"/>
    <w:rsid w:val="00B60744"/>
    <w:rsid w:val="00B60809"/>
    <w:rsid w:val="00B611B3"/>
    <w:rsid w:val="00B613A0"/>
    <w:rsid w:val="00B614C8"/>
    <w:rsid w:val="00B61619"/>
    <w:rsid w:val="00B6163A"/>
    <w:rsid w:val="00B620A2"/>
    <w:rsid w:val="00B62703"/>
    <w:rsid w:val="00B62875"/>
    <w:rsid w:val="00B62F3D"/>
    <w:rsid w:val="00B6302B"/>
    <w:rsid w:val="00B630A1"/>
    <w:rsid w:val="00B63523"/>
    <w:rsid w:val="00B63585"/>
    <w:rsid w:val="00B639BA"/>
    <w:rsid w:val="00B63AF8"/>
    <w:rsid w:val="00B63C5F"/>
    <w:rsid w:val="00B63F03"/>
    <w:rsid w:val="00B6431B"/>
    <w:rsid w:val="00B64920"/>
    <w:rsid w:val="00B64AFA"/>
    <w:rsid w:val="00B64B76"/>
    <w:rsid w:val="00B65002"/>
    <w:rsid w:val="00B6521E"/>
    <w:rsid w:val="00B6547E"/>
    <w:rsid w:val="00B65496"/>
    <w:rsid w:val="00B655C1"/>
    <w:rsid w:val="00B65684"/>
    <w:rsid w:val="00B65F36"/>
    <w:rsid w:val="00B660DE"/>
    <w:rsid w:val="00B661A0"/>
    <w:rsid w:val="00B66366"/>
    <w:rsid w:val="00B664EA"/>
    <w:rsid w:val="00B6699B"/>
    <w:rsid w:val="00B66CCF"/>
    <w:rsid w:val="00B670C2"/>
    <w:rsid w:val="00B678DF"/>
    <w:rsid w:val="00B67A53"/>
    <w:rsid w:val="00B67BE7"/>
    <w:rsid w:val="00B67C4E"/>
    <w:rsid w:val="00B67F46"/>
    <w:rsid w:val="00B6DEAD"/>
    <w:rsid w:val="00B70467"/>
    <w:rsid w:val="00B706AA"/>
    <w:rsid w:val="00B706DF"/>
    <w:rsid w:val="00B70774"/>
    <w:rsid w:val="00B70B80"/>
    <w:rsid w:val="00B71357"/>
    <w:rsid w:val="00B713AB"/>
    <w:rsid w:val="00B71580"/>
    <w:rsid w:val="00B71820"/>
    <w:rsid w:val="00B71F67"/>
    <w:rsid w:val="00B72653"/>
    <w:rsid w:val="00B7270D"/>
    <w:rsid w:val="00B72CEA"/>
    <w:rsid w:val="00B72DFC"/>
    <w:rsid w:val="00B73218"/>
    <w:rsid w:val="00B733F5"/>
    <w:rsid w:val="00B7377E"/>
    <w:rsid w:val="00B73850"/>
    <w:rsid w:val="00B73A71"/>
    <w:rsid w:val="00B73CFA"/>
    <w:rsid w:val="00B73F96"/>
    <w:rsid w:val="00B741D4"/>
    <w:rsid w:val="00B743C6"/>
    <w:rsid w:val="00B743FE"/>
    <w:rsid w:val="00B7448D"/>
    <w:rsid w:val="00B747D6"/>
    <w:rsid w:val="00B74BA9"/>
    <w:rsid w:val="00B74CDE"/>
    <w:rsid w:val="00B74FFC"/>
    <w:rsid w:val="00B757E1"/>
    <w:rsid w:val="00B757FE"/>
    <w:rsid w:val="00B7586C"/>
    <w:rsid w:val="00B7596C"/>
    <w:rsid w:val="00B75A01"/>
    <w:rsid w:val="00B75A60"/>
    <w:rsid w:val="00B75ABA"/>
    <w:rsid w:val="00B76141"/>
    <w:rsid w:val="00B76244"/>
    <w:rsid w:val="00B76373"/>
    <w:rsid w:val="00B76572"/>
    <w:rsid w:val="00B767E2"/>
    <w:rsid w:val="00B76882"/>
    <w:rsid w:val="00B768D5"/>
    <w:rsid w:val="00B76C0D"/>
    <w:rsid w:val="00B77616"/>
    <w:rsid w:val="00B778CF"/>
    <w:rsid w:val="00B77AB9"/>
    <w:rsid w:val="00B77BC8"/>
    <w:rsid w:val="00B77CF1"/>
    <w:rsid w:val="00B80002"/>
    <w:rsid w:val="00B800BC"/>
    <w:rsid w:val="00B80462"/>
    <w:rsid w:val="00B808FF"/>
    <w:rsid w:val="00B80C46"/>
    <w:rsid w:val="00B80ED4"/>
    <w:rsid w:val="00B8122D"/>
    <w:rsid w:val="00B81709"/>
    <w:rsid w:val="00B81C75"/>
    <w:rsid w:val="00B81D30"/>
    <w:rsid w:val="00B81E1A"/>
    <w:rsid w:val="00B81F16"/>
    <w:rsid w:val="00B82464"/>
    <w:rsid w:val="00B82470"/>
    <w:rsid w:val="00B82592"/>
    <w:rsid w:val="00B82599"/>
    <w:rsid w:val="00B82917"/>
    <w:rsid w:val="00B829A0"/>
    <w:rsid w:val="00B83365"/>
    <w:rsid w:val="00B8336D"/>
    <w:rsid w:val="00B83904"/>
    <w:rsid w:val="00B84624"/>
    <w:rsid w:val="00B84639"/>
    <w:rsid w:val="00B84719"/>
    <w:rsid w:val="00B84C25"/>
    <w:rsid w:val="00B850B1"/>
    <w:rsid w:val="00B850FD"/>
    <w:rsid w:val="00B85AD8"/>
    <w:rsid w:val="00B85B62"/>
    <w:rsid w:val="00B85E10"/>
    <w:rsid w:val="00B861D2"/>
    <w:rsid w:val="00B8637B"/>
    <w:rsid w:val="00B86745"/>
    <w:rsid w:val="00B86774"/>
    <w:rsid w:val="00B868D4"/>
    <w:rsid w:val="00B86A5A"/>
    <w:rsid w:val="00B86CB6"/>
    <w:rsid w:val="00B87213"/>
    <w:rsid w:val="00B872C3"/>
    <w:rsid w:val="00B87369"/>
    <w:rsid w:val="00B874EC"/>
    <w:rsid w:val="00B87741"/>
    <w:rsid w:val="00B877B6"/>
    <w:rsid w:val="00B87B27"/>
    <w:rsid w:val="00B90037"/>
    <w:rsid w:val="00B90099"/>
    <w:rsid w:val="00B90901"/>
    <w:rsid w:val="00B90BE5"/>
    <w:rsid w:val="00B9139D"/>
    <w:rsid w:val="00B914FE"/>
    <w:rsid w:val="00B91704"/>
    <w:rsid w:val="00B91822"/>
    <w:rsid w:val="00B921FB"/>
    <w:rsid w:val="00B925F1"/>
    <w:rsid w:val="00B92739"/>
    <w:rsid w:val="00B92807"/>
    <w:rsid w:val="00B928AD"/>
    <w:rsid w:val="00B92947"/>
    <w:rsid w:val="00B92A9E"/>
    <w:rsid w:val="00B92B26"/>
    <w:rsid w:val="00B92C62"/>
    <w:rsid w:val="00B92F72"/>
    <w:rsid w:val="00B934D0"/>
    <w:rsid w:val="00B936B4"/>
    <w:rsid w:val="00B938D4"/>
    <w:rsid w:val="00B93A39"/>
    <w:rsid w:val="00B93E8F"/>
    <w:rsid w:val="00B94194"/>
    <w:rsid w:val="00B941DA"/>
    <w:rsid w:val="00B943E4"/>
    <w:rsid w:val="00B94448"/>
    <w:rsid w:val="00B945F1"/>
    <w:rsid w:val="00B94707"/>
    <w:rsid w:val="00B94984"/>
    <w:rsid w:val="00B94C07"/>
    <w:rsid w:val="00B94EFF"/>
    <w:rsid w:val="00B95134"/>
    <w:rsid w:val="00B9549A"/>
    <w:rsid w:val="00B95B2A"/>
    <w:rsid w:val="00B95C1C"/>
    <w:rsid w:val="00B960D4"/>
    <w:rsid w:val="00B961D1"/>
    <w:rsid w:val="00B96546"/>
    <w:rsid w:val="00B969ED"/>
    <w:rsid w:val="00B973A5"/>
    <w:rsid w:val="00B97657"/>
    <w:rsid w:val="00BA0533"/>
    <w:rsid w:val="00BA0553"/>
    <w:rsid w:val="00BA0BDC"/>
    <w:rsid w:val="00BA1AF1"/>
    <w:rsid w:val="00BA21C3"/>
    <w:rsid w:val="00BA2B47"/>
    <w:rsid w:val="00BA2C58"/>
    <w:rsid w:val="00BA3187"/>
    <w:rsid w:val="00BA3278"/>
    <w:rsid w:val="00BA32BC"/>
    <w:rsid w:val="00BA32E3"/>
    <w:rsid w:val="00BA3401"/>
    <w:rsid w:val="00BA3C96"/>
    <w:rsid w:val="00BA409E"/>
    <w:rsid w:val="00BA4185"/>
    <w:rsid w:val="00BA4310"/>
    <w:rsid w:val="00BA467D"/>
    <w:rsid w:val="00BA4A0A"/>
    <w:rsid w:val="00BA4A0B"/>
    <w:rsid w:val="00BA4C46"/>
    <w:rsid w:val="00BA4FC7"/>
    <w:rsid w:val="00BA510F"/>
    <w:rsid w:val="00BA5C22"/>
    <w:rsid w:val="00BA5C35"/>
    <w:rsid w:val="00BA613A"/>
    <w:rsid w:val="00BA61E1"/>
    <w:rsid w:val="00BA6234"/>
    <w:rsid w:val="00BA629B"/>
    <w:rsid w:val="00BA65EC"/>
    <w:rsid w:val="00BA661F"/>
    <w:rsid w:val="00BA6746"/>
    <w:rsid w:val="00BA6988"/>
    <w:rsid w:val="00BA702F"/>
    <w:rsid w:val="00BA70D4"/>
    <w:rsid w:val="00BA70FD"/>
    <w:rsid w:val="00BA78AC"/>
    <w:rsid w:val="00BA78B8"/>
    <w:rsid w:val="00BA7A33"/>
    <w:rsid w:val="00BA7B28"/>
    <w:rsid w:val="00BA7DA3"/>
    <w:rsid w:val="00BA7E8B"/>
    <w:rsid w:val="00BB00EC"/>
    <w:rsid w:val="00BB0AD4"/>
    <w:rsid w:val="00BB153C"/>
    <w:rsid w:val="00BB1BD0"/>
    <w:rsid w:val="00BB1E8C"/>
    <w:rsid w:val="00BB2070"/>
    <w:rsid w:val="00BB24BC"/>
    <w:rsid w:val="00BB2E50"/>
    <w:rsid w:val="00BB2F31"/>
    <w:rsid w:val="00BB2F45"/>
    <w:rsid w:val="00BB30AD"/>
    <w:rsid w:val="00BB34FF"/>
    <w:rsid w:val="00BB390E"/>
    <w:rsid w:val="00BB3BAC"/>
    <w:rsid w:val="00BB3DC5"/>
    <w:rsid w:val="00BB4540"/>
    <w:rsid w:val="00BB474D"/>
    <w:rsid w:val="00BB4A02"/>
    <w:rsid w:val="00BB4A12"/>
    <w:rsid w:val="00BB4C4A"/>
    <w:rsid w:val="00BB4E82"/>
    <w:rsid w:val="00BB4FD6"/>
    <w:rsid w:val="00BB5225"/>
    <w:rsid w:val="00BB556E"/>
    <w:rsid w:val="00BB57A9"/>
    <w:rsid w:val="00BB580D"/>
    <w:rsid w:val="00BB5C85"/>
    <w:rsid w:val="00BB5EF3"/>
    <w:rsid w:val="00BB6012"/>
    <w:rsid w:val="00BB604F"/>
    <w:rsid w:val="00BB61F3"/>
    <w:rsid w:val="00BB62C3"/>
    <w:rsid w:val="00BB63D1"/>
    <w:rsid w:val="00BB65A8"/>
    <w:rsid w:val="00BB6AA0"/>
    <w:rsid w:val="00BB6AEA"/>
    <w:rsid w:val="00BB6C13"/>
    <w:rsid w:val="00BB6CB1"/>
    <w:rsid w:val="00BB6E74"/>
    <w:rsid w:val="00BB7060"/>
    <w:rsid w:val="00BB77C7"/>
    <w:rsid w:val="00BB782C"/>
    <w:rsid w:val="00BB7FA2"/>
    <w:rsid w:val="00BC03DA"/>
    <w:rsid w:val="00BC0BA8"/>
    <w:rsid w:val="00BC0D24"/>
    <w:rsid w:val="00BC0FF9"/>
    <w:rsid w:val="00BC10F8"/>
    <w:rsid w:val="00BC110E"/>
    <w:rsid w:val="00BC120E"/>
    <w:rsid w:val="00BC149B"/>
    <w:rsid w:val="00BC159B"/>
    <w:rsid w:val="00BC192C"/>
    <w:rsid w:val="00BC1EF6"/>
    <w:rsid w:val="00BC2338"/>
    <w:rsid w:val="00BC25D7"/>
    <w:rsid w:val="00BC2C0C"/>
    <w:rsid w:val="00BC316E"/>
    <w:rsid w:val="00BC3517"/>
    <w:rsid w:val="00BC3773"/>
    <w:rsid w:val="00BC3A74"/>
    <w:rsid w:val="00BC3B1D"/>
    <w:rsid w:val="00BC3BE3"/>
    <w:rsid w:val="00BC3DFD"/>
    <w:rsid w:val="00BC3EE6"/>
    <w:rsid w:val="00BC43AA"/>
    <w:rsid w:val="00BC4CBA"/>
    <w:rsid w:val="00BC50C7"/>
    <w:rsid w:val="00BC529A"/>
    <w:rsid w:val="00BC53A7"/>
    <w:rsid w:val="00BC5892"/>
    <w:rsid w:val="00BC5A52"/>
    <w:rsid w:val="00BC5C31"/>
    <w:rsid w:val="00BC5C5C"/>
    <w:rsid w:val="00BC5D71"/>
    <w:rsid w:val="00BC65BC"/>
    <w:rsid w:val="00BC6933"/>
    <w:rsid w:val="00BC6B17"/>
    <w:rsid w:val="00BC6B4C"/>
    <w:rsid w:val="00BC6D6D"/>
    <w:rsid w:val="00BC7BA7"/>
    <w:rsid w:val="00BC7E9B"/>
    <w:rsid w:val="00BC7FAF"/>
    <w:rsid w:val="00BD0605"/>
    <w:rsid w:val="00BD0B79"/>
    <w:rsid w:val="00BD0C48"/>
    <w:rsid w:val="00BD0E09"/>
    <w:rsid w:val="00BD0E0E"/>
    <w:rsid w:val="00BD0E68"/>
    <w:rsid w:val="00BD13E9"/>
    <w:rsid w:val="00BD192F"/>
    <w:rsid w:val="00BD19DB"/>
    <w:rsid w:val="00BD19F8"/>
    <w:rsid w:val="00BD26AD"/>
    <w:rsid w:val="00BD2725"/>
    <w:rsid w:val="00BD27B8"/>
    <w:rsid w:val="00BD2D8F"/>
    <w:rsid w:val="00BD2E72"/>
    <w:rsid w:val="00BD2F42"/>
    <w:rsid w:val="00BD317B"/>
    <w:rsid w:val="00BD3285"/>
    <w:rsid w:val="00BD3376"/>
    <w:rsid w:val="00BD338A"/>
    <w:rsid w:val="00BD3866"/>
    <w:rsid w:val="00BD3B92"/>
    <w:rsid w:val="00BD3EDB"/>
    <w:rsid w:val="00BD400B"/>
    <w:rsid w:val="00BD543E"/>
    <w:rsid w:val="00BD56E7"/>
    <w:rsid w:val="00BD5711"/>
    <w:rsid w:val="00BD5E69"/>
    <w:rsid w:val="00BD61F8"/>
    <w:rsid w:val="00BD6359"/>
    <w:rsid w:val="00BD6A22"/>
    <w:rsid w:val="00BD6BCB"/>
    <w:rsid w:val="00BD6D4F"/>
    <w:rsid w:val="00BD6F45"/>
    <w:rsid w:val="00BD759B"/>
    <w:rsid w:val="00BD760D"/>
    <w:rsid w:val="00BE0436"/>
    <w:rsid w:val="00BE0D7B"/>
    <w:rsid w:val="00BE1126"/>
    <w:rsid w:val="00BE16D3"/>
    <w:rsid w:val="00BE1721"/>
    <w:rsid w:val="00BE1CD5"/>
    <w:rsid w:val="00BE20BB"/>
    <w:rsid w:val="00BE2487"/>
    <w:rsid w:val="00BE24A1"/>
    <w:rsid w:val="00BE2EDF"/>
    <w:rsid w:val="00BE3182"/>
    <w:rsid w:val="00BE34A4"/>
    <w:rsid w:val="00BE369D"/>
    <w:rsid w:val="00BE3716"/>
    <w:rsid w:val="00BE3DC5"/>
    <w:rsid w:val="00BE47DB"/>
    <w:rsid w:val="00BE4B4B"/>
    <w:rsid w:val="00BE4CDA"/>
    <w:rsid w:val="00BE53D9"/>
    <w:rsid w:val="00BE56A8"/>
    <w:rsid w:val="00BE60D3"/>
    <w:rsid w:val="00BE650E"/>
    <w:rsid w:val="00BE68D6"/>
    <w:rsid w:val="00BE6A64"/>
    <w:rsid w:val="00BE6CE0"/>
    <w:rsid w:val="00BE71EA"/>
    <w:rsid w:val="00BE9E91"/>
    <w:rsid w:val="00BF0098"/>
    <w:rsid w:val="00BF0325"/>
    <w:rsid w:val="00BF0675"/>
    <w:rsid w:val="00BF0C37"/>
    <w:rsid w:val="00BF0DE3"/>
    <w:rsid w:val="00BF1042"/>
    <w:rsid w:val="00BF10E3"/>
    <w:rsid w:val="00BF11FD"/>
    <w:rsid w:val="00BF12A7"/>
    <w:rsid w:val="00BF135A"/>
    <w:rsid w:val="00BF18EC"/>
    <w:rsid w:val="00BF1CBC"/>
    <w:rsid w:val="00BF1E0A"/>
    <w:rsid w:val="00BF1FA7"/>
    <w:rsid w:val="00BF2827"/>
    <w:rsid w:val="00BF2B53"/>
    <w:rsid w:val="00BF2DCF"/>
    <w:rsid w:val="00BF2F55"/>
    <w:rsid w:val="00BF2F59"/>
    <w:rsid w:val="00BF369F"/>
    <w:rsid w:val="00BF3BB6"/>
    <w:rsid w:val="00BF3C7D"/>
    <w:rsid w:val="00BF4672"/>
    <w:rsid w:val="00BF5336"/>
    <w:rsid w:val="00BF55B4"/>
    <w:rsid w:val="00BF58CF"/>
    <w:rsid w:val="00BF5A42"/>
    <w:rsid w:val="00BF5AC1"/>
    <w:rsid w:val="00BF5F16"/>
    <w:rsid w:val="00BF6205"/>
    <w:rsid w:val="00BF6D90"/>
    <w:rsid w:val="00BF7067"/>
    <w:rsid w:val="00BF748F"/>
    <w:rsid w:val="00BF7769"/>
    <w:rsid w:val="00BF7800"/>
    <w:rsid w:val="00BF7A29"/>
    <w:rsid w:val="00BF7CC3"/>
    <w:rsid w:val="00C007D8"/>
    <w:rsid w:val="00C00B31"/>
    <w:rsid w:val="00C0138F"/>
    <w:rsid w:val="00C014B1"/>
    <w:rsid w:val="00C014D9"/>
    <w:rsid w:val="00C0154F"/>
    <w:rsid w:val="00C01CFF"/>
    <w:rsid w:val="00C02329"/>
    <w:rsid w:val="00C0235A"/>
    <w:rsid w:val="00C02403"/>
    <w:rsid w:val="00C02476"/>
    <w:rsid w:val="00C029A8"/>
    <w:rsid w:val="00C02ADA"/>
    <w:rsid w:val="00C02F1C"/>
    <w:rsid w:val="00C03063"/>
    <w:rsid w:val="00C030D9"/>
    <w:rsid w:val="00C032AA"/>
    <w:rsid w:val="00C0340C"/>
    <w:rsid w:val="00C038AF"/>
    <w:rsid w:val="00C0422C"/>
    <w:rsid w:val="00C04290"/>
    <w:rsid w:val="00C047CE"/>
    <w:rsid w:val="00C04885"/>
    <w:rsid w:val="00C05460"/>
    <w:rsid w:val="00C0551A"/>
    <w:rsid w:val="00C057B5"/>
    <w:rsid w:val="00C05818"/>
    <w:rsid w:val="00C05B27"/>
    <w:rsid w:val="00C05F1F"/>
    <w:rsid w:val="00C0619F"/>
    <w:rsid w:val="00C06948"/>
    <w:rsid w:val="00C0729A"/>
    <w:rsid w:val="00C074A9"/>
    <w:rsid w:val="00C0779D"/>
    <w:rsid w:val="00C07A11"/>
    <w:rsid w:val="00C07AD8"/>
    <w:rsid w:val="00C07B56"/>
    <w:rsid w:val="00C07CFB"/>
    <w:rsid w:val="00C07DD9"/>
    <w:rsid w:val="00C1098D"/>
    <w:rsid w:val="00C109BE"/>
    <w:rsid w:val="00C10A73"/>
    <w:rsid w:val="00C10BA8"/>
    <w:rsid w:val="00C10CB0"/>
    <w:rsid w:val="00C118DE"/>
    <w:rsid w:val="00C11B4B"/>
    <w:rsid w:val="00C11CE8"/>
    <w:rsid w:val="00C11CF8"/>
    <w:rsid w:val="00C123CA"/>
    <w:rsid w:val="00C124A3"/>
    <w:rsid w:val="00C126D8"/>
    <w:rsid w:val="00C127BC"/>
    <w:rsid w:val="00C12AF1"/>
    <w:rsid w:val="00C13630"/>
    <w:rsid w:val="00C14604"/>
    <w:rsid w:val="00C14881"/>
    <w:rsid w:val="00C148E8"/>
    <w:rsid w:val="00C1493C"/>
    <w:rsid w:val="00C14966"/>
    <w:rsid w:val="00C14A47"/>
    <w:rsid w:val="00C14F11"/>
    <w:rsid w:val="00C1521C"/>
    <w:rsid w:val="00C153EC"/>
    <w:rsid w:val="00C1595E"/>
    <w:rsid w:val="00C15AD2"/>
    <w:rsid w:val="00C15F2B"/>
    <w:rsid w:val="00C1610B"/>
    <w:rsid w:val="00C16789"/>
    <w:rsid w:val="00C1693A"/>
    <w:rsid w:val="00C17093"/>
    <w:rsid w:val="00C174F4"/>
    <w:rsid w:val="00C17588"/>
    <w:rsid w:val="00C175D3"/>
    <w:rsid w:val="00C17B09"/>
    <w:rsid w:val="00C17F79"/>
    <w:rsid w:val="00C205FA"/>
    <w:rsid w:val="00C208AB"/>
    <w:rsid w:val="00C20A05"/>
    <w:rsid w:val="00C20A1F"/>
    <w:rsid w:val="00C20C2B"/>
    <w:rsid w:val="00C20E19"/>
    <w:rsid w:val="00C20E91"/>
    <w:rsid w:val="00C20ED9"/>
    <w:rsid w:val="00C214FE"/>
    <w:rsid w:val="00C21C44"/>
    <w:rsid w:val="00C21C6D"/>
    <w:rsid w:val="00C21E64"/>
    <w:rsid w:val="00C220BA"/>
    <w:rsid w:val="00C2241E"/>
    <w:rsid w:val="00C224E0"/>
    <w:rsid w:val="00C228B9"/>
    <w:rsid w:val="00C2317A"/>
    <w:rsid w:val="00C23252"/>
    <w:rsid w:val="00C23572"/>
    <w:rsid w:val="00C235B3"/>
    <w:rsid w:val="00C2374B"/>
    <w:rsid w:val="00C237C5"/>
    <w:rsid w:val="00C23CC7"/>
    <w:rsid w:val="00C23F11"/>
    <w:rsid w:val="00C2400E"/>
    <w:rsid w:val="00C24855"/>
    <w:rsid w:val="00C24A24"/>
    <w:rsid w:val="00C24AC5"/>
    <w:rsid w:val="00C24BC1"/>
    <w:rsid w:val="00C24C3E"/>
    <w:rsid w:val="00C24D6C"/>
    <w:rsid w:val="00C24EA1"/>
    <w:rsid w:val="00C25310"/>
    <w:rsid w:val="00C25870"/>
    <w:rsid w:val="00C25D27"/>
    <w:rsid w:val="00C25F4B"/>
    <w:rsid w:val="00C25FED"/>
    <w:rsid w:val="00C2655B"/>
    <w:rsid w:val="00C268F9"/>
    <w:rsid w:val="00C2694C"/>
    <w:rsid w:val="00C272CA"/>
    <w:rsid w:val="00C273FF"/>
    <w:rsid w:val="00C302E5"/>
    <w:rsid w:val="00C309C7"/>
    <w:rsid w:val="00C30C78"/>
    <w:rsid w:val="00C31318"/>
    <w:rsid w:val="00C31663"/>
    <w:rsid w:val="00C32ADF"/>
    <w:rsid w:val="00C32C00"/>
    <w:rsid w:val="00C331A8"/>
    <w:rsid w:val="00C333F0"/>
    <w:rsid w:val="00C337D6"/>
    <w:rsid w:val="00C3398F"/>
    <w:rsid w:val="00C33E5F"/>
    <w:rsid w:val="00C34054"/>
    <w:rsid w:val="00C34334"/>
    <w:rsid w:val="00C343D2"/>
    <w:rsid w:val="00C348AB"/>
    <w:rsid w:val="00C34C00"/>
    <w:rsid w:val="00C35A8D"/>
    <w:rsid w:val="00C35E3C"/>
    <w:rsid w:val="00C3633A"/>
    <w:rsid w:val="00C36523"/>
    <w:rsid w:val="00C36775"/>
    <w:rsid w:val="00C36A88"/>
    <w:rsid w:val="00C36E06"/>
    <w:rsid w:val="00C36F36"/>
    <w:rsid w:val="00C37130"/>
    <w:rsid w:val="00C37155"/>
    <w:rsid w:val="00C374A9"/>
    <w:rsid w:val="00C4002A"/>
    <w:rsid w:val="00C40222"/>
    <w:rsid w:val="00C4036C"/>
    <w:rsid w:val="00C40463"/>
    <w:rsid w:val="00C405D2"/>
    <w:rsid w:val="00C40839"/>
    <w:rsid w:val="00C41888"/>
    <w:rsid w:val="00C41CC9"/>
    <w:rsid w:val="00C41F54"/>
    <w:rsid w:val="00C4233C"/>
    <w:rsid w:val="00C4274E"/>
    <w:rsid w:val="00C43960"/>
    <w:rsid w:val="00C43989"/>
    <w:rsid w:val="00C44646"/>
    <w:rsid w:val="00C44903"/>
    <w:rsid w:val="00C4492D"/>
    <w:rsid w:val="00C44AB3"/>
    <w:rsid w:val="00C44D97"/>
    <w:rsid w:val="00C44E04"/>
    <w:rsid w:val="00C4534E"/>
    <w:rsid w:val="00C4536F"/>
    <w:rsid w:val="00C457D9"/>
    <w:rsid w:val="00C45856"/>
    <w:rsid w:val="00C45F8A"/>
    <w:rsid w:val="00C46802"/>
    <w:rsid w:val="00C46F98"/>
    <w:rsid w:val="00C472D6"/>
    <w:rsid w:val="00C47328"/>
    <w:rsid w:val="00C47370"/>
    <w:rsid w:val="00C4745D"/>
    <w:rsid w:val="00C47A6E"/>
    <w:rsid w:val="00C47ACC"/>
    <w:rsid w:val="00C47B0F"/>
    <w:rsid w:val="00C47CF9"/>
    <w:rsid w:val="00C47EFF"/>
    <w:rsid w:val="00C47FA6"/>
    <w:rsid w:val="00C507D2"/>
    <w:rsid w:val="00C5124C"/>
    <w:rsid w:val="00C51683"/>
    <w:rsid w:val="00C516DA"/>
    <w:rsid w:val="00C5251C"/>
    <w:rsid w:val="00C52585"/>
    <w:rsid w:val="00C52693"/>
    <w:rsid w:val="00C52AFF"/>
    <w:rsid w:val="00C52E50"/>
    <w:rsid w:val="00C5345E"/>
    <w:rsid w:val="00C535A1"/>
    <w:rsid w:val="00C5368B"/>
    <w:rsid w:val="00C5396E"/>
    <w:rsid w:val="00C53ED5"/>
    <w:rsid w:val="00C54470"/>
    <w:rsid w:val="00C54725"/>
    <w:rsid w:val="00C54915"/>
    <w:rsid w:val="00C54A8D"/>
    <w:rsid w:val="00C54B40"/>
    <w:rsid w:val="00C5566D"/>
    <w:rsid w:val="00C556F7"/>
    <w:rsid w:val="00C55817"/>
    <w:rsid w:val="00C5644E"/>
    <w:rsid w:val="00C565F2"/>
    <w:rsid w:val="00C56B83"/>
    <w:rsid w:val="00C573CB"/>
    <w:rsid w:val="00C57A25"/>
    <w:rsid w:val="00C57A70"/>
    <w:rsid w:val="00C57A99"/>
    <w:rsid w:val="00C57AAF"/>
    <w:rsid w:val="00C57FD9"/>
    <w:rsid w:val="00C604BA"/>
    <w:rsid w:val="00C60ADB"/>
    <w:rsid w:val="00C60B8F"/>
    <w:rsid w:val="00C60C5B"/>
    <w:rsid w:val="00C60DC8"/>
    <w:rsid w:val="00C61206"/>
    <w:rsid w:val="00C614D8"/>
    <w:rsid w:val="00C6170E"/>
    <w:rsid w:val="00C619B7"/>
    <w:rsid w:val="00C61A60"/>
    <w:rsid w:val="00C61C0F"/>
    <w:rsid w:val="00C61D18"/>
    <w:rsid w:val="00C61DAC"/>
    <w:rsid w:val="00C61DB5"/>
    <w:rsid w:val="00C61DE4"/>
    <w:rsid w:val="00C62041"/>
    <w:rsid w:val="00C6212E"/>
    <w:rsid w:val="00C62623"/>
    <w:rsid w:val="00C6283B"/>
    <w:rsid w:val="00C63450"/>
    <w:rsid w:val="00C637B8"/>
    <w:rsid w:val="00C63977"/>
    <w:rsid w:val="00C63F95"/>
    <w:rsid w:val="00C644FD"/>
    <w:rsid w:val="00C6490F"/>
    <w:rsid w:val="00C6492A"/>
    <w:rsid w:val="00C64950"/>
    <w:rsid w:val="00C64B2F"/>
    <w:rsid w:val="00C64F71"/>
    <w:rsid w:val="00C65000"/>
    <w:rsid w:val="00C657C0"/>
    <w:rsid w:val="00C65850"/>
    <w:rsid w:val="00C65AE9"/>
    <w:rsid w:val="00C662C7"/>
    <w:rsid w:val="00C662EF"/>
    <w:rsid w:val="00C66448"/>
    <w:rsid w:val="00C6657E"/>
    <w:rsid w:val="00C66837"/>
    <w:rsid w:val="00C66F0D"/>
    <w:rsid w:val="00C679F1"/>
    <w:rsid w:val="00C67BD7"/>
    <w:rsid w:val="00C7033F"/>
    <w:rsid w:val="00C7034B"/>
    <w:rsid w:val="00C704B9"/>
    <w:rsid w:val="00C70513"/>
    <w:rsid w:val="00C70627"/>
    <w:rsid w:val="00C706C5"/>
    <w:rsid w:val="00C70B4A"/>
    <w:rsid w:val="00C70F8D"/>
    <w:rsid w:val="00C7116A"/>
    <w:rsid w:val="00C713EB"/>
    <w:rsid w:val="00C714A3"/>
    <w:rsid w:val="00C71ADD"/>
    <w:rsid w:val="00C71D8D"/>
    <w:rsid w:val="00C71E0E"/>
    <w:rsid w:val="00C71E6E"/>
    <w:rsid w:val="00C724E8"/>
    <w:rsid w:val="00C725DD"/>
    <w:rsid w:val="00C72619"/>
    <w:rsid w:val="00C7262E"/>
    <w:rsid w:val="00C72F38"/>
    <w:rsid w:val="00C73012"/>
    <w:rsid w:val="00C74204"/>
    <w:rsid w:val="00C7440A"/>
    <w:rsid w:val="00C74470"/>
    <w:rsid w:val="00C7510F"/>
    <w:rsid w:val="00C7534F"/>
    <w:rsid w:val="00C753BF"/>
    <w:rsid w:val="00C76124"/>
    <w:rsid w:val="00C76388"/>
    <w:rsid w:val="00C76437"/>
    <w:rsid w:val="00C768CC"/>
    <w:rsid w:val="00C76AAB"/>
    <w:rsid w:val="00C77167"/>
    <w:rsid w:val="00C773AA"/>
    <w:rsid w:val="00C777F3"/>
    <w:rsid w:val="00C777F6"/>
    <w:rsid w:val="00C77BCB"/>
    <w:rsid w:val="00C77CE3"/>
    <w:rsid w:val="00C77EA1"/>
    <w:rsid w:val="00C77F65"/>
    <w:rsid w:val="00C80152"/>
    <w:rsid w:val="00C804E0"/>
    <w:rsid w:val="00C8052A"/>
    <w:rsid w:val="00C8064D"/>
    <w:rsid w:val="00C80840"/>
    <w:rsid w:val="00C8094B"/>
    <w:rsid w:val="00C80A9A"/>
    <w:rsid w:val="00C8106A"/>
    <w:rsid w:val="00C81564"/>
    <w:rsid w:val="00C815AF"/>
    <w:rsid w:val="00C819B5"/>
    <w:rsid w:val="00C81B94"/>
    <w:rsid w:val="00C81BD8"/>
    <w:rsid w:val="00C81C0C"/>
    <w:rsid w:val="00C81E43"/>
    <w:rsid w:val="00C82AEC"/>
    <w:rsid w:val="00C82DCF"/>
    <w:rsid w:val="00C83117"/>
    <w:rsid w:val="00C83118"/>
    <w:rsid w:val="00C83428"/>
    <w:rsid w:val="00C83461"/>
    <w:rsid w:val="00C83897"/>
    <w:rsid w:val="00C83DC0"/>
    <w:rsid w:val="00C8448C"/>
    <w:rsid w:val="00C84878"/>
    <w:rsid w:val="00C851B6"/>
    <w:rsid w:val="00C8565A"/>
    <w:rsid w:val="00C8593F"/>
    <w:rsid w:val="00C86225"/>
    <w:rsid w:val="00C868DA"/>
    <w:rsid w:val="00C86906"/>
    <w:rsid w:val="00C86B70"/>
    <w:rsid w:val="00C86C12"/>
    <w:rsid w:val="00C873C6"/>
    <w:rsid w:val="00C876C7"/>
    <w:rsid w:val="00C8787E"/>
    <w:rsid w:val="00C90005"/>
    <w:rsid w:val="00C90187"/>
    <w:rsid w:val="00C9062E"/>
    <w:rsid w:val="00C90760"/>
    <w:rsid w:val="00C907D2"/>
    <w:rsid w:val="00C90CB0"/>
    <w:rsid w:val="00C90CDB"/>
    <w:rsid w:val="00C90D6C"/>
    <w:rsid w:val="00C913AC"/>
    <w:rsid w:val="00C914B3"/>
    <w:rsid w:val="00C91507"/>
    <w:rsid w:val="00C91785"/>
    <w:rsid w:val="00C917BA"/>
    <w:rsid w:val="00C91945"/>
    <w:rsid w:val="00C919A7"/>
    <w:rsid w:val="00C91C6C"/>
    <w:rsid w:val="00C922CE"/>
    <w:rsid w:val="00C9260F"/>
    <w:rsid w:val="00C9269A"/>
    <w:rsid w:val="00C9291E"/>
    <w:rsid w:val="00C92A9A"/>
    <w:rsid w:val="00C92D04"/>
    <w:rsid w:val="00C92EB6"/>
    <w:rsid w:val="00C9355D"/>
    <w:rsid w:val="00C93573"/>
    <w:rsid w:val="00C93815"/>
    <w:rsid w:val="00C93816"/>
    <w:rsid w:val="00C93DF7"/>
    <w:rsid w:val="00C93DFD"/>
    <w:rsid w:val="00C94025"/>
    <w:rsid w:val="00C942D1"/>
    <w:rsid w:val="00C945C9"/>
    <w:rsid w:val="00C946E5"/>
    <w:rsid w:val="00C9484E"/>
    <w:rsid w:val="00C94C79"/>
    <w:rsid w:val="00C95072"/>
    <w:rsid w:val="00C95962"/>
    <w:rsid w:val="00C95B8C"/>
    <w:rsid w:val="00C95BD2"/>
    <w:rsid w:val="00C9603E"/>
    <w:rsid w:val="00C96378"/>
    <w:rsid w:val="00C9648F"/>
    <w:rsid w:val="00C96590"/>
    <w:rsid w:val="00C965DF"/>
    <w:rsid w:val="00C9680A"/>
    <w:rsid w:val="00C97300"/>
    <w:rsid w:val="00C97464"/>
    <w:rsid w:val="00C977CF"/>
    <w:rsid w:val="00CA01B0"/>
    <w:rsid w:val="00CA0F18"/>
    <w:rsid w:val="00CA1079"/>
    <w:rsid w:val="00CA1BFF"/>
    <w:rsid w:val="00CA1D31"/>
    <w:rsid w:val="00CA24DB"/>
    <w:rsid w:val="00CA27FE"/>
    <w:rsid w:val="00CA2830"/>
    <w:rsid w:val="00CA29F1"/>
    <w:rsid w:val="00CA2AB9"/>
    <w:rsid w:val="00CA2B69"/>
    <w:rsid w:val="00CA2DC4"/>
    <w:rsid w:val="00CA3932"/>
    <w:rsid w:val="00CA3A2B"/>
    <w:rsid w:val="00CA3AC9"/>
    <w:rsid w:val="00CA3C1C"/>
    <w:rsid w:val="00CA4280"/>
    <w:rsid w:val="00CA430D"/>
    <w:rsid w:val="00CA43DB"/>
    <w:rsid w:val="00CA495A"/>
    <w:rsid w:val="00CA4A8E"/>
    <w:rsid w:val="00CA4C2E"/>
    <w:rsid w:val="00CA4E71"/>
    <w:rsid w:val="00CA4EAC"/>
    <w:rsid w:val="00CA5309"/>
    <w:rsid w:val="00CA5558"/>
    <w:rsid w:val="00CA5601"/>
    <w:rsid w:val="00CA5CE5"/>
    <w:rsid w:val="00CA688D"/>
    <w:rsid w:val="00CA6D65"/>
    <w:rsid w:val="00CA6D7F"/>
    <w:rsid w:val="00CA798D"/>
    <w:rsid w:val="00CA7B0C"/>
    <w:rsid w:val="00CB000C"/>
    <w:rsid w:val="00CB0069"/>
    <w:rsid w:val="00CB04CC"/>
    <w:rsid w:val="00CB0589"/>
    <w:rsid w:val="00CB073B"/>
    <w:rsid w:val="00CB0C5D"/>
    <w:rsid w:val="00CB11C1"/>
    <w:rsid w:val="00CB1CB2"/>
    <w:rsid w:val="00CB1E05"/>
    <w:rsid w:val="00CB1E0E"/>
    <w:rsid w:val="00CB1FEA"/>
    <w:rsid w:val="00CB21FC"/>
    <w:rsid w:val="00CB2565"/>
    <w:rsid w:val="00CB2A57"/>
    <w:rsid w:val="00CB2E37"/>
    <w:rsid w:val="00CB3116"/>
    <w:rsid w:val="00CB3119"/>
    <w:rsid w:val="00CB3137"/>
    <w:rsid w:val="00CB3429"/>
    <w:rsid w:val="00CB3495"/>
    <w:rsid w:val="00CB366F"/>
    <w:rsid w:val="00CB36F4"/>
    <w:rsid w:val="00CB3A4A"/>
    <w:rsid w:val="00CB4157"/>
    <w:rsid w:val="00CB4A90"/>
    <w:rsid w:val="00CB4C1A"/>
    <w:rsid w:val="00CB4E07"/>
    <w:rsid w:val="00CB4FA5"/>
    <w:rsid w:val="00CB50EC"/>
    <w:rsid w:val="00CB53EB"/>
    <w:rsid w:val="00CB55CC"/>
    <w:rsid w:val="00CB56DF"/>
    <w:rsid w:val="00CB593D"/>
    <w:rsid w:val="00CB593E"/>
    <w:rsid w:val="00CB5FF1"/>
    <w:rsid w:val="00CB6269"/>
    <w:rsid w:val="00CB6589"/>
    <w:rsid w:val="00CB663F"/>
    <w:rsid w:val="00CB69B5"/>
    <w:rsid w:val="00CB6CB5"/>
    <w:rsid w:val="00CB7239"/>
    <w:rsid w:val="00CB742F"/>
    <w:rsid w:val="00CB74E5"/>
    <w:rsid w:val="00CB754E"/>
    <w:rsid w:val="00CB7577"/>
    <w:rsid w:val="00CB76C1"/>
    <w:rsid w:val="00CB7739"/>
    <w:rsid w:val="00CB78B4"/>
    <w:rsid w:val="00CB79B6"/>
    <w:rsid w:val="00CB7A8C"/>
    <w:rsid w:val="00CB7B9A"/>
    <w:rsid w:val="00CB7D68"/>
    <w:rsid w:val="00CC072E"/>
    <w:rsid w:val="00CC0796"/>
    <w:rsid w:val="00CC1077"/>
    <w:rsid w:val="00CC1355"/>
    <w:rsid w:val="00CC139F"/>
    <w:rsid w:val="00CC1805"/>
    <w:rsid w:val="00CC1D77"/>
    <w:rsid w:val="00CC1E8E"/>
    <w:rsid w:val="00CC217B"/>
    <w:rsid w:val="00CC2186"/>
    <w:rsid w:val="00CC2613"/>
    <w:rsid w:val="00CC2624"/>
    <w:rsid w:val="00CC273E"/>
    <w:rsid w:val="00CC2C2A"/>
    <w:rsid w:val="00CC316F"/>
    <w:rsid w:val="00CC33A9"/>
    <w:rsid w:val="00CC3767"/>
    <w:rsid w:val="00CC3A65"/>
    <w:rsid w:val="00CC3A89"/>
    <w:rsid w:val="00CC4126"/>
    <w:rsid w:val="00CC473A"/>
    <w:rsid w:val="00CC4B2B"/>
    <w:rsid w:val="00CC5507"/>
    <w:rsid w:val="00CC5537"/>
    <w:rsid w:val="00CC5561"/>
    <w:rsid w:val="00CC5615"/>
    <w:rsid w:val="00CC5BA3"/>
    <w:rsid w:val="00CC5EF9"/>
    <w:rsid w:val="00CC6485"/>
    <w:rsid w:val="00CC67F3"/>
    <w:rsid w:val="00CC6904"/>
    <w:rsid w:val="00CC701A"/>
    <w:rsid w:val="00CC7116"/>
    <w:rsid w:val="00CC76FC"/>
    <w:rsid w:val="00CC793D"/>
    <w:rsid w:val="00CC7CFF"/>
    <w:rsid w:val="00CD06C7"/>
    <w:rsid w:val="00CD08F9"/>
    <w:rsid w:val="00CD0D14"/>
    <w:rsid w:val="00CD0D95"/>
    <w:rsid w:val="00CD103A"/>
    <w:rsid w:val="00CD1D8E"/>
    <w:rsid w:val="00CD233A"/>
    <w:rsid w:val="00CD25EC"/>
    <w:rsid w:val="00CD266C"/>
    <w:rsid w:val="00CD26FC"/>
    <w:rsid w:val="00CD32CF"/>
    <w:rsid w:val="00CD357B"/>
    <w:rsid w:val="00CD38BC"/>
    <w:rsid w:val="00CD3AD4"/>
    <w:rsid w:val="00CD3B3B"/>
    <w:rsid w:val="00CD3D10"/>
    <w:rsid w:val="00CD3E21"/>
    <w:rsid w:val="00CD4030"/>
    <w:rsid w:val="00CD4442"/>
    <w:rsid w:val="00CD4455"/>
    <w:rsid w:val="00CD44F1"/>
    <w:rsid w:val="00CD460D"/>
    <w:rsid w:val="00CD46A9"/>
    <w:rsid w:val="00CD488D"/>
    <w:rsid w:val="00CD48F0"/>
    <w:rsid w:val="00CD4B64"/>
    <w:rsid w:val="00CD4E57"/>
    <w:rsid w:val="00CD5806"/>
    <w:rsid w:val="00CD59FE"/>
    <w:rsid w:val="00CD5CD9"/>
    <w:rsid w:val="00CD5D83"/>
    <w:rsid w:val="00CD60FB"/>
    <w:rsid w:val="00CD6A5C"/>
    <w:rsid w:val="00CD6B23"/>
    <w:rsid w:val="00CD6C87"/>
    <w:rsid w:val="00CD6CAB"/>
    <w:rsid w:val="00CD70A9"/>
    <w:rsid w:val="00CD7364"/>
    <w:rsid w:val="00CD73D9"/>
    <w:rsid w:val="00CD7B04"/>
    <w:rsid w:val="00CD7ED4"/>
    <w:rsid w:val="00CD7FBE"/>
    <w:rsid w:val="00CE0108"/>
    <w:rsid w:val="00CE0492"/>
    <w:rsid w:val="00CE0F1D"/>
    <w:rsid w:val="00CE140B"/>
    <w:rsid w:val="00CE1622"/>
    <w:rsid w:val="00CE1C7B"/>
    <w:rsid w:val="00CE2461"/>
    <w:rsid w:val="00CE2497"/>
    <w:rsid w:val="00CE2886"/>
    <w:rsid w:val="00CE2C2E"/>
    <w:rsid w:val="00CE2C6A"/>
    <w:rsid w:val="00CE2FE5"/>
    <w:rsid w:val="00CE3103"/>
    <w:rsid w:val="00CE35DE"/>
    <w:rsid w:val="00CE3922"/>
    <w:rsid w:val="00CE3A3A"/>
    <w:rsid w:val="00CE3BBE"/>
    <w:rsid w:val="00CE3F6E"/>
    <w:rsid w:val="00CE42D5"/>
    <w:rsid w:val="00CE43A8"/>
    <w:rsid w:val="00CE4AAD"/>
    <w:rsid w:val="00CE4AF5"/>
    <w:rsid w:val="00CE4BBF"/>
    <w:rsid w:val="00CE526B"/>
    <w:rsid w:val="00CE5852"/>
    <w:rsid w:val="00CE5C62"/>
    <w:rsid w:val="00CE5E38"/>
    <w:rsid w:val="00CE6493"/>
    <w:rsid w:val="00CE66A0"/>
    <w:rsid w:val="00CE6A6E"/>
    <w:rsid w:val="00CE6B9F"/>
    <w:rsid w:val="00CE7068"/>
    <w:rsid w:val="00CE74F8"/>
    <w:rsid w:val="00CE7757"/>
    <w:rsid w:val="00CE78AA"/>
    <w:rsid w:val="00CE797D"/>
    <w:rsid w:val="00CE7BCD"/>
    <w:rsid w:val="00CF0434"/>
    <w:rsid w:val="00CF053A"/>
    <w:rsid w:val="00CF0AC9"/>
    <w:rsid w:val="00CF1029"/>
    <w:rsid w:val="00CF1085"/>
    <w:rsid w:val="00CF11EF"/>
    <w:rsid w:val="00CF128D"/>
    <w:rsid w:val="00CF1A3A"/>
    <w:rsid w:val="00CF1DF3"/>
    <w:rsid w:val="00CF2119"/>
    <w:rsid w:val="00CF2865"/>
    <w:rsid w:val="00CF3098"/>
    <w:rsid w:val="00CF31F2"/>
    <w:rsid w:val="00CF3358"/>
    <w:rsid w:val="00CF3767"/>
    <w:rsid w:val="00CF39A6"/>
    <w:rsid w:val="00CF3BEA"/>
    <w:rsid w:val="00CF3E0D"/>
    <w:rsid w:val="00CF46DB"/>
    <w:rsid w:val="00CF4895"/>
    <w:rsid w:val="00CF491D"/>
    <w:rsid w:val="00CF4ADA"/>
    <w:rsid w:val="00CF4B97"/>
    <w:rsid w:val="00CF4D20"/>
    <w:rsid w:val="00CF4F76"/>
    <w:rsid w:val="00CF4FEC"/>
    <w:rsid w:val="00CF51DD"/>
    <w:rsid w:val="00CF51E8"/>
    <w:rsid w:val="00CF56F8"/>
    <w:rsid w:val="00CF56FB"/>
    <w:rsid w:val="00CF598A"/>
    <w:rsid w:val="00CF6029"/>
    <w:rsid w:val="00CF60F4"/>
    <w:rsid w:val="00CF6668"/>
    <w:rsid w:val="00CF6A48"/>
    <w:rsid w:val="00CF6ADE"/>
    <w:rsid w:val="00CF6FA9"/>
    <w:rsid w:val="00CF703D"/>
    <w:rsid w:val="00CF717E"/>
    <w:rsid w:val="00CF71F5"/>
    <w:rsid w:val="00CF7445"/>
    <w:rsid w:val="00CF7826"/>
    <w:rsid w:val="00CF79C8"/>
    <w:rsid w:val="00D00034"/>
    <w:rsid w:val="00D001B4"/>
    <w:rsid w:val="00D00B11"/>
    <w:rsid w:val="00D016E5"/>
    <w:rsid w:val="00D018F0"/>
    <w:rsid w:val="00D0193D"/>
    <w:rsid w:val="00D019DC"/>
    <w:rsid w:val="00D01E55"/>
    <w:rsid w:val="00D0237E"/>
    <w:rsid w:val="00D02B0E"/>
    <w:rsid w:val="00D02CF7"/>
    <w:rsid w:val="00D0314C"/>
    <w:rsid w:val="00D0351E"/>
    <w:rsid w:val="00D03729"/>
    <w:rsid w:val="00D038E2"/>
    <w:rsid w:val="00D03A7B"/>
    <w:rsid w:val="00D03B78"/>
    <w:rsid w:val="00D03DA6"/>
    <w:rsid w:val="00D03E88"/>
    <w:rsid w:val="00D03F47"/>
    <w:rsid w:val="00D043CB"/>
    <w:rsid w:val="00D0442F"/>
    <w:rsid w:val="00D045F6"/>
    <w:rsid w:val="00D0471F"/>
    <w:rsid w:val="00D04DB4"/>
    <w:rsid w:val="00D058F3"/>
    <w:rsid w:val="00D05ABB"/>
    <w:rsid w:val="00D06146"/>
    <w:rsid w:val="00D06BA3"/>
    <w:rsid w:val="00D076CC"/>
    <w:rsid w:val="00D103E4"/>
    <w:rsid w:val="00D108DC"/>
    <w:rsid w:val="00D10A94"/>
    <w:rsid w:val="00D10C88"/>
    <w:rsid w:val="00D10EEB"/>
    <w:rsid w:val="00D1119B"/>
    <w:rsid w:val="00D116E1"/>
    <w:rsid w:val="00D11C75"/>
    <w:rsid w:val="00D120FB"/>
    <w:rsid w:val="00D121AA"/>
    <w:rsid w:val="00D12329"/>
    <w:rsid w:val="00D126B6"/>
    <w:rsid w:val="00D12989"/>
    <w:rsid w:val="00D12D99"/>
    <w:rsid w:val="00D12DCE"/>
    <w:rsid w:val="00D131AF"/>
    <w:rsid w:val="00D134A7"/>
    <w:rsid w:val="00D13B9A"/>
    <w:rsid w:val="00D13FD4"/>
    <w:rsid w:val="00D140EC"/>
    <w:rsid w:val="00D14688"/>
    <w:rsid w:val="00D149CB"/>
    <w:rsid w:val="00D14ABA"/>
    <w:rsid w:val="00D15273"/>
    <w:rsid w:val="00D15366"/>
    <w:rsid w:val="00D156EB"/>
    <w:rsid w:val="00D156FA"/>
    <w:rsid w:val="00D157F1"/>
    <w:rsid w:val="00D16428"/>
    <w:rsid w:val="00D17127"/>
    <w:rsid w:val="00D172D1"/>
    <w:rsid w:val="00D176AB"/>
    <w:rsid w:val="00D17C3E"/>
    <w:rsid w:val="00D17FAF"/>
    <w:rsid w:val="00D17FC8"/>
    <w:rsid w:val="00D200F3"/>
    <w:rsid w:val="00D202CA"/>
    <w:rsid w:val="00D2064D"/>
    <w:rsid w:val="00D207E8"/>
    <w:rsid w:val="00D20BE5"/>
    <w:rsid w:val="00D20FAE"/>
    <w:rsid w:val="00D21015"/>
    <w:rsid w:val="00D2104A"/>
    <w:rsid w:val="00D211C4"/>
    <w:rsid w:val="00D21344"/>
    <w:rsid w:val="00D21371"/>
    <w:rsid w:val="00D2163B"/>
    <w:rsid w:val="00D21717"/>
    <w:rsid w:val="00D2209F"/>
    <w:rsid w:val="00D22400"/>
    <w:rsid w:val="00D22552"/>
    <w:rsid w:val="00D22692"/>
    <w:rsid w:val="00D22825"/>
    <w:rsid w:val="00D22FC5"/>
    <w:rsid w:val="00D23061"/>
    <w:rsid w:val="00D233A2"/>
    <w:rsid w:val="00D23B61"/>
    <w:rsid w:val="00D23E93"/>
    <w:rsid w:val="00D23F66"/>
    <w:rsid w:val="00D23F88"/>
    <w:rsid w:val="00D2409B"/>
    <w:rsid w:val="00D240DF"/>
    <w:rsid w:val="00D241EA"/>
    <w:rsid w:val="00D245EA"/>
    <w:rsid w:val="00D24724"/>
    <w:rsid w:val="00D24B40"/>
    <w:rsid w:val="00D24FF4"/>
    <w:rsid w:val="00D24FFF"/>
    <w:rsid w:val="00D250E6"/>
    <w:rsid w:val="00D252B1"/>
    <w:rsid w:val="00D253A8"/>
    <w:rsid w:val="00D256DB"/>
    <w:rsid w:val="00D2574E"/>
    <w:rsid w:val="00D25A41"/>
    <w:rsid w:val="00D25B02"/>
    <w:rsid w:val="00D25DA1"/>
    <w:rsid w:val="00D25ED5"/>
    <w:rsid w:val="00D26351"/>
    <w:rsid w:val="00D26C3E"/>
    <w:rsid w:val="00D26CB5"/>
    <w:rsid w:val="00D26D06"/>
    <w:rsid w:val="00D26D91"/>
    <w:rsid w:val="00D26FFD"/>
    <w:rsid w:val="00D271F9"/>
    <w:rsid w:val="00D27471"/>
    <w:rsid w:val="00D276E4"/>
    <w:rsid w:val="00D27B97"/>
    <w:rsid w:val="00D27D93"/>
    <w:rsid w:val="00D30148"/>
    <w:rsid w:val="00D30150"/>
    <w:rsid w:val="00D3031F"/>
    <w:rsid w:val="00D30341"/>
    <w:rsid w:val="00D30349"/>
    <w:rsid w:val="00D30CA6"/>
    <w:rsid w:val="00D30D95"/>
    <w:rsid w:val="00D314D3"/>
    <w:rsid w:val="00D3159D"/>
    <w:rsid w:val="00D31751"/>
    <w:rsid w:val="00D31A9D"/>
    <w:rsid w:val="00D31F05"/>
    <w:rsid w:val="00D31F33"/>
    <w:rsid w:val="00D323A2"/>
    <w:rsid w:val="00D325F6"/>
    <w:rsid w:val="00D3267C"/>
    <w:rsid w:val="00D32715"/>
    <w:rsid w:val="00D32B2F"/>
    <w:rsid w:val="00D32C21"/>
    <w:rsid w:val="00D336A8"/>
    <w:rsid w:val="00D337B8"/>
    <w:rsid w:val="00D33809"/>
    <w:rsid w:val="00D338C6"/>
    <w:rsid w:val="00D3394B"/>
    <w:rsid w:val="00D33FCF"/>
    <w:rsid w:val="00D3464B"/>
    <w:rsid w:val="00D34796"/>
    <w:rsid w:val="00D349A6"/>
    <w:rsid w:val="00D34FBE"/>
    <w:rsid w:val="00D350CF"/>
    <w:rsid w:val="00D35851"/>
    <w:rsid w:val="00D35951"/>
    <w:rsid w:val="00D35FF5"/>
    <w:rsid w:val="00D365C3"/>
    <w:rsid w:val="00D36A70"/>
    <w:rsid w:val="00D36B21"/>
    <w:rsid w:val="00D36D5B"/>
    <w:rsid w:val="00D37406"/>
    <w:rsid w:val="00D3745B"/>
    <w:rsid w:val="00D374EE"/>
    <w:rsid w:val="00D37641"/>
    <w:rsid w:val="00D37B0C"/>
    <w:rsid w:val="00D37B45"/>
    <w:rsid w:val="00D37B79"/>
    <w:rsid w:val="00D37DA0"/>
    <w:rsid w:val="00D37DB9"/>
    <w:rsid w:val="00D37ECF"/>
    <w:rsid w:val="00D4011A"/>
    <w:rsid w:val="00D401BB"/>
    <w:rsid w:val="00D40691"/>
    <w:rsid w:val="00D40ADB"/>
    <w:rsid w:val="00D40D1F"/>
    <w:rsid w:val="00D40F86"/>
    <w:rsid w:val="00D4181D"/>
    <w:rsid w:val="00D41D3B"/>
    <w:rsid w:val="00D41F64"/>
    <w:rsid w:val="00D420FE"/>
    <w:rsid w:val="00D426C0"/>
    <w:rsid w:val="00D42C25"/>
    <w:rsid w:val="00D42D93"/>
    <w:rsid w:val="00D4310E"/>
    <w:rsid w:val="00D43459"/>
    <w:rsid w:val="00D43584"/>
    <w:rsid w:val="00D436CE"/>
    <w:rsid w:val="00D43E7F"/>
    <w:rsid w:val="00D44D46"/>
    <w:rsid w:val="00D44F71"/>
    <w:rsid w:val="00D4537B"/>
    <w:rsid w:val="00D45AEF"/>
    <w:rsid w:val="00D4643D"/>
    <w:rsid w:val="00D4669D"/>
    <w:rsid w:val="00D46789"/>
    <w:rsid w:val="00D46887"/>
    <w:rsid w:val="00D46AC7"/>
    <w:rsid w:val="00D46EA1"/>
    <w:rsid w:val="00D470AF"/>
    <w:rsid w:val="00D4753F"/>
    <w:rsid w:val="00D502E4"/>
    <w:rsid w:val="00D5068F"/>
    <w:rsid w:val="00D506FE"/>
    <w:rsid w:val="00D50ADA"/>
    <w:rsid w:val="00D50FEA"/>
    <w:rsid w:val="00D51247"/>
    <w:rsid w:val="00D513C5"/>
    <w:rsid w:val="00D517DA"/>
    <w:rsid w:val="00D5181B"/>
    <w:rsid w:val="00D51DAA"/>
    <w:rsid w:val="00D526B5"/>
    <w:rsid w:val="00D52AA3"/>
    <w:rsid w:val="00D52CE4"/>
    <w:rsid w:val="00D52D04"/>
    <w:rsid w:val="00D530A8"/>
    <w:rsid w:val="00D53243"/>
    <w:rsid w:val="00D5354E"/>
    <w:rsid w:val="00D535A5"/>
    <w:rsid w:val="00D5366C"/>
    <w:rsid w:val="00D53CDB"/>
    <w:rsid w:val="00D53D12"/>
    <w:rsid w:val="00D541AB"/>
    <w:rsid w:val="00D54541"/>
    <w:rsid w:val="00D54A63"/>
    <w:rsid w:val="00D54A7C"/>
    <w:rsid w:val="00D54DFB"/>
    <w:rsid w:val="00D54ED0"/>
    <w:rsid w:val="00D5519B"/>
    <w:rsid w:val="00D552E0"/>
    <w:rsid w:val="00D55AB5"/>
    <w:rsid w:val="00D55C16"/>
    <w:rsid w:val="00D5667E"/>
    <w:rsid w:val="00D5696F"/>
    <w:rsid w:val="00D56C9B"/>
    <w:rsid w:val="00D56CD0"/>
    <w:rsid w:val="00D56DC8"/>
    <w:rsid w:val="00D56E7C"/>
    <w:rsid w:val="00D56EAC"/>
    <w:rsid w:val="00D570B6"/>
    <w:rsid w:val="00D5721A"/>
    <w:rsid w:val="00D5733B"/>
    <w:rsid w:val="00D5738B"/>
    <w:rsid w:val="00D574E2"/>
    <w:rsid w:val="00D57811"/>
    <w:rsid w:val="00D60948"/>
    <w:rsid w:val="00D60E0A"/>
    <w:rsid w:val="00D60E7E"/>
    <w:rsid w:val="00D61120"/>
    <w:rsid w:val="00D612C6"/>
    <w:rsid w:val="00D61683"/>
    <w:rsid w:val="00D61831"/>
    <w:rsid w:val="00D61E09"/>
    <w:rsid w:val="00D62273"/>
    <w:rsid w:val="00D62430"/>
    <w:rsid w:val="00D62456"/>
    <w:rsid w:val="00D62577"/>
    <w:rsid w:val="00D6258C"/>
    <w:rsid w:val="00D62E74"/>
    <w:rsid w:val="00D62F61"/>
    <w:rsid w:val="00D63558"/>
    <w:rsid w:val="00D636AC"/>
    <w:rsid w:val="00D63A44"/>
    <w:rsid w:val="00D63F73"/>
    <w:rsid w:val="00D63F92"/>
    <w:rsid w:val="00D6406D"/>
    <w:rsid w:val="00D6413B"/>
    <w:rsid w:val="00D641E7"/>
    <w:rsid w:val="00D643C1"/>
    <w:rsid w:val="00D64911"/>
    <w:rsid w:val="00D65346"/>
    <w:rsid w:val="00D654C8"/>
    <w:rsid w:val="00D654CE"/>
    <w:rsid w:val="00D65B30"/>
    <w:rsid w:val="00D65D27"/>
    <w:rsid w:val="00D65F94"/>
    <w:rsid w:val="00D6603B"/>
    <w:rsid w:val="00D660D8"/>
    <w:rsid w:val="00D663D2"/>
    <w:rsid w:val="00D6652A"/>
    <w:rsid w:val="00D66969"/>
    <w:rsid w:val="00D66A4C"/>
    <w:rsid w:val="00D66D9A"/>
    <w:rsid w:val="00D67337"/>
    <w:rsid w:val="00D67486"/>
    <w:rsid w:val="00D6774D"/>
    <w:rsid w:val="00D67776"/>
    <w:rsid w:val="00D67843"/>
    <w:rsid w:val="00D70065"/>
    <w:rsid w:val="00D70725"/>
    <w:rsid w:val="00D7073A"/>
    <w:rsid w:val="00D70B1B"/>
    <w:rsid w:val="00D7170F"/>
    <w:rsid w:val="00D71862"/>
    <w:rsid w:val="00D72127"/>
    <w:rsid w:val="00D72443"/>
    <w:rsid w:val="00D7246F"/>
    <w:rsid w:val="00D725B8"/>
    <w:rsid w:val="00D725D8"/>
    <w:rsid w:val="00D727CA"/>
    <w:rsid w:val="00D727FA"/>
    <w:rsid w:val="00D72810"/>
    <w:rsid w:val="00D729BD"/>
    <w:rsid w:val="00D73041"/>
    <w:rsid w:val="00D7308D"/>
    <w:rsid w:val="00D73888"/>
    <w:rsid w:val="00D73941"/>
    <w:rsid w:val="00D740EE"/>
    <w:rsid w:val="00D74B6F"/>
    <w:rsid w:val="00D74B7E"/>
    <w:rsid w:val="00D74CA7"/>
    <w:rsid w:val="00D74F95"/>
    <w:rsid w:val="00D7510E"/>
    <w:rsid w:val="00D751FB"/>
    <w:rsid w:val="00D75749"/>
    <w:rsid w:val="00D7583C"/>
    <w:rsid w:val="00D75937"/>
    <w:rsid w:val="00D75FCE"/>
    <w:rsid w:val="00D763C3"/>
    <w:rsid w:val="00D767CB"/>
    <w:rsid w:val="00D76BB7"/>
    <w:rsid w:val="00D76DD0"/>
    <w:rsid w:val="00D76E69"/>
    <w:rsid w:val="00D7720A"/>
    <w:rsid w:val="00D77248"/>
    <w:rsid w:val="00D814E8"/>
    <w:rsid w:val="00D81528"/>
    <w:rsid w:val="00D815C2"/>
    <w:rsid w:val="00D81B17"/>
    <w:rsid w:val="00D81B43"/>
    <w:rsid w:val="00D821A9"/>
    <w:rsid w:val="00D8263F"/>
    <w:rsid w:val="00D829E3"/>
    <w:rsid w:val="00D835A8"/>
    <w:rsid w:val="00D83B29"/>
    <w:rsid w:val="00D845C6"/>
    <w:rsid w:val="00D84D1A"/>
    <w:rsid w:val="00D84DB8"/>
    <w:rsid w:val="00D850F7"/>
    <w:rsid w:val="00D85494"/>
    <w:rsid w:val="00D854C5"/>
    <w:rsid w:val="00D85964"/>
    <w:rsid w:val="00D85A81"/>
    <w:rsid w:val="00D85FB2"/>
    <w:rsid w:val="00D8604F"/>
    <w:rsid w:val="00D860D8"/>
    <w:rsid w:val="00D8610B"/>
    <w:rsid w:val="00D861EB"/>
    <w:rsid w:val="00D8667F"/>
    <w:rsid w:val="00D86713"/>
    <w:rsid w:val="00D86779"/>
    <w:rsid w:val="00D86994"/>
    <w:rsid w:val="00D86FA6"/>
    <w:rsid w:val="00D87241"/>
    <w:rsid w:val="00D8730B"/>
    <w:rsid w:val="00D8742C"/>
    <w:rsid w:val="00D87566"/>
    <w:rsid w:val="00D8769B"/>
    <w:rsid w:val="00D87842"/>
    <w:rsid w:val="00D87A66"/>
    <w:rsid w:val="00D87C90"/>
    <w:rsid w:val="00D87CD0"/>
    <w:rsid w:val="00D87F79"/>
    <w:rsid w:val="00D87FA3"/>
    <w:rsid w:val="00D901FE"/>
    <w:rsid w:val="00D9059C"/>
    <w:rsid w:val="00D90610"/>
    <w:rsid w:val="00D908F6"/>
    <w:rsid w:val="00D909DB"/>
    <w:rsid w:val="00D9106F"/>
    <w:rsid w:val="00D916D9"/>
    <w:rsid w:val="00D91ACD"/>
    <w:rsid w:val="00D92293"/>
    <w:rsid w:val="00D92571"/>
    <w:rsid w:val="00D9298F"/>
    <w:rsid w:val="00D92BAF"/>
    <w:rsid w:val="00D930AF"/>
    <w:rsid w:val="00D9329E"/>
    <w:rsid w:val="00D933CE"/>
    <w:rsid w:val="00D93699"/>
    <w:rsid w:val="00D93D45"/>
    <w:rsid w:val="00D944D5"/>
    <w:rsid w:val="00D945B1"/>
    <w:rsid w:val="00D945C0"/>
    <w:rsid w:val="00D9513E"/>
    <w:rsid w:val="00D95145"/>
    <w:rsid w:val="00D951C5"/>
    <w:rsid w:val="00D95457"/>
    <w:rsid w:val="00D963C9"/>
    <w:rsid w:val="00D96707"/>
    <w:rsid w:val="00D96797"/>
    <w:rsid w:val="00D97274"/>
    <w:rsid w:val="00D97564"/>
    <w:rsid w:val="00D97867"/>
    <w:rsid w:val="00D97CED"/>
    <w:rsid w:val="00D97D92"/>
    <w:rsid w:val="00DA00CE"/>
    <w:rsid w:val="00DA0180"/>
    <w:rsid w:val="00DA01D3"/>
    <w:rsid w:val="00DA02EA"/>
    <w:rsid w:val="00DA04F9"/>
    <w:rsid w:val="00DA0A01"/>
    <w:rsid w:val="00DA0B94"/>
    <w:rsid w:val="00DA2307"/>
    <w:rsid w:val="00DA2875"/>
    <w:rsid w:val="00DA29D7"/>
    <w:rsid w:val="00DA2B8D"/>
    <w:rsid w:val="00DA2E9D"/>
    <w:rsid w:val="00DA2F5C"/>
    <w:rsid w:val="00DA35B9"/>
    <w:rsid w:val="00DA35C9"/>
    <w:rsid w:val="00DA367F"/>
    <w:rsid w:val="00DA3949"/>
    <w:rsid w:val="00DA3B33"/>
    <w:rsid w:val="00DA3BB0"/>
    <w:rsid w:val="00DA3D34"/>
    <w:rsid w:val="00DA44B1"/>
    <w:rsid w:val="00DA4B7D"/>
    <w:rsid w:val="00DA4FFC"/>
    <w:rsid w:val="00DA508D"/>
    <w:rsid w:val="00DA527D"/>
    <w:rsid w:val="00DA58B0"/>
    <w:rsid w:val="00DA66ED"/>
    <w:rsid w:val="00DA6852"/>
    <w:rsid w:val="00DA6916"/>
    <w:rsid w:val="00DA6A7B"/>
    <w:rsid w:val="00DA6C07"/>
    <w:rsid w:val="00DA725E"/>
    <w:rsid w:val="00DA7559"/>
    <w:rsid w:val="00DA7625"/>
    <w:rsid w:val="00DA7928"/>
    <w:rsid w:val="00DA7C9D"/>
    <w:rsid w:val="00DB0143"/>
    <w:rsid w:val="00DB0171"/>
    <w:rsid w:val="00DB066B"/>
    <w:rsid w:val="00DB0A0A"/>
    <w:rsid w:val="00DB0E4C"/>
    <w:rsid w:val="00DB16A6"/>
    <w:rsid w:val="00DB18D0"/>
    <w:rsid w:val="00DB1961"/>
    <w:rsid w:val="00DB1D5F"/>
    <w:rsid w:val="00DB1D6C"/>
    <w:rsid w:val="00DB1F8D"/>
    <w:rsid w:val="00DB21F9"/>
    <w:rsid w:val="00DB2274"/>
    <w:rsid w:val="00DB2451"/>
    <w:rsid w:val="00DB2869"/>
    <w:rsid w:val="00DB2AF2"/>
    <w:rsid w:val="00DB2E15"/>
    <w:rsid w:val="00DB3211"/>
    <w:rsid w:val="00DB3414"/>
    <w:rsid w:val="00DB35DE"/>
    <w:rsid w:val="00DB35E0"/>
    <w:rsid w:val="00DB364C"/>
    <w:rsid w:val="00DB36A2"/>
    <w:rsid w:val="00DB36B0"/>
    <w:rsid w:val="00DB38E8"/>
    <w:rsid w:val="00DB3A36"/>
    <w:rsid w:val="00DB3B2D"/>
    <w:rsid w:val="00DB3D27"/>
    <w:rsid w:val="00DB4233"/>
    <w:rsid w:val="00DB43FF"/>
    <w:rsid w:val="00DB487E"/>
    <w:rsid w:val="00DB4AB1"/>
    <w:rsid w:val="00DB4CC2"/>
    <w:rsid w:val="00DB53AD"/>
    <w:rsid w:val="00DB54FD"/>
    <w:rsid w:val="00DB551E"/>
    <w:rsid w:val="00DB5958"/>
    <w:rsid w:val="00DB5A28"/>
    <w:rsid w:val="00DB5F48"/>
    <w:rsid w:val="00DB6093"/>
    <w:rsid w:val="00DB6233"/>
    <w:rsid w:val="00DB6962"/>
    <w:rsid w:val="00DB6973"/>
    <w:rsid w:val="00DB6AE3"/>
    <w:rsid w:val="00DB6EF0"/>
    <w:rsid w:val="00DB6F99"/>
    <w:rsid w:val="00DB75B8"/>
    <w:rsid w:val="00DB7665"/>
    <w:rsid w:val="00DB76CE"/>
    <w:rsid w:val="00DB7818"/>
    <w:rsid w:val="00DB793F"/>
    <w:rsid w:val="00DB7DD8"/>
    <w:rsid w:val="00DC0028"/>
    <w:rsid w:val="00DC02DF"/>
    <w:rsid w:val="00DC0346"/>
    <w:rsid w:val="00DC072D"/>
    <w:rsid w:val="00DC07E0"/>
    <w:rsid w:val="00DC09B5"/>
    <w:rsid w:val="00DC136E"/>
    <w:rsid w:val="00DC1BC6"/>
    <w:rsid w:val="00DC1C31"/>
    <w:rsid w:val="00DC2609"/>
    <w:rsid w:val="00DC2C64"/>
    <w:rsid w:val="00DC2EE2"/>
    <w:rsid w:val="00DC3054"/>
    <w:rsid w:val="00DC4041"/>
    <w:rsid w:val="00DC426F"/>
    <w:rsid w:val="00DC4D3B"/>
    <w:rsid w:val="00DC523C"/>
    <w:rsid w:val="00DC5B0C"/>
    <w:rsid w:val="00DC5B6F"/>
    <w:rsid w:val="00DC5BC5"/>
    <w:rsid w:val="00DC5C95"/>
    <w:rsid w:val="00DC6583"/>
    <w:rsid w:val="00DC68E4"/>
    <w:rsid w:val="00DC6CE6"/>
    <w:rsid w:val="00DC6F84"/>
    <w:rsid w:val="00DC7133"/>
    <w:rsid w:val="00DC718E"/>
    <w:rsid w:val="00DC7305"/>
    <w:rsid w:val="00DC7675"/>
    <w:rsid w:val="00DC7C48"/>
    <w:rsid w:val="00DC7C52"/>
    <w:rsid w:val="00DC7CB4"/>
    <w:rsid w:val="00DC7D7F"/>
    <w:rsid w:val="00DC7FAB"/>
    <w:rsid w:val="00DD016A"/>
    <w:rsid w:val="00DD10FF"/>
    <w:rsid w:val="00DD1337"/>
    <w:rsid w:val="00DD13DF"/>
    <w:rsid w:val="00DD162F"/>
    <w:rsid w:val="00DD169E"/>
    <w:rsid w:val="00DD18C7"/>
    <w:rsid w:val="00DD23FD"/>
    <w:rsid w:val="00DD25A4"/>
    <w:rsid w:val="00DD2609"/>
    <w:rsid w:val="00DD2907"/>
    <w:rsid w:val="00DD29E3"/>
    <w:rsid w:val="00DD2ADE"/>
    <w:rsid w:val="00DD2B1B"/>
    <w:rsid w:val="00DD31A2"/>
    <w:rsid w:val="00DD3610"/>
    <w:rsid w:val="00DD361A"/>
    <w:rsid w:val="00DD3A8F"/>
    <w:rsid w:val="00DD3D3E"/>
    <w:rsid w:val="00DD3D99"/>
    <w:rsid w:val="00DD42AA"/>
    <w:rsid w:val="00DD4594"/>
    <w:rsid w:val="00DD4838"/>
    <w:rsid w:val="00DD4895"/>
    <w:rsid w:val="00DD4AC8"/>
    <w:rsid w:val="00DD4DAC"/>
    <w:rsid w:val="00DD4E15"/>
    <w:rsid w:val="00DD5E68"/>
    <w:rsid w:val="00DD5EFC"/>
    <w:rsid w:val="00DD63B5"/>
    <w:rsid w:val="00DD644F"/>
    <w:rsid w:val="00DD68BF"/>
    <w:rsid w:val="00DD7C19"/>
    <w:rsid w:val="00DD7E85"/>
    <w:rsid w:val="00DE02C4"/>
    <w:rsid w:val="00DE0762"/>
    <w:rsid w:val="00DE0972"/>
    <w:rsid w:val="00DE0DCE"/>
    <w:rsid w:val="00DE0FE6"/>
    <w:rsid w:val="00DE13D0"/>
    <w:rsid w:val="00DE1775"/>
    <w:rsid w:val="00DE182B"/>
    <w:rsid w:val="00DE1900"/>
    <w:rsid w:val="00DE1974"/>
    <w:rsid w:val="00DE1B00"/>
    <w:rsid w:val="00DE1C20"/>
    <w:rsid w:val="00DE1F81"/>
    <w:rsid w:val="00DE23BD"/>
    <w:rsid w:val="00DE289F"/>
    <w:rsid w:val="00DE2AF6"/>
    <w:rsid w:val="00DE2D3F"/>
    <w:rsid w:val="00DE3057"/>
    <w:rsid w:val="00DE379B"/>
    <w:rsid w:val="00DE40B9"/>
    <w:rsid w:val="00DE4484"/>
    <w:rsid w:val="00DE44A1"/>
    <w:rsid w:val="00DE4902"/>
    <w:rsid w:val="00DE49D2"/>
    <w:rsid w:val="00DE4C39"/>
    <w:rsid w:val="00DE549F"/>
    <w:rsid w:val="00DE586B"/>
    <w:rsid w:val="00DE5F6D"/>
    <w:rsid w:val="00DE6074"/>
    <w:rsid w:val="00DE6159"/>
    <w:rsid w:val="00DE64AA"/>
    <w:rsid w:val="00DE67B5"/>
    <w:rsid w:val="00DE76ED"/>
    <w:rsid w:val="00DE7763"/>
    <w:rsid w:val="00DE794B"/>
    <w:rsid w:val="00DE7A57"/>
    <w:rsid w:val="00DE7E66"/>
    <w:rsid w:val="00DF009F"/>
    <w:rsid w:val="00DF01B8"/>
    <w:rsid w:val="00DF01E9"/>
    <w:rsid w:val="00DF0298"/>
    <w:rsid w:val="00DF0894"/>
    <w:rsid w:val="00DF0A32"/>
    <w:rsid w:val="00DF0B71"/>
    <w:rsid w:val="00DF0D06"/>
    <w:rsid w:val="00DF0D81"/>
    <w:rsid w:val="00DF0D92"/>
    <w:rsid w:val="00DF14F6"/>
    <w:rsid w:val="00DF1BE2"/>
    <w:rsid w:val="00DF28B9"/>
    <w:rsid w:val="00DF2DFA"/>
    <w:rsid w:val="00DF35B4"/>
    <w:rsid w:val="00DF39C9"/>
    <w:rsid w:val="00DF3E08"/>
    <w:rsid w:val="00DF3EEA"/>
    <w:rsid w:val="00DF429D"/>
    <w:rsid w:val="00DF46ED"/>
    <w:rsid w:val="00DF471C"/>
    <w:rsid w:val="00DF4892"/>
    <w:rsid w:val="00DF48C7"/>
    <w:rsid w:val="00DF497D"/>
    <w:rsid w:val="00DF49AE"/>
    <w:rsid w:val="00DF4C2A"/>
    <w:rsid w:val="00DF4C7F"/>
    <w:rsid w:val="00DF5542"/>
    <w:rsid w:val="00DF5A79"/>
    <w:rsid w:val="00DF5C2F"/>
    <w:rsid w:val="00DF62F1"/>
    <w:rsid w:val="00DF643F"/>
    <w:rsid w:val="00DF64AA"/>
    <w:rsid w:val="00DF676B"/>
    <w:rsid w:val="00DF739F"/>
    <w:rsid w:val="00DF73AA"/>
    <w:rsid w:val="00DF75C6"/>
    <w:rsid w:val="00DF7CBB"/>
    <w:rsid w:val="00DF7F78"/>
    <w:rsid w:val="00E00175"/>
    <w:rsid w:val="00E009DD"/>
    <w:rsid w:val="00E00A52"/>
    <w:rsid w:val="00E00A9E"/>
    <w:rsid w:val="00E00CD9"/>
    <w:rsid w:val="00E01521"/>
    <w:rsid w:val="00E0170A"/>
    <w:rsid w:val="00E01F19"/>
    <w:rsid w:val="00E023DD"/>
    <w:rsid w:val="00E028D0"/>
    <w:rsid w:val="00E029D8"/>
    <w:rsid w:val="00E02B9A"/>
    <w:rsid w:val="00E02D8F"/>
    <w:rsid w:val="00E02F44"/>
    <w:rsid w:val="00E03385"/>
    <w:rsid w:val="00E038C5"/>
    <w:rsid w:val="00E03990"/>
    <w:rsid w:val="00E039E2"/>
    <w:rsid w:val="00E03BC0"/>
    <w:rsid w:val="00E03C96"/>
    <w:rsid w:val="00E042B5"/>
    <w:rsid w:val="00E043B5"/>
    <w:rsid w:val="00E04407"/>
    <w:rsid w:val="00E0451C"/>
    <w:rsid w:val="00E04969"/>
    <w:rsid w:val="00E04C49"/>
    <w:rsid w:val="00E04C90"/>
    <w:rsid w:val="00E04ECE"/>
    <w:rsid w:val="00E0537D"/>
    <w:rsid w:val="00E05AAA"/>
    <w:rsid w:val="00E05D8E"/>
    <w:rsid w:val="00E05FCF"/>
    <w:rsid w:val="00E06134"/>
    <w:rsid w:val="00E0726F"/>
    <w:rsid w:val="00E07804"/>
    <w:rsid w:val="00E10880"/>
    <w:rsid w:val="00E10D31"/>
    <w:rsid w:val="00E110D6"/>
    <w:rsid w:val="00E11446"/>
    <w:rsid w:val="00E11B0C"/>
    <w:rsid w:val="00E11DE0"/>
    <w:rsid w:val="00E11FF7"/>
    <w:rsid w:val="00E120A1"/>
    <w:rsid w:val="00E1272C"/>
    <w:rsid w:val="00E12E30"/>
    <w:rsid w:val="00E12ECB"/>
    <w:rsid w:val="00E12EFD"/>
    <w:rsid w:val="00E133C5"/>
    <w:rsid w:val="00E13AB4"/>
    <w:rsid w:val="00E13AFB"/>
    <w:rsid w:val="00E13CB2"/>
    <w:rsid w:val="00E14B87"/>
    <w:rsid w:val="00E14E08"/>
    <w:rsid w:val="00E14E94"/>
    <w:rsid w:val="00E14F74"/>
    <w:rsid w:val="00E151D0"/>
    <w:rsid w:val="00E15257"/>
    <w:rsid w:val="00E15544"/>
    <w:rsid w:val="00E155A7"/>
    <w:rsid w:val="00E15812"/>
    <w:rsid w:val="00E15941"/>
    <w:rsid w:val="00E15A54"/>
    <w:rsid w:val="00E15B57"/>
    <w:rsid w:val="00E15BAA"/>
    <w:rsid w:val="00E15F8D"/>
    <w:rsid w:val="00E160E2"/>
    <w:rsid w:val="00E1721A"/>
    <w:rsid w:val="00E175D1"/>
    <w:rsid w:val="00E17AAE"/>
    <w:rsid w:val="00E17CB1"/>
    <w:rsid w:val="00E17CDD"/>
    <w:rsid w:val="00E20018"/>
    <w:rsid w:val="00E202A4"/>
    <w:rsid w:val="00E20317"/>
    <w:rsid w:val="00E2090C"/>
    <w:rsid w:val="00E20BF2"/>
    <w:rsid w:val="00E20D7D"/>
    <w:rsid w:val="00E20F02"/>
    <w:rsid w:val="00E211A3"/>
    <w:rsid w:val="00E21464"/>
    <w:rsid w:val="00E214DE"/>
    <w:rsid w:val="00E216DF"/>
    <w:rsid w:val="00E219B3"/>
    <w:rsid w:val="00E21ACB"/>
    <w:rsid w:val="00E21DF9"/>
    <w:rsid w:val="00E21EED"/>
    <w:rsid w:val="00E22046"/>
    <w:rsid w:val="00E22076"/>
    <w:rsid w:val="00E2250C"/>
    <w:rsid w:val="00E22B0D"/>
    <w:rsid w:val="00E22D5D"/>
    <w:rsid w:val="00E23168"/>
    <w:rsid w:val="00E2387F"/>
    <w:rsid w:val="00E23A46"/>
    <w:rsid w:val="00E23A7D"/>
    <w:rsid w:val="00E23AF2"/>
    <w:rsid w:val="00E2408C"/>
    <w:rsid w:val="00E24435"/>
    <w:rsid w:val="00E24487"/>
    <w:rsid w:val="00E24685"/>
    <w:rsid w:val="00E247C7"/>
    <w:rsid w:val="00E24EA2"/>
    <w:rsid w:val="00E25362"/>
    <w:rsid w:val="00E253A0"/>
    <w:rsid w:val="00E25475"/>
    <w:rsid w:val="00E25722"/>
    <w:rsid w:val="00E25961"/>
    <w:rsid w:val="00E25F8D"/>
    <w:rsid w:val="00E261DE"/>
    <w:rsid w:val="00E26B9C"/>
    <w:rsid w:val="00E26C65"/>
    <w:rsid w:val="00E274B5"/>
    <w:rsid w:val="00E3008B"/>
    <w:rsid w:val="00E30422"/>
    <w:rsid w:val="00E3044B"/>
    <w:rsid w:val="00E306FB"/>
    <w:rsid w:val="00E30D48"/>
    <w:rsid w:val="00E31377"/>
    <w:rsid w:val="00E31562"/>
    <w:rsid w:val="00E31AEF"/>
    <w:rsid w:val="00E32056"/>
    <w:rsid w:val="00E3250E"/>
    <w:rsid w:val="00E32764"/>
    <w:rsid w:val="00E32B4F"/>
    <w:rsid w:val="00E32E97"/>
    <w:rsid w:val="00E330D5"/>
    <w:rsid w:val="00E331F5"/>
    <w:rsid w:val="00E3322E"/>
    <w:rsid w:val="00E33247"/>
    <w:rsid w:val="00E33860"/>
    <w:rsid w:val="00E33A5C"/>
    <w:rsid w:val="00E33D90"/>
    <w:rsid w:val="00E33D96"/>
    <w:rsid w:val="00E3405C"/>
    <w:rsid w:val="00E342F1"/>
    <w:rsid w:val="00E34B4A"/>
    <w:rsid w:val="00E34C02"/>
    <w:rsid w:val="00E34C71"/>
    <w:rsid w:val="00E3579D"/>
    <w:rsid w:val="00E359E8"/>
    <w:rsid w:val="00E35E35"/>
    <w:rsid w:val="00E36690"/>
    <w:rsid w:val="00E369C8"/>
    <w:rsid w:val="00E36C5C"/>
    <w:rsid w:val="00E371B9"/>
    <w:rsid w:val="00E377ED"/>
    <w:rsid w:val="00E407D7"/>
    <w:rsid w:val="00E4120E"/>
    <w:rsid w:val="00E41BBB"/>
    <w:rsid w:val="00E421C6"/>
    <w:rsid w:val="00E42319"/>
    <w:rsid w:val="00E4239C"/>
    <w:rsid w:val="00E423D5"/>
    <w:rsid w:val="00E42536"/>
    <w:rsid w:val="00E4302B"/>
    <w:rsid w:val="00E43479"/>
    <w:rsid w:val="00E438D4"/>
    <w:rsid w:val="00E43918"/>
    <w:rsid w:val="00E43A61"/>
    <w:rsid w:val="00E43B89"/>
    <w:rsid w:val="00E446EA"/>
    <w:rsid w:val="00E447B2"/>
    <w:rsid w:val="00E447C3"/>
    <w:rsid w:val="00E44BAE"/>
    <w:rsid w:val="00E44C27"/>
    <w:rsid w:val="00E45133"/>
    <w:rsid w:val="00E4514E"/>
    <w:rsid w:val="00E45502"/>
    <w:rsid w:val="00E4554C"/>
    <w:rsid w:val="00E45CB9"/>
    <w:rsid w:val="00E45FC5"/>
    <w:rsid w:val="00E46191"/>
    <w:rsid w:val="00E46229"/>
    <w:rsid w:val="00E4658B"/>
    <w:rsid w:val="00E46666"/>
    <w:rsid w:val="00E46678"/>
    <w:rsid w:val="00E466CD"/>
    <w:rsid w:val="00E46779"/>
    <w:rsid w:val="00E46D02"/>
    <w:rsid w:val="00E479FC"/>
    <w:rsid w:val="00E47A15"/>
    <w:rsid w:val="00E47EFA"/>
    <w:rsid w:val="00E4D119"/>
    <w:rsid w:val="00E50091"/>
    <w:rsid w:val="00E5049A"/>
    <w:rsid w:val="00E50699"/>
    <w:rsid w:val="00E507C9"/>
    <w:rsid w:val="00E5098B"/>
    <w:rsid w:val="00E50BE7"/>
    <w:rsid w:val="00E51222"/>
    <w:rsid w:val="00E512F2"/>
    <w:rsid w:val="00E517A9"/>
    <w:rsid w:val="00E51824"/>
    <w:rsid w:val="00E518E0"/>
    <w:rsid w:val="00E51923"/>
    <w:rsid w:val="00E51980"/>
    <w:rsid w:val="00E51CAE"/>
    <w:rsid w:val="00E5212B"/>
    <w:rsid w:val="00E528DD"/>
    <w:rsid w:val="00E531CA"/>
    <w:rsid w:val="00E53476"/>
    <w:rsid w:val="00E5350F"/>
    <w:rsid w:val="00E536C1"/>
    <w:rsid w:val="00E53700"/>
    <w:rsid w:val="00E53939"/>
    <w:rsid w:val="00E53AC3"/>
    <w:rsid w:val="00E5447B"/>
    <w:rsid w:val="00E54C2B"/>
    <w:rsid w:val="00E54CAA"/>
    <w:rsid w:val="00E54FCD"/>
    <w:rsid w:val="00E550B2"/>
    <w:rsid w:val="00E552C5"/>
    <w:rsid w:val="00E55C75"/>
    <w:rsid w:val="00E55F99"/>
    <w:rsid w:val="00E56122"/>
    <w:rsid w:val="00E5632F"/>
    <w:rsid w:val="00E563AA"/>
    <w:rsid w:val="00E56401"/>
    <w:rsid w:val="00E5683B"/>
    <w:rsid w:val="00E56C15"/>
    <w:rsid w:val="00E5701B"/>
    <w:rsid w:val="00E57154"/>
    <w:rsid w:val="00E57489"/>
    <w:rsid w:val="00E579D3"/>
    <w:rsid w:val="00E57FC6"/>
    <w:rsid w:val="00E5F8EF"/>
    <w:rsid w:val="00E60093"/>
    <w:rsid w:val="00E6054E"/>
    <w:rsid w:val="00E605CF"/>
    <w:rsid w:val="00E609FD"/>
    <w:rsid w:val="00E60EB2"/>
    <w:rsid w:val="00E61B91"/>
    <w:rsid w:val="00E61F1C"/>
    <w:rsid w:val="00E62109"/>
    <w:rsid w:val="00E6228B"/>
    <w:rsid w:val="00E62E88"/>
    <w:rsid w:val="00E62EF9"/>
    <w:rsid w:val="00E63A98"/>
    <w:rsid w:val="00E63C63"/>
    <w:rsid w:val="00E63D87"/>
    <w:rsid w:val="00E63E5E"/>
    <w:rsid w:val="00E643A2"/>
    <w:rsid w:val="00E643B3"/>
    <w:rsid w:val="00E6443F"/>
    <w:rsid w:val="00E64486"/>
    <w:rsid w:val="00E6488D"/>
    <w:rsid w:val="00E64CE6"/>
    <w:rsid w:val="00E64EB3"/>
    <w:rsid w:val="00E65020"/>
    <w:rsid w:val="00E65792"/>
    <w:rsid w:val="00E65D81"/>
    <w:rsid w:val="00E65EDA"/>
    <w:rsid w:val="00E66150"/>
    <w:rsid w:val="00E66183"/>
    <w:rsid w:val="00E66F1D"/>
    <w:rsid w:val="00E6720B"/>
    <w:rsid w:val="00E673A5"/>
    <w:rsid w:val="00E67624"/>
    <w:rsid w:val="00E7035F"/>
    <w:rsid w:val="00E707CC"/>
    <w:rsid w:val="00E709D3"/>
    <w:rsid w:val="00E70B6D"/>
    <w:rsid w:val="00E70CCB"/>
    <w:rsid w:val="00E71133"/>
    <w:rsid w:val="00E7122F"/>
    <w:rsid w:val="00E71A36"/>
    <w:rsid w:val="00E71D5B"/>
    <w:rsid w:val="00E723BF"/>
    <w:rsid w:val="00E72540"/>
    <w:rsid w:val="00E72BBE"/>
    <w:rsid w:val="00E733B0"/>
    <w:rsid w:val="00E739FF"/>
    <w:rsid w:val="00E742F8"/>
    <w:rsid w:val="00E7443E"/>
    <w:rsid w:val="00E744D6"/>
    <w:rsid w:val="00E7478D"/>
    <w:rsid w:val="00E74C65"/>
    <w:rsid w:val="00E75712"/>
    <w:rsid w:val="00E762B6"/>
    <w:rsid w:val="00E76724"/>
    <w:rsid w:val="00E769D1"/>
    <w:rsid w:val="00E76EB6"/>
    <w:rsid w:val="00E772E0"/>
    <w:rsid w:val="00E778D8"/>
    <w:rsid w:val="00E77A87"/>
    <w:rsid w:val="00E77AB1"/>
    <w:rsid w:val="00E77C01"/>
    <w:rsid w:val="00E77EC0"/>
    <w:rsid w:val="00E77F7D"/>
    <w:rsid w:val="00E80018"/>
    <w:rsid w:val="00E804D6"/>
    <w:rsid w:val="00E80514"/>
    <w:rsid w:val="00E806F4"/>
    <w:rsid w:val="00E80CC1"/>
    <w:rsid w:val="00E80FCD"/>
    <w:rsid w:val="00E81AE3"/>
    <w:rsid w:val="00E82D20"/>
    <w:rsid w:val="00E82D9B"/>
    <w:rsid w:val="00E82EDC"/>
    <w:rsid w:val="00E82FD4"/>
    <w:rsid w:val="00E83077"/>
    <w:rsid w:val="00E8343E"/>
    <w:rsid w:val="00E836DB"/>
    <w:rsid w:val="00E83890"/>
    <w:rsid w:val="00E838A9"/>
    <w:rsid w:val="00E839F1"/>
    <w:rsid w:val="00E83A9D"/>
    <w:rsid w:val="00E83B04"/>
    <w:rsid w:val="00E83D10"/>
    <w:rsid w:val="00E846FC"/>
    <w:rsid w:val="00E847C3"/>
    <w:rsid w:val="00E84E99"/>
    <w:rsid w:val="00E85765"/>
    <w:rsid w:val="00E85B77"/>
    <w:rsid w:val="00E862EB"/>
    <w:rsid w:val="00E863B5"/>
    <w:rsid w:val="00E86756"/>
    <w:rsid w:val="00E86C94"/>
    <w:rsid w:val="00E86DDC"/>
    <w:rsid w:val="00E86DF9"/>
    <w:rsid w:val="00E86F81"/>
    <w:rsid w:val="00E87662"/>
    <w:rsid w:val="00E87973"/>
    <w:rsid w:val="00E87B7C"/>
    <w:rsid w:val="00E87F92"/>
    <w:rsid w:val="00E901C5"/>
    <w:rsid w:val="00E905B8"/>
    <w:rsid w:val="00E90836"/>
    <w:rsid w:val="00E90954"/>
    <w:rsid w:val="00E909CD"/>
    <w:rsid w:val="00E90B63"/>
    <w:rsid w:val="00E90D22"/>
    <w:rsid w:val="00E913A6"/>
    <w:rsid w:val="00E9154C"/>
    <w:rsid w:val="00E9191D"/>
    <w:rsid w:val="00E9264C"/>
    <w:rsid w:val="00E92A61"/>
    <w:rsid w:val="00E92B6C"/>
    <w:rsid w:val="00E92EEB"/>
    <w:rsid w:val="00E93471"/>
    <w:rsid w:val="00E9378D"/>
    <w:rsid w:val="00E93A5B"/>
    <w:rsid w:val="00E93AD9"/>
    <w:rsid w:val="00E94345"/>
    <w:rsid w:val="00E94397"/>
    <w:rsid w:val="00E94403"/>
    <w:rsid w:val="00E9469B"/>
    <w:rsid w:val="00E955BE"/>
    <w:rsid w:val="00E955CC"/>
    <w:rsid w:val="00E95642"/>
    <w:rsid w:val="00E9589E"/>
    <w:rsid w:val="00E95C23"/>
    <w:rsid w:val="00E95D11"/>
    <w:rsid w:val="00E95FB7"/>
    <w:rsid w:val="00E9663C"/>
    <w:rsid w:val="00E966AB"/>
    <w:rsid w:val="00E966CE"/>
    <w:rsid w:val="00E96E14"/>
    <w:rsid w:val="00E970E8"/>
    <w:rsid w:val="00E973A3"/>
    <w:rsid w:val="00E97BF4"/>
    <w:rsid w:val="00E97F63"/>
    <w:rsid w:val="00EA02BA"/>
    <w:rsid w:val="00EA0491"/>
    <w:rsid w:val="00EA08E9"/>
    <w:rsid w:val="00EA0A53"/>
    <w:rsid w:val="00EA19A7"/>
    <w:rsid w:val="00EA1AFC"/>
    <w:rsid w:val="00EA1CF4"/>
    <w:rsid w:val="00EA1D5C"/>
    <w:rsid w:val="00EA20A8"/>
    <w:rsid w:val="00EA21DB"/>
    <w:rsid w:val="00EA2F8D"/>
    <w:rsid w:val="00EA30D8"/>
    <w:rsid w:val="00EA3270"/>
    <w:rsid w:val="00EA32B4"/>
    <w:rsid w:val="00EA34EF"/>
    <w:rsid w:val="00EA36D1"/>
    <w:rsid w:val="00EA3A8E"/>
    <w:rsid w:val="00EA3BEF"/>
    <w:rsid w:val="00EA3D39"/>
    <w:rsid w:val="00EA43BF"/>
    <w:rsid w:val="00EA44DC"/>
    <w:rsid w:val="00EA45E2"/>
    <w:rsid w:val="00EA47E3"/>
    <w:rsid w:val="00EA4868"/>
    <w:rsid w:val="00EA48E1"/>
    <w:rsid w:val="00EA57E6"/>
    <w:rsid w:val="00EA6143"/>
    <w:rsid w:val="00EA65AF"/>
    <w:rsid w:val="00EA65EF"/>
    <w:rsid w:val="00EA6802"/>
    <w:rsid w:val="00EA69D0"/>
    <w:rsid w:val="00EA6A5D"/>
    <w:rsid w:val="00EA6B6C"/>
    <w:rsid w:val="00EA7224"/>
    <w:rsid w:val="00EA74E4"/>
    <w:rsid w:val="00EA7653"/>
    <w:rsid w:val="00EA7698"/>
    <w:rsid w:val="00EA7765"/>
    <w:rsid w:val="00EA7D43"/>
    <w:rsid w:val="00EB09BD"/>
    <w:rsid w:val="00EB09CF"/>
    <w:rsid w:val="00EB0B85"/>
    <w:rsid w:val="00EB0C73"/>
    <w:rsid w:val="00EB0EB8"/>
    <w:rsid w:val="00EB12EC"/>
    <w:rsid w:val="00EB1DF6"/>
    <w:rsid w:val="00EB2274"/>
    <w:rsid w:val="00EB29B6"/>
    <w:rsid w:val="00EB2BFC"/>
    <w:rsid w:val="00EB2CD4"/>
    <w:rsid w:val="00EB3080"/>
    <w:rsid w:val="00EB3128"/>
    <w:rsid w:val="00EB360D"/>
    <w:rsid w:val="00EB3622"/>
    <w:rsid w:val="00EB37FE"/>
    <w:rsid w:val="00EB3B12"/>
    <w:rsid w:val="00EB3D35"/>
    <w:rsid w:val="00EB3E60"/>
    <w:rsid w:val="00EB3F8B"/>
    <w:rsid w:val="00EB42BF"/>
    <w:rsid w:val="00EB44C4"/>
    <w:rsid w:val="00EB4707"/>
    <w:rsid w:val="00EB481F"/>
    <w:rsid w:val="00EB4D85"/>
    <w:rsid w:val="00EB4FF8"/>
    <w:rsid w:val="00EB548F"/>
    <w:rsid w:val="00EB55C1"/>
    <w:rsid w:val="00EB574B"/>
    <w:rsid w:val="00EB579F"/>
    <w:rsid w:val="00EB5ED0"/>
    <w:rsid w:val="00EB5F1B"/>
    <w:rsid w:val="00EB5F5A"/>
    <w:rsid w:val="00EB6196"/>
    <w:rsid w:val="00EB633A"/>
    <w:rsid w:val="00EB67BD"/>
    <w:rsid w:val="00EB67F3"/>
    <w:rsid w:val="00EB6AB5"/>
    <w:rsid w:val="00EB7301"/>
    <w:rsid w:val="00EB73AC"/>
    <w:rsid w:val="00EB7A40"/>
    <w:rsid w:val="00EC00C7"/>
    <w:rsid w:val="00EC0229"/>
    <w:rsid w:val="00EC023F"/>
    <w:rsid w:val="00EC072F"/>
    <w:rsid w:val="00EC078A"/>
    <w:rsid w:val="00EC0933"/>
    <w:rsid w:val="00EC0989"/>
    <w:rsid w:val="00EC0B79"/>
    <w:rsid w:val="00EC0D1D"/>
    <w:rsid w:val="00EC1277"/>
    <w:rsid w:val="00EC1425"/>
    <w:rsid w:val="00EC1947"/>
    <w:rsid w:val="00EC1B3E"/>
    <w:rsid w:val="00EC20ED"/>
    <w:rsid w:val="00EC22AB"/>
    <w:rsid w:val="00EC2D72"/>
    <w:rsid w:val="00EC2D8D"/>
    <w:rsid w:val="00EC30D7"/>
    <w:rsid w:val="00EC3128"/>
    <w:rsid w:val="00EC3223"/>
    <w:rsid w:val="00EC36AD"/>
    <w:rsid w:val="00EC372E"/>
    <w:rsid w:val="00EC3A02"/>
    <w:rsid w:val="00EC3C25"/>
    <w:rsid w:val="00EC40BA"/>
    <w:rsid w:val="00EC445D"/>
    <w:rsid w:val="00EC4750"/>
    <w:rsid w:val="00EC4B1C"/>
    <w:rsid w:val="00EC4BEF"/>
    <w:rsid w:val="00EC5172"/>
    <w:rsid w:val="00EC518B"/>
    <w:rsid w:val="00EC54CF"/>
    <w:rsid w:val="00EC5573"/>
    <w:rsid w:val="00EC56C4"/>
    <w:rsid w:val="00EC56F9"/>
    <w:rsid w:val="00EC56FD"/>
    <w:rsid w:val="00EC5F14"/>
    <w:rsid w:val="00EC65C1"/>
    <w:rsid w:val="00EC67C9"/>
    <w:rsid w:val="00EC685C"/>
    <w:rsid w:val="00EC68C6"/>
    <w:rsid w:val="00EC698D"/>
    <w:rsid w:val="00EC6FD3"/>
    <w:rsid w:val="00EC7180"/>
    <w:rsid w:val="00EC72DB"/>
    <w:rsid w:val="00EC7CED"/>
    <w:rsid w:val="00ED0567"/>
    <w:rsid w:val="00ED0A41"/>
    <w:rsid w:val="00ED0BBF"/>
    <w:rsid w:val="00ED117C"/>
    <w:rsid w:val="00ED11AD"/>
    <w:rsid w:val="00ED14C6"/>
    <w:rsid w:val="00ED1700"/>
    <w:rsid w:val="00ED1DAB"/>
    <w:rsid w:val="00ED1DC3"/>
    <w:rsid w:val="00ED27FB"/>
    <w:rsid w:val="00ED2F51"/>
    <w:rsid w:val="00ED39D0"/>
    <w:rsid w:val="00ED39D7"/>
    <w:rsid w:val="00ED3CE2"/>
    <w:rsid w:val="00ED444A"/>
    <w:rsid w:val="00ED49F0"/>
    <w:rsid w:val="00ED4C92"/>
    <w:rsid w:val="00ED5067"/>
    <w:rsid w:val="00ED51A5"/>
    <w:rsid w:val="00ED522A"/>
    <w:rsid w:val="00ED6037"/>
    <w:rsid w:val="00ED60AE"/>
    <w:rsid w:val="00ED62EA"/>
    <w:rsid w:val="00ED641B"/>
    <w:rsid w:val="00ED68AD"/>
    <w:rsid w:val="00ED722F"/>
    <w:rsid w:val="00ED729E"/>
    <w:rsid w:val="00ED76CF"/>
    <w:rsid w:val="00ED7A3A"/>
    <w:rsid w:val="00ED7F80"/>
    <w:rsid w:val="00ED7FB1"/>
    <w:rsid w:val="00EE0540"/>
    <w:rsid w:val="00EE0990"/>
    <w:rsid w:val="00EE0996"/>
    <w:rsid w:val="00EE0C76"/>
    <w:rsid w:val="00EE0D39"/>
    <w:rsid w:val="00EE0DAC"/>
    <w:rsid w:val="00EE0DAF"/>
    <w:rsid w:val="00EE1892"/>
    <w:rsid w:val="00EE18C9"/>
    <w:rsid w:val="00EE1F1C"/>
    <w:rsid w:val="00EE22CF"/>
    <w:rsid w:val="00EE2366"/>
    <w:rsid w:val="00EE2368"/>
    <w:rsid w:val="00EE312E"/>
    <w:rsid w:val="00EE3390"/>
    <w:rsid w:val="00EE35A3"/>
    <w:rsid w:val="00EE3A44"/>
    <w:rsid w:val="00EE410B"/>
    <w:rsid w:val="00EE438E"/>
    <w:rsid w:val="00EE441D"/>
    <w:rsid w:val="00EE54F2"/>
    <w:rsid w:val="00EE56FA"/>
    <w:rsid w:val="00EE5938"/>
    <w:rsid w:val="00EE6252"/>
    <w:rsid w:val="00EE6A70"/>
    <w:rsid w:val="00EE6B77"/>
    <w:rsid w:val="00EE6F21"/>
    <w:rsid w:val="00EE7A45"/>
    <w:rsid w:val="00EE7AB5"/>
    <w:rsid w:val="00EE7B42"/>
    <w:rsid w:val="00EE7DA1"/>
    <w:rsid w:val="00EE7E62"/>
    <w:rsid w:val="00EF012C"/>
    <w:rsid w:val="00EF02E3"/>
    <w:rsid w:val="00EF02F6"/>
    <w:rsid w:val="00EF1033"/>
    <w:rsid w:val="00EF1079"/>
    <w:rsid w:val="00EF1363"/>
    <w:rsid w:val="00EF16E9"/>
    <w:rsid w:val="00EF1F3C"/>
    <w:rsid w:val="00EF20EF"/>
    <w:rsid w:val="00EF253F"/>
    <w:rsid w:val="00EF2835"/>
    <w:rsid w:val="00EF2944"/>
    <w:rsid w:val="00EF2DCC"/>
    <w:rsid w:val="00EF2F84"/>
    <w:rsid w:val="00EF3B7C"/>
    <w:rsid w:val="00EF3F11"/>
    <w:rsid w:val="00EF4128"/>
    <w:rsid w:val="00EF4748"/>
    <w:rsid w:val="00EF5318"/>
    <w:rsid w:val="00EF53FF"/>
    <w:rsid w:val="00EF5565"/>
    <w:rsid w:val="00EF56C3"/>
    <w:rsid w:val="00EF5A83"/>
    <w:rsid w:val="00EF5C98"/>
    <w:rsid w:val="00EF5D46"/>
    <w:rsid w:val="00EF61D5"/>
    <w:rsid w:val="00EF674A"/>
    <w:rsid w:val="00EF7397"/>
    <w:rsid w:val="00EF77FA"/>
    <w:rsid w:val="00EF7866"/>
    <w:rsid w:val="00EF7B7F"/>
    <w:rsid w:val="00F00317"/>
    <w:rsid w:val="00F00408"/>
    <w:rsid w:val="00F00A72"/>
    <w:rsid w:val="00F00AA2"/>
    <w:rsid w:val="00F00ABF"/>
    <w:rsid w:val="00F00C8B"/>
    <w:rsid w:val="00F00D68"/>
    <w:rsid w:val="00F010BD"/>
    <w:rsid w:val="00F017F2"/>
    <w:rsid w:val="00F01BA8"/>
    <w:rsid w:val="00F01BE7"/>
    <w:rsid w:val="00F01C10"/>
    <w:rsid w:val="00F01DA1"/>
    <w:rsid w:val="00F01F58"/>
    <w:rsid w:val="00F0238E"/>
    <w:rsid w:val="00F023BF"/>
    <w:rsid w:val="00F02400"/>
    <w:rsid w:val="00F0255D"/>
    <w:rsid w:val="00F02952"/>
    <w:rsid w:val="00F029F8"/>
    <w:rsid w:val="00F02C43"/>
    <w:rsid w:val="00F02DA9"/>
    <w:rsid w:val="00F0317D"/>
    <w:rsid w:val="00F039ED"/>
    <w:rsid w:val="00F03B12"/>
    <w:rsid w:val="00F03C47"/>
    <w:rsid w:val="00F04CD4"/>
    <w:rsid w:val="00F04D38"/>
    <w:rsid w:val="00F04EF7"/>
    <w:rsid w:val="00F0578A"/>
    <w:rsid w:val="00F059D7"/>
    <w:rsid w:val="00F05AC2"/>
    <w:rsid w:val="00F05EE3"/>
    <w:rsid w:val="00F06694"/>
    <w:rsid w:val="00F06A35"/>
    <w:rsid w:val="00F072D4"/>
    <w:rsid w:val="00F073D7"/>
    <w:rsid w:val="00F0766F"/>
    <w:rsid w:val="00F07905"/>
    <w:rsid w:val="00F07992"/>
    <w:rsid w:val="00F079EA"/>
    <w:rsid w:val="00F07B8B"/>
    <w:rsid w:val="00F07C92"/>
    <w:rsid w:val="00F101BB"/>
    <w:rsid w:val="00F103D7"/>
    <w:rsid w:val="00F10C26"/>
    <w:rsid w:val="00F10CA4"/>
    <w:rsid w:val="00F10D63"/>
    <w:rsid w:val="00F10FCC"/>
    <w:rsid w:val="00F10FFE"/>
    <w:rsid w:val="00F110E8"/>
    <w:rsid w:val="00F1130F"/>
    <w:rsid w:val="00F11439"/>
    <w:rsid w:val="00F11510"/>
    <w:rsid w:val="00F11603"/>
    <w:rsid w:val="00F1181B"/>
    <w:rsid w:val="00F1187E"/>
    <w:rsid w:val="00F119AD"/>
    <w:rsid w:val="00F11C13"/>
    <w:rsid w:val="00F11CE9"/>
    <w:rsid w:val="00F11CFC"/>
    <w:rsid w:val="00F1234C"/>
    <w:rsid w:val="00F123BD"/>
    <w:rsid w:val="00F12AE6"/>
    <w:rsid w:val="00F13095"/>
    <w:rsid w:val="00F13251"/>
    <w:rsid w:val="00F13341"/>
    <w:rsid w:val="00F134A9"/>
    <w:rsid w:val="00F13923"/>
    <w:rsid w:val="00F13C39"/>
    <w:rsid w:val="00F14263"/>
    <w:rsid w:val="00F143EB"/>
    <w:rsid w:val="00F144FE"/>
    <w:rsid w:val="00F14590"/>
    <w:rsid w:val="00F14EEC"/>
    <w:rsid w:val="00F157E6"/>
    <w:rsid w:val="00F15DB7"/>
    <w:rsid w:val="00F15ECC"/>
    <w:rsid w:val="00F16280"/>
    <w:rsid w:val="00F162BD"/>
    <w:rsid w:val="00F167E7"/>
    <w:rsid w:val="00F16B2A"/>
    <w:rsid w:val="00F16F56"/>
    <w:rsid w:val="00F17172"/>
    <w:rsid w:val="00F17237"/>
    <w:rsid w:val="00F173AF"/>
    <w:rsid w:val="00F17811"/>
    <w:rsid w:val="00F17A0A"/>
    <w:rsid w:val="00F17E07"/>
    <w:rsid w:val="00F17F52"/>
    <w:rsid w:val="00F2012A"/>
    <w:rsid w:val="00F2091C"/>
    <w:rsid w:val="00F20A6D"/>
    <w:rsid w:val="00F2114B"/>
    <w:rsid w:val="00F21B5A"/>
    <w:rsid w:val="00F22A7C"/>
    <w:rsid w:val="00F22C97"/>
    <w:rsid w:val="00F231EE"/>
    <w:rsid w:val="00F233D7"/>
    <w:rsid w:val="00F23FAB"/>
    <w:rsid w:val="00F2411F"/>
    <w:rsid w:val="00F24D19"/>
    <w:rsid w:val="00F24D58"/>
    <w:rsid w:val="00F25183"/>
    <w:rsid w:val="00F2540C"/>
    <w:rsid w:val="00F25508"/>
    <w:rsid w:val="00F25517"/>
    <w:rsid w:val="00F255EE"/>
    <w:rsid w:val="00F25949"/>
    <w:rsid w:val="00F25B56"/>
    <w:rsid w:val="00F25FE6"/>
    <w:rsid w:val="00F2690F"/>
    <w:rsid w:val="00F26AF7"/>
    <w:rsid w:val="00F26D91"/>
    <w:rsid w:val="00F26EAF"/>
    <w:rsid w:val="00F2792D"/>
    <w:rsid w:val="00F30772"/>
    <w:rsid w:val="00F30C86"/>
    <w:rsid w:val="00F30CB8"/>
    <w:rsid w:val="00F30DB6"/>
    <w:rsid w:val="00F310F3"/>
    <w:rsid w:val="00F31641"/>
    <w:rsid w:val="00F3179E"/>
    <w:rsid w:val="00F3190D"/>
    <w:rsid w:val="00F31E02"/>
    <w:rsid w:val="00F3205E"/>
    <w:rsid w:val="00F3238C"/>
    <w:rsid w:val="00F32677"/>
    <w:rsid w:val="00F329BD"/>
    <w:rsid w:val="00F32A8E"/>
    <w:rsid w:val="00F32BA6"/>
    <w:rsid w:val="00F3349B"/>
    <w:rsid w:val="00F335FF"/>
    <w:rsid w:val="00F3367D"/>
    <w:rsid w:val="00F3370B"/>
    <w:rsid w:val="00F33DC5"/>
    <w:rsid w:val="00F341B8"/>
    <w:rsid w:val="00F343B1"/>
    <w:rsid w:val="00F34484"/>
    <w:rsid w:val="00F346DB"/>
    <w:rsid w:val="00F347C0"/>
    <w:rsid w:val="00F34C46"/>
    <w:rsid w:val="00F34D36"/>
    <w:rsid w:val="00F351D1"/>
    <w:rsid w:val="00F35448"/>
    <w:rsid w:val="00F35643"/>
    <w:rsid w:val="00F35B6A"/>
    <w:rsid w:val="00F36534"/>
    <w:rsid w:val="00F369EE"/>
    <w:rsid w:val="00F36E45"/>
    <w:rsid w:val="00F3708C"/>
    <w:rsid w:val="00F37985"/>
    <w:rsid w:val="00F37B76"/>
    <w:rsid w:val="00F37CDB"/>
    <w:rsid w:val="00F37D0C"/>
    <w:rsid w:val="00F37EED"/>
    <w:rsid w:val="00F407FF"/>
    <w:rsid w:val="00F40C7A"/>
    <w:rsid w:val="00F40F0D"/>
    <w:rsid w:val="00F410E1"/>
    <w:rsid w:val="00F4122A"/>
    <w:rsid w:val="00F4172D"/>
    <w:rsid w:val="00F4201B"/>
    <w:rsid w:val="00F420BD"/>
    <w:rsid w:val="00F4250D"/>
    <w:rsid w:val="00F42634"/>
    <w:rsid w:val="00F426D6"/>
    <w:rsid w:val="00F42920"/>
    <w:rsid w:val="00F42DC2"/>
    <w:rsid w:val="00F4306F"/>
    <w:rsid w:val="00F4371E"/>
    <w:rsid w:val="00F437C3"/>
    <w:rsid w:val="00F43861"/>
    <w:rsid w:val="00F439AA"/>
    <w:rsid w:val="00F43C1B"/>
    <w:rsid w:val="00F43F01"/>
    <w:rsid w:val="00F44161"/>
    <w:rsid w:val="00F447F0"/>
    <w:rsid w:val="00F451E7"/>
    <w:rsid w:val="00F45806"/>
    <w:rsid w:val="00F45B84"/>
    <w:rsid w:val="00F46CBE"/>
    <w:rsid w:val="00F46E23"/>
    <w:rsid w:val="00F4782D"/>
    <w:rsid w:val="00F478D8"/>
    <w:rsid w:val="00F47C43"/>
    <w:rsid w:val="00F47ED1"/>
    <w:rsid w:val="00F47ED4"/>
    <w:rsid w:val="00F47F49"/>
    <w:rsid w:val="00F501E1"/>
    <w:rsid w:val="00F504B9"/>
    <w:rsid w:val="00F50625"/>
    <w:rsid w:val="00F50BF7"/>
    <w:rsid w:val="00F5148C"/>
    <w:rsid w:val="00F51A28"/>
    <w:rsid w:val="00F51CBB"/>
    <w:rsid w:val="00F51CE2"/>
    <w:rsid w:val="00F51D5D"/>
    <w:rsid w:val="00F51E85"/>
    <w:rsid w:val="00F52365"/>
    <w:rsid w:val="00F52619"/>
    <w:rsid w:val="00F52761"/>
    <w:rsid w:val="00F5277D"/>
    <w:rsid w:val="00F527D2"/>
    <w:rsid w:val="00F53453"/>
    <w:rsid w:val="00F53619"/>
    <w:rsid w:val="00F538E1"/>
    <w:rsid w:val="00F53B73"/>
    <w:rsid w:val="00F53C09"/>
    <w:rsid w:val="00F53E3B"/>
    <w:rsid w:val="00F53FE4"/>
    <w:rsid w:val="00F5406B"/>
    <w:rsid w:val="00F5463B"/>
    <w:rsid w:val="00F547E5"/>
    <w:rsid w:val="00F54ADD"/>
    <w:rsid w:val="00F54B28"/>
    <w:rsid w:val="00F54BFD"/>
    <w:rsid w:val="00F54D7D"/>
    <w:rsid w:val="00F54E07"/>
    <w:rsid w:val="00F54EFD"/>
    <w:rsid w:val="00F55282"/>
    <w:rsid w:val="00F5533A"/>
    <w:rsid w:val="00F554D8"/>
    <w:rsid w:val="00F556A4"/>
    <w:rsid w:val="00F55C24"/>
    <w:rsid w:val="00F560F0"/>
    <w:rsid w:val="00F56408"/>
    <w:rsid w:val="00F5654C"/>
    <w:rsid w:val="00F56569"/>
    <w:rsid w:val="00F56BAD"/>
    <w:rsid w:val="00F57074"/>
    <w:rsid w:val="00F572C6"/>
    <w:rsid w:val="00F578CF"/>
    <w:rsid w:val="00F57E8E"/>
    <w:rsid w:val="00F601DE"/>
    <w:rsid w:val="00F602C4"/>
    <w:rsid w:val="00F60374"/>
    <w:rsid w:val="00F61167"/>
    <w:rsid w:val="00F6132D"/>
    <w:rsid w:val="00F6142A"/>
    <w:rsid w:val="00F61430"/>
    <w:rsid w:val="00F6146E"/>
    <w:rsid w:val="00F6160D"/>
    <w:rsid w:val="00F6163D"/>
    <w:rsid w:val="00F618F9"/>
    <w:rsid w:val="00F61E45"/>
    <w:rsid w:val="00F627CF"/>
    <w:rsid w:val="00F62986"/>
    <w:rsid w:val="00F62A42"/>
    <w:rsid w:val="00F62D3A"/>
    <w:rsid w:val="00F62D62"/>
    <w:rsid w:val="00F6328B"/>
    <w:rsid w:val="00F632BA"/>
    <w:rsid w:val="00F63656"/>
    <w:rsid w:val="00F63C1E"/>
    <w:rsid w:val="00F63C5B"/>
    <w:rsid w:val="00F63C7D"/>
    <w:rsid w:val="00F64376"/>
    <w:rsid w:val="00F6466B"/>
    <w:rsid w:val="00F64702"/>
    <w:rsid w:val="00F64F34"/>
    <w:rsid w:val="00F652E2"/>
    <w:rsid w:val="00F6552B"/>
    <w:rsid w:val="00F65550"/>
    <w:rsid w:val="00F6569D"/>
    <w:rsid w:val="00F6598B"/>
    <w:rsid w:val="00F661CA"/>
    <w:rsid w:val="00F6682D"/>
    <w:rsid w:val="00F66CF3"/>
    <w:rsid w:val="00F66EDF"/>
    <w:rsid w:val="00F67344"/>
    <w:rsid w:val="00F67458"/>
    <w:rsid w:val="00F6758B"/>
    <w:rsid w:val="00F67B3A"/>
    <w:rsid w:val="00F67C07"/>
    <w:rsid w:val="00F7047F"/>
    <w:rsid w:val="00F70BC1"/>
    <w:rsid w:val="00F70C83"/>
    <w:rsid w:val="00F71267"/>
    <w:rsid w:val="00F71489"/>
    <w:rsid w:val="00F719E8"/>
    <w:rsid w:val="00F72895"/>
    <w:rsid w:val="00F72C8B"/>
    <w:rsid w:val="00F72F5E"/>
    <w:rsid w:val="00F7333B"/>
    <w:rsid w:val="00F73386"/>
    <w:rsid w:val="00F73718"/>
    <w:rsid w:val="00F73782"/>
    <w:rsid w:val="00F7380C"/>
    <w:rsid w:val="00F73C9A"/>
    <w:rsid w:val="00F73DCB"/>
    <w:rsid w:val="00F73F8C"/>
    <w:rsid w:val="00F74791"/>
    <w:rsid w:val="00F74924"/>
    <w:rsid w:val="00F74B78"/>
    <w:rsid w:val="00F74B97"/>
    <w:rsid w:val="00F75769"/>
    <w:rsid w:val="00F758E8"/>
    <w:rsid w:val="00F75952"/>
    <w:rsid w:val="00F75EED"/>
    <w:rsid w:val="00F7673B"/>
    <w:rsid w:val="00F769E9"/>
    <w:rsid w:val="00F76C5A"/>
    <w:rsid w:val="00F76CE5"/>
    <w:rsid w:val="00F76E1D"/>
    <w:rsid w:val="00F76FFB"/>
    <w:rsid w:val="00F76FFD"/>
    <w:rsid w:val="00F774AD"/>
    <w:rsid w:val="00F77E93"/>
    <w:rsid w:val="00F80961"/>
    <w:rsid w:val="00F80C28"/>
    <w:rsid w:val="00F812CA"/>
    <w:rsid w:val="00F8136B"/>
    <w:rsid w:val="00F814B9"/>
    <w:rsid w:val="00F81BAA"/>
    <w:rsid w:val="00F81CB0"/>
    <w:rsid w:val="00F81E54"/>
    <w:rsid w:val="00F82465"/>
    <w:rsid w:val="00F8273E"/>
    <w:rsid w:val="00F8283D"/>
    <w:rsid w:val="00F82BAB"/>
    <w:rsid w:val="00F83624"/>
    <w:rsid w:val="00F84076"/>
    <w:rsid w:val="00F84139"/>
    <w:rsid w:val="00F847DA"/>
    <w:rsid w:val="00F84B77"/>
    <w:rsid w:val="00F84BF5"/>
    <w:rsid w:val="00F84D6A"/>
    <w:rsid w:val="00F84F4A"/>
    <w:rsid w:val="00F84F72"/>
    <w:rsid w:val="00F84FBA"/>
    <w:rsid w:val="00F866FE"/>
    <w:rsid w:val="00F86765"/>
    <w:rsid w:val="00F86806"/>
    <w:rsid w:val="00F868C1"/>
    <w:rsid w:val="00F86C44"/>
    <w:rsid w:val="00F87000"/>
    <w:rsid w:val="00F872BA"/>
    <w:rsid w:val="00F874A3"/>
    <w:rsid w:val="00F8788B"/>
    <w:rsid w:val="00F878F6"/>
    <w:rsid w:val="00F87DD8"/>
    <w:rsid w:val="00F87FD2"/>
    <w:rsid w:val="00F9078B"/>
    <w:rsid w:val="00F90F39"/>
    <w:rsid w:val="00F913C1"/>
    <w:rsid w:val="00F915B3"/>
    <w:rsid w:val="00F9189B"/>
    <w:rsid w:val="00F91C0F"/>
    <w:rsid w:val="00F91F22"/>
    <w:rsid w:val="00F92130"/>
    <w:rsid w:val="00F9230C"/>
    <w:rsid w:val="00F926AD"/>
    <w:rsid w:val="00F93375"/>
    <w:rsid w:val="00F93671"/>
    <w:rsid w:val="00F93B13"/>
    <w:rsid w:val="00F93C45"/>
    <w:rsid w:val="00F9406F"/>
    <w:rsid w:val="00F94173"/>
    <w:rsid w:val="00F9439B"/>
    <w:rsid w:val="00F94BDE"/>
    <w:rsid w:val="00F94D8E"/>
    <w:rsid w:val="00F95502"/>
    <w:rsid w:val="00F958EC"/>
    <w:rsid w:val="00F95DCF"/>
    <w:rsid w:val="00F961F0"/>
    <w:rsid w:val="00F963A9"/>
    <w:rsid w:val="00F96886"/>
    <w:rsid w:val="00F96922"/>
    <w:rsid w:val="00F96C1D"/>
    <w:rsid w:val="00F973FE"/>
    <w:rsid w:val="00F975F6"/>
    <w:rsid w:val="00F97A30"/>
    <w:rsid w:val="00F97D85"/>
    <w:rsid w:val="00F97F4B"/>
    <w:rsid w:val="00FA0334"/>
    <w:rsid w:val="00FA08CC"/>
    <w:rsid w:val="00FA0BEC"/>
    <w:rsid w:val="00FA138D"/>
    <w:rsid w:val="00FA1394"/>
    <w:rsid w:val="00FA155A"/>
    <w:rsid w:val="00FA18BF"/>
    <w:rsid w:val="00FA1C4B"/>
    <w:rsid w:val="00FA1D3A"/>
    <w:rsid w:val="00FA1E0E"/>
    <w:rsid w:val="00FA217F"/>
    <w:rsid w:val="00FA24D7"/>
    <w:rsid w:val="00FA262C"/>
    <w:rsid w:val="00FA2C22"/>
    <w:rsid w:val="00FA2CF7"/>
    <w:rsid w:val="00FA2D70"/>
    <w:rsid w:val="00FA31D8"/>
    <w:rsid w:val="00FA32D8"/>
    <w:rsid w:val="00FA3487"/>
    <w:rsid w:val="00FA35AB"/>
    <w:rsid w:val="00FA3C74"/>
    <w:rsid w:val="00FA420D"/>
    <w:rsid w:val="00FA4A57"/>
    <w:rsid w:val="00FA4D9C"/>
    <w:rsid w:val="00FA4DEE"/>
    <w:rsid w:val="00FA56A8"/>
    <w:rsid w:val="00FA5720"/>
    <w:rsid w:val="00FA6207"/>
    <w:rsid w:val="00FA69E8"/>
    <w:rsid w:val="00FA6C7F"/>
    <w:rsid w:val="00FA6F86"/>
    <w:rsid w:val="00FA7459"/>
    <w:rsid w:val="00FA747A"/>
    <w:rsid w:val="00FA79F3"/>
    <w:rsid w:val="00FA7CD1"/>
    <w:rsid w:val="00FA7FE8"/>
    <w:rsid w:val="00FB0DC1"/>
    <w:rsid w:val="00FB0E54"/>
    <w:rsid w:val="00FB1E09"/>
    <w:rsid w:val="00FB1FE2"/>
    <w:rsid w:val="00FB224B"/>
    <w:rsid w:val="00FB2632"/>
    <w:rsid w:val="00FB27C5"/>
    <w:rsid w:val="00FB2FA6"/>
    <w:rsid w:val="00FB3672"/>
    <w:rsid w:val="00FB36D0"/>
    <w:rsid w:val="00FB37A1"/>
    <w:rsid w:val="00FB3A8D"/>
    <w:rsid w:val="00FB3A94"/>
    <w:rsid w:val="00FB4464"/>
    <w:rsid w:val="00FB4C07"/>
    <w:rsid w:val="00FB4C32"/>
    <w:rsid w:val="00FB4D07"/>
    <w:rsid w:val="00FB50B0"/>
    <w:rsid w:val="00FB5119"/>
    <w:rsid w:val="00FB578D"/>
    <w:rsid w:val="00FB59AF"/>
    <w:rsid w:val="00FB5A0C"/>
    <w:rsid w:val="00FB5AAD"/>
    <w:rsid w:val="00FB5BFD"/>
    <w:rsid w:val="00FB5DDC"/>
    <w:rsid w:val="00FB6388"/>
    <w:rsid w:val="00FB6623"/>
    <w:rsid w:val="00FB6909"/>
    <w:rsid w:val="00FB78DC"/>
    <w:rsid w:val="00FB79A9"/>
    <w:rsid w:val="00FB7BED"/>
    <w:rsid w:val="00FB7DC4"/>
    <w:rsid w:val="00FB7E06"/>
    <w:rsid w:val="00FB7E0B"/>
    <w:rsid w:val="00FC1412"/>
    <w:rsid w:val="00FC1705"/>
    <w:rsid w:val="00FC17BC"/>
    <w:rsid w:val="00FC21ED"/>
    <w:rsid w:val="00FC24AD"/>
    <w:rsid w:val="00FC258D"/>
    <w:rsid w:val="00FC27E7"/>
    <w:rsid w:val="00FC28D8"/>
    <w:rsid w:val="00FC2933"/>
    <w:rsid w:val="00FC2A07"/>
    <w:rsid w:val="00FC2CFF"/>
    <w:rsid w:val="00FC33C3"/>
    <w:rsid w:val="00FC3531"/>
    <w:rsid w:val="00FC355A"/>
    <w:rsid w:val="00FC386C"/>
    <w:rsid w:val="00FC3890"/>
    <w:rsid w:val="00FC3E15"/>
    <w:rsid w:val="00FC411F"/>
    <w:rsid w:val="00FC4D3E"/>
    <w:rsid w:val="00FC5473"/>
    <w:rsid w:val="00FC5708"/>
    <w:rsid w:val="00FC5D0D"/>
    <w:rsid w:val="00FC615A"/>
    <w:rsid w:val="00FC6564"/>
    <w:rsid w:val="00FC66F9"/>
    <w:rsid w:val="00FC68C1"/>
    <w:rsid w:val="00FC6A4D"/>
    <w:rsid w:val="00FC71E0"/>
    <w:rsid w:val="00FC7AAF"/>
    <w:rsid w:val="00FC7C88"/>
    <w:rsid w:val="00FCBDE3"/>
    <w:rsid w:val="00FD00ED"/>
    <w:rsid w:val="00FD02E3"/>
    <w:rsid w:val="00FD08D3"/>
    <w:rsid w:val="00FD0E3E"/>
    <w:rsid w:val="00FD0F83"/>
    <w:rsid w:val="00FD0FE6"/>
    <w:rsid w:val="00FD105C"/>
    <w:rsid w:val="00FD1278"/>
    <w:rsid w:val="00FD154E"/>
    <w:rsid w:val="00FD164B"/>
    <w:rsid w:val="00FD1820"/>
    <w:rsid w:val="00FD1C1A"/>
    <w:rsid w:val="00FD1E04"/>
    <w:rsid w:val="00FD217B"/>
    <w:rsid w:val="00FD240B"/>
    <w:rsid w:val="00FD28E6"/>
    <w:rsid w:val="00FD293A"/>
    <w:rsid w:val="00FD2953"/>
    <w:rsid w:val="00FD29A0"/>
    <w:rsid w:val="00FD2A3B"/>
    <w:rsid w:val="00FD2AAF"/>
    <w:rsid w:val="00FD2B9B"/>
    <w:rsid w:val="00FD2BEE"/>
    <w:rsid w:val="00FD2C39"/>
    <w:rsid w:val="00FD3110"/>
    <w:rsid w:val="00FD3374"/>
    <w:rsid w:val="00FD3948"/>
    <w:rsid w:val="00FD3CB2"/>
    <w:rsid w:val="00FD3D55"/>
    <w:rsid w:val="00FD4511"/>
    <w:rsid w:val="00FD49FB"/>
    <w:rsid w:val="00FD4DF3"/>
    <w:rsid w:val="00FD5536"/>
    <w:rsid w:val="00FD5BCF"/>
    <w:rsid w:val="00FD600D"/>
    <w:rsid w:val="00FD63CD"/>
    <w:rsid w:val="00FD640A"/>
    <w:rsid w:val="00FD640E"/>
    <w:rsid w:val="00FD6601"/>
    <w:rsid w:val="00FD7B0A"/>
    <w:rsid w:val="00FD7B28"/>
    <w:rsid w:val="00FD7B8F"/>
    <w:rsid w:val="00FD7DD7"/>
    <w:rsid w:val="00FDECE6"/>
    <w:rsid w:val="00FE0224"/>
    <w:rsid w:val="00FE044A"/>
    <w:rsid w:val="00FE073C"/>
    <w:rsid w:val="00FE0EAE"/>
    <w:rsid w:val="00FE11CA"/>
    <w:rsid w:val="00FE127C"/>
    <w:rsid w:val="00FE12BF"/>
    <w:rsid w:val="00FE1624"/>
    <w:rsid w:val="00FE1DE0"/>
    <w:rsid w:val="00FE231C"/>
    <w:rsid w:val="00FE2552"/>
    <w:rsid w:val="00FE26D7"/>
    <w:rsid w:val="00FE2B12"/>
    <w:rsid w:val="00FE2D42"/>
    <w:rsid w:val="00FE30D9"/>
    <w:rsid w:val="00FE3139"/>
    <w:rsid w:val="00FE318C"/>
    <w:rsid w:val="00FE36F3"/>
    <w:rsid w:val="00FE375C"/>
    <w:rsid w:val="00FE384F"/>
    <w:rsid w:val="00FE392D"/>
    <w:rsid w:val="00FE3A10"/>
    <w:rsid w:val="00FE4168"/>
    <w:rsid w:val="00FE440F"/>
    <w:rsid w:val="00FE4728"/>
    <w:rsid w:val="00FE4E1F"/>
    <w:rsid w:val="00FE4E25"/>
    <w:rsid w:val="00FE52FE"/>
    <w:rsid w:val="00FE53CB"/>
    <w:rsid w:val="00FE53FA"/>
    <w:rsid w:val="00FE5443"/>
    <w:rsid w:val="00FE5477"/>
    <w:rsid w:val="00FE5D55"/>
    <w:rsid w:val="00FE5EA2"/>
    <w:rsid w:val="00FE5EA8"/>
    <w:rsid w:val="00FE69B4"/>
    <w:rsid w:val="00FE6C7D"/>
    <w:rsid w:val="00FE7034"/>
    <w:rsid w:val="00FE707F"/>
    <w:rsid w:val="00FE7409"/>
    <w:rsid w:val="00FE786D"/>
    <w:rsid w:val="00FE7A69"/>
    <w:rsid w:val="00FE7AA5"/>
    <w:rsid w:val="00FE7D2B"/>
    <w:rsid w:val="00FE7F86"/>
    <w:rsid w:val="00FF06EA"/>
    <w:rsid w:val="00FF09B1"/>
    <w:rsid w:val="00FF0F47"/>
    <w:rsid w:val="00FF10E8"/>
    <w:rsid w:val="00FF14DC"/>
    <w:rsid w:val="00FF17FA"/>
    <w:rsid w:val="00FF1F72"/>
    <w:rsid w:val="00FF21BD"/>
    <w:rsid w:val="00FF265A"/>
    <w:rsid w:val="00FF277A"/>
    <w:rsid w:val="00FF29AA"/>
    <w:rsid w:val="00FF2FC2"/>
    <w:rsid w:val="00FF3290"/>
    <w:rsid w:val="00FF36F9"/>
    <w:rsid w:val="00FF378E"/>
    <w:rsid w:val="00FF37B6"/>
    <w:rsid w:val="00FF392E"/>
    <w:rsid w:val="00FF3C1B"/>
    <w:rsid w:val="00FF3FD7"/>
    <w:rsid w:val="00FF42C1"/>
    <w:rsid w:val="00FF4606"/>
    <w:rsid w:val="00FF56D9"/>
    <w:rsid w:val="00FF5771"/>
    <w:rsid w:val="00FF58EF"/>
    <w:rsid w:val="00FF593D"/>
    <w:rsid w:val="00FF6542"/>
    <w:rsid w:val="00FF65C8"/>
    <w:rsid w:val="00FF6638"/>
    <w:rsid w:val="00FF66E1"/>
    <w:rsid w:val="00FF6A22"/>
    <w:rsid w:val="00FF6D08"/>
    <w:rsid w:val="00FF73BE"/>
    <w:rsid w:val="00FF75C2"/>
    <w:rsid w:val="00FF75DC"/>
    <w:rsid w:val="00FF7634"/>
    <w:rsid w:val="00FF7CA5"/>
    <w:rsid w:val="010381B0"/>
    <w:rsid w:val="0144A2BA"/>
    <w:rsid w:val="014F175E"/>
    <w:rsid w:val="0172B6EB"/>
    <w:rsid w:val="01736BCE"/>
    <w:rsid w:val="01776BF9"/>
    <w:rsid w:val="017DE666"/>
    <w:rsid w:val="01817C8A"/>
    <w:rsid w:val="01847FF6"/>
    <w:rsid w:val="01936346"/>
    <w:rsid w:val="019F4504"/>
    <w:rsid w:val="01B03625"/>
    <w:rsid w:val="01B44C5B"/>
    <w:rsid w:val="01B4FDA8"/>
    <w:rsid w:val="01B8B046"/>
    <w:rsid w:val="01DB0F58"/>
    <w:rsid w:val="01E7B64F"/>
    <w:rsid w:val="01F18889"/>
    <w:rsid w:val="01F53497"/>
    <w:rsid w:val="0206D825"/>
    <w:rsid w:val="02204407"/>
    <w:rsid w:val="022A1079"/>
    <w:rsid w:val="02377EBE"/>
    <w:rsid w:val="023908C6"/>
    <w:rsid w:val="024A8ECE"/>
    <w:rsid w:val="0276BA7E"/>
    <w:rsid w:val="028856AA"/>
    <w:rsid w:val="0292BE41"/>
    <w:rsid w:val="02A15716"/>
    <w:rsid w:val="02A7215A"/>
    <w:rsid w:val="02B289EA"/>
    <w:rsid w:val="02BE3496"/>
    <w:rsid w:val="02D68162"/>
    <w:rsid w:val="02DC40B4"/>
    <w:rsid w:val="02E698B8"/>
    <w:rsid w:val="03063972"/>
    <w:rsid w:val="03086C74"/>
    <w:rsid w:val="0316358E"/>
    <w:rsid w:val="0318F25C"/>
    <w:rsid w:val="0339033B"/>
    <w:rsid w:val="033EA28B"/>
    <w:rsid w:val="0342ADA2"/>
    <w:rsid w:val="034BAD74"/>
    <w:rsid w:val="034F16D5"/>
    <w:rsid w:val="034F7137"/>
    <w:rsid w:val="038AA221"/>
    <w:rsid w:val="038DDC7C"/>
    <w:rsid w:val="03932884"/>
    <w:rsid w:val="0394AC54"/>
    <w:rsid w:val="0396BD80"/>
    <w:rsid w:val="039CE875"/>
    <w:rsid w:val="03A7FAC3"/>
    <w:rsid w:val="03A9163B"/>
    <w:rsid w:val="03B67C1F"/>
    <w:rsid w:val="03D57A38"/>
    <w:rsid w:val="03D7C8DE"/>
    <w:rsid w:val="03EC813B"/>
    <w:rsid w:val="03EFC2C1"/>
    <w:rsid w:val="04028C21"/>
    <w:rsid w:val="04053B9D"/>
    <w:rsid w:val="040601F3"/>
    <w:rsid w:val="0407E8D9"/>
    <w:rsid w:val="041DC346"/>
    <w:rsid w:val="0428DCFD"/>
    <w:rsid w:val="042F0F4D"/>
    <w:rsid w:val="0433FAFA"/>
    <w:rsid w:val="043D06F2"/>
    <w:rsid w:val="04424164"/>
    <w:rsid w:val="045F0D25"/>
    <w:rsid w:val="046AB84F"/>
    <w:rsid w:val="04700E66"/>
    <w:rsid w:val="047104C0"/>
    <w:rsid w:val="047FB4F0"/>
    <w:rsid w:val="048F4A40"/>
    <w:rsid w:val="04B2CC2C"/>
    <w:rsid w:val="04B84C2E"/>
    <w:rsid w:val="04B952C5"/>
    <w:rsid w:val="04D27C43"/>
    <w:rsid w:val="04DA4F67"/>
    <w:rsid w:val="04E01CE1"/>
    <w:rsid w:val="04E053B0"/>
    <w:rsid w:val="04E98712"/>
    <w:rsid w:val="04EEFA24"/>
    <w:rsid w:val="04F39370"/>
    <w:rsid w:val="04FE3926"/>
    <w:rsid w:val="051460F1"/>
    <w:rsid w:val="05224466"/>
    <w:rsid w:val="0524E8B3"/>
    <w:rsid w:val="053E88C1"/>
    <w:rsid w:val="055FFEA3"/>
    <w:rsid w:val="056F8EF1"/>
    <w:rsid w:val="057BBAC7"/>
    <w:rsid w:val="057CBB22"/>
    <w:rsid w:val="05831308"/>
    <w:rsid w:val="05910731"/>
    <w:rsid w:val="0595CB13"/>
    <w:rsid w:val="05A15D90"/>
    <w:rsid w:val="05A31865"/>
    <w:rsid w:val="05A982B1"/>
    <w:rsid w:val="05AD0E86"/>
    <w:rsid w:val="05B1E281"/>
    <w:rsid w:val="05B92B43"/>
    <w:rsid w:val="05C829C6"/>
    <w:rsid w:val="05C97889"/>
    <w:rsid w:val="05D33D15"/>
    <w:rsid w:val="05D42253"/>
    <w:rsid w:val="05E1443C"/>
    <w:rsid w:val="05E42A2E"/>
    <w:rsid w:val="05EECE2A"/>
    <w:rsid w:val="05F6859B"/>
    <w:rsid w:val="0609E30F"/>
    <w:rsid w:val="060D460D"/>
    <w:rsid w:val="06127989"/>
    <w:rsid w:val="0628D608"/>
    <w:rsid w:val="062ABA2D"/>
    <w:rsid w:val="062B3CF7"/>
    <w:rsid w:val="062E729C"/>
    <w:rsid w:val="063DB212"/>
    <w:rsid w:val="065B645E"/>
    <w:rsid w:val="06602E45"/>
    <w:rsid w:val="06622061"/>
    <w:rsid w:val="066C3650"/>
    <w:rsid w:val="066F1EEA"/>
    <w:rsid w:val="068FE349"/>
    <w:rsid w:val="06BD231D"/>
    <w:rsid w:val="06C4F9AC"/>
    <w:rsid w:val="06DB47DF"/>
    <w:rsid w:val="06E10662"/>
    <w:rsid w:val="06FEAC6F"/>
    <w:rsid w:val="070B955C"/>
    <w:rsid w:val="071024DC"/>
    <w:rsid w:val="071591D4"/>
    <w:rsid w:val="07166C37"/>
    <w:rsid w:val="07283E86"/>
    <w:rsid w:val="073F4D6D"/>
    <w:rsid w:val="075C4B8B"/>
    <w:rsid w:val="07637BE9"/>
    <w:rsid w:val="076976CF"/>
    <w:rsid w:val="076B71D6"/>
    <w:rsid w:val="07753A9E"/>
    <w:rsid w:val="07894420"/>
    <w:rsid w:val="0789BC9B"/>
    <w:rsid w:val="07914505"/>
    <w:rsid w:val="07926D4C"/>
    <w:rsid w:val="07A57452"/>
    <w:rsid w:val="07B47003"/>
    <w:rsid w:val="07BAEAD5"/>
    <w:rsid w:val="07C06450"/>
    <w:rsid w:val="07EA062F"/>
    <w:rsid w:val="07FD7D05"/>
    <w:rsid w:val="07FF2662"/>
    <w:rsid w:val="0808D41D"/>
    <w:rsid w:val="08123B74"/>
    <w:rsid w:val="081D9C47"/>
    <w:rsid w:val="083058B4"/>
    <w:rsid w:val="0834DAB6"/>
    <w:rsid w:val="083AF643"/>
    <w:rsid w:val="0848653D"/>
    <w:rsid w:val="084A4374"/>
    <w:rsid w:val="086EC26F"/>
    <w:rsid w:val="088B6C22"/>
    <w:rsid w:val="088E0B73"/>
    <w:rsid w:val="08904587"/>
    <w:rsid w:val="0892B836"/>
    <w:rsid w:val="08AC9A4B"/>
    <w:rsid w:val="08B2AEB0"/>
    <w:rsid w:val="08B62993"/>
    <w:rsid w:val="08BA3BF7"/>
    <w:rsid w:val="08BC8D30"/>
    <w:rsid w:val="08CC8DBB"/>
    <w:rsid w:val="08CC975F"/>
    <w:rsid w:val="08E43949"/>
    <w:rsid w:val="08EA355C"/>
    <w:rsid w:val="08FBC0D2"/>
    <w:rsid w:val="0900B30F"/>
    <w:rsid w:val="09019A38"/>
    <w:rsid w:val="090B057E"/>
    <w:rsid w:val="092DFE1D"/>
    <w:rsid w:val="09368C42"/>
    <w:rsid w:val="0948D9BF"/>
    <w:rsid w:val="0951F54D"/>
    <w:rsid w:val="09744310"/>
    <w:rsid w:val="097ECD5F"/>
    <w:rsid w:val="098EF276"/>
    <w:rsid w:val="09C8D10D"/>
    <w:rsid w:val="09E3D300"/>
    <w:rsid w:val="09F5F956"/>
    <w:rsid w:val="09FA3D47"/>
    <w:rsid w:val="09FC9A6E"/>
    <w:rsid w:val="09FE63E7"/>
    <w:rsid w:val="0A098F7D"/>
    <w:rsid w:val="0A1F1670"/>
    <w:rsid w:val="0A1F28D2"/>
    <w:rsid w:val="0A31DC65"/>
    <w:rsid w:val="0A34F730"/>
    <w:rsid w:val="0A71E95E"/>
    <w:rsid w:val="0A75FDA3"/>
    <w:rsid w:val="0A8E3903"/>
    <w:rsid w:val="0A9037CF"/>
    <w:rsid w:val="0A92A3B7"/>
    <w:rsid w:val="0A92B6EE"/>
    <w:rsid w:val="0A92C9F6"/>
    <w:rsid w:val="0A9D2E1F"/>
    <w:rsid w:val="0AA5B219"/>
    <w:rsid w:val="0AAE133E"/>
    <w:rsid w:val="0AB11894"/>
    <w:rsid w:val="0AB9CFBB"/>
    <w:rsid w:val="0AC812B5"/>
    <w:rsid w:val="0AC99519"/>
    <w:rsid w:val="0ACDEF3E"/>
    <w:rsid w:val="0AD1B76C"/>
    <w:rsid w:val="0AD6D562"/>
    <w:rsid w:val="0AF05D61"/>
    <w:rsid w:val="0AF262ED"/>
    <w:rsid w:val="0AF5ACFA"/>
    <w:rsid w:val="0B0A6843"/>
    <w:rsid w:val="0B0CB42F"/>
    <w:rsid w:val="0B15D6C6"/>
    <w:rsid w:val="0B49B67E"/>
    <w:rsid w:val="0B6E8C0F"/>
    <w:rsid w:val="0B72AFB9"/>
    <w:rsid w:val="0B7EA062"/>
    <w:rsid w:val="0B99461F"/>
    <w:rsid w:val="0B9B905D"/>
    <w:rsid w:val="0B9FD6E6"/>
    <w:rsid w:val="0BA3660B"/>
    <w:rsid w:val="0BA5BA0E"/>
    <w:rsid w:val="0BAB187A"/>
    <w:rsid w:val="0BB9DAB9"/>
    <w:rsid w:val="0BD49B7D"/>
    <w:rsid w:val="0BDC9EEB"/>
    <w:rsid w:val="0BDDD483"/>
    <w:rsid w:val="0BE48D89"/>
    <w:rsid w:val="0BE999CF"/>
    <w:rsid w:val="0BEF58E6"/>
    <w:rsid w:val="0BF9A1C6"/>
    <w:rsid w:val="0BFB9562"/>
    <w:rsid w:val="0C022BA7"/>
    <w:rsid w:val="0C146D35"/>
    <w:rsid w:val="0C2B90B3"/>
    <w:rsid w:val="0C43536A"/>
    <w:rsid w:val="0C4BD044"/>
    <w:rsid w:val="0C4D61F7"/>
    <w:rsid w:val="0C633BA3"/>
    <w:rsid w:val="0C6FEC55"/>
    <w:rsid w:val="0C704CC1"/>
    <w:rsid w:val="0C730565"/>
    <w:rsid w:val="0C821F01"/>
    <w:rsid w:val="0C83E9B3"/>
    <w:rsid w:val="0C954457"/>
    <w:rsid w:val="0CAAC020"/>
    <w:rsid w:val="0CB094CF"/>
    <w:rsid w:val="0CB6F2BE"/>
    <w:rsid w:val="0CBE896A"/>
    <w:rsid w:val="0CC8DE67"/>
    <w:rsid w:val="0CD26373"/>
    <w:rsid w:val="0CFB8407"/>
    <w:rsid w:val="0D0EC794"/>
    <w:rsid w:val="0D16AD59"/>
    <w:rsid w:val="0D1A70C3"/>
    <w:rsid w:val="0D3543FB"/>
    <w:rsid w:val="0D5D69BD"/>
    <w:rsid w:val="0D7996C6"/>
    <w:rsid w:val="0D7AF6B2"/>
    <w:rsid w:val="0D99545C"/>
    <w:rsid w:val="0DBC813A"/>
    <w:rsid w:val="0DC71BC2"/>
    <w:rsid w:val="0DD50E41"/>
    <w:rsid w:val="0DDF15BD"/>
    <w:rsid w:val="0DF2180B"/>
    <w:rsid w:val="0DF3B30F"/>
    <w:rsid w:val="0DFE4010"/>
    <w:rsid w:val="0E11995C"/>
    <w:rsid w:val="0E131180"/>
    <w:rsid w:val="0E2B1030"/>
    <w:rsid w:val="0E33145C"/>
    <w:rsid w:val="0E335CCC"/>
    <w:rsid w:val="0E3CDF5D"/>
    <w:rsid w:val="0E3F4930"/>
    <w:rsid w:val="0E4D2B24"/>
    <w:rsid w:val="0E4DC542"/>
    <w:rsid w:val="0E6A77EB"/>
    <w:rsid w:val="0E88C06C"/>
    <w:rsid w:val="0E977B94"/>
    <w:rsid w:val="0EA8F999"/>
    <w:rsid w:val="0EA9FCA3"/>
    <w:rsid w:val="0EBBC6BE"/>
    <w:rsid w:val="0EC87B99"/>
    <w:rsid w:val="0EE3FE7A"/>
    <w:rsid w:val="0EEB4AFA"/>
    <w:rsid w:val="0EFD0454"/>
    <w:rsid w:val="0F13519C"/>
    <w:rsid w:val="0F1A9A07"/>
    <w:rsid w:val="0F1CFA02"/>
    <w:rsid w:val="0F215349"/>
    <w:rsid w:val="0F26B40C"/>
    <w:rsid w:val="0F2F28D0"/>
    <w:rsid w:val="0F3EB4F9"/>
    <w:rsid w:val="0F45E785"/>
    <w:rsid w:val="0F5C1A3A"/>
    <w:rsid w:val="0F719B13"/>
    <w:rsid w:val="0F76EF37"/>
    <w:rsid w:val="0F8E38A9"/>
    <w:rsid w:val="0F959C75"/>
    <w:rsid w:val="0F9AEDB1"/>
    <w:rsid w:val="0F9E50F8"/>
    <w:rsid w:val="0FA57B52"/>
    <w:rsid w:val="0FAF5747"/>
    <w:rsid w:val="0FBD05C6"/>
    <w:rsid w:val="0FC947FF"/>
    <w:rsid w:val="0FF54AB1"/>
    <w:rsid w:val="0FFA4200"/>
    <w:rsid w:val="0FFBE61A"/>
    <w:rsid w:val="1000C39A"/>
    <w:rsid w:val="1006484C"/>
    <w:rsid w:val="1013FFC4"/>
    <w:rsid w:val="10143B69"/>
    <w:rsid w:val="101953B6"/>
    <w:rsid w:val="104453D1"/>
    <w:rsid w:val="10520DCA"/>
    <w:rsid w:val="10521185"/>
    <w:rsid w:val="105C6E8F"/>
    <w:rsid w:val="107BE604"/>
    <w:rsid w:val="10886BF4"/>
    <w:rsid w:val="108B756E"/>
    <w:rsid w:val="10A09FC3"/>
    <w:rsid w:val="10B1189A"/>
    <w:rsid w:val="10B827F4"/>
    <w:rsid w:val="10C680DF"/>
    <w:rsid w:val="10CFBBBC"/>
    <w:rsid w:val="10D12A20"/>
    <w:rsid w:val="10D527AA"/>
    <w:rsid w:val="10DC8BA7"/>
    <w:rsid w:val="10F6C750"/>
    <w:rsid w:val="10F955A5"/>
    <w:rsid w:val="110AD9B5"/>
    <w:rsid w:val="111823F4"/>
    <w:rsid w:val="111876DC"/>
    <w:rsid w:val="111B34F6"/>
    <w:rsid w:val="112B2DD7"/>
    <w:rsid w:val="113CF06D"/>
    <w:rsid w:val="113FA5D3"/>
    <w:rsid w:val="114014D1"/>
    <w:rsid w:val="11404BEF"/>
    <w:rsid w:val="1143D6FE"/>
    <w:rsid w:val="1162FCFC"/>
    <w:rsid w:val="116470A7"/>
    <w:rsid w:val="1173A7EA"/>
    <w:rsid w:val="1176AB05"/>
    <w:rsid w:val="11814B45"/>
    <w:rsid w:val="118E4743"/>
    <w:rsid w:val="11918279"/>
    <w:rsid w:val="11C519A0"/>
    <w:rsid w:val="11C7A6FF"/>
    <w:rsid w:val="11E38420"/>
    <w:rsid w:val="11E40829"/>
    <w:rsid w:val="11F221D9"/>
    <w:rsid w:val="11F520E7"/>
    <w:rsid w:val="11F6650F"/>
    <w:rsid w:val="1206C943"/>
    <w:rsid w:val="1208D19E"/>
    <w:rsid w:val="1216DBD2"/>
    <w:rsid w:val="1217B665"/>
    <w:rsid w:val="12236A88"/>
    <w:rsid w:val="1225922E"/>
    <w:rsid w:val="1233C9DC"/>
    <w:rsid w:val="12360D9F"/>
    <w:rsid w:val="123CCE3E"/>
    <w:rsid w:val="12465F62"/>
    <w:rsid w:val="1253EAB3"/>
    <w:rsid w:val="12590079"/>
    <w:rsid w:val="128B4042"/>
    <w:rsid w:val="128D5227"/>
    <w:rsid w:val="128D57B2"/>
    <w:rsid w:val="1296E2BD"/>
    <w:rsid w:val="12A9F954"/>
    <w:rsid w:val="12C8F80E"/>
    <w:rsid w:val="12D9B450"/>
    <w:rsid w:val="12D9DA5C"/>
    <w:rsid w:val="12DD1A7C"/>
    <w:rsid w:val="130495B8"/>
    <w:rsid w:val="130B8512"/>
    <w:rsid w:val="1317BFAB"/>
    <w:rsid w:val="131C5AB1"/>
    <w:rsid w:val="13444908"/>
    <w:rsid w:val="135CADD5"/>
    <w:rsid w:val="1365FD0D"/>
    <w:rsid w:val="136989C0"/>
    <w:rsid w:val="1387212D"/>
    <w:rsid w:val="13872A33"/>
    <w:rsid w:val="138D0DDB"/>
    <w:rsid w:val="13B8B710"/>
    <w:rsid w:val="13C04B74"/>
    <w:rsid w:val="13C4B657"/>
    <w:rsid w:val="13EFC8B6"/>
    <w:rsid w:val="14145E1F"/>
    <w:rsid w:val="14425C30"/>
    <w:rsid w:val="14679E19"/>
    <w:rsid w:val="1467D5BD"/>
    <w:rsid w:val="146FD245"/>
    <w:rsid w:val="147D1520"/>
    <w:rsid w:val="14AD27AE"/>
    <w:rsid w:val="14B1F8A2"/>
    <w:rsid w:val="14B2076D"/>
    <w:rsid w:val="14B840C2"/>
    <w:rsid w:val="14BAEF10"/>
    <w:rsid w:val="14BD54A6"/>
    <w:rsid w:val="14C1D600"/>
    <w:rsid w:val="14D7BF13"/>
    <w:rsid w:val="14D8B7E1"/>
    <w:rsid w:val="14DA40C1"/>
    <w:rsid w:val="14F9DAA8"/>
    <w:rsid w:val="14FDE511"/>
    <w:rsid w:val="15026C1A"/>
    <w:rsid w:val="150F225A"/>
    <w:rsid w:val="15214F8C"/>
    <w:rsid w:val="1543BC29"/>
    <w:rsid w:val="1547F6AA"/>
    <w:rsid w:val="156416E5"/>
    <w:rsid w:val="1595D476"/>
    <w:rsid w:val="159E5959"/>
    <w:rsid w:val="15B04BE2"/>
    <w:rsid w:val="15BE2966"/>
    <w:rsid w:val="15C2C7E4"/>
    <w:rsid w:val="15C9743F"/>
    <w:rsid w:val="15D2C933"/>
    <w:rsid w:val="15D4515F"/>
    <w:rsid w:val="15E27730"/>
    <w:rsid w:val="15E84C9A"/>
    <w:rsid w:val="15FB34AF"/>
    <w:rsid w:val="1608E1AF"/>
    <w:rsid w:val="1615925C"/>
    <w:rsid w:val="162ADC56"/>
    <w:rsid w:val="162C6AF0"/>
    <w:rsid w:val="162F7151"/>
    <w:rsid w:val="163457AE"/>
    <w:rsid w:val="163B5877"/>
    <w:rsid w:val="1647F142"/>
    <w:rsid w:val="16501D01"/>
    <w:rsid w:val="165B09AD"/>
    <w:rsid w:val="166456A4"/>
    <w:rsid w:val="167F468E"/>
    <w:rsid w:val="1682697D"/>
    <w:rsid w:val="168813ED"/>
    <w:rsid w:val="168945A9"/>
    <w:rsid w:val="168953F7"/>
    <w:rsid w:val="16A90A2A"/>
    <w:rsid w:val="16AFCB7D"/>
    <w:rsid w:val="16B3A5DC"/>
    <w:rsid w:val="16DAA0AD"/>
    <w:rsid w:val="16EC2288"/>
    <w:rsid w:val="16ECC9B8"/>
    <w:rsid w:val="16F5FCB8"/>
    <w:rsid w:val="1715CFB1"/>
    <w:rsid w:val="173A4E8E"/>
    <w:rsid w:val="1745B3E2"/>
    <w:rsid w:val="174FAA64"/>
    <w:rsid w:val="175813F7"/>
    <w:rsid w:val="1758BE16"/>
    <w:rsid w:val="175C6593"/>
    <w:rsid w:val="17A386D1"/>
    <w:rsid w:val="17ACE895"/>
    <w:rsid w:val="17B210A8"/>
    <w:rsid w:val="17B50294"/>
    <w:rsid w:val="17B515FC"/>
    <w:rsid w:val="17B9D2AF"/>
    <w:rsid w:val="17BAD966"/>
    <w:rsid w:val="17C06A61"/>
    <w:rsid w:val="17CC422D"/>
    <w:rsid w:val="17D417D0"/>
    <w:rsid w:val="17FDD6D7"/>
    <w:rsid w:val="1806684A"/>
    <w:rsid w:val="18152F66"/>
    <w:rsid w:val="182D05D1"/>
    <w:rsid w:val="182D6881"/>
    <w:rsid w:val="184ABF86"/>
    <w:rsid w:val="184F763D"/>
    <w:rsid w:val="184FE02C"/>
    <w:rsid w:val="185AB93B"/>
    <w:rsid w:val="185AF918"/>
    <w:rsid w:val="1862F188"/>
    <w:rsid w:val="186FC3D0"/>
    <w:rsid w:val="187B5CEB"/>
    <w:rsid w:val="1886BEEB"/>
    <w:rsid w:val="188CA3D8"/>
    <w:rsid w:val="1893BB38"/>
    <w:rsid w:val="18A02046"/>
    <w:rsid w:val="18A69099"/>
    <w:rsid w:val="18B7B9B2"/>
    <w:rsid w:val="18C015D5"/>
    <w:rsid w:val="18C7EE8E"/>
    <w:rsid w:val="18D13439"/>
    <w:rsid w:val="18E28510"/>
    <w:rsid w:val="18E5C195"/>
    <w:rsid w:val="18F5A24E"/>
    <w:rsid w:val="190EE778"/>
    <w:rsid w:val="191BF292"/>
    <w:rsid w:val="1928D721"/>
    <w:rsid w:val="19361FC1"/>
    <w:rsid w:val="194D2ADE"/>
    <w:rsid w:val="1968344C"/>
    <w:rsid w:val="1974B0EC"/>
    <w:rsid w:val="1978EC1E"/>
    <w:rsid w:val="199E3FB4"/>
    <w:rsid w:val="19B8914B"/>
    <w:rsid w:val="19D7817E"/>
    <w:rsid w:val="19DA7965"/>
    <w:rsid w:val="19EEEC45"/>
    <w:rsid w:val="1A12D52F"/>
    <w:rsid w:val="1A16616B"/>
    <w:rsid w:val="1A2B711F"/>
    <w:rsid w:val="1A3DC9F7"/>
    <w:rsid w:val="1A41FE56"/>
    <w:rsid w:val="1A4BFEAD"/>
    <w:rsid w:val="1A614DFF"/>
    <w:rsid w:val="1A6868D5"/>
    <w:rsid w:val="1A725AF0"/>
    <w:rsid w:val="1A81FD3F"/>
    <w:rsid w:val="1A95D9B0"/>
    <w:rsid w:val="1AA6B512"/>
    <w:rsid w:val="1ACD488F"/>
    <w:rsid w:val="1AE28926"/>
    <w:rsid w:val="1AFF1166"/>
    <w:rsid w:val="1B07CDEA"/>
    <w:rsid w:val="1B168B3D"/>
    <w:rsid w:val="1B1F3E37"/>
    <w:rsid w:val="1B227585"/>
    <w:rsid w:val="1B22D190"/>
    <w:rsid w:val="1B23B6AA"/>
    <w:rsid w:val="1B43806C"/>
    <w:rsid w:val="1B4B9FC8"/>
    <w:rsid w:val="1B5489D7"/>
    <w:rsid w:val="1B5CE8D3"/>
    <w:rsid w:val="1B779F6C"/>
    <w:rsid w:val="1B79EF18"/>
    <w:rsid w:val="1BA1AC52"/>
    <w:rsid w:val="1BA21CA5"/>
    <w:rsid w:val="1BA89F80"/>
    <w:rsid w:val="1BB4CADF"/>
    <w:rsid w:val="1BBB8F74"/>
    <w:rsid w:val="1BBC1CD8"/>
    <w:rsid w:val="1BBCBDC6"/>
    <w:rsid w:val="1BC31B03"/>
    <w:rsid w:val="1BC34BDD"/>
    <w:rsid w:val="1BC86A19"/>
    <w:rsid w:val="1BCAA290"/>
    <w:rsid w:val="1BD2CC84"/>
    <w:rsid w:val="1BD5E355"/>
    <w:rsid w:val="1BD98A2B"/>
    <w:rsid w:val="1BF519BA"/>
    <w:rsid w:val="1C046E89"/>
    <w:rsid w:val="1C27DB44"/>
    <w:rsid w:val="1C443343"/>
    <w:rsid w:val="1C4C69D1"/>
    <w:rsid w:val="1C55097F"/>
    <w:rsid w:val="1C617527"/>
    <w:rsid w:val="1C61D627"/>
    <w:rsid w:val="1C78E1B4"/>
    <w:rsid w:val="1C89954C"/>
    <w:rsid w:val="1C8C1CB2"/>
    <w:rsid w:val="1CA60C70"/>
    <w:rsid w:val="1CB0CAEB"/>
    <w:rsid w:val="1CB15F40"/>
    <w:rsid w:val="1CBE2956"/>
    <w:rsid w:val="1D089F1F"/>
    <w:rsid w:val="1D0B62D3"/>
    <w:rsid w:val="1D1316F1"/>
    <w:rsid w:val="1D1DE950"/>
    <w:rsid w:val="1D3F0DD8"/>
    <w:rsid w:val="1D423D45"/>
    <w:rsid w:val="1D51894B"/>
    <w:rsid w:val="1D85FF9A"/>
    <w:rsid w:val="1D9A75F3"/>
    <w:rsid w:val="1DB76C3D"/>
    <w:rsid w:val="1DB8D5C7"/>
    <w:rsid w:val="1DBE257C"/>
    <w:rsid w:val="1DE6B6AD"/>
    <w:rsid w:val="1E2158AB"/>
    <w:rsid w:val="1E2FABE5"/>
    <w:rsid w:val="1E4D2C5B"/>
    <w:rsid w:val="1E65116F"/>
    <w:rsid w:val="1E6A5526"/>
    <w:rsid w:val="1E831B24"/>
    <w:rsid w:val="1E84B62E"/>
    <w:rsid w:val="1EBE9227"/>
    <w:rsid w:val="1EDBF133"/>
    <w:rsid w:val="1EDD4A7E"/>
    <w:rsid w:val="1EE0B86B"/>
    <w:rsid w:val="1EE8FC73"/>
    <w:rsid w:val="1EE91AF5"/>
    <w:rsid w:val="1EEA03AB"/>
    <w:rsid w:val="1EF43D4F"/>
    <w:rsid w:val="1EF808E8"/>
    <w:rsid w:val="1EFDA54A"/>
    <w:rsid w:val="1EFE26F3"/>
    <w:rsid w:val="1F02CE2F"/>
    <w:rsid w:val="1F1088EA"/>
    <w:rsid w:val="1F16E0A8"/>
    <w:rsid w:val="1F1EBD21"/>
    <w:rsid w:val="1F21055F"/>
    <w:rsid w:val="1F2371A0"/>
    <w:rsid w:val="1F5F2285"/>
    <w:rsid w:val="1F663454"/>
    <w:rsid w:val="1F96600F"/>
    <w:rsid w:val="1FA48973"/>
    <w:rsid w:val="1FA73D73"/>
    <w:rsid w:val="1FB1E20B"/>
    <w:rsid w:val="1FB5390B"/>
    <w:rsid w:val="1FC25BEE"/>
    <w:rsid w:val="1FE644E5"/>
    <w:rsid w:val="1FF0268C"/>
    <w:rsid w:val="2004A488"/>
    <w:rsid w:val="2006E063"/>
    <w:rsid w:val="202358EE"/>
    <w:rsid w:val="205A3E4C"/>
    <w:rsid w:val="205E78FE"/>
    <w:rsid w:val="205FC649"/>
    <w:rsid w:val="20676C01"/>
    <w:rsid w:val="20937520"/>
    <w:rsid w:val="20960057"/>
    <w:rsid w:val="20A34400"/>
    <w:rsid w:val="20A91764"/>
    <w:rsid w:val="20C96E1E"/>
    <w:rsid w:val="20D5C4A4"/>
    <w:rsid w:val="20DE3B00"/>
    <w:rsid w:val="20DE6F46"/>
    <w:rsid w:val="20E28B75"/>
    <w:rsid w:val="20E30BDB"/>
    <w:rsid w:val="20E35F2C"/>
    <w:rsid w:val="20E55E2B"/>
    <w:rsid w:val="2112479D"/>
    <w:rsid w:val="2134E51B"/>
    <w:rsid w:val="2148C83E"/>
    <w:rsid w:val="214A37C4"/>
    <w:rsid w:val="21738918"/>
    <w:rsid w:val="2178435B"/>
    <w:rsid w:val="217F5C63"/>
    <w:rsid w:val="2186ADD4"/>
    <w:rsid w:val="2187E9A1"/>
    <w:rsid w:val="21951CD6"/>
    <w:rsid w:val="219D4B64"/>
    <w:rsid w:val="219EF51E"/>
    <w:rsid w:val="21C3CB5B"/>
    <w:rsid w:val="21C64C99"/>
    <w:rsid w:val="21C664B9"/>
    <w:rsid w:val="21CF1769"/>
    <w:rsid w:val="21D13398"/>
    <w:rsid w:val="21DE9F5E"/>
    <w:rsid w:val="2206A04D"/>
    <w:rsid w:val="2213FCE2"/>
    <w:rsid w:val="2221561F"/>
    <w:rsid w:val="223F11DB"/>
    <w:rsid w:val="223FECE1"/>
    <w:rsid w:val="2246316E"/>
    <w:rsid w:val="224B6342"/>
    <w:rsid w:val="224E8A7A"/>
    <w:rsid w:val="225B9454"/>
    <w:rsid w:val="22647976"/>
    <w:rsid w:val="2271A472"/>
    <w:rsid w:val="227B3928"/>
    <w:rsid w:val="227C1EF7"/>
    <w:rsid w:val="2287E238"/>
    <w:rsid w:val="2287E90A"/>
    <w:rsid w:val="229262F9"/>
    <w:rsid w:val="229E6D0C"/>
    <w:rsid w:val="22A2BC98"/>
    <w:rsid w:val="22A49E16"/>
    <w:rsid w:val="22A705C0"/>
    <w:rsid w:val="22AFD32F"/>
    <w:rsid w:val="22BD8367"/>
    <w:rsid w:val="22D0C715"/>
    <w:rsid w:val="22E5B4FB"/>
    <w:rsid w:val="22E72FDC"/>
    <w:rsid w:val="22ED0E55"/>
    <w:rsid w:val="22FB5E36"/>
    <w:rsid w:val="230E0B4A"/>
    <w:rsid w:val="2318151B"/>
    <w:rsid w:val="231ED21F"/>
    <w:rsid w:val="2332C5D2"/>
    <w:rsid w:val="2333B70A"/>
    <w:rsid w:val="234C4CC8"/>
    <w:rsid w:val="236EA34E"/>
    <w:rsid w:val="2382773B"/>
    <w:rsid w:val="238DE85C"/>
    <w:rsid w:val="23909026"/>
    <w:rsid w:val="239228E4"/>
    <w:rsid w:val="2392A021"/>
    <w:rsid w:val="239C2AAB"/>
    <w:rsid w:val="239F0CC3"/>
    <w:rsid w:val="23AA91C5"/>
    <w:rsid w:val="23AB6822"/>
    <w:rsid w:val="23C001DC"/>
    <w:rsid w:val="23C1EDD2"/>
    <w:rsid w:val="23E3E0E5"/>
    <w:rsid w:val="23E5CD54"/>
    <w:rsid w:val="23F5E1A8"/>
    <w:rsid w:val="23FFFF85"/>
    <w:rsid w:val="2416740C"/>
    <w:rsid w:val="24207FCF"/>
    <w:rsid w:val="2421FBC8"/>
    <w:rsid w:val="2423D7F7"/>
    <w:rsid w:val="242BF1EA"/>
    <w:rsid w:val="24509679"/>
    <w:rsid w:val="2476C23D"/>
    <w:rsid w:val="2482168F"/>
    <w:rsid w:val="2484CC62"/>
    <w:rsid w:val="248AA884"/>
    <w:rsid w:val="249C1450"/>
    <w:rsid w:val="24BC6911"/>
    <w:rsid w:val="24CC8E8F"/>
    <w:rsid w:val="24D22D41"/>
    <w:rsid w:val="24E2345E"/>
    <w:rsid w:val="250776AA"/>
    <w:rsid w:val="2508734A"/>
    <w:rsid w:val="251B86F4"/>
    <w:rsid w:val="2529351C"/>
    <w:rsid w:val="2535672E"/>
    <w:rsid w:val="25486BD7"/>
    <w:rsid w:val="254C822A"/>
    <w:rsid w:val="2553CAF7"/>
    <w:rsid w:val="256B4637"/>
    <w:rsid w:val="256E7D9B"/>
    <w:rsid w:val="2577FF43"/>
    <w:rsid w:val="258C0682"/>
    <w:rsid w:val="2590FE32"/>
    <w:rsid w:val="25AF8499"/>
    <w:rsid w:val="25B89AE5"/>
    <w:rsid w:val="25CC75B3"/>
    <w:rsid w:val="25D6B8FC"/>
    <w:rsid w:val="25DA23BA"/>
    <w:rsid w:val="25DB3DC6"/>
    <w:rsid w:val="25E6DC79"/>
    <w:rsid w:val="25E8D057"/>
    <w:rsid w:val="25EFA853"/>
    <w:rsid w:val="25F604B8"/>
    <w:rsid w:val="2600548F"/>
    <w:rsid w:val="26176B4F"/>
    <w:rsid w:val="262E4640"/>
    <w:rsid w:val="2653A66E"/>
    <w:rsid w:val="2666B6DA"/>
    <w:rsid w:val="266A9FFB"/>
    <w:rsid w:val="2676A858"/>
    <w:rsid w:val="2678900E"/>
    <w:rsid w:val="26789C1E"/>
    <w:rsid w:val="26A3470B"/>
    <w:rsid w:val="26B36D1D"/>
    <w:rsid w:val="26C821B1"/>
    <w:rsid w:val="26C9E06C"/>
    <w:rsid w:val="26DC87F7"/>
    <w:rsid w:val="26E06A2B"/>
    <w:rsid w:val="26EB32F4"/>
    <w:rsid w:val="26F3E9AC"/>
    <w:rsid w:val="26F5CEBC"/>
    <w:rsid w:val="26FDB2AB"/>
    <w:rsid w:val="2705F1AC"/>
    <w:rsid w:val="27130328"/>
    <w:rsid w:val="271386ED"/>
    <w:rsid w:val="272947E3"/>
    <w:rsid w:val="272A7637"/>
    <w:rsid w:val="27372557"/>
    <w:rsid w:val="273C8519"/>
    <w:rsid w:val="273DA4B7"/>
    <w:rsid w:val="2740FFF7"/>
    <w:rsid w:val="27457AC8"/>
    <w:rsid w:val="274995A9"/>
    <w:rsid w:val="2751D7FF"/>
    <w:rsid w:val="2764C715"/>
    <w:rsid w:val="27678F3F"/>
    <w:rsid w:val="2772D5CD"/>
    <w:rsid w:val="2782ED86"/>
    <w:rsid w:val="27857B5E"/>
    <w:rsid w:val="2799A1EE"/>
    <w:rsid w:val="279A9654"/>
    <w:rsid w:val="27B7E1FB"/>
    <w:rsid w:val="27BCAC97"/>
    <w:rsid w:val="27BD43FB"/>
    <w:rsid w:val="27D12A23"/>
    <w:rsid w:val="27D3C95C"/>
    <w:rsid w:val="27EDE913"/>
    <w:rsid w:val="28015498"/>
    <w:rsid w:val="2803DFA3"/>
    <w:rsid w:val="280BE63E"/>
    <w:rsid w:val="28110950"/>
    <w:rsid w:val="2816DF3E"/>
    <w:rsid w:val="282167B2"/>
    <w:rsid w:val="28470977"/>
    <w:rsid w:val="2865FEC7"/>
    <w:rsid w:val="286AD4F4"/>
    <w:rsid w:val="286ECD9D"/>
    <w:rsid w:val="28735ED1"/>
    <w:rsid w:val="28B08503"/>
    <w:rsid w:val="28B1E358"/>
    <w:rsid w:val="28B515FD"/>
    <w:rsid w:val="28CD5882"/>
    <w:rsid w:val="28D11472"/>
    <w:rsid w:val="28D27F45"/>
    <w:rsid w:val="28D3BF75"/>
    <w:rsid w:val="29076BC6"/>
    <w:rsid w:val="2911C68A"/>
    <w:rsid w:val="291510CD"/>
    <w:rsid w:val="29265223"/>
    <w:rsid w:val="2934ABBD"/>
    <w:rsid w:val="293567AD"/>
    <w:rsid w:val="294261CD"/>
    <w:rsid w:val="2953820D"/>
    <w:rsid w:val="295BD254"/>
    <w:rsid w:val="29668935"/>
    <w:rsid w:val="296F99BD"/>
    <w:rsid w:val="29792EE0"/>
    <w:rsid w:val="29837D00"/>
    <w:rsid w:val="29850DB3"/>
    <w:rsid w:val="298CFEFA"/>
    <w:rsid w:val="2994F981"/>
    <w:rsid w:val="29971C52"/>
    <w:rsid w:val="29A10946"/>
    <w:rsid w:val="29B10874"/>
    <w:rsid w:val="29B56464"/>
    <w:rsid w:val="29B57F52"/>
    <w:rsid w:val="29B80C3F"/>
    <w:rsid w:val="29D3A347"/>
    <w:rsid w:val="29D8AB04"/>
    <w:rsid w:val="29FAD0AE"/>
    <w:rsid w:val="29FB4D15"/>
    <w:rsid w:val="2A01EAB0"/>
    <w:rsid w:val="2A0466B6"/>
    <w:rsid w:val="2A17051B"/>
    <w:rsid w:val="2A25D94F"/>
    <w:rsid w:val="2A2984D1"/>
    <w:rsid w:val="2A29A207"/>
    <w:rsid w:val="2A3112C0"/>
    <w:rsid w:val="2A42B2EA"/>
    <w:rsid w:val="2A442BC9"/>
    <w:rsid w:val="2A610C38"/>
    <w:rsid w:val="2A6C6E3D"/>
    <w:rsid w:val="2A92C535"/>
    <w:rsid w:val="2A9B0B95"/>
    <w:rsid w:val="2AB217A5"/>
    <w:rsid w:val="2AB78202"/>
    <w:rsid w:val="2AC2A033"/>
    <w:rsid w:val="2AD2AA33"/>
    <w:rsid w:val="2ADF500C"/>
    <w:rsid w:val="2AF48E60"/>
    <w:rsid w:val="2AF5A5A5"/>
    <w:rsid w:val="2B198452"/>
    <w:rsid w:val="2B1C21E0"/>
    <w:rsid w:val="2B3DC536"/>
    <w:rsid w:val="2B40E2E0"/>
    <w:rsid w:val="2B61C39A"/>
    <w:rsid w:val="2B66F6EF"/>
    <w:rsid w:val="2B707706"/>
    <w:rsid w:val="2B9B8146"/>
    <w:rsid w:val="2B9E33F7"/>
    <w:rsid w:val="2B9FA194"/>
    <w:rsid w:val="2BAFF91A"/>
    <w:rsid w:val="2BC8A867"/>
    <w:rsid w:val="2BCA1A9C"/>
    <w:rsid w:val="2BE633CA"/>
    <w:rsid w:val="2BE6F810"/>
    <w:rsid w:val="2BF205CD"/>
    <w:rsid w:val="2C0C7B85"/>
    <w:rsid w:val="2C1B35BB"/>
    <w:rsid w:val="2C1C8383"/>
    <w:rsid w:val="2C1EEE56"/>
    <w:rsid w:val="2C206A2A"/>
    <w:rsid w:val="2C20C3EC"/>
    <w:rsid w:val="2C22EA30"/>
    <w:rsid w:val="2C3FC424"/>
    <w:rsid w:val="2C4493D8"/>
    <w:rsid w:val="2C5033D8"/>
    <w:rsid w:val="2C529645"/>
    <w:rsid w:val="2C62CB6B"/>
    <w:rsid w:val="2C71A4A4"/>
    <w:rsid w:val="2C8596AF"/>
    <w:rsid w:val="2C8B50AA"/>
    <w:rsid w:val="2C8BB89D"/>
    <w:rsid w:val="2C9F230D"/>
    <w:rsid w:val="2CB5E808"/>
    <w:rsid w:val="2CE6E8C8"/>
    <w:rsid w:val="2CE8441F"/>
    <w:rsid w:val="2CF9938E"/>
    <w:rsid w:val="2D03298A"/>
    <w:rsid w:val="2D079923"/>
    <w:rsid w:val="2D07A324"/>
    <w:rsid w:val="2D0C19AE"/>
    <w:rsid w:val="2D0C2517"/>
    <w:rsid w:val="2D275C6A"/>
    <w:rsid w:val="2D4BD535"/>
    <w:rsid w:val="2D50E72B"/>
    <w:rsid w:val="2D5D7A11"/>
    <w:rsid w:val="2D5F6C8A"/>
    <w:rsid w:val="2D7042BA"/>
    <w:rsid w:val="2D727861"/>
    <w:rsid w:val="2D780D62"/>
    <w:rsid w:val="2D7CFCB4"/>
    <w:rsid w:val="2DB97AA3"/>
    <w:rsid w:val="2DC4017E"/>
    <w:rsid w:val="2E022E7B"/>
    <w:rsid w:val="2E2AD818"/>
    <w:rsid w:val="2E46D4BD"/>
    <w:rsid w:val="2E4EBBF0"/>
    <w:rsid w:val="2E590A08"/>
    <w:rsid w:val="2E60405F"/>
    <w:rsid w:val="2E69F3DB"/>
    <w:rsid w:val="2E77C756"/>
    <w:rsid w:val="2E9C572F"/>
    <w:rsid w:val="2E9D9C69"/>
    <w:rsid w:val="2EC122BF"/>
    <w:rsid w:val="2EC27F9E"/>
    <w:rsid w:val="2ED2D6E0"/>
    <w:rsid w:val="2ED54CA0"/>
    <w:rsid w:val="2EE30710"/>
    <w:rsid w:val="2EE3688C"/>
    <w:rsid w:val="2EF5EA78"/>
    <w:rsid w:val="2F016CEB"/>
    <w:rsid w:val="2F16240D"/>
    <w:rsid w:val="2F30E6A9"/>
    <w:rsid w:val="2F3D294E"/>
    <w:rsid w:val="2F3EBF76"/>
    <w:rsid w:val="2F41CD23"/>
    <w:rsid w:val="2F6A5D95"/>
    <w:rsid w:val="2F7CB6E3"/>
    <w:rsid w:val="2F918BE1"/>
    <w:rsid w:val="2F9C9727"/>
    <w:rsid w:val="2F9E5C47"/>
    <w:rsid w:val="2FABC67E"/>
    <w:rsid w:val="2FD4FA03"/>
    <w:rsid w:val="2FD6167F"/>
    <w:rsid w:val="2FD99627"/>
    <w:rsid w:val="2FD9B26E"/>
    <w:rsid w:val="300DEA02"/>
    <w:rsid w:val="301E40AF"/>
    <w:rsid w:val="30215AA2"/>
    <w:rsid w:val="3033A273"/>
    <w:rsid w:val="303B05F4"/>
    <w:rsid w:val="30512C48"/>
    <w:rsid w:val="30540A8D"/>
    <w:rsid w:val="3056B432"/>
    <w:rsid w:val="3059F4DF"/>
    <w:rsid w:val="305E97B0"/>
    <w:rsid w:val="305F438C"/>
    <w:rsid w:val="30619CAA"/>
    <w:rsid w:val="3070ABEC"/>
    <w:rsid w:val="3070DA9E"/>
    <w:rsid w:val="30797569"/>
    <w:rsid w:val="3082EBA5"/>
    <w:rsid w:val="3088FCD5"/>
    <w:rsid w:val="3089D449"/>
    <w:rsid w:val="309439B7"/>
    <w:rsid w:val="30A24031"/>
    <w:rsid w:val="30B47BD4"/>
    <w:rsid w:val="30CDD7DC"/>
    <w:rsid w:val="30D3D720"/>
    <w:rsid w:val="30D5253B"/>
    <w:rsid w:val="30D53FEE"/>
    <w:rsid w:val="30DDBF12"/>
    <w:rsid w:val="30E25998"/>
    <w:rsid w:val="3106F39C"/>
    <w:rsid w:val="310D6756"/>
    <w:rsid w:val="310E486E"/>
    <w:rsid w:val="31100C44"/>
    <w:rsid w:val="31188744"/>
    <w:rsid w:val="311E5C44"/>
    <w:rsid w:val="315AA106"/>
    <w:rsid w:val="315F28EB"/>
    <w:rsid w:val="3169A0F8"/>
    <w:rsid w:val="317C19C8"/>
    <w:rsid w:val="319789B0"/>
    <w:rsid w:val="31996AC3"/>
    <w:rsid w:val="31A0CDDF"/>
    <w:rsid w:val="31A4D260"/>
    <w:rsid w:val="31A72536"/>
    <w:rsid w:val="31B52086"/>
    <w:rsid w:val="31C18344"/>
    <w:rsid w:val="31CE6668"/>
    <w:rsid w:val="31E36B04"/>
    <w:rsid w:val="31EE198F"/>
    <w:rsid w:val="31F4CBB8"/>
    <w:rsid w:val="3208E9A8"/>
    <w:rsid w:val="32119ADF"/>
    <w:rsid w:val="32151C1C"/>
    <w:rsid w:val="32186FB4"/>
    <w:rsid w:val="322B8CAA"/>
    <w:rsid w:val="3240B3C0"/>
    <w:rsid w:val="3244A95F"/>
    <w:rsid w:val="3245F178"/>
    <w:rsid w:val="324B4933"/>
    <w:rsid w:val="324EF676"/>
    <w:rsid w:val="325F89C6"/>
    <w:rsid w:val="32637FF8"/>
    <w:rsid w:val="3270A6C7"/>
    <w:rsid w:val="327381C6"/>
    <w:rsid w:val="3278E657"/>
    <w:rsid w:val="3281365C"/>
    <w:rsid w:val="3285A17D"/>
    <w:rsid w:val="329B84CD"/>
    <w:rsid w:val="329BF9D1"/>
    <w:rsid w:val="32B0FBB3"/>
    <w:rsid w:val="32BDB005"/>
    <w:rsid w:val="32C14E1A"/>
    <w:rsid w:val="32E63C0C"/>
    <w:rsid w:val="32EBBE0D"/>
    <w:rsid w:val="32EF70E3"/>
    <w:rsid w:val="32F1F584"/>
    <w:rsid w:val="330DC856"/>
    <w:rsid w:val="33110FAB"/>
    <w:rsid w:val="33111589"/>
    <w:rsid w:val="3313F384"/>
    <w:rsid w:val="332545F6"/>
    <w:rsid w:val="332B1B4C"/>
    <w:rsid w:val="332B7BA2"/>
    <w:rsid w:val="3333F723"/>
    <w:rsid w:val="333E9A7C"/>
    <w:rsid w:val="333F4279"/>
    <w:rsid w:val="33454374"/>
    <w:rsid w:val="33469520"/>
    <w:rsid w:val="335349D8"/>
    <w:rsid w:val="3364F936"/>
    <w:rsid w:val="33652470"/>
    <w:rsid w:val="337A9A48"/>
    <w:rsid w:val="338D3EF4"/>
    <w:rsid w:val="33957E04"/>
    <w:rsid w:val="33A0B96C"/>
    <w:rsid w:val="33A20A9B"/>
    <w:rsid w:val="33ADC15F"/>
    <w:rsid w:val="33C5FE51"/>
    <w:rsid w:val="33CDB8F0"/>
    <w:rsid w:val="33DA46AC"/>
    <w:rsid w:val="33E1BE0D"/>
    <w:rsid w:val="3412C408"/>
    <w:rsid w:val="3413CCF3"/>
    <w:rsid w:val="34296F68"/>
    <w:rsid w:val="342A17F4"/>
    <w:rsid w:val="3436C098"/>
    <w:rsid w:val="343EEC8D"/>
    <w:rsid w:val="345DC259"/>
    <w:rsid w:val="346359B9"/>
    <w:rsid w:val="347795B8"/>
    <w:rsid w:val="3488F559"/>
    <w:rsid w:val="348C8121"/>
    <w:rsid w:val="34AF744C"/>
    <w:rsid w:val="34B07CA2"/>
    <w:rsid w:val="34D12923"/>
    <w:rsid w:val="34E3CF92"/>
    <w:rsid w:val="34E5A051"/>
    <w:rsid w:val="34E8F334"/>
    <w:rsid w:val="3504DFE1"/>
    <w:rsid w:val="350A164B"/>
    <w:rsid w:val="350F7CB4"/>
    <w:rsid w:val="351078D3"/>
    <w:rsid w:val="35152690"/>
    <w:rsid w:val="351B8F88"/>
    <w:rsid w:val="351E862C"/>
    <w:rsid w:val="352A9553"/>
    <w:rsid w:val="354FAAFD"/>
    <w:rsid w:val="3554ED7A"/>
    <w:rsid w:val="35959EDD"/>
    <w:rsid w:val="35A7BD13"/>
    <w:rsid w:val="35C220EB"/>
    <w:rsid w:val="35C34CCB"/>
    <w:rsid w:val="35C89C37"/>
    <w:rsid w:val="35E06251"/>
    <w:rsid w:val="35E8CBA4"/>
    <w:rsid w:val="35E9D357"/>
    <w:rsid w:val="35F48979"/>
    <w:rsid w:val="35F5C658"/>
    <w:rsid w:val="35FCF050"/>
    <w:rsid w:val="360ED657"/>
    <w:rsid w:val="36193C4D"/>
    <w:rsid w:val="3641757C"/>
    <w:rsid w:val="3648DB9B"/>
    <w:rsid w:val="365BE790"/>
    <w:rsid w:val="367AEA9D"/>
    <w:rsid w:val="367E35E2"/>
    <w:rsid w:val="36800E98"/>
    <w:rsid w:val="3699D397"/>
    <w:rsid w:val="36A96BC4"/>
    <w:rsid w:val="36AF43B7"/>
    <w:rsid w:val="36C2EB46"/>
    <w:rsid w:val="36C8B427"/>
    <w:rsid w:val="36CA7457"/>
    <w:rsid w:val="36D0A048"/>
    <w:rsid w:val="36D31E99"/>
    <w:rsid w:val="36DFED70"/>
    <w:rsid w:val="36EE778A"/>
    <w:rsid w:val="36F6979E"/>
    <w:rsid w:val="371CBAD1"/>
    <w:rsid w:val="371D9469"/>
    <w:rsid w:val="37516846"/>
    <w:rsid w:val="3757C8A4"/>
    <w:rsid w:val="3764FA2D"/>
    <w:rsid w:val="37806688"/>
    <w:rsid w:val="378D2990"/>
    <w:rsid w:val="379059DA"/>
    <w:rsid w:val="3790CDB5"/>
    <w:rsid w:val="379136F5"/>
    <w:rsid w:val="3792BF65"/>
    <w:rsid w:val="379A8AAC"/>
    <w:rsid w:val="379BBDA1"/>
    <w:rsid w:val="379E61D2"/>
    <w:rsid w:val="37B15414"/>
    <w:rsid w:val="37B1D14F"/>
    <w:rsid w:val="37C00E66"/>
    <w:rsid w:val="37C56E2F"/>
    <w:rsid w:val="37C818CA"/>
    <w:rsid w:val="37D238CA"/>
    <w:rsid w:val="37D3B063"/>
    <w:rsid w:val="37D428AD"/>
    <w:rsid w:val="37D9760D"/>
    <w:rsid w:val="38054791"/>
    <w:rsid w:val="3818BDD4"/>
    <w:rsid w:val="383F06F3"/>
    <w:rsid w:val="385DD030"/>
    <w:rsid w:val="38752F91"/>
    <w:rsid w:val="38835B1A"/>
    <w:rsid w:val="388BFA37"/>
    <w:rsid w:val="38989BE3"/>
    <w:rsid w:val="38A204A6"/>
    <w:rsid w:val="38BA6BAE"/>
    <w:rsid w:val="38BC41AB"/>
    <w:rsid w:val="38D13406"/>
    <w:rsid w:val="38E04468"/>
    <w:rsid w:val="38E5704E"/>
    <w:rsid w:val="38F7EBF2"/>
    <w:rsid w:val="38FEBEEC"/>
    <w:rsid w:val="391BAE97"/>
    <w:rsid w:val="392428C7"/>
    <w:rsid w:val="3934F6B4"/>
    <w:rsid w:val="3937FD38"/>
    <w:rsid w:val="3944A5CB"/>
    <w:rsid w:val="397DE6F8"/>
    <w:rsid w:val="398AEC7E"/>
    <w:rsid w:val="399AD00B"/>
    <w:rsid w:val="399CE2AF"/>
    <w:rsid w:val="39AB58C7"/>
    <w:rsid w:val="39AF8C45"/>
    <w:rsid w:val="39E3A05D"/>
    <w:rsid w:val="39E825C2"/>
    <w:rsid w:val="39FC8047"/>
    <w:rsid w:val="3A0C9F67"/>
    <w:rsid w:val="3A175C1C"/>
    <w:rsid w:val="3A18E39A"/>
    <w:rsid w:val="3A202F10"/>
    <w:rsid w:val="3A22D4BC"/>
    <w:rsid w:val="3A23F03C"/>
    <w:rsid w:val="3A2A1E28"/>
    <w:rsid w:val="3A35C51B"/>
    <w:rsid w:val="3A3F22F7"/>
    <w:rsid w:val="3A3FACEC"/>
    <w:rsid w:val="3A69701D"/>
    <w:rsid w:val="3A733EA7"/>
    <w:rsid w:val="3A8D92C2"/>
    <w:rsid w:val="3A8DB45D"/>
    <w:rsid w:val="3A90708D"/>
    <w:rsid w:val="3AA4B567"/>
    <w:rsid w:val="3AA56D21"/>
    <w:rsid w:val="3AA717A0"/>
    <w:rsid w:val="3AA92D69"/>
    <w:rsid w:val="3AAF5C01"/>
    <w:rsid w:val="3AB4E30D"/>
    <w:rsid w:val="3ABBFA42"/>
    <w:rsid w:val="3AC6277C"/>
    <w:rsid w:val="3AD16925"/>
    <w:rsid w:val="3AD3520B"/>
    <w:rsid w:val="3AE52984"/>
    <w:rsid w:val="3AEA2BA6"/>
    <w:rsid w:val="3AEC8F25"/>
    <w:rsid w:val="3B058EC7"/>
    <w:rsid w:val="3B0C1423"/>
    <w:rsid w:val="3B0CA089"/>
    <w:rsid w:val="3B1B29C8"/>
    <w:rsid w:val="3B49793E"/>
    <w:rsid w:val="3B565465"/>
    <w:rsid w:val="3B5F826C"/>
    <w:rsid w:val="3B5F90B8"/>
    <w:rsid w:val="3B6183F6"/>
    <w:rsid w:val="3B660C8B"/>
    <w:rsid w:val="3B6BC1CD"/>
    <w:rsid w:val="3B7040E7"/>
    <w:rsid w:val="3B7FCF87"/>
    <w:rsid w:val="3B8B0B2D"/>
    <w:rsid w:val="3B928CB5"/>
    <w:rsid w:val="3B92EA5A"/>
    <w:rsid w:val="3B9802B1"/>
    <w:rsid w:val="3B98BC83"/>
    <w:rsid w:val="3BA56F5C"/>
    <w:rsid w:val="3BBE4A34"/>
    <w:rsid w:val="3BC8F13E"/>
    <w:rsid w:val="3BF1F730"/>
    <w:rsid w:val="3C1ADF2C"/>
    <w:rsid w:val="3C1B7CB6"/>
    <w:rsid w:val="3C2C53A9"/>
    <w:rsid w:val="3C46C2E3"/>
    <w:rsid w:val="3C4761F1"/>
    <w:rsid w:val="3C6C06C3"/>
    <w:rsid w:val="3C771AE1"/>
    <w:rsid w:val="3C965EB1"/>
    <w:rsid w:val="3C977872"/>
    <w:rsid w:val="3CAB6CB3"/>
    <w:rsid w:val="3CAFCB95"/>
    <w:rsid w:val="3CBD5E49"/>
    <w:rsid w:val="3CC6CFCD"/>
    <w:rsid w:val="3CCC495E"/>
    <w:rsid w:val="3CE48C5D"/>
    <w:rsid w:val="3CEA2F75"/>
    <w:rsid w:val="3D012648"/>
    <w:rsid w:val="3D050D7B"/>
    <w:rsid w:val="3D0ACF96"/>
    <w:rsid w:val="3D18CF32"/>
    <w:rsid w:val="3D366A36"/>
    <w:rsid w:val="3D3EEC0C"/>
    <w:rsid w:val="3D4560BD"/>
    <w:rsid w:val="3D5399D7"/>
    <w:rsid w:val="3D77871B"/>
    <w:rsid w:val="3D8A82E3"/>
    <w:rsid w:val="3D8A896F"/>
    <w:rsid w:val="3DA56FA9"/>
    <w:rsid w:val="3DA5C15A"/>
    <w:rsid w:val="3DBDC020"/>
    <w:rsid w:val="3DC89AEC"/>
    <w:rsid w:val="3DCE734B"/>
    <w:rsid w:val="3DDDC470"/>
    <w:rsid w:val="3DEC1376"/>
    <w:rsid w:val="3E1DDDD1"/>
    <w:rsid w:val="3E2D1390"/>
    <w:rsid w:val="3E2D3FBF"/>
    <w:rsid w:val="3E33B336"/>
    <w:rsid w:val="3E34FBB7"/>
    <w:rsid w:val="3E387F92"/>
    <w:rsid w:val="3E71897B"/>
    <w:rsid w:val="3E7CC21F"/>
    <w:rsid w:val="3E81C8A6"/>
    <w:rsid w:val="3E825A82"/>
    <w:rsid w:val="3E8947C7"/>
    <w:rsid w:val="3E8D92E3"/>
    <w:rsid w:val="3E8FC778"/>
    <w:rsid w:val="3E994F3D"/>
    <w:rsid w:val="3E9B2E54"/>
    <w:rsid w:val="3EAEA848"/>
    <w:rsid w:val="3EE8624D"/>
    <w:rsid w:val="3EF171BB"/>
    <w:rsid w:val="3F091A31"/>
    <w:rsid w:val="3F1022BB"/>
    <w:rsid w:val="3F15A6E0"/>
    <w:rsid w:val="3F1D07E0"/>
    <w:rsid w:val="3F24C8F2"/>
    <w:rsid w:val="3F2504A7"/>
    <w:rsid w:val="3F289E76"/>
    <w:rsid w:val="3F3DB112"/>
    <w:rsid w:val="3F44548D"/>
    <w:rsid w:val="3F4EDBB9"/>
    <w:rsid w:val="3F576582"/>
    <w:rsid w:val="3F58B5C4"/>
    <w:rsid w:val="3F757355"/>
    <w:rsid w:val="3F957636"/>
    <w:rsid w:val="3F95A247"/>
    <w:rsid w:val="3FAEB479"/>
    <w:rsid w:val="3FB2B088"/>
    <w:rsid w:val="3FBD44DF"/>
    <w:rsid w:val="3FC17BAA"/>
    <w:rsid w:val="3FC55015"/>
    <w:rsid w:val="3FD600DC"/>
    <w:rsid w:val="3FDBE4CC"/>
    <w:rsid w:val="3FE8F476"/>
    <w:rsid w:val="3FF3CF0F"/>
    <w:rsid w:val="4013C1BB"/>
    <w:rsid w:val="401877F5"/>
    <w:rsid w:val="4023C5DB"/>
    <w:rsid w:val="4041BA54"/>
    <w:rsid w:val="40425028"/>
    <w:rsid w:val="40430C5B"/>
    <w:rsid w:val="4048D82F"/>
    <w:rsid w:val="40522F5B"/>
    <w:rsid w:val="4054EE3B"/>
    <w:rsid w:val="40613CAC"/>
    <w:rsid w:val="40906642"/>
    <w:rsid w:val="409468F3"/>
    <w:rsid w:val="40B0B6ED"/>
    <w:rsid w:val="40BB3759"/>
    <w:rsid w:val="40C70A0B"/>
    <w:rsid w:val="4105717F"/>
    <w:rsid w:val="41059E48"/>
    <w:rsid w:val="4116760C"/>
    <w:rsid w:val="4119D2C9"/>
    <w:rsid w:val="4125A6B4"/>
    <w:rsid w:val="4126421C"/>
    <w:rsid w:val="4128D877"/>
    <w:rsid w:val="41396B08"/>
    <w:rsid w:val="413D1F71"/>
    <w:rsid w:val="41480581"/>
    <w:rsid w:val="415550B0"/>
    <w:rsid w:val="415F914F"/>
    <w:rsid w:val="41872816"/>
    <w:rsid w:val="41957908"/>
    <w:rsid w:val="41A0D97E"/>
    <w:rsid w:val="41A37E1C"/>
    <w:rsid w:val="41AE1022"/>
    <w:rsid w:val="41C69C78"/>
    <w:rsid w:val="41D8A48D"/>
    <w:rsid w:val="41EFF60D"/>
    <w:rsid w:val="41FDE0F8"/>
    <w:rsid w:val="4201CE39"/>
    <w:rsid w:val="4203F3A7"/>
    <w:rsid w:val="42063066"/>
    <w:rsid w:val="420A478B"/>
    <w:rsid w:val="4213A789"/>
    <w:rsid w:val="4214635B"/>
    <w:rsid w:val="425B04D2"/>
    <w:rsid w:val="425C8AE3"/>
    <w:rsid w:val="4281E59C"/>
    <w:rsid w:val="429C0CB2"/>
    <w:rsid w:val="42A4AC02"/>
    <w:rsid w:val="42B6F138"/>
    <w:rsid w:val="42BDBD2A"/>
    <w:rsid w:val="42CD16F8"/>
    <w:rsid w:val="42D66175"/>
    <w:rsid w:val="42DCFFCA"/>
    <w:rsid w:val="42E05202"/>
    <w:rsid w:val="42E08258"/>
    <w:rsid w:val="42EBC368"/>
    <w:rsid w:val="42FAFECC"/>
    <w:rsid w:val="42FB812A"/>
    <w:rsid w:val="43102F7F"/>
    <w:rsid w:val="4320CF47"/>
    <w:rsid w:val="433A665B"/>
    <w:rsid w:val="433CA9DF"/>
    <w:rsid w:val="4350F78E"/>
    <w:rsid w:val="436A818D"/>
    <w:rsid w:val="439A5114"/>
    <w:rsid w:val="43A1C18B"/>
    <w:rsid w:val="43AE3F7E"/>
    <w:rsid w:val="43B880F6"/>
    <w:rsid w:val="43E8E008"/>
    <w:rsid w:val="43ECA4D3"/>
    <w:rsid w:val="44041383"/>
    <w:rsid w:val="440A7DB3"/>
    <w:rsid w:val="44156DDC"/>
    <w:rsid w:val="4418AEF9"/>
    <w:rsid w:val="441DC5E5"/>
    <w:rsid w:val="442D01A4"/>
    <w:rsid w:val="4432E30C"/>
    <w:rsid w:val="443C48B9"/>
    <w:rsid w:val="4441A7A9"/>
    <w:rsid w:val="444ACEB4"/>
    <w:rsid w:val="448F70F7"/>
    <w:rsid w:val="449C3A0E"/>
    <w:rsid w:val="44A06AEE"/>
    <w:rsid w:val="44AA23AC"/>
    <w:rsid w:val="44BCC41B"/>
    <w:rsid w:val="44BDB3D8"/>
    <w:rsid w:val="44C941C8"/>
    <w:rsid w:val="44CEF6D5"/>
    <w:rsid w:val="44D37A3A"/>
    <w:rsid w:val="44DA17D0"/>
    <w:rsid w:val="44DDCEC2"/>
    <w:rsid w:val="44EBC592"/>
    <w:rsid w:val="44F30FF2"/>
    <w:rsid w:val="4500D960"/>
    <w:rsid w:val="4505F04C"/>
    <w:rsid w:val="451B65DE"/>
    <w:rsid w:val="4524767F"/>
    <w:rsid w:val="453D4A1F"/>
    <w:rsid w:val="454988AF"/>
    <w:rsid w:val="454A8F01"/>
    <w:rsid w:val="455C04D0"/>
    <w:rsid w:val="455CD30A"/>
    <w:rsid w:val="4564A8CC"/>
    <w:rsid w:val="4564B850"/>
    <w:rsid w:val="456C4004"/>
    <w:rsid w:val="45A51B4B"/>
    <w:rsid w:val="45B0B58B"/>
    <w:rsid w:val="45B697F3"/>
    <w:rsid w:val="45C7CA9F"/>
    <w:rsid w:val="45D6A25F"/>
    <w:rsid w:val="45E52AFA"/>
    <w:rsid w:val="45EDD878"/>
    <w:rsid w:val="46050DCA"/>
    <w:rsid w:val="461341BF"/>
    <w:rsid w:val="462CEC5D"/>
    <w:rsid w:val="4637847C"/>
    <w:rsid w:val="4638A64D"/>
    <w:rsid w:val="46548B61"/>
    <w:rsid w:val="46663B89"/>
    <w:rsid w:val="468330E3"/>
    <w:rsid w:val="46887E7A"/>
    <w:rsid w:val="4694943C"/>
    <w:rsid w:val="469E3B80"/>
    <w:rsid w:val="46A7667E"/>
    <w:rsid w:val="46AAB006"/>
    <w:rsid w:val="46B63697"/>
    <w:rsid w:val="46D70D72"/>
    <w:rsid w:val="46E0B22B"/>
    <w:rsid w:val="46E4D663"/>
    <w:rsid w:val="46E8F8B0"/>
    <w:rsid w:val="470D5323"/>
    <w:rsid w:val="470EEDC6"/>
    <w:rsid w:val="4739983E"/>
    <w:rsid w:val="4744416D"/>
    <w:rsid w:val="477D8114"/>
    <w:rsid w:val="47803B4E"/>
    <w:rsid w:val="479697E1"/>
    <w:rsid w:val="479D5F18"/>
    <w:rsid w:val="47AB25D5"/>
    <w:rsid w:val="47AFE9E0"/>
    <w:rsid w:val="47C11B44"/>
    <w:rsid w:val="47CF9911"/>
    <w:rsid w:val="47D92DF8"/>
    <w:rsid w:val="47DD31C6"/>
    <w:rsid w:val="47E9D42D"/>
    <w:rsid w:val="47FF922E"/>
    <w:rsid w:val="47FFBE4C"/>
    <w:rsid w:val="48101B02"/>
    <w:rsid w:val="4820E962"/>
    <w:rsid w:val="483070C1"/>
    <w:rsid w:val="48333437"/>
    <w:rsid w:val="4833CB84"/>
    <w:rsid w:val="485521E4"/>
    <w:rsid w:val="486FD206"/>
    <w:rsid w:val="4870D098"/>
    <w:rsid w:val="48760184"/>
    <w:rsid w:val="487697CC"/>
    <w:rsid w:val="487EED41"/>
    <w:rsid w:val="48856676"/>
    <w:rsid w:val="48873893"/>
    <w:rsid w:val="488B71F5"/>
    <w:rsid w:val="488F9946"/>
    <w:rsid w:val="489186C6"/>
    <w:rsid w:val="48941D05"/>
    <w:rsid w:val="48A388DD"/>
    <w:rsid w:val="48A64A9B"/>
    <w:rsid w:val="48ACD9C3"/>
    <w:rsid w:val="48B6273E"/>
    <w:rsid w:val="48BC5A24"/>
    <w:rsid w:val="48C0D291"/>
    <w:rsid w:val="48C5FDCD"/>
    <w:rsid w:val="48E9604C"/>
    <w:rsid w:val="48EDD48E"/>
    <w:rsid w:val="48F6FBEB"/>
    <w:rsid w:val="49317AE6"/>
    <w:rsid w:val="495324D9"/>
    <w:rsid w:val="495B04EC"/>
    <w:rsid w:val="495F5954"/>
    <w:rsid w:val="4962CE21"/>
    <w:rsid w:val="49664FC1"/>
    <w:rsid w:val="496B8DE8"/>
    <w:rsid w:val="497469B7"/>
    <w:rsid w:val="498216E4"/>
    <w:rsid w:val="4989BB6E"/>
    <w:rsid w:val="498A24E3"/>
    <w:rsid w:val="498D152E"/>
    <w:rsid w:val="4996DF65"/>
    <w:rsid w:val="49A057DA"/>
    <w:rsid w:val="49E3B672"/>
    <w:rsid w:val="4A0BD0CC"/>
    <w:rsid w:val="4A12766C"/>
    <w:rsid w:val="4A135A04"/>
    <w:rsid w:val="4A2A3660"/>
    <w:rsid w:val="4A39DCCF"/>
    <w:rsid w:val="4A585987"/>
    <w:rsid w:val="4A6D829D"/>
    <w:rsid w:val="4A767BE7"/>
    <w:rsid w:val="4A8C25D2"/>
    <w:rsid w:val="4A9334A6"/>
    <w:rsid w:val="4AAAFB71"/>
    <w:rsid w:val="4AB1353D"/>
    <w:rsid w:val="4AB1D592"/>
    <w:rsid w:val="4AB3865F"/>
    <w:rsid w:val="4AC3DA04"/>
    <w:rsid w:val="4AEA145D"/>
    <w:rsid w:val="4AF17561"/>
    <w:rsid w:val="4AFB3521"/>
    <w:rsid w:val="4B084CAB"/>
    <w:rsid w:val="4B0B2A1A"/>
    <w:rsid w:val="4B0F0EDB"/>
    <w:rsid w:val="4B1947F3"/>
    <w:rsid w:val="4B218BD0"/>
    <w:rsid w:val="4B24B4CC"/>
    <w:rsid w:val="4B2C34C7"/>
    <w:rsid w:val="4B33329F"/>
    <w:rsid w:val="4B419179"/>
    <w:rsid w:val="4B4D014E"/>
    <w:rsid w:val="4B5DEB6B"/>
    <w:rsid w:val="4B6544D7"/>
    <w:rsid w:val="4B6B77C6"/>
    <w:rsid w:val="4B6D1218"/>
    <w:rsid w:val="4B6D9BF6"/>
    <w:rsid w:val="4B8C8912"/>
    <w:rsid w:val="4B92312A"/>
    <w:rsid w:val="4BCAE44A"/>
    <w:rsid w:val="4BD0EA91"/>
    <w:rsid w:val="4BE0582D"/>
    <w:rsid w:val="4BE3C7FC"/>
    <w:rsid w:val="4BE9DBA5"/>
    <w:rsid w:val="4BEAECFE"/>
    <w:rsid w:val="4BEB529D"/>
    <w:rsid w:val="4BF8DE1E"/>
    <w:rsid w:val="4BF91E8C"/>
    <w:rsid w:val="4BF93A87"/>
    <w:rsid w:val="4C02F493"/>
    <w:rsid w:val="4C11A1D0"/>
    <w:rsid w:val="4C31F030"/>
    <w:rsid w:val="4C3B1BF9"/>
    <w:rsid w:val="4C42FECB"/>
    <w:rsid w:val="4C50CFFB"/>
    <w:rsid w:val="4C7B5A2F"/>
    <w:rsid w:val="4C8366D8"/>
    <w:rsid w:val="4CA34CE3"/>
    <w:rsid w:val="4CB14C59"/>
    <w:rsid w:val="4CB5A6F9"/>
    <w:rsid w:val="4CBAECB8"/>
    <w:rsid w:val="4CBE5C40"/>
    <w:rsid w:val="4CBFA9F4"/>
    <w:rsid w:val="4CCC9C63"/>
    <w:rsid w:val="4CD7CA9C"/>
    <w:rsid w:val="4CE56575"/>
    <w:rsid w:val="4CE80E7D"/>
    <w:rsid w:val="4CF25637"/>
    <w:rsid w:val="4CFAF611"/>
    <w:rsid w:val="4D0148E3"/>
    <w:rsid w:val="4D0B88B6"/>
    <w:rsid w:val="4D12C175"/>
    <w:rsid w:val="4D18E950"/>
    <w:rsid w:val="4D1BBADC"/>
    <w:rsid w:val="4D54CF33"/>
    <w:rsid w:val="4D6D3903"/>
    <w:rsid w:val="4D721695"/>
    <w:rsid w:val="4D77DE73"/>
    <w:rsid w:val="4D87EBD1"/>
    <w:rsid w:val="4D9C8A4E"/>
    <w:rsid w:val="4DA3BBEB"/>
    <w:rsid w:val="4DC22029"/>
    <w:rsid w:val="4DD1BAE8"/>
    <w:rsid w:val="4DD4703C"/>
    <w:rsid w:val="4DE3956B"/>
    <w:rsid w:val="4DE77D21"/>
    <w:rsid w:val="4DF7A92D"/>
    <w:rsid w:val="4E16163A"/>
    <w:rsid w:val="4E1DB449"/>
    <w:rsid w:val="4E39837C"/>
    <w:rsid w:val="4E43B9D0"/>
    <w:rsid w:val="4E4FD6C3"/>
    <w:rsid w:val="4E5200AA"/>
    <w:rsid w:val="4E74A1B0"/>
    <w:rsid w:val="4E8E30BA"/>
    <w:rsid w:val="4E911F81"/>
    <w:rsid w:val="4EA8FD30"/>
    <w:rsid w:val="4EB4B42C"/>
    <w:rsid w:val="4EB80E2B"/>
    <w:rsid w:val="4EBE1FA4"/>
    <w:rsid w:val="4EC8641B"/>
    <w:rsid w:val="4EE38307"/>
    <w:rsid w:val="4EE90D01"/>
    <w:rsid w:val="4EF6F2FB"/>
    <w:rsid w:val="4F01231F"/>
    <w:rsid w:val="4F05D843"/>
    <w:rsid w:val="4F200E4A"/>
    <w:rsid w:val="4F203A04"/>
    <w:rsid w:val="4F23638B"/>
    <w:rsid w:val="4F25C841"/>
    <w:rsid w:val="4F378F8F"/>
    <w:rsid w:val="4F38EDEE"/>
    <w:rsid w:val="4F3928E8"/>
    <w:rsid w:val="4F494AFA"/>
    <w:rsid w:val="4F5ADC64"/>
    <w:rsid w:val="4F6A2E04"/>
    <w:rsid w:val="4F77F003"/>
    <w:rsid w:val="4F8205BB"/>
    <w:rsid w:val="4F9B1C0A"/>
    <w:rsid w:val="4F9C45F5"/>
    <w:rsid w:val="4FA0EDF8"/>
    <w:rsid w:val="4FA84F67"/>
    <w:rsid w:val="4FBDB78C"/>
    <w:rsid w:val="4FCED915"/>
    <w:rsid w:val="4FD60173"/>
    <w:rsid w:val="4FDFF653"/>
    <w:rsid w:val="501119B0"/>
    <w:rsid w:val="5011C750"/>
    <w:rsid w:val="505330EE"/>
    <w:rsid w:val="506A5F79"/>
    <w:rsid w:val="506C6F27"/>
    <w:rsid w:val="50704609"/>
    <w:rsid w:val="50711491"/>
    <w:rsid w:val="50790C07"/>
    <w:rsid w:val="5083990D"/>
    <w:rsid w:val="5091893E"/>
    <w:rsid w:val="5096109D"/>
    <w:rsid w:val="50A73F3D"/>
    <w:rsid w:val="50B0FA9C"/>
    <w:rsid w:val="50C43F95"/>
    <w:rsid w:val="50DFE799"/>
    <w:rsid w:val="50E2775B"/>
    <w:rsid w:val="50E344C2"/>
    <w:rsid w:val="50E4BAD4"/>
    <w:rsid w:val="51049B5D"/>
    <w:rsid w:val="51265325"/>
    <w:rsid w:val="512EFEE5"/>
    <w:rsid w:val="5133058C"/>
    <w:rsid w:val="514093DC"/>
    <w:rsid w:val="51412E54"/>
    <w:rsid w:val="5141F288"/>
    <w:rsid w:val="516A3459"/>
    <w:rsid w:val="516F41BC"/>
    <w:rsid w:val="51ABA42F"/>
    <w:rsid w:val="51CA568A"/>
    <w:rsid w:val="51DBE012"/>
    <w:rsid w:val="51ED6AA2"/>
    <w:rsid w:val="51EF2C9D"/>
    <w:rsid w:val="51FEDA79"/>
    <w:rsid w:val="520137D9"/>
    <w:rsid w:val="5209997B"/>
    <w:rsid w:val="521069B3"/>
    <w:rsid w:val="52168C0F"/>
    <w:rsid w:val="522EB0FC"/>
    <w:rsid w:val="5233E5CF"/>
    <w:rsid w:val="523AEEF8"/>
    <w:rsid w:val="527052F5"/>
    <w:rsid w:val="527C4CCD"/>
    <w:rsid w:val="5280EBBC"/>
    <w:rsid w:val="5286A664"/>
    <w:rsid w:val="52AC998B"/>
    <w:rsid w:val="52BF0DEA"/>
    <w:rsid w:val="52E2F618"/>
    <w:rsid w:val="52E4C98A"/>
    <w:rsid w:val="52E98DF1"/>
    <w:rsid w:val="53111085"/>
    <w:rsid w:val="531B0227"/>
    <w:rsid w:val="53349D41"/>
    <w:rsid w:val="534AB131"/>
    <w:rsid w:val="53519A24"/>
    <w:rsid w:val="5374B264"/>
    <w:rsid w:val="537550BF"/>
    <w:rsid w:val="53893B03"/>
    <w:rsid w:val="538B8160"/>
    <w:rsid w:val="53A0A30F"/>
    <w:rsid w:val="53A8EF06"/>
    <w:rsid w:val="53BB39FE"/>
    <w:rsid w:val="53BCF5DF"/>
    <w:rsid w:val="53C021E0"/>
    <w:rsid w:val="53C5512F"/>
    <w:rsid w:val="53CE9065"/>
    <w:rsid w:val="53EE73CB"/>
    <w:rsid w:val="53F78159"/>
    <w:rsid w:val="5403FDEF"/>
    <w:rsid w:val="541D5E2D"/>
    <w:rsid w:val="5424FEC7"/>
    <w:rsid w:val="542F1D61"/>
    <w:rsid w:val="543591C8"/>
    <w:rsid w:val="5436B1BC"/>
    <w:rsid w:val="54408DB4"/>
    <w:rsid w:val="54436C4C"/>
    <w:rsid w:val="544387F4"/>
    <w:rsid w:val="544869EC"/>
    <w:rsid w:val="544A7749"/>
    <w:rsid w:val="544B1F92"/>
    <w:rsid w:val="544FA580"/>
    <w:rsid w:val="5455B1DD"/>
    <w:rsid w:val="5457FF0E"/>
    <w:rsid w:val="546D0154"/>
    <w:rsid w:val="547C4156"/>
    <w:rsid w:val="54977BF2"/>
    <w:rsid w:val="54A8F849"/>
    <w:rsid w:val="54AACF96"/>
    <w:rsid w:val="54B92F89"/>
    <w:rsid w:val="54D0AAE2"/>
    <w:rsid w:val="54DB5664"/>
    <w:rsid w:val="54DC3929"/>
    <w:rsid w:val="54F668FA"/>
    <w:rsid w:val="54F7F8C3"/>
    <w:rsid w:val="5502EBB9"/>
    <w:rsid w:val="550AF9AC"/>
    <w:rsid w:val="550D74FA"/>
    <w:rsid w:val="5538FABC"/>
    <w:rsid w:val="554CC3B8"/>
    <w:rsid w:val="554DEEF5"/>
    <w:rsid w:val="55669F0F"/>
    <w:rsid w:val="55671752"/>
    <w:rsid w:val="558E4200"/>
    <w:rsid w:val="55A819AC"/>
    <w:rsid w:val="55AA8FD6"/>
    <w:rsid w:val="55B1380E"/>
    <w:rsid w:val="55D3CEE8"/>
    <w:rsid w:val="55D987C8"/>
    <w:rsid w:val="55DF1BC2"/>
    <w:rsid w:val="55F61ED7"/>
    <w:rsid w:val="560F0E6B"/>
    <w:rsid w:val="5625505D"/>
    <w:rsid w:val="563850B8"/>
    <w:rsid w:val="56491831"/>
    <w:rsid w:val="5651B40B"/>
    <w:rsid w:val="5652D41B"/>
    <w:rsid w:val="5665AB10"/>
    <w:rsid w:val="5672DEC6"/>
    <w:rsid w:val="5679AB38"/>
    <w:rsid w:val="5693C924"/>
    <w:rsid w:val="56976707"/>
    <w:rsid w:val="569F3C63"/>
    <w:rsid w:val="56B95778"/>
    <w:rsid w:val="56C29B29"/>
    <w:rsid w:val="56D33D27"/>
    <w:rsid w:val="56D64DF6"/>
    <w:rsid w:val="56E3FC36"/>
    <w:rsid w:val="5702E7B3"/>
    <w:rsid w:val="57083998"/>
    <w:rsid w:val="570A9110"/>
    <w:rsid w:val="5720666F"/>
    <w:rsid w:val="5725EF14"/>
    <w:rsid w:val="572B0E7D"/>
    <w:rsid w:val="572B65B8"/>
    <w:rsid w:val="572F31A0"/>
    <w:rsid w:val="573240A5"/>
    <w:rsid w:val="57515A17"/>
    <w:rsid w:val="57564F7D"/>
    <w:rsid w:val="5760BB41"/>
    <w:rsid w:val="576725E1"/>
    <w:rsid w:val="57677137"/>
    <w:rsid w:val="577025AC"/>
    <w:rsid w:val="5790B9F0"/>
    <w:rsid w:val="579EB92D"/>
    <w:rsid w:val="57A6D54C"/>
    <w:rsid w:val="57B20198"/>
    <w:rsid w:val="57B3431E"/>
    <w:rsid w:val="57E14B87"/>
    <w:rsid w:val="57E5BB6A"/>
    <w:rsid w:val="57F4E578"/>
    <w:rsid w:val="5809CD29"/>
    <w:rsid w:val="580D13F5"/>
    <w:rsid w:val="5810C862"/>
    <w:rsid w:val="58214A48"/>
    <w:rsid w:val="582F6C35"/>
    <w:rsid w:val="582F9985"/>
    <w:rsid w:val="5846EC30"/>
    <w:rsid w:val="586289C3"/>
    <w:rsid w:val="58721027"/>
    <w:rsid w:val="5878239B"/>
    <w:rsid w:val="587D1BB6"/>
    <w:rsid w:val="589612AE"/>
    <w:rsid w:val="589D3377"/>
    <w:rsid w:val="58B1D329"/>
    <w:rsid w:val="58D8496C"/>
    <w:rsid w:val="58E58D99"/>
    <w:rsid w:val="58EDF307"/>
    <w:rsid w:val="58F3BAEA"/>
    <w:rsid w:val="58F81F53"/>
    <w:rsid w:val="58FB1FDD"/>
    <w:rsid w:val="5908EFAC"/>
    <w:rsid w:val="590BFC21"/>
    <w:rsid w:val="590E36A7"/>
    <w:rsid w:val="591DEE68"/>
    <w:rsid w:val="5927DDE8"/>
    <w:rsid w:val="592A6AD9"/>
    <w:rsid w:val="592B18FC"/>
    <w:rsid w:val="592BEE99"/>
    <w:rsid w:val="592F8D25"/>
    <w:rsid w:val="59359615"/>
    <w:rsid w:val="5961CE1D"/>
    <w:rsid w:val="59683E8B"/>
    <w:rsid w:val="597C6412"/>
    <w:rsid w:val="599A21DF"/>
    <w:rsid w:val="599BC858"/>
    <w:rsid w:val="59B1F550"/>
    <w:rsid w:val="59B4499E"/>
    <w:rsid w:val="59C2593B"/>
    <w:rsid w:val="59C8DB44"/>
    <w:rsid w:val="59C8DEFE"/>
    <w:rsid w:val="59C94A32"/>
    <w:rsid w:val="59D0E361"/>
    <w:rsid w:val="59D3DBE0"/>
    <w:rsid w:val="59D65CDC"/>
    <w:rsid w:val="59DEAEB7"/>
    <w:rsid w:val="59F9737D"/>
    <w:rsid w:val="5A05736D"/>
    <w:rsid w:val="5A05D72C"/>
    <w:rsid w:val="5A093113"/>
    <w:rsid w:val="5A0A37E2"/>
    <w:rsid w:val="5A1A0B05"/>
    <w:rsid w:val="5A4B173E"/>
    <w:rsid w:val="5A57B04E"/>
    <w:rsid w:val="5A6A0C45"/>
    <w:rsid w:val="5A6BF8C6"/>
    <w:rsid w:val="5A7F3908"/>
    <w:rsid w:val="5A84C049"/>
    <w:rsid w:val="5A92D47D"/>
    <w:rsid w:val="5AAB11C9"/>
    <w:rsid w:val="5AAD8F27"/>
    <w:rsid w:val="5AC16932"/>
    <w:rsid w:val="5AEE11B1"/>
    <w:rsid w:val="5AEFAC21"/>
    <w:rsid w:val="5AEFF71F"/>
    <w:rsid w:val="5AFB1570"/>
    <w:rsid w:val="5B0C9E61"/>
    <w:rsid w:val="5B10AB2A"/>
    <w:rsid w:val="5B1ED097"/>
    <w:rsid w:val="5B250BE1"/>
    <w:rsid w:val="5B26AAD3"/>
    <w:rsid w:val="5B2F352A"/>
    <w:rsid w:val="5B3201A8"/>
    <w:rsid w:val="5B3A44D4"/>
    <w:rsid w:val="5B501C36"/>
    <w:rsid w:val="5B607BE8"/>
    <w:rsid w:val="5B6A6702"/>
    <w:rsid w:val="5B6B87BB"/>
    <w:rsid w:val="5B6CB3C2"/>
    <w:rsid w:val="5B82838B"/>
    <w:rsid w:val="5BC629B5"/>
    <w:rsid w:val="5BCF3118"/>
    <w:rsid w:val="5BE7FD56"/>
    <w:rsid w:val="5BE973EB"/>
    <w:rsid w:val="5C0BCFC3"/>
    <w:rsid w:val="5C16DD92"/>
    <w:rsid w:val="5C2AE338"/>
    <w:rsid w:val="5C379F91"/>
    <w:rsid w:val="5C3DD553"/>
    <w:rsid w:val="5C49CE4A"/>
    <w:rsid w:val="5C51A281"/>
    <w:rsid w:val="5C5A4173"/>
    <w:rsid w:val="5C5AE85E"/>
    <w:rsid w:val="5C65F030"/>
    <w:rsid w:val="5C7E6644"/>
    <w:rsid w:val="5C8FA11B"/>
    <w:rsid w:val="5C9635A3"/>
    <w:rsid w:val="5C99593A"/>
    <w:rsid w:val="5CA5C2BE"/>
    <w:rsid w:val="5CA5E400"/>
    <w:rsid w:val="5CB0426A"/>
    <w:rsid w:val="5CD187BD"/>
    <w:rsid w:val="5CE19120"/>
    <w:rsid w:val="5CE8C4DB"/>
    <w:rsid w:val="5CEC1191"/>
    <w:rsid w:val="5CF3AEEF"/>
    <w:rsid w:val="5D088423"/>
    <w:rsid w:val="5D141183"/>
    <w:rsid w:val="5D156838"/>
    <w:rsid w:val="5D19547B"/>
    <w:rsid w:val="5D21D1A6"/>
    <w:rsid w:val="5D396884"/>
    <w:rsid w:val="5D4969D3"/>
    <w:rsid w:val="5D621BEB"/>
    <w:rsid w:val="5D8C9900"/>
    <w:rsid w:val="5D92D6A8"/>
    <w:rsid w:val="5D96D4A5"/>
    <w:rsid w:val="5D974602"/>
    <w:rsid w:val="5D987BC6"/>
    <w:rsid w:val="5DBFC89C"/>
    <w:rsid w:val="5DC4D63D"/>
    <w:rsid w:val="5DC856D1"/>
    <w:rsid w:val="5DCFB52F"/>
    <w:rsid w:val="5DDC1EE0"/>
    <w:rsid w:val="5DF7F347"/>
    <w:rsid w:val="5E084866"/>
    <w:rsid w:val="5E11FECC"/>
    <w:rsid w:val="5E13A9FE"/>
    <w:rsid w:val="5E1B0CED"/>
    <w:rsid w:val="5E3417F3"/>
    <w:rsid w:val="5E3AA13F"/>
    <w:rsid w:val="5E620A4B"/>
    <w:rsid w:val="5E735703"/>
    <w:rsid w:val="5E7B5E2F"/>
    <w:rsid w:val="5E7CB5C5"/>
    <w:rsid w:val="5E849FCC"/>
    <w:rsid w:val="5E8722AF"/>
    <w:rsid w:val="5E8F0F15"/>
    <w:rsid w:val="5E994653"/>
    <w:rsid w:val="5E9E538C"/>
    <w:rsid w:val="5EB16487"/>
    <w:rsid w:val="5EB922BD"/>
    <w:rsid w:val="5EEFEEAA"/>
    <w:rsid w:val="5EF35C43"/>
    <w:rsid w:val="5EFBAA60"/>
    <w:rsid w:val="5F044A14"/>
    <w:rsid w:val="5F0946B2"/>
    <w:rsid w:val="5F107710"/>
    <w:rsid w:val="5F1A9A33"/>
    <w:rsid w:val="5F2A5239"/>
    <w:rsid w:val="5F2BB95A"/>
    <w:rsid w:val="5F2EA709"/>
    <w:rsid w:val="5F3C6095"/>
    <w:rsid w:val="5F44D37C"/>
    <w:rsid w:val="5F546256"/>
    <w:rsid w:val="5F71902E"/>
    <w:rsid w:val="5F7CDF94"/>
    <w:rsid w:val="5F7E21F2"/>
    <w:rsid w:val="5F89B0C5"/>
    <w:rsid w:val="5F8E1E66"/>
    <w:rsid w:val="5F92B07A"/>
    <w:rsid w:val="5F949749"/>
    <w:rsid w:val="5F9D90F2"/>
    <w:rsid w:val="5FB530D0"/>
    <w:rsid w:val="5FD22EB7"/>
    <w:rsid w:val="5FDCC328"/>
    <w:rsid w:val="5FF6B45F"/>
    <w:rsid w:val="60031DC4"/>
    <w:rsid w:val="6004E315"/>
    <w:rsid w:val="60064CC4"/>
    <w:rsid w:val="60192174"/>
    <w:rsid w:val="60225D2B"/>
    <w:rsid w:val="6029FB9E"/>
    <w:rsid w:val="6035F3B5"/>
    <w:rsid w:val="603AAB6A"/>
    <w:rsid w:val="6044126C"/>
    <w:rsid w:val="60444D5E"/>
    <w:rsid w:val="605DBCBB"/>
    <w:rsid w:val="60775187"/>
    <w:rsid w:val="6077F4A1"/>
    <w:rsid w:val="60885497"/>
    <w:rsid w:val="60980468"/>
    <w:rsid w:val="609EEBC9"/>
    <w:rsid w:val="609F2DC3"/>
    <w:rsid w:val="60A06A6B"/>
    <w:rsid w:val="60AD44C7"/>
    <w:rsid w:val="60BCB337"/>
    <w:rsid w:val="60BE4696"/>
    <w:rsid w:val="60FF2BF5"/>
    <w:rsid w:val="61005049"/>
    <w:rsid w:val="610D5204"/>
    <w:rsid w:val="611FA28F"/>
    <w:rsid w:val="61218956"/>
    <w:rsid w:val="613AE251"/>
    <w:rsid w:val="6152B014"/>
    <w:rsid w:val="6164DAF9"/>
    <w:rsid w:val="6165F415"/>
    <w:rsid w:val="6172631D"/>
    <w:rsid w:val="617CF38C"/>
    <w:rsid w:val="61875AAD"/>
    <w:rsid w:val="6190B7AD"/>
    <w:rsid w:val="619C6361"/>
    <w:rsid w:val="619C9232"/>
    <w:rsid w:val="61A60B2A"/>
    <w:rsid w:val="61A6DA3D"/>
    <w:rsid w:val="61A81771"/>
    <w:rsid w:val="61AC5484"/>
    <w:rsid w:val="61B2FEE6"/>
    <w:rsid w:val="61C94B06"/>
    <w:rsid w:val="61D0A5F9"/>
    <w:rsid w:val="61E6460E"/>
    <w:rsid w:val="61FE2A96"/>
    <w:rsid w:val="6204A3C7"/>
    <w:rsid w:val="620621B9"/>
    <w:rsid w:val="6215D37E"/>
    <w:rsid w:val="621E20EB"/>
    <w:rsid w:val="62251CEA"/>
    <w:rsid w:val="6227F21A"/>
    <w:rsid w:val="622B4714"/>
    <w:rsid w:val="623D556B"/>
    <w:rsid w:val="623FE662"/>
    <w:rsid w:val="6250FF95"/>
    <w:rsid w:val="625C8DE6"/>
    <w:rsid w:val="626176BE"/>
    <w:rsid w:val="62731364"/>
    <w:rsid w:val="62745104"/>
    <w:rsid w:val="629470A6"/>
    <w:rsid w:val="62A0DB2F"/>
    <w:rsid w:val="62A994F8"/>
    <w:rsid w:val="62AF48A8"/>
    <w:rsid w:val="62B05A23"/>
    <w:rsid w:val="62B48056"/>
    <w:rsid w:val="62BAF270"/>
    <w:rsid w:val="62BC71A0"/>
    <w:rsid w:val="62BD5A9F"/>
    <w:rsid w:val="62C0E405"/>
    <w:rsid w:val="62CBAD94"/>
    <w:rsid w:val="62D04072"/>
    <w:rsid w:val="62EE777E"/>
    <w:rsid w:val="62F8EE52"/>
    <w:rsid w:val="62FE07F6"/>
    <w:rsid w:val="62FFF4E8"/>
    <w:rsid w:val="6303E37B"/>
    <w:rsid w:val="630447A4"/>
    <w:rsid w:val="63072397"/>
    <w:rsid w:val="63148D59"/>
    <w:rsid w:val="6326AD9E"/>
    <w:rsid w:val="632E520E"/>
    <w:rsid w:val="634B9CFB"/>
    <w:rsid w:val="634FD5CB"/>
    <w:rsid w:val="63527BB4"/>
    <w:rsid w:val="63633AA6"/>
    <w:rsid w:val="636A187A"/>
    <w:rsid w:val="636D2606"/>
    <w:rsid w:val="636DB6D0"/>
    <w:rsid w:val="63737AA7"/>
    <w:rsid w:val="63958223"/>
    <w:rsid w:val="63AC7CEE"/>
    <w:rsid w:val="63AEE7EB"/>
    <w:rsid w:val="63E145E9"/>
    <w:rsid w:val="63E58843"/>
    <w:rsid w:val="63E85A70"/>
    <w:rsid w:val="63ED0AFB"/>
    <w:rsid w:val="63FD1445"/>
    <w:rsid w:val="640BC087"/>
    <w:rsid w:val="64120153"/>
    <w:rsid w:val="64203226"/>
    <w:rsid w:val="64376D87"/>
    <w:rsid w:val="64481000"/>
    <w:rsid w:val="6448A83A"/>
    <w:rsid w:val="644973B9"/>
    <w:rsid w:val="644F000A"/>
    <w:rsid w:val="644F402C"/>
    <w:rsid w:val="6455D176"/>
    <w:rsid w:val="64693111"/>
    <w:rsid w:val="646F3411"/>
    <w:rsid w:val="649EDA91"/>
    <w:rsid w:val="64A92686"/>
    <w:rsid w:val="64C933BC"/>
    <w:rsid w:val="64C9D382"/>
    <w:rsid w:val="64D7F503"/>
    <w:rsid w:val="64EF079F"/>
    <w:rsid w:val="65045519"/>
    <w:rsid w:val="650F9E09"/>
    <w:rsid w:val="65158AD3"/>
    <w:rsid w:val="65186807"/>
    <w:rsid w:val="65268CAF"/>
    <w:rsid w:val="655B7E5F"/>
    <w:rsid w:val="655D84EB"/>
    <w:rsid w:val="6562593C"/>
    <w:rsid w:val="656FC391"/>
    <w:rsid w:val="658C04CE"/>
    <w:rsid w:val="659691E8"/>
    <w:rsid w:val="659B7BB4"/>
    <w:rsid w:val="659D6AD8"/>
    <w:rsid w:val="65B587EB"/>
    <w:rsid w:val="65B6A4D4"/>
    <w:rsid w:val="65B7AC03"/>
    <w:rsid w:val="65BB63E3"/>
    <w:rsid w:val="65BE1890"/>
    <w:rsid w:val="65BF6E1F"/>
    <w:rsid w:val="65C2F3B5"/>
    <w:rsid w:val="65E32899"/>
    <w:rsid w:val="65EEE48B"/>
    <w:rsid w:val="65FB4AC9"/>
    <w:rsid w:val="65FC5DF8"/>
    <w:rsid w:val="6603186C"/>
    <w:rsid w:val="66054D4B"/>
    <w:rsid w:val="66062FEB"/>
    <w:rsid w:val="6609305A"/>
    <w:rsid w:val="660C202D"/>
    <w:rsid w:val="6622BA1D"/>
    <w:rsid w:val="662CA92C"/>
    <w:rsid w:val="66434652"/>
    <w:rsid w:val="6649827D"/>
    <w:rsid w:val="66512341"/>
    <w:rsid w:val="6658B8DB"/>
    <w:rsid w:val="666074CD"/>
    <w:rsid w:val="66626758"/>
    <w:rsid w:val="668B0424"/>
    <w:rsid w:val="668E7CCB"/>
    <w:rsid w:val="66A1B93C"/>
    <w:rsid w:val="66A2C21D"/>
    <w:rsid w:val="66AB6765"/>
    <w:rsid w:val="66AEE5C5"/>
    <w:rsid w:val="66B1DA74"/>
    <w:rsid w:val="66B31360"/>
    <w:rsid w:val="66B753EF"/>
    <w:rsid w:val="66CF8AE5"/>
    <w:rsid w:val="66D1C82E"/>
    <w:rsid w:val="66D6EF50"/>
    <w:rsid w:val="66F0A870"/>
    <w:rsid w:val="66F7C384"/>
    <w:rsid w:val="671E8634"/>
    <w:rsid w:val="674FDAFE"/>
    <w:rsid w:val="6757A86F"/>
    <w:rsid w:val="6758ECFA"/>
    <w:rsid w:val="6798B5DE"/>
    <w:rsid w:val="679977EB"/>
    <w:rsid w:val="67BC51B9"/>
    <w:rsid w:val="67BDAE8F"/>
    <w:rsid w:val="67C05860"/>
    <w:rsid w:val="67E13473"/>
    <w:rsid w:val="67E398F1"/>
    <w:rsid w:val="6803E597"/>
    <w:rsid w:val="680954EB"/>
    <w:rsid w:val="68224AA4"/>
    <w:rsid w:val="6829F156"/>
    <w:rsid w:val="682F091D"/>
    <w:rsid w:val="68396558"/>
    <w:rsid w:val="684786C8"/>
    <w:rsid w:val="6847A47D"/>
    <w:rsid w:val="68540CD0"/>
    <w:rsid w:val="6858F4AE"/>
    <w:rsid w:val="6876B37C"/>
    <w:rsid w:val="688855CA"/>
    <w:rsid w:val="689BB381"/>
    <w:rsid w:val="68B62A7D"/>
    <w:rsid w:val="68BBDD1C"/>
    <w:rsid w:val="68C09222"/>
    <w:rsid w:val="68E501E0"/>
    <w:rsid w:val="68EC5F5F"/>
    <w:rsid w:val="690243A7"/>
    <w:rsid w:val="6905578E"/>
    <w:rsid w:val="69070A11"/>
    <w:rsid w:val="690C8B59"/>
    <w:rsid w:val="691159B9"/>
    <w:rsid w:val="6920DB20"/>
    <w:rsid w:val="69238BC2"/>
    <w:rsid w:val="69433792"/>
    <w:rsid w:val="695F5384"/>
    <w:rsid w:val="6977F1E7"/>
    <w:rsid w:val="697A8FEE"/>
    <w:rsid w:val="69BB0E72"/>
    <w:rsid w:val="69C8C535"/>
    <w:rsid w:val="69EEF4B1"/>
    <w:rsid w:val="69F976D2"/>
    <w:rsid w:val="69FF7267"/>
    <w:rsid w:val="6A06BE45"/>
    <w:rsid w:val="6A2AA80D"/>
    <w:rsid w:val="6A4687EA"/>
    <w:rsid w:val="6A478F5F"/>
    <w:rsid w:val="6A4B909B"/>
    <w:rsid w:val="6A58162E"/>
    <w:rsid w:val="6A7B020B"/>
    <w:rsid w:val="6A7E49FC"/>
    <w:rsid w:val="6A835D47"/>
    <w:rsid w:val="6A957530"/>
    <w:rsid w:val="6A9B3153"/>
    <w:rsid w:val="6A9E59BA"/>
    <w:rsid w:val="6AA387C5"/>
    <w:rsid w:val="6AAC7208"/>
    <w:rsid w:val="6AB4A6DD"/>
    <w:rsid w:val="6AB74FE5"/>
    <w:rsid w:val="6AC70166"/>
    <w:rsid w:val="6AC74989"/>
    <w:rsid w:val="6ACDCC5E"/>
    <w:rsid w:val="6ACE36D8"/>
    <w:rsid w:val="6AD7B157"/>
    <w:rsid w:val="6AEAD194"/>
    <w:rsid w:val="6AEC2462"/>
    <w:rsid w:val="6AF7B84D"/>
    <w:rsid w:val="6B046F8F"/>
    <w:rsid w:val="6B0A426D"/>
    <w:rsid w:val="6B20CB4F"/>
    <w:rsid w:val="6B22372E"/>
    <w:rsid w:val="6B2B46D5"/>
    <w:rsid w:val="6B4DBC83"/>
    <w:rsid w:val="6B57FAC0"/>
    <w:rsid w:val="6B5F1691"/>
    <w:rsid w:val="6BBD90B2"/>
    <w:rsid w:val="6BC027A6"/>
    <w:rsid w:val="6BCB34A7"/>
    <w:rsid w:val="6BEE0ABF"/>
    <w:rsid w:val="6BFB203F"/>
    <w:rsid w:val="6BFD32B8"/>
    <w:rsid w:val="6C0A5009"/>
    <w:rsid w:val="6C0F0711"/>
    <w:rsid w:val="6C10001B"/>
    <w:rsid w:val="6C26CB1E"/>
    <w:rsid w:val="6C3AA374"/>
    <w:rsid w:val="6C3BCE08"/>
    <w:rsid w:val="6C59BA99"/>
    <w:rsid w:val="6C5E38CD"/>
    <w:rsid w:val="6C6C1D3E"/>
    <w:rsid w:val="6C7CF18E"/>
    <w:rsid w:val="6C816AF6"/>
    <w:rsid w:val="6C834F37"/>
    <w:rsid w:val="6C8AD1C6"/>
    <w:rsid w:val="6CA53958"/>
    <w:rsid w:val="6CB9DBF8"/>
    <w:rsid w:val="6CBDFE02"/>
    <w:rsid w:val="6CC342CE"/>
    <w:rsid w:val="6CE8DCA3"/>
    <w:rsid w:val="6CED09BB"/>
    <w:rsid w:val="6CEE67A6"/>
    <w:rsid w:val="6CEFBE9A"/>
    <w:rsid w:val="6CF039E1"/>
    <w:rsid w:val="6D073CDC"/>
    <w:rsid w:val="6D07F39B"/>
    <w:rsid w:val="6D352B4C"/>
    <w:rsid w:val="6D4B8AD1"/>
    <w:rsid w:val="6D5442C4"/>
    <w:rsid w:val="6D5E6217"/>
    <w:rsid w:val="6D5EA94E"/>
    <w:rsid w:val="6D6608EA"/>
    <w:rsid w:val="6D670508"/>
    <w:rsid w:val="6D6F24A4"/>
    <w:rsid w:val="6D70C4ED"/>
    <w:rsid w:val="6D766DBF"/>
    <w:rsid w:val="6D78B516"/>
    <w:rsid w:val="6D88A21D"/>
    <w:rsid w:val="6D926915"/>
    <w:rsid w:val="6D9AAED9"/>
    <w:rsid w:val="6D9BD7F4"/>
    <w:rsid w:val="6DA35C17"/>
    <w:rsid w:val="6DB9F4EB"/>
    <w:rsid w:val="6DE600E6"/>
    <w:rsid w:val="6DEC479F"/>
    <w:rsid w:val="6DEC4991"/>
    <w:rsid w:val="6DED1610"/>
    <w:rsid w:val="6DF1620C"/>
    <w:rsid w:val="6DF5F73E"/>
    <w:rsid w:val="6DF9981D"/>
    <w:rsid w:val="6E11AF75"/>
    <w:rsid w:val="6E14A06E"/>
    <w:rsid w:val="6E227256"/>
    <w:rsid w:val="6E331D42"/>
    <w:rsid w:val="6E41B7B7"/>
    <w:rsid w:val="6E445886"/>
    <w:rsid w:val="6E4B8B5E"/>
    <w:rsid w:val="6E5D419B"/>
    <w:rsid w:val="6E81AAE5"/>
    <w:rsid w:val="6E931C27"/>
    <w:rsid w:val="6EA3C3FC"/>
    <w:rsid w:val="6EB93A80"/>
    <w:rsid w:val="6EBF1DE3"/>
    <w:rsid w:val="6EBF9D8C"/>
    <w:rsid w:val="6ECAED8B"/>
    <w:rsid w:val="6EE2B39A"/>
    <w:rsid w:val="6EEBC617"/>
    <w:rsid w:val="6EF07202"/>
    <w:rsid w:val="6EF25852"/>
    <w:rsid w:val="6EF9C400"/>
    <w:rsid w:val="6F03E7F7"/>
    <w:rsid w:val="6F0C8034"/>
    <w:rsid w:val="6F157110"/>
    <w:rsid w:val="6F16043F"/>
    <w:rsid w:val="6F194998"/>
    <w:rsid w:val="6F39B635"/>
    <w:rsid w:val="6F3DC0E8"/>
    <w:rsid w:val="6F414B6B"/>
    <w:rsid w:val="6F43FAA7"/>
    <w:rsid w:val="6F5C4C35"/>
    <w:rsid w:val="6F5D2338"/>
    <w:rsid w:val="6F62D1C2"/>
    <w:rsid w:val="6F672BAB"/>
    <w:rsid w:val="6F83710B"/>
    <w:rsid w:val="6F94D6E2"/>
    <w:rsid w:val="6F955569"/>
    <w:rsid w:val="6FAF8462"/>
    <w:rsid w:val="6FB6D58F"/>
    <w:rsid w:val="6FC7FBC5"/>
    <w:rsid w:val="6FCBB1C6"/>
    <w:rsid w:val="6FF30B86"/>
    <w:rsid w:val="701067A9"/>
    <w:rsid w:val="70117649"/>
    <w:rsid w:val="7031C385"/>
    <w:rsid w:val="703A9A5A"/>
    <w:rsid w:val="703F945D"/>
    <w:rsid w:val="70404E90"/>
    <w:rsid w:val="7055BAF5"/>
    <w:rsid w:val="705AEE44"/>
    <w:rsid w:val="707A01A3"/>
    <w:rsid w:val="70940AAD"/>
    <w:rsid w:val="709E370E"/>
    <w:rsid w:val="70A34BAD"/>
    <w:rsid w:val="70AAD2EE"/>
    <w:rsid w:val="70B684A7"/>
    <w:rsid w:val="70CBD4F8"/>
    <w:rsid w:val="70D04DFB"/>
    <w:rsid w:val="70E851F9"/>
    <w:rsid w:val="70F822BA"/>
    <w:rsid w:val="7101F65E"/>
    <w:rsid w:val="710C866F"/>
    <w:rsid w:val="71141080"/>
    <w:rsid w:val="71162CC8"/>
    <w:rsid w:val="7121AC26"/>
    <w:rsid w:val="712D9800"/>
    <w:rsid w:val="712E53C5"/>
    <w:rsid w:val="71572DE4"/>
    <w:rsid w:val="71687EEA"/>
    <w:rsid w:val="716C0A2E"/>
    <w:rsid w:val="716FD75F"/>
    <w:rsid w:val="717CF16F"/>
    <w:rsid w:val="7182E70B"/>
    <w:rsid w:val="7184AD71"/>
    <w:rsid w:val="71A1C5D0"/>
    <w:rsid w:val="71A236AC"/>
    <w:rsid w:val="71C38FE5"/>
    <w:rsid w:val="71C6DA4A"/>
    <w:rsid w:val="71D2D528"/>
    <w:rsid w:val="71E23074"/>
    <w:rsid w:val="71FAFF1E"/>
    <w:rsid w:val="720159F9"/>
    <w:rsid w:val="7208BB23"/>
    <w:rsid w:val="72096E55"/>
    <w:rsid w:val="723EC139"/>
    <w:rsid w:val="724EDA8F"/>
    <w:rsid w:val="725487A6"/>
    <w:rsid w:val="72574002"/>
    <w:rsid w:val="7261E66E"/>
    <w:rsid w:val="72668665"/>
    <w:rsid w:val="72699B47"/>
    <w:rsid w:val="72860525"/>
    <w:rsid w:val="729044AC"/>
    <w:rsid w:val="7292E63C"/>
    <w:rsid w:val="7293E6DC"/>
    <w:rsid w:val="72941DA3"/>
    <w:rsid w:val="7297595F"/>
    <w:rsid w:val="72985D21"/>
    <w:rsid w:val="72A46DF4"/>
    <w:rsid w:val="72B0C0FA"/>
    <w:rsid w:val="72B6470C"/>
    <w:rsid w:val="72B8EAEE"/>
    <w:rsid w:val="72DF944F"/>
    <w:rsid w:val="72E3677C"/>
    <w:rsid w:val="72F50305"/>
    <w:rsid w:val="730CED0A"/>
    <w:rsid w:val="731337B9"/>
    <w:rsid w:val="73178470"/>
    <w:rsid w:val="7317F225"/>
    <w:rsid w:val="731D3C5A"/>
    <w:rsid w:val="731DB57E"/>
    <w:rsid w:val="7321B387"/>
    <w:rsid w:val="7341304D"/>
    <w:rsid w:val="734461CB"/>
    <w:rsid w:val="7350894F"/>
    <w:rsid w:val="7362FDBE"/>
    <w:rsid w:val="73662F9D"/>
    <w:rsid w:val="7378ED5D"/>
    <w:rsid w:val="738D6B17"/>
    <w:rsid w:val="73966493"/>
    <w:rsid w:val="73A16A47"/>
    <w:rsid w:val="73B5299E"/>
    <w:rsid w:val="73C545B4"/>
    <w:rsid w:val="73DA2FDD"/>
    <w:rsid w:val="73DBFC5F"/>
    <w:rsid w:val="73E0B233"/>
    <w:rsid w:val="73F0BC96"/>
    <w:rsid w:val="73F1E90E"/>
    <w:rsid w:val="73F4834B"/>
    <w:rsid w:val="74212C59"/>
    <w:rsid w:val="7429F4E2"/>
    <w:rsid w:val="74447F39"/>
    <w:rsid w:val="7461B3FE"/>
    <w:rsid w:val="747280BF"/>
    <w:rsid w:val="74996868"/>
    <w:rsid w:val="74AFD12B"/>
    <w:rsid w:val="74B88AB2"/>
    <w:rsid w:val="74B9CEBA"/>
    <w:rsid w:val="74C7EBAC"/>
    <w:rsid w:val="74CF98D0"/>
    <w:rsid w:val="74D2DB64"/>
    <w:rsid w:val="74DC0AE2"/>
    <w:rsid w:val="74E58B0C"/>
    <w:rsid w:val="74EC0A69"/>
    <w:rsid w:val="74ED1D4D"/>
    <w:rsid w:val="7502AB58"/>
    <w:rsid w:val="750C12A5"/>
    <w:rsid w:val="75113975"/>
    <w:rsid w:val="753EB75B"/>
    <w:rsid w:val="753FB470"/>
    <w:rsid w:val="7543535C"/>
    <w:rsid w:val="7554C93B"/>
    <w:rsid w:val="75648465"/>
    <w:rsid w:val="7579D410"/>
    <w:rsid w:val="757AE320"/>
    <w:rsid w:val="75892385"/>
    <w:rsid w:val="75B03BF4"/>
    <w:rsid w:val="75BA4928"/>
    <w:rsid w:val="75BA70DE"/>
    <w:rsid w:val="75C16B5F"/>
    <w:rsid w:val="75C5C543"/>
    <w:rsid w:val="75E6C56D"/>
    <w:rsid w:val="760214AA"/>
    <w:rsid w:val="761791A7"/>
    <w:rsid w:val="761A2D3B"/>
    <w:rsid w:val="7625492F"/>
    <w:rsid w:val="762681C9"/>
    <w:rsid w:val="76471593"/>
    <w:rsid w:val="76484B48"/>
    <w:rsid w:val="764870B0"/>
    <w:rsid w:val="764C3227"/>
    <w:rsid w:val="765131D3"/>
    <w:rsid w:val="76649F04"/>
    <w:rsid w:val="766E5757"/>
    <w:rsid w:val="7677CAD2"/>
    <w:rsid w:val="7688F726"/>
    <w:rsid w:val="76936750"/>
    <w:rsid w:val="769C4767"/>
    <w:rsid w:val="76B2A2A5"/>
    <w:rsid w:val="76B6FF54"/>
    <w:rsid w:val="76DA87BC"/>
    <w:rsid w:val="770F6218"/>
    <w:rsid w:val="7713BE5E"/>
    <w:rsid w:val="775B55BA"/>
    <w:rsid w:val="775F2B73"/>
    <w:rsid w:val="77600D79"/>
    <w:rsid w:val="777788F8"/>
    <w:rsid w:val="777D43E9"/>
    <w:rsid w:val="777F3B2B"/>
    <w:rsid w:val="77A05D36"/>
    <w:rsid w:val="77A38144"/>
    <w:rsid w:val="77AC8332"/>
    <w:rsid w:val="77B6F479"/>
    <w:rsid w:val="77B9724C"/>
    <w:rsid w:val="77C393A1"/>
    <w:rsid w:val="77C90DF8"/>
    <w:rsid w:val="77CA256D"/>
    <w:rsid w:val="78024C1D"/>
    <w:rsid w:val="781DCBC6"/>
    <w:rsid w:val="7820828E"/>
    <w:rsid w:val="7848EDF8"/>
    <w:rsid w:val="7855EAE9"/>
    <w:rsid w:val="78568236"/>
    <w:rsid w:val="785A7828"/>
    <w:rsid w:val="786BEE77"/>
    <w:rsid w:val="787586D3"/>
    <w:rsid w:val="7877AA3F"/>
    <w:rsid w:val="787DDAD1"/>
    <w:rsid w:val="7890F8E7"/>
    <w:rsid w:val="789165C5"/>
    <w:rsid w:val="78967F15"/>
    <w:rsid w:val="789FF159"/>
    <w:rsid w:val="78ADCFAA"/>
    <w:rsid w:val="78B205EC"/>
    <w:rsid w:val="78BD4FE0"/>
    <w:rsid w:val="78BF65F3"/>
    <w:rsid w:val="78CA95A1"/>
    <w:rsid w:val="78CEF863"/>
    <w:rsid w:val="78D4194F"/>
    <w:rsid w:val="78DC9961"/>
    <w:rsid w:val="78E386D3"/>
    <w:rsid w:val="78E98800"/>
    <w:rsid w:val="78F39A9F"/>
    <w:rsid w:val="790E8810"/>
    <w:rsid w:val="79268C7E"/>
    <w:rsid w:val="79293DFF"/>
    <w:rsid w:val="793A7848"/>
    <w:rsid w:val="793B4492"/>
    <w:rsid w:val="7952CB3A"/>
    <w:rsid w:val="7960B6D9"/>
    <w:rsid w:val="796CD98B"/>
    <w:rsid w:val="79845245"/>
    <w:rsid w:val="79944B37"/>
    <w:rsid w:val="79A59A3E"/>
    <w:rsid w:val="79B32F17"/>
    <w:rsid w:val="79BEC387"/>
    <w:rsid w:val="79D235C7"/>
    <w:rsid w:val="79DEF684"/>
    <w:rsid w:val="79E4CECF"/>
    <w:rsid w:val="79F44B9B"/>
    <w:rsid w:val="7A02A6C6"/>
    <w:rsid w:val="7A10207F"/>
    <w:rsid w:val="7A16A1CE"/>
    <w:rsid w:val="7A1E6426"/>
    <w:rsid w:val="7A23DFA2"/>
    <w:rsid w:val="7A2EC68D"/>
    <w:rsid w:val="7A395E7F"/>
    <w:rsid w:val="7A3AA7D1"/>
    <w:rsid w:val="7A52F3FF"/>
    <w:rsid w:val="7A66D009"/>
    <w:rsid w:val="7A68B6C2"/>
    <w:rsid w:val="7A691A45"/>
    <w:rsid w:val="7A7E4372"/>
    <w:rsid w:val="7A803887"/>
    <w:rsid w:val="7A8BEB98"/>
    <w:rsid w:val="7A8C3C1E"/>
    <w:rsid w:val="7AB2C1FC"/>
    <w:rsid w:val="7ABA14A4"/>
    <w:rsid w:val="7ABC3A1A"/>
    <w:rsid w:val="7ABDD068"/>
    <w:rsid w:val="7AC78BC4"/>
    <w:rsid w:val="7AF18C73"/>
    <w:rsid w:val="7B1DEA00"/>
    <w:rsid w:val="7B1E36CF"/>
    <w:rsid w:val="7B2795FD"/>
    <w:rsid w:val="7B4650DB"/>
    <w:rsid w:val="7B4D0ADF"/>
    <w:rsid w:val="7B54C03D"/>
    <w:rsid w:val="7B72AFCA"/>
    <w:rsid w:val="7B838317"/>
    <w:rsid w:val="7B963148"/>
    <w:rsid w:val="7BA2841E"/>
    <w:rsid w:val="7BB25D4C"/>
    <w:rsid w:val="7BB84665"/>
    <w:rsid w:val="7BCF21F9"/>
    <w:rsid w:val="7BD182DA"/>
    <w:rsid w:val="7BD7E221"/>
    <w:rsid w:val="7BD8E149"/>
    <w:rsid w:val="7BDE2126"/>
    <w:rsid w:val="7BE0CAF7"/>
    <w:rsid w:val="7BE1F27A"/>
    <w:rsid w:val="7BE2F835"/>
    <w:rsid w:val="7BE70F7B"/>
    <w:rsid w:val="7BF4B8D2"/>
    <w:rsid w:val="7C048723"/>
    <w:rsid w:val="7C064BB0"/>
    <w:rsid w:val="7C358270"/>
    <w:rsid w:val="7C385B68"/>
    <w:rsid w:val="7C3A08B6"/>
    <w:rsid w:val="7C58ADAA"/>
    <w:rsid w:val="7C5FCD34"/>
    <w:rsid w:val="7C6568C4"/>
    <w:rsid w:val="7C7138AE"/>
    <w:rsid w:val="7C7A3EC6"/>
    <w:rsid w:val="7C7B512F"/>
    <w:rsid w:val="7C82631F"/>
    <w:rsid w:val="7CAC2CEE"/>
    <w:rsid w:val="7CACEFC8"/>
    <w:rsid w:val="7CC61634"/>
    <w:rsid w:val="7CD119D0"/>
    <w:rsid w:val="7CD33A47"/>
    <w:rsid w:val="7CD8122E"/>
    <w:rsid w:val="7CDD3B00"/>
    <w:rsid w:val="7CDD99A3"/>
    <w:rsid w:val="7D0E490D"/>
    <w:rsid w:val="7D341CD7"/>
    <w:rsid w:val="7D476FE5"/>
    <w:rsid w:val="7D55C516"/>
    <w:rsid w:val="7D5CFED5"/>
    <w:rsid w:val="7D5FDC28"/>
    <w:rsid w:val="7D6CB884"/>
    <w:rsid w:val="7D73B580"/>
    <w:rsid w:val="7D762410"/>
    <w:rsid w:val="7D78943E"/>
    <w:rsid w:val="7D7C9B58"/>
    <w:rsid w:val="7D918552"/>
    <w:rsid w:val="7D91E6F6"/>
    <w:rsid w:val="7D94C834"/>
    <w:rsid w:val="7D96CDC5"/>
    <w:rsid w:val="7DA8D53C"/>
    <w:rsid w:val="7DAC0E75"/>
    <w:rsid w:val="7DC8DE57"/>
    <w:rsid w:val="7DD8FF70"/>
    <w:rsid w:val="7DE41908"/>
    <w:rsid w:val="7DF0BE70"/>
    <w:rsid w:val="7DF0EAE8"/>
    <w:rsid w:val="7DFE0A53"/>
    <w:rsid w:val="7E087594"/>
    <w:rsid w:val="7E09ECD2"/>
    <w:rsid w:val="7E0AD3C1"/>
    <w:rsid w:val="7E0D8FE9"/>
    <w:rsid w:val="7E1A1999"/>
    <w:rsid w:val="7E272251"/>
    <w:rsid w:val="7E28D19F"/>
    <w:rsid w:val="7E366B92"/>
    <w:rsid w:val="7E37A452"/>
    <w:rsid w:val="7E406D26"/>
    <w:rsid w:val="7E61FDB6"/>
    <w:rsid w:val="7E66A54D"/>
    <w:rsid w:val="7E76D713"/>
    <w:rsid w:val="7E91FA4C"/>
    <w:rsid w:val="7E96547B"/>
    <w:rsid w:val="7E9FD585"/>
    <w:rsid w:val="7EA68970"/>
    <w:rsid w:val="7EAED79C"/>
    <w:rsid w:val="7EBBD37A"/>
    <w:rsid w:val="7EC43EEC"/>
    <w:rsid w:val="7ED17CCC"/>
    <w:rsid w:val="7EE26A77"/>
    <w:rsid w:val="7EF18A32"/>
    <w:rsid w:val="7EF4550C"/>
    <w:rsid w:val="7EFA6127"/>
    <w:rsid w:val="7F1B7CEF"/>
    <w:rsid w:val="7F1EF88D"/>
    <w:rsid w:val="7F1F796C"/>
    <w:rsid w:val="7F2B3FF6"/>
    <w:rsid w:val="7F340DA1"/>
    <w:rsid w:val="7F3AB2D6"/>
    <w:rsid w:val="7F3C216A"/>
    <w:rsid w:val="7F5152E4"/>
    <w:rsid w:val="7F5B8DB5"/>
    <w:rsid w:val="7F6115A1"/>
    <w:rsid w:val="7F615324"/>
    <w:rsid w:val="7F64E0CE"/>
    <w:rsid w:val="7F6FB890"/>
    <w:rsid w:val="7F81A2E6"/>
    <w:rsid w:val="7FB083D1"/>
    <w:rsid w:val="7FE73E7F"/>
    <w:rsid w:val="7FE81168"/>
    <w:rsid w:val="7FE893BE"/>
    <w:rsid w:val="7FEDAF4B"/>
    <w:rsid w:val="7FF4FAE4"/>
    <w:rsid w:val="7FFE1E1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line;v-text-anchor:middle" fillcolor="none [3215]" strokecolor="none [2415]">
      <v:fill color="none [3215]"/>
      <v:stroke color="none [2415]" weight="5pt"/>
      <v:textbox inset=",2.5mm,,2.5mm"/>
    </o:shapedefaults>
    <o:shapelayout v:ext="edit">
      <o:idmap v:ext="edit" data="2"/>
    </o:shapelayout>
  </w:shapeDefaults>
  <w:decimalSymbol w:val="."/>
  <w:listSeparator w:val=","/>
  <w14:docId w14:val="1EFE7F3A"/>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8"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0"/>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index 1" w:semiHidden="1" w:uiPriority="29"/>
    <w:lsdException w:name="index 2" w:semiHidden="1" w:uiPriority="29"/>
    <w:lsdException w:name="index 3" w:semiHidden="1" w:uiPriority="29"/>
    <w:lsdException w:name="index 4" w:semiHidden="1" w:uiPriority="29"/>
    <w:lsdException w:name="index 5" w:semiHidden="1" w:uiPriority="29"/>
    <w:lsdException w:name="index 6" w:semiHidden="1" w:uiPriority="29"/>
    <w:lsdException w:name="index 7" w:semiHidden="1" w:uiPriority="29"/>
    <w:lsdException w:name="index 8" w:semiHidden="1" w:uiPriority="29"/>
    <w:lsdException w:name="index 9" w:semiHidden="1" w:uiPriority="29"/>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uiPriority="39"/>
    <w:lsdException w:name="toc 6" w:semiHidden="1" w:uiPriority="39" w:unhideWhenUsed="1"/>
    <w:lsdException w:name="toc 7" w:semiHidden="1" w:uiPriority="39"/>
    <w:lsdException w:name="toc 8" w:semiHidden="1" w:uiPriority="39"/>
    <w:lsdException w:name="toc 9" w:semiHidden="1" w:uiPriority="39"/>
    <w:lsdException w:name="Normal Indent" w:semiHidden="1" w:uiPriority="29"/>
    <w:lsdException w:name="footnote text" w:semiHidden="1" w:uiPriority="9" w:unhideWhenUsed="1"/>
    <w:lsdException w:name="annotation text" w:semiHidden="1" w:uiPriority="29"/>
    <w:lsdException w:name="header" w:semiHidden="1" w:uiPriority="29" w:unhideWhenUsed="1"/>
    <w:lsdException w:name="footer" w:semiHidden="1" w:uiPriority="21" w:unhideWhenUsed="1" w:qFormat="1"/>
    <w:lsdException w:name="index heading" w:semiHidden="1" w:uiPriority="29"/>
    <w:lsdException w:name="caption" w:semiHidden="1" w:uiPriority="19"/>
    <w:lsdException w:name="table of figures" w:semiHidden="1" w:uiPriority="99" w:unhideWhenUsed="1"/>
    <w:lsdException w:name="envelope address" w:semiHidden="1" w:uiPriority="50"/>
    <w:lsdException w:name="envelope return" w:semiHidden="1" w:uiPriority="50"/>
    <w:lsdException w:name="footnote reference" w:semiHidden="1" w:uiPriority="99" w:unhideWhenUsed="1" w:qFormat="1"/>
    <w:lsdException w:name="annotation reference" w:semiHidden="1" w:uiPriority="29"/>
    <w:lsdException w:name="line number" w:semiHidden="1" w:uiPriority="29"/>
    <w:lsdException w:name="page number" w:semiHidden="1" w:uiPriority="49"/>
    <w:lsdException w:name="endnote reference" w:semiHidden="1" w:uiPriority="50"/>
    <w:lsdException w:name="endnote text" w:semiHidden="1" w:uiPriority="50"/>
    <w:lsdException w:name="table of authorities" w:semiHidden="1" w:unhideWhenUsed="1"/>
    <w:lsdException w:name="macro" w:semiHidden="1" w:uiPriority="29"/>
    <w:lsdException w:name="toa heading" w:semiHidden="1" w:uiPriority="20"/>
    <w:lsdException w:name="List" w:semiHidden="1" w:uiPriority="4" w:unhideWhenUsed="1" w:qFormat="1"/>
    <w:lsdException w:name="List Bullet" w:semiHidden="1" w:uiPriority="3" w:unhideWhenUsed="1" w:qFormat="1"/>
    <w:lsdException w:name="List Number" w:uiPriority="3" w:qFormat="1"/>
    <w:lsdException w:name="List 2" w:semiHidden="1" w:uiPriority="4" w:unhideWhenUsed="1"/>
    <w:lsdException w:name="List 3" w:semiHidden="1" w:uiPriority="4" w:unhideWhenUsed="1"/>
    <w:lsdException w:name="List 4" w:semiHidden="1" w:uiPriority="3"/>
    <w:lsdException w:name="List 5" w:semiHidden="1" w:uiPriority="3"/>
    <w:lsdException w:name="List Bullet 2" w:semiHidden="1" w:uiPriority="3" w:unhideWhenUsed="1"/>
    <w:lsdException w:name="List Bullet 3" w:semiHidden="1" w:uiPriority="3" w:unhideWhenUsed="1"/>
    <w:lsdException w:name="List Bullet 4" w:semiHidden="1" w:uiPriority="3" w:unhideWhenUsed="1"/>
    <w:lsdException w:name="List Bullet 5" w:semiHidden="1" w:uiPriority="3" w:unhideWhenUsed="1"/>
    <w:lsdException w:name="List Number 2" w:semiHidden="1" w:uiPriority="3" w:unhideWhenUsed="1"/>
    <w:lsdException w:name="List Number 3" w:semiHidden="1" w:uiPriority="3" w:unhideWhenUsed="1"/>
    <w:lsdException w:name="List Number 4" w:semiHidden="1" w:uiPriority="3" w:unhideWhenUsed="1"/>
    <w:lsdException w:name="List Number 5" w:semiHidden="1" w:uiPriority="3" w:unhideWhenUsed="1"/>
    <w:lsdException w:name="Title" w:uiPriority="0"/>
    <w:lsdException w:name="Closing" w:semiHidden="1" w:uiPriority="29"/>
    <w:lsdException w:name="Signature" w:semiHidden="1" w:uiPriority="49"/>
    <w:lsdException w:name="Default Paragraph Font" w:semiHidden="1" w:uiPriority="0" w:unhideWhenUsed="1"/>
    <w:lsdException w:name="Body Text" w:semiHidden="1" w:uiPriority="29"/>
    <w:lsdException w:name="Body Text Indent" w:semiHidden="1" w:uiPriority="29"/>
    <w:lsdException w:name="List Continue" w:semiHidden="1" w:uiPriority="29"/>
    <w:lsdException w:name="List Continue 2" w:semiHidden="1" w:uiPriority="29"/>
    <w:lsdException w:name="List Continue 3" w:semiHidden="1" w:uiPriority="29"/>
    <w:lsdException w:name="List Continue 4" w:semiHidden="1" w:uiPriority="29"/>
    <w:lsdException w:name="List Continue 5" w:semiHidden="1" w:uiPriority="29"/>
    <w:lsdException w:name="Message Header" w:semiHidden="1" w:uiPriority="29"/>
    <w:lsdException w:name="Subtitle" w:uiPriority="0"/>
    <w:lsdException w:name="Salutation" w:semiHidden="1" w:uiPriority="49"/>
    <w:lsdException w:name="Date" w:uiPriority="0"/>
    <w:lsdException w:name="Body Text First Indent" w:semiHidden="1" w:uiPriority="29"/>
    <w:lsdException w:name="Body Text First Indent 2" w:semiHidden="1" w:uiPriority="29"/>
    <w:lsdException w:name="Note Heading" w:semiHidden="1" w:uiPriority="29"/>
    <w:lsdException w:name="Body Text 2" w:semiHidden="1" w:uiPriority="29"/>
    <w:lsdException w:name="Body Text 3" w:semiHidden="1" w:uiPriority="29"/>
    <w:lsdException w:name="Body Text Indent 2" w:semiHidden="1" w:uiPriority="29"/>
    <w:lsdException w:name="Body Text Indent 3" w:semiHidden="1" w:uiPriority="29"/>
    <w:lsdException w:name="Block Text" w:semiHidden="1" w:uiPriority="29"/>
    <w:lsdException w:name="Hyperlink" w:semiHidden="1" w:uiPriority="99" w:unhideWhenUsed="1"/>
    <w:lsdException w:name="FollowedHyperlink" w:semiHidden="1" w:uiPriority="50"/>
    <w:lsdException w:name="Strong" w:semiHidden="1" w:uiPriority="49"/>
    <w:lsdException w:name="Emphasis" w:semiHidden="1" w:uiPriority="50"/>
    <w:lsdException w:name="Document Map" w:semiHidden="1" w:uiPriority="50"/>
    <w:lsdException w:name="Plain Text" w:semiHidden="1" w:uiPriority="49"/>
    <w:lsdException w:name="E-mail Signature" w:semiHidden="1" w:uiPriority="50"/>
    <w:lsdException w:name="HTML Top of Form" w:semiHidden="1" w:uiPriority="0" w:unhideWhenUsed="1"/>
    <w:lsdException w:name="HTML Bottom of Form" w:semiHidden="1" w:uiPriority="0" w:unhideWhenUsed="1"/>
    <w:lsdException w:name="Normal (Web)" w:semiHidden="1" w:uiPriority="29"/>
    <w:lsdException w:name="HTML Acronym" w:semiHidden="1" w:uiPriority="29"/>
    <w:lsdException w:name="HTML Address" w:semiHidden="1" w:uiPriority="29"/>
    <w:lsdException w:name="HTML Cite" w:semiHidden="1" w:uiPriority="29"/>
    <w:lsdException w:name="HTML Code" w:semiHidden="1" w:uiPriority="29"/>
    <w:lsdException w:name="HTML Definition" w:semiHidden="1" w:uiPriority="29"/>
    <w:lsdException w:name="HTML Keyboard" w:semiHidden="1" w:uiPriority="29"/>
    <w:lsdException w:name="HTML Preformatted" w:semiHidden="1" w:uiPriority="29"/>
    <w:lsdException w:name="HTML Sample" w:semiHidden="1" w:uiPriority="29"/>
    <w:lsdException w:name="HTML Typewriter" w:semiHidden="1" w:uiPriority="29"/>
    <w:lsdException w:name="HTML Variable" w:semiHidden="1" w:uiPriority="29"/>
    <w:lsdException w:name="Normal Table" w:semiHidden="1" w:unhideWhenUsed="1"/>
    <w:lsdException w:name="annotation subject" w:semiHidden="1" w:uiPriority="29"/>
    <w:lsdException w:name="No List"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iPriority="99"/>
    <w:lsdException w:name="No Spacing" w:uiPriority="3"/>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semiHidden="1" w:uiPriority="34" w:qFormat="1"/>
    <w:lsdException w:name="Quote" w:semiHidden="1" w:uiPriority="29"/>
    <w:lsdException w:name="Intense Quote" w:semiHidden="1" w:uiPriority="30"/>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iPriority="4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lsdException w:name="TOC Heading" w:semiHidden="1" w:uiPriority="39" w:unhideWhenUsed="1" w:qFormat="1"/>
    <w:lsdException w:name="Grid Table 4 Accent 1" w:uiPriority="49"/>
    <w:lsdException w:name="Grid Table 5 Dark Accent 2" w:uiPriority="50"/>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2"/>
    <w:qFormat/>
    <w:rsid w:val="00145656"/>
    <w:pPr>
      <w:spacing w:after="160" w:line="280" w:lineRule="atLeast"/>
    </w:pPr>
    <w:rPr>
      <w:rFonts w:asciiTheme="minorHAnsi" w:eastAsiaTheme="majorEastAsia" w:hAnsiTheme="minorHAnsi" w:cs="Calibri"/>
      <w:color w:val="000000" w:themeColor="text1"/>
      <w:szCs w:val="24"/>
    </w:rPr>
  </w:style>
  <w:style w:type="paragraph" w:styleId="Heading1">
    <w:name w:val="heading 1"/>
    <w:basedOn w:val="Normal"/>
    <w:next w:val="Normal"/>
    <w:link w:val="Heading1Char"/>
    <w:uiPriority w:val="1"/>
    <w:qFormat/>
    <w:rsid w:val="00326D32"/>
    <w:pPr>
      <w:pBdr>
        <w:bottom w:val="single" w:sz="4" w:space="1" w:color="1D336D" w:themeColor="background2"/>
      </w:pBdr>
      <w:spacing w:before="240"/>
      <w:outlineLvl w:val="0"/>
    </w:pPr>
    <w:rPr>
      <w:b/>
      <w:iCs/>
      <w:caps/>
      <w:color w:val="1D336D" w:themeColor="background2"/>
      <w:sz w:val="32"/>
      <w:szCs w:val="28"/>
    </w:rPr>
  </w:style>
  <w:style w:type="paragraph" w:styleId="Heading2">
    <w:name w:val="heading 2"/>
    <w:basedOn w:val="Heading1"/>
    <w:next w:val="Normal"/>
    <w:link w:val="Heading2Char"/>
    <w:uiPriority w:val="1"/>
    <w:qFormat/>
    <w:rsid w:val="001141B5"/>
    <w:pPr>
      <w:numPr>
        <w:ilvl w:val="1"/>
      </w:numPr>
      <w:pBdr>
        <w:bottom w:val="none" w:sz="0" w:space="0" w:color="auto"/>
      </w:pBdr>
      <w:outlineLvl w:val="1"/>
    </w:pPr>
    <w:rPr>
      <w:bCs/>
      <w:caps w:val="0"/>
      <w:color w:val="152651" w:themeColor="background2" w:themeShade="BF"/>
      <w:sz w:val="26"/>
      <w:szCs w:val="26"/>
      <w:lang w:val="en-GB"/>
    </w:rPr>
  </w:style>
  <w:style w:type="paragraph" w:styleId="Heading3">
    <w:name w:val="heading 3"/>
    <w:basedOn w:val="Heading1"/>
    <w:next w:val="Normal"/>
    <w:link w:val="Heading3Char"/>
    <w:uiPriority w:val="1"/>
    <w:qFormat/>
    <w:rsid w:val="003A5075"/>
    <w:pPr>
      <w:keepNext/>
      <w:numPr>
        <w:ilvl w:val="2"/>
      </w:numPr>
      <w:pBdr>
        <w:bottom w:val="none" w:sz="0" w:space="0" w:color="auto"/>
      </w:pBdr>
      <w:outlineLvl w:val="2"/>
    </w:pPr>
    <w:rPr>
      <w:b w:val="0"/>
      <w:bCs/>
      <w:caps w:val="0"/>
      <w:color w:val="507CB9"/>
      <w:sz w:val="24"/>
      <w:szCs w:val="26"/>
    </w:rPr>
  </w:style>
  <w:style w:type="paragraph" w:styleId="Heading4">
    <w:name w:val="heading 4"/>
    <w:basedOn w:val="Heading3"/>
    <w:next w:val="Normal"/>
    <w:link w:val="Heading4Char"/>
    <w:uiPriority w:val="1"/>
    <w:rsid w:val="00F24D58"/>
    <w:pPr>
      <w:outlineLvl w:val="3"/>
    </w:pPr>
    <w:rPr>
      <w:rFonts w:eastAsia="Century Gothic"/>
      <w:b/>
      <w:color w:val="1D336D" w:themeColor="background2"/>
      <w:sz w:val="22"/>
    </w:rPr>
  </w:style>
  <w:style w:type="paragraph" w:styleId="Heading5">
    <w:name w:val="heading 5"/>
    <w:basedOn w:val="Normal"/>
    <w:next w:val="Normal"/>
    <w:link w:val="Heading5Char"/>
    <w:uiPriority w:val="1"/>
    <w:semiHidden/>
    <w:qFormat/>
    <w:rsid w:val="00100070"/>
    <w:pPr>
      <w:keepNext/>
      <w:keepLines/>
      <w:spacing w:before="40" w:after="0"/>
      <w:outlineLvl w:val="4"/>
    </w:pPr>
    <w:rPr>
      <w:rFonts w:asciiTheme="majorHAnsi" w:hAnsiTheme="majorHAnsi" w:cstheme="majorBidi"/>
      <w:color w:val="585858" w:themeColor="text2"/>
    </w:rPr>
  </w:style>
  <w:style w:type="paragraph" w:styleId="Heading6">
    <w:name w:val="heading 6"/>
    <w:basedOn w:val="Normal"/>
    <w:next w:val="Normal"/>
    <w:link w:val="Heading6Char"/>
    <w:uiPriority w:val="1"/>
    <w:semiHidden/>
    <w:qFormat/>
    <w:rsid w:val="00100070"/>
    <w:pPr>
      <w:keepNext/>
      <w:keepLines/>
      <w:spacing w:before="40" w:after="0"/>
      <w:outlineLvl w:val="5"/>
    </w:pPr>
    <w:rPr>
      <w:rFonts w:asciiTheme="majorHAnsi" w:hAnsiTheme="majorHAnsi" w:cstheme="majorBidi"/>
      <w:color w:val="1D336D" w:themeColor="background2"/>
    </w:rPr>
  </w:style>
  <w:style w:type="paragraph" w:styleId="Heading7">
    <w:name w:val="heading 7"/>
    <w:basedOn w:val="Normal"/>
    <w:next w:val="Normal"/>
    <w:link w:val="Heading7Char"/>
    <w:uiPriority w:val="1"/>
    <w:semiHidden/>
    <w:qFormat/>
    <w:rsid w:val="00100070"/>
    <w:pPr>
      <w:keepNext/>
      <w:keepLines/>
      <w:spacing w:before="40" w:after="0"/>
      <w:outlineLvl w:val="6"/>
    </w:pPr>
    <w:rPr>
      <w:rFonts w:asciiTheme="majorHAnsi" w:hAnsiTheme="majorHAnsi" w:cstheme="majorBidi"/>
      <w:i/>
      <w:iCs/>
      <w:color w:val="585858" w:themeColor="text2"/>
    </w:rPr>
  </w:style>
  <w:style w:type="paragraph" w:styleId="Heading8">
    <w:name w:val="heading 8"/>
    <w:basedOn w:val="Normal"/>
    <w:next w:val="Normal"/>
    <w:link w:val="Heading8Char"/>
    <w:uiPriority w:val="1"/>
    <w:semiHidden/>
    <w:qFormat/>
    <w:rsid w:val="00100070"/>
    <w:pPr>
      <w:keepNext/>
      <w:keepLines/>
      <w:spacing w:before="240"/>
      <w:outlineLvl w:val="7"/>
    </w:pPr>
    <w:rPr>
      <w:rFonts w:asciiTheme="majorHAnsi" w:hAnsiTheme="majorHAnsi" w:cstheme="majorBidi"/>
      <w:i/>
      <w:color w:val="1D336D" w:themeColor="background2"/>
      <w:szCs w:val="21"/>
    </w:rPr>
  </w:style>
  <w:style w:type="paragraph" w:styleId="Heading9">
    <w:name w:val="heading 9"/>
    <w:basedOn w:val="Normal"/>
    <w:next w:val="Normal"/>
    <w:link w:val="Heading9Char"/>
    <w:uiPriority w:val="1"/>
    <w:semiHidden/>
    <w:qFormat/>
    <w:rsid w:val="00100070"/>
    <w:pPr>
      <w:keepNext/>
      <w:keepLines/>
      <w:spacing w:before="240"/>
      <w:outlineLvl w:val="8"/>
    </w:pPr>
    <w:rPr>
      <w:rFonts w:asciiTheme="majorHAnsi" w:hAnsiTheme="majorHAnsi" w:cstheme="majorBidi"/>
      <w:i/>
      <w:iCs/>
      <w:color w:val="00000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semiHidden/>
    <w:rsid w:val="00827C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29"/>
    <w:semiHidden/>
    <w:rsid w:val="00BD2E72"/>
    <w:pPr>
      <w:spacing w:after="0" w:line="240" w:lineRule="auto"/>
    </w:pPr>
    <w:rPr>
      <w:color w:val="FFFFFF"/>
    </w:rPr>
  </w:style>
  <w:style w:type="character" w:customStyle="1" w:styleId="HeaderChar">
    <w:name w:val="Header Char"/>
    <w:basedOn w:val="DefaultParagraphFont"/>
    <w:link w:val="Header"/>
    <w:uiPriority w:val="29"/>
    <w:semiHidden/>
    <w:rsid w:val="00310B3A"/>
    <w:rPr>
      <w:rFonts w:asciiTheme="minorHAnsi" w:eastAsiaTheme="majorEastAsia" w:hAnsiTheme="minorHAnsi" w:cs="Calibri"/>
      <w:color w:val="FFFFFF"/>
      <w:szCs w:val="24"/>
    </w:rPr>
  </w:style>
  <w:style w:type="paragraph" w:styleId="Footer">
    <w:name w:val="footer"/>
    <w:basedOn w:val="Normal"/>
    <w:link w:val="FooterChar"/>
    <w:uiPriority w:val="21"/>
    <w:qFormat/>
    <w:rsid w:val="00145656"/>
    <w:pPr>
      <w:spacing w:after="0" w:line="240" w:lineRule="auto"/>
    </w:pPr>
    <w:rPr>
      <w:color w:val="1D336D" w:themeColor="background2"/>
      <w:sz w:val="18"/>
    </w:rPr>
  </w:style>
  <w:style w:type="character" w:customStyle="1" w:styleId="FooterChar">
    <w:name w:val="Footer Char"/>
    <w:basedOn w:val="DefaultParagraphFont"/>
    <w:link w:val="Footer"/>
    <w:uiPriority w:val="21"/>
    <w:rsid w:val="00145656"/>
    <w:rPr>
      <w:rFonts w:asciiTheme="minorHAnsi" w:eastAsiaTheme="majorEastAsia" w:hAnsiTheme="minorHAnsi" w:cs="Calibri"/>
      <w:color w:val="1D336D" w:themeColor="background2"/>
      <w:sz w:val="18"/>
      <w:szCs w:val="24"/>
    </w:rPr>
  </w:style>
  <w:style w:type="paragraph" w:styleId="BalloonText">
    <w:name w:val="Balloon Text"/>
    <w:basedOn w:val="Normal"/>
    <w:link w:val="BalloonTextChar"/>
    <w:uiPriority w:val="29"/>
    <w:semiHidden/>
    <w:rsid w:val="006753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9"/>
    <w:semiHidden/>
    <w:rsid w:val="00E4514E"/>
    <w:rPr>
      <w:rFonts w:ascii="Tahoma" w:hAnsi="Tahoma" w:cs="Tahoma"/>
      <w:sz w:val="16"/>
      <w:szCs w:val="16"/>
    </w:rPr>
  </w:style>
  <w:style w:type="paragraph" w:customStyle="1" w:styleId="Detail">
    <w:name w:val="Detail"/>
    <w:basedOn w:val="Normal"/>
    <w:uiPriority w:val="50"/>
    <w:semiHidden/>
    <w:rsid w:val="00A67C11"/>
  </w:style>
  <w:style w:type="paragraph" w:styleId="ListNumber">
    <w:name w:val="List Number"/>
    <w:basedOn w:val="Normal"/>
    <w:link w:val="ListNumberChar"/>
    <w:uiPriority w:val="3"/>
    <w:qFormat/>
    <w:rsid w:val="00D4310E"/>
    <w:pPr>
      <w:numPr>
        <w:numId w:val="26"/>
      </w:numPr>
      <w:spacing w:after="120"/>
    </w:pPr>
    <w:rPr>
      <w:rFonts w:eastAsia="Century Gothic" w:cstheme="minorBidi"/>
      <w:szCs w:val="20"/>
      <w:lang w:eastAsia="en-US"/>
    </w:rPr>
  </w:style>
  <w:style w:type="paragraph" w:styleId="ListBullet">
    <w:name w:val="List Bullet"/>
    <w:basedOn w:val="Normal"/>
    <w:uiPriority w:val="3"/>
    <w:qFormat/>
    <w:rsid w:val="00596177"/>
    <w:pPr>
      <w:numPr>
        <w:numId w:val="31"/>
      </w:numPr>
      <w:spacing w:after="120"/>
    </w:pPr>
    <w:rPr>
      <w:rFonts w:eastAsia="Century Gothic" w:cstheme="minorBidi"/>
      <w:szCs w:val="20"/>
      <w:lang w:eastAsia="en-US"/>
    </w:rPr>
  </w:style>
  <w:style w:type="paragraph" w:styleId="Date">
    <w:name w:val="Date"/>
    <w:basedOn w:val="Normal"/>
    <w:next w:val="Normal"/>
    <w:link w:val="DateChar"/>
    <w:uiPriority w:val="49"/>
    <w:semiHidden/>
    <w:rsid w:val="00F958EC"/>
    <w:pPr>
      <w:spacing w:after="0" w:line="240" w:lineRule="auto"/>
    </w:pPr>
    <w:rPr>
      <w:rFonts w:ascii="Corpid C1 SCd Regular" w:hAnsi="Corpid C1 SCd Regular"/>
      <w:color w:val="FFFFFF"/>
    </w:rPr>
  </w:style>
  <w:style w:type="character" w:customStyle="1" w:styleId="DateChar">
    <w:name w:val="Date Char"/>
    <w:basedOn w:val="DefaultParagraphFont"/>
    <w:link w:val="Date"/>
    <w:uiPriority w:val="49"/>
    <w:semiHidden/>
    <w:rsid w:val="00310B3A"/>
    <w:rPr>
      <w:rFonts w:ascii="Corpid C1 SCd Regular" w:eastAsiaTheme="majorEastAsia" w:hAnsi="Corpid C1 SCd Regular" w:cs="Calibri"/>
      <w:color w:val="FFFFFF"/>
      <w:szCs w:val="24"/>
    </w:rPr>
  </w:style>
  <w:style w:type="character" w:styleId="PlaceholderText">
    <w:name w:val="Placeholder Text"/>
    <w:basedOn w:val="DefaultParagraphFont"/>
    <w:uiPriority w:val="99"/>
    <w:semiHidden/>
    <w:rsid w:val="00415976"/>
    <w:rPr>
      <w:vanish w:val="0"/>
      <w:color w:val="FF0000"/>
    </w:rPr>
  </w:style>
  <w:style w:type="numbering" w:customStyle="1" w:styleId="AlphaList">
    <w:name w:val="_Alpha List"/>
    <w:uiPriority w:val="99"/>
    <w:rsid w:val="00581230"/>
    <w:pPr>
      <w:numPr>
        <w:numId w:val="10"/>
      </w:numPr>
    </w:pPr>
  </w:style>
  <w:style w:type="character" w:customStyle="1" w:styleId="Heading5Char">
    <w:name w:val="Heading 5 Char"/>
    <w:basedOn w:val="DefaultParagraphFont"/>
    <w:link w:val="Heading5"/>
    <w:uiPriority w:val="1"/>
    <w:semiHidden/>
    <w:rsid w:val="000E3939"/>
    <w:rPr>
      <w:rFonts w:asciiTheme="majorHAnsi" w:eastAsiaTheme="majorEastAsia" w:hAnsiTheme="majorHAnsi" w:cstheme="majorBidi"/>
      <w:color w:val="585858" w:themeColor="text2"/>
      <w:szCs w:val="24"/>
    </w:rPr>
  </w:style>
  <w:style w:type="paragraph" w:customStyle="1" w:styleId="TableHeading">
    <w:name w:val="Table Heading"/>
    <w:basedOn w:val="Normal"/>
    <w:link w:val="TableHeadingChar"/>
    <w:uiPriority w:val="9"/>
    <w:qFormat/>
    <w:rsid w:val="00885AF8"/>
    <w:pPr>
      <w:numPr>
        <w:numId w:val="16"/>
      </w:numPr>
      <w:spacing w:before="20" w:after="20" w:line="240" w:lineRule="auto"/>
    </w:pPr>
    <w:rPr>
      <w:rFonts w:eastAsia="Century Gothic"/>
      <w:b/>
      <w:bCs/>
      <w:color w:val="FFFFFF"/>
      <w:lang w:eastAsia="en-US"/>
    </w:rPr>
  </w:style>
  <w:style w:type="paragraph" w:styleId="Title">
    <w:name w:val="Title"/>
    <w:basedOn w:val="Normal"/>
    <w:next w:val="Subtitle"/>
    <w:link w:val="TitleChar"/>
    <w:uiPriority w:val="49"/>
    <w:semiHidden/>
    <w:rsid w:val="00F2411F"/>
    <w:pPr>
      <w:pageBreakBefore/>
      <w:framePr w:w="8964" w:wrap="notBeside" w:vAnchor="text" w:hAnchor="text" w:yAlign="top"/>
      <w:spacing w:before="240"/>
      <w:outlineLvl w:val="0"/>
    </w:pPr>
    <w:rPr>
      <w:rFonts w:asciiTheme="majorHAnsi" w:hAnsiTheme="majorHAnsi"/>
      <w:b/>
      <w:bCs/>
      <w:iCs/>
      <w:color w:val="585858" w:themeColor="text2"/>
      <w:sz w:val="40"/>
      <w:szCs w:val="28"/>
    </w:rPr>
  </w:style>
  <w:style w:type="character" w:customStyle="1" w:styleId="TitleChar">
    <w:name w:val="Title Char"/>
    <w:basedOn w:val="DefaultParagraphFont"/>
    <w:link w:val="Title"/>
    <w:uiPriority w:val="49"/>
    <w:semiHidden/>
    <w:rsid w:val="00310B3A"/>
    <w:rPr>
      <w:rFonts w:asciiTheme="majorHAnsi" w:eastAsiaTheme="majorEastAsia" w:hAnsiTheme="majorHAnsi" w:cs="Calibri"/>
      <w:b/>
      <w:bCs/>
      <w:iCs/>
      <w:color w:val="585858" w:themeColor="text2"/>
      <w:sz w:val="40"/>
      <w:szCs w:val="28"/>
    </w:rPr>
  </w:style>
  <w:style w:type="table" w:styleId="ListTable3-Accent1">
    <w:name w:val="List Table 3 Accent 1"/>
    <w:basedOn w:val="TableNormal"/>
    <w:uiPriority w:val="98"/>
    <w:semiHidden/>
    <w:rsid w:val="007E01F1"/>
    <w:rPr>
      <w:rFonts w:asciiTheme="minorHAnsi" w:eastAsia="Century Gothic" w:hAnsiTheme="minorHAnsi" w:cstheme="minorBidi"/>
      <w:lang w:eastAsia="en-US"/>
    </w:rPr>
    <w:tblPr>
      <w:tblStyleRowBandSize w:val="1"/>
      <w:tblStyleColBandSize w:val="1"/>
      <w:tblInd w:w="57" w:type="dxa"/>
      <w:tblBorders>
        <w:top w:val="single" w:sz="4" w:space="0" w:color="63D0DF" w:themeColor="accent1"/>
        <w:left w:val="single" w:sz="4" w:space="0" w:color="63D0DF" w:themeColor="accent1"/>
        <w:bottom w:val="single" w:sz="4" w:space="0" w:color="63D0DF" w:themeColor="accent1"/>
        <w:right w:val="single" w:sz="4" w:space="0" w:color="63D0DF" w:themeColor="accent1"/>
      </w:tblBorders>
      <w:tblCellMar>
        <w:top w:w="57" w:type="dxa"/>
        <w:left w:w="57" w:type="dxa"/>
        <w:bottom w:w="57" w:type="dxa"/>
        <w:right w:w="57" w:type="dxa"/>
      </w:tblCellMar>
    </w:tblPr>
    <w:tblStylePr w:type="firstRow">
      <w:rPr>
        <w:b/>
        <w:bCs/>
        <w:color w:val="FFFFFF" w:themeColor="background1"/>
      </w:rPr>
      <w:tblPr/>
      <w:tcPr>
        <w:shd w:val="clear" w:color="auto" w:fill="63D0DF" w:themeFill="accent1"/>
      </w:tcPr>
    </w:tblStylePr>
    <w:tblStylePr w:type="lastRow">
      <w:rPr>
        <w:b/>
        <w:bCs/>
      </w:rPr>
      <w:tblPr/>
      <w:tcPr>
        <w:tcBorders>
          <w:top w:val="double" w:sz="4" w:space="0" w:color="63D0D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3D0DF" w:themeColor="accent1"/>
          <w:right w:val="single" w:sz="4" w:space="0" w:color="63D0DF" w:themeColor="accent1"/>
        </w:tcBorders>
      </w:tcPr>
    </w:tblStylePr>
    <w:tblStylePr w:type="band1Horz">
      <w:tblPr/>
      <w:tcPr>
        <w:tcBorders>
          <w:top w:val="single" w:sz="4" w:space="0" w:color="63D0DF" w:themeColor="accent1"/>
          <w:bottom w:val="single" w:sz="4" w:space="0" w:color="63D0D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3D0DF" w:themeColor="accent1"/>
          <w:left w:val="nil"/>
        </w:tcBorders>
      </w:tcPr>
    </w:tblStylePr>
    <w:tblStylePr w:type="swCell">
      <w:tblPr/>
      <w:tcPr>
        <w:tcBorders>
          <w:top w:val="double" w:sz="4" w:space="0" w:color="63D0DF" w:themeColor="accent1"/>
          <w:right w:val="nil"/>
        </w:tcBorders>
      </w:tcPr>
    </w:tblStylePr>
  </w:style>
  <w:style w:type="numbering" w:customStyle="1" w:styleId="Bullets">
    <w:name w:val="_Bullets"/>
    <w:uiPriority w:val="99"/>
    <w:rsid w:val="00847E29"/>
    <w:pPr>
      <w:numPr>
        <w:numId w:val="11"/>
      </w:numPr>
    </w:pPr>
  </w:style>
  <w:style w:type="numbering" w:customStyle="1" w:styleId="NumberedList0">
    <w:name w:val="_Numbered List"/>
    <w:uiPriority w:val="99"/>
    <w:rsid w:val="0091567C"/>
    <w:pPr>
      <w:numPr>
        <w:numId w:val="12"/>
      </w:numPr>
    </w:pPr>
  </w:style>
  <w:style w:type="paragraph" w:styleId="List">
    <w:name w:val="List"/>
    <w:basedOn w:val="Normal"/>
    <w:uiPriority w:val="3"/>
    <w:qFormat/>
    <w:rsid w:val="00581230"/>
    <w:pPr>
      <w:numPr>
        <w:numId w:val="25"/>
      </w:numPr>
    </w:pPr>
    <w:rPr>
      <w:rFonts w:eastAsia="Century Gothic" w:cstheme="minorBidi"/>
      <w:szCs w:val="20"/>
      <w:lang w:eastAsia="en-US"/>
    </w:rPr>
  </w:style>
  <w:style w:type="paragraph" w:styleId="List2">
    <w:name w:val="List 2"/>
    <w:basedOn w:val="Normal"/>
    <w:uiPriority w:val="3"/>
    <w:unhideWhenUsed/>
    <w:rsid w:val="00581230"/>
    <w:pPr>
      <w:numPr>
        <w:ilvl w:val="1"/>
        <w:numId w:val="25"/>
      </w:numPr>
    </w:pPr>
    <w:rPr>
      <w:rFonts w:eastAsia="Century Gothic" w:cstheme="minorBidi"/>
      <w:szCs w:val="20"/>
      <w:lang w:eastAsia="en-US"/>
    </w:rPr>
  </w:style>
  <w:style w:type="paragraph" w:styleId="List3">
    <w:name w:val="List 3"/>
    <w:basedOn w:val="Normal"/>
    <w:uiPriority w:val="3"/>
    <w:unhideWhenUsed/>
    <w:rsid w:val="00581230"/>
    <w:pPr>
      <w:numPr>
        <w:ilvl w:val="2"/>
        <w:numId w:val="25"/>
      </w:numPr>
      <w:spacing w:after="233" w:line="240" w:lineRule="auto"/>
    </w:pPr>
    <w:rPr>
      <w:rFonts w:eastAsia="Century Gothic" w:cstheme="minorBidi"/>
      <w:szCs w:val="20"/>
      <w:lang w:eastAsia="en-US"/>
    </w:rPr>
  </w:style>
  <w:style w:type="paragraph" w:styleId="ListNumber2">
    <w:name w:val="List Number 2"/>
    <w:basedOn w:val="Normal"/>
    <w:uiPriority w:val="3"/>
    <w:rsid w:val="00D4310E"/>
    <w:pPr>
      <w:numPr>
        <w:ilvl w:val="1"/>
        <w:numId w:val="26"/>
      </w:numPr>
      <w:spacing w:after="120"/>
    </w:pPr>
    <w:rPr>
      <w:rFonts w:eastAsia="Century Gothic" w:cstheme="minorBidi"/>
      <w:szCs w:val="20"/>
      <w:lang w:eastAsia="en-US"/>
    </w:rPr>
  </w:style>
  <w:style w:type="paragraph" w:styleId="ListNumber3">
    <w:name w:val="List Number 3"/>
    <w:basedOn w:val="Normal"/>
    <w:uiPriority w:val="3"/>
    <w:rsid w:val="00D4310E"/>
    <w:pPr>
      <w:numPr>
        <w:ilvl w:val="2"/>
        <w:numId w:val="26"/>
      </w:numPr>
      <w:spacing w:after="120"/>
    </w:pPr>
    <w:rPr>
      <w:rFonts w:eastAsia="Century Gothic" w:cstheme="minorBidi"/>
      <w:szCs w:val="20"/>
      <w:lang w:eastAsia="en-US"/>
    </w:rPr>
  </w:style>
  <w:style w:type="paragraph" w:styleId="ListNumber4">
    <w:name w:val="List Number 4"/>
    <w:basedOn w:val="Normal"/>
    <w:uiPriority w:val="50"/>
    <w:semiHidden/>
    <w:rsid w:val="0091567C"/>
    <w:pPr>
      <w:spacing w:after="100" w:line="240" w:lineRule="auto"/>
      <w:contextualSpacing/>
    </w:pPr>
    <w:rPr>
      <w:rFonts w:eastAsia="Century Gothic" w:cstheme="minorBidi"/>
      <w:szCs w:val="20"/>
      <w:lang w:eastAsia="en-US"/>
    </w:rPr>
  </w:style>
  <w:style w:type="paragraph" w:styleId="ListNumber5">
    <w:name w:val="List Number 5"/>
    <w:basedOn w:val="Normal"/>
    <w:uiPriority w:val="50"/>
    <w:semiHidden/>
    <w:rsid w:val="0091567C"/>
    <w:pPr>
      <w:spacing w:after="100" w:line="240" w:lineRule="auto"/>
      <w:contextualSpacing/>
    </w:pPr>
    <w:rPr>
      <w:rFonts w:eastAsia="Century Gothic" w:cstheme="minorBidi"/>
      <w:szCs w:val="20"/>
      <w:lang w:eastAsia="en-US"/>
    </w:rPr>
  </w:style>
  <w:style w:type="table" w:styleId="GridTable1Light">
    <w:name w:val="Grid Table 1 Light"/>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57" w:type="dxa"/>
        <w:left w:w="57" w:type="dxa"/>
        <w:bottom w:w="57" w:type="dxa"/>
        <w:right w:w="57"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0ECF2" w:themeColor="accent1" w:themeTint="66"/>
        <w:left w:val="single" w:sz="4" w:space="0" w:color="C0ECF2" w:themeColor="accent1" w:themeTint="66"/>
        <w:bottom w:val="single" w:sz="4" w:space="0" w:color="C0ECF2" w:themeColor="accent1" w:themeTint="66"/>
        <w:right w:val="single" w:sz="4" w:space="0" w:color="C0ECF2" w:themeColor="accent1" w:themeTint="66"/>
        <w:insideH w:val="single" w:sz="4" w:space="0" w:color="C0ECF2" w:themeColor="accent1" w:themeTint="66"/>
        <w:insideV w:val="single" w:sz="4" w:space="0" w:color="C0ECF2" w:themeColor="accent1" w:themeTint="66"/>
      </w:tblBorders>
      <w:tblCellMar>
        <w:top w:w="57" w:type="dxa"/>
        <w:left w:w="57" w:type="dxa"/>
        <w:bottom w:w="57" w:type="dxa"/>
        <w:right w:w="57" w:type="dxa"/>
      </w:tblCellMar>
    </w:tblPr>
    <w:tblStylePr w:type="firstRow">
      <w:rPr>
        <w:b/>
        <w:bCs/>
      </w:rPr>
      <w:tblPr/>
      <w:tcPr>
        <w:tcBorders>
          <w:bottom w:val="single" w:sz="12" w:space="0" w:color="A1E2EB" w:themeColor="accent1" w:themeTint="99"/>
        </w:tcBorders>
      </w:tcPr>
    </w:tblStylePr>
    <w:tblStylePr w:type="lastRow">
      <w:rPr>
        <w:b/>
        <w:bCs/>
      </w:rPr>
      <w:tblPr/>
      <w:tcPr>
        <w:tcBorders>
          <w:top w:val="double" w:sz="2" w:space="0" w:color="A1E2E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E9E9E9" w:themeColor="accent2" w:themeTint="66"/>
        <w:left w:val="single" w:sz="4" w:space="0" w:color="E9E9E9" w:themeColor="accent2" w:themeTint="66"/>
        <w:bottom w:val="single" w:sz="4" w:space="0" w:color="E9E9E9" w:themeColor="accent2" w:themeTint="66"/>
        <w:right w:val="single" w:sz="4" w:space="0" w:color="E9E9E9" w:themeColor="accent2" w:themeTint="66"/>
        <w:insideH w:val="single" w:sz="4" w:space="0" w:color="E9E9E9" w:themeColor="accent2" w:themeTint="66"/>
        <w:insideV w:val="single" w:sz="4" w:space="0" w:color="E9E9E9" w:themeColor="accent2" w:themeTint="66"/>
      </w:tblBorders>
      <w:tblCellMar>
        <w:top w:w="57" w:type="dxa"/>
        <w:left w:w="57" w:type="dxa"/>
        <w:bottom w:w="57" w:type="dxa"/>
        <w:right w:w="57" w:type="dxa"/>
      </w:tblCellMar>
    </w:tblPr>
    <w:tblStylePr w:type="firstRow">
      <w:rPr>
        <w:b/>
        <w:bCs/>
      </w:rPr>
      <w:tblPr/>
      <w:tcPr>
        <w:tcBorders>
          <w:bottom w:val="single" w:sz="12" w:space="0" w:color="DEDEDF" w:themeColor="accent2" w:themeTint="99"/>
        </w:tcBorders>
      </w:tcPr>
    </w:tblStylePr>
    <w:tblStylePr w:type="lastRow">
      <w:rPr>
        <w:b/>
        <w:bCs/>
      </w:rPr>
      <w:tblPr/>
      <w:tcPr>
        <w:tcBorders>
          <w:top w:val="double" w:sz="2" w:space="0" w:color="DEDED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0ECF2" w:themeColor="accent3" w:themeTint="66"/>
        <w:left w:val="single" w:sz="4" w:space="0" w:color="C0ECF2" w:themeColor="accent3" w:themeTint="66"/>
        <w:bottom w:val="single" w:sz="4" w:space="0" w:color="C0ECF2" w:themeColor="accent3" w:themeTint="66"/>
        <w:right w:val="single" w:sz="4" w:space="0" w:color="C0ECF2" w:themeColor="accent3" w:themeTint="66"/>
        <w:insideH w:val="single" w:sz="4" w:space="0" w:color="C0ECF2" w:themeColor="accent3" w:themeTint="66"/>
        <w:insideV w:val="single" w:sz="4" w:space="0" w:color="C0ECF2" w:themeColor="accent3" w:themeTint="66"/>
      </w:tblBorders>
      <w:tblCellMar>
        <w:top w:w="57" w:type="dxa"/>
        <w:left w:w="57" w:type="dxa"/>
        <w:bottom w:w="57" w:type="dxa"/>
        <w:right w:w="57" w:type="dxa"/>
      </w:tblCellMar>
    </w:tblPr>
    <w:tblStylePr w:type="firstRow">
      <w:rPr>
        <w:b/>
        <w:bCs/>
      </w:rPr>
      <w:tblPr/>
      <w:tcPr>
        <w:tcBorders>
          <w:bottom w:val="single" w:sz="12" w:space="0" w:color="A1E2EB" w:themeColor="accent3" w:themeTint="99"/>
        </w:tcBorders>
      </w:tcPr>
    </w:tblStylePr>
    <w:tblStylePr w:type="lastRow">
      <w:rPr>
        <w:b/>
        <w:bCs/>
      </w:rPr>
      <w:tblPr/>
      <w:tcPr>
        <w:tcBorders>
          <w:top w:val="double" w:sz="2" w:space="0" w:color="A1E2E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9D9D9" w:themeColor="accent4" w:themeTint="66"/>
        <w:left w:val="single" w:sz="4" w:space="0" w:color="D9D9D9" w:themeColor="accent4" w:themeTint="66"/>
        <w:bottom w:val="single" w:sz="4" w:space="0" w:color="D9D9D9" w:themeColor="accent4" w:themeTint="66"/>
        <w:right w:val="single" w:sz="4" w:space="0" w:color="D9D9D9" w:themeColor="accent4" w:themeTint="66"/>
        <w:insideH w:val="single" w:sz="4" w:space="0" w:color="D9D9D9" w:themeColor="accent4" w:themeTint="66"/>
        <w:insideV w:val="single" w:sz="4" w:space="0" w:color="D9D9D9" w:themeColor="accent4" w:themeTint="66"/>
      </w:tblBorders>
      <w:tblCellMar>
        <w:top w:w="57" w:type="dxa"/>
        <w:left w:w="57" w:type="dxa"/>
        <w:bottom w:w="57" w:type="dxa"/>
        <w:right w:w="57" w:type="dxa"/>
      </w:tblCellMar>
    </w:tblPr>
    <w:tblStylePr w:type="firstRow">
      <w:rPr>
        <w:b/>
        <w:bCs/>
      </w:rPr>
      <w:tblPr/>
      <w:tcPr>
        <w:tcBorders>
          <w:bottom w:val="single" w:sz="12" w:space="0" w:color="C6C6C6" w:themeColor="accent4" w:themeTint="99"/>
        </w:tcBorders>
      </w:tcPr>
    </w:tblStylePr>
    <w:tblStylePr w:type="lastRow">
      <w:rPr>
        <w:b/>
        <w:bCs/>
      </w:rPr>
      <w:tblPr/>
      <w:tcPr>
        <w:tcBorders>
          <w:top w:val="double" w:sz="2" w:space="0" w:color="C6C6C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0ECF2" w:themeColor="accent5" w:themeTint="66"/>
        <w:left w:val="single" w:sz="4" w:space="0" w:color="C0ECF2" w:themeColor="accent5" w:themeTint="66"/>
        <w:bottom w:val="single" w:sz="4" w:space="0" w:color="C0ECF2" w:themeColor="accent5" w:themeTint="66"/>
        <w:right w:val="single" w:sz="4" w:space="0" w:color="C0ECF2" w:themeColor="accent5" w:themeTint="66"/>
        <w:insideH w:val="single" w:sz="4" w:space="0" w:color="C0ECF2" w:themeColor="accent5" w:themeTint="66"/>
        <w:insideV w:val="single" w:sz="4" w:space="0" w:color="C0ECF2" w:themeColor="accent5" w:themeTint="66"/>
      </w:tblBorders>
      <w:tblCellMar>
        <w:top w:w="57" w:type="dxa"/>
        <w:left w:w="57" w:type="dxa"/>
        <w:bottom w:w="57" w:type="dxa"/>
        <w:right w:w="57" w:type="dxa"/>
      </w:tblCellMar>
    </w:tblPr>
    <w:tblStylePr w:type="firstRow">
      <w:rPr>
        <w:b/>
        <w:bCs/>
      </w:rPr>
      <w:tblPr/>
      <w:tcPr>
        <w:tcBorders>
          <w:bottom w:val="single" w:sz="12" w:space="0" w:color="A1E2EB" w:themeColor="accent5" w:themeTint="99"/>
        </w:tcBorders>
      </w:tcPr>
    </w:tblStylePr>
    <w:tblStylePr w:type="lastRow">
      <w:rPr>
        <w:b/>
        <w:bCs/>
      </w:rPr>
      <w:tblPr/>
      <w:tcPr>
        <w:tcBorders>
          <w:top w:val="double" w:sz="2" w:space="0" w:color="A1E2E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9D9D9" w:themeColor="accent6" w:themeTint="66"/>
        <w:left w:val="single" w:sz="4" w:space="0" w:color="D9D9D9" w:themeColor="accent6" w:themeTint="66"/>
        <w:bottom w:val="single" w:sz="4" w:space="0" w:color="D9D9D9" w:themeColor="accent6" w:themeTint="66"/>
        <w:right w:val="single" w:sz="4" w:space="0" w:color="D9D9D9" w:themeColor="accent6" w:themeTint="66"/>
        <w:insideH w:val="single" w:sz="4" w:space="0" w:color="D9D9D9" w:themeColor="accent6" w:themeTint="66"/>
        <w:insideV w:val="single" w:sz="4" w:space="0" w:color="D9D9D9" w:themeColor="accent6" w:themeTint="66"/>
      </w:tblBorders>
      <w:tblCellMar>
        <w:top w:w="57" w:type="dxa"/>
        <w:left w:w="57" w:type="dxa"/>
        <w:bottom w:w="57" w:type="dxa"/>
        <w:right w:w="57" w:type="dxa"/>
      </w:tblCellMar>
    </w:tblPr>
    <w:tblStylePr w:type="firstRow">
      <w:rPr>
        <w:b/>
        <w:bCs/>
      </w:rPr>
      <w:tblPr/>
      <w:tcPr>
        <w:tcBorders>
          <w:bottom w:val="single" w:sz="12" w:space="0" w:color="C6C6C6" w:themeColor="accent6" w:themeTint="99"/>
        </w:tcBorders>
      </w:tcPr>
    </w:tblStylePr>
    <w:tblStylePr w:type="lastRow">
      <w:rPr>
        <w:b/>
        <w:bCs/>
      </w:rPr>
      <w:tblPr/>
      <w:tcPr>
        <w:tcBorders>
          <w:top w:val="double" w:sz="2" w:space="0" w:color="C6C6C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57" w:type="dxa"/>
        <w:left w:w="57" w:type="dxa"/>
        <w:bottom w:w="57" w:type="dxa"/>
        <w:right w:w="57"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A1E2EB" w:themeColor="accent1" w:themeTint="99"/>
        <w:bottom w:val="single" w:sz="2" w:space="0" w:color="A1E2EB" w:themeColor="accent1" w:themeTint="99"/>
        <w:insideH w:val="single" w:sz="2" w:space="0" w:color="A1E2EB" w:themeColor="accent1" w:themeTint="99"/>
        <w:insideV w:val="single" w:sz="2" w:space="0" w:color="A1E2EB" w:themeColor="accent1" w:themeTint="99"/>
      </w:tblBorders>
      <w:tblCellMar>
        <w:top w:w="57" w:type="dxa"/>
        <w:left w:w="57" w:type="dxa"/>
        <w:bottom w:w="57" w:type="dxa"/>
        <w:right w:w="57" w:type="dxa"/>
      </w:tblCellMar>
    </w:tblPr>
    <w:tblStylePr w:type="firstRow">
      <w:rPr>
        <w:b/>
        <w:bCs/>
      </w:rPr>
      <w:tblPr/>
      <w:tcPr>
        <w:tcBorders>
          <w:top w:val="nil"/>
          <w:bottom w:val="single" w:sz="12" w:space="0" w:color="A1E2EB" w:themeColor="accent1" w:themeTint="99"/>
          <w:insideH w:val="nil"/>
          <w:insideV w:val="nil"/>
        </w:tcBorders>
        <w:shd w:val="clear" w:color="auto" w:fill="FFFFFF" w:themeFill="background1"/>
      </w:tcPr>
    </w:tblStylePr>
    <w:tblStylePr w:type="lastRow">
      <w:rPr>
        <w:b/>
        <w:bCs/>
      </w:rPr>
      <w:tblPr/>
      <w:tcPr>
        <w:tcBorders>
          <w:top w:val="double" w:sz="2" w:space="0" w:color="A1E2E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GridTable2-Accent2">
    <w:name w:val="Grid Table 2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DEDEDF" w:themeColor="accent2" w:themeTint="99"/>
        <w:bottom w:val="single" w:sz="2" w:space="0" w:color="DEDEDF" w:themeColor="accent2" w:themeTint="99"/>
        <w:insideH w:val="single" w:sz="2" w:space="0" w:color="DEDEDF" w:themeColor="accent2" w:themeTint="99"/>
        <w:insideV w:val="single" w:sz="2" w:space="0" w:color="DEDEDF" w:themeColor="accent2" w:themeTint="99"/>
      </w:tblBorders>
      <w:tblCellMar>
        <w:top w:w="57" w:type="dxa"/>
        <w:left w:w="57" w:type="dxa"/>
        <w:bottom w:w="57" w:type="dxa"/>
        <w:right w:w="57" w:type="dxa"/>
      </w:tblCellMar>
    </w:tblPr>
    <w:tblStylePr w:type="firstRow">
      <w:rPr>
        <w:b/>
        <w:bCs/>
      </w:rPr>
      <w:tblPr/>
      <w:tcPr>
        <w:tcBorders>
          <w:top w:val="nil"/>
          <w:bottom w:val="single" w:sz="12" w:space="0" w:color="DEDEDF" w:themeColor="accent2" w:themeTint="99"/>
          <w:insideH w:val="nil"/>
          <w:insideV w:val="nil"/>
        </w:tcBorders>
        <w:shd w:val="clear" w:color="auto" w:fill="FFFFFF" w:themeFill="background1"/>
      </w:tcPr>
    </w:tblStylePr>
    <w:tblStylePr w:type="lastRow">
      <w:rPr>
        <w:b/>
        <w:bCs/>
      </w:rPr>
      <w:tblPr/>
      <w:tcPr>
        <w:tcBorders>
          <w:top w:val="double" w:sz="2" w:space="0" w:color="DEDED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GridTable2-Accent3">
    <w:name w:val="Grid Table 2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A1E2EB" w:themeColor="accent3" w:themeTint="99"/>
        <w:bottom w:val="single" w:sz="2" w:space="0" w:color="A1E2EB" w:themeColor="accent3" w:themeTint="99"/>
        <w:insideH w:val="single" w:sz="2" w:space="0" w:color="A1E2EB" w:themeColor="accent3" w:themeTint="99"/>
        <w:insideV w:val="single" w:sz="2" w:space="0" w:color="A1E2EB" w:themeColor="accent3" w:themeTint="99"/>
      </w:tblBorders>
      <w:tblCellMar>
        <w:top w:w="57" w:type="dxa"/>
        <w:left w:w="57" w:type="dxa"/>
        <w:bottom w:w="57" w:type="dxa"/>
        <w:right w:w="57" w:type="dxa"/>
      </w:tblCellMar>
    </w:tblPr>
    <w:tblStylePr w:type="firstRow">
      <w:rPr>
        <w:b/>
        <w:bCs/>
      </w:rPr>
      <w:tblPr/>
      <w:tcPr>
        <w:tcBorders>
          <w:top w:val="nil"/>
          <w:bottom w:val="single" w:sz="12" w:space="0" w:color="A1E2EB" w:themeColor="accent3" w:themeTint="99"/>
          <w:insideH w:val="nil"/>
          <w:insideV w:val="nil"/>
        </w:tcBorders>
        <w:shd w:val="clear" w:color="auto" w:fill="FFFFFF" w:themeFill="background1"/>
      </w:tcPr>
    </w:tblStylePr>
    <w:tblStylePr w:type="lastRow">
      <w:rPr>
        <w:b/>
        <w:bCs/>
      </w:rPr>
      <w:tblPr/>
      <w:tcPr>
        <w:tcBorders>
          <w:top w:val="double" w:sz="2" w:space="0" w:color="A1E2E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GridTable2-Accent4">
    <w:name w:val="Grid Table 2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C6C6C6" w:themeColor="accent4" w:themeTint="99"/>
        <w:bottom w:val="single" w:sz="2" w:space="0" w:color="C6C6C6" w:themeColor="accent4" w:themeTint="99"/>
        <w:insideH w:val="single" w:sz="2" w:space="0" w:color="C6C6C6" w:themeColor="accent4" w:themeTint="99"/>
        <w:insideV w:val="single" w:sz="2" w:space="0" w:color="C6C6C6" w:themeColor="accent4" w:themeTint="99"/>
      </w:tblBorders>
      <w:tblCellMar>
        <w:top w:w="57" w:type="dxa"/>
        <w:left w:w="57" w:type="dxa"/>
        <w:bottom w:w="57" w:type="dxa"/>
        <w:right w:w="57" w:type="dxa"/>
      </w:tblCellMar>
    </w:tblPr>
    <w:tblStylePr w:type="firstRow">
      <w:rPr>
        <w:b/>
        <w:bCs/>
      </w:rPr>
      <w:tblPr/>
      <w:tcPr>
        <w:tcBorders>
          <w:top w:val="nil"/>
          <w:bottom w:val="single" w:sz="12" w:space="0" w:color="C6C6C6" w:themeColor="accent4" w:themeTint="99"/>
          <w:insideH w:val="nil"/>
          <w:insideV w:val="nil"/>
        </w:tcBorders>
        <w:shd w:val="clear" w:color="auto" w:fill="FFFFFF" w:themeFill="background1"/>
      </w:tcPr>
    </w:tblStylePr>
    <w:tblStylePr w:type="lastRow">
      <w:rPr>
        <w:b/>
        <w:bCs/>
      </w:rPr>
      <w:tblPr/>
      <w:tcPr>
        <w:tcBorders>
          <w:top w:val="double" w:sz="2" w:space="0" w:color="C6C6C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GridTable2-Accent5">
    <w:name w:val="Grid Table 2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A1E2EB" w:themeColor="accent5" w:themeTint="99"/>
        <w:bottom w:val="single" w:sz="2" w:space="0" w:color="A1E2EB" w:themeColor="accent5" w:themeTint="99"/>
        <w:insideH w:val="single" w:sz="2" w:space="0" w:color="A1E2EB" w:themeColor="accent5" w:themeTint="99"/>
        <w:insideV w:val="single" w:sz="2" w:space="0" w:color="A1E2EB" w:themeColor="accent5" w:themeTint="99"/>
      </w:tblBorders>
      <w:tblCellMar>
        <w:top w:w="57" w:type="dxa"/>
        <w:left w:w="57" w:type="dxa"/>
        <w:bottom w:w="57" w:type="dxa"/>
        <w:right w:w="57" w:type="dxa"/>
      </w:tblCellMar>
    </w:tblPr>
    <w:tblStylePr w:type="firstRow">
      <w:rPr>
        <w:b/>
        <w:bCs/>
      </w:rPr>
      <w:tblPr/>
      <w:tcPr>
        <w:tcBorders>
          <w:top w:val="nil"/>
          <w:bottom w:val="single" w:sz="12" w:space="0" w:color="A1E2EB" w:themeColor="accent5" w:themeTint="99"/>
          <w:insideH w:val="nil"/>
          <w:insideV w:val="nil"/>
        </w:tcBorders>
        <w:shd w:val="clear" w:color="auto" w:fill="FFFFFF" w:themeFill="background1"/>
      </w:tcPr>
    </w:tblStylePr>
    <w:tblStylePr w:type="lastRow">
      <w:rPr>
        <w:b/>
        <w:bCs/>
      </w:rPr>
      <w:tblPr/>
      <w:tcPr>
        <w:tcBorders>
          <w:top w:val="double" w:sz="2" w:space="0" w:color="A1E2E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GridTable2-Accent6">
    <w:name w:val="Grid Table 2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2" w:space="0" w:color="C6C6C6" w:themeColor="accent6" w:themeTint="99"/>
        <w:bottom w:val="single" w:sz="2" w:space="0" w:color="C6C6C6" w:themeColor="accent6" w:themeTint="99"/>
        <w:insideH w:val="single" w:sz="2" w:space="0" w:color="C6C6C6" w:themeColor="accent6" w:themeTint="99"/>
        <w:insideV w:val="single" w:sz="2" w:space="0" w:color="C6C6C6" w:themeColor="accent6" w:themeTint="99"/>
      </w:tblBorders>
      <w:tblCellMar>
        <w:top w:w="57" w:type="dxa"/>
        <w:left w:w="57" w:type="dxa"/>
        <w:bottom w:w="57" w:type="dxa"/>
        <w:right w:w="57" w:type="dxa"/>
      </w:tblCellMar>
    </w:tblPr>
    <w:tblStylePr w:type="firstRow">
      <w:rPr>
        <w:b/>
        <w:bCs/>
      </w:rPr>
      <w:tblPr/>
      <w:tcPr>
        <w:tcBorders>
          <w:top w:val="nil"/>
          <w:bottom w:val="single" w:sz="12" w:space="0" w:color="C6C6C6" w:themeColor="accent6" w:themeTint="99"/>
          <w:insideH w:val="nil"/>
          <w:insideV w:val="nil"/>
        </w:tcBorders>
        <w:shd w:val="clear" w:color="auto" w:fill="FFFFFF" w:themeFill="background1"/>
      </w:tcPr>
    </w:tblStylePr>
    <w:tblStylePr w:type="lastRow">
      <w:rPr>
        <w:b/>
        <w:bCs/>
      </w:rPr>
      <w:tblPr/>
      <w:tcPr>
        <w:tcBorders>
          <w:top w:val="double" w:sz="2" w:space="0" w:color="C6C6C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GridTable3">
    <w:name w:val="Grid Table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insideV w:val="single" w:sz="4" w:space="0" w:color="A1E2EB" w:themeColor="accent1"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1" w:themeFillTint="33"/>
      </w:tcPr>
    </w:tblStylePr>
    <w:tblStylePr w:type="band1Horz">
      <w:tblPr/>
      <w:tcPr>
        <w:shd w:val="clear" w:color="auto" w:fill="DFF5F8" w:themeFill="accent1" w:themeFillTint="33"/>
      </w:tcPr>
    </w:tblStylePr>
    <w:tblStylePr w:type="neCell">
      <w:tblPr/>
      <w:tcPr>
        <w:tcBorders>
          <w:bottom w:val="single" w:sz="4" w:space="0" w:color="A1E2EB" w:themeColor="accent1" w:themeTint="99"/>
        </w:tcBorders>
      </w:tcPr>
    </w:tblStylePr>
    <w:tblStylePr w:type="nwCell">
      <w:tblPr/>
      <w:tcPr>
        <w:tcBorders>
          <w:bottom w:val="single" w:sz="4" w:space="0" w:color="A1E2EB" w:themeColor="accent1" w:themeTint="99"/>
        </w:tcBorders>
      </w:tcPr>
    </w:tblStylePr>
    <w:tblStylePr w:type="seCell">
      <w:tblPr/>
      <w:tcPr>
        <w:tcBorders>
          <w:top w:val="single" w:sz="4" w:space="0" w:color="A1E2EB" w:themeColor="accent1" w:themeTint="99"/>
        </w:tcBorders>
      </w:tcPr>
    </w:tblStylePr>
    <w:tblStylePr w:type="swCell">
      <w:tblPr/>
      <w:tcPr>
        <w:tcBorders>
          <w:top w:val="single" w:sz="4" w:space="0" w:color="A1E2EB" w:themeColor="accent1" w:themeTint="99"/>
        </w:tcBorders>
      </w:tcPr>
    </w:tblStylePr>
  </w:style>
  <w:style w:type="table" w:styleId="GridTable3-Accent2">
    <w:name w:val="Grid Table 3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insideV w:val="single" w:sz="4" w:space="0" w:color="DEDEDF" w:themeColor="accent2"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2" w:themeFillTint="33"/>
      </w:tcPr>
    </w:tblStylePr>
    <w:tblStylePr w:type="band1Horz">
      <w:tblPr/>
      <w:tcPr>
        <w:shd w:val="clear" w:color="auto" w:fill="F4F4F4" w:themeFill="accent2" w:themeFillTint="33"/>
      </w:tcPr>
    </w:tblStylePr>
    <w:tblStylePr w:type="neCell">
      <w:tblPr/>
      <w:tcPr>
        <w:tcBorders>
          <w:bottom w:val="single" w:sz="4" w:space="0" w:color="DEDEDF" w:themeColor="accent2" w:themeTint="99"/>
        </w:tcBorders>
      </w:tcPr>
    </w:tblStylePr>
    <w:tblStylePr w:type="nwCell">
      <w:tblPr/>
      <w:tcPr>
        <w:tcBorders>
          <w:bottom w:val="single" w:sz="4" w:space="0" w:color="DEDEDF" w:themeColor="accent2" w:themeTint="99"/>
        </w:tcBorders>
      </w:tcPr>
    </w:tblStylePr>
    <w:tblStylePr w:type="seCell">
      <w:tblPr/>
      <w:tcPr>
        <w:tcBorders>
          <w:top w:val="single" w:sz="4" w:space="0" w:color="DEDEDF" w:themeColor="accent2" w:themeTint="99"/>
        </w:tcBorders>
      </w:tcPr>
    </w:tblStylePr>
    <w:tblStylePr w:type="swCell">
      <w:tblPr/>
      <w:tcPr>
        <w:tcBorders>
          <w:top w:val="single" w:sz="4" w:space="0" w:color="DEDEDF" w:themeColor="accent2" w:themeTint="99"/>
        </w:tcBorders>
      </w:tcPr>
    </w:tblStylePr>
  </w:style>
  <w:style w:type="table" w:styleId="GridTable3-Accent3">
    <w:name w:val="Grid Table 3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insideV w:val="single" w:sz="4" w:space="0" w:color="A1E2EB" w:themeColor="accent3"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3" w:themeFillTint="33"/>
      </w:tcPr>
    </w:tblStylePr>
    <w:tblStylePr w:type="band1Horz">
      <w:tblPr/>
      <w:tcPr>
        <w:shd w:val="clear" w:color="auto" w:fill="DFF5F8" w:themeFill="accent3" w:themeFillTint="33"/>
      </w:tcPr>
    </w:tblStylePr>
    <w:tblStylePr w:type="neCell">
      <w:tblPr/>
      <w:tcPr>
        <w:tcBorders>
          <w:bottom w:val="single" w:sz="4" w:space="0" w:color="A1E2EB" w:themeColor="accent3" w:themeTint="99"/>
        </w:tcBorders>
      </w:tcPr>
    </w:tblStylePr>
    <w:tblStylePr w:type="nwCell">
      <w:tblPr/>
      <w:tcPr>
        <w:tcBorders>
          <w:bottom w:val="single" w:sz="4" w:space="0" w:color="A1E2EB" w:themeColor="accent3" w:themeTint="99"/>
        </w:tcBorders>
      </w:tcPr>
    </w:tblStylePr>
    <w:tblStylePr w:type="seCell">
      <w:tblPr/>
      <w:tcPr>
        <w:tcBorders>
          <w:top w:val="single" w:sz="4" w:space="0" w:color="A1E2EB" w:themeColor="accent3" w:themeTint="99"/>
        </w:tcBorders>
      </w:tcPr>
    </w:tblStylePr>
    <w:tblStylePr w:type="swCell">
      <w:tblPr/>
      <w:tcPr>
        <w:tcBorders>
          <w:top w:val="single" w:sz="4" w:space="0" w:color="A1E2EB" w:themeColor="accent3" w:themeTint="99"/>
        </w:tcBorders>
      </w:tcPr>
    </w:tblStylePr>
  </w:style>
  <w:style w:type="table" w:styleId="GridTable3-Accent4">
    <w:name w:val="Grid Table 3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insideV w:val="single" w:sz="4" w:space="0" w:color="C6C6C6" w:themeColor="accent4"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ECEC" w:themeFill="accent4" w:themeFillTint="33"/>
      </w:tcPr>
    </w:tblStylePr>
    <w:tblStylePr w:type="band1Horz">
      <w:tblPr/>
      <w:tcPr>
        <w:shd w:val="clear" w:color="auto" w:fill="ECECEC" w:themeFill="accent4" w:themeFillTint="33"/>
      </w:tcPr>
    </w:tblStylePr>
    <w:tblStylePr w:type="neCell">
      <w:tblPr/>
      <w:tcPr>
        <w:tcBorders>
          <w:bottom w:val="single" w:sz="4" w:space="0" w:color="C6C6C6" w:themeColor="accent4" w:themeTint="99"/>
        </w:tcBorders>
      </w:tcPr>
    </w:tblStylePr>
    <w:tblStylePr w:type="nwCell">
      <w:tblPr/>
      <w:tcPr>
        <w:tcBorders>
          <w:bottom w:val="single" w:sz="4" w:space="0" w:color="C6C6C6" w:themeColor="accent4" w:themeTint="99"/>
        </w:tcBorders>
      </w:tcPr>
    </w:tblStylePr>
    <w:tblStylePr w:type="seCell">
      <w:tblPr/>
      <w:tcPr>
        <w:tcBorders>
          <w:top w:val="single" w:sz="4" w:space="0" w:color="C6C6C6" w:themeColor="accent4" w:themeTint="99"/>
        </w:tcBorders>
      </w:tcPr>
    </w:tblStylePr>
    <w:tblStylePr w:type="swCell">
      <w:tblPr/>
      <w:tcPr>
        <w:tcBorders>
          <w:top w:val="single" w:sz="4" w:space="0" w:color="C6C6C6" w:themeColor="accent4" w:themeTint="99"/>
        </w:tcBorders>
      </w:tcPr>
    </w:tblStylePr>
  </w:style>
  <w:style w:type="table" w:styleId="GridTable3-Accent5">
    <w:name w:val="Grid Table 3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insideV w:val="single" w:sz="4" w:space="0" w:color="A1E2EB" w:themeColor="accent5"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5" w:themeFillTint="33"/>
      </w:tcPr>
    </w:tblStylePr>
    <w:tblStylePr w:type="band1Horz">
      <w:tblPr/>
      <w:tcPr>
        <w:shd w:val="clear" w:color="auto" w:fill="DFF5F8" w:themeFill="accent5" w:themeFillTint="33"/>
      </w:tcPr>
    </w:tblStylePr>
    <w:tblStylePr w:type="neCell">
      <w:tblPr/>
      <w:tcPr>
        <w:tcBorders>
          <w:bottom w:val="single" w:sz="4" w:space="0" w:color="A1E2EB" w:themeColor="accent5" w:themeTint="99"/>
        </w:tcBorders>
      </w:tcPr>
    </w:tblStylePr>
    <w:tblStylePr w:type="nwCell">
      <w:tblPr/>
      <w:tcPr>
        <w:tcBorders>
          <w:bottom w:val="single" w:sz="4" w:space="0" w:color="A1E2EB" w:themeColor="accent5" w:themeTint="99"/>
        </w:tcBorders>
      </w:tcPr>
    </w:tblStylePr>
    <w:tblStylePr w:type="seCell">
      <w:tblPr/>
      <w:tcPr>
        <w:tcBorders>
          <w:top w:val="single" w:sz="4" w:space="0" w:color="A1E2EB" w:themeColor="accent5" w:themeTint="99"/>
        </w:tcBorders>
      </w:tcPr>
    </w:tblStylePr>
    <w:tblStylePr w:type="swCell">
      <w:tblPr/>
      <w:tcPr>
        <w:tcBorders>
          <w:top w:val="single" w:sz="4" w:space="0" w:color="A1E2EB" w:themeColor="accent5" w:themeTint="99"/>
        </w:tcBorders>
      </w:tcPr>
    </w:tblStylePr>
  </w:style>
  <w:style w:type="table" w:styleId="GridTable3-Accent6">
    <w:name w:val="Grid Table 3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insideV w:val="single" w:sz="4" w:space="0" w:color="C6C6C6" w:themeColor="accent6"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ECEC" w:themeFill="accent6" w:themeFillTint="33"/>
      </w:tcPr>
    </w:tblStylePr>
    <w:tblStylePr w:type="band1Horz">
      <w:tblPr/>
      <w:tcPr>
        <w:shd w:val="clear" w:color="auto" w:fill="ECECEC" w:themeFill="accent6" w:themeFillTint="33"/>
      </w:tcPr>
    </w:tblStylePr>
    <w:tblStylePr w:type="neCell">
      <w:tblPr/>
      <w:tcPr>
        <w:tcBorders>
          <w:bottom w:val="single" w:sz="4" w:space="0" w:color="C6C6C6" w:themeColor="accent6" w:themeTint="99"/>
        </w:tcBorders>
      </w:tcPr>
    </w:tblStylePr>
    <w:tblStylePr w:type="nwCell">
      <w:tblPr/>
      <w:tcPr>
        <w:tcBorders>
          <w:bottom w:val="single" w:sz="4" w:space="0" w:color="C6C6C6" w:themeColor="accent6" w:themeTint="99"/>
        </w:tcBorders>
      </w:tcPr>
    </w:tblStylePr>
    <w:tblStylePr w:type="seCell">
      <w:tblPr/>
      <w:tcPr>
        <w:tcBorders>
          <w:top w:val="single" w:sz="4" w:space="0" w:color="C6C6C6" w:themeColor="accent6" w:themeTint="99"/>
        </w:tcBorders>
      </w:tcPr>
    </w:tblStylePr>
    <w:tblStylePr w:type="swCell">
      <w:tblPr/>
      <w:tcPr>
        <w:tcBorders>
          <w:top w:val="single" w:sz="4" w:space="0" w:color="C6C6C6" w:themeColor="accent6" w:themeTint="99"/>
        </w:tcBorders>
      </w:tcPr>
    </w:tblStylePr>
  </w:style>
  <w:style w:type="table" w:styleId="GridTable4">
    <w:name w:val="Grid Table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573428"/>
    <w:rPr>
      <w:rFonts w:asciiTheme="minorHAnsi" w:eastAsia="Century Gothic" w:hAnsiTheme="minorHAnsi" w:cstheme="minorBidi"/>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insideV w:val="single" w:sz="4" w:space="0" w:color="A1E2EB" w:themeColor="accent1"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1"/>
          <w:left w:val="single" w:sz="4" w:space="0" w:color="63D0DF" w:themeColor="accent1"/>
          <w:bottom w:val="single" w:sz="4" w:space="0" w:color="63D0DF" w:themeColor="accent1"/>
          <w:right w:val="single" w:sz="4" w:space="0" w:color="63D0DF" w:themeColor="accent1"/>
          <w:insideH w:val="nil"/>
          <w:insideV w:val="nil"/>
        </w:tcBorders>
        <w:shd w:val="clear" w:color="auto" w:fill="63D0DF" w:themeFill="accent1"/>
      </w:tcPr>
    </w:tblStylePr>
    <w:tblStylePr w:type="lastRow">
      <w:rPr>
        <w:b/>
        <w:bCs/>
      </w:rPr>
      <w:tblPr/>
      <w:tcPr>
        <w:tcBorders>
          <w:top w:val="double" w:sz="4" w:space="0" w:color="63D0DF" w:themeColor="accent1"/>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GridTable4-Accent2">
    <w:name w:val="Grid Table 4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insideV w:val="single" w:sz="4" w:space="0" w:color="DEDEDF" w:themeColor="accent2"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C9C9CA" w:themeColor="accent2"/>
          <w:left w:val="single" w:sz="4" w:space="0" w:color="C9C9CA" w:themeColor="accent2"/>
          <w:bottom w:val="single" w:sz="4" w:space="0" w:color="C9C9CA" w:themeColor="accent2"/>
          <w:right w:val="single" w:sz="4" w:space="0" w:color="C9C9CA" w:themeColor="accent2"/>
          <w:insideH w:val="nil"/>
          <w:insideV w:val="nil"/>
        </w:tcBorders>
        <w:shd w:val="clear" w:color="auto" w:fill="C9C9CA" w:themeFill="accent2"/>
      </w:tcPr>
    </w:tblStylePr>
    <w:tblStylePr w:type="lastRow">
      <w:rPr>
        <w:b/>
        <w:bCs/>
      </w:rPr>
      <w:tblPr/>
      <w:tcPr>
        <w:tcBorders>
          <w:top w:val="double" w:sz="4" w:space="0" w:color="C9C9CA" w:themeColor="accent2"/>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GridTable4-Accent3">
    <w:name w:val="Grid Table 4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insideV w:val="single" w:sz="4" w:space="0" w:color="A1E2EB" w:themeColor="accent3"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3"/>
          <w:left w:val="single" w:sz="4" w:space="0" w:color="63D0DF" w:themeColor="accent3"/>
          <w:bottom w:val="single" w:sz="4" w:space="0" w:color="63D0DF" w:themeColor="accent3"/>
          <w:right w:val="single" w:sz="4" w:space="0" w:color="63D0DF" w:themeColor="accent3"/>
          <w:insideH w:val="nil"/>
          <w:insideV w:val="nil"/>
        </w:tcBorders>
        <w:shd w:val="clear" w:color="auto" w:fill="63D0DF" w:themeFill="accent3"/>
      </w:tcPr>
    </w:tblStylePr>
    <w:tblStylePr w:type="lastRow">
      <w:rPr>
        <w:b/>
        <w:bCs/>
      </w:rPr>
      <w:tblPr/>
      <w:tcPr>
        <w:tcBorders>
          <w:top w:val="double" w:sz="4" w:space="0" w:color="63D0DF" w:themeColor="accent3"/>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GridTable4-Accent4">
    <w:name w:val="Grid Table 4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insideV w:val="single" w:sz="4" w:space="0" w:color="C6C6C6" w:themeColor="accent4"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A1A1A1" w:themeColor="accent4"/>
          <w:left w:val="single" w:sz="4" w:space="0" w:color="A1A1A1" w:themeColor="accent4"/>
          <w:bottom w:val="single" w:sz="4" w:space="0" w:color="A1A1A1" w:themeColor="accent4"/>
          <w:right w:val="single" w:sz="4" w:space="0" w:color="A1A1A1" w:themeColor="accent4"/>
          <w:insideH w:val="nil"/>
          <w:insideV w:val="nil"/>
        </w:tcBorders>
        <w:shd w:val="clear" w:color="auto" w:fill="A1A1A1" w:themeFill="accent4"/>
      </w:tcPr>
    </w:tblStylePr>
    <w:tblStylePr w:type="lastRow">
      <w:rPr>
        <w:b/>
        <w:bCs/>
      </w:rPr>
      <w:tblPr/>
      <w:tcPr>
        <w:tcBorders>
          <w:top w:val="double" w:sz="4" w:space="0" w:color="A1A1A1" w:themeColor="accent4"/>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GridTable4-Accent5">
    <w:name w:val="Grid Table 4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insideV w:val="single" w:sz="4" w:space="0" w:color="A1E2EB" w:themeColor="accent5"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5"/>
          <w:left w:val="single" w:sz="4" w:space="0" w:color="63D0DF" w:themeColor="accent5"/>
          <w:bottom w:val="single" w:sz="4" w:space="0" w:color="63D0DF" w:themeColor="accent5"/>
          <w:right w:val="single" w:sz="4" w:space="0" w:color="63D0DF" w:themeColor="accent5"/>
          <w:insideH w:val="nil"/>
          <w:insideV w:val="nil"/>
        </w:tcBorders>
        <w:shd w:val="clear" w:color="auto" w:fill="63D0DF" w:themeFill="accent5"/>
      </w:tcPr>
    </w:tblStylePr>
    <w:tblStylePr w:type="lastRow">
      <w:rPr>
        <w:b/>
        <w:bCs/>
      </w:rPr>
      <w:tblPr/>
      <w:tcPr>
        <w:tcBorders>
          <w:top w:val="double" w:sz="4" w:space="0" w:color="63D0DF" w:themeColor="accent5"/>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GridTable4-Accent6">
    <w:name w:val="Grid Table 4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insideV w:val="single" w:sz="4" w:space="0" w:color="C6C6C6" w:themeColor="accent6"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A1A1A1" w:themeColor="accent6"/>
          <w:left w:val="single" w:sz="4" w:space="0" w:color="A1A1A1" w:themeColor="accent6"/>
          <w:bottom w:val="single" w:sz="4" w:space="0" w:color="A1A1A1" w:themeColor="accent6"/>
          <w:right w:val="single" w:sz="4" w:space="0" w:color="A1A1A1" w:themeColor="accent6"/>
          <w:insideH w:val="nil"/>
          <w:insideV w:val="nil"/>
        </w:tcBorders>
        <w:shd w:val="clear" w:color="auto" w:fill="A1A1A1" w:themeFill="accent6"/>
      </w:tcPr>
    </w:tblStylePr>
    <w:tblStylePr w:type="lastRow">
      <w:rPr>
        <w:b/>
        <w:bCs/>
      </w:rPr>
      <w:tblPr/>
      <w:tcPr>
        <w:tcBorders>
          <w:top w:val="double" w:sz="4" w:space="0" w:color="A1A1A1" w:themeColor="accent6"/>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GridTable5Dark">
    <w:name w:val="Grid Table 5 Dark"/>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FF5F8"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D0D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D0D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D0D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D0DF" w:themeFill="accent1"/>
      </w:tcPr>
    </w:tblStylePr>
    <w:tblStylePr w:type="band1Vert">
      <w:tblPr/>
      <w:tcPr>
        <w:shd w:val="clear" w:color="auto" w:fill="C0ECF2" w:themeFill="accent1" w:themeFillTint="66"/>
      </w:tcPr>
    </w:tblStylePr>
    <w:tblStylePr w:type="band1Horz">
      <w:tblPr/>
      <w:tcPr>
        <w:shd w:val="clear" w:color="auto" w:fill="C0ECF2" w:themeFill="accent1" w:themeFillTint="66"/>
      </w:tcPr>
    </w:tblStylePr>
  </w:style>
  <w:style w:type="table" w:styleId="GridTable5Dark-Accent2">
    <w:name w:val="Grid Table 5 Dark Accent 2"/>
    <w:basedOn w:val="TableNormal"/>
    <w:uiPriority w:val="50"/>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F4F4F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9C9C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9C9C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9C9C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9C9CA" w:themeFill="accent2"/>
      </w:tcPr>
    </w:tblStylePr>
    <w:tblStylePr w:type="band1Vert">
      <w:tblPr/>
      <w:tcPr>
        <w:shd w:val="clear" w:color="auto" w:fill="E9E9E9" w:themeFill="accent2" w:themeFillTint="66"/>
      </w:tcPr>
    </w:tblStylePr>
    <w:tblStylePr w:type="band1Horz">
      <w:tblPr/>
      <w:tcPr>
        <w:shd w:val="clear" w:color="auto" w:fill="E9E9E9" w:themeFill="accent2" w:themeFillTint="66"/>
      </w:tcPr>
    </w:tblStylePr>
  </w:style>
  <w:style w:type="table" w:styleId="GridTable5Dark-Accent3">
    <w:name w:val="Grid Table 5 Dark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FF5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D0D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D0D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D0D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D0DF" w:themeFill="accent3"/>
      </w:tcPr>
    </w:tblStylePr>
    <w:tblStylePr w:type="band1Vert">
      <w:tblPr/>
      <w:tcPr>
        <w:shd w:val="clear" w:color="auto" w:fill="C0ECF2" w:themeFill="accent3" w:themeFillTint="66"/>
      </w:tcPr>
    </w:tblStylePr>
    <w:tblStylePr w:type="band1Horz">
      <w:tblPr/>
      <w:tcPr>
        <w:shd w:val="clear" w:color="auto" w:fill="C0ECF2" w:themeFill="accent3" w:themeFillTint="66"/>
      </w:tcPr>
    </w:tblStylePr>
  </w:style>
  <w:style w:type="table" w:styleId="GridTable5Dark-Accent4">
    <w:name w:val="Grid Table 5 Dark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ECEC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1A1A1"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1A1A1"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1A1A1"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1A1A1" w:themeFill="accent4"/>
      </w:tcPr>
    </w:tblStylePr>
    <w:tblStylePr w:type="band1Vert">
      <w:tblPr/>
      <w:tcPr>
        <w:shd w:val="clear" w:color="auto" w:fill="D9D9D9" w:themeFill="accent4" w:themeFillTint="66"/>
      </w:tcPr>
    </w:tblStylePr>
    <w:tblStylePr w:type="band1Horz">
      <w:tblPr/>
      <w:tcPr>
        <w:shd w:val="clear" w:color="auto" w:fill="D9D9D9" w:themeFill="accent4" w:themeFillTint="66"/>
      </w:tcPr>
    </w:tblStylePr>
  </w:style>
  <w:style w:type="table" w:styleId="GridTable5Dark-Accent5">
    <w:name w:val="Grid Table 5 Dark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DFF5F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D0D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D0D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D0D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D0DF" w:themeFill="accent5"/>
      </w:tcPr>
    </w:tblStylePr>
    <w:tblStylePr w:type="band1Vert">
      <w:tblPr/>
      <w:tcPr>
        <w:shd w:val="clear" w:color="auto" w:fill="C0ECF2" w:themeFill="accent5" w:themeFillTint="66"/>
      </w:tcPr>
    </w:tblStylePr>
    <w:tblStylePr w:type="band1Horz">
      <w:tblPr/>
      <w:tcPr>
        <w:shd w:val="clear" w:color="auto" w:fill="C0ECF2" w:themeFill="accent5" w:themeFillTint="66"/>
      </w:tcPr>
    </w:tblStylePr>
  </w:style>
  <w:style w:type="table" w:styleId="GridTable5Dark-Accent6">
    <w:name w:val="Grid Table 5 Dark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57" w:type="dxa"/>
        <w:left w:w="57" w:type="dxa"/>
        <w:bottom w:w="57" w:type="dxa"/>
        <w:right w:w="57" w:type="dxa"/>
      </w:tblCellMar>
    </w:tblPr>
    <w:tcPr>
      <w:shd w:val="clear" w:color="auto" w:fill="ECECE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1A1A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1A1A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1A1A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1A1A1" w:themeFill="accent6"/>
      </w:tcPr>
    </w:tblStylePr>
    <w:tblStylePr w:type="band1Vert">
      <w:tblPr/>
      <w:tcPr>
        <w:shd w:val="clear" w:color="auto" w:fill="D9D9D9" w:themeFill="accent6" w:themeFillTint="66"/>
      </w:tcPr>
    </w:tblStylePr>
    <w:tblStylePr w:type="band1Horz">
      <w:tblPr/>
      <w:tcPr>
        <w:shd w:val="clear" w:color="auto" w:fill="D9D9D9" w:themeFill="accent6" w:themeFillTint="66"/>
      </w:tcPr>
    </w:tblStylePr>
  </w:style>
  <w:style w:type="table" w:styleId="GridTable6Colorful">
    <w:name w:val="Grid Table 6 Colorful"/>
    <w:basedOn w:val="TableNormal"/>
    <w:uiPriority w:val="98"/>
    <w:semiHidden/>
    <w:rsid w:val="00573428"/>
    <w:rPr>
      <w:rFonts w:asciiTheme="minorHAnsi" w:eastAsia="Century Gothic" w:hAnsiTheme="minorHAnsi" w:cstheme="minorBidi"/>
      <w:color w:val="000000" w:themeColor="text1"/>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57" w:type="dxa"/>
        <w:left w:w="57" w:type="dxa"/>
        <w:bottom w:w="57" w:type="dxa"/>
        <w:right w:w="57"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98"/>
    <w:semiHidden/>
    <w:rsid w:val="00573428"/>
    <w:rPr>
      <w:rFonts w:asciiTheme="minorHAnsi" w:eastAsia="Century Gothic" w:hAnsiTheme="minorHAnsi" w:cstheme="minorBidi"/>
      <w:color w:val="29B4C7" w:themeColor="accent1" w:themeShade="BF"/>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insideV w:val="single" w:sz="4" w:space="0" w:color="A1E2EB" w:themeColor="accent1" w:themeTint="99"/>
      </w:tblBorders>
      <w:tblCellMar>
        <w:top w:w="57" w:type="dxa"/>
        <w:left w:w="57" w:type="dxa"/>
        <w:bottom w:w="57" w:type="dxa"/>
        <w:right w:w="57" w:type="dxa"/>
      </w:tblCellMar>
    </w:tblPr>
    <w:tblStylePr w:type="firstRow">
      <w:rPr>
        <w:b/>
        <w:bCs/>
      </w:rPr>
      <w:tblPr/>
      <w:tcPr>
        <w:tcBorders>
          <w:bottom w:val="single" w:sz="12" w:space="0" w:color="A1E2EB" w:themeColor="accent1" w:themeTint="99"/>
        </w:tcBorders>
      </w:tcPr>
    </w:tblStylePr>
    <w:tblStylePr w:type="lastRow">
      <w:rPr>
        <w:b/>
        <w:bCs/>
      </w:rPr>
      <w:tblPr/>
      <w:tcPr>
        <w:tcBorders>
          <w:top w:val="double" w:sz="4" w:space="0" w:color="A1E2EB" w:themeColor="accent1" w:themeTint="99"/>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GridTable6Colorful-Accent2">
    <w:name w:val="Grid Table 6 Colorful Accent 2"/>
    <w:basedOn w:val="TableNormal"/>
    <w:uiPriority w:val="98"/>
    <w:semiHidden/>
    <w:rsid w:val="00573428"/>
    <w:rPr>
      <w:rFonts w:asciiTheme="minorHAnsi" w:eastAsia="Century Gothic" w:hAnsiTheme="minorHAnsi" w:cstheme="minorBidi"/>
      <w:color w:val="959597" w:themeColor="accent2" w:themeShade="BF"/>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insideV w:val="single" w:sz="4" w:space="0" w:color="DEDEDF" w:themeColor="accent2" w:themeTint="99"/>
      </w:tblBorders>
      <w:tblCellMar>
        <w:top w:w="57" w:type="dxa"/>
        <w:left w:w="57" w:type="dxa"/>
        <w:bottom w:w="57" w:type="dxa"/>
        <w:right w:w="57" w:type="dxa"/>
      </w:tblCellMar>
    </w:tblPr>
    <w:tblStylePr w:type="firstRow">
      <w:rPr>
        <w:b/>
        <w:bCs/>
      </w:rPr>
      <w:tblPr/>
      <w:tcPr>
        <w:tcBorders>
          <w:bottom w:val="single" w:sz="12" w:space="0" w:color="DEDEDF" w:themeColor="accent2" w:themeTint="99"/>
        </w:tcBorders>
      </w:tcPr>
    </w:tblStylePr>
    <w:tblStylePr w:type="lastRow">
      <w:rPr>
        <w:b/>
        <w:bCs/>
      </w:rPr>
      <w:tblPr/>
      <w:tcPr>
        <w:tcBorders>
          <w:top w:val="double" w:sz="4" w:space="0" w:color="DEDEDF" w:themeColor="accent2" w:themeTint="99"/>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GridTable6Colorful-Accent3">
    <w:name w:val="Grid Table 6 Colorful Accent 3"/>
    <w:basedOn w:val="TableNormal"/>
    <w:uiPriority w:val="98"/>
    <w:semiHidden/>
    <w:rsid w:val="00573428"/>
    <w:rPr>
      <w:rFonts w:asciiTheme="minorHAnsi" w:eastAsia="Century Gothic" w:hAnsiTheme="minorHAnsi" w:cstheme="minorBidi"/>
      <w:color w:val="29B4C7" w:themeColor="accent3" w:themeShade="BF"/>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insideV w:val="single" w:sz="4" w:space="0" w:color="A1E2EB" w:themeColor="accent3" w:themeTint="99"/>
      </w:tblBorders>
      <w:tblCellMar>
        <w:top w:w="57" w:type="dxa"/>
        <w:left w:w="57" w:type="dxa"/>
        <w:bottom w:w="57" w:type="dxa"/>
        <w:right w:w="57" w:type="dxa"/>
      </w:tblCellMar>
    </w:tblPr>
    <w:tblStylePr w:type="firstRow">
      <w:rPr>
        <w:b/>
        <w:bCs/>
      </w:rPr>
      <w:tblPr/>
      <w:tcPr>
        <w:tcBorders>
          <w:bottom w:val="single" w:sz="12" w:space="0" w:color="A1E2EB" w:themeColor="accent3" w:themeTint="99"/>
        </w:tcBorders>
      </w:tcPr>
    </w:tblStylePr>
    <w:tblStylePr w:type="lastRow">
      <w:rPr>
        <w:b/>
        <w:bCs/>
      </w:rPr>
      <w:tblPr/>
      <w:tcPr>
        <w:tcBorders>
          <w:top w:val="double" w:sz="4" w:space="0" w:color="A1E2EB" w:themeColor="accent3" w:themeTint="99"/>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GridTable6Colorful-Accent4">
    <w:name w:val="Grid Table 6 Colorful Accent 4"/>
    <w:basedOn w:val="TableNormal"/>
    <w:uiPriority w:val="98"/>
    <w:semiHidden/>
    <w:rsid w:val="00573428"/>
    <w:rPr>
      <w:rFonts w:asciiTheme="minorHAnsi" w:eastAsia="Century Gothic" w:hAnsiTheme="minorHAnsi" w:cstheme="minorBidi"/>
      <w:color w:val="787878" w:themeColor="accent4" w:themeShade="BF"/>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insideV w:val="single" w:sz="4" w:space="0" w:color="C6C6C6" w:themeColor="accent4" w:themeTint="99"/>
      </w:tblBorders>
      <w:tblCellMar>
        <w:top w:w="57" w:type="dxa"/>
        <w:left w:w="57" w:type="dxa"/>
        <w:bottom w:w="57" w:type="dxa"/>
        <w:right w:w="57" w:type="dxa"/>
      </w:tblCellMar>
    </w:tblPr>
    <w:tblStylePr w:type="firstRow">
      <w:rPr>
        <w:b/>
        <w:bCs/>
      </w:rPr>
      <w:tblPr/>
      <w:tcPr>
        <w:tcBorders>
          <w:bottom w:val="single" w:sz="12" w:space="0" w:color="C6C6C6" w:themeColor="accent4" w:themeTint="99"/>
        </w:tcBorders>
      </w:tcPr>
    </w:tblStylePr>
    <w:tblStylePr w:type="lastRow">
      <w:rPr>
        <w:b/>
        <w:bCs/>
      </w:rPr>
      <w:tblPr/>
      <w:tcPr>
        <w:tcBorders>
          <w:top w:val="double" w:sz="4" w:space="0" w:color="C6C6C6" w:themeColor="accent4" w:themeTint="99"/>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GridTable6Colorful-Accent5">
    <w:name w:val="Grid Table 6 Colorful Accent 5"/>
    <w:basedOn w:val="TableNormal"/>
    <w:uiPriority w:val="98"/>
    <w:semiHidden/>
    <w:rsid w:val="00573428"/>
    <w:rPr>
      <w:rFonts w:asciiTheme="minorHAnsi" w:eastAsia="Century Gothic" w:hAnsiTheme="minorHAnsi" w:cstheme="minorBidi"/>
      <w:color w:val="29B4C7" w:themeColor="accent5" w:themeShade="BF"/>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insideV w:val="single" w:sz="4" w:space="0" w:color="A1E2EB" w:themeColor="accent5" w:themeTint="99"/>
      </w:tblBorders>
      <w:tblCellMar>
        <w:top w:w="57" w:type="dxa"/>
        <w:left w:w="57" w:type="dxa"/>
        <w:bottom w:w="57" w:type="dxa"/>
        <w:right w:w="57" w:type="dxa"/>
      </w:tblCellMar>
    </w:tblPr>
    <w:tblStylePr w:type="firstRow">
      <w:rPr>
        <w:b/>
        <w:bCs/>
      </w:rPr>
      <w:tblPr/>
      <w:tcPr>
        <w:tcBorders>
          <w:bottom w:val="single" w:sz="12" w:space="0" w:color="A1E2EB" w:themeColor="accent5" w:themeTint="99"/>
        </w:tcBorders>
      </w:tcPr>
    </w:tblStylePr>
    <w:tblStylePr w:type="lastRow">
      <w:rPr>
        <w:b/>
        <w:bCs/>
      </w:rPr>
      <w:tblPr/>
      <w:tcPr>
        <w:tcBorders>
          <w:top w:val="double" w:sz="4" w:space="0" w:color="A1E2EB" w:themeColor="accent5" w:themeTint="99"/>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GridTable6Colorful-Accent6">
    <w:name w:val="Grid Table 6 Colorful Accent 6"/>
    <w:basedOn w:val="TableNormal"/>
    <w:uiPriority w:val="98"/>
    <w:semiHidden/>
    <w:rsid w:val="00573428"/>
    <w:rPr>
      <w:rFonts w:asciiTheme="minorHAnsi" w:eastAsia="Century Gothic" w:hAnsiTheme="minorHAnsi" w:cstheme="minorBidi"/>
      <w:color w:val="787878" w:themeColor="accent6" w:themeShade="BF"/>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insideV w:val="single" w:sz="4" w:space="0" w:color="C6C6C6" w:themeColor="accent6" w:themeTint="99"/>
      </w:tblBorders>
      <w:tblCellMar>
        <w:top w:w="57" w:type="dxa"/>
        <w:left w:w="57" w:type="dxa"/>
        <w:bottom w:w="57" w:type="dxa"/>
        <w:right w:w="57" w:type="dxa"/>
      </w:tblCellMar>
    </w:tblPr>
    <w:tblStylePr w:type="firstRow">
      <w:rPr>
        <w:b/>
        <w:bCs/>
      </w:rPr>
      <w:tblPr/>
      <w:tcPr>
        <w:tcBorders>
          <w:bottom w:val="single" w:sz="12" w:space="0" w:color="C6C6C6" w:themeColor="accent6" w:themeTint="99"/>
        </w:tcBorders>
      </w:tcPr>
    </w:tblStylePr>
    <w:tblStylePr w:type="lastRow">
      <w:rPr>
        <w:b/>
        <w:bCs/>
      </w:rPr>
      <w:tblPr/>
      <w:tcPr>
        <w:tcBorders>
          <w:top w:val="double" w:sz="4" w:space="0" w:color="C6C6C6" w:themeColor="accent6" w:themeTint="99"/>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GridTable7Colorful">
    <w:name w:val="Grid Table 7 Colorful"/>
    <w:basedOn w:val="TableNormal"/>
    <w:uiPriority w:val="98"/>
    <w:semiHidden/>
    <w:rsid w:val="00573428"/>
    <w:rPr>
      <w:rFonts w:asciiTheme="minorHAnsi" w:eastAsia="Century Gothic" w:hAnsiTheme="minorHAnsi" w:cstheme="minorBidi"/>
      <w:color w:val="000000" w:themeColor="text1"/>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98"/>
    <w:semiHidden/>
    <w:rsid w:val="00573428"/>
    <w:rPr>
      <w:rFonts w:asciiTheme="minorHAnsi" w:eastAsia="Century Gothic" w:hAnsiTheme="minorHAnsi" w:cstheme="minorBidi"/>
      <w:color w:val="29B4C7" w:themeColor="accent1" w:themeShade="BF"/>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insideV w:val="single" w:sz="4" w:space="0" w:color="A1E2EB" w:themeColor="accent1"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1" w:themeFillTint="33"/>
      </w:tcPr>
    </w:tblStylePr>
    <w:tblStylePr w:type="band1Horz">
      <w:tblPr/>
      <w:tcPr>
        <w:shd w:val="clear" w:color="auto" w:fill="DFF5F8" w:themeFill="accent1" w:themeFillTint="33"/>
      </w:tcPr>
    </w:tblStylePr>
    <w:tblStylePr w:type="neCell">
      <w:tblPr/>
      <w:tcPr>
        <w:tcBorders>
          <w:bottom w:val="single" w:sz="4" w:space="0" w:color="A1E2EB" w:themeColor="accent1" w:themeTint="99"/>
        </w:tcBorders>
      </w:tcPr>
    </w:tblStylePr>
    <w:tblStylePr w:type="nwCell">
      <w:tblPr/>
      <w:tcPr>
        <w:tcBorders>
          <w:bottom w:val="single" w:sz="4" w:space="0" w:color="A1E2EB" w:themeColor="accent1" w:themeTint="99"/>
        </w:tcBorders>
      </w:tcPr>
    </w:tblStylePr>
    <w:tblStylePr w:type="seCell">
      <w:tblPr/>
      <w:tcPr>
        <w:tcBorders>
          <w:top w:val="single" w:sz="4" w:space="0" w:color="A1E2EB" w:themeColor="accent1" w:themeTint="99"/>
        </w:tcBorders>
      </w:tcPr>
    </w:tblStylePr>
    <w:tblStylePr w:type="swCell">
      <w:tblPr/>
      <w:tcPr>
        <w:tcBorders>
          <w:top w:val="single" w:sz="4" w:space="0" w:color="A1E2EB" w:themeColor="accent1" w:themeTint="99"/>
        </w:tcBorders>
      </w:tcPr>
    </w:tblStylePr>
  </w:style>
  <w:style w:type="table" w:styleId="GridTable7Colorful-Accent2">
    <w:name w:val="Grid Table 7 Colorful Accent 2"/>
    <w:basedOn w:val="TableNormal"/>
    <w:uiPriority w:val="98"/>
    <w:semiHidden/>
    <w:rsid w:val="00573428"/>
    <w:rPr>
      <w:rFonts w:asciiTheme="minorHAnsi" w:eastAsia="Century Gothic" w:hAnsiTheme="minorHAnsi" w:cstheme="minorBidi"/>
      <w:color w:val="959597" w:themeColor="accent2" w:themeShade="BF"/>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insideV w:val="single" w:sz="4" w:space="0" w:color="DEDEDF" w:themeColor="accent2"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2" w:themeFillTint="33"/>
      </w:tcPr>
    </w:tblStylePr>
    <w:tblStylePr w:type="band1Horz">
      <w:tblPr/>
      <w:tcPr>
        <w:shd w:val="clear" w:color="auto" w:fill="F4F4F4" w:themeFill="accent2" w:themeFillTint="33"/>
      </w:tcPr>
    </w:tblStylePr>
    <w:tblStylePr w:type="neCell">
      <w:tblPr/>
      <w:tcPr>
        <w:tcBorders>
          <w:bottom w:val="single" w:sz="4" w:space="0" w:color="DEDEDF" w:themeColor="accent2" w:themeTint="99"/>
        </w:tcBorders>
      </w:tcPr>
    </w:tblStylePr>
    <w:tblStylePr w:type="nwCell">
      <w:tblPr/>
      <w:tcPr>
        <w:tcBorders>
          <w:bottom w:val="single" w:sz="4" w:space="0" w:color="DEDEDF" w:themeColor="accent2" w:themeTint="99"/>
        </w:tcBorders>
      </w:tcPr>
    </w:tblStylePr>
    <w:tblStylePr w:type="seCell">
      <w:tblPr/>
      <w:tcPr>
        <w:tcBorders>
          <w:top w:val="single" w:sz="4" w:space="0" w:color="DEDEDF" w:themeColor="accent2" w:themeTint="99"/>
        </w:tcBorders>
      </w:tcPr>
    </w:tblStylePr>
    <w:tblStylePr w:type="swCell">
      <w:tblPr/>
      <w:tcPr>
        <w:tcBorders>
          <w:top w:val="single" w:sz="4" w:space="0" w:color="DEDEDF" w:themeColor="accent2" w:themeTint="99"/>
        </w:tcBorders>
      </w:tcPr>
    </w:tblStylePr>
  </w:style>
  <w:style w:type="table" w:styleId="GridTable7Colorful-Accent3">
    <w:name w:val="Grid Table 7 Colorful Accent 3"/>
    <w:basedOn w:val="TableNormal"/>
    <w:uiPriority w:val="98"/>
    <w:semiHidden/>
    <w:rsid w:val="00573428"/>
    <w:rPr>
      <w:rFonts w:asciiTheme="minorHAnsi" w:eastAsia="Century Gothic" w:hAnsiTheme="minorHAnsi" w:cstheme="minorBidi"/>
      <w:color w:val="29B4C7" w:themeColor="accent3" w:themeShade="BF"/>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insideV w:val="single" w:sz="4" w:space="0" w:color="A1E2EB" w:themeColor="accent3"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3" w:themeFillTint="33"/>
      </w:tcPr>
    </w:tblStylePr>
    <w:tblStylePr w:type="band1Horz">
      <w:tblPr/>
      <w:tcPr>
        <w:shd w:val="clear" w:color="auto" w:fill="DFF5F8" w:themeFill="accent3" w:themeFillTint="33"/>
      </w:tcPr>
    </w:tblStylePr>
    <w:tblStylePr w:type="neCell">
      <w:tblPr/>
      <w:tcPr>
        <w:tcBorders>
          <w:bottom w:val="single" w:sz="4" w:space="0" w:color="A1E2EB" w:themeColor="accent3" w:themeTint="99"/>
        </w:tcBorders>
      </w:tcPr>
    </w:tblStylePr>
    <w:tblStylePr w:type="nwCell">
      <w:tblPr/>
      <w:tcPr>
        <w:tcBorders>
          <w:bottom w:val="single" w:sz="4" w:space="0" w:color="A1E2EB" w:themeColor="accent3" w:themeTint="99"/>
        </w:tcBorders>
      </w:tcPr>
    </w:tblStylePr>
    <w:tblStylePr w:type="seCell">
      <w:tblPr/>
      <w:tcPr>
        <w:tcBorders>
          <w:top w:val="single" w:sz="4" w:space="0" w:color="A1E2EB" w:themeColor="accent3" w:themeTint="99"/>
        </w:tcBorders>
      </w:tcPr>
    </w:tblStylePr>
    <w:tblStylePr w:type="swCell">
      <w:tblPr/>
      <w:tcPr>
        <w:tcBorders>
          <w:top w:val="single" w:sz="4" w:space="0" w:color="A1E2EB" w:themeColor="accent3" w:themeTint="99"/>
        </w:tcBorders>
      </w:tcPr>
    </w:tblStylePr>
  </w:style>
  <w:style w:type="table" w:styleId="GridTable7Colorful-Accent4">
    <w:name w:val="Grid Table 7 Colorful Accent 4"/>
    <w:basedOn w:val="TableNormal"/>
    <w:uiPriority w:val="98"/>
    <w:semiHidden/>
    <w:rsid w:val="00573428"/>
    <w:rPr>
      <w:rFonts w:asciiTheme="minorHAnsi" w:eastAsia="Century Gothic" w:hAnsiTheme="minorHAnsi" w:cstheme="minorBidi"/>
      <w:color w:val="787878" w:themeColor="accent4" w:themeShade="BF"/>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insideV w:val="single" w:sz="4" w:space="0" w:color="C6C6C6" w:themeColor="accent4"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ECEC" w:themeFill="accent4" w:themeFillTint="33"/>
      </w:tcPr>
    </w:tblStylePr>
    <w:tblStylePr w:type="band1Horz">
      <w:tblPr/>
      <w:tcPr>
        <w:shd w:val="clear" w:color="auto" w:fill="ECECEC" w:themeFill="accent4" w:themeFillTint="33"/>
      </w:tcPr>
    </w:tblStylePr>
    <w:tblStylePr w:type="neCell">
      <w:tblPr/>
      <w:tcPr>
        <w:tcBorders>
          <w:bottom w:val="single" w:sz="4" w:space="0" w:color="C6C6C6" w:themeColor="accent4" w:themeTint="99"/>
        </w:tcBorders>
      </w:tcPr>
    </w:tblStylePr>
    <w:tblStylePr w:type="nwCell">
      <w:tblPr/>
      <w:tcPr>
        <w:tcBorders>
          <w:bottom w:val="single" w:sz="4" w:space="0" w:color="C6C6C6" w:themeColor="accent4" w:themeTint="99"/>
        </w:tcBorders>
      </w:tcPr>
    </w:tblStylePr>
    <w:tblStylePr w:type="seCell">
      <w:tblPr/>
      <w:tcPr>
        <w:tcBorders>
          <w:top w:val="single" w:sz="4" w:space="0" w:color="C6C6C6" w:themeColor="accent4" w:themeTint="99"/>
        </w:tcBorders>
      </w:tcPr>
    </w:tblStylePr>
    <w:tblStylePr w:type="swCell">
      <w:tblPr/>
      <w:tcPr>
        <w:tcBorders>
          <w:top w:val="single" w:sz="4" w:space="0" w:color="C6C6C6" w:themeColor="accent4" w:themeTint="99"/>
        </w:tcBorders>
      </w:tcPr>
    </w:tblStylePr>
  </w:style>
  <w:style w:type="table" w:styleId="GridTable7Colorful-Accent5">
    <w:name w:val="Grid Table 7 Colorful Accent 5"/>
    <w:basedOn w:val="TableNormal"/>
    <w:uiPriority w:val="98"/>
    <w:semiHidden/>
    <w:rsid w:val="00573428"/>
    <w:rPr>
      <w:rFonts w:asciiTheme="minorHAnsi" w:eastAsia="Century Gothic" w:hAnsiTheme="minorHAnsi" w:cstheme="minorBidi"/>
      <w:color w:val="29B4C7" w:themeColor="accent5" w:themeShade="BF"/>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insideV w:val="single" w:sz="4" w:space="0" w:color="A1E2EB" w:themeColor="accent5"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F5F8" w:themeFill="accent5" w:themeFillTint="33"/>
      </w:tcPr>
    </w:tblStylePr>
    <w:tblStylePr w:type="band1Horz">
      <w:tblPr/>
      <w:tcPr>
        <w:shd w:val="clear" w:color="auto" w:fill="DFF5F8" w:themeFill="accent5" w:themeFillTint="33"/>
      </w:tcPr>
    </w:tblStylePr>
    <w:tblStylePr w:type="neCell">
      <w:tblPr/>
      <w:tcPr>
        <w:tcBorders>
          <w:bottom w:val="single" w:sz="4" w:space="0" w:color="A1E2EB" w:themeColor="accent5" w:themeTint="99"/>
        </w:tcBorders>
      </w:tcPr>
    </w:tblStylePr>
    <w:tblStylePr w:type="nwCell">
      <w:tblPr/>
      <w:tcPr>
        <w:tcBorders>
          <w:bottom w:val="single" w:sz="4" w:space="0" w:color="A1E2EB" w:themeColor="accent5" w:themeTint="99"/>
        </w:tcBorders>
      </w:tcPr>
    </w:tblStylePr>
    <w:tblStylePr w:type="seCell">
      <w:tblPr/>
      <w:tcPr>
        <w:tcBorders>
          <w:top w:val="single" w:sz="4" w:space="0" w:color="A1E2EB" w:themeColor="accent5" w:themeTint="99"/>
        </w:tcBorders>
      </w:tcPr>
    </w:tblStylePr>
    <w:tblStylePr w:type="swCell">
      <w:tblPr/>
      <w:tcPr>
        <w:tcBorders>
          <w:top w:val="single" w:sz="4" w:space="0" w:color="A1E2EB" w:themeColor="accent5" w:themeTint="99"/>
        </w:tcBorders>
      </w:tcPr>
    </w:tblStylePr>
  </w:style>
  <w:style w:type="table" w:styleId="GridTable7Colorful-Accent6">
    <w:name w:val="Grid Table 7 Colorful Accent 6"/>
    <w:basedOn w:val="TableNormal"/>
    <w:uiPriority w:val="98"/>
    <w:semiHidden/>
    <w:rsid w:val="00573428"/>
    <w:rPr>
      <w:rFonts w:asciiTheme="minorHAnsi" w:eastAsia="Century Gothic" w:hAnsiTheme="minorHAnsi" w:cstheme="minorBidi"/>
      <w:color w:val="787878" w:themeColor="accent6" w:themeShade="BF"/>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insideV w:val="single" w:sz="4" w:space="0" w:color="C6C6C6" w:themeColor="accent6" w:themeTint="99"/>
      </w:tblBorders>
      <w:tblCellMar>
        <w:top w:w="57" w:type="dxa"/>
        <w:left w:w="57" w:type="dxa"/>
        <w:bottom w:w="57" w:type="dxa"/>
        <w:right w:w="170"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ECEC" w:themeFill="accent6" w:themeFillTint="33"/>
      </w:tcPr>
    </w:tblStylePr>
    <w:tblStylePr w:type="band1Horz">
      <w:tblPr/>
      <w:tcPr>
        <w:shd w:val="clear" w:color="auto" w:fill="ECECEC" w:themeFill="accent6" w:themeFillTint="33"/>
      </w:tcPr>
    </w:tblStylePr>
    <w:tblStylePr w:type="neCell">
      <w:tblPr/>
      <w:tcPr>
        <w:tcBorders>
          <w:bottom w:val="single" w:sz="4" w:space="0" w:color="C6C6C6" w:themeColor="accent6" w:themeTint="99"/>
        </w:tcBorders>
      </w:tcPr>
    </w:tblStylePr>
    <w:tblStylePr w:type="nwCell">
      <w:tblPr/>
      <w:tcPr>
        <w:tcBorders>
          <w:bottom w:val="single" w:sz="4" w:space="0" w:color="C6C6C6" w:themeColor="accent6" w:themeTint="99"/>
        </w:tcBorders>
      </w:tcPr>
    </w:tblStylePr>
    <w:tblStylePr w:type="seCell">
      <w:tblPr/>
      <w:tcPr>
        <w:tcBorders>
          <w:top w:val="single" w:sz="4" w:space="0" w:color="C6C6C6" w:themeColor="accent6" w:themeTint="99"/>
        </w:tcBorders>
      </w:tcPr>
    </w:tblStylePr>
    <w:tblStylePr w:type="swCell">
      <w:tblPr/>
      <w:tcPr>
        <w:tcBorders>
          <w:top w:val="single" w:sz="4" w:space="0" w:color="C6C6C6" w:themeColor="accent6" w:themeTint="99"/>
        </w:tcBorders>
      </w:tcPr>
    </w:tblStylePr>
  </w:style>
  <w:style w:type="table" w:styleId="ListTable1Light">
    <w:name w:val="List Table 1 Light"/>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A1E2EB" w:themeColor="accent1" w:themeTint="99"/>
        </w:tcBorders>
      </w:tcPr>
    </w:tblStylePr>
    <w:tblStylePr w:type="lastRow">
      <w:rPr>
        <w:b/>
        <w:bCs/>
      </w:rPr>
      <w:tblPr/>
      <w:tcPr>
        <w:tcBorders>
          <w:top w:val="single" w:sz="4" w:space="0" w:color="A1E2EB" w:themeColor="accent1" w:themeTint="99"/>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ListTable1Light-Accent2">
    <w:name w:val="List Table 1 Light Accent 2"/>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DEDEDF" w:themeColor="accent2" w:themeTint="99"/>
        </w:tcBorders>
      </w:tcPr>
    </w:tblStylePr>
    <w:tblStylePr w:type="lastRow">
      <w:rPr>
        <w:b/>
        <w:bCs/>
      </w:rPr>
      <w:tblPr/>
      <w:tcPr>
        <w:tcBorders>
          <w:top w:val="single" w:sz="4" w:space="0" w:color="DEDEDF" w:themeColor="accent2" w:themeTint="99"/>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ListTable1Light-Accent3">
    <w:name w:val="List Table 1 Light Accent 3"/>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A1E2EB" w:themeColor="accent3" w:themeTint="99"/>
        </w:tcBorders>
      </w:tcPr>
    </w:tblStylePr>
    <w:tblStylePr w:type="lastRow">
      <w:rPr>
        <w:b/>
        <w:bCs/>
      </w:rPr>
      <w:tblPr/>
      <w:tcPr>
        <w:tcBorders>
          <w:top w:val="single" w:sz="4" w:space="0" w:color="A1E2EB" w:themeColor="accent3" w:themeTint="99"/>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ListTable1Light-Accent4">
    <w:name w:val="List Table 1 Light Accent 4"/>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C6C6C6" w:themeColor="accent4" w:themeTint="99"/>
        </w:tcBorders>
      </w:tcPr>
    </w:tblStylePr>
    <w:tblStylePr w:type="lastRow">
      <w:rPr>
        <w:b/>
        <w:bCs/>
      </w:rPr>
      <w:tblPr/>
      <w:tcPr>
        <w:tcBorders>
          <w:top w:val="single" w:sz="4" w:space="0" w:color="C6C6C6" w:themeColor="accent4" w:themeTint="99"/>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ListTable1Light-Accent5">
    <w:name w:val="List Table 1 Light Accent 5"/>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A1E2EB" w:themeColor="accent5" w:themeTint="99"/>
        </w:tcBorders>
      </w:tcPr>
    </w:tblStylePr>
    <w:tblStylePr w:type="lastRow">
      <w:rPr>
        <w:b/>
        <w:bCs/>
      </w:rPr>
      <w:tblPr/>
      <w:tcPr>
        <w:tcBorders>
          <w:top w:val="single" w:sz="4" w:space="0" w:color="A1E2EB" w:themeColor="accent5" w:themeTint="99"/>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ListTable1Light-Accent6">
    <w:name w:val="List Table 1 Light Accent 6"/>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Pr/>
      <w:tcPr>
        <w:tcBorders>
          <w:bottom w:val="single" w:sz="4" w:space="0" w:color="C6C6C6" w:themeColor="accent6" w:themeTint="99"/>
        </w:tcBorders>
      </w:tcPr>
    </w:tblStylePr>
    <w:tblStylePr w:type="lastRow">
      <w:rPr>
        <w:b/>
        <w:bCs/>
      </w:rPr>
      <w:tblPr/>
      <w:tcPr>
        <w:tcBorders>
          <w:top w:val="single" w:sz="4" w:space="0" w:color="C6C6C6" w:themeColor="accent6" w:themeTint="99"/>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ListTable2">
    <w:name w:val="List Table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1" w:themeTint="99"/>
        <w:bottom w:val="single" w:sz="4" w:space="0" w:color="A1E2EB" w:themeColor="accent1" w:themeTint="99"/>
        <w:insideH w:val="single" w:sz="4" w:space="0" w:color="A1E2EB" w:themeColor="accent1"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ListTable2-Accent2">
    <w:name w:val="List Table 2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EDEDF" w:themeColor="accent2" w:themeTint="99"/>
        <w:bottom w:val="single" w:sz="4" w:space="0" w:color="DEDEDF" w:themeColor="accent2" w:themeTint="99"/>
        <w:insideH w:val="single" w:sz="4" w:space="0" w:color="DEDEDF" w:themeColor="accent2"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ListTable2-Accent3">
    <w:name w:val="List Table 2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3" w:themeTint="99"/>
        <w:bottom w:val="single" w:sz="4" w:space="0" w:color="A1E2EB" w:themeColor="accent3" w:themeTint="99"/>
        <w:insideH w:val="single" w:sz="4" w:space="0" w:color="A1E2EB" w:themeColor="accent3"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ListTable2-Accent4">
    <w:name w:val="List Table 2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4" w:themeTint="99"/>
        <w:bottom w:val="single" w:sz="4" w:space="0" w:color="C6C6C6" w:themeColor="accent4" w:themeTint="99"/>
        <w:insideH w:val="single" w:sz="4" w:space="0" w:color="C6C6C6" w:themeColor="accent4"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ListTable2-Accent5">
    <w:name w:val="List Table 2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5" w:themeTint="99"/>
        <w:bottom w:val="single" w:sz="4" w:space="0" w:color="A1E2EB" w:themeColor="accent5" w:themeTint="99"/>
        <w:insideH w:val="single" w:sz="4" w:space="0" w:color="A1E2EB" w:themeColor="accent5"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ListTable2-Accent6">
    <w:name w:val="List Table 2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6" w:themeTint="99"/>
        <w:bottom w:val="single" w:sz="4" w:space="0" w:color="C6C6C6" w:themeColor="accent6" w:themeTint="99"/>
        <w:insideH w:val="single" w:sz="4" w:space="0" w:color="C6C6C6" w:themeColor="accent6" w:themeTint="99"/>
      </w:tblBorders>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ListTable3">
    <w:name w:val="List Table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2">
    <w:name w:val="List Table 3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9C9CA" w:themeColor="accent2"/>
        <w:left w:val="single" w:sz="4" w:space="0" w:color="C9C9CA" w:themeColor="accent2"/>
        <w:bottom w:val="single" w:sz="4" w:space="0" w:color="C9C9CA" w:themeColor="accent2"/>
        <w:right w:val="single" w:sz="4" w:space="0" w:color="C9C9CA" w:themeColor="accent2"/>
      </w:tblBorders>
      <w:tblCellMar>
        <w:top w:w="57" w:type="dxa"/>
        <w:left w:w="57" w:type="dxa"/>
        <w:bottom w:w="57" w:type="dxa"/>
        <w:right w:w="57" w:type="dxa"/>
      </w:tblCellMar>
    </w:tblPr>
    <w:tblStylePr w:type="firstRow">
      <w:rPr>
        <w:b/>
        <w:bCs/>
        <w:color w:val="FFFFFF" w:themeColor="background1"/>
      </w:rPr>
      <w:tblPr/>
      <w:tcPr>
        <w:shd w:val="clear" w:color="auto" w:fill="C9C9CA" w:themeFill="accent2"/>
      </w:tcPr>
    </w:tblStylePr>
    <w:tblStylePr w:type="lastRow">
      <w:rPr>
        <w:b/>
        <w:bCs/>
      </w:rPr>
      <w:tblPr/>
      <w:tcPr>
        <w:tcBorders>
          <w:top w:val="double" w:sz="4" w:space="0" w:color="C9C9C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9C9CA" w:themeColor="accent2"/>
          <w:right w:val="single" w:sz="4" w:space="0" w:color="C9C9CA" w:themeColor="accent2"/>
        </w:tcBorders>
      </w:tcPr>
    </w:tblStylePr>
    <w:tblStylePr w:type="band1Horz">
      <w:tblPr/>
      <w:tcPr>
        <w:tcBorders>
          <w:top w:val="single" w:sz="4" w:space="0" w:color="C9C9CA" w:themeColor="accent2"/>
          <w:bottom w:val="single" w:sz="4" w:space="0" w:color="C9C9C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9C9CA" w:themeColor="accent2"/>
          <w:left w:val="nil"/>
        </w:tcBorders>
      </w:tcPr>
    </w:tblStylePr>
    <w:tblStylePr w:type="swCell">
      <w:tblPr/>
      <w:tcPr>
        <w:tcBorders>
          <w:top w:val="double" w:sz="4" w:space="0" w:color="C9C9CA" w:themeColor="accent2"/>
          <w:right w:val="nil"/>
        </w:tcBorders>
      </w:tcPr>
    </w:tblStylePr>
  </w:style>
  <w:style w:type="table" w:styleId="ListTable3-Accent3">
    <w:name w:val="List Table 3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3D0DF" w:themeColor="accent3"/>
        <w:left w:val="single" w:sz="4" w:space="0" w:color="63D0DF" w:themeColor="accent3"/>
        <w:bottom w:val="single" w:sz="4" w:space="0" w:color="63D0DF" w:themeColor="accent3"/>
        <w:right w:val="single" w:sz="4" w:space="0" w:color="63D0DF" w:themeColor="accent3"/>
      </w:tblBorders>
      <w:tblCellMar>
        <w:top w:w="57" w:type="dxa"/>
        <w:left w:w="57" w:type="dxa"/>
        <w:bottom w:w="57" w:type="dxa"/>
        <w:right w:w="57" w:type="dxa"/>
      </w:tblCellMar>
    </w:tblPr>
    <w:tblStylePr w:type="firstRow">
      <w:rPr>
        <w:b/>
        <w:bCs/>
        <w:color w:val="FFFFFF" w:themeColor="background1"/>
      </w:rPr>
      <w:tblPr/>
      <w:tcPr>
        <w:shd w:val="clear" w:color="auto" w:fill="63D0DF" w:themeFill="accent3"/>
      </w:tcPr>
    </w:tblStylePr>
    <w:tblStylePr w:type="lastRow">
      <w:rPr>
        <w:b/>
        <w:bCs/>
      </w:rPr>
      <w:tblPr/>
      <w:tcPr>
        <w:tcBorders>
          <w:top w:val="double" w:sz="4" w:space="0" w:color="63D0D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3D0DF" w:themeColor="accent3"/>
          <w:right w:val="single" w:sz="4" w:space="0" w:color="63D0DF" w:themeColor="accent3"/>
        </w:tcBorders>
      </w:tcPr>
    </w:tblStylePr>
    <w:tblStylePr w:type="band1Horz">
      <w:tblPr/>
      <w:tcPr>
        <w:tcBorders>
          <w:top w:val="single" w:sz="4" w:space="0" w:color="63D0DF" w:themeColor="accent3"/>
          <w:bottom w:val="single" w:sz="4" w:space="0" w:color="63D0D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3D0DF" w:themeColor="accent3"/>
          <w:left w:val="nil"/>
        </w:tcBorders>
      </w:tcPr>
    </w:tblStylePr>
    <w:tblStylePr w:type="swCell">
      <w:tblPr/>
      <w:tcPr>
        <w:tcBorders>
          <w:top w:val="double" w:sz="4" w:space="0" w:color="63D0DF" w:themeColor="accent3"/>
          <w:right w:val="nil"/>
        </w:tcBorders>
      </w:tcPr>
    </w:tblStylePr>
  </w:style>
  <w:style w:type="table" w:styleId="ListTable3-Accent4">
    <w:name w:val="List Table 3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A1A1" w:themeColor="accent4"/>
        <w:left w:val="single" w:sz="4" w:space="0" w:color="A1A1A1" w:themeColor="accent4"/>
        <w:bottom w:val="single" w:sz="4" w:space="0" w:color="A1A1A1" w:themeColor="accent4"/>
        <w:right w:val="single" w:sz="4" w:space="0" w:color="A1A1A1" w:themeColor="accent4"/>
      </w:tblBorders>
      <w:tblCellMar>
        <w:top w:w="57" w:type="dxa"/>
        <w:left w:w="57" w:type="dxa"/>
        <w:bottom w:w="57" w:type="dxa"/>
        <w:right w:w="57" w:type="dxa"/>
      </w:tblCellMar>
    </w:tblPr>
    <w:tblStylePr w:type="firstRow">
      <w:rPr>
        <w:b/>
        <w:bCs/>
        <w:color w:val="FFFFFF" w:themeColor="background1"/>
      </w:rPr>
      <w:tblPr/>
      <w:tcPr>
        <w:shd w:val="clear" w:color="auto" w:fill="A1A1A1" w:themeFill="accent4"/>
      </w:tcPr>
    </w:tblStylePr>
    <w:tblStylePr w:type="lastRow">
      <w:rPr>
        <w:b/>
        <w:bCs/>
      </w:rPr>
      <w:tblPr/>
      <w:tcPr>
        <w:tcBorders>
          <w:top w:val="double" w:sz="4" w:space="0" w:color="A1A1A1"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1A1A1" w:themeColor="accent4"/>
          <w:right w:val="single" w:sz="4" w:space="0" w:color="A1A1A1" w:themeColor="accent4"/>
        </w:tcBorders>
      </w:tcPr>
    </w:tblStylePr>
    <w:tblStylePr w:type="band1Horz">
      <w:tblPr/>
      <w:tcPr>
        <w:tcBorders>
          <w:top w:val="single" w:sz="4" w:space="0" w:color="A1A1A1" w:themeColor="accent4"/>
          <w:bottom w:val="single" w:sz="4" w:space="0" w:color="A1A1A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1A1A1" w:themeColor="accent4"/>
          <w:left w:val="nil"/>
        </w:tcBorders>
      </w:tcPr>
    </w:tblStylePr>
    <w:tblStylePr w:type="swCell">
      <w:tblPr/>
      <w:tcPr>
        <w:tcBorders>
          <w:top w:val="double" w:sz="4" w:space="0" w:color="A1A1A1" w:themeColor="accent4"/>
          <w:right w:val="nil"/>
        </w:tcBorders>
      </w:tcPr>
    </w:tblStylePr>
  </w:style>
  <w:style w:type="table" w:styleId="ListTable3-Accent5">
    <w:name w:val="List Table 3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3D0DF" w:themeColor="accent5"/>
        <w:left w:val="single" w:sz="4" w:space="0" w:color="63D0DF" w:themeColor="accent5"/>
        <w:bottom w:val="single" w:sz="4" w:space="0" w:color="63D0DF" w:themeColor="accent5"/>
        <w:right w:val="single" w:sz="4" w:space="0" w:color="63D0DF" w:themeColor="accent5"/>
      </w:tblBorders>
      <w:tblCellMar>
        <w:top w:w="57" w:type="dxa"/>
        <w:left w:w="57" w:type="dxa"/>
        <w:bottom w:w="57" w:type="dxa"/>
        <w:right w:w="57" w:type="dxa"/>
      </w:tblCellMar>
    </w:tblPr>
    <w:tblStylePr w:type="firstRow">
      <w:rPr>
        <w:b/>
        <w:bCs/>
        <w:color w:val="FFFFFF" w:themeColor="background1"/>
      </w:rPr>
      <w:tblPr/>
      <w:tcPr>
        <w:shd w:val="clear" w:color="auto" w:fill="63D0DF" w:themeFill="accent5"/>
      </w:tcPr>
    </w:tblStylePr>
    <w:tblStylePr w:type="lastRow">
      <w:rPr>
        <w:b/>
        <w:bCs/>
      </w:rPr>
      <w:tblPr/>
      <w:tcPr>
        <w:tcBorders>
          <w:top w:val="double" w:sz="4" w:space="0" w:color="63D0D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3D0DF" w:themeColor="accent5"/>
          <w:right w:val="single" w:sz="4" w:space="0" w:color="63D0DF" w:themeColor="accent5"/>
        </w:tcBorders>
      </w:tcPr>
    </w:tblStylePr>
    <w:tblStylePr w:type="band1Horz">
      <w:tblPr/>
      <w:tcPr>
        <w:tcBorders>
          <w:top w:val="single" w:sz="4" w:space="0" w:color="63D0DF" w:themeColor="accent5"/>
          <w:bottom w:val="single" w:sz="4" w:space="0" w:color="63D0D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3D0DF" w:themeColor="accent5"/>
          <w:left w:val="nil"/>
        </w:tcBorders>
      </w:tcPr>
    </w:tblStylePr>
    <w:tblStylePr w:type="swCell">
      <w:tblPr/>
      <w:tcPr>
        <w:tcBorders>
          <w:top w:val="double" w:sz="4" w:space="0" w:color="63D0DF" w:themeColor="accent5"/>
          <w:right w:val="nil"/>
        </w:tcBorders>
      </w:tcPr>
    </w:tblStylePr>
  </w:style>
  <w:style w:type="table" w:styleId="ListTable3-Accent6">
    <w:name w:val="List Table 3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A1A1" w:themeColor="accent6"/>
        <w:left w:val="single" w:sz="4" w:space="0" w:color="A1A1A1" w:themeColor="accent6"/>
        <w:bottom w:val="single" w:sz="4" w:space="0" w:color="A1A1A1" w:themeColor="accent6"/>
        <w:right w:val="single" w:sz="4" w:space="0" w:color="A1A1A1" w:themeColor="accent6"/>
      </w:tblBorders>
      <w:tblCellMar>
        <w:top w:w="57" w:type="dxa"/>
        <w:left w:w="57" w:type="dxa"/>
        <w:bottom w:w="57" w:type="dxa"/>
        <w:right w:w="57" w:type="dxa"/>
      </w:tblCellMar>
    </w:tblPr>
    <w:tblStylePr w:type="firstRow">
      <w:rPr>
        <w:b/>
        <w:bCs/>
        <w:color w:val="FFFFFF" w:themeColor="background1"/>
      </w:rPr>
      <w:tblPr/>
      <w:tcPr>
        <w:shd w:val="clear" w:color="auto" w:fill="A1A1A1" w:themeFill="accent6"/>
      </w:tcPr>
    </w:tblStylePr>
    <w:tblStylePr w:type="lastRow">
      <w:rPr>
        <w:b/>
        <w:bCs/>
      </w:rPr>
      <w:tblPr/>
      <w:tcPr>
        <w:tcBorders>
          <w:top w:val="double" w:sz="4" w:space="0" w:color="A1A1A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1A1A1" w:themeColor="accent6"/>
          <w:right w:val="single" w:sz="4" w:space="0" w:color="A1A1A1" w:themeColor="accent6"/>
        </w:tcBorders>
      </w:tcPr>
    </w:tblStylePr>
    <w:tblStylePr w:type="band1Horz">
      <w:tblPr/>
      <w:tcPr>
        <w:tcBorders>
          <w:top w:val="single" w:sz="4" w:space="0" w:color="A1A1A1" w:themeColor="accent6"/>
          <w:bottom w:val="single" w:sz="4" w:space="0" w:color="A1A1A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1A1A1" w:themeColor="accent6"/>
          <w:left w:val="nil"/>
        </w:tcBorders>
      </w:tcPr>
    </w:tblStylePr>
    <w:tblStylePr w:type="swCell">
      <w:tblPr/>
      <w:tcPr>
        <w:tcBorders>
          <w:top w:val="double" w:sz="4" w:space="0" w:color="A1A1A1" w:themeColor="accent6"/>
          <w:right w:val="nil"/>
        </w:tcBorders>
      </w:tcPr>
    </w:tblStylePr>
  </w:style>
  <w:style w:type="table" w:styleId="ListTable4">
    <w:name w:val="List Table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1" w:themeTint="99"/>
        <w:left w:val="single" w:sz="4" w:space="0" w:color="A1E2EB" w:themeColor="accent1" w:themeTint="99"/>
        <w:bottom w:val="single" w:sz="4" w:space="0" w:color="A1E2EB" w:themeColor="accent1" w:themeTint="99"/>
        <w:right w:val="single" w:sz="4" w:space="0" w:color="A1E2EB" w:themeColor="accent1" w:themeTint="99"/>
        <w:insideH w:val="single" w:sz="4" w:space="0" w:color="A1E2EB" w:themeColor="accent1"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1"/>
          <w:left w:val="single" w:sz="4" w:space="0" w:color="63D0DF" w:themeColor="accent1"/>
          <w:bottom w:val="single" w:sz="4" w:space="0" w:color="63D0DF" w:themeColor="accent1"/>
          <w:right w:val="single" w:sz="4" w:space="0" w:color="63D0DF" w:themeColor="accent1"/>
          <w:insideH w:val="nil"/>
        </w:tcBorders>
        <w:shd w:val="clear" w:color="auto" w:fill="63D0DF" w:themeFill="accent1"/>
      </w:tcPr>
    </w:tblStylePr>
    <w:tblStylePr w:type="lastRow">
      <w:rPr>
        <w:b/>
        <w:bCs/>
      </w:rPr>
      <w:tblPr/>
      <w:tcPr>
        <w:tcBorders>
          <w:top w:val="double" w:sz="4" w:space="0" w:color="A1E2EB" w:themeColor="accent1" w:themeTint="99"/>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ListTable4-Accent2">
    <w:name w:val="List Table 4 Accent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DEDEDF" w:themeColor="accent2" w:themeTint="99"/>
        <w:left w:val="single" w:sz="4" w:space="0" w:color="DEDEDF" w:themeColor="accent2" w:themeTint="99"/>
        <w:bottom w:val="single" w:sz="4" w:space="0" w:color="DEDEDF" w:themeColor="accent2" w:themeTint="99"/>
        <w:right w:val="single" w:sz="4" w:space="0" w:color="DEDEDF" w:themeColor="accent2" w:themeTint="99"/>
        <w:insideH w:val="single" w:sz="4" w:space="0" w:color="DEDEDF" w:themeColor="accent2"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C9C9CA" w:themeColor="accent2"/>
          <w:left w:val="single" w:sz="4" w:space="0" w:color="C9C9CA" w:themeColor="accent2"/>
          <w:bottom w:val="single" w:sz="4" w:space="0" w:color="C9C9CA" w:themeColor="accent2"/>
          <w:right w:val="single" w:sz="4" w:space="0" w:color="C9C9CA" w:themeColor="accent2"/>
          <w:insideH w:val="nil"/>
        </w:tcBorders>
        <w:shd w:val="clear" w:color="auto" w:fill="C9C9CA" w:themeFill="accent2"/>
      </w:tcPr>
    </w:tblStylePr>
    <w:tblStylePr w:type="lastRow">
      <w:rPr>
        <w:b/>
        <w:bCs/>
      </w:rPr>
      <w:tblPr/>
      <w:tcPr>
        <w:tcBorders>
          <w:top w:val="double" w:sz="4" w:space="0" w:color="DEDEDF" w:themeColor="accent2" w:themeTint="99"/>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ListTable4-Accent3">
    <w:name w:val="List Table 4 Accent 3"/>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3" w:themeTint="99"/>
        <w:left w:val="single" w:sz="4" w:space="0" w:color="A1E2EB" w:themeColor="accent3" w:themeTint="99"/>
        <w:bottom w:val="single" w:sz="4" w:space="0" w:color="A1E2EB" w:themeColor="accent3" w:themeTint="99"/>
        <w:right w:val="single" w:sz="4" w:space="0" w:color="A1E2EB" w:themeColor="accent3" w:themeTint="99"/>
        <w:insideH w:val="single" w:sz="4" w:space="0" w:color="A1E2EB" w:themeColor="accent3"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3"/>
          <w:left w:val="single" w:sz="4" w:space="0" w:color="63D0DF" w:themeColor="accent3"/>
          <w:bottom w:val="single" w:sz="4" w:space="0" w:color="63D0DF" w:themeColor="accent3"/>
          <w:right w:val="single" w:sz="4" w:space="0" w:color="63D0DF" w:themeColor="accent3"/>
          <w:insideH w:val="nil"/>
        </w:tcBorders>
        <w:shd w:val="clear" w:color="auto" w:fill="63D0DF" w:themeFill="accent3"/>
      </w:tcPr>
    </w:tblStylePr>
    <w:tblStylePr w:type="lastRow">
      <w:rPr>
        <w:b/>
        <w:bCs/>
      </w:rPr>
      <w:tblPr/>
      <w:tcPr>
        <w:tcBorders>
          <w:top w:val="double" w:sz="4" w:space="0" w:color="A1E2EB" w:themeColor="accent3" w:themeTint="99"/>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ListTable4-Accent4">
    <w:name w:val="List Table 4 Accent 4"/>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4" w:themeTint="99"/>
        <w:left w:val="single" w:sz="4" w:space="0" w:color="C6C6C6" w:themeColor="accent4" w:themeTint="99"/>
        <w:bottom w:val="single" w:sz="4" w:space="0" w:color="C6C6C6" w:themeColor="accent4" w:themeTint="99"/>
        <w:right w:val="single" w:sz="4" w:space="0" w:color="C6C6C6" w:themeColor="accent4" w:themeTint="99"/>
        <w:insideH w:val="single" w:sz="4" w:space="0" w:color="C6C6C6" w:themeColor="accent4"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A1A1A1" w:themeColor="accent4"/>
          <w:left w:val="single" w:sz="4" w:space="0" w:color="A1A1A1" w:themeColor="accent4"/>
          <w:bottom w:val="single" w:sz="4" w:space="0" w:color="A1A1A1" w:themeColor="accent4"/>
          <w:right w:val="single" w:sz="4" w:space="0" w:color="A1A1A1" w:themeColor="accent4"/>
          <w:insideH w:val="nil"/>
        </w:tcBorders>
        <w:shd w:val="clear" w:color="auto" w:fill="A1A1A1" w:themeFill="accent4"/>
      </w:tcPr>
    </w:tblStylePr>
    <w:tblStylePr w:type="lastRow">
      <w:rPr>
        <w:b/>
        <w:bCs/>
      </w:rPr>
      <w:tblPr/>
      <w:tcPr>
        <w:tcBorders>
          <w:top w:val="double" w:sz="4" w:space="0" w:color="C6C6C6" w:themeColor="accent4" w:themeTint="99"/>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ListTable4-Accent5">
    <w:name w:val="List Table 4 Accent 5"/>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A1E2EB" w:themeColor="accent5" w:themeTint="99"/>
        <w:left w:val="single" w:sz="4" w:space="0" w:color="A1E2EB" w:themeColor="accent5" w:themeTint="99"/>
        <w:bottom w:val="single" w:sz="4" w:space="0" w:color="A1E2EB" w:themeColor="accent5" w:themeTint="99"/>
        <w:right w:val="single" w:sz="4" w:space="0" w:color="A1E2EB" w:themeColor="accent5" w:themeTint="99"/>
        <w:insideH w:val="single" w:sz="4" w:space="0" w:color="A1E2EB" w:themeColor="accent5"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63D0DF" w:themeColor="accent5"/>
          <w:left w:val="single" w:sz="4" w:space="0" w:color="63D0DF" w:themeColor="accent5"/>
          <w:bottom w:val="single" w:sz="4" w:space="0" w:color="63D0DF" w:themeColor="accent5"/>
          <w:right w:val="single" w:sz="4" w:space="0" w:color="63D0DF" w:themeColor="accent5"/>
          <w:insideH w:val="nil"/>
        </w:tcBorders>
        <w:shd w:val="clear" w:color="auto" w:fill="63D0DF" w:themeFill="accent5"/>
      </w:tcPr>
    </w:tblStylePr>
    <w:tblStylePr w:type="lastRow">
      <w:rPr>
        <w:b/>
        <w:bCs/>
      </w:rPr>
      <w:tblPr/>
      <w:tcPr>
        <w:tcBorders>
          <w:top w:val="double" w:sz="4" w:space="0" w:color="A1E2EB" w:themeColor="accent5" w:themeTint="99"/>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ListTable4-Accent6">
    <w:name w:val="List Table 4 Accent 6"/>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C6C6C6" w:themeColor="accent6" w:themeTint="99"/>
        <w:left w:val="single" w:sz="4" w:space="0" w:color="C6C6C6" w:themeColor="accent6" w:themeTint="99"/>
        <w:bottom w:val="single" w:sz="4" w:space="0" w:color="C6C6C6" w:themeColor="accent6" w:themeTint="99"/>
        <w:right w:val="single" w:sz="4" w:space="0" w:color="C6C6C6" w:themeColor="accent6" w:themeTint="99"/>
        <w:insideH w:val="single" w:sz="4" w:space="0" w:color="C6C6C6" w:themeColor="accent6" w:themeTint="99"/>
      </w:tblBorders>
      <w:tblCellMar>
        <w:top w:w="57" w:type="dxa"/>
        <w:left w:w="57" w:type="dxa"/>
        <w:bottom w:w="57" w:type="dxa"/>
        <w:right w:w="57" w:type="dxa"/>
      </w:tblCellMar>
    </w:tblPr>
    <w:tblStylePr w:type="firstRow">
      <w:rPr>
        <w:b/>
        <w:bCs/>
        <w:color w:val="FFFFFF" w:themeColor="background1"/>
      </w:rPr>
      <w:tblPr/>
      <w:tcPr>
        <w:tcBorders>
          <w:top w:val="single" w:sz="4" w:space="0" w:color="A1A1A1" w:themeColor="accent6"/>
          <w:left w:val="single" w:sz="4" w:space="0" w:color="A1A1A1" w:themeColor="accent6"/>
          <w:bottom w:val="single" w:sz="4" w:space="0" w:color="A1A1A1" w:themeColor="accent6"/>
          <w:right w:val="single" w:sz="4" w:space="0" w:color="A1A1A1" w:themeColor="accent6"/>
          <w:insideH w:val="nil"/>
        </w:tcBorders>
        <w:shd w:val="clear" w:color="auto" w:fill="A1A1A1" w:themeFill="accent6"/>
      </w:tcPr>
    </w:tblStylePr>
    <w:tblStylePr w:type="lastRow">
      <w:rPr>
        <w:b/>
        <w:bCs/>
      </w:rPr>
      <w:tblPr/>
      <w:tcPr>
        <w:tcBorders>
          <w:top w:val="double" w:sz="4" w:space="0" w:color="C6C6C6" w:themeColor="accent6" w:themeTint="99"/>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ListTable5Dark">
    <w:name w:val="List Table 5 Dark"/>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CellMar>
        <w:top w:w="85" w:type="dxa"/>
        <w:left w:w="85" w:type="dxa"/>
        <w:bottom w:w="85" w:type="dxa"/>
        <w:right w:w="85" w:type="dxa"/>
      </w:tblCellMar>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63D0DF" w:themeColor="accent1"/>
        <w:left w:val="single" w:sz="24" w:space="0" w:color="63D0DF" w:themeColor="accent1"/>
        <w:bottom w:val="single" w:sz="24" w:space="0" w:color="63D0DF" w:themeColor="accent1"/>
        <w:right w:val="single" w:sz="24" w:space="0" w:color="63D0DF" w:themeColor="accent1"/>
      </w:tblBorders>
      <w:tblCellMar>
        <w:top w:w="85" w:type="dxa"/>
        <w:left w:w="85" w:type="dxa"/>
        <w:bottom w:w="85" w:type="dxa"/>
        <w:right w:w="85" w:type="dxa"/>
      </w:tblCellMar>
    </w:tblPr>
    <w:tcPr>
      <w:shd w:val="clear" w:color="auto" w:fill="63D0D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C9C9CA" w:themeColor="accent2"/>
        <w:left w:val="single" w:sz="24" w:space="0" w:color="C9C9CA" w:themeColor="accent2"/>
        <w:bottom w:val="single" w:sz="24" w:space="0" w:color="C9C9CA" w:themeColor="accent2"/>
        <w:right w:val="single" w:sz="24" w:space="0" w:color="C9C9CA" w:themeColor="accent2"/>
      </w:tblBorders>
      <w:tblCellMar>
        <w:top w:w="85" w:type="dxa"/>
        <w:left w:w="85" w:type="dxa"/>
        <w:bottom w:w="85" w:type="dxa"/>
        <w:right w:w="85" w:type="dxa"/>
      </w:tblCellMar>
    </w:tblPr>
    <w:tcPr>
      <w:shd w:val="clear" w:color="auto" w:fill="C9C9CA"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63D0DF" w:themeColor="accent3"/>
        <w:left w:val="single" w:sz="24" w:space="0" w:color="63D0DF" w:themeColor="accent3"/>
        <w:bottom w:val="single" w:sz="24" w:space="0" w:color="63D0DF" w:themeColor="accent3"/>
        <w:right w:val="single" w:sz="24" w:space="0" w:color="63D0DF" w:themeColor="accent3"/>
      </w:tblBorders>
      <w:tblCellMar>
        <w:top w:w="85" w:type="dxa"/>
        <w:left w:w="85" w:type="dxa"/>
        <w:bottom w:w="85" w:type="dxa"/>
        <w:right w:w="85" w:type="dxa"/>
      </w:tblCellMar>
    </w:tblPr>
    <w:tcPr>
      <w:shd w:val="clear" w:color="auto" w:fill="63D0D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A1A1A1" w:themeColor="accent4"/>
        <w:left w:val="single" w:sz="24" w:space="0" w:color="A1A1A1" w:themeColor="accent4"/>
        <w:bottom w:val="single" w:sz="24" w:space="0" w:color="A1A1A1" w:themeColor="accent4"/>
        <w:right w:val="single" w:sz="24" w:space="0" w:color="A1A1A1" w:themeColor="accent4"/>
      </w:tblBorders>
      <w:tblCellMar>
        <w:top w:w="85" w:type="dxa"/>
        <w:left w:w="85" w:type="dxa"/>
        <w:bottom w:w="85" w:type="dxa"/>
        <w:right w:w="85" w:type="dxa"/>
      </w:tblCellMar>
    </w:tblPr>
    <w:tcPr>
      <w:shd w:val="clear" w:color="auto" w:fill="A1A1A1"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63D0DF" w:themeColor="accent5"/>
        <w:left w:val="single" w:sz="24" w:space="0" w:color="63D0DF" w:themeColor="accent5"/>
        <w:bottom w:val="single" w:sz="24" w:space="0" w:color="63D0DF" w:themeColor="accent5"/>
        <w:right w:val="single" w:sz="24" w:space="0" w:color="63D0DF" w:themeColor="accent5"/>
      </w:tblBorders>
      <w:tblCellMar>
        <w:top w:w="85" w:type="dxa"/>
        <w:left w:w="85" w:type="dxa"/>
        <w:bottom w:w="85" w:type="dxa"/>
        <w:right w:w="85" w:type="dxa"/>
      </w:tblCellMar>
    </w:tblPr>
    <w:tcPr>
      <w:shd w:val="clear" w:color="auto" w:fill="63D0DF"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98"/>
    <w:semiHidden/>
    <w:rsid w:val="00573428"/>
    <w:rPr>
      <w:rFonts w:asciiTheme="minorHAnsi" w:eastAsia="Century Gothic" w:hAnsiTheme="minorHAnsi" w:cstheme="minorBidi"/>
      <w:color w:val="FFFFFF" w:themeColor="background1"/>
      <w:lang w:eastAsia="en-US"/>
    </w:rPr>
    <w:tblPr>
      <w:tblStyleRowBandSize w:val="1"/>
      <w:tblStyleColBandSize w:val="1"/>
      <w:tblBorders>
        <w:top w:val="single" w:sz="24" w:space="0" w:color="A1A1A1" w:themeColor="accent6"/>
        <w:left w:val="single" w:sz="24" w:space="0" w:color="A1A1A1" w:themeColor="accent6"/>
        <w:bottom w:val="single" w:sz="24" w:space="0" w:color="A1A1A1" w:themeColor="accent6"/>
        <w:right w:val="single" w:sz="24" w:space="0" w:color="A1A1A1" w:themeColor="accent6"/>
      </w:tblBorders>
      <w:tblCellMar>
        <w:top w:w="85" w:type="dxa"/>
        <w:left w:w="85" w:type="dxa"/>
        <w:bottom w:w="85" w:type="dxa"/>
        <w:right w:w="85" w:type="dxa"/>
      </w:tblCellMar>
    </w:tblPr>
    <w:tcPr>
      <w:shd w:val="clear" w:color="auto" w:fill="A1A1A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98"/>
    <w:semiHidden/>
    <w:rsid w:val="00573428"/>
    <w:rPr>
      <w:rFonts w:asciiTheme="minorHAnsi" w:eastAsia="Century Gothic" w:hAnsiTheme="minorHAnsi" w:cstheme="minorBidi"/>
      <w:color w:val="000000" w:themeColor="text1"/>
      <w:lang w:eastAsia="en-US"/>
    </w:rPr>
    <w:tblPr>
      <w:tblStyleRowBandSize w:val="1"/>
      <w:tblStyleColBandSize w:val="1"/>
      <w:tblBorders>
        <w:top w:val="single" w:sz="4" w:space="0" w:color="000000" w:themeColor="text1"/>
        <w:bottom w:val="single" w:sz="4" w:space="0" w:color="000000" w:themeColor="text1"/>
      </w:tblBorders>
      <w:tblCellMar>
        <w:top w:w="57" w:type="dxa"/>
        <w:left w:w="57" w:type="dxa"/>
        <w:bottom w:w="57" w:type="dxa"/>
        <w:right w:w="57"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98"/>
    <w:semiHidden/>
    <w:rsid w:val="00573428"/>
    <w:rPr>
      <w:rFonts w:asciiTheme="minorHAnsi" w:eastAsia="Century Gothic" w:hAnsiTheme="minorHAnsi" w:cstheme="minorBidi"/>
      <w:color w:val="29B4C7" w:themeColor="accent1" w:themeShade="BF"/>
      <w:lang w:eastAsia="en-US"/>
    </w:rPr>
    <w:tblPr>
      <w:tblStyleRowBandSize w:val="1"/>
      <w:tblStyleColBandSize w:val="1"/>
      <w:tblBorders>
        <w:top w:val="single" w:sz="4" w:space="0" w:color="63D0DF" w:themeColor="accent1"/>
        <w:bottom w:val="single" w:sz="4" w:space="0" w:color="63D0DF" w:themeColor="accent1"/>
      </w:tblBorders>
      <w:tblCellMar>
        <w:top w:w="57" w:type="dxa"/>
        <w:left w:w="57" w:type="dxa"/>
        <w:bottom w:w="57" w:type="dxa"/>
        <w:right w:w="57" w:type="dxa"/>
      </w:tblCellMar>
    </w:tblPr>
    <w:tblStylePr w:type="firstRow">
      <w:rPr>
        <w:b/>
        <w:bCs/>
      </w:rPr>
      <w:tblPr/>
      <w:tcPr>
        <w:tcBorders>
          <w:bottom w:val="single" w:sz="4" w:space="0" w:color="63D0DF" w:themeColor="accent1"/>
        </w:tcBorders>
      </w:tcPr>
    </w:tblStylePr>
    <w:tblStylePr w:type="lastRow">
      <w:rPr>
        <w:b/>
        <w:bCs/>
      </w:rPr>
      <w:tblPr/>
      <w:tcPr>
        <w:tcBorders>
          <w:top w:val="double" w:sz="4" w:space="0" w:color="63D0DF" w:themeColor="accent1"/>
        </w:tcBorders>
      </w:tcPr>
    </w:tblStylePr>
    <w:tblStylePr w:type="firstCol">
      <w:rPr>
        <w:b/>
        <w:bCs/>
      </w:rPr>
    </w:tblStylePr>
    <w:tblStylePr w:type="lastCol">
      <w:rPr>
        <w:b/>
        <w:bCs/>
      </w:rPr>
    </w:tblStylePr>
    <w:tblStylePr w:type="band1Vert">
      <w:tblPr/>
      <w:tcPr>
        <w:shd w:val="clear" w:color="auto" w:fill="DFF5F8" w:themeFill="accent1" w:themeFillTint="33"/>
      </w:tcPr>
    </w:tblStylePr>
    <w:tblStylePr w:type="band1Horz">
      <w:tblPr/>
      <w:tcPr>
        <w:shd w:val="clear" w:color="auto" w:fill="DFF5F8" w:themeFill="accent1" w:themeFillTint="33"/>
      </w:tcPr>
    </w:tblStylePr>
  </w:style>
  <w:style w:type="table" w:styleId="ListTable6Colorful-Accent2">
    <w:name w:val="List Table 6 Colorful Accent 2"/>
    <w:basedOn w:val="TableNormal"/>
    <w:uiPriority w:val="98"/>
    <w:semiHidden/>
    <w:rsid w:val="00573428"/>
    <w:rPr>
      <w:rFonts w:asciiTheme="minorHAnsi" w:eastAsia="Century Gothic" w:hAnsiTheme="minorHAnsi" w:cstheme="minorBidi"/>
      <w:color w:val="959597" w:themeColor="accent2" w:themeShade="BF"/>
      <w:lang w:eastAsia="en-US"/>
    </w:rPr>
    <w:tblPr>
      <w:tblStyleRowBandSize w:val="1"/>
      <w:tblStyleColBandSize w:val="1"/>
      <w:tblBorders>
        <w:top w:val="single" w:sz="4" w:space="0" w:color="C9C9CA" w:themeColor="accent2"/>
        <w:bottom w:val="single" w:sz="4" w:space="0" w:color="C9C9CA" w:themeColor="accent2"/>
      </w:tblBorders>
      <w:tblCellMar>
        <w:top w:w="57" w:type="dxa"/>
        <w:left w:w="57" w:type="dxa"/>
        <w:bottom w:w="57" w:type="dxa"/>
        <w:right w:w="57" w:type="dxa"/>
      </w:tblCellMar>
    </w:tblPr>
    <w:tblStylePr w:type="firstRow">
      <w:rPr>
        <w:b/>
        <w:bCs/>
      </w:rPr>
      <w:tblPr/>
      <w:tcPr>
        <w:tcBorders>
          <w:bottom w:val="single" w:sz="4" w:space="0" w:color="C9C9CA" w:themeColor="accent2"/>
        </w:tcBorders>
      </w:tcPr>
    </w:tblStylePr>
    <w:tblStylePr w:type="lastRow">
      <w:rPr>
        <w:b/>
        <w:bCs/>
      </w:rPr>
      <w:tblPr/>
      <w:tcPr>
        <w:tcBorders>
          <w:top w:val="double" w:sz="4" w:space="0" w:color="C9C9CA" w:themeColor="accent2"/>
        </w:tcBorders>
      </w:tcPr>
    </w:tblStylePr>
    <w:tblStylePr w:type="firstCol">
      <w:rPr>
        <w:b/>
        <w:bCs/>
      </w:rPr>
    </w:tblStylePr>
    <w:tblStylePr w:type="lastCol">
      <w:rPr>
        <w:b/>
        <w:bCs/>
      </w:rPr>
    </w:tblStylePr>
    <w:tblStylePr w:type="band1Vert">
      <w:tblPr/>
      <w:tcPr>
        <w:shd w:val="clear" w:color="auto" w:fill="F4F4F4" w:themeFill="accent2" w:themeFillTint="33"/>
      </w:tcPr>
    </w:tblStylePr>
    <w:tblStylePr w:type="band1Horz">
      <w:tblPr/>
      <w:tcPr>
        <w:shd w:val="clear" w:color="auto" w:fill="F4F4F4" w:themeFill="accent2" w:themeFillTint="33"/>
      </w:tcPr>
    </w:tblStylePr>
  </w:style>
  <w:style w:type="table" w:styleId="ListTable6Colorful-Accent3">
    <w:name w:val="List Table 6 Colorful Accent 3"/>
    <w:basedOn w:val="TableNormal"/>
    <w:uiPriority w:val="98"/>
    <w:semiHidden/>
    <w:rsid w:val="00573428"/>
    <w:rPr>
      <w:rFonts w:asciiTheme="minorHAnsi" w:eastAsia="Century Gothic" w:hAnsiTheme="minorHAnsi" w:cstheme="minorBidi"/>
      <w:color w:val="29B4C7" w:themeColor="accent3" w:themeShade="BF"/>
      <w:lang w:eastAsia="en-US"/>
    </w:rPr>
    <w:tblPr>
      <w:tblStyleRowBandSize w:val="1"/>
      <w:tblStyleColBandSize w:val="1"/>
      <w:tblBorders>
        <w:top w:val="single" w:sz="4" w:space="0" w:color="63D0DF" w:themeColor="accent3"/>
        <w:bottom w:val="single" w:sz="4" w:space="0" w:color="63D0DF" w:themeColor="accent3"/>
      </w:tblBorders>
      <w:tblCellMar>
        <w:top w:w="57" w:type="dxa"/>
        <w:left w:w="57" w:type="dxa"/>
        <w:bottom w:w="57" w:type="dxa"/>
        <w:right w:w="57" w:type="dxa"/>
      </w:tblCellMar>
    </w:tblPr>
    <w:tblStylePr w:type="firstRow">
      <w:rPr>
        <w:b/>
        <w:bCs/>
      </w:rPr>
      <w:tblPr/>
      <w:tcPr>
        <w:tcBorders>
          <w:bottom w:val="single" w:sz="4" w:space="0" w:color="63D0DF" w:themeColor="accent3"/>
        </w:tcBorders>
      </w:tcPr>
    </w:tblStylePr>
    <w:tblStylePr w:type="lastRow">
      <w:rPr>
        <w:b/>
        <w:bCs/>
      </w:rPr>
      <w:tblPr/>
      <w:tcPr>
        <w:tcBorders>
          <w:top w:val="double" w:sz="4" w:space="0" w:color="63D0DF" w:themeColor="accent3"/>
        </w:tcBorders>
      </w:tcPr>
    </w:tblStylePr>
    <w:tblStylePr w:type="firstCol">
      <w:rPr>
        <w:b/>
        <w:bCs/>
      </w:rPr>
    </w:tblStylePr>
    <w:tblStylePr w:type="lastCol">
      <w:rPr>
        <w:b/>
        <w:bCs/>
      </w:rPr>
    </w:tblStylePr>
    <w:tblStylePr w:type="band1Vert">
      <w:tblPr/>
      <w:tcPr>
        <w:shd w:val="clear" w:color="auto" w:fill="DFF5F8" w:themeFill="accent3" w:themeFillTint="33"/>
      </w:tcPr>
    </w:tblStylePr>
    <w:tblStylePr w:type="band1Horz">
      <w:tblPr/>
      <w:tcPr>
        <w:shd w:val="clear" w:color="auto" w:fill="DFF5F8" w:themeFill="accent3" w:themeFillTint="33"/>
      </w:tcPr>
    </w:tblStylePr>
  </w:style>
  <w:style w:type="table" w:styleId="ListTable6Colorful-Accent4">
    <w:name w:val="List Table 6 Colorful Accent 4"/>
    <w:basedOn w:val="TableNormal"/>
    <w:uiPriority w:val="98"/>
    <w:semiHidden/>
    <w:rsid w:val="00573428"/>
    <w:rPr>
      <w:rFonts w:asciiTheme="minorHAnsi" w:eastAsia="Century Gothic" w:hAnsiTheme="minorHAnsi" w:cstheme="minorBidi"/>
      <w:color w:val="787878" w:themeColor="accent4" w:themeShade="BF"/>
      <w:lang w:eastAsia="en-US"/>
    </w:rPr>
    <w:tblPr>
      <w:tblStyleRowBandSize w:val="1"/>
      <w:tblStyleColBandSize w:val="1"/>
      <w:tblBorders>
        <w:top w:val="single" w:sz="4" w:space="0" w:color="A1A1A1" w:themeColor="accent4"/>
        <w:bottom w:val="single" w:sz="4" w:space="0" w:color="A1A1A1" w:themeColor="accent4"/>
      </w:tblBorders>
      <w:tblCellMar>
        <w:top w:w="57" w:type="dxa"/>
        <w:left w:w="57" w:type="dxa"/>
        <w:bottom w:w="57" w:type="dxa"/>
        <w:right w:w="57" w:type="dxa"/>
      </w:tblCellMar>
    </w:tblPr>
    <w:tblStylePr w:type="firstRow">
      <w:rPr>
        <w:b/>
        <w:bCs/>
      </w:rPr>
      <w:tblPr/>
      <w:tcPr>
        <w:tcBorders>
          <w:bottom w:val="single" w:sz="4" w:space="0" w:color="A1A1A1" w:themeColor="accent4"/>
        </w:tcBorders>
      </w:tcPr>
    </w:tblStylePr>
    <w:tblStylePr w:type="lastRow">
      <w:rPr>
        <w:b/>
        <w:bCs/>
      </w:rPr>
      <w:tblPr/>
      <w:tcPr>
        <w:tcBorders>
          <w:top w:val="double" w:sz="4" w:space="0" w:color="A1A1A1" w:themeColor="accent4"/>
        </w:tcBorders>
      </w:tcPr>
    </w:tblStylePr>
    <w:tblStylePr w:type="firstCol">
      <w:rPr>
        <w:b/>
        <w:bCs/>
      </w:rPr>
    </w:tblStylePr>
    <w:tblStylePr w:type="lastCol">
      <w:rPr>
        <w:b/>
        <w:bCs/>
      </w:rPr>
    </w:tblStylePr>
    <w:tblStylePr w:type="band1Vert">
      <w:tblPr/>
      <w:tcPr>
        <w:shd w:val="clear" w:color="auto" w:fill="ECECEC" w:themeFill="accent4" w:themeFillTint="33"/>
      </w:tcPr>
    </w:tblStylePr>
    <w:tblStylePr w:type="band1Horz">
      <w:tblPr/>
      <w:tcPr>
        <w:shd w:val="clear" w:color="auto" w:fill="ECECEC" w:themeFill="accent4" w:themeFillTint="33"/>
      </w:tcPr>
    </w:tblStylePr>
  </w:style>
  <w:style w:type="table" w:styleId="ListTable6Colorful-Accent5">
    <w:name w:val="List Table 6 Colorful Accent 5"/>
    <w:basedOn w:val="TableNormal"/>
    <w:uiPriority w:val="98"/>
    <w:semiHidden/>
    <w:rsid w:val="00573428"/>
    <w:rPr>
      <w:rFonts w:asciiTheme="minorHAnsi" w:eastAsia="Century Gothic" w:hAnsiTheme="minorHAnsi" w:cstheme="minorBidi"/>
      <w:color w:val="29B4C7" w:themeColor="accent5" w:themeShade="BF"/>
      <w:lang w:eastAsia="en-US"/>
    </w:rPr>
    <w:tblPr>
      <w:tblStyleRowBandSize w:val="1"/>
      <w:tblStyleColBandSize w:val="1"/>
      <w:tblBorders>
        <w:top w:val="single" w:sz="4" w:space="0" w:color="63D0DF" w:themeColor="accent5"/>
        <w:bottom w:val="single" w:sz="4" w:space="0" w:color="63D0DF" w:themeColor="accent5"/>
      </w:tblBorders>
      <w:tblCellMar>
        <w:top w:w="57" w:type="dxa"/>
        <w:left w:w="57" w:type="dxa"/>
        <w:bottom w:w="57" w:type="dxa"/>
        <w:right w:w="57" w:type="dxa"/>
      </w:tblCellMar>
    </w:tblPr>
    <w:tblStylePr w:type="firstRow">
      <w:rPr>
        <w:b/>
        <w:bCs/>
      </w:rPr>
      <w:tblPr/>
      <w:tcPr>
        <w:tcBorders>
          <w:bottom w:val="single" w:sz="4" w:space="0" w:color="63D0DF" w:themeColor="accent5"/>
        </w:tcBorders>
      </w:tcPr>
    </w:tblStylePr>
    <w:tblStylePr w:type="lastRow">
      <w:rPr>
        <w:b/>
        <w:bCs/>
      </w:rPr>
      <w:tblPr/>
      <w:tcPr>
        <w:tcBorders>
          <w:top w:val="double" w:sz="4" w:space="0" w:color="63D0DF" w:themeColor="accent5"/>
        </w:tcBorders>
      </w:tcPr>
    </w:tblStylePr>
    <w:tblStylePr w:type="firstCol">
      <w:rPr>
        <w:b/>
        <w:bCs/>
      </w:rPr>
    </w:tblStylePr>
    <w:tblStylePr w:type="lastCol">
      <w:rPr>
        <w:b/>
        <w:bCs/>
      </w:rPr>
    </w:tblStylePr>
    <w:tblStylePr w:type="band1Vert">
      <w:tblPr/>
      <w:tcPr>
        <w:shd w:val="clear" w:color="auto" w:fill="DFF5F8" w:themeFill="accent5" w:themeFillTint="33"/>
      </w:tcPr>
    </w:tblStylePr>
    <w:tblStylePr w:type="band1Horz">
      <w:tblPr/>
      <w:tcPr>
        <w:shd w:val="clear" w:color="auto" w:fill="DFF5F8" w:themeFill="accent5" w:themeFillTint="33"/>
      </w:tcPr>
    </w:tblStylePr>
  </w:style>
  <w:style w:type="table" w:styleId="ListTable6Colorful-Accent6">
    <w:name w:val="List Table 6 Colorful Accent 6"/>
    <w:basedOn w:val="TableNormal"/>
    <w:uiPriority w:val="98"/>
    <w:semiHidden/>
    <w:rsid w:val="00573428"/>
    <w:rPr>
      <w:rFonts w:asciiTheme="minorHAnsi" w:eastAsia="Century Gothic" w:hAnsiTheme="minorHAnsi" w:cstheme="minorBidi"/>
      <w:color w:val="787878" w:themeColor="accent6" w:themeShade="BF"/>
      <w:lang w:eastAsia="en-US"/>
    </w:rPr>
    <w:tblPr>
      <w:tblStyleRowBandSize w:val="1"/>
      <w:tblStyleColBandSize w:val="1"/>
      <w:tblBorders>
        <w:top w:val="single" w:sz="4" w:space="0" w:color="A1A1A1" w:themeColor="accent6"/>
        <w:bottom w:val="single" w:sz="4" w:space="0" w:color="A1A1A1" w:themeColor="accent6"/>
      </w:tblBorders>
      <w:tblCellMar>
        <w:top w:w="57" w:type="dxa"/>
        <w:left w:w="57" w:type="dxa"/>
        <w:bottom w:w="57" w:type="dxa"/>
        <w:right w:w="57" w:type="dxa"/>
      </w:tblCellMar>
    </w:tblPr>
    <w:tblStylePr w:type="firstRow">
      <w:rPr>
        <w:b/>
        <w:bCs/>
      </w:rPr>
      <w:tblPr/>
      <w:tcPr>
        <w:tcBorders>
          <w:bottom w:val="single" w:sz="4" w:space="0" w:color="A1A1A1" w:themeColor="accent6"/>
        </w:tcBorders>
      </w:tcPr>
    </w:tblStylePr>
    <w:tblStylePr w:type="lastRow">
      <w:rPr>
        <w:b/>
        <w:bCs/>
      </w:rPr>
      <w:tblPr/>
      <w:tcPr>
        <w:tcBorders>
          <w:top w:val="double" w:sz="4" w:space="0" w:color="A1A1A1" w:themeColor="accent6"/>
        </w:tcBorders>
      </w:tcPr>
    </w:tblStylePr>
    <w:tblStylePr w:type="firstCol">
      <w:rPr>
        <w:b/>
        <w:bCs/>
      </w:rPr>
    </w:tblStylePr>
    <w:tblStylePr w:type="lastCol">
      <w:rPr>
        <w:b/>
        <w:bCs/>
      </w:rPr>
    </w:tblStylePr>
    <w:tblStylePr w:type="band1Vert">
      <w:tblPr/>
      <w:tcPr>
        <w:shd w:val="clear" w:color="auto" w:fill="ECECEC" w:themeFill="accent6" w:themeFillTint="33"/>
      </w:tcPr>
    </w:tblStylePr>
    <w:tblStylePr w:type="band1Horz">
      <w:tblPr/>
      <w:tcPr>
        <w:shd w:val="clear" w:color="auto" w:fill="ECECEC" w:themeFill="accent6" w:themeFillTint="33"/>
      </w:tcPr>
    </w:tblStylePr>
  </w:style>
  <w:style w:type="table" w:styleId="ListTable7Colorful">
    <w:name w:val="List Table 7 Colorful"/>
    <w:basedOn w:val="TableNormal"/>
    <w:uiPriority w:val="98"/>
    <w:semiHidden/>
    <w:rsid w:val="00573428"/>
    <w:rPr>
      <w:rFonts w:asciiTheme="minorHAnsi" w:eastAsia="Century Gothic" w:hAnsiTheme="minorHAnsi" w:cstheme="minorBidi"/>
      <w:color w:val="000000" w:themeColor="text1"/>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98"/>
    <w:semiHidden/>
    <w:rsid w:val="00573428"/>
    <w:rPr>
      <w:rFonts w:asciiTheme="minorHAnsi" w:eastAsia="Century Gothic" w:hAnsiTheme="minorHAnsi" w:cstheme="minorBidi"/>
      <w:color w:val="29B4C7" w:themeColor="accent1"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63D0D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3D0D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3D0D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3D0DF" w:themeColor="accent1"/>
        </w:tcBorders>
        <w:shd w:val="clear" w:color="auto" w:fill="FFFFFF" w:themeFill="background1"/>
      </w:tcPr>
    </w:tblStylePr>
    <w:tblStylePr w:type="band1Vert">
      <w:tblPr/>
      <w:tcPr>
        <w:shd w:val="clear" w:color="auto" w:fill="DFF5F8" w:themeFill="accent1" w:themeFillTint="33"/>
      </w:tcPr>
    </w:tblStylePr>
    <w:tblStylePr w:type="band1Horz">
      <w:tblPr/>
      <w:tcPr>
        <w:shd w:val="clear" w:color="auto" w:fill="DFF5F8"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98"/>
    <w:semiHidden/>
    <w:rsid w:val="00573428"/>
    <w:rPr>
      <w:rFonts w:asciiTheme="minorHAnsi" w:eastAsia="Century Gothic" w:hAnsiTheme="minorHAnsi" w:cstheme="minorBidi"/>
      <w:color w:val="959597" w:themeColor="accent2"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C9C9CA"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9C9CA"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9C9CA"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9C9CA" w:themeColor="accent2"/>
        </w:tcBorders>
        <w:shd w:val="clear" w:color="auto" w:fill="FFFFFF" w:themeFill="background1"/>
      </w:tcPr>
    </w:tblStylePr>
    <w:tblStylePr w:type="band1Vert">
      <w:tblPr/>
      <w:tcPr>
        <w:shd w:val="clear" w:color="auto" w:fill="F4F4F4" w:themeFill="accent2" w:themeFillTint="33"/>
      </w:tcPr>
    </w:tblStylePr>
    <w:tblStylePr w:type="band1Horz">
      <w:tblPr/>
      <w:tcPr>
        <w:shd w:val="clear" w:color="auto" w:fill="F4F4F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98"/>
    <w:semiHidden/>
    <w:rsid w:val="00573428"/>
    <w:rPr>
      <w:rFonts w:asciiTheme="minorHAnsi" w:eastAsia="Century Gothic" w:hAnsiTheme="minorHAnsi" w:cstheme="minorBidi"/>
      <w:color w:val="29B4C7" w:themeColor="accent3"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63D0D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3D0D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3D0D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3D0DF" w:themeColor="accent3"/>
        </w:tcBorders>
        <w:shd w:val="clear" w:color="auto" w:fill="FFFFFF" w:themeFill="background1"/>
      </w:tcPr>
    </w:tblStylePr>
    <w:tblStylePr w:type="band1Vert">
      <w:tblPr/>
      <w:tcPr>
        <w:shd w:val="clear" w:color="auto" w:fill="DFF5F8" w:themeFill="accent3" w:themeFillTint="33"/>
      </w:tcPr>
    </w:tblStylePr>
    <w:tblStylePr w:type="band1Horz">
      <w:tblPr/>
      <w:tcPr>
        <w:shd w:val="clear" w:color="auto" w:fill="DFF5F8"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98"/>
    <w:semiHidden/>
    <w:rsid w:val="00573428"/>
    <w:rPr>
      <w:rFonts w:asciiTheme="minorHAnsi" w:eastAsia="Century Gothic" w:hAnsiTheme="minorHAnsi" w:cstheme="minorBidi"/>
      <w:color w:val="787878" w:themeColor="accent4"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A1A1A1"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1A1A1"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1A1A1"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1A1A1" w:themeColor="accent4"/>
        </w:tcBorders>
        <w:shd w:val="clear" w:color="auto" w:fill="FFFFFF" w:themeFill="background1"/>
      </w:tcPr>
    </w:tblStylePr>
    <w:tblStylePr w:type="band1Vert">
      <w:tblPr/>
      <w:tcPr>
        <w:shd w:val="clear" w:color="auto" w:fill="ECECEC" w:themeFill="accent4" w:themeFillTint="33"/>
      </w:tcPr>
    </w:tblStylePr>
    <w:tblStylePr w:type="band1Horz">
      <w:tblPr/>
      <w:tcPr>
        <w:shd w:val="clear" w:color="auto" w:fill="ECEC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98"/>
    <w:semiHidden/>
    <w:rsid w:val="00573428"/>
    <w:rPr>
      <w:rFonts w:asciiTheme="minorHAnsi" w:eastAsia="Century Gothic" w:hAnsiTheme="minorHAnsi" w:cstheme="minorBidi"/>
      <w:color w:val="29B4C7" w:themeColor="accent5" w:themeShade="BF"/>
      <w:lang w:eastAsia="en-US"/>
    </w:rPr>
    <w:tblPr>
      <w:tblStyleRowBandSize w:val="1"/>
      <w:tblStyleColBandSize w:val="1"/>
      <w:tblCellMar>
        <w:top w:w="57" w:type="dxa"/>
        <w:left w:w="57" w:type="dxa"/>
        <w:bottom w:w="57" w:type="dxa"/>
        <w:right w:w="170" w:type="dxa"/>
      </w:tblCellMar>
    </w:tblPr>
    <w:tblStylePr w:type="firstRow">
      <w:rPr>
        <w:rFonts w:asciiTheme="majorHAnsi" w:eastAsiaTheme="majorEastAsia" w:hAnsiTheme="majorHAnsi" w:cstheme="majorBidi"/>
        <w:i/>
        <w:iCs/>
        <w:sz w:val="26"/>
      </w:rPr>
      <w:tblPr/>
      <w:tcPr>
        <w:tcBorders>
          <w:bottom w:val="single" w:sz="4" w:space="0" w:color="63D0D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3D0D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3D0D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3D0DF" w:themeColor="accent5"/>
        </w:tcBorders>
        <w:shd w:val="clear" w:color="auto" w:fill="FFFFFF" w:themeFill="background1"/>
      </w:tcPr>
    </w:tblStylePr>
    <w:tblStylePr w:type="band1Vert">
      <w:tblPr/>
      <w:tcPr>
        <w:shd w:val="clear" w:color="auto" w:fill="DFF5F8" w:themeFill="accent5" w:themeFillTint="33"/>
      </w:tcPr>
    </w:tblStylePr>
    <w:tblStylePr w:type="band1Horz">
      <w:tblPr/>
      <w:tcPr>
        <w:shd w:val="clear" w:color="auto" w:fill="DFF5F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left w:w="57" w:type="dxa"/>
        <w:bottom w:w="57" w:type="dxa"/>
        <w:right w:w="57"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98"/>
    <w:semiHidden/>
    <w:rsid w:val="00573428"/>
    <w:rPr>
      <w:rFonts w:asciiTheme="minorHAnsi" w:eastAsia="Century Gothic" w:hAnsiTheme="minorHAnsi" w:cstheme="minorBidi"/>
      <w:lang w:eastAsia="en-US"/>
    </w:rPr>
    <w:tblPr>
      <w:tblStyleRowBandSize w:val="1"/>
      <w:tblStyleColBandSize w:val="1"/>
      <w:tblBorders>
        <w:top w:val="single" w:sz="4" w:space="0" w:color="7F7F7F" w:themeColor="text1" w:themeTint="80"/>
        <w:bottom w:val="single" w:sz="4" w:space="0" w:color="7F7F7F" w:themeColor="text1" w:themeTint="80"/>
      </w:tblBorders>
      <w:tblCellMar>
        <w:top w:w="57" w:type="dxa"/>
        <w:left w:w="57" w:type="dxa"/>
        <w:bottom w:w="57" w:type="dxa"/>
        <w:right w:w="57"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57"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98"/>
    <w:semiHidden/>
    <w:rsid w:val="00573428"/>
    <w:rPr>
      <w:rFonts w:asciiTheme="minorHAnsi" w:eastAsia="Century Gothic" w:hAnsiTheme="minorHAnsi" w:cstheme="minorBidi"/>
      <w:lang w:eastAsia="en-US"/>
    </w:rPr>
    <w:tblPr>
      <w:tblStyleRowBandSize w:val="1"/>
      <w:tblStyleColBandSize w:val="1"/>
      <w:tblCellMar>
        <w:top w:w="57" w:type="dxa"/>
        <w:left w:w="57" w:type="dxa"/>
        <w:bottom w:w="57" w:type="dxa"/>
        <w:right w:w="113"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Bullet2">
    <w:name w:val="List Bullet 2"/>
    <w:basedOn w:val="Normal"/>
    <w:uiPriority w:val="3"/>
    <w:rsid w:val="00596177"/>
    <w:pPr>
      <w:numPr>
        <w:ilvl w:val="1"/>
        <w:numId w:val="31"/>
      </w:numPr>
      <w:spacing w:after="120"/>
    </w:pPr>
    <w:rPr>
      <w:rFonts w:eastAsia="Century Gothic" w:cstheme="minorBidi"/>
      <w:szCs w:val="20"/>
      <w:lang w:eastAsia="en-US"/>
    </w:rPr>
  </w:style>
  <w:style w:type="paragraph" w:styleId="ListBullet3">
    <w:name w:val="List Bullet 3"/>
    <w:basedOn w:val="Normal"/>
    <w:uiPriority w:val="3"/>
    <w:rsid w:val="00596177"/>
    <w:pPr>
      <w:numPr>
        <w:ilvl w:val="2"/>
        <w:numId w:val="31"/>
      </w:numPr>
      <w:spacing w:after="120"/>
    </w:pPr>
    <w:rPr>
      <w:rFonts w:eastAsia="Century Gothic" w:cstheme="minorBidi"/>
      <w:szCs w:val="20"/>
      <w:lang w:eastAsia="en-US"/>
    </w:rPr>
  </w:style>
  <w:style w:type="paragraph" w:styleId="ListBullet4">
    <w:name w:val="List Bullet 4"/>
    <w:basedOn w:val="Normal"/>
    <w:uiPriority w:val="3"/>
    <w:semiHidden/>
    <w:unhideWhenUsed/>
    <w:rsid w:val="00B664EA"/>
    <w:pPr>
      <w:spacing w:after="100" w:line="240" w:lineRule="auto"/>
      <w:ind w:left="1440" w:hanging="360"/>
      <w:contextualSpacing/>
    </w:pPr>
    <w:rPr>
      <w:rFonts w:eastAsia="Century Gothic" w:cstheme="minorBidi"/>
      <w:szCs w:val="20"/>
      <w:lang w:eastAsia="en-US"/>
    </w:rPr>
  </w:style>
  <w:style w:type="paragraph" w:styleId="ListBullet5">
    <w:name w:val="List Bullet 5"/>
    <w:basedOn w:val="Normal"/>
    <w:uiPriority w:val="3"/>
    <w:semiHidden/>
    <w:unhideWhenUsed/>
    <w:rsid w:val="00B664EA"/>
    <w:pPr>
      <w:numPr>
        <w:ilvl w:val="4"/>
        <w:numId w:val="29"/>
      </w:numPr>
      <w:tabs>
        <w:tab w:val="num" w:pos="851"/>
      </w:tabs>
      <w:spacing w:after="100" w:line="240" w:lineRule="auto"/>
      <w:contextualSpacing/>
    </w:pPr>
    <w:rPr>
      <w:rFonts w:eastAsia="Century Gothic" w:cstheme="minorBidi"/>
      <w:szCs w:val="20"/>
      <w:lang w:eastAsia="en-US"/>
    </w:rPr>
  </w:style>
  <w:style w:type="character" w:customStyle="1" w:styleId="Heading1Char">
    <w:name w:val="Heading 1 Char"/>
    <w:basedOn w:val="DefaultParagraphFont"/>
    <w:link w:val="Heading1"/>
    <w:uiPriority w:val="1"/>
    <w:rsid w:val="00326D32"/>
    <w:rPr>
      <w:rFonts w:asciiTheme="minorHAnsi" w:eastAsiaTheme="majorEastAsia" w:hAnsiTheme="minorHAnsi" w:cs="Calibri"/>
      <w:b/>
      <w:iCs/>
      <w:caps/>
      <w:color w:val="1D336D" w:themeColor="background2"/>
      <w:sz w:val="32"/>
      <w:szCs w:val="28"/>
    </w:rPr>
  </w:style>
  <w:style w:type="paragraph" w:customStyle="1" w:styleId="TableText">
    <w:name w:val="Table Text"/>
    <w:basedOn w:val="Normal"/>
    <w:uiPriority w:val="9"/>
    <w:qFormat/>
    <w:rsid w:val="00C4534E"/>
    <w:pPr>
      <w:spacing w:before="40" w:after="40" w:line="240" w:lineRule="atLeast"/>
    </w:pPr>
    <w:rPr>
      <w:rFonts w:eastAsia="Century Gothic"/>
      <w:lang w:eastAsia="en-US"/>
    </w:rPr>
  </w:style>
  <w:style w:type="character" w:styleId="Hyperlink">
    <w:name w:val="Hyperlink"/>
    <w:basedOn w:val="DefaultParagraphFont"/>
    <w:uiPriority w:val="99"/>
    <w:unhideWhenUsed/>
    <w:rsid w:val="00950440"/>
    <w:rPr>
      <w:color w:val="1D336D" w:themeColor="background2"/>
      <w:u w:val="single"/>
    </w:rPr>
  </w:style>
  <w:style w:type="character" w:styleId="UnresolvedMention">
    <w:name w:val="Unresolved Mention"/>
    <w:basedOn w:val="DefaultParagraphFont"/>
    <w:uiPriority w:val="99"/>
    <w:semiHidden/>
    <w:unhideWhenUsed/>
    <w:rsid w:val="009442D8"/>
    <w:rPr>
      <w:color w:val="605E5C"/>
      <w:shd w:val="clear" w:color="auto" w:fill="E1DFDD"/>
    </w:rPr>
  </w:style>
  <w:style w:type="paragraph" w:styleId="TOC2">
    <w:name w:val="toc 2"/>
    <w:basedOn w:val="BlockText"/>
    <w:next w:val="Normal"/>
    <w:uiPriority w:val="39"/>
    <w:rsid w:val="004E4A46"/>
    <w:pPr>
      <w:pBdr>
        <w:top w:val="none" w:sz="0" w:space="0" w:color="auto"/>
        <w:left w:val="none" w:sz="0" w:space="0" w:color="auto"/>
        <w:bottom w:val="none" w:sz="0" w:space="0" w:color="auto"/>
        <w:right w:val="none" w:sz="0" w:space="0" w:color="auto"/>
      </w:pBdr>
      <w:spacing w:before="40"/>
      <w:ind w:left="567" w:right="1151"/>
    </w:pPr>
    <w:rPr>
      <w:i w:val="0"/>
      <w:color w:val="000000" w:themeColor="text1"/>
    </w:rPr>
  </w:style>
  <w:style w:type="paragraph" w:styleId="TOC1">
    <w:name w:val="toc 1"/>
    <w:basedOn w:val="Heading3"/>
    <w:next w:val="Normal"/>
    <w:uiPriority w:val="39"/>
    <w:rsid w:val="001310FC"/>
    <w:pPr>
      <w:numPr>
        <w:ilvl w:val="0"/>
        <w:numId w:val="46"/>
      </w:numPr>
      <w:tabs>
        <w:tab w:val="left" w:pos="567"/>
        <w:tab w:val="right" w:leader="dot" w:pos="9638"/>
      </w:tabs>
      <w:spacing w:after="40" w:line="240" w:lineRule="auto"/>
    </w:pPr>
    <w:rPr>
      <w:b/>
      <w:caps/>
      <w:color w:val="1D336D" w:themeColor="background2"/>
      <w:sz w:val="22"/>
    </w:rPr>
  </w:style>
  <w:style w:type="paragraph" w:styleId="NoSpacing">
    <w:name w:val="No Spacing"/>
    <w:uiPriority w:val="50"/>
    <w:semiHidden/>
    <w:rsid w:val="00F87FD2"/>
    <w:rPr>
      <w:rFonts w:asciiTheme="minorHAnsi" w:hAnsiTheme="minorHAnsi" w:cs="Calibri"/>
      <w:sz w:val="18"/>
      <w:szCs w:val="24"/>
    </w:rPr>
  </w:style>
  <w:style w:type="numbering" w:customStyle="1" w:styleId="Headings">
    <w:name w:val="Headings"/>
    <w:uiPriority w:val="99"/>
    <w:rsid w:val="00D4310E"/>
    <w:pPr>
      <w:numPr>
        <w:numId w:val="14"/>
      </w:numPr>
    </w:pPr>
  </w:style>
  <w:style w:type="character" w:customStyle="1" w:styleId="Heading6Char">
    <w:name w:val="Heading 6 Char"/>
    <w:basedOn w:val="DefaultParagraphFont"/>
    <w:link w:val="Heading6"/>
    <w:uiPriority w:val="1"/>
    <w:semiHidden/>
    <w:rsid w:val="000E3939"/>
    <w:rPr>
      <w:rFonts w:asciiTheme="majorHAnsi" w:eastAsiaTheme="majorEastAsia" w:hAnsiTheme="majorHAnsi" w:cstheme="majorBidi"/>
      <w:color w:val="1D336D" w:themeColor="background2"/>
      <w:szCs w:val="24"/>
    </w:rPr>
  </w:style>
  <w:style w:type="character" w:customStyle="1" w:styleId="Heading7Char">
    <w:name w:val="Heading 7 Char"/>
    <w:basedOn w:val="DefaultParagraphFont"/>
    <w:link w:val="Heading7"/>
    <w:uiPriority w:val="1"/>
    <w:semiHidden/>
    <w:rsid w:val="000E3939"/>
    <w:rPr>
      <w:rFonts w:asciiTheme="majorHAnsi" w:eastAsiaTheme="majorEastAsia" w:hAnsiTheme="majorHAnsi" w:cstheme="majorBidi"/>
      <w:i/>
      <w:iCs/>
      <w:color w:val="585858" w:themeColor="text2"/>
      <w:szCs w:val="24"/>
    </w:rPr>
  </w:style>
  <w:style w:type="paragraph" w:styleId="TOC3">
    <w:name w:val="toc 3"/>
    <w:basedOn w:val="Normal"/>
    <w:next w:val="Normal"/>
    <w:uiPriority w:val="39"/>
    <w:rsid w:val="00CF6668"/>
    <w:pPr>
      <w:tabs>
        <w:tab w:val="left" w:pos="454"/>
        <w:tab w:val="right" w:leader="dot" w:pos="9638"/>
      </w:tabs>
      <w:spacing w:after="100" w:line="200" w:lineRule="atLeast"/>
      <w:ind w:left="851"/>
      <w:contextualSpacing/>
    </w:pPr>
    <w:rPr>
      <w:i/>
      <w:sz w:val="18"/>
    </w:rPr>
  </w:style>
  <w:style w:type="paragraph" w:customStyle="1" w:styleId="NormalBold">
    <w:name w:val="Normal Bold"/>
    <w:basedOn w:val="Normal"/>
    <w:link w:val="NormalBoldChar"/>
    <w:uiPriority w:val="50"/>
    <w:semiHidden/>
    <w:qFormat/>
    <w:rsid w:val="00542C98"/>
    <w:rPr>
      <w:b/>
    </w:rPr>
  </w:style>
  <w:style w:type="paragraph" w:customStyle="1" w:styleId="TableTextItalic">
    <w:name w:val="Table Text Italic"/>
    <w:basedOn w:val="TableText"/>
    <w:uiPriority w:val="9"/>
    <w:qFormat/>
    <w:rsid w:val="00A45B75"/>
    <w:rPr>
      <w:i/>
      <w:iCs/>
    </w:rPr>
  </w:style>
  <w:style w:type="character" w:customStyle="1" w:styleId="NormalBoldChar">
    <w:name w:val="Normal Bold Char"/>
    <w:basedOn w:val="DefaultParagraphFont"/>
    <w:link w:val="NormalBold"/>
    <w:uiPriority w:val="50"/>
    <w:semiHidden/>
    <w:rsid w:val="00310B3A"/>
    <w:rPr>
      <w:rFonts w:asciiTheme="minorHAnsi" w:eastAsiaTheme="majorEastAsia" w:hAnsiTheme="minorHAnsi" w:cs="Calibri"/>
      <w:b/>
      <w:color w:val="000000" w:themeColor="text1"/>
      <w:szCs w:val="24"/>
    </w:rPr>
  </w:style>
  <w:style w:type="character" w:customStyle="1" w:styleId="Heading4Char">
    <w:name w:val="Heading 4 Char"/>
    <w:basedOn w:val="DefaultParagraphFont"/>
    <w:link w:val="Heading4"/>
    <w:uiPriority w:val="1"/>
    <w:rsid w:val="00F24D58"/>
    <w:rPr>
      <w:rFonts w:asciiTheme="minorHAnsi" w:eastAsia="Century Gothic" w:hAnsiTheme="minorHAnsi" w:cs="Calibri"/>
      <w:b/>
      <w:bCs/>
      <w:iCs/>
      <w:color w:val="1D336D" w:themeColor="background2"/>
      <w:sz w:val="22"/>
      <w:szCs w:val="26"/>
    </w:rPr>
  </w:style>
  <w:style w:type="paragraph" w:styleId="TOC4">
    <w:name w:val="toc 4"/>
    <w:basedOn w:val="Normal"/>
    <w:next w:val="Normal"/>
    <w:uiPriority w:val="39"/>
    <w:semiHidden/>
    <w:rsid w:val="00FE707F"/>
    <w:pPr>
      <w:tabs>
        <w:tab w:val="right" w:leader="dot" w:pos="9638"/>
      </w:tabs>
      <w:spacing w:before="20" w:after="20"/>
      <w:ind w:left="1134" w:hanging="567"/>
      <w:contextualSpacing/>
    </w:pPr>
  </w:style>
  <w:style w:type="paragraph" w:styleId="Subtitle">
    <w:name w:val="Subtitle"/>
    <w:basedOn w:val="Normal"/>
    <w:next w:val="Normal"/>
    <w:link w:val="SubtitleChar"/>
    <w:uiPriority w:val="49"/>
    <w:semiHidden/>
    <w:rsid w:val="00AB6039"/>
    <w:pPr>
      <w:numPr>
        <w:ilvl w:val="1"/>
      </w:numPr>
      <w:spacing w:after="640" w:line="240" w:lineRule="auto"/>
    </w:pPr>
    <w:rPr>
      <w:rFonts w:eastAsiaTheme="minorEastAsia" w:cstheme="minorBidi"/>
      <w:b/>
      <w:color w:val="1D336D" w:themeColor="background2"/>
      <w:sz w:val="32"/>
      <w:szCs w:val="22"/>
    </w:rPr>
  </w:style>
  <w:style w:type="character" w:customStyle="1" w:styleId="SubtitleChar">
    <w:name w:val="Subtitle Char"/>
    <w:basedOn w:val="DefaultParagraphFont"/>
    <w:link w:val="Subtitle"/>
    <w:uiPriority w:val="49"/>
    <w:semiHidden/>
    <w:rsid w:val="00310B3A"/>
    <w:rPr>
      <w:rFonts w:asciiTheme="minorHAnsi" w:eastAsiaTheme="minorEastAsia" w:hAnsiTheme="minorHAnsi" w:cstheme="minorBidi"/>
      <w:b/>
      <w:color w:val="1D336D" w:themeColor="background2"/>
      <w:sz w:val="32"/>
      <w:szCs w:val="22"/>
    </w:rPr>
  </w:style>
  <w:style w:type="table" w:customStyle="1" w:styleId="DefaultTable">
    <w:name w:val="_Default Table"/>
    <w:basedOn w:val="TableNormal"/>
    <w:uiPriority w:val="99"/>
    <w:rsid w:val="00635C95"/>
    <w:rPr>
      <w:rFonts w:asciiTheme="minorHAnsi" w:hAnsiTheme="minorHAnsi"/>
      <w:color w:val="000000" w:themeColor="text1"/>
    </w:rPr>
    <w:tblPr>
      <w:tblStyleRowBandSize w:val="1"/>
      <w:tblStyleColBandSize w:val="1"/>
      <w:tblBorders>
        <w:top w:val="single" w:sz="4" w:space="0" w:color="1D336D" w:themeColor="background2"/>
        <w:left w:val="single" w:sz="4" w:space="0" w:color="1D336D" w:themeColor="background2"/>
        <w:bottom w:val="single" w:sz="4" w:space="0" w:color="1D336D" w:themeColor="background2"/>
        <w:right w:val="single" w:sz="4" w:space="0" w:color="1D336D" w:themeColor="background2"/>
        <w:insideH w:val="single" w:sz="4" w:space="0" w:color="1D336D" w:themeColor="background2"/>
        <w:insideV w:val="single" w:sz="4" w:space="0" w:color="1D336D" w:themeColor="background2"/>
      </w:tblBorders>
      <w:tblCellMar>
        <w:top w:w="113" w:type="dxa"/>
        <w:left w:w="113" w:type="dxa"/>
        <w:bottom w:w="113" w:type="dxa"/>
        <w:right w:w="113" w:type="dxa"/>
      </w:tblCellMar>
    </w:tblPr>
    <w:tcPr>
      <w:shd w:val="clear" w:color="auto" w:fill="auto"/>
    </w:tcPr>
    <w:tblStylePr w:type="firstRow">
      <w:rPr>
        <w:b w:val="0"/>
        <w:color w:val="1D336D" w:themeColor="background2"/>
      </w:rPr>
      <w:tblPr/>
      <w:tcPr>
        <w:tcBorders>
          <w:top w:val="single" w:sz="4" w:space="0" w:color="1D336D" w:themeColor="background2"/>
          <w:left w:val="single" w:sz="4" w:space="0" w:color="1D336D" w:themeColor="background2"/>
          <w:bottom w:val="single" w:sz="4" w:space="0" w:color="1D336D" w:themeColor="background2"/>
          <w:right w:val="single" w:sz="4" w:space="0" w:color="1D336D" w:themeColor="background2"/>
          <w:insideH w:val="single" w:sz="4" w:space="0" w:color="1D336D" w:themeColor="background2"/>
          <w:insideV w:val="single" w:sz="4" w:space="0" w:color="1D336D" w:themeColor="background2"/>
        </w:tcBorders>
        <w:shd w:val="clear" w:color="auto" w:fill="1D336D" w:themeFill="background2"/>
      </w:tcPr>
    </w:tblStylePr>
    <w:tblStylePr w:type="lastRow">
      <w:tblPr/>
      <w:tcPr>
        <w:tcBorders>
          <w:top w:val="single" w:sz="12" w:space="0" w:color="1D336D" w:themeColor="background2"/>
          <w:left w:val="nil"/>
          <w:bottom w:val="single" w:sz="12" w:space="0" w:color="1D336D" w:themeColor="background2"/>
          <w:right w:val="nil"/>
          <w:insideH w:val="nil"/>
          <w:insideV w:val="nil"/>
          <w:tl2br w:val="nil"/>
          <w:tr2bl w:val="nil"/>
        </w:tcBorders>
        <w:shd w:val="clear" w:color="auto" w:fill="FFFFFF" w:themeFill="background1"/>
      </w:tcPr>
    </w:tblStylePr>
    <w:tblStylePr w:type="firstCol">
      <w:rPr>
        <w:color w:val="FFFFFF" w:themeColor="background1"/>
      </w:rPr>
      <w:tblPr/>
      <w:tcPr>
        <w:shd w:val="clear" w:color="auto" w:fill="C4CFEF" w:themeFill="background2" w:themeFillTint="33"/>
      </w:tcPr>
    </w:tblStylePr>
    <w:tblStylePr w:type="lastCol">
      <w:rPr>
        <w:color w:val="FFFFFF" w:themeColor="background1"/>
      </w:rPr>
      <w:tblPr/>
      <w:tcPr>
        <w:tcBorders>
          <w:top w:val="nil"/>
          <w:left w:val="nil"/>
          <w:bottom w:val="nil"/>
          <w:right w:val="nil"/>
          <w:insideH w:val="nil"/>
          <w:insideV w:val="nil"/>
          <w:tl2br w:val="nil"/>
          <w:tr2bl w:val="nil"/>
        </w:tcBorders>
        <w:shd w:val="clear" w:color="auto" w:fill="1D336D" w:themeFill="background2"/>
      </w:tcPr>
    </w:tblStylePr>
    <w:tblStylePr w:type="band2Vert">
      <w:tblPr/>
      <w:tcPr>
        <w:shd w:val="clear" w:color="auto" w:fill="DEE4F6"/>
      </w:tcPr>
    </w:tblStylePr>
    <w:tblStylePr w:type="band2Horz">
      <w:tblPr/>
      <w:tcPr>
        <w:shd w:val="clear" w:color="auto" w:fill="DEE4F6"/>
      </w:tcPr>
    </w:tblStylePr>
  </w:style>
  <w:style w:type="paragraph" w:customStyle="1" w:styleId="CoverTitle">
    <w:name w:val="Cover Title"/>
    <w:uiPriority w:val="19"/>
    <w:semiHidden/>
    <w:qFormat/>
    <w:rsid w:val="0081223D"/>
    <w:pPr>
      <w:numPr>
        <w:numId w:val="17"/>
      </w:numPr>
    </w:pPr>
    <w:rPr>
      <w:rFonts w:asciiTheme="minorHAnsi" w:eastAsiaTheme="majorEastAsia" w:hAnsiTheme="minorHAnsi" w:cs="Calibri"/>
      <w:bCs/>
      <w:iCs/>
      <w:color w:val="1D336D" w:themeColor="background2"/>
      <w:sz w:val="72"/>
      <w:szCs w:val="28"/>
    </w:rPr>
  </w:style>
  <w:style w:type="table" w:customStyle="1" w:styleId="PlainGridBlack">
    <w:name w:val="_Plain Grid Black"/>
    <w:basedOn w:val="TableNormal"/>
    <w:uiPriority w:val="99"/>
    <w:rsid w:val="001F6DC1"/>
    <w:rPr>
      <w:rFonts w:asciiTheme="minorHAnsi" w:hAnsiTheme="minorHAnsi"/>
      <w:color w:val="63D0DF" w:themeColor="accent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table" w:styleId="ColorfulGrid">
    <w:name w:val="Colorful Grid"/>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DFF5F8" w:themeFill="accent1" w:themeFillTint="33"/>
    </w:tcPr>
    <w:tblStylePr w:type="firstRow">
      <w:rPr>
        <w:b/>
        <w:bCs/>
      </w:rPr>
      <w:tblPr/>
      <w:tcPr>
        <w:shd w:val="clear" w:color="auto" w:fill="C0ECF2" w:themeFill="accent1" w:themeFillTint="66"/>
      </w:tcPr>
    </w:tblStylePr>
    <w:tblStylePr w:type="lastRow">
      <w:rPr>
        <w:b/>
        <w:bCs/>
        <w:color w:val="000000" w:themeColor="text1"/>
      </w:rPr>
      <w:tblPr/>
      <w:tcPr>
        <w:shd w:val="clear" w:color="auto" w:fill="C0ECF2" w:themeFill="accent1" w:themeFillTint="66"/>
      </w:tcPr>
    </w:tblStylePr>
    <w:tblStylePr w:type="firstCol">
      <w:rPr>
        <w:color w:val="FFFFFF" w:themeColor="background1"/>
      </w:rPr>
      <w:tblPr/>
      <w:tcPr>
        <w:shd w:val="clear" w:color="auto" w:fill="29B4C7" w:themeFill="accent1" w:themeFillShade="BF"/>
      </w:tcPr>
    </w:tblStylePr>
    <w:tblStylePr w:type="lastCol">
      <w:rPr>
        <w:color w:val="FFFFFF" w:themeColor="background1"/>
      </w:rPr>
      <w:tblPr/>
      <w:tcPr>
        <w:shd w:val="clear" w:color="auto" w:fill="29B4C7" w:themeFill="accent1" w:themeFillShade="BF"/>
      </w:tcPr>
    </w:tblStylePr>
    <w:tblStylePr w:type="band1Vert">
      <w:tblPr/>
      <w:tcPr>
        <w:shd w:val="clear" w:color="auto" w:fill="B1E7EF" w:themeFill="accent1" w:themeFillTint="7F"/>
      </w:tcPr>
    </w:tblStylePr>
    <w:tblStylePr w:type="band1Horz">
      <w:tblPr/>
      <w:tcPr>
        <w:shd w:val="clear" w:color="auto" w:fill="B1E7EF" w:themeFill="accent1" w:themeFillTint="7F"/>
      </w:tcPr>
    </w:tblStylePr>
  </w:style>
  <w:style w:type="table" w:styleId="ColorfulGrid-Accent2">
    <w:name w:val="Colorful Grid Accent 2"/>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F4F4F4" w:themeFill="accent2" w:themeFillTint="33"/>
    </w:tcPr>
    <w:tblStylePr w:type="firstRow">
      <w:rPr>
        <w:b/>
        <w:bCs/>
      </w:rPr>
      <w:tblPr/>
      <w:tcPr>
        <w:shd w:val="clear" w:color="auto" w:fill="E9E9E9" w:themeFill="accent2" w:themeFillTint="66"/>
      </w:tcPr>
    </w:tblStylePr>
    <w:tblStylePr w:type="lastRow">
      <w:rPr>
        <w:b/>
        <w:bCs/>
        <w:color w:val="000000" w:themeColor="text1"/>
      </w:rPr>
      <w:tblPr/>
      <w:tcPr>
        <w:shd w:val="clear" w:color="auto" w:fill="E9E9E9" w:themeFill="accent2" w:themeFillTint="66"/>
      </w:tcPr>
    </w:tblStylePr>
    <w:tblStylePr w:type="firstCol">
      <w:rPr>
        <w:color w:val="FFFFFF" w:themeColor="background1"/>
      </w:rPr>
      <w:tblPr/>
      <w:tcPr>
        <w:shd w:val="clear" w:color="auto" w:fill="959597" w:themeFill="accent2" w:themeFillShade="BF"/>
      </w:tcPr>
    </w:tblStylePr>
    <w:tblStylePr w:type="lastCol">
      <w:rPr>
        <w:color w:val="FFFFFF" w:themeColor="background1"/>
      </w:rPr>
      <w:tblPr/>
      <w:tcPr>
        <w:shd w:val="clear" w:color="auto" w:fill="959597" w:themeFill="accent2" w:themeFillShade="BF"/>
      </w:tcPr>
    </w:tblStylePr>
    <w:tblStylePr w:type="band1Vert">
      <w:tblPr/>
      <w:tcPr>
        <w:shd w:val="clear" w:color="auto" w:fill="E4E4E4" w:themeFill="accent2" w:themeFillTint="7F"/>
      </w:tcPr>
    </w:tblStylePr>
    <w:tblStylePr w:type="band1Horz">
      <w:tblPr/>
      <w:tcPr>
        <w:shd w:val="clear" w:color="auto" w:fill="E4E4E4" w:themeFill="accent2" w:themeFillTint="7F"/>
      </w:tcPr>
    </w:tblStylePr>
  </w:style>
  <w:style w:type="table" w:styleId="ColorfulGrid-Accent3">
    <w:name w:val="Colorful Grid Accent 3"/>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DFF5F8" w:themeFill="accent3" w:themeFillTint="33"/>
    </w:tcPr>
    <w:tblStylePr w:type="firstRow">
      <w:rPr>
        <w:b/>
        <w:bCs/>
      </w:rPr>
      <w:tblPr/>
      <w:tcPr>
        <w:shd w:val="clear" w:color="auto" w:fill="C0ECF2" w:themeFill="accent3" w:themeFillTint="66"/>
      </w:tcPr>
    </w:tblStylePr>
    <w:tblStylePr w:type="lastRow">
      <w:rPr>
        <w:b/>
        <w:bCs/>
        <w:color w:val="000000" w:themeColor="text1"/>
      </w:rPr>
      <w:tblPr/>
      <w:tcPr>
        <w:shd w:val="clear" w:color="auto" w:fill="C0ECF2" w:themeFill="accent3" w:themeFillTint="66"/>
      </w:tcPr>
    </w:tblStylePr>
    <w:tblStylePr w:type="firstCol">
      <w:rPr>
        <w:color w:val="FFFFFF" w:themeColor="background1"/>
      </w:rPr>
      <w:tblPr/>
      <w:tcPr>
        <w:shd w:val="clear" w:color="auto" w:fill="29B4C7" w:themeFill="accent3" w:themeFillShade="BF"/>
      </w:tcPr>
    </w:tblStylePr>
    <w:tblStylePr w:type="lastCol">
      <w:rPr>
        <w:color w:val="FFFFFF" w:themeColor="background1"/>
      </w:rPr>
      <w:tblPr/>
      <w:tcPr>
        <w:shd w:val="clear" w:color="auto" w:fill="29B4C7" w:themeFill="accent3" w:themeFillShade="BF"/>
      </w:tcPr>
    </w:tblStylePr>
    <w:tblStylePr w:type="band1Vert">
      <w:tblPr/>
      <w:tcPr>
        <w:shd w:val="clear" w:color="auto" w:fill="B1E7EF" w:themeFill="accent3" w:themeFillTint="7F"/>
      </w:tcPr>
    </w:tblStylePr>
    <w:tblStylePr w:type="band1Horz">
      <w:tblPr/>
      <w:tcPr>
        <w:shd w:val="clear" w:color="auto" w:fill="B1E7EF" w:themeFill="accent3" w:themeFillTint="7F"/>
      </w:tcPr>
    </w:tblStylePr>
  </w:style>
  <w:style w:type="table" w:styleId="ColorfulGrid-Accent4">
    <w:name w:val="Colorful Grid Accent 4"/>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ECECEC" w:themeFill="accent4" w:themeFillTint="33"/>
    </w:tcPr>
    <w:tblStylePr w:type="firstRow">
      <w:rPr>
        <w:b/>
        <w:bCs/>
      </w:rPr>
      <w:tblPr/>
      <w:tcPr>
        <w:shd w:val="clear" w:color="auto" w:fill="D9D9D9" w:themeFill="accent4" w:themeFillTint="66"/>
      </w:tcPr>
    </w:tblStylePr>
    <w:tblStylePr w:type="lastRow">
      <w:rPr>
        <w:b/>
        <w:bCs/>
        <w:color w:val="000000" w:themeColor="text1"/>
      </w:rPr>
      <w:tblPr/>
      <w:tcPr>
        <w:shd w:val="clear" w:color="auto" w:fill="D9D9D9" w:themeFill="accent4" w:themeFillTint="66"/>
      </w:tcPr>
    </w:tblStylePr>
    <w:tblStylePr w:type="firstCol">
      <w:rPr>
        <w:color w:val="FFFFFF" w:themeColor="background1"/>
      </w:rPr>
      <w:tblPr/>
      <w:tcPr>
        <w:shd w:val="clear" w:color="auto" w:fill="787878" w:themeFill="accent4" w:themeFillShade="BF"/>
      </w:tcPr>
    </w:tblStylePr>
    <w:tblStylePr w:type="lastCol">
      <w:rPr>
        <w:color w:val="FFFFFF" w:themeColor="background1"/>
      </w:rPr>
      <w:tblPr/>
      <w:tcPr>
        <w:shd w:val="clear" w:color="auto" w:fill="787878" w:themeFill="accent4" w:themeFillShade="BF"/>
      </w:tcPr>
    </w:tblStylePr>
    <w:tblStylePr w:type="band1Vert">
      <w:tblPr/>
      <w:tcPr>
        <w:shd w:val="clear" w:color="auto" w:fill="D0D0D0" w:themeFill="accent4" w:themeFillTint="7F"/>
      </w:tcPr>
    </w:tblStylePr>
    <w:tblStylePr w:type="band1Horz">
      <w:tblPr/>
      <w:tcPr>
        <w:shd w:val="clear" w:color="auto" w:fill="D0D0D0" w:themeFill="accent4" w:themeFillTint="7F"/>
      </w:tcPr>
    </w:tblStylePr>
  </w:style>
  <w:style w:type="table" w:styleId="ColorfulGrid-Accent5">
    <w:name w:val="Colorful Grid Accent 5"/>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DFF5F8" w:themeFill="accent5" w:themeFillTint="33"/>
    </w:tcPr>
    <w:tblStylePr w:type="firstRow">
      <w:rPr>
        <w:b/>
        <w:bCs/>
      </w:rPr>
      <w:tblPr/>
      <w:tcPr>
        <w:shd w:val="clear" w:color="auto" w:fill="C0ECF2" w:themeFill="accent5" w:themeFillTint="66"/>
      </w:tcPr>
    </w:tblStylePr>
    <w:tblStylePr w:type="lastRow">
      <w:rPr>
        <w:b/>
        <w:bCs/>
        <w:color w:val="000000" w:themeColor="text1"/>
      </w:rPr>
      <w:tblPr/>
      <w:tcPr>
        <w:shd w:val="clear" w:color="auto" w:fill="C0ECF2" w:themeFill="accent5" w:themeFillTint="66"/>
      </w:tcPr>
    </w:tblStylePr>
    <w:tblStylePr w:type="firstCol">
      <w:rPr>
        <w:color w:val="FFFFFF" w:themeColor="background1"/>
      </w:rPr>
      <w:tblPr/>
      <w:tcPr>
        <w:shd w:val="clear" w:color="auto" w:fill="29B4C7" w:themeFill="accent5" w:themeFillShade="BF"/>
      </w:tcPr>
    </w:tblStylePr>
    <w:tblStylePr w:type="lastCol">
      <w:rPr>
        <w:color w:val="FFFFFF" w:themeColor="background1"/>
      </w:rPr>
      <w:tblPr/>
      <w:tcPr>
        <w:shd w:val="clear" w:color="auto" w:fill="29B4C7" w:themeFill="accent5" w:themeFillShade="BF"/>
      </w:tcPr>
    </w:tblStylePr>
    <w:tblStylePr w:type="band1Vert">
      <w:tblPr/>
      <w:tcPr>
        <w:shd w:val="clear" w:color="auto" w:fill="B1E7EF" w:themeFill="accent5" w:themeFillTint="7F"/>
      </w:tcPr>
    </w:tblStylePr>
    <w:tblStylePr w:type="band1Horz">
      <w:tblPr/>
      <w:tcPr>
        <w:shd w:val="clear" w:color="auto" w:fill="B1E7EF" w:themeFill="accent5" w:themeFillTint="7F"/>
      </w:tcPr>
    </w:tblStylePr>
  </w:style>
  <w:style w:type="table" w:styleId="ColorfulGrid-Accent6">
    <w:name w:val="Colorful Grid Accent 6"/>
    <w:basedOn w:val="TableNormal"/>
    <w:uiPriority w:val="98"/>
    <w:semiHidden/>
    <w:unhideWhenUsed/>
    <w:rsid w:val="001F6DC1"/>
    <w:rPr>
      <w:color w:val="000000" w:themeColor="text1"/>
    </w:rPr>
    <w:tblPr>
      <w:tblStyleRowBandSize w:val="1"/>
      <w:tblStyleColBandSize w:val="1"/>
      <w:tblBorders>
        <w:insideH w:val="single" w:sz="4" w:space="0" w:color="FFFFFF" w:themeColor="background1"/>
      </w:tblBorders>
    </w:tblPr>
    <w:tcPr>
      <w:shd w:val="clear" w:color="auto" w:fill="ECECEC" w:themeFill="accent6" w:themeFillTint="33"/>
    </w:tcPr>
    <w:tblStylePr w:type="firstRow">
      <w:rPr>
        <w:b/>
        <w:bCs/>
      </w:rPr>
      <w:tblPr/>
      <w:tcPr>
        <w:shd w:val="clear" w:color="auto" w:fill="D9D9D9" w:themeFill="accent6" w:themeFillTint="66"/>
      </w:tcPr>
    </w:tblStylePr>
    <w:tblStylePr w:type="lastRow">
      <w:rPr>
        <w:b/>
        <w:bCs/>
        <w:color w:val="000000" w:themeColor="text1"/>
      </w:rPr>
      <w:tblPr/>
      <w:tcPr>
        <w:shd w:val="clear" w:color="auto" w:fill="D9D9D9" w:themeFill="accent6" w:themeFillTint="66"/>
      </w:tcPr>
    </w:tblStylePr>
    <w:tblStylePr w:type="firstCol">
      <w:rPr>
        <w:color w:val="FFFFFF" w:themeColor="background1"/>
      </w:rPr>
      <w:tblPr/>
      <w:tcPr>
        <w:shd w:val="clear" w:color="auto" w:fill="787878" w:themeFill="accent6" w:themeFillShade="BF"/>
      </w:tcPr>
    </w:tblStylePr>
    <w:tblStylePr w:type="lastCol">
      <w:rPr>
        <w:color w:val="FFFFFF" w:themeColor="background1"/>
      </w:rPr>
      <w:tblPr/>
      <w:tcPr>
        <w:shd w:val="clear" w:color="auto" w:fill="787878" w:themeFill="accent6" w:themeFillShade="BF"/>
      </w:tcPr>
    </w:tblStylePr>
    <w:tblStylePr w:type="band1Vert">
      <w:tblPr/>
      <w:tcPr>
        <w:shd w:val="clear" w:color="auto" w:fill="D0D0D0" w:themeFill="accent6" w:themeFillTint="7F"/>
      </w:tcPr>
    </w:tblStylePr>
    <w:tblStylePr w:type="band1Horz">
      <w:tblPr/>
      <w:tcPr>
        <w:shd w:val="clear" w:color="auto" w:fill="D0D0D0" w:themeFill="accent6" w:themeFillTint="7F"/>
      </w:tcPr>
    </w:tblStylePr>
  </w:style>
  <w:style w:type="table" w:styleId="ColorfulList">
    <w:name w:val="Colorful List"/>
    <w:basedOn w:val="TableNormal"/>
    <w:uiPriority w:val="98"/>
    <w:semiHidden/>
    <w:unhideWhenUsed/>
    <w:rsid w:val="001F6DC1"/>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A0A0A2" w:themeFill="accent2" w:themeFillShade="CC"/>
      </w:tcPr>
    </w:tblStylePr>
    <w:tblStylePr w:type="lastRow">
      <w:rPr>
        <w:b/>
        <w:bCs/>
        <w:color w:val="A0A0A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98"/>
    <w:semiHidden/>
    <w:unhideWhenUsed/>
    <w:rsid w:val="001F6DC1"/>
    <w:rPr>
      <w:color w:val="000000" w:themeColor="text1"/>
    </w:rPr>
    <w:tblPr>
      <w:tblStyleRowBandSize w:val="1"/>
      <w:tblStyleColBandSize w:val="1"/>
    </w:tblPr>
    <w:tcPr>
      <w:shd w:val="clear" w:color="auto" w:fill="EFFAFB" w:themeFill="accent1" w:themeFillTint="19"/>
    </w:tcPr>
    <w:tblStylePr w:type="firstRow">
      <w:rPr>
        <w:b/>
        <w:bCs/>
        <w:color w:val="FFFFFF" w:themeColor="background1"/>
      </w:rPr>
      <w:tblPr/>
      <w:tcPr>
        <w:tcBorders>
          <w:bottom w:val="single" w:sz="12" w:space="0" w:color="FFFFFF" w:themeColor="background1"/>
        </w:tcBorders>
        <w:shd w:val="clear" w:color="auto" w:fill="A0A0A2" w:themeFill="accent2" w:themeFillShade="CC"/>
      </w:tcPr>
    </w:tblStylePr>
    <w:tblStylePr w:type="lastRow">
      <w:rPr>
        <w:b/>
        <w:bCs/>
        <w:color w:val="A0A0A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F3F7" w:themeFill="accent1" w:themeFillTint="3F"/>
      </w:tcPr>
    </w:tblStylePr>
    <w:tblStylePr w:type="band1Horz">
      <w:tblPr/>
      <w:tcPr>
        <w:shd w:val="clear" w:color="auto" w:fill="DFF5F8" w:themeFill="accent1" w:themeFillTint="33"/>
      </w:tcPr>
    </w:tblStylePr>
  </w:style>
  <w:style w:type="table" w:styleId="ColorfulList-Accent2">
    <w:name w:val="Colorful List Accent 2"/>
    <w:basedOn w:val="TableNormal"/>
    <w:uiPriority w:val="98"/>
    <w:semiHidden/>
    <w:unhideWhenUsed/>
    <w:rsid w:val="001F6DC1"/>
    <w:rPr>
      <w:color w:val="000000" w:themeColor="text1"/>
    </w:rPr>
    <w:tblPr>
      <w:tblStyleRowBandSize w:val="1"/>
      <w:tblStyleColBandSize w:val="1"/>
    </w:tblPr>
    <w:tcPr>
      <w:shd w:val="clear" w:color="auto" w:fill="F9F9F9" w:themeFill="accent2" w:themeFillTint="19"/>
    </w:tcPr>
    <w:tblStylePr w:type="firstRow">
      <w:rPr>
        <w:b/>
        <w:bCs/>
        <w:color w:val="FFFFFF" w:themeColor="background1"/>
      </w:rPr>
      <w:tblPr/>
      <w:tcPr>
        <w:tcBorders>
          <w:bottom w:val="single" w:sz="12" w:space="0" w:color="FFFFFF" w:themeColor="background1"/>
        </w:tcBorders>
        <w:shd w:val="clear" w:color="auto" w:fill="A0A0A2" w:themeFill="accent2" w:themeFillShade="CC"/>
      </w:tcPr>
    </w:tblStylePr>
    <w:tblStylePr w:type="lastRow">
      <w:rPr>
        <w:b/>
        <w:bCs/>
        <w:color w:val="A0A0A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1F1" w:themeFill="accent2" w:themeFillTint="3F"/>
      </w:tcPr>
    </w:tblStylePr>
    <w:tblStylePr w:type="band1Horz">
      <w:tblPr/>
      <w:tcPr>
        <w:shd w:val="clear" w:color="auto" w:fill="F4F4F4" w:themeFill="accent2" w:themeFillTint="33"/>
      </w:tcPr>
    </w:tblStylePr>
  </w:style>
  <w:style w:type="table" w:styleId="ColorfulList-Accent3">
    <w:name w:val="Colorful List Accent 3"/>
    <w:basedOn w:val="TableNormal"/>
    <w:uiPriority w:val="98"/>
    <w:semiHidden/>
    <w:unhideWhenUsed/>
    <w:rsid w:val="001F6DC1"/>
    <w:rPr>
      <w:color w:val="000000" w:themeColor="text1"/>
    </w:rPr>
    <w:tblPr>
      <w:tblStyleRowBandSize w:val="1"/>
      <w:tblStyleColBandSize w:val="1"/>
    </w:tblPr>
    <w:tcPr>
      <w:shd w:val="clear" w:color="auto" w:fill="EFFAFB" w:themeFill="accent3" w:themeFillTint="19"/>
    </w:tcPr>
    <w:tblStylePr w:type="firstRow">
      <w:rPr>
        <w:b/>
        <w:bCs/>
        <w:color w:val="FFFFFF" w:themeColor="background1"/>
      </w:rPr>
      <w:tblPr/>
      <w:tcPr>
        <w:tcBorders>
          <w:bottom w:val="single" w:sz="12" w:space="0" w:color="FFFFFF" w:themeColor="background1"/>
        </w:tcBorders>
        <w:shd w:val="clear" w:color="auto" w:fill="808080" w:themeFill="accent4" w:themeFillShade="CC"/>
      </w:tcPr>
    </w:tblStylePr>
    <w:tblStylePr w:type="lastRow">
      <w:rPr>
        <w:b/>
        <w:bCs/>
        <w:color w:val="80808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F3F7" w:themeFill="accent3" w:themeFillTint="3F"/>
      </w:tcPr>
    </w:tblStylePr>
    <w:tblStylePr w:type="band1Horz">
      <w:tblPr/>
      <w:tcPr>
        <w:shd w:val="clear" w:color="auto" w:fill="DFF5F8" w:themeFill="accent3" w:themeFillTint="33"/>
      </w:tcPr>
    </w:tblStylePr>
  </w:style>
  <w:style w:type="table" w:styleId="ColorfulList-Accent4">
    <w:name w:val="Colorful List Accent 4"/>
    <w:basedOn w:val="TableNormal"/>
    <w:uiPriority w:val="98"/>
    <w:semiHidden/>
    <w:unhideWhenUsed/>
    <w:rsid w:val="001F6DC1"/>
    <w:rPr>
      <w:color w:val="000000" w:themeColor="text1"/>
    </w:rPr>
    <w:tblPr>
      <w:tblStyleRowBandSize w:val="1"/>
      <w:tblStyleColBandSize w:val="1"/>
    </w:tblPr>
    <w:tcPr>
      <w:shd w:val="clear" w:color="auto" w:fill="F5F5F5" w:themeFill="accent4" w:themeFillTint="19"/>
    </w:tcPr>
    <w:tblStylePr w:type="firstRow">
      <w:rPr>
        <w:b/>
        <w:bCs/>
        <w:color w:val="FFFFFF" w:themeColor="background1"/>
      </w:rPr>
      <w:tblPr/>
      <w:tcPr>
        <w:tcBorders>
          <w:bottom w:val="single" w:sz="12" w:space="0" w:color="FFFFFF" w:themeColor="background1"/>
        </w:tcBorders>
        <w:shd w:val="clear" w:color="auto" w:fill="2DBFD4" w:themeFill="accent3" w:themeFillShade="CC"/>
      </w:tcPr>
    </w:tblStylePr>
    <w:tblStylePr w:type="lastRow">
      <w:rPr>
        <w:b/>
        <w:bCs/>
        <w:color w:val="2DBFD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E7E7" w:themeFill="accent4" w:themeFillTint="3F"/>
      </w:tcPr>
    </w:tblStylePr>
    <w:tblStylePr w:type="band1Horz">
      <w:tblPr/>
      <w:tcPr>
        <w:shd w:val="clear" w:color="auto" w:fill="ECECEC" w:themeFill="accent4" w:themeFillTint="33"/>
      </w:tcPr>
    </w:tblStylePr>
  </w:style>
  <w:style w:type="table" w:styleId="ColorfulList-Accent5">
    <w:name w:val="Colorful List Accent 5"/>
    <w:basedOn w:val="TableNormal"/>
    <w:uiPriority w:val="98"/>
    <w:semiHidden/>
    <w:unhideWhenUsed/>
    <w:rsid w:val="001F6DC1"/>
    <w:rPr>
      <w:color w:val="000000" w:themeColor="text1"/>
    </w:rPr>
    <w:tblPr>
      <w:tblStyleRowBandSize w:val="1"/>
      <w:tblStyleColBandSize w:val="1"/>
    </w:tblPr>
    <w:tcPr>
      <w:shd w:val="clear" w:color="auto" w:fill="EFFAFB" w:themeFill="accent5" w:themeFillTint="19"/>
    </w:tcPr>
    <w:tblStylePr w:type="firstRow">
      <w:rPr>
        <w:b/>
        <w:bCs/>
        <w:color w:val="FFFFFF" w:themeColor="background1"/>
      </w:rPr>
      <w:tblPr/>
      <w:tcPr>
        <w:tcBorders>
          <w:bottom w:val="single" w:sz="12" w:space="0" w:color="FFFFFF" w:themeColor="background1"/>
        </w:tcBorders>
        <w:shd w:val="clear" w:color="auto" w:fill="808080" w:themeFill="accent6" w:themeFillShade="CC"/>
      </w:tcPr>
    </w:tblStylePr>
    <w:tblStylePr w:type="lastRow">
      <w:rPr>
        <w:b/>
        <w:bCs/>
        <w:color w:val="80808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F3F7" w:themeFill="accent5" w:themeFillTint="3F"/>
      </w:tcPr>
    </w:tblStylePr>
    <w:tblStylePr w:type="band1Horz">
      <w:tblPr/>
      <w:tcPr>
        <w:shd w:val="clear" w:color="auto" w:fill="DFF5F8" w:themeFill="accent5" w:themeFillTint="33"/>
      </w:tcPr>
    </w:tblStylePr>
  </w:style>
  <w:style w:type="table" w:styleId="ColorfulList-Accent6">
    <w:name w:val="Colorful List Accent 6"/>
    <w:basedOn w:val="TableNormal"/>
    <w:uiPriority w:val="98"/>
    <w:semiHidden/>
    <w:unhideWhenUsed/>
    <w:rsid w:val="001F6DC1"/>
    <w:rPr>
      <w:color w:val="000000" w:themeColor="text1"/>
    </w:rPr>
    <w:tblPr>
      <w:tblStyleRowBandSize w:val="1"/>
      <w:tblStyleColBandSize w:val="1"/>
    </w:tblPr>
    <w:tcPr>
      <w:shd w:val="clear" w:color="auto" w:fill="F5F5F5" w:themeFill="accent6" w:themeFillTint="19"/>
    </w:tcPr>
    <w:tblStylePr w:type="firstRow">
      <w:rPr>
        <w:b/>
        <w:bCs/>
        <w:color w:val="FFFFFF" w:themeColor="background1"/>
      </w:rPr>
      <w:tblPr/>
      <w:tcPr>
        <w:tcBorders>
          <w:bottom w:val="single" w:sz="12" w:space="0" w:color="FFFFFF" w:themeColor="background1"/>
        </w:tcBorders>
        <w:shd w:val="clear" w:color="auto" w:fill="2DBFD4" w:themeFill="accent5" w:themeFillShade="CC"/>
      </w:tcPr>
    </w:tblStylePr>
    <w:tblStylePr w:type="lastRow">
      <w:rPr>
        <w:b/>
        <w:bCs/>
        <w:color w:val="2DBFD4"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E7E7" w:themeFill="accent6" w:themeFillTint="3F"/>
      </w:tcPr>
    </w:tblStylePr>
    <w:tblStylePr w:type="band1Horz">
      <w:tblPr/>
      <w:tcPr>
        <w:shd w:val="clear" w:color="auto" w:fill="ECECEC" w:themeFill="accent6" w:themeFillTint="33"/>
      </w:tcPr>
    </w:tblStylePr>
  </w:style>
  <w:style w:type="table" w:styleId="ColorfulShading">
    <w:name w:val="Colorful Shading"/>
    <w:basedOn w:val="TableNormal"/>
    <w:uiPriority w:val="98"/>
    <w:semiHidden/>
    <w:unhideWhenUsed/>
    <w:rsid w:val="001F6DC1"/>
    <w:rPr>
      <w:color w:val="000000" w:themeColor="text1"/>
    </w:rPr>
    <w:tblPr>
      <w:tblStyleRowBandSize w:val="1"/>
      <w:tblStyleColBandSize w:val="1"/>
      <w:tblBorders>
        <w:top w:val="single" w:sz="24" w:space="0" w:color="C9C9C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9C9C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98"/>
    <w:semiHidden/>
    <w:unhideWhenUsed/>
    <w:rsid w:val="001F6DC1"/>
    <w:rPr>
      <w:color w:val="000000" w:themeColor="text1"/>
    </w:rPr>
    <w:tblPr>
      <w:tblStyleRowBandSize w:val="1"/>
      <w:tblStyleColBandSize w:val="1"/>
      <w:tblBorders>
        <w:top w:val="single" w:sz="24" w:space="0" w:color="C9C9CA" w:themeColor="accent2"/>
        <w:left w:val="single" w:sz="4" w:space="0" w:color="63D0DF" w:themeColor="accent1"/>
        <w:bottom w:val="single" w:sz="4" w:space="0" w:color="63D0DF" w:themeColor="accent1"/>
        <w:right w:val="single" w:sz="4" w:space="0" w:color="63D0DF" w:themeColor="accent1"/>
        <w:insideH w:val="single" w:sz="4" w:space="0" w:color="FFFFFF" w:themeColor="background1"/>
        <w:insideV w:val="single" w:sz="4" w:space="0" w:color="FFFFFF" w:themeColor="background1"/>
      </w:tblBorders>
    </w:tblPr>
    <w:tcPr>
      <w:shd w:val="clear" w:color="auto" w:fill="EFFAFB" w:themeFill="accent1" w:themeFillTint="19"/>
    </w:tcPr>
    <w:tblStylePr w:type="firstRow">
      <w:rPr>
        <w:b/>
        <w:bCs/>
      </w:rPr>
      <w:tblPr/>
      <w:tcPr>
        <w:tcBorders>
          <w:top w:val="nil"/>
          <w:left w:val="nil"/>
          <w:bottom w:val="single" w:sz="24" w:space="0" w:color="C9C9C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190A0" w:themeFill="accent1" w:themeFillShade="99"/>
      </w:tcPr>
    </w:tblStylePr>
    <w:tblStylePr w:type="firstCol">
      <w:rPr>
        <w:color w:val="FFFFFF" w:themeColor="background1"/>
      </w:rPr>
      <w:tblPr/>
      <w:tcPr>
        <w:tcBorders>
          <w:top w:val="nil"/>
          <w:left w:val="nil"/>
          <w:bottom w:val="nil"/>
          <w:right w:val="nil"/>
          <w:insideH w:val="single" w:sz="4" w:space="0" w:color="2190A0" w:themeColor="accent1" w:themeShade="99"/>
          <w:insideV w:val="nil"/>
        </w:tcBorders>
        <w:shd w:val="clear" w:color="auto" w:fill="2190A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190A0" w:themeFill="accent1" w:themeFillShade="99"/>
      </w:tcPr>
    </w:tblStylePr>
    <w:tblStylePr w:type="band1Vert">
      <w:tblPr/>
      <w:tcPr>
        <w:shd w:val="clear" w:color="auto" w:fill="C0ECF2" w:themeFill="accent1" w:themeFillTint="66"/>
      </w:tcPr>
    </w:tblStylePr>
    <w:tblStylePr w:type="band1Horz">
      <w:tblPr/>
      <w:tcPr>
        <w:shd w:val="clear" w:color="auto" w:fill="B1E7E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98"/>
    <w:semiHidden/>
    <w:unhideWhenUsed/>
    <w:rsid w:val="001F6DC1"/>
    <w:rPr>
      <w:color w:val="000000" w:themeColor="text1"/>
    </w:rPr>
    <w:tblPr>
      <w:tblStyleRowBandSize w:val="1"/>
      <w:tblStyleColBandSize w:val="1"/>
      <w:tblBorders>
        <w:top w:val="single" w:sz="24" w:space="0" w:color="C9C9CA" w:themeColor="accent2"/>
        <w:left w:val="single" w:sz="4" w:space="0" w:color="C9C9CA" w:themeColor="accent2"/>
        <w:bottom w:val="single" w:sz="4" w:space="0" w:color="C9C9CA" w:themeColor="accent2"/>
        <w:right w:val="single" w:sz="4" w:space="0" w:color="C9C9CA" w:themeColor="accent2"/>
        <w:insideH w:val="single" w:sz="4" w:space="0" w:color="FFFFFF" w:themeColor="background1"/>
        <w:insideV w:val="single" w:sz="4" w:space="0" w:color="FFFFFF" w:themeColor="background1"/>
      </w:tblBorders>
    </w:tblPr>
    <w:tcPr>
      <w:shd w:val="clear" w:color="auto" w:fill="F9F9F9" w:themeFill="accent2" w:themeFillTint="19"/>
    </w:tcPr>
    <w:tblStylePr w:type="firstRow">
      <w:rPr>
        <w:b/>
        <w:bCs/>
      </w:rPr>
      <w:tblPr/>
      <w:tcPr>
        <w:tcBorders>
          <w:top w:val="nil"/>
          <w:left w:val="nil"/>
          <w:bottom w:val="single" w:sz="24" w:space="0" w:color="C9C9C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7779" w:themeFill="accent2" w:themeFillShade="99"/>
      </w:tcPr>
    </w:tblStylePr>
    <w:tblStylePr w:type="firstCol">
      <w:rPr>
        <w:color w:val="FFFFFF" w:themeColor="background1"/>
      </w:rPr>
      <w:tblPr/>
      <w:tcPr>
        <w:tcBorders>
          <w:top w:val="nil"/>
          <w:left w:val="nil"/>
          <w:bottom w:val="nil"/>
          <w:right w:val="nil"/>
          <w:insideH w:val="single" w:sz="4" w:space="0" w:color="777779" w:themeColor="accent2" w:themeShade="99"/>
          <w:insideV w:val="nil"/>
        </w:tcBorders>
        <w:shd w:val="clear" w:color="auto" w:fill="77777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7779" w:themeFill="accent2" w:themeFillShade="99"/>
      </w:tcPr>
    </w:tblStylePr>
    <w:tblStylePr w:type="band1Vert">
      <w:tblPr/>
      <w:tcPr>
        <w:shd w:val="clear" w:color="auto" w:fill="E9E9E9" w:themeFill="accent2" w:themeFillTint="66"/>
      </w:tcPr>
    </w:tblStylePr>
    <w:tblStylePr w:type="band1Horz">
      <w:tblPr/>
      <w:tcPr>
        <w:shd w:val="clear" w:color="auto" w:fill="E4E4E4"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98"/>
    <w:semiHidden/>
    <w:unhideWhenUsed/>
    <w:rsid w:val="001F6DC1"/>
    <w:rPr>
      <w:color w:val="000000" w:themeColor="text1"/>
    </w:rPr>
    <w:tblPr>
      <w:tblStyleRowBandSize w:val="1"/>
      <w:tblStyleColBandSize w:val="1"/>
      <w:tblBorders>
        <w:top w:val="single" w:sz="24" w:space="0" w:color="A1A1A1" w:themeColor="accent4"/>
        <w:left w:val="single" w:sz="4" w:space="0" w:color="63D0DF" w:themeColor="accent3"/>
        <w:bottom w:val="single" w:sz="4" w:space="0" w:color="63D0DF" w:themeColor="accent3"/>
        <w:right w:val="single" w:sz="4" w:space="0" w:color="63D0DF" w:themeColor="accent3"/>
        <w:insideH w:val="single" w:sz="4" w:space="0" w:color="FFFFFF" w:themeColor="background1"/>
        <w:insideV w:val="single" w:sz="4" w:space="0" w:color="FFFFFF" w:themeColor="background1"/>
      </w:tblBorders>
    </w:tblPr>
    <w:tcPr>
      <w:shd w:val="clear" w:color="auto" w:fill="EFFAFB" w:themeFill="accent3" w:themeFillTint="19"/>
    </w:tcPr>
    <w:tblStylePr w:type="firstRow">
      <w:rPr>
        <w:b/>
        <w:bCs/>
      </w:rPr>
      <w:tblPr/>
      <w:tcPr>
        <w:tcBorders>
          <w:top w:val="nil"/>
          <w:left w:val="nil"/>
          <w:bottom w:val="single" w:sz="24" w:space="0" w:color="A1A1A1"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190A0" w:themeFill="accent3" w:themeFillShade="99"/>
      </w:tcPr>
    </w:tblStylePr>
    <w:tblStylePr w:type="firstCol">
      <w:rPr>
        <w:color w:val="FFFFFF" w:themeColor="background1"/>
      </w:rPr>
      <w:tblPr/>
      <w:tcPr>
        <w:tcBorders>
          <w:top w:val="nil"/>
          <w:left w:val="nil"/>
          <w:bottom w:val="nil"/>
          <w:right w:val="nil"/>
          <w:insideH w:val="single" w:sz="4" w:space="0" w:color="2190A0" w:themeColor="accent3" w:themeShade="99"/>
          <w:insideV w:val="nil"/>
        </w:tcBorders>
        <w:shd w:val="clear" w:color="auto" w:fill="2190A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2190A0" w:themeFill="accent3" w:themeFillShade="99"/>
      </w:tcPr>
    </w:tblStylePr>
    <w:tblStylePr w:type="band1Vert">
      <w:tblPr/>
      <w:tcPr>
        <w:shd w:val="clear" w:color="auto" w:fill="C0ECF2" w:themeFill="accent3" w:themeFillTint="66"/>
      </w:tcPr>
    </w:tblStylePr>
    <w:tblStylePr w:type="band1Horz">
      <w:tblPr/>
      <w:tcPr>
        <w:shd w:val="clear" w:color="auto" w:fill="B1E7EF" w:themeFill="accent3" w:themeFillTint="7F"/>
      </w:tcPr>
    </w:tblStylePr>
  </w:style>
  <w:style w:type="table" w:styleId="ColorfulShading-Accent4">
    <w:name w:val="Colorful Shading Accent 4"/>
    <w:basedOn w:val="TableNormal"/>
    <w:uiPriority w:val="98"/>
    <w:semiHidden/>
    <w:unhideWhenUsed/>
    <w:rsid w:val="001F6DC1"/>
    <w:rPr>
      <w:color w:val="000000" w:themeColor="text1"/>
    </w:rPr>
    <w:tblPr>
      <w:tblStyleRowBandSize w:val="1"/>
      <w:tblStyleColBandSize w:val="1"/>
      <w:tblBorders>
        <w:top w:val="single" w:sz="24" w:space="0" w:color="63D0DF" w:themeColor="accent3"/>
        <w:left w:val="single" w:sz="4" w:space="0" w:color="A1A1A1" w:themeColor="accent4"/>
        <w:bottom w:val="single" w:sz="4" w:space="0" w:color="A1A1A1" w:themeColor="accent4"/>
        <w:right w:val="single" w:sz="4" w:space="0" w:color="A1A1A1" w:themeColor="accent4"/>
        <w:insideH w:val="single" w:sz="4" w:space="0" w:color="FFFFFF" w:themeColor="background1"/>
        <w:insideV w:val="single" w:sz="4" w:space="0" w:color="FFFFFF" w:themeColor="background1"/>
      </w:tblBorders>
    </w:tblPr>
    <w:tcPr>
      <w:shd w:val="clear" w:color="auto" w:fill="F5F5F5" w:themeFill="accent4" w:themeFillTint="19"/>
    </w:tcPr>
    <w:tblStylePr w:type="firstRow">
      <w:rPr>
        <w:b/>
        <w:bCs/>
      </w:rPr>
      <w:tblPr/>
      <w:tcPr>
        <w:tcBorders>
          <w:top w:val="nil"/>
          <w:left w:val="nil"/>
          <w:bottom w:val="single" w:sz="24" w:space="0" w:color="63D0D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6060" w:themeFill="accent4" w:themeFillShade="99"/>
      </w:tcPr>
    </w:tblStylePr>
    <w:tblStylePr w:type="firstCol">
      <w:rPr>
        <w:color w:val="FFFFFF" w:themeColor="background1"/>
      </w:rPr>
      <w:tblPr/>
      <w:tcPr>
        <w:tcBorders>
          <w:top w:val="nil"/>
          <w:left w:val="nil"/>
          <w:bottom w:val="nil"/>
          <w:right w:val="nil"/>
          <w:insideH w:val="single" w:sz="4" w:space="0" w:color="606060" w:themeColor="accent4" w:themeShade="99"/>
          <w:insideV w:val="nil"/>
        </w:tcBorders>
        <w:shd w:val="clear" w:color="auto" w:fill="60606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606060" w:themeFill="accent4" w:themeFillShade="99"/>
      </w:tcPr>
    </w:tblStylePr>
    <w:tblStylePr w:type="band1Vert">
      <w:tblPr/>
      <w:tcPr>
        <w:shd w:val="clear" w:color="auto" w:fill="D9D9D9" w:themeFill="accent4" w:themeFillTint="66"/>
      </w:tcPr>
    </w:tblStylePr>
    <w:tblStylePr w:type="band1Horz">
      <w:tblPr/>
      <w:tcPr>
        <w:shd w:val="clear" w:color="auto" w:fill="D0D0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98"/>
    <w:semiHidden/>
    <w:unhideWhenUsed/>
    <w:rsid w:val="001F6DC1"/>
    <w:rPr>
      <w:color w:val="000000" w:themeColor="text1"/>
    </w:rPr>
    <w:tblPr>
      <w:tblStyleRowBandSize w:val="1"/>
      <w:tblStyleColBandSize w:val="1"/>
      <w:tblBorders>
        <w:top w:val="single" w:sz="24" w:space="0" w:color="A1A1A1" w:themeColor="accent6"/>
        <w:left w:val="single" w:sz="4" w:space="0" w:color="63D0DF" w:themeColor="accent5"/>
        <w:bottom w:val="single" w:sz="4" w:space="0" w:color="63D0DF" w:themeColor="accent5"/>
        <w:right w:val="single" w:sz="4" w:space="0" w:color="63D0DF" w:themeColor="accent5"/>
        <w:insideH w:val="single" w:sz="4" w:space="0" w:color="FFFFFF" w:themeColor="background1"/>
        <w:insideV w:val="single" w:sz="4" w:space="0" w:color="FFFFFF" w:themeColor="background1"/>
      </w:tblBorders>
    </w:tblPr>
    <w:tcPr>
      <w:shd w:val="clear" w:color="auto" w:fill="EFFAFB" w:themeFill="accent5" w:themeFillTint="19"/>
    </w:tcPr>
    <w:tblStylePr w:type="firstRow">
      <w:rPr>
        <w:b/>
        <w:bCs/>
      </w:rPr>
      <w:tblPr/>
      <w:tcPr>
        <w:tcBorders>
          <w:top w:val="nil"/>
          <w:left w:val="nil"/>
          <w:bottom w:val="single" w:sz="24" w:space="0" w:color="A1A1A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190A0" w:themeFill="accent5" w:themeFillShade="99"/>
      </w:tcPr>
    </w:tblStylePr>
    <w:tblStylePr w:type="firstCol">
      <w:rPr>
        <w:color w:val="FFFFFF" w:themeColor="background1"/>
      </w:rPr>
      <w:tblPr/>
      <w:tcPr>
        <w:tcBorders>
          <w:top w:val="nil"/>
          <w:left w:val="nil"/>
          <w:bottom w:val="nil"/>
          <w:right w:val="nil"/>
          <w:insideH w:val="single" w:sz="4" w:space="0" w:color="2190A0" w:themeColor="accent5" w:themeShade="99"/>
          <w:insideV w:val="nil"/>
        </w:tcBorders>
        <w:shd w:val="clear" w:color="auto" w:fill="2190A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190A0" w:themeFill="accent5" w:themeFillShade="99"/>
      </w:tcPr>
    </w:tblStylePr>
    <w:tblStylePr w:type="band1Vert">
      <w:tblPr/>
      <w:tcPr>
        <w:shd w:val="clear" w:color="auto" w:fill="C0ECF2" w:themeFill="accent5" w:themeFillTint="66"/>
      </w:tcPr>
    </w:tblStylePr>
    <w:tblStylePr w:type="band1Horz">
      <w:tblPr/>
      <w:tcPr>
        <w:shd w:val="clear" w:color="auto" w:fill="B1E7E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98"/>
    <w:semiHidden/>
    <w:unhideWhenUsed/>
    <w:rsid w:val="001F6DC1"/>
    <w:rPr>
      <w:color w:val="000000" w:themeColor="text1"/>
    </w:rPr>
    <w:tblPr>
      <w:tblStyleRowBandSize w:val="1"/>
      <w:tblStyleColBandSize w:val="1"/>
      <w:tblBorders>
        <w:top w:val="single" w:sz="24" w:space="0" w:color="63D0DF" w:themeColor="accent5"/>
        <w:left w:val="single" w:sz="4" w:space="0" w:color="A1A1A1" w:themeColor="accent6"/>
        <w:bottom w:val="single" w:sz="4" w:space="0" w:color="A1A1A1" w:themeColor="accent6"/>
        <w:right w:val="single" w:sz="4" w:space="0" w:color="A1A1A1" w:themeColor="accent6"/>
        <w:insideH w:val="single" w:sz="4" w:space="0" w:color="FFFFFF" w:themeColor="background1"/>
        <w:insideV w:val="single" w:sz="4" w:space="0" w:color="FFFFFF" w:themeColor="background1"/>
      </w:tblBorders>
    </w:tblPr>
    <w:tcPr>
      <w:shd w:val="clear" w:color="auto" w:fill="F5F5F5" w:themeFill="accent6" w:themeFillTint="19"/>
    </w:tcPr>
    <w:tblStylePr w:type="firstRow">
      <w:rPr>
        <w:b/>
        <w:bCs/>
      </w:rPr>
      <w:tblPr/>
      <w:tcPr>
        <w:tcBorders>
          <w:top w:val="nil"/>
          <w:left w:val="nil"/>
          <w:bottom w:val="single" w:sz="24" w:space="0" w:color="63D0DF"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6060" w:themeFill="accent6" w:themeFillShade="99"/>
      </w:tcPr>
    </w:tblStylePr>
    <w:tblStylePr w:type="firstCol">
      <w:rPr>
        <w:color w:val="FFFFFF" w:themeColor="background1"/>
      </w:rPr>
      <w:tblPr/>
      <w:tcPr>
        <w:tcBorders>
          <w:top w:val="nil"/>
          <w:left w:val="nil"/>
          <w:bottom w:val="nil"/>
          <w:right w:val="nil"/>
          <w:insideH w:val="single" w:sz="4" w:space="0" w:color="606060" w:themeColor="accent6" w:themeShade="99"/>
          <w:insideV w:val="nil"/>
        </w:tcBorders>
        <w:shd w:val="clear" w:color="auto" w:fill="60606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6060" w:themeFill="accent6" w:themeFillShade="99"/>
      </w:tcPr>
    </w:tblStylePr>
    <w:tblStylePr w:type="band1Vert">
      <w:tblPr/>
      <w:tcPr>
        <w:shd w:val="clear" w:color="auto" w:fill="D9D9D9" w:themeFill="accent6" w:themeFillTint="66"/>
      </w:tcPr>
    </w:tblStylePr>
    <w:tblStylePr w:type="band1Horz">
      <w:tblPr/>
      <w:tcPr>
        <w:shd w:val="clear" w:color="auto" w:fill="D0D0D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98"/>
    <w:semiHidden/>
    <w:unhideWhenUsed/>
    <w:rsid w:val="001F6DC1"/>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98"/>
    <w:semiHidden/>
    <w:unhideWhenUsed/>
    <w:rsid w:val="001F6DC1"/>
    <w:rPr>
      <w:color w:val="FFFFFF" w:themeColor="background1"/>
    </w:rPr>
    <w:tblPr>
      <w:tblStyleRowBandSize w:val="1"/>
      <w:tblStyleColBandSize w:val="1"/>
    </w:tblPr>
    <w:tcPr>
      <w:shd w:val="clear" w:color="auto" w:fill="63D0D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B7885"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9B4C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9B4C7" w:themeFill="accent1" w:themeFillShade="BF"/>
      </w:tcPr>
    </w:tblStylePr>
    <w:tblStylePr w:type="band1Vert">
      <w:tblPr/>
      <w:tcPr>
        <w:tcBorders>
          <w:top w:val="nil"/>
          <w:left w:val="nil"/>
          <w:bottom w:val="nil"/>
          <w:right w:val="nil"/>
          <w:insideH w:val="nil"/>
          <w:insideV w:val="nil"/>
        </w:tcBorders>
        <w:shd w:val="clear" w:color="auto" w:fill="29B4C7" w:themeFill="accent1" w:themeFillShade="BF"/>
      </w:tcPr>
    </w:tblStylePr>
    <w:tblStylePr w:type="band1Horz">
      <w:tblPr/>
      <w:tcPr>
        <w:tcBorders>
          <w:top w:val="nil"/>
          <w:left w:val="nil"/>
          <w:bottom w:val="nil"/>
          <w:right w:val="nil"/>
          <w:insideH w:val="nil"/>
          <w:insideV w:val="nil"/>
        </w:tcBorders>
        <w:shd w:val="clear" w:color="auto" w:fill="29B4C7" w:themeFill="accent1" w:themeFillShade="BF"/>
      </w:tcPr>
    </w:tblStylePr>
  </w:style>
  <w:style w:type="table" w:styleId="DarkList-Accent2">
    <w:name w:val="Dark List Accent 2"/>
    <w:basedOn w:val="TableNormal"/>
    <w:uiPriority w:val="98"/>
    <w:semiHidden/>
    <w:unhideWhenUsed/>
    <w:rsid w:val="001F6DC1"/>
    <w:rPr>
      <w:color w:val="FFFFFF" w:themeColor="background1"/>
    </w:rPr>
    <w:tblPr>
      <w:tblStyleRowBandSize w:val="1"/>
      <w:tblStyleColBandSize w:val="1"/>
    </w:tblPr>
    <w:tcPr>
      <w:shd w:val="clear" w:color="auto" w:fill="C9C9C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36365"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59597"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59597" w:themeFill="accent2" w:themeFillShade="BF"/>
      </w:tcPr>
    </w:tblStylePr>
    <w:tblStylePr w:type="band1Vert">
      <w:tblPr/>
      <w:tcPr>
        <w:tcBorders>
          <w:top w:val="nil"/>
          <w:left w:val="nil"/>
          <w:bottom w:val="nil"/>
          <w:right w:val="nil"/>
          <w:insideH w:val="nil"/>
          <w:insideV w:val="nil"/>
        </w:tcBorders>
        <w:shd w:val="clear" w:color="auto" w:fill="959597" w:themeFill="accent2" w:themeFillShade="BF"/>
      </w:tcPr>
    </w:tblStylePr>
    <w:tblStylePr w:type="band1Horz">
      <w:tblPr/>
      <w:tcPr>
        <w:tcBorders>
          <w:top w:val="nil"/>
          <w:left w:val="nil"/>
          <w:bottom w:val="nil"/>
          <w:right w:val="nil"/>
          <w:insideH w:val="nil"/>
          <w:insideV w:val="nil"/>
        </w:tcBorders>
        <w:shd w:val="clear" w:color="auto" w:fill="959597" w:themeFill="accent2" w:themeFillShade="BF"/>
      </w:tcPr>
    </w:tblStylePr>
  </w:style>
  <w:style w:type="table" w:styleId="DarkList-Accent3">
    <w:name w:val="Dark List Accent 3"/>
    <w:basedOn w:val="TableNormal"/>
    <w:uiPriority w:val="98"/>
    <w:semiHidden/>
    <w:unhideWhenUsed/>
    <w:rsid w:val="001F6DC1"/>
    <w:rPr>
      <w:color w:val="FFFFFF" w:themeColor="background1"/>
    </w:rPr>
    <w:tblPr>
      <w:tblStyleRowBandSize w:val="1"/>
      <w:tblStyleColBandSize w:val="1"/>
    </w:tblPr>
    <w:tcPr>
      <w:shd w:val="clear" w:color="auto" w:fill="63D0D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B7885"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9B4C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9B4C7" w:themeFill="accent3" w:themeFillShade="BF"/>
      </w:tcPr>
    </w:tblStylePr>
    <w:tblStylePr w:type="band1Vert">
      <w:tblPr/>
      <w:tcPr>
        <w:tcBorders>
          <w:top w:val="nil"/>
          <w:left w:val="nil"/>
          <w:bottom w:val="nil"/>
          <w:right w:val="nil"/>
          <w:insideH w:val="nil"/>
          <w:insideV w:val="nil"/>
        </w:tcBorders>
        <w:shd w:val="clear" w:color="auto" w:fill="29B4C7" w:themeFill="accent3" w:themeFillShade="BF"/>
      </w:tcPr>
    </w:tblStylePr>
    <w:tblStylePr w:type="band1Horz">
      <w:tblPr/>
      <w:tcPr>
        <w:tcBorders>
          <w:top w:val="nil"/>
          <w:left w:val="nil"/>
          <w:bottom w:val="nil"/>
          <w:right w:val="nil"/>
          <w:insideH w:val="nil"/>
          <w:insideV w:val="nil"/>
        </w:tcBorders>
        <w:shd w:val="clear" w:color="auto" w:fill="29B4C7" w:themeFill="accent3" w:themeFillShade="BF"/>
      </w:tcPr>
    </w:tblStylePr>
  </w:style>
  <w:style w:type="table" w:styleId="DarkList-Accent4">
    <w:name w:val="Dark List Accent 4"/>
    <w:basedOn w:val="TableNormal"/>
    <w:uiPriority w:val="98"/>
    <w:semiHidden/>
    <w:unhideWhenUsed/>
    <w:rsid w:val="001F6DC1"/>
    <w:rPr>
      <w:color w:val="FFFFFF" w:themeColor="background1"/>
    </w:rPr>
    <w:tblPr>
      <w:tblStyleRowBandSize w:val="1"/>
      <w:tblStyleColBandSize w:val="1"/>
    </w:tblPr>
    <w:tcPr>
      <w:shd w:val="clear" w:color="auto" w:fill="A1A1A1"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0505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787878"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787878" w:themeFill="accent4" w:themeFillShade="BF"/>
      </w:tcPr>
    </w:tblStylePr>
    <w:tblStylePr w:type="band1Vert">
      <w:tblPr/>
      <w:tcPr>
        <w:tcBorders>
          <w:top w:val="nil"/>
          <w:left w:val="nil"/>
          <w:bottom w:val="nil"/>
          <w:right w:val="nil"/>
          <w:insideH w:val="nil"/>
          <w:insideV w:val="nil"/>
        </w:tcBorders>
        <w:shd w:val="clear" w:color="auto" w:fill="787878" w:themeFill="accent4" w:themeFillShade="BF"/>
      </w:tcPr>
    </w:tblStylePr>
    <w:tblStylePr w:type="band1Horz">
      <w:tblPr/>
      <w:tcPr>
        <w:tcBorders>
          <w:top w:val="nil"/>
          <w:left w:val="nil"/>
          <w:bottom w:val="nil"/>
          <w:right w:val="nil"/>
          <w:insideH w:val="nil"/>
          <w:insideV w:val="nil"/>
        </w:tcBorders>
        <w:shd w:val="clear" w:color="auto" w:fill="787878" w:themeFill="accent4" w:themeFillShade="BF"/>
      </w:tcPr>
    </w:tblStylePr>
  </w:style>
  <w:style w:type="table" w:styleId="DarkList-Accent5">
    <w:name w:val="Dark List Accent 5"/>
    <w:basedOn w:val="TableNormal"/>
    <w:uiPriority w:val="98"/>
    <w:semiHidden/>
    <w:unhideWhenUsed/>
    <w:rsid w:val="001F6DC1"/>
    <w:rPr>
      <w:color w:val="FFFFFF" w:themeColor="background1"/>
    </w:rPr>
    <w:tblPr>
      <w:tblStyleRowBandSize w:val="1"/>
      <w:tblStyleColBandSize w:val="1"/>
    </w:tblPr>
    <w:tcPr>
      <w:shd w:val="clear" w:color="auto" w:fill="63D0DF"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B788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9B4C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9B4C7" w:themeFill="accent5" w:themeFillShade="BF"/>
      </w:tcPr>
    </w:tblStylePr>
    <w:tblStylePr w:type="band1Vert">
      <w:tblPr/>
      <w:tcPr>
        <w:tcBorders>
          <w:top w:val="nil"/>
          <w:left w:val="nil"/>
          <w:bottom w:val="nil"/>
          <w:right w:val="nil"/>
          <w:insideH w:val="nil"/>
          <w:insideV w:val="nil"/>
        </w:tcBorders>
        <w:shd w:val="clear" w:color="auto" w:fill="29B4C7" w:themeFill="accent5" w:themeFillShade="BF"/>
      </w:tcPr>
    </w:tblStylePr>
    <w:tblStylePr w:type="band1Horz">
      <w:tblPr/>
      <w:tcPr>
        <w:tcBorders>
          <w:top w:val="nil"/>
          <w:left w:val="nil"/>
          <w:bottom w:val="nil"/>
          <w:right w:val="nil"/>
          <w:insideH w:val="nil"/>
          <w:insideV w:val="nil"/>
        </w:tcBorders>
        <w:shd w:val="clear" w:color="auto" w:fill="29B4C7" w:themeFill="accent5" w:themeFillShade="BF"/>
      </w:tcPr>
    </w:tblStylePr>
  </w:style>
  <w:style w:type="table" w:styleId="DarkList-Accent6">
    <w:name w:val="Dark List Accent 6"/>
    <w:basedOn w:val="TableNormal"/>
    <w:uiPriority w:val="98"/>
    <w:semiHidden/>
    <w:unhideWhenUsed/>
    <w:rsid w:val="001F6DC1"/>
    <w:rPr>
      <w:color w:val="FFFFFF" w:themeColor="background1"/>
    </w:rPr>
    <w:tblPr>
      <w:tblStyleRowBandSize w:val="1"/>
      <w:tblStyleColBandSize w:val="1"/>
    </w:tblPr>
    <w:tcPr>
      <w:shd w:val="clear" w:color="auto" w:fill="A1A1A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0505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87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878" w:themeFill="accent6" w:themeFillShade="BF"/>
      </w:tcPr>
    </w:tblStylePr>
    <w:tblStylePr w:type="band1Vert">
      <w:tblPr/>
      <w:tcPr>
        <w:tcBorders>
          <w:top w:val="nil"/>
          <w:left w:val="nil"/>
          <w:bottom w:val="nil"/>
          <w:right w:val="nil"/>
          <w:insideH w:val="nil"/>
          <w:insideV w:val="nil"/>
        </w:tcBorders>
        <w:shd w:val="clear" w:color="auto" w:fill="787878" w:themeFill="accent6" w:themeFillShade="BF"/>
      </w:tcPr>
    </w:tblStylePr>
    <w:tblStylePr w:type="band1Horz">
      <w:tblPr/>
      <w:tcPr>
        <w:tcBorders>
          <w:top w:val="nil"/>
          <w:left w:val="nil"/>
          <w:bottom w:val="nil"/>
          <w:right w:val="nil"/>
          <w:insideH w:val="nil"/>
          <w:insideV w:val="nil"/>
        </w:tcBorders>
        <w:shd w:val="clear" w:color="auto" w:fill="787878" w:themeFill="accent6" w:themeFillShade="BF"/>
      </w:tcPr>
    </w:tblStylePr>
  </w:style>
  <w:style w:type="table" w:styleId="LightGrid">
    <w:name w:val="Light Grid"/>
    <w:basedOn w:val="TableNormal"/>
    <w:uiPriority w:val="98"/>
    <w:semiHidden/>
    <w:unhideWhenUsed/>
    <w:rsid w:val="001F6DC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98"/>
    <w:semiHidden/>
    <w:unhideWhenUsed/>
    <w:rsid w:val="001F6DC1"/>
    <w:tblPr>
      <w:tblStyleRowBandSize w:val="1"/>
      <w:tblStyleColBandSize w:val="1"/>
      <w:tblBorders>
        <w:top w:val="single" w:sz="8" w:space="0" w:color="63D0DF" w:themeColor="accent1"/>
        <w:left w:val="single" w:sz="8" w:space="0" w:color="63D0DF" w:themeColor="accent1"/>
        <w:bottom w:val="single" w:sz="8" w:space="0" w:color="63D0DF" w:themeColor="accent1"/>
        <w:right w:val="single" w:sz="8" w:space="0" w:color="63D0DF" w:themeColor="accent1"/>
        <w:insideH w:val="single" w:sz="8" w:space="0" w:color="63D0DF" w:themeColor="accent1"/>
        <w:insideV w:val="single" w:sz="8" w:space="0" w:color="63D0D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3D0DF" w:themeColor="accent1"/>
          <w:left w:val="single" w:sz="8" w:space="0" w:color="63D0DF" w:themeColor="accent1"/>
          <w:bottom w:val="single" w:sz="18" w:space="0" w:color="63D0DF" w:themeColor="accent1"/>
          <w:right w:val="single" w:sz="8" w:space="0" w:color="63D0DF" w:themeColor="accent1"/>
          <w:insideH w:val="nil"/>
          <w:insideV w:val="single" w:sz="8" w:space="0" w:color="63D0D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3D0DF" w:themeColor="accent1"/>
          <w:left w:val="single" w:sz="8" w:space="0" w:color="63D0DF" w:themeColor="accent1"/>
          <w:bottom w:val="single" w:sz="8" w:space="0" w:color="63D0DF" w:themeColor="accent1"/>
          <w:right w:val="single" w:sz="8" w:space="0" w:color="63D0DF" w:themeColor="accent1"/>
          <w:insideH w:val="nil"/>
          <w:insideV w:val="single" w:sz="8" w:space="0" w:color="63D0D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3D0DF" w:themeColor="accent1"/>
          <w:left w:val="single" w:sz="8" w:space="0" w:color="63D0DF" w:themeColor="accent1"/>
          <w:bottom w:val="single" w:sz="8" w:space="0" w:color="63D0DF" w:themeColor="accent1"/>
          <w:right w:val="single" w:sz="8" w:space="0" w:color="63D0DF" w:themeColor="accent1"/>
        </w:tcBorders>
      </w:tcPr>
    </w:tblStylePr>
    <w:tblStylePr w:type="band1Vert">
      <w:tblPr/>
      <w:tcPr>
        <w:tcBorders>
          <w:top w:val="single" w:sz="8" w:space="0" w:color="63D0DF" w:themeColor="accent1"/>
          <w:left w:val="single" w:sz="8" w:space="0" w:color="63D0DF" w:themeColor="accent1"/>
          <w:bottom w:val="single" w:sz="8" w:space="0" w:color="63D0DF" w:themeColor="accent1"/>
          <w:right w:val="single" w:sz="8" w:space="0" w:color="63D0DF" w:themeColor="accent1"/>
        </w:tcBorders>
        <w:shd w:val="clear" w:color="auto" w:fill="D8F3F7" w:themeFill="accent1" w:themeFillTint="3F"/>
      </w:tcPr>
    </w:tblStylePr>
    <w:tblStylePr w:type="band1Horz">
      <w:tblPr/>
      <w:tcPr>
        <w:tcBorders>
          <w:top w:val="single" w:sz="8" w:space="0" w:color="63D0DF" w:themeColor="accent1"/>
          <w:left w:val="single" w:sz="8" w:space="0" w:color="63D0DF" w:themeColor="accent1"/>
          <w:bottom w:val="single" w:sz="8" w:space="0" w:color="63D0DF" w:themeColor="accent1"/>
          <w:right w:val="single" w:sz="8" w:space="0" w:color="63D0DF" w:themeColor="accent1"/>
          <w:insideV w:val="single" w:sz="8" w:space="0" w:color="63D0DF" w:themeColor="accent1"/>
        </w:tcBorders>
        <w:shd w:val="clear" w:color="auto" w:fill="D8F3F7" w:themeFill="accent1" w:themeFillTint="3F"/>
      </w:tcPr>
    </w:tblStylePr>
    <w:tblStylePr w:type="band2Horz">
      <w:tblPr/>
      <w:tcPr>
        <w:tcBorders>
          <w:top w:val="single" w:sz="8" w:space="0" w:color="63D0DF" w:themeColor="accent1"/>
          <w:left w:val="single" w:sz="8" w:space="0" w:color="63D0DF" w:themeColor="accent1"/>
          <w:bottom w:val="single" w:sz="8" w:space="0" w:color="63D0DF" w:themeColor="accent1"/>
          <w:right w:val="single" w:sz="8" w:space="0" w:color="63D0DF" w:themeColor="accent1"/>
          <w:insideV w:val="single" w:sz="8" w:space="0" w:color="63D0DF" w:themeColor="accent1"/>
        </w:tcBorders>
      </w:tcPr>
    </w:tblStylePr>
  </w:style>
  <w:style w:type="table" w:styleId="LightGrid-Accent2">
    <w:name w:val="Light Grid Accent 2"/>
    <w:basedOn w:val="TableNormal"/>
    <w:uiPriority w:val="98"/>
    <w:semiHidden/>
    <w:unhideWhenUsed/>
    <w:rsid w:val="001F6DC1"/>
    <w:tblPr>
      <w:tblStyleRowBandSize w:val="1"/>
      <w:tblStyleColBandSize w:val="1"/>
      <w:tblBorders>
        <w:top w:val="single" w:sz="8" w:space="0" w:color="C9C9CA" w:themeColor="accent2"/>
        <w:left w:val="single" w:sz="8" w:space="0" w:color="C9C9CA" w:themeColor="accent2"/>
        <w:bottom w:val="single" w:sz="8" w:space="0" w:color="C9C9CA" w:themeColor="accent2"/>
        <w:right w:val="single" w:sz="8" w:space="0" w:color="C9C9CA" w:themeColor="accent2"/>
        <w:insideH w:val="single" w:sz="8" w:space="0" w:color="C9C9CA" w:themeColor="accent2"/>
        <w:insideV w:val="single" w:sz="8" w:space="0" w:color="C9C9C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9C9CA" w:themeColor="accent2"/>
          <w:left w:val="single" w:sz="8" w:space="0" w:color="C9C9CA" w:themeColor="accent2"/>
          <w:bottom w:val="single" w:sz="18" w:space="0" w:color="C9C9CA" w:themeColor="accent2"/>
          <w:right w:val="single" w:sz="8" w:space="0" w:color="C9C9CA" w:themeColor="accent2"/>
          <w:insideH w:val="nil"/>
          <w:insideV w:val="single" w:sz="8" w:space="0" w:color="C9C9C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9C9CA" w:themeColor="accent2"/>
          <w:left w:val="single" w:sz="8" w:space="0" w:color="C9C9CA" w:themeColor="accent2"/>
          <w:bottom w:val="single" w:sz="8" w:space="0" w:color="C9C9CA" w:themeColor="accent2"/>
          <w:right w:val="single" w:sz="8" w:space="0" w:color="C9C9CA" w:themeColor="accent2"/>
          <w:insideH w:val="nil"/>
          <w:insideV w:val="single" w:sz="8" w:space="0" w:color="C9C9C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9C9CA" w:themeColor="accent2"/>
          <w:left w:val="single" w:sz="8" w:space="0" w:color="C9C9CA" w:themeColor="accent2"/>
          <w:bottom w:val="single" w:sz="8" w:space="0" w:color="C9C9CA" w:themeColor="accent2"/>
          <w:right w:val="single" w:sz="8" w:space="0" w:color="C9C9CA" w:themeColor="accent2"/>
        </w:tcBorders>
      </w:tcPr>
    </w:tblStylePr>
    <w:tblStylePr w:type="band1Vert">
      <w:tblPr/>
      <w:tcPr>
        <w:tcBorders>
          <w:top w:val="single" w:sz="8" w:space="0" w:color="C9C9CA" w:themeColor="accent2"/>
          <w:left w:val="single" w:sz="8" w:space="0" w:color="C9C9CA" w:themeColor="accent2"/>
          <w:bottom w:val="single" w:sz="8" w:space="0" w:color="C9C9CA" w:themeColor="accent2"/>
          <w:right w:val="single" w:sz="8" w:space="0" w:color="C9C9CA" w:themeColor="accent2"/>
        </w:tcBorders>
        <w:shd w:val="clear" w:color="auto" w:fill="F1F1F1" w:themeFill="accent2" w:themeFillTint="3F"/>
      </w:tcPr>
    </w:tblStylePr>
    <w:tblStylePr w:type="band1Horz">
      <w:tblPr/>
      <w:tcPr>
        <w:tcBorders>
          <w:top w:val="single" w:sz="8" w:space="0" w:color="C9C9CA" w:themeColor="accent2"/>
          <w:left w:val="single" w:sz="8" w:space="0" w:color="C9C9CA" w:themeColor="accent2"/>
          <w:bottom w:val="single" w:sz="8" w:space="0" w:color="C9C9CA" w:themeColor="accent2"/>
          <w:right w:val="single" w:sz="8" w:space="0" w:color="C9C9CA" w:themeColor="accent2"/>
          <w:insideV w:val="single" w:sz="8" w:space="0" w:color="C9C9CA" w:themeColor="accent2"/>
        </w:tcBorders>
        <w:shd w:val="clear" w:color="auto" w:fill="F1F1F1" w:themeFill="accent2" w:themeFillTint="3F"/>
      </w:tcPr>
    </w:tblStylePr>
    <w:tblStylePr w:type="band2Horz">
      <w:tblPr/>
      <w:tcPr>
        <w:tcBorders>
          <w:top w:val="single" w:sz="8" w:space="0" w:color="C9C9CA" w:themeColor="accent2"/>
          <w:left w:val="single" w:sz="8" w:space="0" w:color="C9C9CA" w:themeColor="accent2"/>
          <w:bottom w:val="single" w:sz="8" w:space="0" w:color="C9C9CA" w:themeColor="accent2"/>
          <w:right w:val="single" w:sz="8" w:space="0" w:color="C9C9CA" w:themeColor="accent2"/>
          <w:insideV w:val="single" w:sz="8" w:space="0" w:color="C9C9CA" w:themeColor="accent2"/>
        </w:tcBorders>
      </w:tcPr>
    </w:tblStylePr>
  </w:style>
  <w:style w:type="table" w:styleId="LightGrid-Accent3">
    <w:name w:val="Light Grid Accent 3"/>
    <w:basedOn w:val="TableNormal"/>
    <w:uiPriority w:val="98"/>
    <w:semiHidden/>
    <w:unhideWhenUsed/>
    <w:rsid w:val="001F6DC1"/>
    <w:tblPr>
      <w:tblStyleRowBandSize w:val="1"/>
      <w:tblStyleColBandSize w:val="1"/>
      <w:tblBorders>
        <w:top w:val="single" w:sz="8" w:space="0" w:color="63D0DF" w:themeColor="accent3"/>
        <w:left w:val="single" w:sz="8" w:space="0" w:color="63D0DF" w:themeColor="accent3"/>
        <w:bottom w:val="single" w:sz="8" w:space="0" w:color="63D0DF" w:themeColor="accent3"/>
        <w:right w:val="single" w:sz="8" w:space="0" w:color="63D0DF" w:themeColor="accent3"/>
        <w:insideH w:val="single" w:sz="8" w:space="0" w:color="63D0DF" w:themeColor="accent3"/>
        <w:insideV w:val="single" w:sz="8" w:space="0" w:color="63D0D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3D0DF" w:themeColor="accent3"/>
          <w:left w:val="single" w:sz="8" w:space="0" w:color="63D0DF" w:themeColor="accent3"/>
          <w:bottom w:val="single" w:sz="18" w:space="0" w:color="63D0DF" w:themeColor="accent3"/>
          <w:right w:val="single" w:sz="8" w:space="0" w:color="63D0DF" w:themeColor="accent3"/>
          <w:insideH w:val="nil"/>
          <w:insideV w:val="single" w:sz="8" w:space="0" w:color="63D0D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3D0DF" w:themeColor="accent3"/>
          <w:left w:val="single" w:sz="8" w:space="0" w:color="63D0DF" w:themeColor="accent3"/>
          <w:bottom w:val="single" w:sz="8" w:space="0" w:color="63D0DF" w:themeColor="accent3"/>
          <w:right w:val="single" w:sz="8" w:space="0" w:color="63D0DF" w:themeColor="accent3"/>
          <w:insideH w:val="nil"/>
          <w:insideV w:val="single" w:sz="8" w:space="0" w:color="63D0D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3D0DF" w:themeColor="accent3"/>
          <w:left w:val="single" w:sz="8" w:space="0" w:color="63D0DF" w:themeColor="accent3"/>
          <w:bottom w:val="single" w:sz="8" w:space="0" w:color="63D0DF" w:themeColor="accent3"/>
          <w:right w:val="single" w:sz="8" w:space="0" w:color="63D0DF" w:themeColor="accent3"/>
        </w:tcBorders>
      </w:tcPr>
    </w:tblStylePr>
    <w:tblStylePr w:type="band1Vert">
      <w:tblPr/>
      <w:tcPr>
        <w:tcBorders>
          <w:top w:val="single" w:sz="8" w:space="0" w:color="63D0DF" w:themeColor="accent3"/>
          <w:left w:val="single" w:sz="8" w:space="0" w:color="63D0DF" w:themeColor="accent3"/>
          <w:bottom w:val="single" w:sz="8" w:space="0" w:color="63D0DF" w:themeColor="accent3"/>
          <w:right w:val="single" w:sz="8" w:space="0" w:color="63D0DF" w:themeColor="accent3"/>
        </w:tcBorders>
        <w:shd w:val="clear" w:color="auto" w:fill="D8F3F7" w:themeFill="accent3" w:themeFillTint="3F"/>
      </w:tcPr>
    </w:tblStylePr>
    <w:tblStylePr w:type="band1Horz">
      <w:tblPr/>
      <w:tcPr>
        <w:tcBorders>
          <w:top w:val="single" w:sz="8" w:space="0" w:color="63D0DF" w:themeColor="accent3"/>
          <w:left w:val="single" w:sz="8" w:space="0" w:color="63D0DF" w:themeColor="accent3"/>
          <w:bottom w:val="single" w:sz="8" w:space="0" w:color="63D0DF" w:themeColor="accent3"/>
          <w:right w:val="single" w:sz="8" w:space="0" w:color="63D0DF" w:themeColor="accent3"/>
          <w:insideV w:val="single" w:sz="8" w:space="0" w:color="63D0DF" w:themeColor="accent3"/>
        </w:tcBorders>
        <w:shd w:val="clear" w:color="auto" w:fill="D8F3F7" w:themeFill="accent3" w:themeFillTint="3F"/>
      </w:tcPr>
    </w:tblStylePr>
    <w:tblStylePr w:type="band2Horz">
      <w:tblPr/>
      <w:tcPr>
        <w:tcBorders>
          <w:top w:val="single" w:sz="8" w:space="0" w:color="63D0DF" w:themeColor="accent3"/>
          <w:left w:val="single" w:sz="8" w:space="0" w:color="63D0DF" w:themeColor="accent3"/>
          <w:bottom w:val="single" w:sz="8" w:space="0" w:color="63D0DF" w:themeColor="accent3"/>
          <w:right w:val="single" w:sz="8" w:space="0" w:color="63D0DF" w:themeColor="accent3"/>
          <w:insideV w:val="single" w:sz="8" w:space="0" w:color="63D0DF" w:themeColor="accent3"/>
        </w:tcBorders>
      </w:tcPr>
    </w:tblStylePr>
  </w:style>
  <w:style w:type="table" w:styleId="LightGrid-Accent4">
    <w:name w:val="Light Grid Accent 4"/>
    <w:basedOn w:val="TableNormal"/>
    <w:uiPriority w:val="98"/>
    <w:semiHidden/>
    <w:unhideWhenUsed/>
    <w:rsid w:val="001F6DC1"/>
    <w:tblPr>
      <w:tblStyleRowBandSize w:val="1"/>
      <w:tblStyleColBandSize w:val="1"/>
      <w:tblBorders>
        <w:top w:val="single" w:sz="8" w:space="0" w:color="A1A1A1" w:themeColor="accent4"/>
        <w:left w:val="single" w:sz="8" w:space="0" w:color="A1A1A1" w:themeColor="accent4"/>
        <w:bottom w:val="single" w:sz="8" w:space="0" w:color="A1A1A1" w:themeColor="accent4"/>
        <w:right w:val="single" w:sz="8" w:space="0" w:color="A1A1A1" w:themeColor="accent4"/>
        <w:insideH w:val="single" w:sz="8" w:space="0" w:color="A1A1A1" w:themeColor="accent4"/>
        <w:insideV w:val="single" w:sz="8" w:space="0" w:color="A1A1A1"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1A1A1" w:themeColor="accent4"/>
          <w:left w:val="single" w:sz="8" w:space="0" w:color="A1A1A1" w:themeColor="accent4"/>
          <w:bottom w:val="single" w:sz="18" w:space="0" w:color="A1A1A1" w:themeColor="accent4"/>
          <w:right w:val="single" w:sz="8" w:space="0" w:color="A1A1A1" w:themeColor="accent4"/>
          <w:insideH w:val="nil"/>
          <w:insideV w:val="single" w:sz="8" w:space="0" w:color="A1A1A1"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1A1A1" w:themeColor="accent4"/>
          <w:left w:val="single" w:sz="8" w:space="0" w:color="A1A1A1" w:themeColor="accent4"/>
          <w:bottom w:val="single" w:sz="8" w:space="0" w:color="A1A1A1" w:themeColor="accent4"/>
          <w:right w:val="single" w:sz="8" w:space="0" w:color="A1A1A1" w:themeColor="accent4"/>
          <w:insideH w:val="nil"/>
          <w:insideV w:val="single" w:sz="8" w:space="0" w:color="A1A1A1"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1A1A1" w:themeColor="accent4"/>
          <w:left w:val="single" w:sz="8" w:space="0" w:color="A1A1A1" w:themeColor="accent4"/>
          <w:bottom w:val="single" w:sz="8" w:space="0" w:color="A1A1A1" w:themeColor="accent4"/>
          <w:right w:val="single" w:sz="8" w:space="0" w:color="A1A1A1" w:themeColor="accent4"/>
        </w:tcBorders>
      </w:tcPr>
    </w:tblStylePr>
    <w:tblStylePr w:type="band1Vert">
      <w:tblPr/>
      <w:tcPr>
        <w:tcBorders>
          <w:top w:val="single" w:sz="8" w:space="0" w:color="A1A1A1" w:themeColor="accent4"/>
          <w:left w:val="single" w:sz="8" w:space="0" w:color="A1A1A1" w:themeColor="accent4"/>
          <w:bottom w:val="single" w:sz="8" w:space="0" w:color="A1A1A1" w:themeColor="accent4"/>
          <w:right w:val="single" w:sz="8" w:space="0" w:color="A1A1A1" w:themeColor="accent4"/>
        </w:tcBorders>
        <w:shd w:val="clear" w:color="auto" w:fill="E7E7E7" w:themeFill="accent4" w:themeFillTint="3F"/>
      </w:tcPr>
    </w:tblStylePr>
    <w:tblStylePr w:type="band1Horz">
      <w:tblPr/>
      <w:tcPr>
        <w:tcBorders>
          <w:top w:val="single" w:sz="8" w:space="0" w:color="A1A1A1" w:themeColor="accent4"/>
          <w:left w:val="single" w:sz="8" w:space="0" w:color="A1A1A1" w:themeColor="accent4"/>
          <w:bottom w:val="single" w:sz="8" w:space="0" w:color="A1A1A1" w:themeColor="accent4"/>
          <w:right w:val="single" w:sz="8" w:space="0" w:color="A1A1A1" w:themeColor="accent4"/>
          <w:insideV w:val="single" w:sz="8" w:space="0" w:color="A1A1A1" w:themeColor="accent4"/>
        </w:tcBorders>
        <w:shd w:val="clear" w:color="auto" w:fill="E7E7E7" w:themeFill="accent4" w:themeFillTint="3F"/>
      </w:tcPr>
    </w:tblStylePr>
    <w:tblStylePr w:type="band2Horz">
      <w:tblPr/>
      <w:tcPr>
        <w:tcBorders>
          <w:top w:val="single" w:sz="8" w:space="0" w:color="A1A1A1" w:themeColor="accent4"/>
          <w:left w:val="single" w:sz="8" w:space="0" w:color="A1A1A1" w:themeColor="accent4"/>
          <w:bottom w:val="single" w:sz="8" w:space="0" w:color="A1A1A1" w:themeColor="accent4"/>
          <w:right w:val="single" w:sz="8" w:space="0" w:color="A1A1A1" w:themeColor="accent4"/>
          <w:insideV w:val="single" w:sz="8" w:space="0" w:color="A1A1A1" w:themeColor="accent4"/>
        </w:tcBorders>
      </w:tcPr>
    </w:tblStylePr>
  </w:style>
  <w:style w:type="table" w:styleId="LightGrid-Accent5">
    <w:name w:val="Light Grid Accent 5"/>
    <w:basedOn w:val="TableNormal"/>
    <w:uiPriority w:val="98"/>
    <w:semiHidden/>
    <w:unhideWhenUsed/>
    <w:rsid w:val="001F6DC1"/>
    <w:tblPr>
      <w:tblStyleRowBandSize w:val="1"/>
      <w:tblStyleColBandSize w:val="1"/>
      <w:tblBorders>
        <w:top w:val="single" w:sz="8" w:space="0" w:color="63D0DF" w:themeColor="accent5"/>
        <w:left w:val="single" w:sz="8" w:space="0" w:color="63D0DF" w:themeColor="accent5"/>
        <w:bottom w:val="single" w:sz="8" w:space="0" w:color="63D0DF" w:themeColor="accent5"/>
        <w:right w:val="single" w:sz="8" w:space="0" w:color="63D0DF" w:themeColor="accent5"/>
        <w:insideH w:val="single" w:sz="8" w:space="0" w:color="63D0DF" w:themeColor="accent5"/>
        <w:insideV w:val="single" w:sz="8" w:space="0" w:color="63D0D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3D0DF" w:themeColor="accent5"/>
          <w:left w:val="single" w:sz="8" w:space="0" w:color="63D0DF" w:themeColor="accent5"/>
          <w:bottom w:val="single" w:sz="18" w:space="0" w:color="63D0DF" w:themeColor="accent5"/>
          <w:right w:val="single" w:sz="8" w:space="0" w:color="63D0DF" w:themeColor="accent5"/>
          <w:insideH w:val="nil"/>
          <w:insideV w:val="single" w:sz="8" w:space="0" w:color="63D0D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3D0DF" w:themeColor="accent5"/>
          <w:left w:val="single" w:sz="8" w:space="0" w:color="63D0DF" w:themeColor="accent5"/>
          <w:bottom w:val="single" w:sz="8" w:space="0" w:color="63D0DF" w:themeColor="accent5"/>
          <w:right w:val="single" w:sz="8" w:space="0" w:color="63D0DF" w:themeColor="accent5"/>
          <w:insideH w:val="nil"/>
          <w:insideV w:val="single" w:sz="8" w:space="0" w:color="63D0D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3D0DF" w:themeColor="accent5"/>
          <w:left w:val="single" w:sz="8" w:space="0" w:color="63D0DF" w:themeColor="accent5"/>
          <w:bottom w:val="single" w:sz="8" w:space="0" w:color="63D0DF" w:themeColor="accent5"/>
          <w:right w:val="single" w:sz="8" w:space="0" w:color="63D0DF" w:themeColor="accent5"/>
        </w:tcBorders>
      </w:tcPr>
    </w:tblStylePr>
    <w:tblStylePr w:type="band1Vert">
      <w:tblPr/>
      <w:tcPr>
        <w:tcBorders>
          <w:top w:val="single" w:sz="8" w:space="0" w:color="63D0DF" w:themeColor="accent5"/>
          <w:left w:val="single" w:sz="8" w:space="0" w:color="63D0DF" w:themeColor="accent5"/>
          <w:bottom w:val="single" w:sz="8" w:space="0" w:color="63D0DF" w:themeColor="accent5"/>
          <w:right w:val="single" w:sz="8" w:space="0" w:color="63D0DF" w:themeColor="accent5"/>
        </w:tcBorders>
        <w:shd w:val="clear" w:color="auto" w:fill="D8F3F7" w:themeFill="accent5" w:themeFillTint="3F"/>
      </w:tcPr>
    </w:tblStylePr>
    <w:tblStylePr w:type="band1Horz">
      <w:tblPr/>
      <w:tcPr>
        <w:tcBorders>
          <w:top w:val="single" w:sz="8" w:space="0" w:color="63D0DF" w:themeColor="accent5"/>
          <w:left w:val="single" w:sz="8" w:space="0" w:color="63D0DF" w:themeColor="accent5"/>
          <w:bottom w:val="single" w:sz="8" w:space="0" w:color="63D0DF" w:themeColor="accent5"/>
          <w:right w:val="single" w:sz="8" w:space="0" w:color="63D0DF" w:themeColor="accent5"/>
          <w:insideV w:val="single" w:sz="8" w:space="0" w:color="63D0DF" w:themeColor="accent5"/>
        </w:tcBorders>
        <w:shd w:val="clear" w:color="auto" w:fill="D8F3F7" w:themeFill="accent5" w:themeFillTint="3F"/>
      </w:tcPr>
    </w:tblStylePr>
    <w:tblStylePr w:type="band2Horz">
      <w:tblPr/>
      <w:tcPr>
        <w:tcBorders>
          <w:top w:val="single" w:sz="8" w:space="0" w:color="63D0DF" w:themeColor="accent5"/>
          <w:left w:val="single" w:sz="8" w:space="0" w:color="63D0DF" w:themeColor="accent5"/>
          <w:bottom w:val="single" w:sz="8" w:space="0" w:color="63D0DF" w:themeColor="accent5"/>
          <w:right w:val="single" w:sz="8" w:space="0" w:color="63D0DF" w:themeColor="accent5"/>
          <w:insideV w:val="single" w:sz="8" w:space="0" w:color="63D0DF" w:themeColor="accent5"/>
        </w:tcBorders>
      </w:tcPr>
    </w:tblStylePr>
  </w:style>
  <w:style w:type="table" w:styleId="LightGrid-Accent6">
    <w:name w:val="Light Grid Accent 6"/>
    <w:basedOn w:val="TableNormal"/>
    <w:uiPriority w:val="98"/>
    <w:semiHidden/>
    <w:unhideWhenUsed/>
    <w:rsid w:val="001F6DC1"/>
    <w:tblPr>
      <w:tblStyleRowBandSize w:val="1"/>
      <w:tblStyleColBandSize w:val="1"/>
      <w:tblBorders>
        <w:top w:val="single" w:sz="8" w:space="0" w:color="A1A1A1" w:themeColor="accent6"/>
        <w:left w:val="single" w:sz="8" w:space="0" w:color="A1A1A1" w:themeColor="accent6"/>
        <w:bottom w:val="single" w:sz="8" w:space="0" w:color="A1A1A1" w:themeColor="accent6"/>
        <w:right w:val="single" w:sz="8" w:space="0" w:color="A1A1A1" w:themeColor="accent6"/>
        <w:insideH w:val="single" w:sz="8" w:space="0" w:color="A1A1A1" w:themeColor="accent6"/>
        <w:insideV w:val="single" w:sz="8" w:space="0" w:color="A1A1A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1A1A1" w:themeColor="accent6"/>
          <w:left w:val="single" w:sz="8" w:space="0" w:color="A1A1A1" w:themeColor="accent6"/>
          <w:bottom w:val="single" w:sz="18" w:space="0" w:color="A1A1A1" w:themeColor="accent6"/>
          <w:right w:val="single" w:sz="8" w:space="0" w:color="A1A1A1" w:themeColor="accent6"/>
          <w:insideH w:val="nil"/>
          <w:insideV w:val="single" w:sz="8" w:space="0" w:color="A1A1A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1A1A1" w:themeColor="accent6"/>
          <w:left w:val="single" w:sz="8" w:space="0" w:color="A1A1A1" w:themeColor="accent6"/>
          <w:bottom w:val="single" w:sz="8" w:space="0" w:color="A1A1A1" w:themeColor="accent6"/>
          <w:right w:val="single" w:sz="8" w:space="0" w:color="A1A1A1" w:themeColor="accent6"/>
          <w:insideH w:val="nil"/>
          <w:insideV w:val="single" w:sz="8" w:space="0" w:color="A1A1A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1A1A1" w:themeColor="accent6"/>
          <w:left w:val="single" w:sz="8" w:space="0" w:color="A1A1A1" w:themeColor="accent6"/>
          <w:bottom w:val="single" w:sz="8" w:space="0" w:color="A1A1A1" w:themeColor="accent6"/>
          <w:right w:val="single" w:sz="8" w:space="0" w:color="A1A1A1" w:themeColor="accent6"/>
        </w:tcBorders>
      </w:tcPr>
    </w:tblStylePr>
    <w:tblStylePr w:type="band1Vert">
      <w:tblPr/>
      <w:tcPr>
        <w:tcBorders>
          <w:top w:val="single" w:sz="8" w:space="0" w:color="A1A1A1" w:themeColor="accent6"/>
          <w:left w:val="single" w:sz="8" w:space="0" w:color="A1A1A1" w:themeColor="accent6"/>
          <w:bottom w:val="single" w:sz="8" w:space="0" w:color="A1A1A1" w:themeColor="accent6"/>
          <w:right w:val="single" w:sz="8" w:space="0" w:color="A1A1A1" w:themeColor="accent6"/>
        </w:tcBorders>
        <w:shd w:val="clear" w:color="auto" w:fill="E7E7E7" w:themeFill="accent6" w:themeFillTint="3F"/>
      </w:tcPr>
    </w:tblStylePr>
    <w:tblStylePr w:type="band1Horz">
      <w:tblPr/>
      <w:tcPr>
        <w:tcBorders>
          <w:top w:val="single" w:sz="8" w:space="0" w:color="A1A1A1" w:themeColor="accent6"/>
          <w:left w:val="single" w:sz="8" w:space="0" w:color="A1A1A1" w:themeColor="accent6"/>
          <w:bottom w:val="single" w:sz="8" w:space="0" w:color="A1A1A1" w:themeColor="accent6"/>
          <w:right w:val="single" w:sz="8" w:space="0" w:color="A1A1A1" w:themeColor="accent6"/>
          <w:insideV w:val="single" w:sz="8" w:space="0" w:color="A1A1A1" w:themeColor="accent6"/>
        </w:tcBorders>
        <w:shd w:val="clear" w:color="auto" w:fill="E7E7E7" w:themeFill="accent6" w:themeFillTint="3F"/>
      </w:tcPr>
    </w:tblStylePr>
    <w:tblStylePr w:type="band2Horz">
      <w:tblPr/>
      <w:tcPr>
        <w:tcBorders>
          <w:top w:val="single" w:sz="8" w:space="0" w:color="A1A1A1" w:themeColor="accent6"/>
          <w:left w:val="single" w:sz="8" w:space="0" w:color="A1A1A1" w:themeColor="accent6"/>
          <w:bottom w:val="single" w:sz="8" w:space="0" w:color="A1A1A1" w:themeColor="accent6"/>
          <w:right w:val="single" w:sz="8" w:space="0" w:color="A1A1A1" w:themeColor="accent6"/>
          <w:insideV w:val="single" w:sz="8" w:space="0" w:color="A1A1A1" w:themeColor="accent6"/>
        </w:tcBorders>
      </w:tcPr>
    </w:tblStylePr>
  </w:style>
  <w:style w:type="table" w:styleId="LightList">
    <w:name w:val="Light List"/>
    <w:basedOn w:val="TableNormal"/>
    <w:uiPriority w:val="98"/>
    <w:semiHidden/>
    <w:unhideWhenUsed/>
    <w:rsid w:val="001F6DC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98"/>
    <w:semiHidden/>
    <w:unhideWhenUsed/>
    <w:rsid w:val="001F6DC1"/>
    <w:tblPr>
      <w:tblStyleRowBandSize w:val="1"/>
      <w:tblStyleColBandSize w:val="1"/>
      <w:tblBorders>
        <w:top w:val="single" w:sz="8" w:space="0" w:color="63D0DF" w:themeColor="accent1"/>
        <w:left w:val="single" w:sz="8" w:space="0" w:color="63D0DF" w:themeColor="accent1"/>
        <w:bottom w:val="single" w:sz="8" w:space="0" w:color="63D0DF" w:themeColor="accent1"/>
        <w:right w:val="single" w:sz="8" w:space="0" w:color="63D0DF" w:themeColor="accent1"/>
      </w:tblBorders>
    </w:tblPr>
    <w:tblStylePr w:type="firstRow">
      <w:pPr>
        <w:spacing w:before="0" w:after="0" w:line="240" w:lineRule="auto"/>
      </w:pPr>
      <w:rPr>
        <w:b/>
        <w:bCs/>
        <w:color w:val="FFFFFF" w:themeColor="background1"/>
      </w:rPr>
      <w:tblPr/>
      <w:tcPr>
        <w:shd w:val="clear" w:color="auto" w:fill="63D0DF" w:themeFill="accent1"/>
      </w:tcPr>
    </w:tblStylePr>
    <w:tblStylePr w:type="lastRow">
      <w:pPr>
        <w:spacing w:before="0" w:after="0" w:line="240" w:lineRule="auto"/>
      </w:pPr>
      <w:rPr>
        <w:b/>
        <w:bCs/>
      </w:rPr>
      <w:tblPr/>
      <w:tcPr>
        <w:tcBorders>
          <w:top w:val="double" w:sz="6" w:space="0" w:color="63D0DF" w:themeColor="accent1"/>
          <w:left w:val="single" w:sz="8" w:space="0" w:color="63D0DF" w:themeColor="accent1"/>
          <w:bottom w:val="single" w:sz="8" w:space="0" w:color="63D0DF" w:themeColor="accent1"/>
          <w:right w:val="single" w:sz="8" w:space="0" w:color="63D0DF" w:themeColor="accent1"/>
        </w:tcBorders>
      </w:tcPr>
    </w:tblStylePr>
    <w:tblStylePr w:type="firstCol">
      <w:rPr>
        <w:b/>
        <w:bCs/>
      </w:rPr>
    </w:tblStylePr>
    <w:tblStylePr w:type="lastCol">
      <w:rPr>
        <w:b/>
        <w:bCs/>
      </w:rPr>
    </w:tblStylePr>
    <w:tblStylePr w:type="band1Vert">
      <w:tblPr/>
      <w:tcPr>
        <w:tcBorders>
          <w:top w:val="single" w:sz="8" w:space="0" w:color="63D0DF" w:themeColor="accent1"/>
          <w:left w:val="single" w:sz="8" w:space="0" w:color="63D0DF" w:themeColor="accent1"/>
          <w:bottom w:val="single" w:sz="8" w:space="0" w:color="63D0DF" w:themeColor="accent1"/>
          <w:right w:val="single" w:sz="8" w:space="0" w:color="63D0DF" w:themeColor="accent1"/>
        </w:tcBorders>
      </w:tcPr>
    </w:tblStylePr>
    <w:tblStylePr w:type="band1Horz">
      <w:tblPr/>
      <w:tcPr>
        <w:tcBorders>
          <w:top w:val="single" w:sz="8" w:space="0" w:color="63D0DF" w:themeColor="accent1"/>
          <w:left w:val="single" w:sz="8" w:space="0" w:color="63D0DF" w:themeColor="accent1"/>
          <w:bottom w:val="single" w:sz="8" w:space="0" w:color="63D0DF" w:themeColor="accent1"/>
          <w:right w:val="single" w:sz="8" w:space="0" w:color="63D0DF" w:themeColor="accent1"/>
        </w:tcBorders>
      </w:tcPr>
    </w:tblStylePr>
  </w:style>
  <w:style w:type="table" w:styleId="LightList-Accent2">
    <w:name w:val="Light List Accent 2"/>
    <w:basedOn w:val="TableNormal"/>
    <w:uiPriority w:val="98"/>
    <w:semiHidden/>
    <w:unhideWhenUsed/>
    <w:rsid w:val="001F6DC1"/>
    <w:tblPr>
      <w:tblStyleRowBandSize w:val="1"/>
      <w:tblStyleColBandSize w:val="1"/>
      <w:tblBorders>
        <w:top w:val="single" w:sz="8" w:space="0" w:color="C9C9CA" w:themeColor="accent2"/>
        <w:left w:val="single" w:sz="8" w:space="0" w:color="C9C9CA" w:themeColor="accent2"/>
        <w:bottom w:val="single" w:sz="8" w:space="0" w:color="C9C9CA" w:themeColor="accent2"/>
        <w:right w:val="single" w:sz="8" w:space="0" w:color="C9C9CA" w:themeColor="accent2"/>
      </w:tblBorders>
    </w:tblPr>
    <w:tblStylePr w:type="firstRow">
      <w:pPr>
        <w:spacing w:before="0" w:after="0" w:line="240" w:lineRule="auto"/>
      </w:pPr>
      <w:rPr>
        <w:b/>
        <w:bCs/>
        <w:color w:val="FFFFFF" w:themeColor="background1"/>
      </w:rPr>
      <w:tblPr/>
      <w:tcPr>
        <w:shd w:val="clear" w:color="auto" w:fill="C9C9CA" w:themeFill="accent2"/>
      </w:tcPr>
    </w:tblStylePr>
    <w:tblStylePr w:type="lastRow">
      <w:pPr>
        <w:spacing w:before="0" w:after="0" w:line="240" w:lineRule="auto"/>
      </w:pPr>
      <w:rPr>
        <w:b/>
        <w:bCs/>
      </w:rPr>
      <w:tblPr/>
      <w:tcPr>
        <w:tcBorders>
          <w:top w:val="double" w:sz="6" w:space="0" w:color="C9C9CA" w:themeColor="accent2"/>
          <w:left w:val="single" w:sz="8" w:space="0" w:color="C9C9CA" w:themeColor="accent2"/>
          <w:bottom w:val="single" w:sz="8" w:space="0" w:color="C9C9CA" w:themeColor="accent2"/>
          <w:right w:val="single" w:sz="8" w:space="0" w:color="C9C9CA" w:themeColor="accent2"/>
        </w:tcBorders>
      </w:tcPr>
    </w:tblStylePr>
    <w:tblStylePr w:type="firstCol">
      <w:rPr>
        <w:b/>
        <w:bCs/>
      </w:rPr>
    </w:tblStylePr>
    <w:tblStylePr w:type="lastCol">
      <w:rPr>
        <w:b/>
        <w:bCs/>
      </w:rPr>
    </w:tblStylePr>
    <w:tblStylePr w:type="band1Vert">
      <w:tblPr/>
      <w:tcPr>
        <w:tcBorders>
          <w:top w:val="single" w:sz="8" w:space="0" w:color="C9C9CA" w:themeColor="accent2"/>
          <w:left w:val="single" w:sz="8" w:space="0" w:color="C9C9CA" w:themeColor="accent2"/>
          <w:bottom w:val="single" w:sz="8" w:space="0" w:color="C9C9CA" w:themeColor="accent2"/>
          <w:right w:val="single" w:sz="8" w:space="0" w:color="C9C9CA" w:themeColor="accent2"/>
        </w:tcBorders>
      </w:tcPr>
    </w:tblStylePr>
    <w:tblStylePr w:type="band1Horz">
      <w:tblPr/>
      <w:tcPr>
        <w:tcBorders>
          <w:top w:val="single" w:sz="8" w:space="0" w:color="C9C9CA" w:themeColor="accent2"/>
          <w:left w:val="single" w:sz="8" w:space="0" w:color="C9C9CA" w:themeColor="accent2"/>
          <w:bottom w:val="single" w:sz="8" w:space="0" w:color="C9C9CA" w:themeColor="accent2"/>
          <w:right w:val="single" w:sz="8" w:space="0" w:color="C9C9CA" w:themeColor="accent2"/>
        </w:tcBorders>
      </w:tcPr>
    </w:tblStylePr>
  </w:style>
  <w:style w:type="table" w:styleId="LightList-Accent3">
    <w:name w:val="Light List Accent 3"/>
    <w:basedOn w:val="TableNormal"/>
    <w:uiPriority w:val="98"/>
    <w:semiHidden/>
    <w:unhideWhenUsed/>
    <w:rsid w:val="001F6DC1"/>
    <w:tblPr>
      <w:tblStyleRowBandSize w:val="1"/>
      <w:tblStyleColBandSize w:val="1"/>
      <w:tblBorders>
        <w:top w:val="single" w:sz="8" w:space="0" w:color="63D0DF" w:themeColor="accent3"/>
        <w:left w:val="single" w:sz="8" w:space="0" w:color="63D0DF" w:themeColor="accent3"/>
        <w:bottom w:val="single" w:sz="8" w:space="0" w:color="63D0DF" w:themeColor="accent3"/>
        <w:right w:val="single" w:sz="8" w:space="0" w:color="63D0DF" w:themeColor="accent3"/>
      </w:tblBorders>
    </w:tblPr>
    <w:tblStylePr w:type="firstRow">
      <w:pPr>
        <w:spacing w:before="0" w:after="0" w:line="240" w:lineRule="auto"/>
      </w:pPr>
      <w:rPr>
        <w:b/>
        <w:bCs/>
        <w:color w:val="FFFFFF" w:themeColor="background1"/>
      </w:rPr>
      <w:tblPr/>
      <w:tcPr>
        <w:shd w:val="clear" w:color="auto" w:fill="63D0DF" w:themeFill="accent3"/>
      </w:tcPr>
    </w:tblStylePr>
    <w:tblStylePr w:type="lastRow">
      <w:pPr>
        <w:spacing w:before="0" w:after="0" w:line="240" w:lineRule="auto"/>
      </w:pPr>
      <w:rPr>
        <w:b/>
        <w:bCs/>
      </w:rPr>
      <w:tblPr/>
      <w:tcPr>
        <w:tcBorders>
          <w:top w:val="double" w:sz="6" w:space="0" w:color="63D0DF" w:themeColor="accent3"/>
          <w:left w:val="single" w:sz="8" w:space="0" w:color="63D0DF" w:themeColor="accent3"/>
          <w:bottom w:val="single" w:sz="8" w:space="0" w:color="63D0DF" w:themeColor="accent3"/>
          <w:right w:val="single" w:sz="8" w:space="0" w:color="63D0DF" w:themeColor="accent3"/>
        </w:tcBorders>
      </w:tcPr>
    </w:tblStylePr>
    <w:tblStylePr w:type="firstCol">
      <w:rPr>
        <w:b/>
        <w:bCs/>
      </w:rPr>
    </w:tblStylePr>
    <w:tblStylePr w:type="lastCol">
      <w:rPr>
        <w:b/>
        <w:bCs/>
      </w:rPr>
    </w:tblStylePr>
    <w:tblStylePr w:type="band1Vert">
      <w:tblPr/>
      <w:tcPr>
        <w:tcBorders>
          <w:top w:val="single" w:sz="8" w:space="0" w:color="63D0DF" w:themeColor="accent3"/>
          <w:left w:val="single" w:sz="8" w:space="0" w:color="63D0DF" w:themeColor="accent3"/>
          <w:bottom w:val="single" w:sz="8" w:space="0" w:color="63D0DF" w:themeColor="accent3"/>
          <w:right w:val="single" w:sz="8" w:space="0" w:color="63D0DF" w:themeColor="accent3"/>
        </w:tcBorders>
      </w:tcPr>
    </w:tblStylePr>
    <w:tblStylePr w:type="band1Horz">
      <w:tblPr/>
      <w:tcPr>
        <w:tcBorders>
          <w:top w:val="single" w:sz="8" w:space="0" w:color="63D0DF" w:themeColor="accent3"/>
          <w:left w:val="single" w:sz="8" w:space="0" w:color="63D0DF" w:themeColor="accent3"/>
          <w:bottom w:val="single" w:sz="8" w:space="0" w:color="63D0DF" w:themeColor="accent3"/>
          <w:right w:val="single" w:sz="8" w:space="0" w:color="63D0DF" w:themeColor="accent3"/>
        </w:tcBorders>
      </w:tcPr>
    </w:tblStylePr>
  </w:style>
  <w:style w:type="table" w:styleId="LightList-Accent4">
    <w:name w:val="Light List Accent 4"/>
    <w:basedOn w:val="TableNormal"/>
    <w:uiPriority w:val="98"/>
    <w:semiHidden/>
    <w:unhideWhenUsed/>
    <w:rsid w:val="001F6DC1"/>
    <w:tblPr>
      <w:tblStyleRowBandSize w:val="1"/>
      <w:tblStyleColBandSize w:val="1"/>
      <w:tblBorders>
        <w:top w:val="single" w:sz="8" w:space="0" w:color="A1A1A1" w:themeColor="accent4"/>
        <w:left w:val="single" w:sz="8" w:space="0" w:color="A1A1A1" w:themeColor="accent4"/>
        <w:bottom w:val="single" w:sz="8" w:space="0" w:color="A1A1A1" w:themeColor="accent4"/>
        <w:right w:val="single" w:sz="8" w:space="0" w:color="A1A1A1" w:themeColor="accent4"/>
      </w:tblBorders>
    </w:tblPr>
    <w:tblStylePr w:type="firstRow">
      <w:pPr>
        <w:spacing w:before="0" w:after="0" w:line="240" w:lineRule="auto"/>
      </w:pPr>
      <w:rPr>
        <w:b/>
        <w:bCs/>
        <w:color w:val="FFFFFF" w:themeColor="background1"/>
      </w:rPr>
      <w:tblPr/>
      <w:tcPr>
        <w:shd w:val="clear" w:color="auto" w:fill="A1A1A1" w:themeFill="accent4"/>
      </w:tcPr>
    </w:tblStylePr>
    <w:tblStylePr w:type="lastRow">
      <w:pPr>
        <w:spacing w:before="0" w:after="0" w:line="240" w:lineRule="auto"/>
      </w:pPr>
      <w:rPr>
        <w:b/>
        <w:bCs/>
      </w:rPr>
      <w:tblPr/>
      <w:tcPr>
        <w:tcBorders>
          <w:top w:val="double" w:sz="6" w:space="0" w:color="A1A1A1" w:themeColor="accent4"/>
          <w:left w:val="single" w:sz="8" w:space="0" w:color="A1A1A1" w:themeColor="accent4"/>
          <w:bottom w:val="single" w:sz="8" w:space="0" w:color="A1A1A1" w:themeColor="accent4"/>
          <w:right w:val="single" w:sz="8" w:space="0" w:color="A1A1A1" w:themeColor="accent4"/>
        </w:tcBorders>
      </w:tcPr>
    </w:tblStylePr>
    <w:tblStylePr w:type="firstCol">
      <w:rPr>
        <w:b/>
        <w:bCs/>
      </w:rPr>
    </w:tblStylePr>
    <w:tblStylePr w:type="lastCol">
      <w:rPr>
        <w:b/>
        <w:bCs/>
      </w:rPr>
    </w:tblStylePr>
    <w:tblStylePr w:type="band1Vert">
      <w:tblPr/>
      <w:tcPr>
        <w:tcBorders>
          <w:top w:val="single" w:sz="8" w:space="0" w:color="A1A1A1" w:themeColor="accent4"/>
          <w:left w:val="single" w:sz="8" w:space="0" w:color="A1A1A1" w:themeColor="accent4"/>
          <w:bottom w:val="single" w:sz="8" w:space="0" w:color="A1A1A1" w:themeColor="accent4"/>
          <w:right w:val="single" w:sz="8" w:space="0" w:color="A1A1A1" w:themeColor="accent4"/>
        </w:tcBorders>
      </w:tcPr>
    </w:tblStylePr>
    <w:tblStylePr w:type="band1Horz">
      <w:tblPr/>
      <w:tcPr>
        <w:tcBorders>
          <w:top w:val="single" w:sz="8" w:space="0" w:color="A1A1A1" w:themeColor="accent4"/>
          <w:left w:val="single" w:sz="8" w:space="0" w:color="A1A1A1" w:themeColor="accent4"/>
          <w:bottom w:val="single" w:sz="8" w:space="0" w:color="A1A1A1" w:themeColor="accent4"/>
          <w:right w:val="single" w:sz="8" w:space="0" w:color="A1A1A1" w:themeColor="accent4"/>
        </w:tcBorders>
      </w:tcPr>
    </w:tblStylePr>
  </w:style>
  <w:style w:type="table" w:styleId="LightList-Accent5">
    <w:name w:val="Light List Accent 5"/>
    <w:basedOn w:val="TableNormal"/>
    <w:uiPriority w:val="98"/>
    <w:semiHidden/>
    <w:unhideWhenUsed/>
    <w:rsid w:val="001F6DC1"/>
    <w:tblPr>
      <w:tblStyleRowBandSize w:val="1"/>
      <w:tblStyleColBandSize w:val="1"/>
      <w:tblBorders>
        <w:top w:val="single" w:sz="8" w:space="0" w:color="63D0DF" w:themeColor="accent5"/>
        <w:left w:val="single" w:sz="8" w:space="0" w:color="63D0DF" w:themeColor="accent5"/>
        <w:bottom w:val="single" w:sz="8" w:space="0" w:color="63D0DF" w:themeColor="accent5"/>
        <w:right w:val="single" w:sz="8" w:space="0" w:color="63D0DF" w:themeColor="accent5"/>
      </w:tblBorders>
    </w:tblPr>
    <w:tblStylePr w:type="firstRow">
      <w:pPr>
        <w:spacing w:before="0" w:after="0" w:line="240" w:lineRule="auto"/>
      </w:pPr>
      <w:rPr>
        <w:b/>
        <w:bCs/>
        <w:color w:val="FFFFFF" w:themeColor="background1"/>
      </w:rPr>
      <w:tblPr/>
      <w:tcPr>
        <w:shd w:val="clear" w:color="auto" w:fill="63D0DF" w:themeFill="accent5"/>
      </w:tcPr>
    </w:tblStylePr>
    <w:tblStylePr w:type="lastRow">
      <w:pPr>
        <w:spacing w:before="0" w:after="0" w:line="240" w:lineRule="auto"/>
      </w:pPr>
      <w:rPr>
        <w:b/>
        <w:bCs/>
      </w:rPr>
      <w:tblPr/>
      <w:tcPr>
        <w:tcBorders>
          <w:top w:val="double" w:sz="6" w:space="0" w:color="63D0DF" w:themeColor="accent5"/>
          <w:left w:val="single" w:sz="8" w:space="0" w:color="63D0DF" w:themeColor="accent5"/>
          <w:bottom w:val="single" w:sz="8" w:space="0" w:color="63D0DF" w:themeColor="accent5"/>
          <w:right w:val="single" w:sz="8" w:space="0" w:color="63D0DF" w:themeColor="accent5"/>
        </w:tcBorders>
      </w:tcPr>
    </w:tblStylePr>
    <w:tblStylePr w:type="firstCol">
      <w:rPr>
        <w:b/>
        <w:bCs/>
      </w:rPr>
    </w:tblStylePr>
    <w:tblStylePr w:type="lastCol">
      <w:rPr>
        <w:b/>
        <w:bCs/>
      </w:rPr>
    </w:tblStylePr>
    <w:tblStylePr w:type="band1Vert">
      <w:tblPr/>
      <w:tcPr>
        <w:tcBorders>
          <w:top w:val="single" w:sz="8" w:space="0" w:color="63D0DF" w:themeColor="accent5"/>
          <w:left w:val="single" w:sz="8" w:space="0" w:color="63D0DF" w:themeColor="accent5"/>
          <w:bottom w:val="single" w:sz="8" w:space="0" w:color="63D0DF" w:themeColor="accent5"/>
          <w:right w:val="single" w:sz="8" w:space="0" w:color="63D0DF" w:themeColor="accent5"/>
        </w:tcBorders>
      </w:tcPr>
    </w:tblStylePr>
    <w:tblStylePr w:type="band1Horz">
      <w:tblPr/>
      <w:tcPr>
        <w:tcBorders>
          <w:top w:val="single" w:sz="8" w:space="0" w:color="63D0DF" w:themeColor="accent5"/>
          <w:left w:val="single" w:sz="8" w:space="0" w:color="63D0DF" w:themeColor="accent5"/>
          <w:bottom w:val="single" w:sz="8" w:space="0" w:color="63D0DF" w:themeColor="accent5"/>
          <w:right w:val="single" w:sz="8" w:space="0" w:color="63D0DF" w:themeColor="accent5"/>
        </w:tcBorders>
      </w:tcPr>
    </w:tblStylePr>
  </w:style>
  <w:style w:type="table" w:styleId="LightList-Accent6">
    <w:name w:val="Light List Accent 6"/>
    <w:basedOn w:val="TableNormal"/>
    <w:uiPriority w:val="98"/>
    <w:semiHidden/>
    <w:unhideWhenUsed/>
    <w:rsid w:val="001F6DC1"/>
    <w:tblPr>
      <w:tblStyleRowBandSize w:val="1"/>
      <w:tblStyleColBandSize w:val="1"/>
      <w:tblBorders>
        <w:top w:val="single" w:sz="8" w:space="0" w:color="A1A1A1" w:themeColor="accent6"/>
        <w:left w:val="single" w:sz="8" w:space="0" w:color="A1A1A1" w:themeColor="accent6"/>
        <w:bottom w:val="single" w:sz="8" w:space="0" w:color="A1A1A1" w:themeColor="accent6"/>
        <w:right w:val="single" w:sz="8" w:space="0" w:color="A1A1A1" w:themeColor="accent6"/>
      </w:tblBorders>
    </w:tblPr>
    <w:tblStylePr w:type="firstRow">
      <w:pPr>
        <w:spacing w:before="0" w:after="0" w:line="240" w:lineRule="auto"/>
      </w:pPr>
      <w:rPr>
        <w:b/>
        <w:bCs/>
        <w:color w:val="FFFFFF" w:themeColor="background1"/>
      </w:rPr>
      <w:tblPr/>
      <w:tcPr>
        <w:shd w:val="clear" w:color="auto" w:fill="A1A1A1" w:themeFill="accent6"/>
      </w:tcPr>
    </w:tblStylePr>
    <w:tblStylePr w:type="lastRow">
      <w:pPr>
        <w:spacing w:before="0" w:after="0" w:line="240" w:lineRule="auto"/>
      </w:pPr>
      <w:rPr>
        <w:b/>
        <w:bCs/>
      </w:rPr>
      <w:tblPr/>
      <w:tcPr>
        <w:tcBorders>
          <w:top w:val="double" w:sz="6" w:space="0" w:color="A1A1A1" w:themeColor="accent6"/>
          <w:left w:val="single" w:sz="8" w:space="0" w:color="A1A1A1" w:themeColor="accent6"/>
          <w:bottom w:val="single" w:sz="8" w:space="0" w:color="A1A1A1" w:themeColor="accent6"/>
          <w:right w:val="single" w:sz="8" w:space="0" w:color="A1A1A1" w:themeColor="accent6"/>
        </w:tcBorders>
      </w:tcPr>
    </w:tblStylePr>
    <w:tblStylePr w:type="firstCol">
      <w:rPr>
        <w:b/>
        <w:bCs/>
      </w:rPr>
    </w:tblStylePr>
    <w:tblStylePr w:type="lastCol">
      <w:rPr>
        <w:b/>
        <w:bCs/>
      </w:rPr>
    </w:tblStylePr>
    <w:tblStylePr w:type="band1Vert">
      <w:tblPr/>
      <w:tcPr>
        <w:tcBorders>
          <w:top w:val="single" w:sz="8" w:space="0" w:color="A1A1A1" w:themeColor="accent6"/>
          <w:left w:val="single" w:sz="8" w:space="0" w:color="A1A1A1" w:themeColor="accent6"/>
          <w:bottom w:val="single" w:sz="8" w:space="0" w:color="A1A1A1" w:themeColor="accent6"/>
          <w:right w:val="single" w:sz="8" w:space="0" w:color="A1A1A1" w:themeColor="accent6"/>
        </w:tcBorders>
      </w:tcPr>
    </w:tblStylePr>
    <w:tblStylePr w:type="band1Horz">
      <w:tblPr/>
      <w:tcPr>
        <w:tcBorders>
          <w:top w:val="single" w:sz="8" w:space="0" w:color="A1A1A1" w:themeColor="accent6"/>
          <w:left w:val="single" w:sz="8" w:space="0" w:color="A1A1A1" w:themeColor="accent6"/>
          <w:bottom w:val="single" w:sz="8" w:space="0" w:color="A1A1A1" w:themeColor="accent6"/>
          <w:right w:val="single" w:sz="8" w:space="0" w:color="A1A1A1" w:themeColor="accent6"/>
        </w:tcBorders>
      </w:tcPr>
    </w:tblStylePr>
  </w:style>
  <w:style w:type="table" w:styleId="LightShading">
    <w:name w:val="Light Shading"/>
    <w:basedOn w:val="TableNormal"/>
    <w:uiPriority w:val="98"/>
    <w:semiHidden/>
    <w:unhideWhenUsed/>
    <w:rsid w:val="001F6DC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98"/>
    <w:semiHidden/>
    <w:unhideWhenUsed/>
    <w:rsid w:val="001F6DC1"/>
    <w:rPr>
      <w:color w:val="29B4C7" w:themeColor="accent1" w:themeShade="BF"/>
    </w:rPr>
    <w:tblPr>
      <w:tblStyleRowBandSize w:val="1"/>
      <w:tblStyleColBandSize w:val="1"/>
      <w:tblBorders>
        <w:top w:val="single" w:sz="8" w:space="0" w:color="63D0DF" w:themeColor="accent1"/>
        <w:bottom w:val="single" w:sz="8" w:space="0" w:color="63D0DF" w:themeColor="accent1"/>
      </w:tblBorders>
    </w:tblPr>
    <w:tblStylePr w:type="firstRow">
      <w:pPr>
        <w:spacing w:before="0" w:after="0" w:line="240" w:lineRule="auto"/>
      </w:pPr>
      <w:rPr>
        <w:b/>
        <w:bCs/>
      </w:rPr>
      <w:tblPr/>
      <w:tcPr>
        <w:tcBorders>
          <w:top w:val="single" w:sz="8" w:space="0" w:color="63D0DF" w:themeColor="accent1"/>
          <w:left w:val="nil"/>
          <w:bottom w:val="single" w:sz="8" w:space="0" w:color="63D0DF" w:themeColor="accent1"/>
          <w:right w:val="nil"/>
          <w:insideH w:val="nil"/>
          <w:insideV w:val="nil"/>
        </w:tcBorders>
      </w:tcPr>
    </w:tblStylePr>
    <w:tblStylePr w:type="lastRow">
      <w:pPr>
        <w:spacing w:before="0" w:after="0" w:line="240" w:lineRule="auto"/>
      </w:pPr>
      <w:rPr>
        <w:b/>
        <w:bCs/>
      </w:rPr>
      <w:tblPr/>
      <w:tcPr>
        <w:tcBorders>
          <w:top w:val="single" w:sz="8" w:space="0" w:color="63D0DF" w:themeColor="accent1"/>
          <w:left w:val="nil"/>
          <w:bottom w:val="single" w:sz="8" w:space="0" w:color="63D0D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F3F7" w:themeFill="accent1" w:themeFillTint="3F"/>
      </w:tcPr>
    </w:tblStylePr>
    <w:tblStylePr w:type="band1Horz">
      <w:tblPr/>
      <w:tcPr>
        <w:tcBorders>
          <w:left w:val="nil"/>
          <w:right w:val="nil"/>
          <w:insideH w:val="nil"/>
          <w:insideV w:val="nil"/>
        </w:tcBorders>
        <w:shd w:val="clear" w:color="auto" w:fill="D8F3F7" w:themeFill="accent1" w:themeFillTint="3F"/>
      </w:tcPr>
    </w:tblStylePr>
  </w:style>
  <w:style w:type="table" w:styleId="LightShading-Accent2">
    <w:name w:val="Light Shading Accent 2"/>
    <w:basedOn w:val="TableNormal"/>
    <w:uiPriority w:val="98"/>
    <w:semiHidden/>
    <w:unhideWhenUsed/>
    <w:rsid w:val="001F6DC1"/>
    <w:rPr>
      <w:color w:val="959597" w:themeColor="accent2" w:themeShade="BF"/>
    </w:rPr>
    <w:tblPr>
      <w:tblStyleRowBandSize w:val="1"/>
      <w:tblStyleColBandSize w:val="1"/>
      <w:tblBorders>
        <w:top w:val="single" w:sz="8" w:space="0" w:color="C9C9CA" w:themeColor="accent2"/>
        <w:bottom w:val="single" w:sz="8" w:space="0" w:color="C9C9CA" w:themeColor="accent2"/>
      </w:tblBorders>
    </w:tblPr>
    <w:tblStylePr w:type="firstRow">
      <w:pPr>
        <w:spacing w:before="0" w:after="0" w:line="240" w:lineRule="auto"/>
      </w:pPr>
      <w:rPr>
        <w:b/>
        <w:bCs/>
      </w:rPr>
      <w:tblPr/>
      <w:tcPr>
        <w:tcBorders>
          <w:top w:val="single" w:sz="8" w:space="0" w:color="C9C9CA" w:themeColor="accent2"/>
          <w:left w:val="nil"/>
          <w:bottom w:val="single" w:sz="8" w:space="0" w:color="C9C9CA" w:themeColor="accent2"/>
          <w:right w:val="nil"/>
          <w:insideH w:val="nil"/>
          <w:insideV w:val="nil"/>
        </w:tcBorders>
      </w:tcPr>
    </w:tblStylePr>
    <w:tblStylePr w:type="lastRow">
      <w:pPr>
        <w:spacing w:before="0" w:after="0" w:line="240" w:lineRule="auto"/>
      </w:pPr>
      <w:rPr>
        <w:b/>
        <w:bCs/>
      </w:rPr>
      <w:tblPr/>
      <w:tcPr>
        <w:tcBorders>
          <w:top w:val="single" w:sz="8" w:space="0" w:color="C9C9CA" w:themeColor="accent2"/>
          <w:left w:val="nil"/>
          <w:bottom w:val="single" w:sz="8" w:space="0" w:color="C9C9CA"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1F1" w:themeFill="accent2" w:themeFillTint="3F"/>
      </w:tcPr>
    </w:tblStylePr>
    <w:tblStylePr w:type="band1Horz">
      <w:tblPr/>
      <w:tcPr>
        <w:tcBorders>
          <w:left w:val="nil"/>
          <w:right w:val="nil"/>
          <w:insideH w:val="nil"/>
          <w:insideV w:val="nil"/>
        </w:tcBorders>
        <w:shd w:val="clear" w:color="auto" w:fill="F1F1F1" w:themeFill="accent2" w:themeFillTint="3F"/>
      </w:tcPr>
    </w:tblStylePr>
  </w:style>
  <w:style w:type="table" w:styleId="LightShading-Accent3">
    <w:name w:val="Light Shading Accent 3"/>
    <w:basedOn w:val="TableNormal"/>
    <w:uiPriority w:val="98"/>
    <w:semiHidden/>
    <w:unhideWhenUsed/>
    <w:rsid w:val="001F6DC1"/>
    <w:rPr>
      <w:color w:val="29B4C7" w:themeColor="accent3" w:themeShade="BF"/>
    </w:rPr>
    <w:tblPr>
      <w:tblStyleRowBandSize w:val="1"/>
      <w:tblStyleColBandSize w:val="1"/>
      <w:tblBorders>
        <w:top w:val="single" w:sz="8" w:space="0" w:color="63D0DF" w:themeColor="accent3"/>
        <w:bottom w:val="single" w:sz="8" w:space="0" w:color="63D0DF" w:themeColor="accent3"/>
      </w:tblBorders>
    </w:tblPr>
    <w:tblStylePr w:type="firstRow">
      <w:pPr>
        <w:spacing w:before="0" w:after="0" w:line="240" w:lineRule="auto"/>
      </w:pPr>
      <w:rPr>
        <w:b/>
        <w:bCs/>
      </w:rPr>
      <w:tblPr/>
      <w:tcPr>
        <w:tcBorders>
          <w:top w:val="single" w:sz="8" w:space="0" w:color="63D0DF" w:themeColor="accent3"/>
          <w:left w:val="nil"/>
          <w:bottom w:val="single" w:sz="8" w:space="0" w:color="63D0DF" w:themeColor="accent3"/>
          <w:right w:val="nil"/>
          <w:insideH w:val="nil"/>
          <w:insideV w:val="nil"/>
        </w:tcBorders>
      </w:tcPr>
    </w:tblStylePr>
    <w:tblStylePr w:type="lastRow">
      <w:pPr>
        <w:spacing w:before="0" w:after="0" w:line="240" w:lineRule="auto"/>
      </w:pPr>
      <w:rPr>
        <w:b/>
        <w:bCs/>
      </w:rPr>
      <w:tblPr/>
      <w:tcPr>
        <w:tcBorders>
          <w:top w:val="single" w:sz="8" w:space="0" w:color="63D0DF" w:themeColor="accent3"/>
          <w:left w:val="nil"/>
          <w:bottom w:val="single" w:sz="8" w:space="0" w:color="63D0D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F3F7" w:themeFill="accent3" w:themeFillTint="3F"/>
      </w:tcPr>
    </w:tblStylePr>
    <w:tblStylePr w:type="band1Horz">
      <w:tblPr/>
      <w:tcPr>
        <w:tcBorders>
          <w:left w:val="nil"/>
          <w:right w:val="nil"/>
          <w:insideH w:val="nil"/>
          <w:insideV w:val="nil"/>
        </w:tcBorders>
        <w:shd w:val="clear" w:color="auto" w:fill="D8F3F7" w:themeFill="accent3" w:themeFillTint="3F"/>
      </w:tcPr>
    </w:tblStylePr>
  </w:style>
  <w:style w:type="table" w:styleId="LightShading-Accent4">
    <w:name w:val="Light Shading Accent 4"/>
    <w:basedOn w:val="TableNormal"/>
    <w:uiPriority w:val="98"/>
    <w:semiHidden/>
    <w:unhideWhenUsed/>
    <w:rsid w:val="001F6DC1"/>
    <w:rPr>
      <w:color w:val="787878" w:themeColor="accent4" w:themeShade="BF"/>
    </w:rPr>
    <w:tblPr>
      <w:tblStyleRowBandSize w:val="1"/>
      <w:tblStyleColBandSize w:val="1"/>
      <w:tblBorders>
        <w:top w:val="single" w:sz="8" w:space="0" w:color="A1A1A1" w:themeColor="accent4"/>
        <w:bottom w:val="single" w:sz="8" w:space="0" w:color="A1A1A1" w:themeColor="accent4"/>
      </w:tblBorders>
    </w:tblPr>
    <w:tblStylePr w:type="firstRow">
      <w:pPr>
        <w:spacing w:before="0" w:after="0" w:line="240" w:lineRule="auto"/>
      </w:pPr>
      <w:rPr>
        <w:b/>
        <w:bCs/>
      </w:rPr>
      <w:tblPr/>
      <w:tcPr>
        <w:tcBorders>
          <w:top w:val="single" w:sz="8" w:space="0" w:color="A1A1A1" w:themeColor="accent4"/>
          <w:left w:val="nil"/>
          <w:bottom w:val="single" w:sz="8" w:space="0" w:color="A1A1A1" w:themeColor="accent4"/>
          <w:right w:val="nil"/>
          <w:insideH w:val="nil"/>
          <w:insideV w:val="nil"/>
        </w:tcBorders>
      </w:tcPr>
    </w:tblStylePr>
    <w:tblStylePr w:type="lastRow">
      <w:pPr>
        <w:spacing w:before="0" w:after="0" w:line="240" w:lineRule="auto"/>
      </w:pPr>
      <w:rPr>
        <w:b/>
        <w:bCs/>
      </w:rPr>
      <w:tblPr/>
      <w:tcPr>
        <w:tcBorders>
          <w:top w:val="single" w:sz="8" w:space="0" w:color="A1A1A1" w:themeColor="accent4"/>
          <w:left w:val="nil"/>
          <w:bottom w:val="single" w:sz="8" w:space="0" w:color="A1A1A1"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E7E7" w:themeFill="accent4" w:themeFillTint="3F"/>
      </w:tcPr>
    </w:tblStylePr>
    <w:tblStylePr w:type="band1Horz">
      <w:tblPr/>
      <w:tcPr>
        <w:tcBorders>
          <w:left w:val="nil"/>
          <w:right w:val="nil"/>
          <w:insideH w:val="nil"/>
          <w:insideV w:val="nil"/>
        </w:tcBorders>
        <w:shd w:val="clear" w:color="auto" w:fill="E7E7E7" w:themeFill="accent4" w:themeFillTint="3F"/>
      </w:tcPr>
    </w:tblStylePr>
  </w:style>
  <w:style w:type="table" w:styleId="LightShading-Accent5">
    <w:name w:val="Light Shading Accent 5"/>
    <w:basedOn w:val="TableNormal"/>
    <w:uiPriority w:val="98"/>
    <w:semiHidden/>
    <w:unhideWhenUsed/>
    <w:rsid w:val="001F6DC1"/>
    <w:rPr>
      <w:color w:val="29B4C7" w:themeColor="accent5" w:themeShade="BF"/>
    </w:rPr>
    <w:tblPr>
      <w:tblStyleRowBandSize w:val="1"/>
      <w:tblStyleColBandSize w:val="1"/>
      <w:tblBorders>
        <w:top w:val="single" w:sz="8" w:space="0" w:color="63D0DF" w:themeColor="accent5"/>
        <w:bottom w:val="single" w:sz="8" w:space="0" w:color="63D0DF" w:themeColor="accent5"/>
      </w:tblBorders>
    </w:tblPr>
    <w:tblStylePr w:type="firstRow">
      <w:pPr>
        <w:spacing w:before="0" w:after="0" w:line="240" w:lineRule="auto"/>
      </w:pPr>
      <w:rPr>
        <w:b/>
        <w:bCs/>
      </w:rPr>
      <w:tblPr/>
      <w:tcPr>
        <w:tcBorders>
          <w:top w:val="single" w:sz="8" w:space="0" w:color="63D0DF" w:themeColor="accent5"/>
          <w:left w:val="nil"/>
          <w:bottom w:val="single" w:sz="8" w:space="0" w:color="63D0DF" w:themeColor="accent5"/>
          <w:right w:val="nil"/>
          <w:insideH w:val="nil"/>
          <w:insideV w:val="nil"/>
        </w:tcBorders>
      </w:tcPr>
    </w:tblStylePr>
    <w:tblStylePr w:type="lastRow">
      <w:pPr>
        <w:spacing w:before="0" w:after="0" w:line="240" w:lineRule="auto"/>
      </w:pPr>
      <w:rPr>
        <w:b/>
        <w:bCs/>
      </w:rPr>
      <w:tblPr/>
      <w:tcPr>
        <w:tcBorders>
          <w:top w:val="single" w:sz="8" w:space="0" w:color="63D0DF" w:themeColor="accent5"/>
          <w:left w:val="nil"/>
          <w:bottom w:val="single" w:sz="8" w:space="0" w:color="63D0D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F3F7" w:themeFill="accent5" w:themeFillTint="3F"/>
      </w:tcPr>
    </w:tblStylePr>
    <w:tblStylePr w:type="band1Horz">
      <w:tblPr/>
      <w:tcPr>
        <w:tcBorders>
          <w:left w:val="nil"/>
          <w:right w:val="nil"/>
          <w:insideH w:val="nil"/>
          <w:insideV w:val="nil"/>
        </w:tcBorders>
        <w:shd w:val="clear" w:color="auto" w:fill="D8F3F7" w:themeFill="accent5" w:themeFillTint="3F"/>
      </w:tcPr>
    </w:tblStylePr>
  </w:style>
  <w:style w:type="table" w:styleId="LightShading-Accent6">
    <w:name w:val="Light Shading Accent 6"/>
    <w:basedOn w:val="TableNormal"/>
    <w:uiPriority w:val="98"/>
    <w:semiHidden/>
    <w:unhideWhenUsed/>
    <w:rsid w:val="001F6DC1"/>
    <w:rPr>
      <w:color w:val="787878" w:themeColor="accent6" w:themeShade="BF"/>
    </w:rPr>
    <w:tblPr>
      <w:tblStyleRowBandSize w:val="1"/>
      <w:tblStyleColBandSize w:val="1"/>
      <w:tblBorders>
        <w:top w:val="single" w:sz="8" w:space="0" w:color="A1A1A1" w:themeColor="accent6"/>
        <w:bottom w:val="single" w:sz="8" w:space="0" w:color="A1A1A1" w:themeColor="accent6"/>
      </w:tblBorders>
    </w:tblPr>
    <w:tblStylePr w:type="firstRow">
      <w:pPr>
        <w:spacing w:before="0" w:after="0" w:line="240" w:lineRule="auto"/>
      </w:pPr>
      <w:rPr>
        <w:b/>
        <w:bCs/>
      </w:rPr>
      <w:tblPr/>
      <w:tcPr>
        <w:tcBorders>
          <w:top w:val="single" w:sz="8" w:space="0" w:color="A1A1A1" w:themeColor="accent6"/>
          <w:left w:val="nil"/>
          <w:bottom w:val="single" w:sz="8" w:space="0" w:color="A1A1A1" w:themeColor="accent6"/>
          <w:right w:val="nil"/>
          <w:insideH w:val="nil"/>
          <w:insideV w:val="nil"/>
        </w:tcBorders>
      </w:tcPr>
    </w:tblStylePr>
    <w:tblStylePr w:type="lastRow">
      <w:pPr>
        <w:spacing w:before="0" w:after="0" w:line="240" w:lineRule="auto"/>
      </w:pPr>
      <w:rPr>
        <w:b/>
        <w:bCs/>
      </w:rPr>
      <w:tblPr/>
      <w:tcPr>
        <w:tcBorders>
          <w:top w:val="single" w:sz="8" w:space="0" w:color="A1A1A1" w:themeColor="accent6"/>
          <w:left w:val="nil"/>
          <w:bottom w:val="single" w:sz="8" w:space="0" w:color="A1A1A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E7E7" w:themeFill="accent6" w:themeFillTint="3F"/>
      </w:tcPr>
    </w:tblStylePr>
    <w:tblStylePr w:type="band1Horz">
      <w:tblPr/>
      <w:tcPr>
        <w:tcBorders>
          <w:left w:val="nil"/>
          <w:right w:val="nil"/>
          <w:insideH w:val="nil"/>
          <w:insideV w:val="nil"/>
        </w:tcBorders>
        <w:shd w:val="clear" w:color="auto" w:fill="E7E7E7" w:themeFill="accent6" w:themeFillTint="3F"/>
      </w:tcPr>
    </w:tblStylePr>
  </w:style>
  <w:style w:type="table" w:styleId="ListTable7Colorful-Accent6">
    <w:name w:val="List Table 7 Colorful Accent 6"/>
    <w:basedOn w:val="TableNormal"/>
    <w:uiPriority w:val="98"/>
    <w:semiHidden/>
    <w:rsid w:val="001F6DC1"/>
    <w:rPr>
      <w:color w:val="787878"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1A1A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1A1A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1A1A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1A1A1" w:themeColor="accent6"/>
        </w:tcBorders>
        <w:shd w:val="clear" w:color="auto" w:fill="FFFFFF" w:themeFill="background1"/>
      </w:tcPr>
    </w:tblStylePr>
    <w:tblStylePr w:type="band1Vert">
      <w:tblPr/>
      <w:tcPr>
        <w:shd w:val="clear" w:color="auto" w:fill="ECECEC" w:themeFill="accent6" w:themeFillTint="33"/>
      </w:tcPr>
    </w:tblStylePr>
    <w:tblStylePr w:type="band1Horz">
      <w:tblPr/>
      <w:tcPr>
        <w:shd w:val="clear" w:color="auto" w:fill="ECECE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98"/>
    <w:semiHidden/>
    <w:unhideWhenUsed/>
    <w:rsid w:val="001F6DC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98"/>
    <w:semiHidden/>
    <w:unhideWhenUsed/>
    <w:rsid w:val="001F6DC1"/>
    <w:tblPr>
      <w:tblStyleRowBandSize w:val="1"/>
      <w:tblStyleColBandSize w:val="1"/>
      <w:tblBorders>
        <w:top w:val="single" w:sz="8" w:space="0" w:color="8ADBE7" w:themeColor="accent1" w:themeTint="BF"/>
        <w:left w:val="single" w:sz="8" w:space="0" w:color="8ADBE7" w:themeColor="accent1" w:themeTint="BF"/>
        <w:bottom w:val="single" w:sz="8" w:space="0" w:color="8ADBE7" w:themeColor="accent1" w:themeTint="BF"/>
        <w:right w:val="single" w:sz="8" w:space="0" w:color="8ADBE7" w:themeColor="accent1" w:themeTint="BF"/>
        <w:insideH w:val="single" w:sz="8" w:space="0" w:color="8ADBE7" w:themeColor="accent1" w:themeTint="BF"/>
        <w:insideV w:val="single" w:sz="8" w:space="0" w:color="8ADBE7" w:themeColor="accent1" w:themeTint="BF"/>
      </w:tblBorders>
    </w:tblPr>
    <w:tcPr>
      <w:shd w:val="clear" w:color="auto" w:fill="D8F3F7" w:themeFill="accent1" w:themeFillTint="3F"/>
    </w:tcPr>
    <w:tblStylePr w:type="firstRow">
      <w:rPr>
        <w:b/>
        <w:bCs/>
      </w:rPr>
    </w:tblStylePr>
    <w:tblStylePr w:type="lastRow">
      <w:rPr>
        <w:b/>
        <w:bCs/>
      </w:rPr>
      <w:tblPr/>
      <w:tcPr>
        <w:tcBorders>
          <w:top w:val="single" w:sz="18" w:space="0" w:color="8ADBE7" w:themeColor="accent1" w:themeTint="BF"/>
        </w:tcBorders>
      </w:tcPr>
    </w:tblStylePr>
    <w:tblStylePr w:type="firstCol">
      <w:rPr>
        <w:b/>
        <w:bCs/>
      </w:rPr>
    </w:tblStylePr>
    <w:tblStylePr w:type="lastCol">
      <w:rPr>
        <w:b/>
        <w:bCs/>
      </w:rPr>
    </w:tblStylePr>
    <w:tblStylePr w:type="band1Vert">
      <w:tblPr/>
      <w:tcPr>
        <w:shd w:val="clear" w:color="auto" w:fill="B1E7EF" w:themeFill="accent1" w:themeFillTint="7F"/>
      </w:tcPr>
    </w:tblStylePr>
    <w:tblStylePr w:type="band1Horz">
      <w:tblPr/>
      <w:tcPr>
        <w:shd w:val="clear" w:color="auto" w:fill="B1E7EF" w:themeFill="accent1" w:themeFillTint="7F"/>
      </w:tcPr>
    </w:tblStylePr>
  </w:style>
  <w:style w:type="table" w:styleId="MediumGrid1-Accent2">
    <w:name w:val="Medium Grid 1 Accent 2"/>
    <w:basedOn w:val="TableNormal"/>
    <w:uiPriority w:val="98"/>
    <w:semiHidden/>
    <w:unhideWhenUsed/>
    <w:rsid w:val="001F6DC1"/>
    <w:tblPr>
      <w:tblStyleRowBandSize w:val="1"/>
      <w:tblStyleColBandSize w:val="1"/>
      <w:tblBorders>
        <w:top w:val="single" w:sz="8" w:space="0" w:color="D6D6D7" w:themeColor="accent2" w:themeTint="BF"/>
        <w:left w:val="single" w:sz="8" w:space="0" w:color="D6D6D7" w:themeColor="accent2" w:themeTint="BF"/>
        <w:bottom w:val="single" w:sz="8" w:space="0" w:color="D6D6D7" w:themeColor="accent2" w:themeTint="BF"/>
        <w:right w:val="single" w:sz="8" w:space="0" w:color="D6D6D7" w:themeColor="accent2" w:themeTint="BF"/>
        <w:insideH w:val="single" w:sz="8" w:space="0" w:color="D6D6D7" w:themeColor="accent2" w:themeTint="BF"/>
        <w:insideV w:val="single" w:sz="8" w:space="0" w:color="D6D6D7" w:themeColor="accent2" w:themeTint="BF"/>
      </w:tblBorders>
    </w:tblPr>
    <w:tcPr>
      <w:shd w:val="clear" w:color="auto" w:fill="F1F1F1" w:themeFill="accent2" w:themeFillTint="3F"/>
    </w:tcPr>
    <w:tblStylePr w:type="firstRow">
      <w:rPr>
        <w:b/>
        <w:bCs/>
      </w:rPr>
    </w:tblStylePr>
    <w:tblStylePr w:type="lastRow">
      <w:rPr>
        <w:b/>
        <w:bCs/>
      </w:rPr>
      <w:tblPr/>
      <w:tcPr>
        <w:tcBorders>
          <w:top w:val="single" w:sz="18" w:space="0" w:color="D6D6D7" w:themeColor="accent2" w:themeTint="BF"/>
        </w:tcBorders>
      </w:tcPr>
    </w:tblStylePr>
    <w:tblStylePr w:type="firstCol">
      <w:rPr>
        <w:b/>
        <w:bCs/>
      </w:rPr>
    </w:tblStylePr>
    <w:tblStylePr w:type="lastCol">
      <w:rPr>
        <w:b/>
        <w:bCs/>
      </w:rPr>
    </w:tblStylePr>
    <w:tblStylePr w:type="band1Vert">
      <w:tblPr/>
      <w:tcPr>
        <w:shd w:val="clear" w:color="auto" w:fill="E4E4E4" w:themeFill="accent2" w:themeFillTint="7F"/>
      </w:tcPr>
    </w:tblStylePr>
    <w:tblStylePr w:type="band1Horz">
      <w:tblPr/>
      <w:tcPr>
        <w:shd w:val="clear" w:color="auto" w:fill="E4E4E4" w:themeFill="accent2" w:themeFillTint="7F"/>
      </w:tcPr>
    </w:tblStylePr>
  </w:style>
  <w:style w:type="table" w:styleId="MediumGrid1-Accent3">
    <w:name w:val="Medium Grid 1 Accent 3"/>
    <w:basedOn w:val="TableNormal"/>
    <w:uiPriority w:val="98"/>
    <w:semiHidden/>
    <w:unhideWhenUsed/>
    <w:rsid w:val="001F6DC1"/>
    <w:tblPr>
      <w:tblStyleRowBandSize w:val="1"/>
      <w:tblStyleColBandSize w:val="1"/>
      <w:tblBorders>
        <w:top w:val="single" w:sz="8" w:space="0" w:color="8ADBE7" w:themeColor="accent3" w:themeTint="BF"/>
        <w:left w:val="single" w:sz="8" w:space="0" w:color="8ADBE7" w:themeColor="accent3" w:themeTint="BF"/>
        <w:bottom w:val="single" w:sz="8" w:space="0" w:color="8ADBE7" w:themeColor="accent3" w:themeTint="BF"/>
        <w:right w:val="single" w:sz="8" w:space="0" w:color="8ADBE7" w:themeColor="accent3" w:themeTint="BF"/>
        <w:insideH w:val="single" w:sz="8" w:space="0" w:color="8ADBE7" w:themeColor="accent3" w:themeTint="BF"/>
        <w:insideV w:val="single" w:sz="8" w:space="0" w:color="8ADBE7" w:themeColor="accent3" w:themeTint="BF"/>
      </w:tblBorders>
    </w:tblPr>
    <w:tcPr>
      <w:shd w:val="clear" w:color="auto" w:fill="D8F3F7" w:themeFill="accent3" w:themeFillTint="3F"/>
    </w:tcPr>
    <w:tblStylePr w:type="firstRow">
      <w:rPr>
        <w:b/>
        <w:bCs/>
      </w:rPr>
    </w:tblStylePr>
    <w:tblStylePr w:type="lastRow">
      <w:rPr>
        <w:b/>
        <w:bCs/>
      </w:rPr>
      <w:tblPr/>
      <w:tcPr>
        <w:tcBorders>
          <w:top w:val="single" w:sz="18" w:space="0" w:color="8ADBE7" w:themeColor="accent3" w:themeTint="BF"/>
        </w:tcBorders>
      </w:tcPr>
    </w:tblStylePr>
    <w:tblStylePr w:type="firstCol">
      <w:rPr>
        <w:b/>
        <w:bCs/>
      </w:rPr>
    </w:tblStylePr>
    <w:tblStylePr w:type="lastCol">
      <w:rPr>
        <w:b/>
        <w:bCs/>
      </w:rPr>
    </w:tblStylePr>
    <w:tblStylePr w:type="band1Vert">
      <w:tblPr/>
      <w:tcPr>
        <w:shd w:val="clear" w:color="auto" w:fill="B1E7EF" w:themeFill="accent3" w:themeFillTint="7F"/>
      </w:tcPr>
    </w:tblStylePr>
    <w:tblStylePr w:type="band1Horz">
      <w:tblPr/>
      <w:tcPr>
        <w:shd w:val="clear" w:color="auto" w:fill="B1E7EF" w:themeFill="accent3" w:themeFillTint="7F"/>
      </w:tcPr>
    </w:tblStylePr>
  </w:style>
  <w:style w:type="table" w:styleId="MediumGrid1-Accent4">
    <w:name w:val="Medium Grid 1 Accent 4"/>
    <w:basedOn w:val="TableNormal"/>
    <w:uiPriority w:val="98"/>
    <w:semiHidden/>
    <w:unhideWhenUsed/>
    <w:rsid w:val="001F6DC1"/>
    <w:tblPr>
      <w:tblStyleRowBandSize w:val="1"/>
      <w:tblStyleColBandSize w:val="1"/>
      <w:tblBorders>
        <w:top w:val="single" w:sz="8" w:space="0" w:color="B8B8B8" w:themeColor="accent4" w:themeTint="BF"/>
        <w:left w:val="single" w:sz="8" w:space="0" w:color="B8B8B8" w:themeColor="accent4" w:themeTint="BF"/>
        <w:bottom w:val="single" w:sz="8" w:space="0" w:color="B8B8B8" w:themeColor="accent4" w:themeTint="BF"/>
        <w:right w:val="single" w:sz="8" w:space="0" w:color="B8B8B8" w:themeColor="accent4" w:themeTint="BF"/>
        <w:insideH w:val="single" w:sz="8" w:space="0" w:color="B8B8B8" w:themeColor="accent4" w:themeTint="BF"/>
        <w:insideV w:val="single" w:sz="8" w:space="0" w:color="B8B8B8" w:themeColor="accent4" w:themeTint="BF"/>
      </w:tblBorders>
    </w:tblPr>
    <w:tcPr>
      <w:shd w:val="clear" w:color="auto" w:fill="E7E7E7" w:themeFill="accent4" w:themeFillTint="3F"/>
    </w:tcPr>
    <w:tblStylePr w:type="firstRow">
      <w:rPr>
        <w:b/>
        <w:bCs/>
      </w:rPr>
    </w:tblStylePr>
    <w:tblStylePr w:type="lastRow">
      <w:rPr>
        <w:b/>
        <w:bCs/>
      </w:rPr>
      <w:tblPr/>
      <w:tcPr>
        <w:tcBorders>
          <w:top w:val="single" w:sz="18" w:space="0" w:color="B8B8B8" w:themeColor="accent4" w:themeTint="BF"/>
        </w:tcBorders>
      </w:tcPr>
    </w:tblStylePr>
    <w:tblStylePr w:type="firstCol">
      <w:rPr>
        <w:b/>
        <w:bCs/>
      </w:rPr>
    </w:tblStylePr>
    <w:tblStylePr w:type="lastCol">
      <w:rPr>
        <w:b/>
        <w:bCs/>
      </w:rPr>
    </w:tblStylePr>
    <w:tblStylePr w:type="band1Vert">
      <w:tblPr/>
      <w:tcPr>
        <w:shd w:val="clear" w:color="auto" w:fill="D0D0D0" w:themeFill="accent4" w:themeFillTint="7F"/>
      </w:tcPr>
    </w:tblStylePr>
    <w:tblStylePr w:type="band1Horz">
      <w:tblPr/>
      <w:tcPr>
        <w:shd w:val="clear" w:color="auto" w:fill="D0D0D0" w:themeFill="accent4" w:themeFillTint="7F"/>
      </w:tcPr>
    </w:tblStylePr>
  </w:style>
  <w:style w:type="table" w:styleId="MediumGrid1-Accent5">
    <w:name w:val="Medium Grid 1 Accent 5"/>
    <w:basedOn w:val="TableNormal"/>
    <w:uiPriority w:val="98"/>
    <w:semiHidden/>
    <w:unhideWhenUsed/>
    <w:rsid w:val="001F6DC1"/>
    <w:tblPr>
      <w:tblStyleRowBandSize w:val="1"/>
      <w:tblStyleColBandSize w:val="1"/>
      <w:tblBorders>
        <w:top w:val="single" w:sz="8" w:space="0" w:color="8ADBE7" w:themeColor="accent5" w:themeTint="BF"/>
        <w:left w:val="single" w:sz="8" w:space="0" w:color="8ADBE7" w:themeColor="accent5" w:themeTint="BF"/>
        <w:bottom w:val="single" w:sz="8" w:space="0" w:color="8ADBE7" w:themeColor="accent5" w:themeTint="BF"/>
        <w:right w:val="single" w:sz="8" w:space="0" w:color="8ADBE7" w:themeColor="accent5" w:themeTint="BF"/>
        <w:insideH w:val="single" w:sz="8" w:space="0" w:color="8ADBE7" w:themeColor="accent5" w:themeTint="BF"/>
        <w:insideV w:val="single" w:sz="8" w:space="0" w:color="8ADBE7" w:themeColor="accent5" w:themeTint="BF"/>
      </w:tblBorders>
    </w:tblPr>
    <w:tcPr>
      <w:shd w:val="clear" w:color="auto" w:fill="D8F3F7" w:themeFill="accent5" w:themeFillTint="3F"/>
    </w:tcPr>
    <w:tblStylePr w:type="firstRow">
      <w:rPr>
        <w:b/>
        <w:bCs/>
      </w:rPr>
    </w:tblStylePr>
    <w:tblStylePr w:type="lastRow">
      <w:rPr>
        <w:b/>
        <w:bCs/>
      </w:rPr>
      <w:tblPr/>
      <w:tcPr>
        <w:tcBorders>
          <w:top w:val="single" w:sz="18" w:space="0" w:color="8ADBE7" w:themeColor="accent5" w:themeTint="BF"/>
        </w:tcBorders>
      </w:tcPr>
    </w:tblStylePr>
    <w:tblStylePr w:type="firstCol">
      <w:rPr>
        <w:b/>
        <w:bCs/>
      </w:rPr>
    </w:tblStylePr>
    <w:tblStylePr w:type="lastCol">
      <w:rPr>
        <w:b/>
        <w:bCs/>
      </w:rPr>
    </w:tblStylePr>
    <w:tblStylePr w:type="band1Vert">
      <w:tblPr/>
      <w:tcPr>
        <w:shd w:val="clear" w:color="auto" w:fill="B1E7EF" w:themeFill="accent5" w:themeFillTint="7F"/>
      </w:tcPr>
    </w:tblStylePr>
    <w:tblStylePr w:type="band1Horz">
      <w:tblPr/>
      <w:tcPr>
        <w:shd w:val="clear" w:color="auto" w:fill="B1E7EF" w:themeFill="accent5" w:themeFillTint="7F"/>
      </w:tcPr>
    </w:tblStylePr>
  </w:style>
  <w:style w:type="table" w:styleId="MediumGrid1-Accent6">
    <w:name w:val="Medium Grid 1 Accent 6"/>
    <w:basedOn w:val="TableNormal"/>
    <w:uiPriority w:val="98"/>
    <w:semiHidden/>
    <w:unhideWhenUsed/>
    <w:rsid w:val="001F6DC1"/>
    <w:tblPr>
      <w:tblStyleRowBandSize w:val="1"/>
      <w:tblStyleColBandSize w:val="1"/>
      <w:tblBorders>
        <w:top w:val="single" w:sz="8" w:space="0" w:color="B8B8B8" w:themeColor="accent6" w:themeTint="BF"/>
        <w:left w:val="single" w:sz="8" w:space="0" w:color="B8B8B8" w:themeColor="accent6" w:themeTint="BF"/>
        <w:bottom w:val="single" w:sz="8" w:space="0" w:color="B8B8B8" w:themeColor="accent6" w:themeTint="BF"/>
        <w:right w:val="single" w:sz="8" w:space="0" w:color="B8B8B8" w:themeColor="accent6" w:themeTint="BF"/>
        <w:insideH w:val="single" w:sz="8" w:space="0" w:color="B8B8B8" w:themeColor="accent6" w:themeTint="BF"/>
        <w:insideV w:val="single" w:sz="8" w:space="0" w:color="B8B8B8" w:themeColor="accent6" w:themeTint="BF"/>
      </w:tblBorders>
    </w:tblPr>
    <w:tcPr>
      <w:shd w:val="clear" w:color="auto" w:fill="E7E7E7" w:themeFill="accent6" w:themeFillTint="3F"/>
    </w:tcPr>
    <w:tblStylePr w:type="firstRow">
      <w:rPr>
        <w:b/>
        <w:bCs/>
      </w:rPr>
    </w:tblStylePr>
    <w:tblStylePr w:type="lastRow">
      <w:rPr>
        <w:b/>
        <w:bCs/>
      </w:rPr>
      <w:tblPr/>
      <w:tcPr>
        <w:tcBorders>
          <w:top w:val="single" w:sz="18" w:space="0" w:color="B8B8B8" w:themeColor="accent6" w:themeTint="BF"/>
        </w:tcBorders>
      </w:tcPr>
    </w:tblStylePr>
    <w:tblStylePr w:type="firstCol">
      <w:rPr>
        <w:b/>
        <w:bCs/>
      </w:rPr>
    </w:tblStylePr>
    <w:tblStylePr w:type="lastCol">
      <w:rPr>
        <w:b/>
        <w:bCs/>
      </w:rPr>
    </w:tblStylePr>
    <w:tblStylePr w:type="band1Vert">
      <w:tblPr/>
      <w:tcPr>
        <w:shd w:val="clear" w:color="auto" w:fill="D0D0D0" w:themeFill="accent6" w:themeFillTint="7F"/>
      </w:tcPr>
    </w:tblStylePr>
    <w:tblStylePr w:type="band1Horz">
      <w:tblPr/>
      <w:tcPr>
        <w:shd w:val="clear" w:color="auto" w:fill="D0D0D0" w:themeFill="accent6" w:themeFillTint="7F"/>
      </w:tcPr>
    </w:tblStylePr>
  </w:style>
  <w:style w:type="table" w:styleId="MediumGrid2">
    <w:name w:val="Medium Grid 2"/>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1"/>
        <w:left w:val="single" w:sz="8" w:space="0" w:color="63D0DF" w:themeColor="accent1"/>
        <w:bottom w:val="single" w:sz="8" w:space="0" w:color="63D0DF" w:themeColor="accent1"/>
        <w:right w:val="single" w:sz="8" w:space="0" w:color="63D0DF" w:themeColor="accent1"/>
        <w:insideH w:val="single" w:sz="8" w:space="0" w:color="63D0DF" w:themeColor="accent1"/>
        <w:insideV w:val="single" w:sz="8" w:space="0" w:color="63D0DF" w:themeColor="accent1"/>
      </w:tblBorders>
    </w:tblPr>
    <w:tcPr>
      <w:shd w:val="clear" w:color="auto" w:fill="D8F3F7" w:themeFill="accent1" w:themeFillTint="3F"/>
    </w:tcPr>
    <w:tblStylePr w:type="firstRow">
      <w:rPr>
        <w:b/>
        <w:bCs/>
        <w:color w:val="000000" w:themeColor="text1"/>
      </w:rPr>
      <w:tblPr/>
      <w:tcPr>
        <w:shd w:val="clear" w:color="auto" w:fill="EFFA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5F8" w:themeFill="accent1" w:themeFillTint="33"/>
      </w:tcPr>
    </w:tblStylePr>
    <w:tblStylePr w:type="band1Vert">
      <w:tblPr/>
      <w:tcPr>
        <w:shd w:val="clear" w:color="auto" w:fill="B1E7EF" w:themeFill="accent1" w:themeFillTint="7F"/>
      </w:tcPr>
    </w:tblStylePr>
    <w:tblStylePr w:type="band1Horz">
      <w:tblPr/>
      <w:tcPr>
        <w:tcBorders>
          <w:insideH w:val="single" w:sz="6" w:space="0" w:color="63D0DF" w:themeColor="accent1"/>
          <w:insideV w:val="single" w:sz="6" w:space="0" w:color="63D0DF" w:themeColor="accent1"/>
        </w:tcBorders>
        <w:shd w:val="clear" w:color="auto" w:fill="B1E7E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C9C9CA" w:themeColor="accent2"/>
        <w:left w:val="single" w:sz="8" w:space="0" w:color="C9C9CA" w:themeColor="accent2"/>
        <w:bottom w:val="single" w:sz="8" w:space="0" w:color="C9C9CA" w:themeColor="accent2"/>
        <w:right w:val="single" w:sz="8" w:space="0" w:color="C9C9CA" w:themeColor="accent2"/>
        <w:insideH w:val="single" w:sz="8" w:space="0" w:color="C9C9CA" w:themeColor="accent2"/>
        <w:insideV w:val="single" w:sz="8" w:space="0" w:color="C9C9CA" w:themeColor="accent2"/>
      </w:tblBorders>
    </w:tblPr>
    <w:tcPr>
      <w:shd w:val="clear" w:color="auto" w:fill="F1F1F1" w:themeFill="accent2" w:themeFillTint="3F"/>
    </w:tcPr>
    <w:tblStylePr w:type="firstRow">
      <w:rPr>
        <w:b/>
        <w:bCs/>
        <w:color w:val="000000" w:themeColor="text1"/>
      </w:rPr>
      <w:tblPr/>
      <w:tcPr>
        <w:shd w:val="clear" w:color="auto" w:fill="F9F9F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2" w:themeFillTint="33"/>
      </w:tcPr>
    </w:tblStylePr>
    <w:tblStylePr w:type="band1Vert">
      <w:tblPr/>
      <w:tcPr>
        <w:shd w:val="clear" w:color="auto" w:fill="E4E4E4" w:themeFill="accent2" w:themeFillTint="7F"/>
      </w:tcPr>
    </w:tblStylePr>
    <w:tblStylePr w:type="band1Horz">
      <w:tblPr/>
      <w:tcPr>
        <w:tcBorders>
          <w:insideH w:val="single" w:sz="6" w:space="0" w:color="C9C9CA" w:themeColor="accent2"/>
          <w:insideV w:val="single" w:sz="6" w:space="0" w:color="C9C9CA" w:themeColor="accent2"/>
        </w:tcBorders>
        <w:shd w:val="clear" w:color="auto" w:fill="E4E4E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3"/>
        <w:left w:val="single" w:sz="8" w:space="0" w:color="63D0DF" w:themeColor="accent3"/>
        <w:bottom w:val="single" w:sz="8" w:space="0" w:color="63D0DF" w:themeColor="accent3"/>
        <w:right w:val="single" w:sz="8" w:space="0" w:color="63D0DF" w:themeColor="accent3"/>
        <w:insideH w:val="single" w:sz="8" w:space="0" w:color="63D0DF" w:themeColor="accent3"/>
        <w:insideV w:val="single" w:sz="8" w:space="0" w:color="63D0DF" w:themeColor="accent3"/>
      </w:tblBorders>
    </w:tblPr>
    <w:tcPr>
      <w:shd w:val="clear" w:color="auto" w:fill="D8F3F7" w:themeFill="accent3" w:themeFillTint="3F"/>
    </w:tcPr>
    <w:tblStylePr w:type="firstRow">
      <w:rPr>
        <w:b/>
        <w:bCs/>
        <w:color w:val="000000" w:themeColor="text1"/>
      </w:rPr>
      <w:tblPr/>
      <w:tcPr>
        <w:shd w:val="clear" w:color="auto" w:fill="EFFAF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5F8" w:themeFill="accent3" w:themeFillTint="33"/>
      </w:tcPr>
    </w:tblStylePr>
    <w:tblStylePr w:type="band1Vert">
      <w:tblPr/>
      <w:tcPr>
        <w:shd w:val="clear" w:color="auto" w:fill="B1E7EF" w:themeFill="accent3" w:themeFillTint="7F"/>
      </w:tcPr>
    </w:tblStylePr>
    <w:tblStylePr w:type="band1Horz">
      <w:tblPr/>
      <w:tcPr>
        <w:tcBorders>
          <w:insideH w:val="single" w:sz="6" w:space="0" w:color="63D0DF" w:themeColor="accent3"/>
          <w:insideV w:val="single" w:sz="6" w:space="0" w:color="63D0DF" w:themeColor="accent3"/>
        </w:tcBorders>
        <w:shd w:val="clear" w:color="auto" w:fill="B1E7E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A1A1A1" w:themeColor="accent4"/>
        <w:left w:val="single" w:sz="8" w:space="0" w:color="A1A1A1" w:themeColor="accent4"/>
        <w:bottom w:val="single" w:sz="8" w:space="0" w:color="A1A1A1" w:themeColor="accent4"/>
        <w:right w:val="single" w:sz="8" w:space="0" w:color="A1A1A1" w:themeColor="accent4"/>
        <w:insideH w:val="single" w:sz="8" w:space="0" w:color="A1A1A1" w:themeColor="accent4"/>
        <w:insideV w:val="single" w:sz="8" w:space="0" w:color="A1A1A1" w:themeColor="accent4"/>
      </w:tblBorders>
    </w:tblPr>
    <w:tcPr>
      <w:shd w:val="clear" w:color="auto" w:fill="E7E7E7" w:themeFill="accent4" w:themeFillTint="3F"/>
    </w:tcPr>
    <w:tblStylePr w:type="firstRow">
      <w:rPr>
        <w:b/>
        <w:bCs/>
        <w:color w:val="000000" w:themeColor="text1"/>
      </w:rPr>
      <w:tblPr/>
      <w:tcPr>
        <w:shd w:val="clear" w:color="auto" w:fill="F5F5F5"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CECEC" w:themeFill="accent4" w:themeFillTint="33"/>
      </w:tcPr>
    </w:tblStylePr>
    <w:tblStylePr w:type="band1Vert">
      <w:tblPr/>
      <w:tcPr>
        <w:shd w:val="clear" w:color="auto" w:fill="D0D0D0" w:themeFill="accent4" w:themeFillTint="7F"/>
      </w:tcPr>
    </w:tblStylePr>
    <w:tblStylePr w:type="band1Horz">
      <w:tblPr/>
      <w:tcPr>
        <w:tcBorders>
          <w:insideH w:val="single" w:sz="6" w:space="0" w:color="A1A1A1" w:themeColor="accent4"/>
          <w:insideV w:val="single" w:sz="6" w:space="0" w:color="A1A1A1" w:themeColor="accent4"/>
        </w:tcBorders>
        <w:shd w:val="clear" w:color="auto" w:fill="D0D0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5"/>
        <w:left w:val="single" w:sz="8" w:space="0" w:color="63D0DF" w:themeColor="accent5"/>
        <w:bottom w:val="single" w:sz="8" w:space="0" w:color="63D0DF" w:themeColor="accent5"/>
        <w:right w:val="single" w:sz="8" w:space="0" w:color="63D0DF" w:themeColor="accent5"/>
        <w:insideH w:val="single" w:sz="8" w:space="0" w:color="63D0DF" w:themeColor="accent5"/>
        <w:insideV w:val="single" w:sz="8" w:space="0" w:color="63D0DF" w:themeColor="accent5"/>
      </w:tblBorders>
    </w:tblPr>
    <w:tcPr>
      <w:shd w:val="clear" w:color="auto" w:fill="D8F3F7" w:themeFill="accent5" w:themeFillTint="3F"/>
    </w:tcPr>
    <w:tblStylePr w:type="firstRow">
      <w:rPr>
        <w:b/>
        <w:bCs/>
        <w:color w:val="000000" w:themeColor="text1"/>
      </w:rPr>
      <w:tblPr/>
      <w:tcPr>
        <w:shd w:val="clear" w:color="auto" w:fill="EFFA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F5F8" w:themeFill="accent5" w:themeFillTint="33"/>
      </w:tcPr>
    </w:tblStylePr>
    <w:tblStylePr w:type="band1Vert">
      <w:tblPr/>
      <w:tcPr>
        <w:shd w:val="clear" w:color="auto" w:fill="B1E7EF" w:themeFill="accent5" w:themeFillTint="7F"/>
      </w:tcPr>
    </w:tblStylePr>
    <w:tblStylePr w:type="band1Horz">
      <w:tblPr/>
      <w:tcPr>
        <w:tcBorders>
          <w:insideH w:val="single" w:sz="6" w:space="0" w:color="63D0DF" w:themeColor="accent5"/>
          <w:insideV w:val="single" w:sz="6" w:space="0" w:color="63D0DF" w:themeColor="accent5"/>
        </w:tcBorders>
        <w:shd w:val="clear" w:color="auto" w:fill="B1E7E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A1A1A1" w:themeColor="accent6"/>
        <w:left w:val="single" w:sz="8" w:space="0" w:color="A1A1A1" w:themeColor="accent6"/>
        <w:bottom w:val="single" w:sz="8" w:space="0" w:color="A1A1A1" w:themeColor="accent6"/>
        <w:right w:val="single" w:sz="8" w:space="0" w:color="A1A1A1" w:themeColor="accent6"/>
        <w:insideH w:val="single" w:sz="8" w:space="0" w:color="A1A1A1" w:themeColor="accent6"/>
        <w:insideV w:val="single" w:sz="8" w:space="0" w:color="A1A1A1" w:themeColor="accent6"/>
      </w:tblBorders>
    </w:tblPr>
    <w:tcPr>
      <w:shd w:val="clear" w:color="auto" w:fill="E7E7E7" w:themeFill="accent6" w:themeFillTint="3F"/>
    </w:tcPr>
    <w:tblStylePr w:type="firstRow">
      <w:rPr>
        <w:b/>
        <w:bCs/>
        <w:color w:val="000000" w:themeColor="text1"/>
      </w:rPr>
      <w:tblPr/>
      <w:tcPr>
        <w:shd w:val="clear" w:color="auto" w:fill="F5F5F5"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CECEC" w:themeFill="accent6" w:themeFillTint="33"/>
      </w:tcPr>
    </w:tblStylePr>
    <w:tblStylePr w:type="band1Vert">
      <w:tblPr/>
      <w:tcPr>
        <w:shd w:val="clear" w:color="auto" w:fill="D0D0D0" w:themeFill="accent6" w:themeFillTint="7F"/>
      </w:tcPr>
    </w:tblStylePr>
    <w:tblStylePr w:type="band1Horz">
      <w:tblPr/>
      <w:tcPr>
        <w:tcBorders>
          <w:insideH w:val="single" w:sz="6" w:space="0" w:color="A1A1A1" w:themeColor="accent6"/>
          <w:insideV w:val="single" w:sz="6" w:space="0" w:color="A1A1A1" w:themeColor="accent6"/>
        </w:tcBorders>
        <w:shd w:val="clear" w:color="auto" w:fill="D0D0D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F3F7"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3D0D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3D0D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3D0D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3D0D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E7E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E7EF" w:themeFill="accent1" w:themeFillTint="7F"/>
      </w:tcPr>
    </w:tblStylePr>
  </w:style>
  <w:style w:type="table" w:styleId="MediumGrid3-Accent2">
    <w:name w:val="Medium Grid 3 Accent 2"/>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1F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9C9C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9C9C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9C9C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9C9C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4E4E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4E4E4" w:themeFill="accent2" w:themeFillTint="7F"/>
      </w:tcPr>
    </w:tblStylePr>
  </w:style>
  <w:style w:type="table" w:styleId="MediumGrid3-Accent3">
    <w:name w:val="Medium Grid 3 Accent 3"/>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F3F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3D0D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3D0D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3D0D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3D0D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E7E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E7EF" w:themeFill="accent3" w:themeFillTint="7F"/>
      </w:tcPr>
    </w:tblStylePr>
  </w:style>
  <w:style w:type="table" w:styleId="MediumGrid3-Accent4">
    <w:name w:val="Medium Grid 3 Accent 4"/>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E7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1A1A1"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1A1A1"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1A1A1"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1A1A1"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D0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D0D0" w:themeFill="accent4" w:themeFillTint="7F"/>
      </w:tcPr>
    </w:tblStylePr>
  </w:style>
  <w:style w:type="table" w:styleId="MediumGrid3-Accent5">
    <w:name w:val="Medium Grid 3 Accent 5"/>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F3F7"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3D0D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3D0D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3D0D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3D0D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E7E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E7EF" w:themeFill="accent5" w:themeFillTint="7F"/>
      </w:tcPr>
    </w:tblStylePr>
  </w:style>
  <w:style w:type="table" w:styleId="MediumGrid3-Accent6">
    <w:name w:val="Medium Grid 3 Accent 6"/>
    <w:basedOn w:val="TableNormal"/>
    <w:uiPriority w:val="98"/>
    <w:semiHidden/>
    <w:unhideWhenUsed/>
    <w:rsid w:val="001F6DC1"/>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E7E7"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1A1A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1A1A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1A1A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1A1A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D0D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D0D0" w:themeFill="accent6" w:themeFillTint="7F"/>
      </w:tcPr>
    </w:tblStylePr>
  </w:style>
  <w:style w:type="table" w:styleId="MediumList1">
    <w:name w:val="Medium List 1"/>
    <w:basedOn w:val="TableNormal"/>
    <w:uiPriority w:val="98"/>
    <w:semiHidden/>
    <w:unhideWhenUsed/>
    <w:rsid w:val="001F6DC1"/>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585858"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98"/>
    <w:semiHidden/>
    <w:unhideWhenUsed/>
    <w:rsid w:val="001F6DC1"/>
    <w:rPr>
      <w:color w:val="000000" w:themeColor="text1"/>
    </w:rPr>
    <w:tblPr>
      <w:tblStyleRowBandSize w:val="1"/>
      <w:tblStyleColBandSize w:val="1"/>
      <w:tblBorders>
        <w:top w:val="single" w:sz="8" w:space="0" w:color="63D0DF" w:themeColor="accent1"/>
        <w:bottom w:val="single" w:sz="8" w:space="0" w:color="63D0DF" w:themeColor="accent1"/>
      </w:tblBorders>
    </w:tblPr>
    <w:tblStylePr w:type="firstRow">
      <w:rPr>
        <w:rFonts w:asciiTheme="majorHAnsi" w:eastAsiaTheme="majorEastAsia" w:hAnsiTheme="majorHAnsi" w:cstheme="majorBidi"/>
      </w:rPr>
      <w:tblPr/>
      <w:tcPr>
        <w:tcBorders>
          <w:top w:val="nil"/>
          <w:bottom w:val="single" w:sz="8" w:space="0" w:color="63D0DF" w:themeColor="accent1"/>
        </w:tcBorders>
      </w:tcPr>
    </w:tblStylePr>
    <w:tblStylePr w:type="lastRow">
      <w:rPr>
        <w:b/>
        <w:bCs/>
        <w:color w:val="585858" w:themeColor="text2"/>
      </w:rPr>
      <w:tblPr/>
      <w:tcPr>
        <w:tcBorders>
          <w:top w:val="single" w:sz="8" w:space="0" w:color="63D0DF" w:themeColor="accent1"/>
          <w:bottom w:val="single" w:sz="8" w:space="0" w:color="63D0DF" w:themeColor="accent1"/>
        </w:tcBorders>
      </w:tcPr>
    </w:tblStylePr>
    <w:tblStylePr w:type="firstCol">
      <w:rPr>
        <w:b/>
        <w:bCs/>
      </w:rPr>
    </w:tblStylePr>
    <w:tblStylePr w:type="lastCol">
      <w:rPr>
        <w:b/>
        <w:bCs/>
      </w:rPr>
      <w:tblPr/>
      <w:tcPr>
        <w:tcBorders>
          <w:top w:val="single" w:sz="8" w:space="0" w:color="63D0DF" w:themeColor="accent1"/>
          <w:bottom w:val="single" w:sz="8" w:space="0" w:color="63D0DF" w:themeColor="accent1"/>
        </w:tcBorders>
      </w:tcPr>
    </w:tblStylePr>
    <w:tblStylePr w:type="band1Vert">
      <w:tblPr/>
      <w:tcPr>
        <w:shd w:val="clear" w:color="auto" w:fill="D8F3F7" w:themeFill="accent1" w:themeFillTint="3F"/>
      </w:tcPr>
    </w:tblStylePr>
    <w:tblStylePr w:type="band1Horz">
      <w:tblPr/>
      <w:tcPr>
        <w:shd w:val="clear" w:color="auto" w:fill="D8F3F7" w:themeFill="accent1" w:themeFillTint="3F"/>
      </w:tcPr>
    </w:tblStylePr>
  </w:style>
  <w:style w:type="table" w:styleId="MediumList1-Accent2">
    <w:name w:val="Medium List 1 Accent 2"/>
    <w:basedOn w:val="TableNormal"/>
    <w:uiPriority w:val="98"/>
    <w:semiHidden/>
    <w:unhideWhenUsed/>
    <w:rsid w:val="001F6DC1"/>
    <w:rPr>
      <w:color w:val="000000" w:themeColor="text1"/>
    </w:rPr>
    <w:tblPr>
      <w:tblStyleRowBandSize w:val="1"/>
      <w:tblStyleColBandSize w:val="1"/>
      <w:tblBorders>
        <w:top w:val="single" w:sz="8" w:space="0" w:color="C9C9CA" w:themeColor="accent2"/>
        <w:bottom w:val="single" w:sz="8" w:space="0" w:color="C9C9CA" w:themeColor="accent2"/>
      </w:tblBorders>
    </w:tblPr>
    <w:tblStylePr w:type="firstRow">
      <w:rPr>
        <w:rFonts w:asciiTheme="majorHAnsi" w:eastAsiaTheme="majorEastAsia" w:hAnsiTheme="majorHAnsi" w:cstheme="majorBidi"/>
      </w:rPr>
      <w:tblPr/>
      <w:tcPr>
        <w:tcBorders>
          <w:top w:val="nil"/>
          <w:bottom w:val="single" w:sz="8" w:space="0" w:color="C9C9CA" w:themeColor="accent2"/>
        </w:tcBorders>
      </w:tcPr>
    </w:tblStylePr>
    <w:tblStylePr w:type="lastRow">
      <w:rPr>
        <w:b/>
        <w:bCs/>
        <w:color w:val="585858" w:themeColor="text2"/>
      </w:rPr>
      <w:tblPr/>
      <w:tcPr>
        <w:tcBorders>
          <w:top w:val="single" w:sz="8" w:space="0" w:color="C9C9CA" w:themeColor="accent2"/>
          <w:bottom w:val="single" w:sz="8" w:space="0" w:color="C9C9CA" w:themeColor="accent2"/>
        </w:tcBorders>
      </w:tcPr>
    </w:tblStylePr>
    <w:tblStylePr w:type="firstCol">
      <w:rPr>
        <w:b/>
        <w:bCs/>
      </w:rPr>
    </w:tblStylePr>
    <w:tblStylePr w:type="lastCol">
      <w:rPr>
        <w:b/>
        <w:bCs/>
      </w:rPr>
      <w:tblPr/>
      <w:tcPr>
        <w:tcBorders>
          <w:top w:val="single" w:sz="8" w:space="0" w:color="C9C9CA" w:themeColor="accent2"/>
          <w:bottom w:val="single" w:sz="8" w:space="0" w:color="C9C9CA" w:themeColor="accent2"/>
        </w:tcBorders>
      </w:tcPr>
    </w:tblStylePr>
    <w:tblStylePr w:type="band1Vert">
      <w:tblPr/>
      <w:tcPr>
        <w:shd w:val="clear" w:color="auto" w:fill="F1F1F1" w:themeFill="accent2" w:themeFillTint="3F"/>
      </w:tcPr>
    </w:tblStylePr>
    <w:tblStylePr w:type="band1Horz">
      <w:tblPr/>
      <w:tcPr>
        <w:shd w:val="clear" w:color="auto" w:fill="F1F1F1" w:themeFill="accent2" w:themeFillTint="3F"/>
      </w:tcPr>
    </w:tblStylePr>
  </w:style>
  <w:style w:type="table" w:styleId="MediumList1-Accent3">
    <w:name w:val="Medium List 1 Accent 3"/>
    <w:basedOn w:val="TableNormal"/>
    <w:uiPriority w:val="98"/>
    <w:semiHidden/>
    <w:unhideWhenUsed/>
    <w:rsid w:val="001F6DC1"/>
    <w:rPr>
      <w:color w:val="000000" w:themeColor="text1"/>
    </w:rPr>
    <w:tblPr>
      <w:tblStyleRowBandSize w:val="1"/>
      <w:tblStyleColBandSize w:val="1"/>
      <w:tblBorders>
        <w:top w:val="single" w:sz="8" w:space="0" w:color="63D0DF" w:themeColor="accent3"/>
        <w:bottom w:val="single" w:sz="8" w:space="0" w:color="63D0DF" w:themeColor="accent3"/>
      </w:tblBorders>
    </w:tblPr>
    <w:tblStylePr w:type="firstRow">
      <w:rPr>
        <w:rFonts w:asciiTheme="majorHAnsi" w:eastAsiaTheme="majorEastAsia" w:hAnsiTheme="majorHAnsi" w:cstheme="majorBidi"/>
      </w:rPr>
      <w:tblPr/>
      <w:tcPr>
        <w:tcBorders>
          <w:top w:val="nil"/>
          <w:bottom w:val="single" w:sz="8" w:space="0" w:color="63D0DF" w:themeColor="accent3"/>
        </w:tcBorders>
      </w:tcPr>
    </w:tblStylePr>
    <w:tblStylePr w:type="lastRow">
      <w:rPr>
        <w:b/>
        <w:bCs/>
        <w:color w:val="585858" w:themeColor="text2"/>
      </w:rPr>
      <w:tblPr/>
      <w:tcPr>
        <w:tcBorders>
          <w:top w:val="single" w:sz="8" w:space="0" w:color="63D0DF" w:themeColor="accent3"/>
          <w:bottom w:val="single" w:sz="8" w:space="0" w:color="63D0DF" w:themeColor="accent3"/>
        </w:tcBorders>
      </w:tcPr>
    </w:tblStylePr>
    <w:tblStylePr w:type="firstCol">
      <w:rPr>
        <w:b/>
        <w:bCs/>
      </w:rPr>
    </w:tblStylePr>
    <w:tblStylePr w:type="lastCol">
      <w:rPr>
        <w:b/>
        <w:bCs/>
      </w:rPr>
      <w:tblPr/>
      <w:tcPr>
        <w:tcBorders>
          <w:top w:val="single" w:sz="8" w:space="0" w:color="63D0DF" w:themeColor="accent3"/>
          <w:bottom w:val="single" w:sz="8" w:space="0" w:color="63D0DF" w:themeColor="accent3"/>
        </w:tcBorders>
      </w:tcPr>
    </w:tblStylePr>
    <w:tblStylePr w:type="band1Vert">
      <w:tblPr/>
      <w:tcPr>
        <w:shd w:val="clear" w:color="auto" w:fill="D8F3F7" w:themeFill="accent3" w:themeFillTint="3F"/>
      </w:tcPr>
    </w:tblStylePr>
    <w:tblStylePr w:type="band1Horz">
      <w:tblPr/>
      <w:tcPr>
        <w:shd w:val="clear" w:color="auto" w:fill="D8F3F7" w:themeFill="accent3" w:themeFillTint="3F"/>
      </w:tcPr>
    </w:tblStylePr>
  </w:style>
  <w:style w:type="table" w:styleId="MediumList1-Accent4">
    <w:name w:val="Medium List 1 Accent 4"/>
    <w:basedOn w:val="TableNormal"/>
    <w:uiPriority w:val="98"/>
    <w:semiHidden/>
    <w:unhideWhenUsed/>
    <w:rsid w:val="001F6DC1"/>
    <w:rPr>
      <w:color w:val="000000" w:themeColor="text1"/>
    </w:rPr>
    <w:tblPr>
      <w:tblStyleRowBandSize w:val="1"/>
      <w:tblStyleColBandSize w:val="1"/>
      <w:tblBorders>
        <w:top w:val="single" w:sz="8" w:space="0" w:color="A1A1A1" w:themeColor="accent4"/>
        <w:bottom w:val="single" w:sz="8" w:space="0" w:color="A1A1A1" w:themeColor="accent4"/>
      </w:tblBorders>
    </w:tblPr>
    <w:tblStylePr w:type="firstRow">
      <w:rPr>
        <w:rFonts w:asciiTheme="majorHAnsi" w:eastAsiaTheme="majorEastAsia" w:hAnsiTheme="majorHAnsi" w:cstheme="majorBidi"/>
      </w:rPr>
      <w:tblPr/>
      <w:tcPr>
        <w:tcBorders>
          <w:top w:val="nil"/>
          <w:bottom w:val="single" w:sz="8" w:space="0" w:color="A1A1A1" w:themeColor="accent4"/>
        </w:tcBorders>
      </w:tcPr>
    </w:tblStylePr>
    <w:tblStylePr w:type="lastRow">
      <w:rPr>
        <w:b/>
        <w:bCs/>
        <w:color w:val="585858" w:themeColor="text2"/>
      </w:rPr>
      <w:tblPr/>
      <w:tcPr>
        <w:tcBorders>
          <w:top w:val="single" w:sz="8" w:space="0" w:color="A1A1A1" w:themeColor="accent4"/>
          <w:bottom w:val="single" w:sz="8" w:space="0" w:color="A1A1A1" w:themeColor="accent4"/>
        </w:tcBorders>
      </w:tcPr>
    </w:tblStylePr>
    <w:tblStylePr w:type="firstCol">
      <w:rPr>
        <w:b/>
        <w:bCs/>
      </w:rPr>
    </w:tblStylePr>
    <w:tblStylePr w:type="lastCol">
      <w:rPr>
        <w:b/>
        <w:bCs/>
      </w:rPr>
      <w:tblPr/>
      <w:tcPr>
        <w:tcBorders>
          <w:top w:val="single" w:sz="8" w:space="0" w:color="A1A1A1" w:themeColor="accent4"/>
          <w:bottom w:val="single" w:sz="8" w:space="0" w:color="A1A1A1" w:themeColor="accent4"/>
        </w:tcBorders>
      </w:tcPr>
    </w:tblStylePr>
    <w:tblStylePr w:type="band1Vert">
      <w:tblPr/>
      <w:tcPr>
        <w:shd w:val="clear" w:color="auto" w:fill="E7E7E7" w:themeFill="accent4" w:themeFillTint="3F"/>
      </w:tcPr>
    </w:tblStylePr>
    <w:tblStylePr w:type="band1Horz">
      <w:tblPr/>
      <w:tcPr>
        <w:shd w:val="clear" w:color="auto" w:fill="E7E7E7" w:themeFill="accent4" w:themeFillTint="3F"/>
      </w:tcPr>
    </w:tblStylePr>
  </w:style>
  <w:style w:type="table" w:styleId="MediumList1-Accent5">
    <w:name w:val="Medium List 1 Accent 5"/>
    <w:basedOn w:val="TableNormal"/>
    <w:uiPriority w:val="98"/>
    <w:semiHidden/>
    <w:unhideWhenUsed/>
    <w:rsid w:val="001F6DC1"/>
    <w:rPr>
      <w:color w:val="000000" w:themeColor="text1"/>
    </w:rPr>
    <w:tblPr>
      <w:tblStyleRowBandSize w:val="1"/>
      <w:tblStyleColBandSize w:val="1"/>
      <w:tblBorders>
        <w:top w:val="single" w:sz="8" w:space="0" w:color="63D0DF" w:themeColor="accent5"/>
        <w:bottom w:val="single" w:sz="8" w:space="0" w:color="63D0DF" w:themeColor="accent5"/>
      </w:tblBorders>
    </w:tblPr>
    <w:tblStylePr w:type="firstRow">
      <w:rPr>
        <w:rFonts w:asciiTheme="majorHAnsi" w:eastAsiaTheme="majorEastAsia" w:hAnsiTheme="majorHAnsi" w:cstheme="majorBidi"/>
      </w:rPr>
      <w:tblPr/>
      <w:tcPr>
        <w:tcBorders>
          <w:top w:val="nil"/>
          <w:bottom w:val="single" w:sz="8" w:space="0" w:color="63D0DF" w:themeColor="accent5"/>
        </w:tcBorders>
      </w:tcPr>
    </w:tblStylePr>
    <w:tblStylePr w:type="lastRow">
      <w:rPr>
        <w:b/>
        <w:bCs/>
        <w:color w:val="585858" w:themeColor="text2"/>
      </w:rPr>
      <w:tblPr/>
      <w:tcPr>
        <w:tcBorders>
          <w:top w:val="single" w:sz="8" w:space="0" w:color="63D0DF" w:themeColor="accent5"/>
          <w:bottom w:val="single" w:sz="8" w:space="0" w:color="63D0DF" w:themeColor="accent5"/>
        </w:tcBorders>
      </w:tcPr>
    </w:tblStylePr>
    <w:tblStylePr w:type="firstCol">
      <w:rPr>
        <w:b/>
        <w:bCs/>
      </w:rPr>
    </w:tblStylePr>
    <w:tblStylePr w:type="lastCol">
      <w:rPr>
        <w:b/>
        <w:bCs/>
      </w:rPr>
      <w:tblPr/>
      <w:tcPr>
        <w:tcBorders>
          <w:top w:val="single" w:sz="8" w:space="0" w:color="63D0DF" w:themeColor="accent5"/>
          <w:bottom w:val="single" w:sz="8" w:space="0" w:color="63D0DF" w:themeColor="accent5"/>
        </w:tcBorders>
      </w:tcPr>
    </w:tblStylePr>
    <w:tblStylePr w:type="band1Vert">
      <w:tblPr/>
      <w:tcPr>
        <w:shd w:val="clear" w:color="auto" w:fill="D8F3F7" w:themeFill="accent5" w:themeFillTint="3F"/>
      </w:tcPr>
    </w:tblStylePr>
    <w:tblStylePr w:type="band1Horz">
      <w:tblPr/>
      <w:tcPr>
        <w:shd w:val="clear" w:color="auto" w:fill="D8F3F7" w:themeFill="accent5" w:themeFillTint="3F"/>
      </w:tcPr>
    </w:tblStylePr>
  </w:style>
  <w:style w:type="table" w:styleId="MediumList1-Accent6">
    <w:name w:val="Medium List 1 Accent 6"/>
    <w:basedOn w:val="TableNormal"/>
    <w:uiPriority w:val="98"/>
    <w:semiHidden/>
    <w:unhideWhenUsed/>
    <w:rsid w:val="001F6DC1"/>
    <w:rPr>
      <w:color w:val="000000" w:themeColor="text1"/>
    </w:rPr>
    <w:tblPr>
      <w:tblStyleRowBandSize w:val="1"/>
      <w:tblStyleColBandSize w:val="1"/>
      <w:tblBorders>
        <w:top w:val="single" w:sz="8" w:space="0" w:color="A1A1A1" w:themeColor="accent6"/>
        <w:bottom w:val="single" w:sz="8" w:space="0" w:color="A1A1A1" w:themeColor="accent6"/>
      </w:tblBorders>
    </w:tblPr>
    <w:tblStylePr w:type="firstRow">
      <w:rPr>
        <w:rFonts w:asciiTheme="majorHAnsi" w:eastAsiaTheme="majorEastAsia" w:hAnsiTheme="majorHAnsi" w:cstheme="majorBidi"/>
      </w:rPr>
      <w:tblPr/>
      <w:tcPr>
        <w:tcBorders>
          <w:top w:val="nil"/>
          <w:bottom w:val="single" w:sz="8" w:space="0" w:color="A1A1A1" w:themeColor="accent6"/>
        </w:tcBorders>
      </w:tcPr>
    </w:tblStylePr>
    <w:tblStylePr w:type="lastRow">
      <w:rPr>
        <w:b/>
        <w:bCs/>
        <w:color w:val="585858" w:themeColor="text2"/>
      </w:rPr>
      <w:tblPr/>
      <w:tcPr>
        <w:tcBorders>
          <w:top w:val="single" w:sz="8" w:space="0" w:color="A1A1A1" w:themeColor="accent6"/>
          <w:bottom w:val="single" w:sz="8" w:space="0" w:color="A1A1A1" w:themeColor="accent6"/>
        </w:tcBorders>
      </w:tcPr>
    </w:tblStylePr>
    <w:tblStylePr w:type="firstCol">
      <w:rPr>
        <w:b/>
        <w:bCs/>
      </w:rPr>
    </w:tblStylePr>
    <w:tblStylePr w:type="lastCol">
      <w:rPr>
        <w:b/>
        <w:bCs/>
      </w:rPr>
      <w:tblPr/>
      <w:tcPr>
        <w:tcBorders>
          <w:top w:val="single" w:sz="8" w:space="0" w:color="A1A1A1" w:themeColor="accent6"/>
          <w:bottom w:val="single" w:sz="8" w:space="0" w:color="A1A1A1" w:themeColor="accent6"/>
        </w:tcBorders>
      </w:tcPr>
    </w:tblStylePr>
    <w:tblStylePr w:type="band1Vert">
      <w:tblPr/>
      <w:tcPr>
        <w:shd w:val="clear" w:color="auto" w:fill="E7E7E7" w:themeFill="accent6" w:themeFillTint="3F"/>
      </w:tcPr>
    </w:tblStylePr>
    <w:tblStylePr w:type="band1Horz">
      <w:tblPr/>
      <w:tcPr>
        <w:shd w:val="clear" w:color="auto" w:fill="E7E7E7" w:themeFill="accent6" w:themeFillTint="3F"/>
      </w:tcPr>
    </w:tblStylePr>
  </w:style>
  <w:style w:type="table" w:styleId="MediumList2">
    <w:name w:val="Medium List 2"/>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1"/>
        <w:left w:val="single" w:sz="8" w:space="0" w:color="63D0DF" w:themeColor="accent1"/>
        <w:bottom w:val="single" w:sz="8" w:space="0" w:color="63D0DF" w:themeColor="accent1"/>
        <w:right w:val="single" w:sz="8" w:space="0" w:color="63D0DF" w:themeColor="accent1"/>
      </w:tblBorders>
    </w:tblPr>
    <w:tblStylePr w:type="firstRow">
      <w:rPr>
        <w:sz w:val="24"/>
        <w:szCs w:val="24"/>
      </w:rPr>
      <w:tblPr/>
      <w:tcPr>
        <w:tcBorders>
          <w:top w:val="nil"/>
          <w:left w:val="nil"/>
          <w:bottom w:val="single" w:sz="24" w:space="0" w:color="63D0D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D0DF" w:themeColor="accent1"/>
          <w:insideH w:val="nil"/>
          <w:insideV w:val="nil"/>
        </w:tcBorders>
        <w:shd w:val="clear" w:color="auto" w:fill="FFFFFF" w:themeFill="background1"/>
      </w:tcPr>
    </w:tblStylePr>
    <w:tblStylePr w:type="lastCol">
      <w:tblPr/>
      <w:tcPr>
        <w:tcBorders>
          <w:top w:val="nil"/>
          <w:left w:val="single" w:sz="8" w:space="0" w:color="63D0D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F3F7" w:themeFill="accent1" w:themeFillTint="3F"/>
      </w:tcPr>
    </w:tblStylePr>
    <w:tblStylePr w:type="band1Horz">
      <w:tblPr/>
      <w:tcPr>
        <w:tcBorders>
          <w:top w:val="nil"/>
          <w:bottom w:val="nil"/>
          <w:insideH w:val="nil"/>
          <w:insideV w:val="nil"/>
        </w:tcBorders>
        <w:shd w:val="clear" w:color="auto" w:fill="D8F3F7"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C9C9CA" w:themeColor="accent2"/>
        <w:left w:val="single" w:sz="8" w:space="0" w:color="C9C9CA" w:themeColor="accent2"/>
        <w:bottom w:val="single" w:sz="8" w:space="0" w:color="C9C9CA" w:themeColor="accent2"/>
        <w:right w:val="single" w:sz="8" w:space="0" w:color="C9C9CA" w:themeColor="accent2"/>
      </w:tblBorders>
    </w:tblPr>
    <w:tblStylePr w:type="firstRow">
      <w:rPr>
        <w:sz w:val="24"/>
        <w:szCs w:val="24"/>
      </w:rPr>
      <w:tblPr/>
      <w:tcPr>
        <w:tcBorders>
          <w:top w:val="nil"/>
          <w:left w:val="nil"/>
          <w:bottom w:val="single" w:sz="24" w:space="0" w:color="C9C9CA"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9C9CA" w:themeColor="accent2"/>
          <w:insideH w:val="nil"/>
          <w:insideV w:val="nil"/>
        </w:tcBorders>
        <w:shd w:val="clear" w:color="auto" w:fill="FFFFFF" w:themeFill="background1"/>
      </w:tcPr>
    </w:tblStylePr>
    <w:tblStylePr w:type="lastCol">
      <w:tblPr/>
      <w:tcPr>
        <w:tcBorders>
          <w:top w:val="nil"/>
          <w:left w:val="single" w:sz="8" w:space="0" w:color="C9C9C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1F1" w:themeFill="accent2" w:themeFillTint="3F"/>
      </w:tcPr>
    </w:tblStylePr>
    <w:tblStylePr w:type="band1Horz">
      <w:tblPr/>
      <w:tcPr>
        <w:tcBorders>
          <w:top w:val="nil"/>
          <w:bottom w:val="nil"/>
          <w:insideH w:val="nil"/>
          <w:insideV w:val="nil"/>
        </w:tcBorders>
        <w:shd w:val="clear" w:color="auto" w:fill="F1F1F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3"/>
        <w:left w:val="single" w:sz="8" w:space="0" w:color="63D0DF" w:themeColor="accent3"/>
        <w:bottom w:val="single" w:sz="8" w:space="0" w:color="63D0DF" w:themeColor="accent3"/>
        <w:right w:val="single" w:sz="8" w:space="0" w:color="63D0DF" w:themeColor="accent3"/>
      </w:tblBorders>
    </w:tblPr>
    <w:tblStylePr w:type="firstRow">
      <w:rPr>
        <w:sz w:val="24"/>
        <w:szCs w:val="24"/>
      </w:rPr>
      <w:tblPr/>
      <w:tcPr>
        <w:tcBorders>
          <w:top w:val="nil"/>
          <w:left w:val="nil"/>
          <w:bottom w:val="single" w:sz="24" w:space="0" w:color="63D0D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D0DF" w:themeColor="accent3"/>
          <w:insideH w:val="nil"/>
          <w:insideV w:val="nil"/>
        </w:tcBorders>
        <w:shd w:val="clear" w:color="auto" w:fill="FFFFFF" w:themeFill="background1"/>
      </w:tcPr>
    </w:tblStylePr>
    <w:tblStylePr w:type="lastCol">
      <w:tblPr/>
      <w:tcPr>
        <w:tcBorders>
          <w:top w:val="nil"/>
          <w:left w:val="single" w:sz="8" w:space="0" w:color="63D0D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F3F7" w:themeFill="accent3" w:themeFillTint="3F"/>
      </w:tcPr>
    </w:tblStylePr>
    <w:tblStylePr w:type="band1Horz">
      <w:tblPr/>
      <w:tcPr>
        <w:tcBorders>
          <w:top w:val="nil"/>
          <w:bottom w:val="nil"/>
          <w:insideH w:val="nil"/>
          <w:insideV w:val="nil"/>
        </w:tcBorders>
        <w:shd w:val="clear" w:color="auto" w:fill="D8F3F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A1A1A1" w:themeColor="accent4"/>
        <w:left w:val="single" w:sz="8" w:space="0" w:color="A1A1A1" w:themeColor="accent4"/>
        <w:bottom w:val="single" w:sz="8" w:space="0" w:color="A1A1A1" w:themeColor="accent4"/>
        <w:right w:val="single" w:sz="8" w:space="0" w:color="A1A1A1" w:themeColor="accent4"/>
      </w:tblBorders>
    </w:tblPr>
    <w:tblStylePr w:type="firstRow">
      <w:rPr>
        <w:sz w:val="24"/>
        <w:szCs w:val="24"/>
      </w:rPr>
      <w:tblPr/>
      <w:tcPr>
        <w:tcBorders>
          <w:top w:val="nil"/>
          <w:left w:val="nil"/>
          <w:bottom w:val="single" w:sz="24" w:space="0" w:color="A1A1A1"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1A1A1" w:themeColor="accent4"/>
          <w:insideH w:val="nil"/>
          <w:insideV w:val="nil"/>
        </w:tcBorders>
        <w:shd w:val="clear" w:color="auto" w:fill="FFFFFF" w:themeFill="background1"/>
      </w:tcPr>
    </w:tblStylePr>
    <w:tblStylePr w:type="lastCol">
      <w:tblPr/>
      <w:tcPr>
        <w:tcBorders>
          <w:top w:val="nil"/>
          <w:left w:val="single" w:sz="8" w:space="0" w:color="A1A1A1"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E7E7" w:themeFill="accent4" w:themeFillTint="3F"/>
      </w:tcPr>
    </w:tblStylePr>
    <w:tblStylePr w:type="band1Horz">
      <w:tblPr/>
      <w:tcPr>
        <w:tcBorders>
          <w:top w:val="nil"/>
          <w:bottom w:val="nil"/>
          <w:insideH w:val="nil"/>
          <w:insideV w:val="nil"/>
        </w:tcBorders>
        <w:shd w:val="clear" w:color="auto" w:fill="E7E7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63D0DF" w:themeColor="accent5"/>
        <w:left w:val="single" w:sz="8" w:space="0" w:color="63D0DF" w:themeColor="accent5"/>
        <w:bottom w:val="single" w:sz="8" w:space="0" w:color="63D0DF" w:themeColor="accent5"/>
        <w:right w:val="single" w:sz="8" w:space="0" w:color="63D0DF" w:themeColor="accent5"/>
      </w:tblBorders>
    </w:tblPr>
    <w:tblStylePr w:type="firstRow">
      <w:rPr>
        <w:sz w:val="24"/>
        <w:szCs w:val="24"/>
      </w:rPr>
      <w:tblPr/>
      <w:tcPr>
        <w:tcBorders>
          <w:top w:val="nil"/>
          <w:left w:val="nil"/>
          <w:bottom w:val="single" w:sz="24" w:space="0" w:color="63D0DF"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3D0DF" w:themeColor="accent5"/>
          <w:insideH w:val="nil"/>
          <w:insideV w:val="nil"/>
        </w:tcBorders>
        <w:shd w:val="clear" w:color="auto" w:fill="FFFFFF" w:themeFill="background1"/>
      </w:tcPr>
    </w:tblStylePr>
    <w:tblStylePr w:type="lastCol">
      <w:tblPr/>
      <w:tcPr>
        <w:tcBorders>
          <w:top w:val="nil"/>
          <w:left w:val="single" w:sz="8" w:space="0" w:color="63D0D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F3F7" w:themeFill="accent5" w:themeFillTint="3F"/>
      </w:tcPr>
    </w:tblStylePr>
    <w:tblStylePr w:type="band1Horz">
      <w:tblPr/>
      <w:tcPr>
        <w:tcBorders>
          <w:top w:val="nil"/>
          <w:bottom w:val="nil"/>
          <w:insideH w:val="nil"/>
          <w:insideV w:val="nil"/>
        </w:tcBorders>
        <w:shd w:val="clear" w:color="auto" w:fill="D8F3F7"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98"/>
    <w:semiHidden/>
    <w:unhideWhenUsed/>
    <w:rsid w:val="001F6DC1"/>
    <w:rPr>
      <w:rFonts w:asciiTheme="majorHAnsi" w:eastAsiaTheme="majorEastAsia" w:hAnsiTheme="majorHAnsi" w:cstheme="majorBidi"/>
      <w:color w:val="000000" w:themeColor="text1"/>
    </w:rPr>
    <w:tblPr>
      <w:tblStyleRowBandSize w:val="1"/>
      <w:tblStyleColBandSize w:val="1"/>
      <w:tblBorders>
        <w:top w:val="single" w:sz="8" w:space="0" w:color="A1A1A1" w:themeColor="accent6"/>
        <w:left w:val="single" w:sz="8" w:space="0" w:color="A1A1A1" w:themeColor="accent6"/>
        <w:bottom w:val="single" w:sz="8" w:space="0" w:color="A1A1A1" w:themeColor="accent6"/>
        <w:right w:val="single" w:sz="8" w:space="0" w:color="A1A1A1" w:themeColor="accent6"/>
      </w:tblBorders>
    </w:tblPr>
    <w:tblStylePr w:type="firstRow">
      <w:rPr>
        <w:sz w:val="24"/>
        <w:szCs w:val="24"/>
      </w:rPr>
      <w:tblPr/>
      <w:tcPr>
        <w:tcBorders>
          <w:top w:val="nil"/>
          <w:left w:val="nil"/>
          <w:bottom w:val="single" w:sz="24" w:space="0" w:color="A1A1A1"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1A1A1" w:themeColor="accent6"/>
          <w:insideH w:val="nil"/>
          <w:insideV w:val="nil"/>
        </w:tcBorders>
        <w:shd w:val="clear" w:color="auto" w:fill="FFFFFF" w:themeFill="background1"/>
      </w:tcPr>
    </w:tblStylePr>
    <w:tblStylePr w:type="lastCol">
      <w:tblPr/>
      <w:tcPr>
        <w:tcBorders>
          <w:top w:val="nil"/>
          <w:left w:val="single" w:sz="8" w:space="0" w:color="A1A1A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E7E7" w:themeFill="accent6" w:themeFillTint="3F"/>
      </w:tcPr>
    </w:tblStylePr>
    <w:tblStylePr w:type="band1Horz">
      <w:tblPr/>
      <w:tcPr>
        <w:tcBorders>
          <w:top w:val="nil"/>
          <w:bottom w:val="nil"/>
          <w:insideH w:val="nil"/>
          <w:insideV w:val="nil"/>
        </w:tcBorders>
        <w:shd w:val="clear" w:color="auto" w:fill="E7E7E7"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98"/>
    <w:semiHidden/>
    <w:unhideWhenUsed/>
    <w:rsid w:val="001F6DC1"/>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98"/>
    <w:semiHidden/>
    <w:unhideWhenUsed/>
    <w:rsid w:val="001F6DC1"/>
    <w:tblPr>
      <w:tblStyleRowBandSize w:val="1"/>
      <w:tblStyleColBandSize w:val="1"/>
      <w:tblBorders>
        <w:top w:val="single" w:sz="8" w:space="0" w:color="8ADBE7" w:themeColor="accent1" w:themeTint="BF"/>
        <w:left w:val="single" w:sz="8" w:space="0" w:color="8ADBE7" w:themeColor="accent1" w:themeTint="BF"/>
        <w:bottom w:val="single" w:sz="8" w:space="0" w:color="8ADBE7" w:themeColor="accent1" w:themeTint="BF"/>
        <w:right w:val="single" w:sz="8" w:space="0" w:color="8ADBE7" w:themeColor="accent1" w:themeTint="BF"/>
        <w:insideH w:val="single" w:sz="8" w:space="0" w:color="8ADBE7" w:themeColor="accent1" w:themeTint="BF"/>
      </w:tblBorders>
    </w:tblPr>
    <w:tblStylePr w:type="firstRow">
      <w:pPr>
        <w:spacing w:before="0" w:after="0" w:line="240" w:lineRule="auto"/>
      </w:pPr>
      <w:rPr>
        <w:b/>
        <w:bCs/>
        <w:color w:val="FFFFFF" w:themeColor="background1"/>
      </w:rPr>
      <w:tblPr/>
      <w:tcPr>
        <w:tcBorders>
          <w:top w:val="single" w:sz="8" w:space="0" w:color="8ADBE7" w:themeColor="accent1" w:themeTint="BF"/>
          <w:left w:val="single" w:sz="8" w:space="0" w:color="8ADBE7" w:themeColor="accent1" w:themeTint="BF"/>
          <w:bottom w:val="single" w:sz="8" w:space="0" w:color="8ADBE7" w:themeColor="accent1" w:themeTint="BF"/>
          <w:right w:val="single" w:sz="8" w:space="0" w:color="8ADBE7" w:themeColor="accent1" w:themeTint="BF"/>
          <w:insideH w:val="nil"/>
          <w:insideV w:val="nil"/>
        </w:tcBorders>
        <w:shd w:val="clear" w:color="auto" w:fill="63D0DF" w:themeFill="accent1"/>
      </w:tcPr>
    </w:tblStylePr>
    <w:tblStylePr w:type="lastRow">
      <w:pPr>
        <w:spacing w:before="0" w:after="0" w:line="240" w:lineRule="auto"/>
      </w:pPr>
      <w:rPr>
        <w:b/>
        <w:bCs/>
      </w:rPr>
      <w:tblPr/>
      <w:tcPr>
        <w:tcBorders>
          <w:top w:val="double" w:sz="6" w:space="0" w:color="8ADBE7" w:themeColor="accent1" w:themeTint="BF"/>
          <w:left w:val="single" w:sz="8" w:space="0" w:color="8ADBE7" w:themeColor="accent1" w:themeTint="BF"/>
          <w:bottom w:val="single" w:sz="8" w:space="0" w:color="8ADBE7" w:themeColor="accent1" w:themeTint="BF"/>
          <w:right w:val="single" w:sz="8" w:space="0" w:color="8ADBE7" w:themeColor="accent1" w:themeTint="BF"/>
          <w:insideH w:val="nil"/>
          <w:insideV w:val="nil"/>
        </w:tcBorders>
      </w:tcPr>
    </w:tblStylePr>
    <w:tblStylePr w:type="firstCol">
      <w:rPr>
        <w:b/>
        <w:bCs/>
      </w:rPr>
    </w:tblStylePr>
    <w:tblStylePr w:type="lastCol">
      <w:rPr>
        <w:b/>
        <w:bCs/>
      </w:rPr>
    </w:tblStylePr>
    <w:tblStylePr w:type="band1Vert">
      <w:tblPr/>
      <w:tcPr>
        <w:shd w:val="clear" w:color="auto" w:fill="D8F3F7" w:themeFill="accent1" w:themeFillTint="3F"/>
      </w:tcPr>
    </w:tblStylePr>
    <w:tblStylePr w:type="band1Horz">
      <w:tblPr/>
      <w:tcPr>
        <w:tcBorders>
          <w:insideH w:val="nil"/>
          <w:insideV w:val="nil"/>
        </w:tcBorders>
        <w:shd w:val="clear" w:color="auto" w:fill="D8F3F7"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98"/>
    <w:semiHidden/>
    <w:unhideWhenUsed/>
    <w:rsid w:val="001F6DC1"/>
    <w:tblPr>
      <w:tblStyleRowBandSize w:val="1"/>
      <w:tblStyleColBandSize w:val="1"/>
      <w:tblBorders>
        <w:top w:val="single" w:sz="8" w:space="0" w:color="D6D6D7" w:themeColor="accent2" w:themeTint="BF"/>
        <w:left w:val="single" w:sz="8" w:space="0" w:color="D6D6D7" w:themeColor="accent2" w:themeTint="BF"/>
        <w:bottom w:val="single" w:sz="8" w:space="0" w:color="D6D6D7" w:themeColor="accent2" w:themeTint="BF"/>
        <w:right w:val="single" w:sz="8" w:space="0" w:color="D6D6D7" w:themeColor="accent2" w:themeTint="BF"/>
        <w:insideH w:val="single" w:sz="8" w:space="0" w:color="D6D6D7" w:themeColor="accent2" w:themeTint="BF"/>
      </w:tblBorders>
    </w:tblPr>
    <w:tblStylePr w:type="firstRow">
      <w:pPr>
        <w:spacing w:before="0" w:after="0" w:line="240" w:lineRule="auto"/>
      </w:pPr>
      <w:rPr>
        <w:b/>
        <w:bCs/>
        <w:color w:val="FFFFFF" w:themeColor="background1"/>
      </w:rPr>
      <w:tblPr/>
      <w:tcPr>
        <w:tcBorders>
          <w:top w:val="single" w:sz="8" w:space="0" w:color="D6D6D7" w:themeColor="accent2" w:themeTint="BF"/>
          <w:left w:val="single" w:sz="8" w:space="0" w:color="D6D6D7" w:themeColor="accent2" w:themeTint="BF"/>
          <w:bottom w:val="single" w:sz="8" w:space="0" w:color="D6D6D7" w:themeColor="accent2" w:themeTint="BF"/>
          <w:right w:val="single" w:sz="8" w:space="0" w:color="D6D6D7" w:themeColor="accent2" w:themeTint="BF"/>
          <w:insideH w:val="nil"/>
          <w:insideV w:val="nil"/>
        </w:tcBorders>
        <w:shd w:val="clear" w:color="auto" w:fill="C9C9CA" w:themeFill="accent2"/>
      </w:tcPr>
    </w:tblStylePr>
    <w:tblStylePr w:type="lastRow">
      <w:pPr>
        <w:spacing w:before="0" w:after="0" w:line="240" w:lineRule="auto"/>
      </w:pPr>
      <w:rPr>
        <w:b/>
        <w:bCs/>
      </w:rPr>
      <w:tblPr/>
      <w:tcPr>
        <w:tcBorders>
          <w:top w:val="double" w:sz="6" w:space="0" w:color="D6D6D7" w:themeColor="accent2" w:themeTint="BF"/>
          <w:left w:val="single" w:sz="8" w:space="0" w:color="D6D6D7" w:themeColor="accent2" w:themeTint="BF"/>
          <w:bottom w:val="single" w:sz="8" w:space="0" w:color="D6D6D7" w:themeColor="accent2" w:themeTint="BF"/>
          <w:right w:val="single" w:sz="8" w:space="0" w:color="D6D6D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1F1F1" w:themeFill="accent2" w:themeFillTint="3F"/>
      </w:tcPr>
    </w:tblStylePr>
    <w:tblStylePr w:type="band1Horz">
      <w:tblPr/>
      <w:tcPr>
        <w:tcBorders>
          <w:insideH w:val="nil"/>
          <w:insideV w:val="nil"/>
        </w:tcBorders>
        <w:shd w:val="clear" w:color="auto" w:fill="F1F1F1"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98"/>
    <w:semiHidden/>
    <w:unhideWhenUsed/>
    <w:rsid w:val="001F6DC1"/>
    <w:tblPr>
      <w:tblStyleRowBandSize w:val="1"/>
      <w:tblStyleColBandSize w:val="1"/>
      <w:tblBorders>
        <w:top w:val="single" w:sz="8" w:space="0" w:color="8ADBE7" w:themeColor="accent3" w:themeTint="BF"/>
        <w:left w:val="single" w:sz="8" w:space="0" w:color="8ADBE7" w:themeColor="accent3" w:themeTint="BF"/>
        <w:bottom w:val="single" w:sz="8" w:space="0" w:color="8ADBE7" w:themeColor="accent3" w:themeTint="BF"/>
        <w:right w:val="single" w:sz="8" w:space="0" w:color="8ADBE7" w:themeColor="accent3" w:themeTint="BF"/>
        <w:insideH w:val="single" w:sz="8" w:space="0" w:color="8ADBE7" w:themeColor="accent3" w:themeTint="BF"/>
      </w:tblBorders>
    </w:tblPr>
    <w:tblStylePr w:type="firstRow">
      <w:pPr>
        <w:spacing w:before="0" w:after="0" w:line="240" w:lineRule="auto"/>
      </w:pPr>
      <w:rPr>
        <w:b/>
        <w:bCs/>
        <w:color w:val="FFFFFF" w:themeColor="background1"/>
      </w:rPr>
      <w:tblPr/>
      <w:tcPr>
        <w:tcBorders>
          <w:top w:val="single" w:sz="8" w:space="0" w:color="8ADBE7" w:themeColor="accent3" w:themeTint="BF"/>
          <w:left w:val="single" w:sz="8" w:space="0" w:color="8ADBE7" w:themeColor="accent3" w:themeTint="BF"/>
          <w:bottom w:val="single" w:sz="8" w:space="0" w:color="8ADBE7" w:themeColor="accent3" w:themeTint="BF"/>
          <w:right w:val="single" w:sz="8" w:space="0" w:color="8ADBE7" w:themeColor="accent3" w:themeTint="BF"/>
          <w:insideH w:val="nil"/>
          <w:insideV w:val="nil"/>
        </w:tcBorders>
        <w:shd w:val="clear" w:color="auto" w:fill="63D0DF" w:themeFill="accent3"/>
      </w:tcPr>
    </w:tblStylePr>
    <w:tblStylePr w:type="lastRow">
      <w:pPr>
        <w:spacing w:before="0" w:after="0" w:line="240" w:lineRule="auto"/>
      </w:pPr>
      <w:rPr>
        <w:b/>
        <w:bCs/>
      </w:rPr>
      <w:tblPr/>
      <w:tcPr>
        <w:tcBorders>
          <w:top w:val="double" w:sz="6" w:space="0" w:color="8ADBE7" w:themeColor="accent3" w:themeTint="BF"/>
          <w:left w:val="single" w:sz="8" w:space="0" w:color="8ADBE7" w:themeColor="accent3" w:themeTint="BF"/>
          <w:bottom w:val="single" w:sz="8" w:space="0" w:color="8ADBE7" w:themeColor="accent3" w:themeTint="BF"/>
          <w:right w:val="single" w:sz="8" w:space="0" w:color="8ADBE7" w:themeColor="accent3" w:themeTint="BF"/>
          <w:insideH w:val="nil"/>
          <w:insideV w:val="nil"/>
        </w:tcBorders>
      </w:tcPr>
    </w:tblStylePr>
    <w:tblStylePr w:type="firstCol">
      <w:rPr>
        <w:b/>
        <w:bCs/>
      </w:rPr>
    </w:tblStylePr>
    <w:tblStylePr w:type="lastCol">
      <w:rPr>
        <w:b/>
        <w:bCs/>
      </w:rPr>
    </w:tblStylePr>
    <w:tblStylePr w:type="band1Vert">
      <w:tblPr/>
      <w:tcPr>
        <w:shd w:val="clear" w:color="auto" w:fill="D8F3F7" w:themeFill="accent3" w:themeFillTint="3F"/>
      </w:tcPr>
    </w:tblStylePr>
    <w:tblStylePr w:type="band1Horz">
      <w:tblPr/>
      <w:tcPr>
        <w:tcBorders>
          <w:insideH w:val="nil"/>
          <w:insideV w:val="nil"/>
        </w:tcBorders>
        <w:shd w:val="clear" w:color="auto" w:fill="D8F3F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98"/>
    <w:semiHidden/>
    <w:unhideWhenUsed/>
    <w:rsid w:val="001F6DC1"/>
    <w:tblPr>
      <w:tblStyleRowBandSize w:val="1"/>
      <w:tblStyleColBandSize w:val="1"/>
      <w:tblBorders>
        <w:top w:val="single" w:sz="8" w:space="0" w:color="B8B8B8" w:themeColor="accent4" w:themeTint="BF"/>
        <w:left w:val="single" w:sz="8" w:space="0" w:color="B8B8B8" w:themeColor="accent4" w:themeTint="BF"/>
        <w:bottom w:val="single" w:sz="8" w:space="0" w:color="B8B8B8" w:themeColor="accent4" w:themeTint="BF"/>
        <w:right w:val="single" w:sz="8" w:space="0" w:color="B8B8B8" w:themeColor="accent4" w:themeTint="BF"/>
        <w:insideH w:val="single" w:sz="8" w:space="0" w:color="B8B8B8" w:themeColor="accent4" w:themeTint="BF"/>
      </w:tblBorders>
    </w:tblPr>
    <w:tblStylePr w:type="firstRow">
      <w:pPr>
        <w:spacing w:before="0" w:after="0" w:line="240" w:lineRule="auto"/>
      </w:pPr>
      <w:rPr>
        <w:b/>
        <w:bCs/>
        <w:color w:val="FFFFFF" w:themeColor="background1"/>
      </w:rPr>
      <w:tblPr/>
      <w:tcPr>
        <w:tcBorders>
          <w:top w:val="single" w:sz="8" w:space="0" w:color="B8B8B8" w:themeColor="accent4" w:themeTint="BF"/>
          <w:left w:val="single" w:sz="8" w:space="0" w:color="B8B8B8" w:themeColor="accent4" w:themeTint="BF"/>
          <w:bottom w:val="single" w:sz="8" w:space="0" w:color="B8B8B8" w:themeColor="accent4" w:themeTint="BF"/>
          <w:right w:val="single" w:sz="8" w:space="0" w:color="B8B8B8" w:themeColor="accent4" w:themeTint="BF"/>
          <w:insideH w:val="nil"/>
          <w:insideV w:val="nil"/>
        </w:tcBorders>
        <w:shd w:val="clear" w:color="auto" w:fill="A1A1A1" w:themeFill="accent4"/>
      </w:tcPr>
    </w:tblStylePr>
    <w:tblStylePr w:type="lastRow">
      <w:pPr>
        <w:spacing w:before="0" w:after="0" w:line="240" w:lineRule="auto"/>
      </w:pPr>
      <w:rPr>
        <w:b/>
        <w:bCs/>
      </w:rPr>
      <w:tblPr/>
      <w:tcPr>
        <w:tcBorders>
          <w:top w:val="double" w:sz="6" w:space="0" w:color="B8B8B8" w:themeColor="accent4" w:themeTint="BF"/>
          <w:left w:val="single" w:sz="8" w:space="0" w:color="B8B8B8" w:themeColor="accent4" w:themeTint="BF"/>
          <w:bottom w:val="single" w:sz="8" w:space="0" w:color="B8B8B8" w:themeColor="accent4" w:themeTint="BF"/>
          <w:right w:val="single" w:sz="8" w:space="0" w:color="B8B8B8"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E7E7" w:themeFill="accent4" w:themeFillTint="3F"/>
      </w:tcPr>
    </w:tblStylePr>
    <w:tblStylePr w:type="band1Horz">
      <w:tblPr/>
      <w:tcPr>
        <w:tcBorders>
          <w:insideH w:val="nil"/>
          <w:insideV w:val="nil"/>
        </w:tcBorders>
        <w:shd w:val="clear" w:color="auto" w:fill="E7E7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98"/>
    <w:semiHidden/>
    <w:unhideWhenUsed/>
    <w:rsid w:val="001F6DC1"/>
    <w:tblPr>
      <w:tblStyleRowBandSize w:val="1"/>
      <w:tblStyleColBandSize w:val="1"/>
      <w:tblBorders>
        <w:top w:val="single" w:sz="8" w:space="0" w:color="8ADBE7" w:themeColor="accent5" w:themeTint="BF"/>
        <w:left w:val="single" w:sz="8" w:space="0" w:color="8ADBE7" w:themeColor="accent5" w:themeTint="BF"/>
        <w:bottom w:val="single" w:sz="8" w:space="0" w:color="8ADBE7" w:themeColor="accent5" w:themeTint="BF"/>
        <w:right w:val="single" w:sz="8" w:space="0" w:color="8ADBE7" w:themeColor="accent5" w:themeTint="BF"/>
        <w:insideH w:val="single" w:sz="8" w:space="0" w:color="8ADBE7" w:themeColor="accent5" w:themeTint="BF"/>
      </w:tblBorders>
    </w:tblPr>
    <w:tblStylePr w:type="firstRow">
      <w:pPr>
        <w:spacing w:before="0" w:after="0" w:line="240" w:lineRule="auto"/>
      </w:pPr>
      <w:rPr>
        <w:b/>
        <w:bCs/>
        <w:color w:val="FFFFFF" w:themeColor="background1"/>
      </w:rPr>
      <w:tblPr/>
      <w:tcPr>
        <w:tcBorders>
          <w:top w:val="single" w:sz="8" w:space="0" w:color="8ADBE7" w:themeColor="accent5" w:themeTint="BF"/>
          <w:left w:val="single" w:sz="8" w:space="0" w:color="8ADBE7" w:themeColor="accent5" w:themeTint="BF"/>
          <w:bottom w:val="single" w:sz="8" w:space="0" w:color="8ADBE7" w:themeColor="accent5" w:themeTint="BF"/>
          <w:right w:val="single" w:sz="8" w:space="0" w:color="8ADBE7" w:themeColor="accent5" w:themeTint="BF"/>
          <w:insideH w:val="nil"/>
          <w:insideV w:val="nil"/>
        </w:tcBorders>
        <w:shd w:val="clear" w:color="auto" w:fill="63D0DF" w:themeFill="accent5"/>
      </w:tcPr>
    </w:tblStylePr>
    <w:tblStylePr w:type="lastRow">
      <w:pPr>
        <w:spacing w:before="0" w:after="0" w:line="240" w:lineRule="auto"/>
      </w:pPr>
      <w:rPr>
        <w:b/>
        <w:bCs/>
      </w:rPr>
      <w:tblPr/>
      <w:tcPr>
        <w:tcBorders>
          <w:top w:val="double" w:sz="6" w:space="0" w:color="8ADBE7" w:themeColor="accent5" w:themeTint="BF"/>
          <w:left w:val="single" w:sz="8" w:space="0" w:color="8ADBE7" w:themeColor="accent5" w:themeTint="BF"/>
          <w:bottom w:val="single" w:sz="8" w:space="0" w:color="8ADBE7" w:themeColor="accent5" w:themeTint="BF"/>
          <w:right w:val="single" w:sz="8" w:space="0" w:color="8ADBE7"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F3F7" w:themeFill="accent5" w:themeFillTint="3F"/>
      </w:tcPr>
    </w:tblStylePr>
    <w:tblStylePr w:type="band1Horz">
      <w:tblPr/>
      <w:tcPr>
        <w:tcBorders>
          <w:insideH w:val="nil"/>
          <w:insideV w:val="nil"/>
        </w:tcBorders>
        <w:shd w:val="clear" w:color="auto" w:fill="D8F3F7"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98"/>
    <w:semiHidden/>
    <w:unhideWhenUsed/>
    <w:rsid w:val="001F6DC1"/>
    <w:tblPr>
      <w:tblStyleRowBandSize w:val="1"/>
      <w:tblStyleColBandSize w:val="1"/>
      <w:tblBorders>
        <w:top w:val="single" w:sz="8" w:space="0" w:color="B8B8B8" w:themeColor="accent6" w:themeTint="BF"/>
        <w:left w:val="single" w:sz="8" w:space="0" w:color="B8B8B8" w:themeColor="accent6" w:themeTint="BF"/>
        <w:bottom w:val="single" w:sz="8" w:space="0" w:color="B8B8B8" w:themeColor="accent6" w:themeTint="BF"/>
        <w:right w:val="single" w:sz="8" w:space="0" w:color="B8B8B8" w:themeColor="accent6" w:themeTint="BF"/>
        <w:insideH w:val="single" w:sz="8" w:space="0" w:color="B8B8B8" w:themeColor="accent6" w:themeTint="BF"/>
      </w:tblBorders>
    </w:tblPr>
    <w:tblStylePr w:type="firstRow">
      <w:pPr>
        <w:spacing w:before="0" w:after="0" w:line="240" w:lineRule="auto"/>
      </w:pPr>
      <w:rPr>
        <w:b/>
        <w:bCs/>
        <w:color w:val="FFFFFF" w:themeColor="background1"/>
      </w:rPr>
      <w:tblPr/>
      <w:tcPr>
        <w:tcBorders>
          <w:top w:val="single" w:sz="8" w:space="0" w:color="B8B8B8" w:themeColor="accent6" w:themeTint="BF"/>
          <w:left w:val="single" w:sz="8" w:space="0" w:color="B8B8B8" w:themeColor="accent6" w:themeTint="BF"/>
          <w:bottom w:val="single" w:sz="8" w:space="0" w:color="B8B8B8" w:themeColor="accent6" w:themeTint="BF"/>
          <w:right w:val="single" w:sz="8" w:space="0" w:color="B8B8B8" w:themeColor="accent6" w:themeTint="BF"/>
          <w:insideH w:val="nil"/>
          <w:insideV w:val="nil"/>
        </w:tcBorders>
        <w:shd w:val="clear" w:color="auto" w:fill="A1A1A1" w:themeFill="accent6"/>
      </w:tcPr>
    </w:tblStylePr>
    <w:tblStylePr w:type="lastRow">
      <w:pPr>
        <w:spacing w:before="0" w:after="0" w:line="240" w:lineRule="auto"/>
      </w:pPr>
      <w:rPr>
        <w:b/>
        <w:bCs/>
      </w:rPr>
      <w:tblPr/>
      <w:tcPr>
        <w:tcBorders>
          <w:top w:val="double" w:sz="6" w:space="0" w:color="B8B8B8" w:themeColor="accent6" w:themeTint="BF"/>
          <w:left w:val="single" w:sz="8" w:space="0" w:color="B8B8B8" w:themeColor="accent6" w:themeTint="BF"/>
          <w:bottom w:val="single" w:sz="8" w:space="0" w:color="B8B8B8" w:themeColor="accent6" w:themeTint="BF"/>
          <w:right w:val="single" w:sz="8" w:space="0" w:color="B8B8B8" w:themeColor="accent6" w:themeTint="BF"/>
          <w:insideH w:val="nil"/>
          <w:insideV w:val="nil"/>
        </w:tcBorders>
      </w:tcPr>
    </w:tblStylePr>
    <w:tblStylePr w:type="firstCol">
      <w:rPr>
        <w:b/>
        <w:bCs/>
      </w:rPr>
    </w:tblStylePr>
    <w:tblStylePr w:type="lastCol">
      <w:rPr>
        <w:b/>
        <w:bCs/>
      </w:rPr>
    </w:tblStylePr>
    <w:tblStylePr w:type="band1Vert">
      <w:tblPr/>
      <w:tcPr>
        <w:shd w:val="clear" w:color="auto" w:fill="E7E7E7" w:themeFill="accent6" w:themeFillTint="3F"/>
      </w:tcPr>
    </w:tblStylePr>
    <w:tblStylePr w:type="band1Horz">
      <w:tblPr/>
      <w:tcPr>
        <w:tcBorders>
          <w:insideH w:val="nil"/>
          <w:insideV w:val="nil"/>
        </w:tcBorders>
        <w:shd w:val="clear" w:color="auto" w:fill="E7E7E7"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3D0D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3D0DF" w:themeFill="accent1"/>
      </w:tcPr>
    </w:tblStylePr>
    <w:tblStylePr w:type="lastCol">
      <w:rPr>
        <w:b/>
        <w:bCs/>
        <w:color w:val="FFFFFF" w:themeColor="background1"/>
      </w:rPr>
      <w:tblPr/>
      <w:tcPr>
        <w:tcBorders>
          <w:left w:val="nil"/>
          <w:right w:val="nil"/>
          <w:insideH w:val="nil"/>
          <w:insideV w:val="nil"/>
        </w:tcBorders>
        <w:shd w:val="clear" w:color="auto" w:fill="63D0D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9C9C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9C9CA" w:themeFill="accent2"/>
      </w:tcPr>
    </w:tblStylePr>
    <w:tblStylePr w:type="lastCol">
      <w:rPr>
        <w:b/>
        <w:bCs/>
        <w:color w:val="FFFFFF" w:themeColor="background1"/>
      </w:rPr>
      <w:tblPr/>
      <w:tcPr>
        <w:tcBorders>
          <w:left w:val="nil"/>
          <w:right w:val="nil"/>
          <w:insideH w:val="nil"/>
          <w:insideV w:val="nil"/>
        </w:tcBorders>
        <w:shd w:val="clear" w:color="auto" w:fill="C9C9C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3D0D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3D0DF" w:themeFill="accent3"/>
      </w:tcPr>
    </w:tblStylePr>
    <w:tblStylePr w:type="lastCol">
      <w:rPr>
        <w:b/>
        <w:bCs/>
        <w:color w:val="FFFFFF" w:themeColor="background1"/>
      </w:rPr>
      <w:tblPr/>
      <w:tcPr>
        <w:tcBorders>
          <w:left w:val="nil"/>
          <w:right w:val="nil"/>
          <w:insideH w:val="nil"/>
          <w:insideV w:val="nil"/>
        </w:tcBorders>
        <w:shd w:val="clear" w:color="auto" w:fill="63D0D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1A1A1"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1A1A1" w:themeFill="accent4"/>
      </w:tcPr>
    </w:tblStylePr>
    <w:tblStylePr w:type="lastCol">
      <w:rPr>
        <w:b/>
        <w:bCs/>
        <w:color w:val="FFFFFF" w:themeColor="background1"/>
      </w:rPr>
      <w:tblPr/>
      <w:tcPr>
        <w:tcBorders>
          <w:left w:val="nil"/>
          <w:right w:val="nil"/>
          <w:insideH w:val="nil"/>
          <w:insideV w:val="nil"/>
        </w:tcBorders>
        <w:shd w:val="clear" w:color="auto" w:fill="A1A1A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3D0D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3D0DF" w:themeFill="accent5"/>
      </w:tcPr>
    </w:tblStylePr>
    <w:tblStylePr w:type="lastCol">
      <w:rPr>
        <w:b/>
        <w:bCs/>
        <w:color w:val="FFFFFF" w:themeColor="background1"/>
      </w:rPr>
      <w:tblPr/>
      <w:tcPr>
        <w:tcBorders>
          <w:left w:val="nil"/>
          <w:right w:val="nil"/>
          <w:insideH w:val="nil"/>
          <w:insideV w:val="nil"/>
        </w:tcBorders>
        <w:shd w:val="clear" w:color="auto" w:fill="63D0D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98"/>
    <w:semiHidden/>
    <w:unhideWhenUsed/>
    <w:rsid w:val="001F6DC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1A1A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1A1A1" w:themeFill="accent6"/>
      </w:tcPr>
    </w:tblStylePr>
    <w:tblStylePr w:type="lastCol">
      <w:rPr>
        <w:b/>
        <w:bCs/>
        <w:color w:val="FFFFFF" w:themeColor="background1"/>
      </w:rPr>
      <w:tblPr/>
      <w:tcPr>
        <w:tcBorders>
          <w:left w:val="nil"/>
          <w:right w:val="nil"/>
          <w:insideH w:val="nil"/>
          <w:insideV w:val="nil"/>
        </w:tcBorders>
        <w:shd w:val="clear" w:color="auto" w:fill="A1A1A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Table3Deffects1">
    <w:name w:val="Table 3D effects 1"/>
    <w:basedOn w:val="TableNormal"/>
    <w:uiPriority w:val="98"/>
    <w:semiHidden/>
    <w:unhideWhenUsed/>
    <w:rsid w:val="001F6DC1"/>
    <w:pPr>
      <w:spacing w:after="227" w:line="22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8"/>
    <w:semiHidden/>
    <w:unhideWhenUsed/>
    <w:rsid w:val="001F6DC1"/>
    <w:pPr>
      <w:spacing w:after="227" w:line="22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8"/>
    <w:semiHidden/>
    <w:unhideWhenUsed/>
    <w:rsid w:val="001F6DC1"/>
    <w:pPr>
      <w:spacing w:after="227" w:line="22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8"/>
    <w:semiHidden/>
    <w:unhideWhenUsed/>
    <w:rsid w:val="001F6DC1"/>
    <w:pPr>
      <w:spacing w:after="227" w:line="22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8"/>
    <w:semiHidden/>
    <w:unhideWhenUsed/>
    <w:rsid w:val="001F6DC1"/>
    <w:pPr>
      <w:spacing w:after="227" w:line="22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8"/>
    <w:semiHidden/>
    <w:unhideWhenUsed/>
    <w:rsid w:val="001F6DC1"/>
    <w:pPr>
      <w:spacing w:after="227" w:line="22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8"/>
    <w:semiHidden/>
    <w:unhideWhenUsed/>
    <w:rsid w:val="001F6DC1"/>
    <w:pPr>
      <w:spacing w:after="227" w:line="22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8"/>
    <w:semiHidden/>
    <w:unhideWhenUsed/>
    <w:rsid w:val="001F6DC1"/>
    <w:pPr>
      <w:spacing w:after="227" w:line="22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8"/>
    <w:semiHidden/>
    <w:unhideWhenUsed/>
    <w:rsid w:val="001F6DC1"/>
    <w:pPr>
      <w:spacing w:after="227" w:line="22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8"/>
    <w:semiHidden/>
    <w:unhideWhenUsed/>
    <w:rsid w:val="001F6DC1"/>
    <w:pPr>
      <w:spacing w:after="227" w:line="22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8"/>
    <w:semiHidden/>
    <w:unhideWhenUsed/>
    <w:rsid w:val="001F6DC1"/>
    <w:pPr>
      <w:spacing w:after="227" w:line="22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8"/>
    <w:semiHidden/>
    <w:unhideWhenUsed/>
    <w:rsid w:val="001F6DC1"/>
    <w:pPr>
      <w:spacing w:after="227" w:line="22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8"/>
    <w:semiHidden/>
    <w:unhideWhenUsed/>
    <w:rsid w:val="001F6DC1"/>
    <w:pPr>
      <w:spacing w:after="227" w:line="22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8"/>
    <w:semiHidden/>
    <w:unhideWhenUsed/>
    <w:rsid w:val="001F6DC1"/>
    <w:pPr>
      <w:spacing w:after="227" w:line="22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8"/>
    <w:semiHidden/>
    <w:unhideWhenUsed/>
    <w:rsid w:val="001F6DC1"/>
    <w:pPr>
      <w:spacing w:after="227" w:line="22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8"/>
    <w:semiHidden/>
    <w:unhideWhenUsed/>
    <w:rsid w:val="001F6DC1"/>
    <w:pPr>
      <w:spacing w:after="227" w:line="22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8"/>
    <w:semiHidden/>
    <w:unhideWhenUsed/>
    <w:rsid w:val="001F6DC1"/>
    <w:pPr>
      <w:spacing w:after="227" w:line="22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8"/>
    <w:semiHidden/>
    <w:unhideWhenUsed/>
    <w:rsid w:val="001F6DC1"/>
    <w:pPr>
      <w:spacing w:after="227" w:line="22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8"/>
    <w:semiHidden/>
    <w:unhideWhenUsed/>
    <w:rsid w:val="001F6DC1"/>
    <w:pPr>
      <w:spacing w:after="227" w:line="22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8"/>
    <w:semiHidden/>
    <w:unhideWhenUsed/>
    <w:rsid w:val="001F6DC1"/>
    <w:pPr>
      <w:spacing w:after="227" w:line="22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8"/>
    <w:semiHidden/>
    <w:unhideWhenUsed/>
    <w:rsid w:val="001F6DC1"/>
    <w:pPr>
      <w:spacing w:after="227" w:line="22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8"/>
    <w:semiHidden/>
    <w:unhideWhenUsed/>
    <w:rsid w:val="001F6DC1"/>
    <w:pPr>
      <w:spacing w:after="227" w:line="22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8"/>
    <w:semiHidden/>
    <w:unhideWhenUsed/>
    <w:rsid w:val="001F6DC1"/>
    <w:pPr>
      <w:spacing w:after="227" w:line="22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8"/>
    <w:semiHidden/>
    <w:unhideWhenUsed/>
    <w:rsid w:val="001F6DC1"/>
    <w:pPr>
      <w:spacing w:after="227" w:line="22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8"/>
    <w:semiHidden/>
    <w:unhideWhenUsed/>
    <w:rsid w:val="001F6DC1"/>
    <w:pPr>
      <w:spacing w:after="227" w:line="22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98"/>
    <w:semiHidden/>
    <w:rsid w:val="001F6DC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8"/>
    <w:semiHidden/>
    <w:unhideWhenUsed/>
    <w:rsid w:val="001F6DC1"/>
    <w:pPr>
      <w:spacing w:after="227" w:line="22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8"/>
    <w:semiHidden/>
    <w:unhideWhenUsed/>
    <w:rsid w:val="001F6DC1"/>
    <w:pPr>
      <w:spacing w:after="227" w:line="22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8"/>
    <w:semiHidden/>
    <w:unhideWhenUsed/>
    <w:rsid w:val="001F6DC1"/>
    <w:pPr>
      <w:spacing w:after="227" w:line="22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8"/>
    <w:semiHidden/>
    <w:unhideWhenUsed/>
    <w:rsid w:val="001F6DC1"/>
    <w:pPr>
      <w:spacing w:after="227" w:line="22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8"/>
    <w:semiHidden/>
    <w:unhideWhenUsed/>
    <w:rsid w:val="001F6DC1"/>
    <w:pPr>
      <w:spacing w:after="227" w:line="22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8"/>
    <w:semiHidden/>
    <w:unhideWhenUsed/>
    <w:rsid w:val="001F6DC1"/>
    <w:pPr>
      <w:spacing w:after="227" w:line="22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8"/>
    <w:semiHidden/>
    <w:unhideWhenUsed/>
    <w:rsid w:val="001F6DC1"/>
    <w:pPr>
      <w:spacing w:after="227" w:line="22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8"/>
    <w:semiHidden/>
    <w:unhideWhenUsed/>
    <w:rsid w:val="001F6DC1"/>
    <w:pPr>
      <w:spacing w:after="227" w:line="22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8"/>
    <w:semiHidden/>
    <w:unhideWhenUsed/>
    <w:rsid w:val="001F6DC1"/>
    <w:pPr>
      <w:spacing w:after="227" w:line="22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8"/>
    <w:semiHidden/>
    <w:unhideWhenUsed/>
    <w:rsid w:val="001F6DC1"/>
    <w:pPr>
      <w:spacing w:after="227" w:line="22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8"/>
    <w:semiHidden/>
    <w:unhideWhenUsed/>
    <w:rsid w:val="001F6DC1"/>
    <w:pPr>
      <w:spacing w:after="227" w:line="22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8"/>
    <w:semiHidden/>
    <w:unhideWhenUsed/>
    <w:rsid w:val="001F6DC1"/>
    <w:pPr>
      <w:spacing w:after="227" w:line="22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8"/>
    <w:semiHidden/>
    <w:unhideWhenUsed/>
    <w:rsid w:val="001F6DC1"/>
    <w:pPr>
      <w:spacing w:after="227" w:line="22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8"/>
    <w:semiHidden/>
    <w:unhideWhenUsed/>
    <w:rsid w:val="001F6DC1"/>
    <w:pPr>
      <w:spacing w:after="227" w:line="22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8"/>
    <w:semiHidden/>
    <w:unhideWhenUsed/>
    <w:rsid w:val="001F6DC1"/>
    <w:pPr>
      <w:spacing w:after="227" w:line="22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8"/>
    <w:semiHidden/>
    <w:unhideWhenUsed/>
    <w:rsid w:val="001F6DC1"/>
    <w:pPr>
      <w:spacing w:after="227" w:line="22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8"/>
    <w:semiHidden/>
    <w:unhideWhenUsed/>
    <w:rsid w:val="001F6DC1"/>
    <w:pPr>
      <w:spacing w:after="227" w:line="22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8"/>
    <w:semiHidden/>
    <w:unhideWhenUsed/>
    <w:rsid w:val="001F6DC1"/>
    <w:pPr>
      <w:spacing w:after="227" w:line="22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Heading">
    <w:name w:val="TOC Heading"/>
    <w:basedOn w:val="Title"/>
    <w:next w:val="Normal"/>
    <w:uiPriority w:val="39"/>
    <w:qFormat/>
    <w:rsid w:val="00145656"/>
    <w:pPr>
      <w:framePr w:w="0" w:wrap="auto" w:vAnchor="margin" w:yAlign="inline"/>
      <w:spacing w:before="0" w:after="720" w:line="240" w:lineRule="auto"/>
      <w:outlineLvl w:val="9"/>
    </w:pPr>
    <w:rPr>
      <w:b w:val="0"/>
      <w:caps/>
      <w:color w:val="1D336D" w:themeColor="background2"/>
    </w:rPr>
  </w:style>
  <w:style w:type="character" w:customStyle="1" w:styleId="Heading8Char">
    <w:name w:val="Heading 8 Char"/>
    <w:basedOn w:val="DefaultParagraphFont"/>
    <w:link w:val="Heading8"/>
    <w:uiPriority w:val="1"/>
    <w:semiHidden/>
    <w:rsid w:val="000E3939"/>
    <w:rPr>
      <w:rFonts w:asciiTheme="majorHAnsi" w:eastAsiaTheme="majorEastAsia" w:hAnsiTheme="majorHAnsi" w:cstheme="majorBidi"/>
      <w:i/>
      <w:color w:val="1D336D" w:themeColor="background2"/>
      <w:szCs w:val="21"/>
    </w:rPr>
  </w:style>
  <w:style w:type="character" w:customStyle="1" w:styleId="Heading9Char">
    <w:name w:val="Heading 9 Char"/>
    <w:basedOn w:val="DefaultParagraphFont"/>
    <w:link w:val="Heading9"/>
    <w:uiPriority w:val="1"/>
    <w:semiHidden/>
    <w:rsid w:val="000E3939"/>
    <w:rPr>
      <w:rFonts w:asciiTheme="majorHAnsi" w:eastAsiaTheme="majorEastAsia" w:hAnsiTheme="majorHAnsi" w:cstheme="majorBidi"/>
      <w:i/>
      <w:iCs/>
      <w:color w:val="000000"/>
      <w:szCs w:val="21"/>
    </w:rPr>
  </w:style>
  <w:style w:type="paragraph" w:customStyle="1" w:styleId="HeaderText">
    <w:name w:val="Header Text"/>
    <w:basedOn w:val="Normal"/>
    <w:uiPriority w:val="12"/>
    <w:semiHidden/>
    <w:rsid w:val="00692E69"/>
    <w:pPr>
      <w:spacing w:line="204" w:lineRule="auto"/>
    </w:pPr>
    <w:rPr>
      <w:rFonts w:asciiTheme="majorHAnsi" w:hAnsiTheme="majorHAnsi"/>
      <w:b/>
      <w:color w:val="585858" w:themeColor="text2"/>
      <w:sz w:val="40"/>
    </w:rPr>
  </w:style>
  <w:style w:type="paragraph" w:customStyle="1" w:styleId="IntroCopy">
    <w:name w:val="Intro Copy"/>
    <w:basedOn w:val="Normal"/>
    <w:uiPriority w:val="2"/>
    <w:qFormat/>
    <w:rsid w:val="006E5C00"/>
    <w:pPr>
      <w:spacing w:before="240" w:after="240" w:line="340" w:lineRule="atLeast"/>
    </w:pPr>
    <w:rPr>
      <w:i/>
      <w:color w:val="2294CD"/>
      <w:sz w:val="24"/>
    </w:rPr>
  </w:style>
  <w:style w:type="paragraph" w:customStyle="1" w:styleId="SourceNotes">
    <w:name w:val="Source Notes"/>
    <w:basedOn w:val="Normal"/>
    <w:uiPriority w:val="12"/>
    <w:qFormat/>
    <w:rsid w:val="002637CE"/>
    <w:pPr>
      <w:spacing w:before="40" w:line="240" w:lineRule="atLeast"/>
    </w:pPr>
    <w:rPr>
      <w:color w:val="507CB9"/>
      <w:sz w:val="18"/>
    </w:rPr>
  </w:style>
  <w:style w:type="paragraph" w:styleId="FootnoteText">
    <w:name w:val="footnote text"/>
    <w:basedOn w:val="Normal"/>
    <w:link w:val="FootnoteTextChar"/>
    <w:uiPriority w:val="19"/>
    <w:rsid w:val="00847E29"/>
    <w:pPr>
      <w:spacing w:after="20" w:line="160" w:lineRule="atLeast"/>
    </w:pPr>
    <w:rPr>
      <w:sz w:val="14"/>
      <w:szCs w:val="20"/>
    </w:rPr>
  </w:style>
  <w:style w:type="table" w:customStyle="1" w:styleId="TableGrid20">
    <w:name w:val="Table Grid2"/>
    <w:basedOn w:val="TableNormal"/>
    <w:next w:val="TableGrid"/>
    <w:uiPriority w:val="39"/>
    <w:rsid w:val="0012294A"/>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Plain">
    <w:name w:val="_Table Plain"/>
    <w:basedOn w:val="TableNormal"/>
    <w:uiPriority w:val="99"/>
    <w:rsid w:val="00AF488E"/>
    <w:rPr>
      <w:rFonts w:asciiTheme="minorHAnsi" w:hAnsiTheme="minorHAnsi"/>
    </w:rPr>
    <w:tblPr>
      <w:tblStyleRowBandSize w:val="1"/>
      <w:tblBorders>
        <w:top w:val="single" w:sz="4" w:space="0" w:color="2294CD"/>
        <w:bottom w:val="single" w:sz="4" w:space="0" w:color="2294CD"/>
        <w:insideH w:val="single" w:sz="4" w:space="0" w:color="2294CD"/>
      </w:tblBorders>
      <w:tblCellMar>
        <w:top w:w="85" w:type="dxa"/>
        <w:left w:w="85" w:type="dxa"/>
        <w:bottom w:w="85" w:type="dxa"/>
        <w:right w:w="85" w:type="dxa"/>
      </w:tblCellMar>
    </w:tblPr>
    <w:tblStylePr w:type="firstRow">
      <w:rPr>
        <w:rFonts w:asciiTheme="majorHAnsi" w:hAnsiTheme="majorHAnsi"/>
        <w:b w:val="0"/>
        <w:color w:val="1D336D" w:themeColor="background2"/>
      </w:rPr>
      <w:tblPr/>
      <w:tcPr>
        <w:tcBorders>
          <w:top w:val="nil"/>
          <w:bottom w:val="single" w:sz="12" w:space="0" w:color="2294CD"/>
        </w:tcBorders>
      </w:tcPr>
    </w:tblStylePr>
    <w:tblStylePr w:type="firstCol">
      <w:tblPr/>
      <w:tcPr>
        <w:shd w:val="clear" w:color="auto" w:fill="F2F2F2" w:themeFill="background1" w:themeFillShade="F2"/>
      </w:tcPr>
    </w:tblStylePr>
    <w:tblStylePr w:type="lastCol">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NumberedHeading1">
    <w:name w:val="Numbered Heading 1"/>
    <w:basedOn w:val="Heading1"/>
    <w:next w:val="Normal"/>
    <w:link w:val="NumberedHeading1Char"/>
    <w:uiPriority w:val="1"/>
    <w:rsid w:val="008A735F"/>
    <w:pPr>
      <w:numPr>
        <w:ilvl w:val="1"/>
        <w:numId w:val="17"/>
      </w:numPr>
    </w:pPr>
  </w:style>
  <w:style w:type="paragraph" w:customStyle="1" w:styleId="NumberedHeading2">
    <w:name w:val="Numbered Heading 2"/>
    <w:basedOn w:val="Heading2"/>
    <w:link w:val="NumberedHeading2Char"/>
    <w:uiPriority w:val="1"/>
    <w:rsid w:val="008A735F"/>
    <w:pPr>
      <w:numPr>
        <w:ilvl w:val="2"/>
        <w:numId w:val="17"/>
      </w:numPr>
    </w:pPr>
  </w:style>
  <w:style w:type="character" w:customStyle="1" w:styleId="NumberedHeading1Char">
    <w:name w:val="Numbered Heading 1 Char"/>
    <w:basedOn w:val="Heading1Char"/>
    <w:link w:val="NumberedHeading1"/>
    <w:uiPriority w:val="1"/>
    <w:rsid w:val="008D395E"/>
    <w:rPr>
      <w:rFonts w:asciiTheme="minorHAnsi" w:eastAsiaTheme="majorEastAsia" w:hAnsiTheme="minorHAnsi" w:cs="Calibri"/>
      <w:b/>
      <w:iCs/>
      <w:caps/>
      <w:color w:val="1D336D" w:themeColor="background2"/>
      <w:sz w:val="32"/>
      <w:szCs w:val="28"/>
    </w:rPr>
  </w:style>
  <w:style w:type="paragraph" w:customStyle="1" w:styleId="NumberedHeading3">
    <w:name w:val="Numbered Heading 3"/>
    <w:basedOn w:val="Heading3"/>
    <w:next w:val="NormalIndented3"/>
    <w:link w:val="NumberedHeading3Char"/>
    <w:uiPriority w:val="1"/>
    <w:rsid w:val="008A735F"/>
    <w:pPr>
      <w:numPr>
        <w:ilvl w:val="0"/>
      </w:numPr>
      <w:tabs>
        <w:tab w:val="num" w:pos="851"/>
      </w:tabs>
      <w:ind w:left="851" w:hanging="851"/>
    </w:pPr>
  </w:style>
  <w:style w:type="numbering" w:customStyle="1" w:styleId="MasterHeadings">
    <w:name w:val="_MasterHeadings"/>
    <w:uiPriority w:val="99"/>
    <w:rsid w:val="008A735F"/>
    <w:pPr>
      <w:numPr>
        <w:numId w:val="15"/>
      </w:numPr>
    </w:pPr>
  </w:style>
  <w:style w:type="character" w:customStyle="1" w:styleId="Heading3Char">
    <w:name w:val="Heading 3 Char"/>
    <w:basedOn w:val="Heading1Char"/>
    <w:link w:val="Heading3"/>
    <w:uiPriority w:val="1"/>
    <w:rsid w:val="003A5075"/>
    <w:rPr>
      <w:rFonts w:asciiTheme="minorHAnsi" w:eastAsiaTheme="majorEastAsia" w:hAnsiTheme="minorHAnsi" w:cs="Calibri"/>
      <w:b w:val="0"/>
      <w:bCs/>
      <w:iCs/>
      <w:caps w:val="0"/>
      <w:color w:val="507CB9"/>
      <w:sz w:val="24"/>
      <w:szCs w:val="26"/>
    </w:rPr>
  </w:style>
  <w:style w:type="character" w:customStyle="1" w:styleId="NumberedHeading3Char">
    <w:name w:val="Numbered Heading 3 Char"/>
    <w:basedOn w:val="Heading3Char"/>
    <w:link w:val="NumberedHeading3"/>
    <w:uiPriority w:val="1"/>
    <w:rsid w:val="00CE5852"/>
    <w:rPr>
      <w:rFonts w:asciiTheme="minorHAnsi" w:eastAsiaTheme="majorEastAsia" w:hAnsiTheme="minorHAnsi" w:cs="Calibri"/>
      <w:b w:val="0"/>
      <w:bCs/>
      <w:iCs/>
      <w:caps w:val="0"/>
      <w:color w:val="507CB9"/>
      <w:sz w:val="24"/>
      <w:szCs w:val="26"/>
    </w:rPr>
  </w:style>
  <w:style w:type="character" w:customStyle="1" w:styleId="Heading2Char">
    <w:name w:val="Heading 2 Char"/>
    <w:basedOn w:val="Heading1Char"/>
    <w:link w:val="Heading2"/>
    <w:uiPriority w:val="1"/>
    <w:rsid w:val="001141B5"/>
    <w:rPr>
      <w:rFonts w:asciiTheme="minorHAnsi" w:eastAsiaTheme="majorEastAsia" w:hAnsiTheme="minorHAnsi" w:cs="Calibri"/>
      <w:b/>
      <w:bCs/>
      <w:iCs/>
      <w:caps w:val="0"/>
      <w:color w:val="152651" w:themeColor="background2" w:themeShade="BF"/>
      <w:sz w:val="26"/>
      <w:szCs w:val="26"/>
      <w:lang w:val="en-GB"/>
    </w:rPr>
  </w:style>
  <w:style w:type="character" w:customStyle="1" w:styleId="NumberedHeading2Char">
    <w:name w:val="Numbered Heading 2 Char"/>
    <w:basedOn w:val="Heading2Char"/>
    <w:link w:val="NumberedHeading2"/>
    <w:uiPriority w:val="1"/>
    <w:rsid w:val="009761FA"/>
    <w:rPr>
      <w:rFonts w:asciiTheme="minorHAnsi" w:eastAsiaTheme="majorEastAsia" w:hAnsiTheme="minorHAnsi" w:cs="Calibri"/>
      <w:b/>
      <w:bCs/>
      <w:iCs/>
      <w:caps w:val="0"/>
      <w:color w:val="152651" w:themeColor="background2" w:themeShade="BF"/>
      <w:sz w:val="26"/>
      <w:szCs w:val="26"/>
      <w:lang w:val="en-GB"/>
    </w:rPr>
  </w:style>
  <w:style w:type="table" w:customStyle="1" w:styleId="TableGrid30">
    <w:name w:val="Table Grid3"/>
    <w:basedOn w:val="TableNormal"/>
    <w:next w:val="TableGrid"/>
    <w:uiPriority w:val="39"/>
    <w:rsid w:val="0012294A"/>
    <w:rPr>
      <w:rFonts w:ascii="Arial" w:eastAsia="Arial" w:hAnsi="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Indented1">
    <w:name w:val="Normal Indented 1"/>
    <w:basedOn w:val="Normal"/>
    <w:uiPriority w:val="2"/>
    <w:rsid w:val="00DD18C7"/>
    <w:pPr>
      <w:ind w:left="284"/>
    </w:pPr>
  </w:style>
  <w:style w:type="paragraph" w:customStyle="1" w:styleId="NormalIndented2">
    <w:name w:val="Normal Indented 2"/>
    <w:basedOn w:val="NormalIndented1"/>
    <w:uiPriority w:val="2"/>
    <w:rsid w:val="00301A3A"/>
    <w:pPr>
      <w:ind w:left="567"/>
    </w:pPr>
  </w:style>
  <w:style w:type="paragraph" w:customStyle="1" w:styleId="NormalIndented3">
    <w:name w:val="Normal Indented 3"/>
    <w:basedOn w:val="Normal"/>
    <w:uiPriority w:val="2"/>
    <w:rsid w:val="00301A3A"/>
    <w:pPr>
      <w:ind w:left="851"/>
    </w:pPr>
  </w:style>
  <w:style w:type="paragraph" w:customStyle="1" w:styleId="Date-FooterLink">
    <w:name w:val="Date - Footer Link"/>
    <w:basedOn w:val="Normal"/>
    <w:semiHidden/>
    <w:qFormat/>
    <w:rsid w:val="00217E6A"/>
    <w:rPr>
      <w:rFonts w:asciiTheme="majorHAnsi" w:hAnsiTheme="majorHAnsi"/>
      <w:b/>
      <w:color w:val="585858" w:themeColor="text2"/>
      <w:sz w:val="24"/>
    </w:rPr>
  </w:style>
  <w:style w:type="paragraph" w:customStyle="1" w:styleId="TableHeadingBlue">
    <w:name w:val="Table Heading Blue"/>
    <w:basedOn w:val="TableHeading"/>
    <w:next w:val="TableText"/>
    <w:link w:val="TableHeadingBlueChar"/>
    <w:uiPriority w:val="9"/>
    <w:qFormat/>
    <w:rsid w:val="003423F2"/>
    <w:rPr>
      <w:color w:val="1D336D" w:themeColor="background2"/>
    </w:rPr>
  </w:style>
  <w:style w:type="character" w:customStyle="1" w:styleId="TableHeadingChar">
    <w:name w:val="Table Heading Char"/>
    <w:basedOn w:val="DefaultParagraphFont"/>
    <w:link w:val="TableHeading"/>
    <w:uiPriority w:val="9"/>
    <w:rsid w:val="00885AF8"/>
    <w:rPr>
      <w:rFonts w:asciiTheme="minorHAnsi" w:eastAsia="Century Gothic" w:hAnsiTheme="minorHAnsi" w:cs="Calibri"/>
      <w:b/>
      <w:bCs/>
      <w:color w:val="FFFFFF"/>
      <w:szCs w:val="24"/>
      <w:lang w:eastAsia="en-US"/>
    </w:rPr>
  </w:style>
  <w:style w:type="character" w:customStyle="1" w:styleId="TableHeadingBlueChar">
    <w:name w:val="Table Heading Blue Char"/>
    <w:basedOn w:val="TableHeadingChar"/>
    <w:link w:val="TableHeadingBlue"/>
    <w:uiPriority w:val="9"/>
    <w:rsid w:val="003423F2"/>
    <w:rPr>
      <w:rFonts w:asciiTheme="minorHAnsi" w:eastAsia="Century Gothic" w:hAnsiTheme="minorHAnsi" w:cs="Calibri"/>
      <w:b/>
      <w:bCs/>
      <w:color w:val="1D336D" w:themeColor="background2"/>
      <w:szCs w:val="24"/>
      <w:lang w:eastAsia="en-US"/>
    </w:rPr>
  </w:style>
  <w:style w:type="paragraph" w:customStyle="1" w:styleId="Heading1NOTOC">
    <w:name w:val="Heading 1 NO TOC"/>
    <w:basedOn w:val="Heading1"/>
    <w:uiPriority w:val="1"/>
    <w:qFormat/>
    <w:rsid w:val="0004770B"/>
    <w:pPr>
      <w:outlineLvl w:val="9"/>
    </w:pPr>
  </w:style>
  <w:style w:type="paragraph" w:customStyle="1" w:styleId="IntroCopySolid">
    <w:name w:val="Intro Copy Solid"/>
    <w:basedOn w:val="IntroCopy"/>
    <w:uiPriority w:val="2"/>
    <w:qFormat/>
    <w:rsid w:val="00812A11"/>
    <w:pPr>
      <w:pBdr>
        <w:top w:val="single" w:sz="8" w:space="8" w:color="2294CD"/>
        <w:left w:val="single" w:sz="8" w:space="8" w:color="2294CD"/>
        <w:bottom w:val="single" w:sz="8" w:space="8" w:color="2294CD"/>
        <w:right w:val="single" w:sz="8" w:space="8" w:color="2294CD"/>
      </w:pBdr>
      <w:shd w:val="clear" w:color="auto" w:fill="1D336D" w:themeFill="background2"/>
      <w:spacing w:line="276" w:lineRule="auto"/>
      <w:ind w:left="159" w:right="159"/>
      <w:contextualSpacing/>
    </w:pPr>
    <w:rPr>
      <w:color w:val="FFFFFF" w:themeColor="background1"/>
    </w:rPr>
  </w:style>
  <w:style w:type="table" w:customStyle="1" w:styleId="TableGrid10">
    <w:name w:val="Table Grid1"/>
    <w:basedOn w:val="TableNormal"/>
    <w:next w:val="TableGrid"/>
    <w:uiPriority w:val="59"/>
    <w:semiHidden/>
    <w:rsid w:val="000819EE"/>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pterHeading">
    <w:name w:val="Chapter Heading"/>
    <w:next w:val="Normal"/>
    <w:qFormat/>
    <w:rsid w:val="00A85281"/>
    <w:pPr>
      <w:pageBreakBefore/>
      <w:pBdr>
        <w:top w:val="single" w:sz="2" w:space="6" w:color="1D336D" w:themeColor="background2"/>
        <w:left w:val="single" w:sz="2" w:space="6" w:color="1D336D" w:themeColor="background2"/>
        <w:bottom w:val="single" w:sz="2" w:space="6" w:color="1D336D" w:themeColor="background2"/>
        <w:right w:val="single" w:sz="2" w:space="6" w:color="1D336D" w:themeColor="background2"/>
      </w:pBdr>
      <w:shd w:val="clear" w:color="auto" w:fill="1D336D" w:themeFill="background2"/>
      <w:spacing w:after="240"/>
    </w:pPr>
    <w:rPr>
      <w:rFonts w:asciiTheme="minorHAnsi" w:eastAsiaTheme="majorEastAsia" w:hAnsiTheme="minorHAnsi" w:cs="Calibri"/>
      <w:bCs/>
      <w:iCs/>
      <w:caps/>
      <w:color w:val="E4EAF8"/>
      <w:sz w:val="44"/>
      <w:szCs w:val="28"/>
    </w:rPr>
  </w:style>
  <w:style w:type="paragraph" w:styleId="TOC5">
    <w:name w:val="toc 5"/>
    <w:basedOn w:val="Normal"/>
    <w:next w:val="Normal"/>
    <w:uiPriority w:val="39"/>
    <w:semiHidden/>
    <w:rsid w:val="00FE707F"/>
    <w:pPr>
      <w:tabs>
        <w:tab w:val="left" w:pos="1134"/>
        <w:tab w:val="right" w:leader="dot" w:pos="9628"/>
      </w:tabs>
      <w:spacing w:after="100"/>
      <w:ind w:left="1701" w:hanging="567"/>
      <w:contextualSpacing/>
    </w:pPr>
    <w:rPr>
      <w:i/>
    </w:rPr>
  </w:style>
  <w:style w:type="paragraph" w:styleId="TOC6">
    <w:name w:val="toc 6"/>
    <w:basedOn w:val="Normal"/>
    <w:next w:val="Normal"/>
    <w:autoRedefine/>
    <w:uiPriority w:val="39"/>
    <w:semiHidden/>
    <w:rsid w:val="00FE707F"/>
    <w:pPr>
      <w:tabs>
        <w:tab w:val="left" w:pos="1760"/>
        <w:tab w:val="right" w:leader="dot" w:pos="9628"/>
      </w:tabs>
      <w:spacing w:after="100"/>
      <w:ind w:left="1000"/>
    </w:pPr>
    <w:rPr>
      <w:noProof/>
    </w:rPr>
  </w:style>
  <w:style w:type="paragraph" w:styleId="Caption">
    <w:name w:val="caption"/>
    <w:basedOn w:val="Normal"/>
    <w:next w:val="Normal"/>
    <w:uiPriority w:val="8"/>
    <w:rsid w:val="004B1446"/>
    <w:pPr>
      <w:spacing w:before="240" w:after="120" w:line="240" w:lineRule="auto"/>
    </w:pPr>
    <w:rPr>
      <w:b/>
      <w:iCs/>
      <w:color w:val="507CB9"/>
      <w:sz w:val="22"/>
      <w:szCs w:val="18"/>
    </w:rPr>
  </w:style>
  <w:style w:type="character" w:customStyle="1" w:styleId="FootnoteTextChar">
    <w:name w:val="Footnote Text Char"/>
    <w:basedOn w:val="DefaultParagraphFont"/>
    <w:link w:val="FootnoteText"/>
    <w:uiPriority w:val="19"/>
    <w:rsid w:val="00847E29"/>
    <w:rPr>
      <w:rFonts w:asciiTheme="minorHAnsi" w:eastAsiaTheme="majorEastAsia" w:hAnsiTheme="minorHAnsi" w:cs="Calibri"/>
      <w:color w:val="000000" w:themeColor="text1"/>
      <w:sz w:val="14"/>
    </w:rPr>
  </w:style>
  <w:style w:type="character" w:styleId="FootnoteReference">
    <w:name w:val="footnote reference"/>
    <w:basedOn w:val="DefaultParagraphFont"/>
    <w:uiPriority w:val="99"/>
    <w:qFormat/>
    <w:rsid w:val="003337B3"/>
    <w:rPr>
      <w:vertAlign w:val="superscript"/>
    </w:rPr>
  </w:style>
  <w:style w:type="paragraph" w:customStyle="1" w:styleId="CVBody">
    <w:name w:val="CV Body"/>
    <w:basedOn w:val="Normal"/>
    <w:uiPriority w:val="13"/>
    <w:qFormat/>
    <w:rsid w:val="00D4310E"/>
    <w:pPr>
      <w:spacing w:after="60" w:line="200" w:lineRule="atLeast"/>
    </w:pPr>
    <w:rPr>
      <w:rFonts w:eastAsia="Arial" w:cs="Times New Roman"/>
      <w:color w:val="auto"/>
      <w:sz w:val="18"/>
      <w:szCs w:val="22"/>
      <w:lang w:eastAsia="en-US"/>
    </w:rPr>
  </w:style>
  <w:style w:type="paragraph" w:customStyle="1" w:styleId="CoverSubtitle">
    <w:name w:val="Cover Subtitle"/>
    <w:basedOn w:val="CoverTitle"/>
    <w:uiPriority w:val="19"/>
    <w:semiHidden/>
    <w:qFormat/>
    <w:rsid w:val="0081223D"/>
    <w:pPr>
      <w:spacing w:before="240"/>
    </w:pPr>
    <w:rPr>
      <w:b/>
      <w:caps/>
      <w:sz w:val="48"/>
    </w:rPr>
  </w:style>
  <w:style w:type="character" w:customStyle="1" w:styleId="ListNumberChar">
    <w:name w:val="List Number Char"/>
    <w:basedOn w:val="DefaultParagraphFont"/>
    <w:link w:val="ListNumber"/>
    <w:uiPriority w:val="3"/>
    <w:rsid w:val="00596177"/>
    <w:rPr>
      <w:rFonts w:asciiTheme="minorHAnsi" w:eastAsia="Century Gothic" w:hAnsiTheme="minorHAnsi" w:cstheme="minorBidi"/>
      <w:color w:val="000000" w:themeColor="text1"/>
      <w:lang w:eastAsia="en-US"/>
    </w:rPr>
  </w:style>
  <w:style w:type="paragraph" w:customStyle="1" w:styleId="CVLabel">
    <w:name w:val="CV Label"/>
    <w:basedOn w:val="Normal"/>
    <w:uiPriority w:val="13"/>
    <w:qFormat/>
    <w:rsid w:val="00AF488E"/>
    <w:pPr>
      <w:spacing w:after="0" w:line="240" w:lineRule="exact"/>
      <w:ind w:left="-6" w:right="-45"/>
    </w:pPr>
    <w:rPr>
      <w:rFonts w:eastAsia="Arial" w:cs="Times New Roman"/>
      <w:b/>
      <w:bCs/>
      <w:color w:val="2294CD"/>
      <w:sz w:val="19"/>
      <w:szCs w:val="20"/>
      <w:lang w:eastAsia="en-US"/>
    </w:rPr>
  </w:style>
  <w:style w:type="paragraph" w:customStyle="1" w:styleId="CVHeading">
    <w:name w:val="CV Heading"/>
    <w:basedOn w:val="Normal"/>
    <w:uiPriority w:val="13"/>
    <w:qFormat/>
    <w:rsid w:val="0052426B"/>
    <w:pPr>
      <w:spacing w:after="60" w:line="200" w:lineRule="atLeast"/>
    </w:pPr>
    <w:rPr>
      <w:rFonts w:eastAsia="Arial" w:cs="Times New Roman"/>
      <w:b/>
      <w:color w:val="1D336D" w:themeColor="background2"/>
      <w:sz w:val="28"/>
      <w:szCs w:val="22"/>
      <w:lang w:eastAsia="en-US"/>
    </w:rPr>
  </w:style>
  <w:style w:type="paragraph" w:customStyle="1" w:styleId="TableBullets">
    <w:name w:val="Table Bullets"/>
    <w:basedOn w:val="TableText"/>
    <w:uiPriority w:val="10"/>
    <w:qFormat/>
    <w:rsid w:val="009E7E5E"/>
    <w:pPr>
      <w:numPr>
        <w:numId w:val="30"/>
      </w:numPr>
      <w:spacing w:before="0" w:after="80"/>
    </w:pPr>
  </w:style>
  <w:style w:type="paragraph" w:customStyle="1" w:styleId="Heading2NOTOC">
    <w:name w:val="Heading 2 NO TOC"/>
    <w:basedOn w:val="Heading2"/>
    <w:uiPriority w:val="1"/>
    <w:qFormat/>
    <w:rsid w:val="004A4416"/>
    <w:pPr>
      <w:outlineLvl w:val="9"/>
    </w:pPr>
  </w:style>
  <w:style w:type="paragraph" w:styleId="TableofFigures">
    <w:name w:val="table of figures"/>
    <w:basedOn w:val="Normal"/>
    <w:next w:val="Normal"/>
    <w:uiPriority w:val="99"/>
    <w:unhideWhenUsed/>
    <w:rsid w:val="00C126D8"/>
    <w:pPr>
      <w:spacing w:after="0"/>
    </w:pPr>
  </w:style>
  <w:style w:type="paragraph" w:styleId="ListParagraph">
    <w:name w:val="List Paragraph"/>
    <w:aliases w:val="Resume Title,Citation List,Ha,List Paragraph1,Body,List Paragraph_Table bullets,Lettre d'introduction,Paragrafo elenco,heading 4,Graphic,Numbered Paragraph,Main numbered paragraph,References,Numbered List Paragraph,123 List Paragraph,H.4"/>
    <w:basedOn w:val="Normal"/>
    <w:link w:val="ListParagraphChar"/>
    <w:uiPriority w:val="34"/>
    <w:qFormat/>
    <w:rsid w:val="00EE1892"/>
    <w:pPr>
      <w:ind w:left="720"/>
      <w:contextualSpacing/>
    </w:pPr>
  </w:style>
  <w:style w:type="paragraph" w:customStyle="1" w:styleId="CoverDetail">
    <w:name w:val="Cover Detail"/>
    <w:basedOn w:val="CoverSubtitle"/>
    <w:uiPriority w:val="19"/>
    <w:semiHidden/>
    <w:qFormat/>
    <w:rsid w:val="0081223D"/>
    <w:pPr>
      <w:contextualSpacing/>
    </w:pPr>
    <w:rPr>
      <w:color w:val="B1B2B6"/>
      <w:sz w:val="24"/>
    </w:rPr>
  </w:style>
  <w:style w:type="paragraph" w:customStyle="1" w:styleId="CoverInsideDetail">
    <w:name w:val="Cover Inside Detail"/>
    <w:basedOn w:val="CoverDetail"/>
    <w:uiPriority w:val="19"/>
    <w:semiHidden/>
    <w:qFormat/>
    <w:rsid w:val="002C5C7C"/>
    <w:pPr>
      <w:spacing w:before="360"/>
    </w:pPr>
    <w:rPr>
      <w:color w:val="FFFFFF" w:themeColor="background1"/>
      <w:sz w:val="28"/>
    </w:rPr>
  </w:style>
  <w:style w:type="paragraph" w:customStyle="1" w:styleId="CoverDetailWhite">
    <w:name w:val="Cover Detail White"/>
    <w:basedOn w:val="CoverDetail"/>
    <w:uiPriority w:val="19"/>
    <w:semiHidden/>
    <w:qFormat/>
    <w:rsid w:val="00145656"/>
    <w:pPr>
      <w:spacing w:before="120" w:line="280" w:lineRule="atLeast"/>
    </w:pPr>
    <w:rPr>
      <w:b w:val="0"/>
      <w:caps w:val="0"/>
      <w:color w:val="FFFFFF" w:themeColor="background1"/>
    </w:rPr>
  </w:style>
  <w:style w:type="paragraph" w:customStyle="1" w:styleId="CVMainHeading">
    <w:name w:val="CV Main Heading"/>
    <w:basedOn w:val="CVHeading"/>
    <w:uiPriority w:val="13"/>
    <w:qFormat/>
    <w:rsid w:val="00D70725"/>
    <w:rPr>
      <w:sz w:val="20"/>
    </w:rPr>
  </w:style>
  <w:style w:type="paragraph" w:customStyle="1" w:styleId="TableBullet">
    <w:name w:val="Table Bullet"/>
    <w:basedOn w:val="TableText"/>
    <w:uiPriority w:val="10"/>
    <w:qFormat/>
    <w:rsid w:val="00802A4E"/>
    <w:pPr>
      <w:spacing w:before="0" w:after="0"/>
      <w:ind w:left="170" w:hanging="170"/>
    </w:pPr>
    <w:rPr>
      <w:sz w:val="18"/>
    </w:rPr>
  </w:style>
  <w:style w:type="paragraph" w:customStyle="1" w:styleId="InfoBoxDarkText">
    <w:name w:val="Info Box Dark Text"/>
    <w:basedOn w:val="IntroCopy"/>
    <w:uiPriority w:val="2"/>
    <w:qFormat/>
    <w:rsid w:val="00985D63"/>
    <w:pPr>
      <w:spacing w:before="60" w:after="60" w:line="276" w:lineRule="auto"/>
      <w:ind w:left="113" w:right="113"/>
    </w:pPr>
    <w:rPr>
      <w:i w:val="0"/>
      <w:color w:val="1D336D" w:themeColor="background2"/>
      <w:sz w:val="20"/>
    </w:rPr>
  </w:style>
  <w:style w:type="paragraph" w:customStyle="1" w:styleId="InfoBoxLightText">
    <w:name w:val="Info Box Light Text"/>
    <w:basedOn w:val="InfoBoxDarkText"/>
    <w:uiPriority w:val="2"/>
    <w:qFormat/>
    <w:rsid w:val="009473BB"/>
    <w:rPr>
      <w:color w:val="FFFFFF" w:themeColor="background1"/>
    </w:rPr>
  </w:style>
  <w:style w:type="paragraph" w:customStyle="1" w:styleId="NumberedHeadingChapter">
    <w:name w:val="Numbered Heading Chapter"/>
    <w:basedOn w:val="NumberedHeading1"/>
    <w:link w:val="NumberedHeadingChapterChar"/>
    <w:uiPriority w:val="2"/>
    <w:qFormat/>
    <w:rsid w:val="00726D77"/>
    <w:pPr>
      <w:pBdr>
        <w:top w:val="single" w:sz="2" w:space="6" w:color="2294CD"/>
        <w:left w:val="single" w:sz="2" w:space="6" w:color="2294CD"/>
        <w:bottom w:val="single" w:sz="2" w:space="6" w:color="2294CD"/>
        <w:right w:val="single" w:sz="2" w:space="6" w:color="2294CD"/>
      </w:pBdr>
      <w:shd w:val="clear" w:color="auto" w:fill="2294CD"/>
      <w:spacing w:before="160" w:after="240"/>
    </w:pPr>
    <w:rPr>
      <w:b w:val="0"/>
      <w:color w:val="FFFFFF" w:themeColor="background1"/>
      <w:sz w:val="44"/>
    </w:rPr>
  </w:style>
  <w:style w:type="paragraph" w:customStyle="1" w:styleId="SourceNotesV2">
    <w:name w:val="Source Notes V2"/>
    <w:basedOn w:val="SourceNotes"/>
    <w:uiPriority w:val="2"/>
    <w:qFormat/>
    <w:rsid w:val="009473BB"/>
    <w:pPr>
      <w:spacing w:after="0" w:line="200" w:lineRule="atLeast"/>
      <w:jc w:val="right"/>
    </w:pPr>
    <w:rPr>
      <w:color w:val="A1D5EF"/>
      <w:sz w:val="16"/>
    </w:rPr>
  </w:style>
  <w:style w:type="character" w:customStyle="1" w:styleId="NumberedHeadingChapterChar">
    <w:name w:val="Numbered Heading Chapter Char"/>
    <w:basedOn w:val="NumberedHeading1Char"/>
    <w:link w:val="NumberedHeadingChapter"/>
    <w:uiPriority w:val="2"/>
    <w:rsid w:val="00726D77"/>
    <w:rPr>
      <w:rFonts w:asciiTheme="minorHAnsi" w:eastAsiaTheme="majorEastAsia" w:hAnsiTheme="minorHAnsi" w:cs="Calibri"/>
      <w:b w:val="0"/>
      <w:iCs/>
      <w:caps/>
      <w:color w:val="FFFFFF" w:themeColor="background1"/>
      <w:sz w:val="44"/>
      <w:szCs w:val="28"/>
      <w:shd w:val="clear" w:color="auto" w:fill="2294CD"/>
    </w:rPr>
  </w:style>
  <w:style w:type="paragraph" w:customStyle="1" w:styleId="Heading3NOTOC">
    <w:name w:val="Heading 3 NO TOC"/>
    <w:basedOn w:val="Heading3"/>
    <w:uiPriority w:val="2"/>
    <w:qFormat/>
    <w:rsid w:val="003A5075"/>
    <w:pPr>
      <w:outlineLvl w:val="9"/>
    </w:pPr>
  </w:style>
  <w:style w:type="paragraph" w:customStyle="1" w:styleId="CVHeadingSmall">
    <w:name w:val="CV Heading Small"/>
    <w:basedOn w:val="CVHeading"/>
    <w:uiPriority w:val="2"/>
    <w:qFormat/>
    <w:rsid w:val="0052426B"/>
    <w:rPr>
      <w:sz w:val="20"/>
    </w:rPr>
  </w:style>
  <w:style w:type="character" w:customStyle="1" w:styleId="normaltextrun">
    <w:name w:val="normaltextrun"/>
    <w:basedOn w:val="DefaultParagraphFont"/>
    <w:rsid w:val="005E0848"/>
  </w:style>
  <w:style w:type="character" w:customStyle="1" w:styleId="eop">
    <w:name w:val="eop"/>
    <w:basedOn w:val="DefaultParagraphFont"/>
    <w:rsid w:val="005D677D"/>
  </w:style>
  <w:style w:type="paragraph" w:customStyle="1" w:styleId="paragraph">
    <w:name w:val="paragraph"/>
    <w:basedOn w:val="Normal"/>
    <w:rsid w:val="005D677D"/>
    <w:pPr>
      <w:spacing w:before="100" w:beforeAutospacing="1" w:after="100" w:afterAutospacing="1" w:line="240" w:lineRule="auto"/>
    </w:pPr>
    <w:rPr>
      <w:rFonts w:ascii="Times New Roman" w:eastAsia="Times New Roman" w:hAnsi="Times New Roman" w:cs="Times New Roman"/>
      <w:color w:val="auto"/>
      <w:sz w:val="24"/>
    </w:rPr>
  </w:style>
  <w:style w:type="paragraph" w:styleId="EndnoteText">
    <w:name w:val="endnote text"/>
    <w:basedOn w:val="Normal"/>
    <w:link w:val="EndnoteTextChar"/>
    <w:uiPriority w:val="50"/>
    <w:semiHidden/>
    <w:rsid w:val="00E11B0C"/>
    <w:pPr>
      <w:spacing w:after="0" w:line="240" w:lineRule="auto"/>
    </w:pPr>
    <w:rPr>
      <w:szCs w:val="20"/>
    </w:rPr>
  </w:style>
  <w:style w:type="character" w:customStyle="1" w:styleId="EndnoteTextChar">
    <w:name w:val="Endnote Text Char"/>
    <w:basedOn w:val="DefaultParagraphFont"/>
    <w:link w:val="EndnoteText"/>
    <w:uiPriority w:val="50"/>
    <w:semiHidden/>
    <w:rsid w:val="00E11B0C"/>
    <w:rPr>
      <w:rFonts w:asciiTheme="minorHAnsi" w:eastAsiaTheme="majorEastAsia" w:hAnsiTheme="minorHAnsi" w:cs="Calibri"/>
      <w:color w:val="000000" w:themeColor="text1"/>
    </w:rPr>
  </w:style>
  <w:style w:type="character" w:styleId="EndnoteReference">
    <w:name w:val="endnote reference"/>
    <w:basedOn w:val="DefaultParagraphFont"/>
    <w:uiPriority w:val="50"/>
    <w:semiHidden/>
    <w:rsid w:val="00E11B0C"/>
    <w:rPr>
      <w:vertAlign w:val="superscript"/>
    </w:rPr>
  </w:style>
  <w:style w:type="character" w:styleId="FollowedHyperlink">
    <w:name w:val="FollowedHyperlink"/>
    <w:basedOn w:val="DefaultParagraphFont"/>
    <w:uiPriority w:val="50"/>
    <w:semiHidden/>
    <w:rsid w:val="00706215"/>
    <w:rPr>
      <w:color w:val="FFFFFF" w:themeColor="followedHyperlink"/>
      <w:u w:val="single"/>
    </w:rPr>
  </w:style>
  <w:style w:type="character" w:customStyle="1" w:styleId="scxw207508331">
    <w:name w:val="scxw207508331"/>
    <w:basedOn w:val="DefaultParagraphFont"/>
    <w:rsid w:val="00501DCC"/>
  </w:style>
  <w:style w:type="character" w:styleId="CommentReference">
    <w:name w:val="annotation reference"/>
    <w:basedOn w:val="DefaultParagraphFont"/>
    <w:uiPriority w:val="29"/>
    <w:semiHidden/>
    <w:rsid w:val="003101F5"/>
    <w:rPr>
      <w:sz w:val="16"/>
      <w:szCs w:val="16"/>
    </w:rPr>
  </w:style>
  <w:style w:type="paragraph" w:styleId="CommentText">
    <w:name w:val="annotation text"/>
    <w:basedOn w:val="Normal"/>
    <w:link w:val="CommentTextChar"/>
    <w:uiPriority w:val="29"/>
    <w:semiHidden/>
    <w:rsid w:val="003101F5"/>
    <w:pPr>
      <w:spacing w:line="240" w:lineRule="auto"/>
    </w:pPr>
    <w:rPr>
      <w:szCs w:val="20"/>
    </w:rPr>
  </w:style>
  <w:style w:type="character" w:customStyle="1" w:styleId="CommentTextChar">
    <w:name w:val="Comment Text Char"/>
    <w:basedOn w:val="DefaultParagraphFont"/>
    <w:link w:val="CommentText"/>
    <w:uiPriority w:val="29"/>
    <w:semiHidden/>
    <w:rsid w:val="003101F5"/>
    <w:rPr>
      <w:rFonts w:asciiTheme="minorHAnsi" w:eastAsiaTheme="majorEastAsia" w:hAnsiTheme="minorHAnsi" w:cs="Calibri"/>
      <w:color w:val="000000" w:themeColor="text1"/>
    </w:rPr>
  </w:style>
  <w:style w:type="paragraph" w:styleId="CommentSubject">
    <w:name w:val="annotation subject"/>
    <w:basedOn w:val="CommentText"/>
    <w:next w:val="CommentText"/>
    <w:link w:val="CommentSubjectChar"/>
    <w:uiPriority w:val="29"/>
    <w:semiHidden/>
    <w:rsid w:val="003101F5"/>
    <w:rPr>
      <w:b/>
      <w:bCs/>
    </w:rPr>
  </w:style>
  <w:style w:type="character" w:customStyle="1" w:styleId="CommentSubjectChar">
    <w:name w:val="Comment Subject Char"/>
    <w:basedOn w:val="CommentTextChar"/>
    <w:link w:val="CommentSubject"/>
    <w:uiPriority w:val="29"/>
    <w:semiHidden/>
    <w:rsid w:val="003101F5"/>
    <w:rPr>
      <w:rFonts w:asciiTheme="minorHAnsi" w:eastAsiaTheme="majorEastAsia" w:hAnsiTheme="minorHAnsi" w:cs="Calibri"/>
      <w:b/>
      <w:bCs/>
      <w:color w:val="000000" w:themeColor="text1"/>
    </w:rPr>
  </w:style>
  <w:style w:type="character" w:styleId="Mention">
    <w:name w:val="Mention"/>
    <w:basedOn w:val="DefaultParagraphFont"/>
    <w:uiPriority w:val="99"/>
    <w:unhideWhenUsed/>
    <w:rsid w:val="003101F5"/>
    <w:rPr>
      <w:color w:val="2B579A"/>
      <w:shd w:val="clear" w:color="auto" w:fill="E1DFDD"/>
    </w:rPr>
  </w:style>
  <w:style w:type="paragraph" w:styleId="Revision">
    <w:name w:val="Revision"/>
    <w:hidden/>
    <w:uiPriority w:val="99"/>
    <w:semiHidden/>
    <w:rsid w:val="00660D97"/>
    <w:rPr>
      <w:rFonts w:asciiTheme="minorHAnsi" w:eastAsiaTheme="majorEastAsia" w:hAnsiTheme="minorHAnsi" w:cs="Calibri"/>
      <w:color w:val="000000" w:themeColor="text1"/>
      <w:szCs w:val="24"/>
    </w:rPr>
  </w:style>
  <w:style w:type="table" w:customStyle="1" w:styleId="TableGridLight1">
    <w:name w:val="Table Grid Light1"/>
    <w:basedOn w:val="TableNormal"/>
    <w:uiPriority w:val="40"/>
    <w:rsid w:val="00DC7C48"/>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umberedList1">
    <w:name w:val="Numbered List 1"/>
    <w:basedOn w:val="Normal"/>
    <w:qFormat/>
    <w:rsid w:val="00F76FFB"/>
    <w:pPr>
      <w:suppressAutoHyphens/>
      <w:spacing w:after="60" w:line="260" w:lineRule="atLeast"/>
      <w:ind w:left="284" w:hanging="284"/>
    </w:pPr>
    <w:rPr>
      <w:rFonts w:eastAsiaTheme="minorHAnsi" w:cstheme="minorBidi"/>
      <w:color w:val="585858" w:themeColor="text2"/>
      <w:sz w:val="22"/>
      <w:szCs w:val="22"/>
      <w:lang w:val="en-GB" w:eastAsia="en-US"/>
    </w:rPr>
  </w:style>
  <w:style w:type="paragraph" w:customStyle="1" w:styleId="NumberedList2">
    <w:name w:val="Numbered List 2"/>
    <w:basedOn w:val="NumberedList1"/>
    <w:qFormat/>
    <w:rsid w:val="00F76FFB"/>
    <w:pPr>
      <w:ind w:left="644" w:hanging="360"/>
    </w:pPr>
  </w:style>
  <w:style w:type="paragraph" w:customStyle="1" w:styleId="NumberedList3">
    <w:name w:val="Numbered List 3"/>
    <w:basedOn w:val="NumberedList2"/>
    <w:qFormat/>
    <w:rsid w:val="00F76FFB"/>
    <w:pPr>
      <w:ind w:left="852" w:hanging="284"/>
    </w:pPr>
  </w:style>
  <w:style w:type="numbering" w:customStyle="1" w:styleId="Numberedlist">
    <w:name w:val="Numbered list"/>
    <w:uiPriority w:val="99"/>
    <w:rsid w:val="00F76FFB"/>
    <w:pPr>
      <w:numPr>
        <w:numId w:val="22"/>
      </w:numPr>
    </w:pPr>
  </w:style>
  <w:style w:type="character" w:customStyle="1" w:styleId="ListParagraphChar">
    <w:name w:val="List Paragraph Char"/>
    <w:aliases w:val="Resume Title Char,Citation List Char,Ha Char,List Paragraph1 Char,Body Char,List Paragraph_Table bullets Char,Lettre d'introduction Char,Paragrafo elenco Char,heading 4 Char,Graphic Char,Numbered Paragraph Char,References Char"/>
    <w:link w:val="ListParagraph"/>
    <w:uiPriority w:val="34"/>
    <w:qFormat/>
    <w:rsid w:val="00C07DD9"/>
    <w:rPr>
      <w:rFonts w:asciiTheme="minorHAnsi" w:eastAsiaTheme="majorEastAsia" w:hAnsiTheme="minorHAnsi" w:cs="Calibri"/>
      <w:color w:val="000000" w:themeColor="text1"/>
      <w:szCs w:val="24"/>
    </w:rPr>
  </w:style>
  <w:style w:type="character" w:customStyle="1" w:styleId="cf01">
    <w:name w:val="cf01"/>
    <w:basedOn w:val="DefaultParagraphFont"/>
    <w:rsid w:val="008F5842"/>
    <w:rPr>
      <w:rFonts w:ascii="Segoe UI" w:hAnsi="Segoe UI" w:cs="Segoe UI" w:hint="default"/>
      <w:sz w:val="18"/>
      <w:szCs w:val="18"/>
    </w:rPr>
  </w:style>
  <w:style w:type="paragraph" w:customStyle="1" w:styleId="BulletPoints1">
    <w:name w:val="Bullet Points 1"/>
    <w:basedOn w:val="Normal"/>
    <w:link w:val="BulletPoints1Char"/>
    <w:qFormat/>
    <w:rsid w:val="008D4231"/>
    <w:pPr>
      <w:numPr>
        <w:numId w:val="41"/>
      </w:numPr>
      <w:spacing w:before="120" w:after="0"/>
    </w:pPr>
    <w:rPr>
      <w:rFonts w:ascii="Arial" w:eastAsiaTheme="minorHAnsi" w:hAnsi="Arial" w:cstheme="minorBidi"/>
      <w:color w:val="auto"/>
      <w:szCs w:val="22"/>
      <w:lang w:eastAsia="en-US"/>
    </w:rPr>
  </w:style>
  <w:style w:type="character" w:customStyle="1" w:styleId="BulletPoints1Char">
    <w:name w:val="Bullet Points 1 Char"/>
    <w:basedOn w:val="DefaultParagraphFont"/>
    <w:link w:val="BulletPoints1"/>
    <w:rsid w:val="008D4231"/>
    <w:rPr>
      <w:rFonts w:ascii="Arial" w:eastAsiaTheme="minorHAnsi" w:hAnsi="Arial" w:cstheme="minorBidi"/>
      <w:szCs w:val="22"/>
      <w:lang w:eastAsia="en-US"/>
    </w:rPr>
  </w:style>
  <w:style w:type="paragraph" w:styleId="BlockText">
    <w:name w:val="Block Text"/>
    <w:basedOn w:val="Normal"/>
    <w:uiPriority w:val="29"/>
    <w:semiHidden/>
    <w:rsid w:val="00790736"/>
    <w:pPr>
      <w:pBdr>
        <w:top w:val="single" w:sz="2" w:space="10" w:color="63D0DF" w:themeColor="accent1"/>
        <w:left w:val="single" w:sz="2" w:space="10" w:color="63D0DF" w:themeColor="accent1"/>
        <w:bottom w:val="single" w:sz="2" w:space="10" w:color="63D0DF" w:themeColor="accent1"/>
        <w:right w:val="single" w:sz="2" w:space="10" w:color="63D0DF" w:themeColor="accent1"/>
      </w:pBdr>
      <w:ind w:left="1152" w:right="1152"/>
    </w:pPr>
    <w:rPr>
      <w:rFonts w:eastAsiaTheme="minorEastAsia" w:cstheme="minorBidi"/>
      <w:i/>
      <w:iCs/>
      <w:color w:val="63D0DF" w:themeColor="accent1"/>
    </w:rPr>
  </w:style>
  <w:style w:type="paragraph" w:customStyle="1" w:styleId="Default">
    <w:name w:val="Default"/>
    <w:rsid w:val="00E93A5B"/>
    <w:pPr>
      <w:autoSpaceDE w:val="0"/>
      <w:autoSpaceDN w:val="0"/>
      <w:adjustRightInd w:val="0"/>
    </w:pPr>
    <w:rPr>
      <w:rFonts w:ascii="Calibri" w:eastAsiaTheme="minorHAnsi" w:hAnsi="Calibri" w:cs="Calibri"/>
      <w:color w:val="000000"/>
      <w:sz w:val="24"/>
      <w:szCs w:val="24"/>
      <w:lang w:val="en-GB" w:eastAsia="en-US"/>
    </w:rPr>
  </w:style>
  <w:style w:type="character" w:customStyle="1" w:styleId="cf11">
    <w:name w:val="cf11"/>
    <w:basedOn w:val="DefaultParagraphFont"/>
    <w:rsid w:val="00E151D0"/>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33301">
      <w:bodyDiv w:val="1"/>
      <w:marLeft w:val="0"/>
      <w:marRight w:val="0"/>
      <w:marTop w:val="0"/>
      <w:marBottom w:val="0"/>
      <w:divBdr>
        <w:top w:val="none" w:sz="0" w:space="0" w:color="auto"/>
        <w:left w:val="none" w:sz="0" w:space="0" w:color="auto"/>
        <w:bottom w:val="none" w:sz="0" w:space="0" w:color="auto"/>
        <w:right w:val="none" w:sz="0" w:space="0" w:color="auto"/>
      </w:divBdr>
      <w:divsChild>
        <w:div w:id="133446300">
          <w:marLeft w:val="0"/>
          <w:marRight w:val="0"/>
          <w:marTop w:val="0"/>
          <w:marBottom w:val="0"/>
          <w:divBdr>
            <w:top w:val="none" w:sz="0" w:space="0" w:color="auto"/>
            <w:left w:val="none" w:sz="0" w:space="0" w:color="auto"/>
            <w:bottom w:val="none" w:sz="0" w:space="0" w:color="auto"/>
            <w:right w:val="none" w:sz="0" w:space="0" w:color="auto"/>
          </w:divBdr>
          <w:divsChild>
            <w:div w:id="612055899">
              <w:marLeft w:val="0"/>
              <w:marRight w:val="0"/>
              <w:marTop w:val="0"/>
              <w:marBottom w:val="0"/>
              <w:divBdr>
                <w:top w:val="none" w:sz="0" w:space="0" w:color="auto"/>
                <w:left w:val="none" w:sz="0" w:space="0" w:color="auto"/>
                <w:bottom w:val="none" w:sz="0" w:space="0" w:color="auto"/>
                <w:right w:val="none" w:sz="0" w:space="0" w:color="auto"/>
              </w:divBdr>
            </w:div>
            <w:div w:id="657730076">
              <w:marLeft w:val="0"/>
              <w:marRight w:val="0"/>
              <w:marTop w:val="0"/>
              <w:marBottom w:val="0"/>
              <w:divBdr>
                <w:top w:val="none" w:sz="0" w:space="0" w:color="auto"/>
                <w:left w:val="none" w:sz="0" w:space="0" w:color="auto"/>
                <w:bottom w:val="none" w:sz="0" w:space="0" w:color="auto"/>
                <w:right w:val="none" w:sz="0" w:space="0" w:color="auto"/>
              </w:divBdr>
            </w:div>
          </w:divsChild>
        </w:div>
        <w:div w:id="402679645">
          <w:marLeft w:val="0"/>
          <w:marRight w:val="0"/>
          <w:marTop w:val="0"/>
          <w:marBottom w:val="0"/>
          <w:divBdr>
            <w:top w:val="none" w:sz="0" w:space="0" w:color="auto"/>
            <w:left w:val="none" w:sz="0" w:space="0" w:color="auto"/>
            <w:bottom w:val="none" w:sz="0" w:space="0" w:color="auto"/>
            <w:right w:val="none" w:sz="0" w:space="0" w:color="auto"/>
          </w:divBdr>
          <w:divsChild>
            <w:div w:id="1250579993">
              <w:marLeft w:val="0"/>
              <w:marRight w:val="0"/>
              <w:marTop w:val="0"/>
              <w:marBottom w:val="0"/>
              <w:divBdr>
                <w:top w:val="none" w:sz="0" w:space="0" w:color="auto"/>
                <w:left w:val="none" w:sz="0" w:space="0" w:color="auto"/>
                <w:bottom w:val="none" w:sz="0" w:space="0" w:color="auto"/>
                <w:right w:val="none" w:sz="0" w:space="0" w:color="auto"/>
              </w:divBdr>
            </w:div>
            <w:div w:id="1516191035">
              <w:marLeft w:val="0"/>
              <w:marRight w:val="0"/>
              <w:marTop w:val="0"/>
              <w:marBottom w:val="0"/>
              <w:divBdr>
                <w:top w:val="none" w:sz="0" w:space="0" w:color="auto"/>
                <w:left w:val="none" w:sz="0" w:space="0" w:color="auto"/>
                <w:bottom w:val="none" w:sz="0" w:space="0" w:color="auto"/>
                <w:right w:val="none" w:sz="0" w:space="0" w:color="auto"/>
              </w:divBdr>
            </w:div>
            <w:div w:id="1915387672">
              <w:marLeft w:val="0"/>
              <w:marRight w:val="0"/>
              <w:marTop w:val="0"/>
              <w:marBottom w:val="0"/>
              <w:divBdr>
                <w:top w:val="none" w:sz="0" w:space="0" w:color="auto"/>
                <w:left w:val="none" w:sz="0" w:space="0" w:color="auto"/>
                <w:bottom w:val="none" w:sz="0" w:space="0" w:color="auto"/>
                <w:right w:val="none" w:sz="0" w:space="0" w:color="auto"/>
              </w:divBdr>
            </w:div>
            <w:div w:id="2125611554">
              <w:marLeft w:val="0"/>
              <w:marRight w:val="0"/>
              <w:marTop w:val="0"/>
              <w:marBottom w:val="0"/>
              <w:divBdr>
                <w:top w:val="none" w:sz="0" w:space="0" w:color="auto"/>
                <w:left w:val="none" w:sz="0" w:space="0" w:color="auto"/>
                <w:bottom w:val="none" w:sz="0" w:space="0" w:color="auto"/>
                <w:right w:val="none" w:sz="0" w:space="0" w:color="auto"/>
              </w:divBdr>
            </w:div>
          </w:divsChild>
        </w:div>
        <w:div w:id="1503735077">
          <w:marLeft w:val="0"/>
          <w:marRight w:val="0"/>
          <w:marTop w:val="0"/>
          <w:marBottom w:val="0"/>
          <w:divBdr>
            <w:top w:val="none" w:sz="0" w:space="0" w:color="auto"/>
            <w:left w:val="none" w:sz="0" w:space="0" w:color="auto"/>
            <w:bottom w:val="none" w:sz="0" w:space="0" w:color="auto"/>
            <w:right w:val="none" w:sz="0" w:space="0" w:color="auto"/>
          </w:divBdr>
          <w:divsChild>
            <w:div w:id="730425849">
              <w:marLeft w:val="0"/>
              <w:marRight w:val="0"/>
              <w:marTop w:val="0"/>
              <w:marBottom w:val="0"/>
              <w:divBdr>
                <w:top w:val="none" w:sz="0" w:space="0" w:color="auto"/>
                <w:left w:val="none" w:sz="0" w:space="0" w:color="auto"/>
                <w:bottom w:val="none" w:sz="0" w:space="0" w:color="auto"/>
                <w:right w:val="none" w:sz="0" w:space="0" w:color="auto"/>
              </w:divBdr>
            </w:div>
            <w:div w:id="1313021986">
              <w:marLeft w:val="0"/>
              <w:marRight w:val="0"/>
              <w:marTop w:val="0"/>
              <w:marBottom w:val="0"/>
              <w:divBdr>
                <w:top w:val="none" w:sz="0" w:space="0" w:color="auto"/>
                <w:left w:val="none" w:sz="0" w:space="0" w:color="auto"/>
                <w:bottom w:val="none" w:sz="0" w:space="0" w:color="auto"/>
                <w:right w:val="none" w:sz="0" w:space="0" w:color="auto"/>
              </w:divBdr>
            </w:div>
            <w:div w:id="1822501224">
              <w:marLeft w:val="0"/>
              <w:marRight w:val="0"/>
              <w:marTop w:val="0"/>
              <w:marBottom w:val="0"/>
              <w:divBdr>
                <w:top w:val="none" w:sz="0" w:space="0" w:color="auto"/>
                <w:left w:val="none" w:sz="0" w:space="0" w:color="auto"/>
                <w:bottom w:val="none" w:sz="0" w:space="0" w:color="auto"/>
                <w:right w:val="none" w:sz="0" w:space="0" w:color="auto"/>
              </w:divBdr>
            </w:div>
            <w:div w:id="1979995133">
              <w:marLeft w:val="0"/>
              <w:marRight w:val="0"/>
              <w:marTop w:val="0"/>
              <w:marBottom w:val="0"/>
              <w:divBdr>
                <w:top w:val="none" w:sz="0" w:space="0" w:color="auto"/>
                <w:left w:val="none" w:sz="0" w:space="0" w:color="auto"/>
                <w:bottom w:val="none" w:sz="0" w:space="0" w:color="auto"/>
                <w:right w:val="none" w:sz="0" w:space="0" w:color="auto"/>
              </w:divBdr>
            </w:div>
            <w:div w:id="2100366527">
              <w:marLeft w:val="0"/>
              <w:marRight w:val="0"/>
              <w:marTop w:val="0"/>
              <w:marBottom w:val="0"/>
              <w:divBdr>
                <w:top w:val="none" w:sz="0" w:space="0" w:color="auto"/>
                <w:left w:val="none" w:sz="0" w:space="0" w:color="auto"/>
                <w:bottom w:val="none" w:sz="0" w:space="0" w:color="auto"/>
                <w:right w:val="none" w:sz="0" w:space="0" w:color="auto"/>
              </w:divBdr>
            </w:div>
          </w:divsChild>
        </w:div>
        <w:div w:id="1627814006">
          <w:marLeft w:val="0"/>
          <w:marRight w:val="0"/>
          <w:marTop w:val="0"/>
          <w:marBottom w:val="0"/>
          <w:divBdr>
            <w:top w:val="none" w:sz="0" w:space="0" w:color="auto"/>
            <w:left w:val="none" w:sz="0" w:space="0" w:color="auto"/>
            <w:bottom w:val="none" w:sz="0" w:space="0" w:color="auto"/>
            <w:right w:val="none" w:sz="0" w:space="0" w:color="auto"/>
          </w:divBdr>
        </w:div>
      </w:divsChild>
    </w:div>
    <w:div w:id="258564374">
      <w:bodyDiv w:val="1"/>
      <w:marLeft w:val="0"/>
      <w:marRight w:val="0"/>
      <w:marTop w:val="0"/>
      <w:marBottom w:val="0"/>
      <w:divBdr>
        <w:top w:val="none" w:sz="0" w:space="0" w:color="auto"/>
        <w:left w:val="none" w:sz="0" w:space="0" w:color="auto"/>
        <w:bottom w:val="none" w:sz="0" w:space="0" w:color="auto"/>
        <w:right w:val="none" w:sz="0" w:space="0" w:color="auto"/>
      </w:divBdr>
    </w:div>
    <w:div w:id="485783300">
      <w:bodyDiv w:val="1"/>
      <w:marLeft w:val="0"/>
      <w:marRight w:val="0"/>
      <w:marTop w:val="0"/>
      <w:marBottom w:val="0"/>
      <w:divBdr>
        <w:top w:val="none" w:sz="0" w:space="0" w:color="auto"/>
        <w:left w:val="none" w:sz="0" w:space="0" w:color="auto"/>
        <w:bottom w:val="none" w:sz="0" w:space="0" w:color="auto"/>
        <w:right w:val="none" w:sz="0" w:space="0" w:color="auto"/>
      </w:divBdr>
      <w:divsChild>
        <w:div w:id="40710054">
          <w:marLeft w:val="274"/>
          <w:marRight w:val="0"/>
          <w:marTop w:val="0"/>
          <w:marBottom w:val="220"/>
          <w:divBdr>
            <w:top w:val="none" w:sz="0" w:space="0" w:color="auto"/>
            <w:left w:val="none" w:sz="0" w:space="0" w:color="auto"/>
            <w:bottom w:val="none" w:sz="0" w:space="0" w:color="auto"/>
            <w:right w:val="none" w:sz="0" w:space="0" w:color="auto"/>
          </w:divBdr>
        </w:div>
        <w:div w:id="457995317">
          <w:marLeft w:val="274"/>
          <w:marRight w:val="0"/>
          <w:marTop w:val="0"/>
          <w:marBottom w:val="220"/>
          <w:divBdr>
            <w:top w:val="none" w:sz="0" w:space="0" w:color="auto"/>
            <w:left w:val="none" w:sz="0" w:space="0" w:color="auto"/>
            <w:bottom w:val="none" w:sz="0" w:space="0" w:color="auto"/>
            <w:right w:val="none" w:sz="0" w:space="0" w:color="auto"/>
          </w:divBdr>
        </w:div>
        <w:div w:id="1013452592">
          <w:marLeft w:val="274"/>
          <w:marRight w:val="0"/>
          <w:marTop w:val="0"/>
          <w:marBottom w:val="220"/>
          <w:divBdr>
            <w:top w:val="none" w:sz="0" w:space="0" w:color="auto"/>
            <w:left w:val="none" w:sz="0" w:space="0" w:color="auto"/>
            <w:bottom w:val="none" w:sz="0" w:space="0" w:color="auto"/>
            <w:right w:val="none" w:sz="0" w:space="0" w:color="auto"/>
          </w:divBdr>
        </w:div>
        <w:div w:id="1155298126">
          <w:marLeft w:val="274"/>
          <w:marRight w:val="0"/>
          <w:marTop w:val="0"/>
          <w:marBottom w:val="220"/>
          <w:divBdr>
            <w:top w:val="none" w:sz="0" w:space="0" w:color="auto"/>
            <w:left w:val="none" w:sz="0" w:space="0" w:color="auto"/>
            <w:bottom w:val="none" w:sz="0" w:space="0" w:color="auto"/>
            <w:right w:val="none" w:sz="0" w:space="0" w:color="auto"/>
          </w:divBdr>
        </w:div>
        <w:div w:id="1477142496">
          <w:marLeft w:val="274"/>
          <w:marRight w:val="0"/>
          <w:marTop w:val="0"/>
          <w:marBottom w:val="220"/>
          <w:divBdr>
            <w:top w:val="none" w:sz="0" w:space="0" w:color="auto"/>
            <w:left w:val="none" w:sz="0" w:space="0" w:color="auto"/>
            <w:bottom w:val="none" w:sz="0" w:space="0" w:color="auto"/>
            <w:right w:val="none" w:sz="0" w:space="0" w:color="auto"/>
          </w:divBdr>
        </w:div>
        <w:div w:id="1912152945">
          <w:marLeft w:val="274"/>
          <w:marRight w:val="0"/>
          <w:marTop w:val="0"/>
          <w:marBottom w:val="220"/>
          <w:divBdr>
            <w:top w:val="none" w:sz="0" w:space="0" w:color="auto"/>
            <w:left w:val="none" w:sz="0" w:space="0" w:color="auto"/>
            <w:bottom w:val="none" w:sz="0" w:space="0" w:color="auto"/>
            <w:right w:val="none" w:sz="0" w:space="0" w:color="auto"/>
          </w:divBdr>
        </w:div>
        <w:div w:id="2043096215">
          <w:marLeft w:val="274"/>
          <w:marRight w:val="0"/>
          <w:marTop w:val="0"/>
          <w:marBottom w:val="220"/>
          <w:divBdr>
            <w:top w:val="none" w:sz="0" w:space="0" w:color="auto"/>
            <w:left w:val="none" w:sz="0" w:space="0" w:color="auto"/>
            <w:bottom w:val="none" w:sz="0" w:space="0" w:color="auto"/>
            <w:right w:val="none" w:sz="0" w:space="0" w:color="auto"/>
          </w:divBdr>
        </w:div>
      </w:divsChild>
    </w:div>
    <w:div w:id="564100684">
      <w:bodyDiv w:val="1"/>
      <w:marLeft w:val="0"/>
      <w:marRight w:val="0"/>
      <w:marTop w:val="0"/>
      <w:marBottom w:val="0"/>
      <w:divBdr>
        <w:top w:val="none" w:sz="0" w:space="0" w:color="auto"/>
        <w:left w:val="none" w:sz="0" w:space="0" w:color="auto"/>
        <w:bottom w:val="none" w:sz="0" w:space="0" w:color="auto"/>
        <w:right w:val="none" w:sz="0" w:space="0" w:color="auto"/>
      </w:divBdr>
      <w:divsChild>
        <w:div w:id="14624910">
          <w:marLeft w:val="0"/>
          <w:marRight w:val="0"/>
          <w:marTop w:val="0"/>
          <w:marBottom w:val="0"/>
          <w:divBdr>
            <w:top w:val="none" w:sz="0" w:space="0" w:color="auto"/>
            <w:left w:val="none" w:sz="0" w:space="0" w:color="auto"/>
            <w:bottom w:val="none" w:sz="0" w:space="0" w:color="auto"/>
            <w:right w:val="none" w:sz="0" w:space="0" w:color="auto"/>
          </w:divBdr>
          <w:divsChild>
            <w:div w:id="686255395">
              <w:marLeft w:val="0"/>
              <w:marRight w:val="0"/>
              <w:marTop w:val="0"/>
              <w:marBottom w:val="0"/>
              <w:divBdr>
                <w:top w:val="none" w:sz="0" w:space="0" w:color="auto"/>
                <w:left w:val="none" w:sz="0" w:space="0" w:color="auto"/>
                <w:bottom w:val="none" w:sz="0" w:space="0" w:color="auto"/>
                <w:right w:val="none" w:sz="0" w:space="0" w:color="auto"/>
              </w:divBdr>
            </w:div>
          </w:divsChild>
        </w:div>
        <w:div w:id="45180518">
          <w:marLeft w:val="0"/>
          <w:marRight w:val="0"/>
          <w:marTop w:val="0"/>
          <w:marBottom w:val="0"/>
          <w:divBdr>
            <w:top w:val="none" w:sz="0" w:space="0" w:color="auto"/>
            <w:left w:val="none" w:sz="0" w:space="0" w:color="auto"/>
            <w:bottom w:val="none" w:sz="0" w:space="0" w:color="auto"/>
            <w:right w:val="none" w:sz="0" w:space="0" w:color="auto"/>
          </w:divBdr>
          <w:divsChild>
            <w:div w:id="376054723">
              <w:marLeft w:val="0"/>
              <w:marRight w:val="0"/>
              <w:marTop w:val="0"/>
              <w:marBottom w:val="0"/>
              <w:divBdr>
                <w:top w:val="none" w:sz="0" w:space="0" w:color="auto"/>
                <w:left w:val="none" w:sz="0" w:space="0" w:color="auto"/>
                <w:bottom w:val="none" w:sz="0" w:space="0" w:color="auto"/>
                <w:right w:val="none" w:sz="0" w:space="0" w:color="auto"/>
              </w:divBdr>
            </w:div>
          </w:divsChild>
        </w:div>
        <w:div w:id="121969471">
          <w:marLeft w:val="0"/>
          <w:marRight w:val="0"/>
          <w:marTop w:val="0"/>
          <w:marBottom w:val="0"/>
          <w:divBdr>
            <w:top w:val="none" w:sz="0" w:space="0" w:color="auto"/>
            <w:left w:val="none" w:sz="0" w:space="0" w:color="auto"/>
            <w:bottom w:val="none" w:sz="0" w:space="0" w:color="auto"/>
            <w:right w:val="none" w:sz="0" w:space="0" w:color="auto"/>
          </w:divBdr>
          <w:divsChild>
            <w:div w:id="1106344098">
              <w:marLeft w:val="0"/>
              <w:marRight w:val="0"/>
              <w:marTop w:val="0"/>
              <w:marBottom w:val="0"/>
              <w:divBdr>
                <w:top w:val="none" w:sz="0" w:space="0" w:color="auto"/>
                <w:left w:val="none" w:sz="0" w:space="0" w:color="auto"/>
                <w:bottom w:val="none" w:sz="0" w:space="0" w:color="auto"/>
                <w:right w:val="none" w:sz="0" w:space="0" w:color="auto"/>
              </w:divBdr>
            </w:div>
          </w:divsChild>
        </w:div>
        <w:div w:id="174005910">
          <w:marLeft w:val="0"/>
          <w:marRight w:val="0"/>
          <w:marTop w:val="0"/>
          <w:marBottom w:val="0"/>
          <w:divBdr>
            <w:top w:val="none" w:sz="0" w:space="0" w:color="auto"/>
            <w:left w:val="none" w:sz="0" w:space="0" w:color="auto"/>
            <w:bottom w:val="none" w:sz="0" w:space="0" w:color="auto"/>
            <w:right w:val="none" w:sz="0" w:space="0" w:color="auto"/>
          </w:divBdr>
          <w:divsChild>
            <w:div w:id="1085804195">
              <w:marLeft w:val="0"/>
              <w:marRight w:val="0"/>
              <w:marTop w:val="0"/>
              <w:marBottom w:val="0"/>
              <w:divBdr>
                <w:top w:val="none" w:sz="0" w:space="0" w:color="auto"/>
                <w:left w:val="none" w:sz="0" w:space="0" w:color="auto"/>
                <w:bottom w:val="none" w:sz="0" w:space="0" w:color="auto"/>
                <w:right w:val="none" w:sz="0" w:space="0" w:color="auto"/>
              </w:divBdr>
            </w:div>
          </w:divsChild>
        </w:div>
        <w:div w:id="192769282">
          <w:marLeft w:val="0"/>
          <w:marRight w:val="0"/>
          <w:marTop w:val="0"/>
          <w:marBottom w:val="0"/>
          <w:divBdr>
            <w:top w:val="none" w:sz="0" w:space="0" w:color="auto"/>
            <w:left w:val="none" w:sz="0" w:space="0" w:color="auto"/>
            <w:bottom w:val="none" w:sz="0" w:space="0" w:color="auto"/>
            <w:right w:val="none" w:sz="0" w:space="0" w:color="auto"/>
          </w:divBdr>
          <w:divsChild>
            <w:div w:id="1095516118">
              <w:marLeft w:val="0"/>
              <w:marRight w:val="0"/>
              <w:marTop w:val="0"/>
              <w:marBottom w:val="0"/>
              <w:divBdr>
                <w:top w:val="none" w:sz="0" w:space="0" w:color="auto"/>
                <w:left w:val="none" w:sz="0" w:space="0" w:color="auto"/>
                <w:bottom w:val="none" w:sz="0" w:space="0" w:color="auto"/>
                <w:right w:val="none" w:sz="0" w:space="0" w:color="auto"/>
              </w:divBdr>
            </w:div>
          </w:divsChild>
        </w:div>
        <w:div w:id="214006994">
          <w:marLeft w:val="0"/>
          <w:marRight w:val="0"/>
          <w:marTop w:val="0"/>
          <w:marBottom w:val="0"/>
          <w:divBdr>
            <w:top w:val="none" w:sz="0" w:space="0" w:color="auto"/>
            <w:left w:val="none" w:sz="0" w:space="0" w:color="auto"/>
            <w:bottom w:val="none" w:sz="0" w:space="0" w:color="auto"/>
            <w:right w:val="none" w:sz="0" w:space="0" w:color="auto"/>
          </w:divBdr>
          <w:divsChild>
            <w:div w:id="1729454190">
              <w:marLeft w:val="0"/>
              <w:marRight w:val="0"/>
              <w:marTop w:val="0"/>
              <w:marBottom w:val="0"/>
              <w:divBdr>
                <w:top w:val="none" w:sz="0" w:space="0" w:color="auto"/>
                <w:left w:val="none" w:sz="0" w:space="0" w:color="auto"/>
                <w:bottom w:val="none" w:sz="0" w:space="0" w:color="auto"/>
                <w:right w:val="none" w:sz="0" w:space="0" w:color="auto"/>
              </w:divBdr>
            </w:div>
          </w:divsChild>
        </w:div>
        <w:div w:id="323093123">
          <w:marLeft w:val="0"/>
          <w:marRight w:val="0"/>
          <w:marTop w:val="0"/>
          <w:marBottom w:val="0"/>
          <w:divBdr>
            <w:top w:val="none" w:sz="0" w:space="0" w:color="auto"/>
            <w:left w:val="none" w:sz="0" w:space="0" w:color="auto"/>
            <w:bottom w:val="none" w:sz="0" w:space="0" w:color="auto"/>
            <w:right w:val="none" w:sz="0" w:space="0" w:color="auto"/>
          </w:divBdr>
          <w:divsChild>
            <w:div w:id="846363020">
              <w:marLeft w:val="0"/>
              <w:marRight w:val="0"/>
              <w:marTop w:val="0"/>
              <w:marBottom w:val="0"/>
              <w:divBdr>
                <w:top w:val="none" w:sz="0" w:space="0" w:color="auto"/>
                <w:left w:val="none" w:sz="0" w:space="0" w:color="auto"/>
                <w:bottom w:val="none" w:sz="0" w:space="0" w:color="auto"/>
                <w:right w:val="none" w:sz="0" w:space="0" w:color="auto"/>
              </w:divBdr>
            </w:div>
          </w:divsChild>
        </w:div>
        <w:div w:id="341515981">
          <w:marLeft w:val="0"/>
          <w:marRight w:val="0"/>
          <w:marTop w:val="0"/>
          <w:marBottom w:val="0"/>
          <w:divBdr>
            <w:top w:val="none" w:sz="0" w:space="0" w:color="auto"/>
            <w:left w:val="none" w:sz="0" w:space="0" w:color="auto"/>
            <w:bottom w:val="none" w:sz="0" w:space="0" w:color="auto"/>
            <w:right w:val="none" w:sz="0" w:space="0" w:color="auto"/>
          </w:divBdr>
          <w:divsChild>
            <w:div w:id="347295937">
              <w:marLeft w:val="0"/>
              <w:marRight w:val="0"/>
              <w:marTop w:val="0"/>
              <w:marBottom w:val="0"/>
              <w:divBdr>
                <w:top w:val="none" w:sz="0" w:space="0" w:color="auto"/>
                <w:left w:val="none" w:sz="0" w:space="0" w:color="auto"/>
                <w:bottom w:val="none" w:sz="0" w:space="0" w:color="auto"/>
                <w:right w:val="none" w:sz="0" w:space="0" w:color="auto"/>
              </w:divBdr>
            </w:div>
          </w:divsChild>
        </w:div>
        <w:div w:id="347831282">
          <w:marLeft w:val="0"/>
          <w:marRight w:val="0"/>
          <w:marTop w:val="0"/>
          <w:marBottom w:val="0"/>
          <w:divBdr>
            <w:top w:val="none" w:sz="0" w:space="0" w:color="auto"/>
            <w:left w:val="none" w:sz="0" w:space="0" w:color="auto"/>
            <w:bottom w:val="none" w:sz="0" w:space="0" w:color="auto"/>
            <w:right w:val="none" w:sz="0" w:space="0" w:color="auto"/>
          </w:divBdr>
          <w:divsChild>
            <w:div w:id="610287591">
              <w:marLeft w:val="0"/>
              <w:marRight w:val="0"/>
              <w:marTop w:val="0"/>
              <w:marBottom w:val="0"/>
              <w:divBdr>
                <w:top w:val="none" w:sz="0" w:space="0" w:color="auto"/>
                <w:left w:val="none" w:sz="0" w:space="0" w:color="auto"/>
                <w:bottom w:val="none" w:sz="0" w:space="0" w:color="auto"/>
                <w:right w:val="none" w:sz="0" w:space="0" w:color="auto"/>
              </w:divBdr>
            </w:div>
          </w:divsChild>
        </w:div>
        <w:div w:id="403574342">
          <w:marLeft w:val="0"/>
          <w:marRight w:val="0"/>
          <w:marTop w:val="0"/>
          <w:marBottom w:val="0"/>
          <w:divBdr>
            <w:top w:val="none" w:sz="0" w:space="0" w:color="auto"/>
            <w:left w:val="none" w:sz="0" w:space="0" w:color="auto"/>
            <w:bottom w:val="none" w:sz="0" w:space="0" w:color="auto"/>
            <w:right w:val="none" w:sz="0" w:space="0" w:color="auto"/>
          </w:divBdr>
          <w:divsChild>
            <w:div w:id="1543010596">
              <w:marLeft w:val="0"/>
              <w:marRight w:val="0"/>
              <w:marTop w:val="0"/>
              <w:marBottom w:val="0"/>
              <w:divBdr>
                <w:top w:val="none" w:sz="0" w:space="0" w:color="auto"/>
                <w:left w:val="none" w:sz="0" w:space="0" w:color="auto"/>
                <w:bottom w:val="none" w:sz="0" w:space="0" w:color="auto"/>
                <w:right w:val="none" w:sz="0" w:space="0" w:color="auto"/>
              </w:divBdr>
            </w:div>
          </w:divsChild>
        </w:div>
        <w:div w:id="403575484">
          <w:marLeft w:val="0"/>
          <w:marRight w:val="0"/>
          <w:marTop w:val="0"/>
          <w:marBottom w:val="0"/>
          <w:divBdr>
            <w:top w:val="none" w:sz="0" w:space="0" w:color="auto"/>
            <w:left w:val="none" w:sz="0" w:space="0" w:color="auto"/>
            <w:bottom w:val="none" w:sz="0" w:space="0" w:color="auto"/>
            <w:right w:val="none" w:sz="0" w:space="0" w:color="auto"/>
          </w:divBdr>
          <w:divsChild>
            <w:div w:id="318923183">
              <w:marLeft w:val="0"/>
              <w:marRight w:val="0"/>
              <w:marTop w:val="0"/>
              <w:marBottom w:val="0"/>
              <w:divBdr>
                <w:top w:val="none" w:sz="0" w:space="0" w:color="auto"/>
                <w:left w:val="none" w:sz="0" w:space="0" w:color="auto"/>
                <w:bottom w:val="none" w:sz="0" w:space="0" w:color="auto"/>
                <w:right w:val="none" w:sz="0" w:space="0" w:color="auto"/>
              </w:divBdr>
            </w:div>
          </w:divsChild>
        </w:div>
        <w:div w:id="439027461">
          <w:marLeft w:val="0"/>
          <w:marRight w:val="0"/>
          <w:marTop w:val="0"/>
          <w:marBottom w:val="0"/>
          <w:divBdr>
            <w:top w:val="none" w:sz="0" w:space="0" w:color="auto"/>
            <w:left w:val="none" w:sz="0" w:space="0" w:color="auto"/>
            <w:bottom w:val="none" w:sz="0" w:space="0" w:color="auto"/>
            <w:right w:val="none" w:sz="0" w:space="0" w:color="auto"/>
          </w:divBdr>
          <w:divsChild>
            <w:div w:id="1687518074">
              <w:marLeft w:val="0"/>
              <w:marRight w:val="0"/>
              <w:marTop w:val="0"/>
              <w:marBottom w:val="0"/>
              <w:divBdr>
                <w:top w:val="none" w:sz="0" w:space="0" w:color="auto"/>
                <w:left w:val="none" w:sz="0" w:space="0" w:color="auto"/>
                <w:bottom w:val="none" w:sz="0" w:space="0" w:color="auto"/>
                <w:right w:val="none" w:sz="0" w:space="0" w:color="auto"/>
              </w:divBdr>
            </w:div>
          </w:divsChild>
        </w:div>
        <w:div w:id="464273935">
          <w:marLeft w:val="0"/>
          <w:marRight w:val="0"/>
          <w:marTop w:val="0"/>
          <w:marBottom w:val="0"/>
          <w:divBdr>
            <w:top w:val="none" w:sz="0" w:space="0" w:color="auto"/>
            <w:left w:val="none" w:sz="0" w:space="0" w:color="auto"/>
            <w:bottom w:val="none" w:sz="0" w:space="0" w:color="auto"/>
            <w:right w:val="none" w:sz="0" w:space="0" w:color="auto"/>
          </w:divBdr>
          <w:divsChild>
            <w:div w:id="530918741">
              <w:marLeft w:val="0"/>
              <w:marRight w:val="0"/>
              <w:marTop w:val="0"/>
              <w:marBottom w:val="0"/>
              <w:divBdr>
                <w:top w:val="none" w:sz="0" w:space="0" w:color="auto"/>
                <w:left w:val="none" w:sz="0" w:space="0" w:color="auto"/>
                <w:bottom w:val="none" w:sz="0" w:space="0" w:color="auto"/>
                <w:right w:val="none" w:sz="0" w:space="0" w:color="auto"/>
              </w:divBdr>
            </w:div>
          </w:divsChild>
        </w:div>
        <w:div w:id="483358199">
          <w:marLeft w:val="0"/>
          <w:marRight w:val="0"/>
          <w:marTop w:val="0"/>
          <w:marBottom w:val="0"/>
          <w:divBdr>
            <w:top w:val="none" w:sz="0" w:space="0" w:color="auto"/>
            <w:left w:val="none" w:sz="0" w:space="0" w:color="auto"/>
            <w:bottom w:val="none" w:sz="0" w:space="0" w:color="auto"/>
            <w:right w:val="none" w:sz="0" w:space="0" w:color="auto"/>
          </w:divBdr>
          <w:divsChild>
            <w:div w:id="96298217">
              <w:marLeft w:val="0"/>
              <w:marRight w:val="0"/>
              <w:marTop w:val="0"/>
              <w:marBottom w:val="0"/>
              <w:divBdr>
                <w:top w:val="none" w:sz="0" w:space="0" w:color="auto"/>
                <w:left w:val="none" w:sz="0" w:space="0" w:color="auto"/>
                <w:bottom w:val="none" w:sz="0" w:space="0" w:color="auto"/>
                <w:right w:val="none" w:sz="0" w:space="0" w:color="auto"/>
              </w:divBdr>
            </w:div>
            <w:div w:id="269245403">
              <w:marLeft w:val="0"/>
              <w:marRight w:val="0"/>
              <w:marTop w:val="0"/>
              <w:marBottom w:val="0"/>
              <w:divBdr>
                <w:top w:val="none" w:sz="0" w:space="0" w:color="auto"/>
                <w:left w:val="none" w:sz="0" w:space="0" w:color="auto"/>
                <w:bottom w:val="none" w:sz="0" w:space="0" w:color="auto"/>
                <w:right w:val="none" w:sz="0" w:space="0" w:color="auto"/>
              </w:divBdr>
            </w:div>
            <w:div w:id="1432972993">
              <w:marLeft w:val="0"/>
              <w:marRight w:val="0"/>
              <w:marTop w:val="0"/>
              <w:marBottom w:val="0"/>
              <w:divBdr>
                <w:top w:val="none" w:sz="0" w:space="0" w:color="auto"/>
                <w:left w:val="none" w:sz="0" w:space="0" w:color="auto"/>
                <w:bottom w:val="none" w:sz="0" w:space="0" w:color="auto"/>
                <w:right w:val="none" w:sz="0" w:space="0" w:color="auto"/>
              </w:divBdr>
            </w:div>
          </w:divsChild>
        </w:div>
        <w:div w:id="554464754">
          <w:marLeft w:val="0"/>
          <w:marRight w:val="0"/>
          <w:marTop w:val="0"/>
          <w:marBottom w:val="0"/>
          <w:divBdr>
            <w:top w:val="none" w:sz="0" w:space="0" w:color="auto"/>
            <w:left w:val="none" w:sz="0" w:space="0" w:color="auto"/>
            <w:bottom w:val="none" w:sz="0" w:space="0" w:color="auto"/>
            <w:right w:val="none" w:sz="0" w:space="0" w:color="auto"/>
          </w:divBdr>
          <w:divsChild>
            <w:div w:id="1832328044">
              <w:marLeft w:val="0"/>
              <w:marRight w:val="0"/>
              <w:marTop w:val="0"/>
              <w:marBottom w:val="0"/>
              <w:divBdr>
                <w:top w:val="none" w:sz="0" w:space="0" w:color="auto"/>
                <w:left w:val="none" w:sz="0" w:space="0" w:color="auto"/>
                <w:bottom w:val="none" w:sz="0" w:space="0" w:color="auto"/>
                <w:right w:val="none" w:sz="0" w:space="0" w:color="auto"/>
              </w:divBdr>
            </w:div>
          </w:divsChild>
        </w:div>
        <w:div w:id="573855843">
          <w:marLeft w:val="0"/>
          <w:marRight w:val="0"/>
          <w:marTop w:val="0"/>
          <w:marBottom w:val="0"/>
          <w:divBdr>
            <w:top w:val="none" w:sz="0" w:space="0" w:color="auto"/>
            <w:left w:val="none" w:sz="0" w:space="0" w:color="auto"/>
            <w:bottom w:val="none" w:sz="0" w:space="0" w:color="auto"/>
            <w:right w:val="none" w:sz="0" w:space="0" w:color="auto"/>
          </w:divBdr>
          <w:divsChild>
            <w:div w:id="891695392">
              <w:marLeft w:val="0"/>
              <w:marRight w:val="0"/>
              <w:marTop w:val="0"/>
              <w:marBottom w:val="0"/>
              <w:divBdr>
                <w:top w:val="none" w:sz="0" w:space="0" w:color="auto"/>
                <w:left w:val="none" w:sz="0" w:space="0" w:color="auto"/>
                <w:bottom w:val="none" w:sz="0" w:space="0" w:color="auto"/>
                <w:right w:val="none" w:sz="0" w:space="0" w:color="auto"/>
              </w:divBdr>
            </w:div>
          </w:divsChild>
        </w:div>
        <w:div w:id="644628879">
          <w:marLeft w:val="0"/>
          <w:marRight w:val="0"/>
          <w:marTop w:val="0"/>
          <w:marBottom w:val="0"/>
          <w:divBdr>
            <w:top w:val="none" w:sz="0" w:space="0" w:color="auto"/>
            <w:left w:val="none" w:sz="0" w:space="0" w:color="auto"/>
            <w:bottom w:val="none" w:sz="0" w:space="0" w:color="auto"/>
            <w:right w:val="none" w:sz="0" w:space="0" w:color="auto"/>
          </w:divBdr>
          <w:divsChild>
            <w:div w:id="2130930423">
              <w:marLeft w:val="0"/>
              <w:marRight w:val="0"/>
              <w:marTop w:val="0"/>
              <w:marBottom w:val="0"/>
              <w:divBdr>
                <w:top w:val="none" w:sz="0" w:space="0" w:color="auto"/>
                <w:left w:val="none" w:sz="0" w:space="0" w:color="auto"/>
                <w:bottom w:val="none" w:sz="0" w:space="0" w:color="auto"/>
                <w:right w:val="none" w:sz="0" w:space="0" w:color="auto"/>
              </w:divBdr>
            </w:div>
          </w:divsChild>
        </w:div>
        <w:div w:id="657807793">
          <w:marLeft w:val="0"/>
          <w:marRight w:val="0"/>
          <w:marTop w:val="0"/>
          <w:marBottom w:val="0"/>
          <w:divBdr>
            <w:top w:val="none" w:sz="0" w:space="0" w:color="auto"/>
            <w:left w:val="none" w:sz="0" w:space="0" w:color="auto"/>
            <w:bottom w:val="none" w:sz="0" w:space="0" w:color="auto"/>
            <w:right w:val="none" w:sz="0" w:space="0" w:color="auto"/>
          </w:divBdr>
          <w:divsChild>
            <w:div w:id="1762144851">
              <w:marLeft w:val="0"/>
              <w:marRight w:val="0"/>
              <w:marTop w:val="0"/>
              <w:marBottom w:val="0"/>
              <w:divBdr>
                <w:top w:val="none" w:sz="0" w:space="0" w:color="auto"/>
                <w:left w:val="none" w:sz="0" w:space="0" w:color="auto"/>
                <w:bottom w:val="none" w:sz="0" w:space="0" w:color="auto"/>
                <w:right w:val="none" w:sz="0" w:space="0" w:color="auto"/>
              </w:divBdr>
            </w:div>
          </w:divsChild>
        </w:div>
        <w:div w:id="659845092">
          <w:marLeft w:val="0"/>
          <w:marRight w:val="0"/>
          <w:marTop w:val="0"/>
          <w:marBottom w:val="0"/>
          <w:divBdr>
            <w:top w:val="none" w:sz="0" w:space="0" w:color="auto"/>
            <w:left w:val="none" w:sz="0" w:space="0" w:color="auto"/>
            <w:bottom w:val="none" w:sz="0" w:space="0" w:color="auto"/>
            <w:right w:val="none" w:sz="0" w:space="0" w:color="auto"/>
          </w:divBdr>
          <w:divsChild>
            <w:div w:id="1834372743">
              <w:marLeft w:val="0"/>
              <w:marRight w:val="0"/>
              <w:marTop w:val="0"/>
              <w:marBottom w:val="0"/>
              <w:divBdr>
                <w:top w:val="none" w:sz="0" w:space="0" w:color="auto"/>
                <w:left w:val="none" w:sz="0" w:space="0" w:color="auto"/>
                <w:bottom w:val="none" w:sz="0" w:space="0" w:color="auto"/>
                <w:right w:val="none" w:sz="0" w:space="0" w:color="auto"/>
              </w:divBdr>
            </w:div>
          </w:divsChild>
        </w:div>
        <w:div w:id="660158796">
          <w:marLeft w:val="0"/>
          <w:marRight w:val="0"/>
          <w:marTop w:val="0"/>
          <w:marBottom w:val="0"/>
          <w:divBdr>
            <w:top w:val="none" w:sz="0" w:space="0" w:color="auto"/>
            <w:left w:val="none" w:sz="0" w:space="0" w:color="auto"/>
            <w:bottom w:val="none" w:sz="0" w:space="0" w:color="auto"/>
            <w:right w:val="none" w:sz="0" w:space="0" w:color="auto"/>
          </w:divBdr>
          <w:divsChild>
            <w:div w:id="1130977127">
              <w:marLeft w:val="0"/>
              <w:marRight w:val="0"/>
              <w:marTop w:val="0"/>
              <w:marBottom w:val="0"/>
              <w:divBdr>
                <w:top w:val="none" w:sz="0" w:space="0" w:color="auto"/>
                <w:left w:val="none" w:sz="0" w:space="0" w:color="auto"/>
                <w:bottom w:val="none" w:sz="0" w:space="0" w:color="auto"/>
                <w:right w:val="none" w:sz="0" w:space="0" w:color="auto"/>
              </w:divBdr>
            </w:div>
          </w:divsChild>
        </w:div>
        <w:div w:id="678847659">
          <w:marLeft w:val="0"/>
          <w:marRight w:val="0"/>
          <w:marTop w:val="0"/>
          <w:marBottom w:val="0"/>
          <w:divBdr>
            <w:top w:val="none" w:sz="0" w:space="0" w:color="auto"/>
            <w:left w:val="none" w:sz="0" w:space="0" w:color="auto"/>
            <w:bottom w:val="none" w:sz="0" w:space="0" w:color="auto"/>
            <w:right w:val="none" w:sz="0" w:space="0" w:color="auto"/>
          </w:divBdr>
          <w:divsChild>
            <w:div w:id="598684153">
              <w:marLeft w:val="0"/>
              <w:marRight w:val="0"/>
              <w:marTop w:val="0"/>
              <w:marBottom w:val="0"/>
              <w:divBdr>
                <w:top w:val="none" w:sz="0" w:space="0" w:color="auto"/>
                <w:left w:val="none" w:sz="0" w:space="0" w:color="auto"/>
                <w:bottom w:val="none" w:sz="0" w:space="0" w:color="auto"/>
                <w:right w:val="none" w:sz="0" w:space="0" w:color="auto"/>
              </w:divBdr>
            </w:div>
          </w:divsChild>
        </w:div>
        <w:div w:id="757558043">
          <w:marLeft w:val="0"/>
          <w:marRight w:val="0"/>
          <w:marTop w:val="0"/>
          <w:marBottom w:val="0"/>
          <w:divBdr>
            <w:top w:val="none" w:sz="0" w:space="0" w:color="auto"/>
            <w:left w:val="none" w:sz="0" w:space="0" w:color="auto"/>
            <w:bottom w:val="none" w:sz="0" w:space="0" w:color="auto"/>
            <w:right w:val="none" w:sz="0" w:space="0" w:color="auto"/>
          </w:divBdr>
          <w:divsChild>
            <w:div w:id="805317980">
              <w:marLeft w:val="0"/>
              <w:marRight w:val="0"/>
              <w:marTop w:val="0"/>
              <w:marBottom w:val="0"/>
              <w:divBdr>
                <w:top w:val="none" w:sz="0" w:space="0" w:color="auto"/>
                <w:left w:val="none" w:sz="0" w:space="0" w:color="auto"/>
                <w:bottom w:val="none" w:sz="0" w:space="0" w:color="auto"/>
                <w:right w:val="none" w:sz="0" w:space="0" w:color="auto"/>
              </w:divBdr>
            </w:div>
          </w:divsChild>
        </w:div>
        <w:div w:id="791945287">
          <w:marLeft w:val="0"/>
          <w:marRight w:val="0"/>
          <w:marTop w:val="0"/>
          <w:marBottom w:val="0"/>
          <w:divBdr>
            <w:top w:val="none" w:sz="0" w:space="0" w:color="auto"/>
            <w:left w:val="none" w:sz="0" w:space="0" w:color="auto"/>
            <w:bottom w:val="none" w:sz="0" w:space="0" w:color="auto"/>
            <w:right w:val="none" w:sz="0" w:space="0" w:color="auto"/>
          </w:divBdr>
          <w:divsChild>
            <w:div w:id="1565021791">
              <w:marLeft w:val="0"/>
              <w:marRight w:val="0"/>
              <w:marTop w:val="0"/>
              <w:marBottom w:val="0"/>
              <w:divBdr>
                <w:top w:val="none" w:sz="0" w:space="0" w:color="auto"/>
                <w:left w:val="none" w:sz="0" w:space="0" w:color="auto"/>
                <w:bottom w:val="none" w:sz="0" w:space="0" w:color="auto"/>
                <w:right w:val="none" w:sz="0" w:space="0" w:color="auto"/>
              </w:divBdr>
            </w:div>
          </w:divsChild>
        </w:div>
        <w:div w:id="839925841">
          <w:marLeft w:val="0"/>
          <w:marRight w:val="0"/>
          <w:marTop w:val="0"/>
          <w:marBottom w:val="0"/>
          <w:divBdr>
            <w:top w:val="none" w:sz="0" w:space="0" w:color="auto"/>
            <w:left w:val="none" w:sz="0" w:space="0" w:color="auto"/>
            <w:bottom w:val="none" w:sz="0" w:space="0" w:color="auto"/>
            <w:right w:val="none" w:sz="0" w:space="0" w:color="auto"/>
          </w:divBdr>
          <w:divsChild>
            <w:div w:id="534125911">
              <w:marLeft w:val="0"/>
              <w:marRight w:val="0"/>
              <w:marTop w:val="0"/>
              <w:marBottom w:val="0"/>
              <w:divBdr>
                <w:top w:val="none" w:sz="0" w:space="0" w:color="auto"/>
                <w:left w:val="none" w:sz="0" w:space="0" w:color="auto"/>
                <w:bottom w:val="none" w:sz="0" w:space="0" w:color="auto"/>
                <w:right w:val="none" w:sz="0" w:space="0" w:color="auto"/>
              </w:divBdr>
            </w:div>
          </w:divsChild>
        </w:div>
        <w:div w:id="861286638">
          <w:marLeft w:val="0"/>
          <w:marRight w:val="0"/>
          <w:marTop w:val="0"/>
          <w:marBottom w:val="0"/>
          <w:divBdr>
            <w:top w:val="none" w:sz="0" w:space="0" w:color="auto"/>
            <w:left w:val="none" w:sz="0" w:space="0" w:color="auto"/>
            <w:bottom w:val="none" w:sz="0" w:space="0" w:color="auto"/>
            <w:right w:val="none" w:sz="0" w:space="0" w:color="auto"/>
          </w:divBdr>
          <w:divsChild>
            <w:div w:id="1935429659">
              <w:marLeft w:val="0"/>
              <w:marRight w:val="0"/>
              <w:marTop w:val="0"/>
              <w:marBottom w:val="0"/>
              <w:divBdr>
                <w:top w:val="none" w:sz="0" w:space="0" w:color="auto"/>
                <w:left w:val="none" w:sz="0" w:space="0" w:color="auto"/>
                <w:bottom w:val="none" w:sz="0" w:space="0" w:color="auto"/>
                <w:right w:val="none" w:sz="0" w:space="0" w:color="auto"/>
              </w:divBdr>
            </w:div>
          </w:divsChild>
        </w:div>
        <w:div w:id="874150423">
          <w:marLeft w:val="0"/>
          <w:marRight w:val="0"/>
          <w:marTop w:val="0"/>
          <w:marBottom w:val="0"/>
          <w:divBdr>
            <w:top w:val="none" w:sz="0" w:space="0" w:color="auto"/>
            <w:left w:val="none" w:sz="0" w:space="0" w:color="auto"/>
            <w:bottom w:val="none" w:sz="0" w:space="0" w:color="auto"/>
            <w:right w:val="none" w:sz="0" w:space="0" w:color="auto"/>
          </w:divBdr>
          <w:divsChild>
            <w:div w:id="1906185686">
              <w:marLeft w:val="0"/>
              <w:marRight w:val="0"/>
              <w:marTop w:val="0"/>
              <w:marBottom w:val="0"/>
              <w:divBdr>
                <w:top w:val="none" w:sz="0" w:space="0" w:color="auto"/>
                <w:left w:val="none" w:sz="0" w:space="0" w:color="auto"/>
                <w:bottom w:val="none" w:sz="0" w:space="0" w:color="auto"/>
                <w:right w:val="none" w:sz="0" w:space="0" w:color="auto"/>
              </w:divBdr>
            </w:div>
          </w:divsChild>
        </w:div>
        <w:div w:id="901984373">
          <w:marLeft w:val="0"/>
          <w:marRight w:val="0"/>
          <w:marTop w:val="0"/>
          <w:marBottom w:val="0"/>
          <w:divBdr>
            <w:top w:val="none" w:sz="0" w:space="0" w:color="auto"/>
            <w:left w:val="none" w:sz="0" w:space="0" w:color="auto"/>
            <w:bottom w:val="none" w:sz="0" w:space="0" w:color="auto"/>
            <w:right w:val="none" w:sz="0" w:space="0" w:color="auto"/>
          </w:divBdr>
          <w:divsChild>
            <w:div w:id="474564307">
              <w:marLeft w:val="0"/>
              <w:marRight w:val="0"/>
              <w:marTop w:val="0"/>
              <w:marBottom w:val="0"/>
              <w:divBdr>
                <w:top w:val="none" w:sz="0" w:space="0" w:color="auto"/>
                <w:left w:val="none" w:sz="0" w:space="0" w:color="auto"/>
                <w:bottom w:val="none" w:sz="0" w:space="0" w:color="auto"/>
                <w:right w:val="none" w:sz="0" w:space="0" w:color="auto"/>
              </w:divBdr>
            </w:div>
          </w:divsChild>
        </w:div>
        <w:div w:id="932515240">
          <w:marLeft w:val="0"/>
          <w:marRight w:val="0"/>
          <w:marTop w:val="0"/>
          <w:marBottom w:val="0"/>
          <w:divBdr>
            <w:top w:val="none" w:sz="0" w:space="0" w:color="auto"/>
            <w:left w:val="none" w:sz="0" w:space="0" w:color="auto"/>
            <w:bottom w:val="none" w:sz="0" w:space="0" w:color="auto"/>
            <w:right w:val="none" w:sz="0" w:space="0" w:color="auto"/>
          </w:divBdr>
          <w:divsChild>
            <w:div w:id="2137212137">
              <w:marLeft w:val="0"/>
              <w:marRight w:val="0"/>
              <w:marTop w:val="0"/>
              <w:marBottom w:val="0"/>
              <w:divBdr>
                <w:top w:val="none" w:sz="0" w:space="0" w:color="auto"/>
                <w:left w:val="none" w:sz="0" w:space="0" w:color="auto"/>
                <w:bottom w:val="none" w:sz="0" w:space="0" w:color="auto"/>
                <w:right w:val="none" w:sz="0" w:space="0" w:color="auto"/>
              </w:divBdr>
            </w:div>
          </w:divsChild>
        </w:div>
        <w:div w:id="938678467">
          <w:marLeft w:val="0"/>
          <w:marRight w:val="0"/>
          <w:marTop w:val="0"/>
          <w:marBottom w:val="0"/>
          <w:divBdr>
            <w:top w:val="none" w:sz="0" w:space="0" w:color="auto"/>
            <w:left w:val="none" w:sz="0" w:space="0" w:color="auto"/>
            <w:bottom w:val="none" w:sz="0" w:space="0" w:color="auto"/>
            <w:right w:val="none" w:sz="0" w:space="0" w:color="auto"/>
          </w:divBdr>
          <w:divsChild>
            <w:div w:id="1318458831">
              <w:marLeft w:val="0"/>
              <w:marRight w:val="0"/>
              <w:marTop w:val="0"/>
              <w:marBottom w:val="0"/>
              <w:divBdr>
                <w:top w:val="none" w:sz="0" w:space="0" w:color="auto"/>
                <w:left w:val="none" w:sz="0" w:space="0" w:color="auto"/>
                <w:bottom w:val="none" w:sz="0" w:space="0" w:color="auto"/>
                <w:right w:val="none" w:sz="0" w:space="0" w:color="auto"/>
              </w:divBdr>
            </w:div>
          </w:divsChild>
        </w:div>
        <w:div w:id="942345177">
          <w:marLeft w:val="0"/>
          <w:marRight w:val="0"/>
          <w:marTop w:val="0"/>
          <w:marBottom w:val="0"/>
          <w:divBdr>
            <w:top w:val="none" w:sz="0" w:space="0" w:color="auto"/>
            <w:left w:val="none" w:sz="0" w:space="0" w:color="auto"/>
            <w:bottom w:val="none" w:sz="0" w:space="0" w:color="auto"/>
            <w:right w:val="none" w:sz="0" w:space="0" w:color="auto"/>
          </w:divBdr>
          <w:divsChild>
            <w:div w:id="1890529181">
              <w:marLeft w:val="0"/>
              <w:marRight w:val="0"/>
              <w:marTop w:val="0"/>
              <w:marBottom w:val="0"/>
              <w:divBdr>
                <w:top w:val="none" w:sz="0" w:space="0" w:color="auto"/>
                <w:left w:val="none" w:sz="0" w:space="0" w:color="auto"/>
                <w:bottom w:val="none" w:sz="0" w:space="0" w:color="auto"/>
                <w:right w:val="none" w:sz="0" w:space="0" w:color="auto"/>
              </w:divBdr>
            </w:div>
          </w:divsChild>
        </w:div>
        <w:div w:id="974869576">
          <w:marLeft w:val="0"/>
          <w:marRight w:val="0"/>
          <w:marTop w:val="0"/>
          <w:marBottom w:val="0"/>
          <w:divBdr>
            <w:top w:val="none" w:sz="0" w:space="0" w:color="auto"/>
            <w:left w:val="none" w:sz="0" w:space="0" w:color="auto"/>
            <w:bottom w:val="none" w:sz="0" w:space="0" w:color="auto"/>
            <w:right w:val="none" w:sz="0" w:space="0" w:color="auto"/>
          </w:divBdr>
          <w:divsChild>
            <w:div w:id="585384416">
              <w:marLeft w:val="0"/>
              <w:marRight w:val="0"/>
              <w:marTop w:val="0"/>
              <w:marBottom w:val="0"/>
              <w:divBdr>
                <w:top w:val="none" w:sz="0" w:space="0" w:color="auto"/>
                <w:left w:val="none" w:sz="0" w:space="0" w:color="auto"/>
                <w:bottom w:val="none" w:sz="0" w:space="0" w:color="auto"/>
                <w:right w:val="none" w:sz="0" w:space="0" w:color="auto"/>
              </w:divBdr>
            </w:div>
          </w:divsChild>
        </w:div>
        <w:div w:id="981353876">
          <w:marLeft w:val="0"/>
          <w:marRight w:val="0"/>
          <w:marTop w:val="0"/>
          <w:marBottom w:val="0"/>
          <w:divBdr>
            <w:top w:val="none" w:sz="0" w:space="0" w:color="auto"/>
            <w:left w:val="none" w:sz="0" w:space="0" w:color="auto"/>
            <w:bottom w:val="none" w:sz="0" w:space="0" w:color="auto"/>
            <w:right w:val="none" w:sz="0" w:space="0" w:color="auto"/>
          </w:divBdr>
          <w:divsChild>
            <w:div w:id="396708824">
              <w:marLeft w:val="0"/>
              <w:marRight w:val="0"/>
              <w:marTop w:val="0"/>
              <w:marBottom w:val="0"/>
              <w:divBdr>
                <w:top w:val="none" w:sz="0" w:space="0" w:color="auto"/>
                <w:left w:val="none" w:sz="0" w:space="0" w:color="auto"/>
                <w:bottom w:val="none" w:sz="0" w:space="0" w:color="auto"/>
                <w:right w:val="none" w:sz="0" w:space="0" w:color="auto"/>
              </w:divBdr>
            </w:div>
          </w:divsChild>
        </w:div>
        <w:div w:id="990405930">
          <w:marLeft w:val="0"/>
          <w:marRight w:val="0"/>
          <w:marTop w:val="0"/>
          <w:marBottom w:val="0"/>
          <w:divBdr>
            <w:top w:val="none" w:sz="0" w:space="0" w:color="auto"/>
            <w:left w:val="none" w:sz="0" w:space="0" w:color="auto"/>
            <w:bottom w:val="none" w:sz="0" w:space="0" w:color="auto"/>
            <w:right w:val="none" w:sz="0" w:space="0" w:color="auto"/>
          </w:divBdr>
          <w:divsChild>
            <w:div w:id="440688031">
              <w:marLeft w:val="0"/>
              <w:marRight w:val="0"/>
              <w:marTop w:val="0"/>
              <w:marBottom w:val="0"/>
              <w:divBdr>
                <w:top w:val="none" w:sz="0" w:space="0" w:color="auto"/>
                <w:left w:val="none" w:sz="0" w:space="0" w:color="auto"/>
                <w:bottom w:val="none" w:sz="0" w:space="0" w:color="auto"/>
                <w:right w:val="none" w:sz="0" w:space="0" w:color="auto"/>
              </w:divBdr>
            </w:div>
          </w:divsChild>
        </w:div>
        <w:div w:id="1006597713">
          <w:marLeft w:val="0"/>
          <w:marRight w:val="0"/>
          <w:marTop w:val="0"/>
          <w:marBottom w:val="0"/>
          <w:divBdr>
            <w:top w:val="none" w:sz="0" w:space="0" w:color="auto"/>
            <w:left w:val="none" w:sz="0" w:space="0" w:color="auto"/>
            <w:bottom w:val="none" w:sz="0" w:space="0" w:color="auto"/>
            <w:right w:val="none" w:sz="0" w:space="0" w:color="auto"/>
          </w:divBdr>
          <w:divsChild>
            <w:div w:id="1864436648">
              <w:marLeft w:val="0"/>
              <w:marRight w:val="0"/>
              <w:marTop w:val="0"/>
              <w:marBottom w:val="0"/>
              <w:divBdr>
                <w:top w:val="none" w:sz="0" w:space="0" w:color="auto"/>
                <w:left w:val="none" w:sz="0" w:space="0" w:color="auto"/>
                <w:bottom w:val="none" w:sz="0" w:space="0" w:color="auto"/>
                <w:right w:val="none" w:sz="0" w:space="0" w:color="auto"/>
              </w:divBdr>
            </w:div>
          </w:divsChild>
        </w:div>
        <w:div w:id="1109928040">
          <w:marLeft w:val="0"/>
          <w:marRight w:val="0"/>
          <w:marTop w:val="0"/>
          <w:marBottom w:val="0"/>
          <w:divBdr>
            <w:top w:val="none" w:sz="0" w:space="0" w:color="auto"/>
            <w:left w:val="none" w:sz="0" w:space="0" w:color="auto"/>
            <w:bottom w:val="none" w:sz="0" w:space="0" w:color="auto"/>
            <w:right w:val="none" w:sz="0" w:space="0" w:color="auto"/>
          </w:divBdr>
          <w:divsChild>
            <w:div w:id="257568589">
              <w:marLeft w:val="0"/>
              <w:marRight w:val="0"/>
              <w:marTop w:val="0"/>
              <w:marBottom w:val="0"/>
              <w:divBdr>
                <w:top w:val="none" w:sz="0" w:space="0" w:color="auto"/>
                <w:left w:val="none" w:sz="0" w:space="0" w:color="auto"/>
                <w:bottom w:val="none" w:sz="0" w:space="0" w:color="auto"/>
                <w:right w:val="none" w:sz="0" w:space="0" w:color="auto"/>
              </w:divBdr>
            </w:div>
          </w:divsChild>
        </w:div>
        <w:div w:id="1116019317">
          <w:marLeft w:val="0"/>
          <w:marRight w:val="0"/>
          <w:marTop w:val="0"/>
          <w:marBottom w:val="0"/>
          <w:divBdr>
            <w:top w:val="none" w:sz="0" w:space="0" w:color="auto"/>
            <w:left w:val="none" w:sz="0" w:space="0" w:color="auto"/>
            <w:bottom w:val="none" w:sz="0" w:space="0" w:color="auto"/>
            <w:right w:val="none" w:sz="0" w:space="0" w:color="auto"/>
          </w:divBdr>
          <w:divsChild>
            <w:div w:id="957446234">
              <w:marLeft w:val="0"/>
              <w:marRight w:val="0"/>
              <w:marTop w:val="0"/>
              <w:marBottom w:val="0"/>
              <w:divBdr>
                <w:top w:val="none" w:sz="0" w:space="0" w:color="auto"/>
                <w:left w:val="none" w:sz="0" w:space="0" w:color="auto"/>
                <w:bottom w:val="none" w:sz="0" w:space="0" w:color="auto"/>
                <w:right w:val="none" w:sz="0" w:space="0" w:color="auto"/>
              </w:divBdr>
            </w:div>
          </w:divsChild>
        </w:div>
        <w:div w:id="1141073863">
          <w:marLeft w:val="0"/>
          <w:marRight w:val="0"/>
          <w:marTop w:val="0"/>
          <w:marBottom w:val="0"/>
          <w:divBdr>
            <w:top w:val="none" w:sz="0" w:space="0" w:color="auto"/>
            <w:left w:val="none" w:sz="0" w:space="0" w:color="auto"/>
            <w:bottom w:val="none" w:sz="0" w:space="0" w:color="auto"/>
            <w:right w:val="none" w:sz="0" w:space="0" w:color="auto"/>
          </w:divBdr>
          <w:divsChild>
            <w:div w:id="1037003835">
              <w:marLeft w:val="0"/>
              <w:marRight w:val="0"/>
              <w:marTop w:val="0"/>
              <w:marBottom w:val="0"/>
              <w:divBdr>
                <w:top w:val="none" w:sz="0" w:space="0" w:color="auto"/>
                <w:left w:val="none" w:sz="0" w:space="0" w:color="auto"/>
                <w:bottom w:val="none" w:sz="0" w:space="0" w:color="auto"/>
                <w:right w:val="none" w:sz="0" w:space="0" w:color="auto"/>
              </w:divBdr>
            </w:div>
          </w:divsChild>
        </w:div>
        <w:div w:id="1177965014">
          <w:marLeft w:val="0"/>
          <w:marRight w:val="0"/>
          <w:marTop w:val="0"/>
          <w:marBottom w:val="0"/>
          <w:divBdr>
            <w:top w:val="none" w:sz="0" w:space="0" w:color="auto"/>
            <w:left w:val="none" w:sz="0" w:space="0" w:color="auto"/>
            <w:bottom w:val="none" w:sz="0" w:space="0" w:color="auto"/>
            <w:right w:val="none" w:sz="0" w:space="0" w:color="auto"/>
          </w:divBdr>
          <w:divsChild>
            <w:div w:id="404184569">
              <w:marLeft w:val="0"/>
              <w:marRight w:val="0"/>
              <w:marTop w:val="0"/>
              <w:marBottom w:val="0"/>
              <w:divBdr>
                <w:top w:val="none" w:sz="0" w:space="0" w:color="auto"/>
                <w:left w:val="none" w:sz="0" w:space="0" w:color="auto"/>
                <w:bottom w:val="none" w:sz="0" w:space="0" w:color="auto"/>
                <w:right w:val="none" w:sz="0" w:space="0" w:color="auto"/>
              </w:divBdr>
            </w:div>
          </w:divsChild>
        </w:div>
        <w:div w:id="1194996891">
          <w:marLeft w:val="0"/>
          <w:marRight w:val="0"/>
          <w:marTop w:val="0"/>
          <w:marBottom w:val="0"/>
          <w:divBdr>
            <w:top w:val="none" w:sz="0" w:space="0" w:color="auto"/>
            <w:left w:val="none" w:sz="0" w:space="0" w:color="auto"/>
            <w:bottom w:val="none" w:sz="0" w:space="0" w:color="auto"/>
            <w:right w:val="none" w:sz="0" w:space="0" w:color="auto"/>
          </w:divBdr>
          <w:divsChild>
            <w:div w:id="1063483229">
              <w:marLeft w:val="0"/>
              <w:marRight w:val="0"/>
              <w:marTop w:val="0"/>
              <w:marBottom w:val="0"/>
              <w:divBdr>
                <w:top w:val="none" w:sz="0" w:space="0" w:color="auto"/>
                <w:left w:val="none" w:sz="0" w:space="0" w:color="auto"/>
                <w:bottom w:val="none" w:sz="0" w:space="0" w:color="auto"/>
                <w:right w:val="none" w:sz="0" w:space="0" w:color="auto"/>
              </w:divBdr>
            </w:div>
          </w:divsChild>
        </w:div>
        <w:div w:id="1213420645">
          <w:marLeft w:val="0"/>
          <w:marRight w:val="0"/>
          <w:marTop w:val="0"/>
          <w:marBottom w:val="0"/>
          <w:divBdr>
            <w:top w:val="none" w:sz="0" w:space="0" w:color="auto"/>
            <w:left w:val="none" w:sz="0" w:space="0" w:color="auto"/>
            <w:bottom w:val="none" w:sz="0" w:space="0" w:color="auto"/>
            <w:right w:val="none" w:sz="0" w:space="0" w:color="auto"/>
          </w:divBdr>
          <w:divsChild>
            <w:div w:id="2024160926">
              <w:marLeft w:val="0"/>
              <w:marRight w:val="0"/>
              <w:marTop w:val="0"/>
              <w:marBottom w:val="0"/>
              <w:divBdr>
                <w:top w:val="none" w:sz="0" w:space="0" w:color="auto"/>
                <w:left w:val="none" w:sz="0" w:space="0" w:color="auto"/>
                <w:bottom w:val="none" w:sz="0" w:space="0" w:color="auto"/>
                <w:right w:val="none" w:sz="0" w:space="0" w:color="auto"/>
              </w:divBdr>
            </w:div>
          </w:divsChild>
        </w:div>
        <w:div w:id="1247375282">
          <w:marLeft w:val="0"/>
          <w:marRight w:val="0"/>
          <w:marTop w:val="0"/>
          <w:marBottom w:val="0"/>
          <w:divBdr>
            <w:top w:val="none" w:sz="0" w:space="0" w:color="auto"/>
            <w:left w:val="none" w:sz="0" w:space="0" w:color="auto"/>
            <w:bottom w:val="none" w:sz="0" w:space="0" w:color="auto"/>
            <w:right w:val="none" w:sz="0" w:space="0" w:color="auto"/>
          </w:divBdr>
          <w:divsChild>
            <w:div w:id="365719782">
              <w:marLeft w:val="0"/>
              <w:marRight w:val="0"/>
              <w:marTop w:val="0"/>
              <w:marBottom w:val="0"/>
              <w:divBdr>
                <w:top w:val="none" w:sz="0" w:space="0" w:color="auto"/>
                <w:left w:val="none" w:sz="0" w:space="0" w:color="auto"/>
                <w:bottom w:val="none" w:sz="0" w:space="0" w:color="auto"/>
                <w:right w:val="none" w:sz="0" w:space="0" w:color="auto"/>
              </w:divBdr>
            </w:div>
          </w:divsChild>
        </w:div>
        <w:div w:id="1305432620">
          <w:marLeft w:val="0"/>
          <w:marRight w:val="0"/>
          <w:marTop w:val="0"/>
          <w:marBottom w:val="0"/>
          <w:divBdr>
            <w:top w:val="none" w:sz="0" w:space="0" w:color="auto"/>
            <w:left w:val="none" w:sz="0" w:space="0" w:color="auto"/>
            <w:bottom w:val="none" w:sz="0" w:space="0" w:color="auto"/>
            <w:right w:val="none" w:sz="0" w:space="0" w:color="auto"/>
          </w:divBdr>
          <w:divsChild>
            <w:div w:id="515309818">
              <w:marLeft w:val="0"/>
              <w:marRight w:val="0"/>
              <w:marTop w:val="0"/>
              <w:marBottom w:val="0"/>
              <w:divBdr>
                <w:top w:val="none" w:sz="0" w:space="0" w:color="auto"/>
                <w:left w:val="none" w:sz="0" w:space="0" w:color="auto"/>
                <w:bottom w:val="none" w:sz="0" w:space="0" w:color="auto"/>
                <w:right w:val="none" w:sz="0" w:space="0" w:color="auto"/>
              </w:divBdr>
            </w:div>
            <w:div w:id="2040352432">
              <w:marLeft w:val="0"/>
              <w:marRight w:val="0"/>
              <w:marTop w:val="0"/>
              <w:marBottom w:val="0"/>
              <w:divBdr>
                <w:top w:val="none" w:sz="0" w:space="0" w:color="auto"/>
                <w:left w:val="none" w:sz="0" w:space="0" w:color="auto"/>
                <w:bottom w:val="none" w:sz="0" w:space="0" w:color="auto"/>
                <w:right w:val="none" w:sz="0" w:space="0" w:color="auto"/>
              </w:divBdr>
            </w:div>
          </w:divsChild>
        </w:div>
        <w:div w:id="1309940401">
          <w:marLeft w:val="0"/>
          <w:marRight w:val="0"/>
          <w:marTop w:val="0"/>
          <w:marBottom w:val="0"/>
          <w:divBdr>
            <w:top w:val="none" w:sz="0" w:space="0" w:color="auto"/>
            <w:left w:val="none" w:sz="0" w:space="0" w:color="auto"/>
            <w:bottom w:val="none" w:sz="0" w:space="0" w:color="auto"/>
            <w:right w:val="none" w:sz="0" w:space="0" w:color="auto"/>
          </w:divBdr>
          <w:divsChild>
            <w:div w:id="276958364">
              <w:marLeft w:val="0"/>
              <w:marRight w:val="0"/>
              <w:marTop w:val="0"/>
              <w:marBottom w:val="0"/>
              <w:divBdr>
                <w:top w:val="none" w:sz="0" w:space="0" w:color="auto"/>
                <w:left w:val="none" w:sz="0" w:space="0" w:color="auto"/>
                <w:bottom w:val="none" w:sz="0" w:space="0" w:color="auto"/>
                <w:right w:val="none" w:sz="0" w:space="0" w:color="auto"/>
              </w:divBdr>
            </w:div>
          </w:divsChild>
        </w:div>
        <w:div w:id="1312060671">
          <w:marLeft w:val="0"/>
          <w:marRight w:val="0"/>
          <w:marTop w:val="0"/>
          <w:marBottom w:val="0"/>
          <w:divBdr>
            <w:top w:val="none" w:sz="0" w:space="0" w:color="auto"/>
            <w:left w:val="none" w:sz="0" w:space="0" w:color="auto"/>
            <w:bottom w:val="none" w:sz="0" w:space="0" w:color="auto"/>
            <w:right w:val="none" w:sz="0" w:space="0" w:color="auto"/>
          </w:divBdr>
          <w:divsChild>
            <w:div w:id="552812821">
              <w:marLeft w:val="0"/>
              <w:marRight w:val="0"/>
              <w:marTop w:val="0"/>
              <w:marBottom w:val="0"/>
              <w:divBdr>
                <w:top w:val="none" w:sz="0" w:space="0" w:color="auto"/>
                <w:left w:val="none" w:sz="0" w:space="0" w:color="auto"/>
                <w:bottom w:val="none" w:sz="0" w:space="0" w:color="auto"/>
                <w:right w:val="none" w:sz="0" w:space="0" w:color="auto"/>
              </w:divBdr>
            </w:div>
          </w:divsChild>
        </w:div>
        <w:div w:id="1312825686">
          <w:marLeft w:val="0"/>
          <w:marRight w:val="0"/>
          <w:marTop w:val="0"/>
          <w:marBottom w:val="0"/>
          <w:divBdr>
            <w:top w:val="none" w:sz="0" w:space="0" w:color="auto"/>
            <w:left w:val="none" w:sz="0" w:space="0" w:color="auto"/>
            <w:bottom w:val="none" w:sz="0" w:space="0" w:color="auto"/>
            <w:right w:val="none" w:sz="0" w:space="0" w:color="auto"/>
          </w:divBdr>
          <w:divsChild>
            <w:div w:id="1025987632">
              <w:marLeft w:val="0"/>
              <w:marRight w:val="0"/>
              <w:marTop w:val="0"/>
              <w:marBottom w:val="0"/>
              <w:divBdr>
                <w:top w:val="none" w:sz="0" w:space="0" w:color="auto"/>
                <w:left w:val="none" w:sz="0" w:space="0" w:color="auto"/>
                <w:bottom w:val="none" w:sz="0" w:space="0" w:color="auto"/>
                <w:right w:val="none" w:sz="0" w:space="0" w:color="auto"/>
              </w:divBdr>
            </w:div>
          </w:divsChild>
        </w:div>
        <w:div w:id="1333869830">
          <w:marLeft w:val="0"/>
          <w:marRight w:val="0"/>
          <w:marTop w:val="0"/>
          <w:marBottom w:val="0"/>
          <w:divBdr>
            <w:top w:val="none" w:sz="0" w:space="0" w:color="auto"/>
            <w:left w:val="none" w:sz="0" w:space="0" w:color="auto"/>
            <w:bottom w:val="none" w:sz="0" w:space="0" w:color="auto"/>
            <w:right w:val="none" w:sz="0" w:space="0" w:color="auto"/>
          </w:divBdr>
          <w:divsChild>
            <w:div w:id="1339188126">
              <w:marLeft w:val="0"/>
              <w:marRight w:val="0"/>
              <w:marTop w:val="0"/>
              <w:marBottom w:val="0"/>
              <w:divBdr>
                <w:top w:val="none" w:sz="0" w:space="0" w:color="auto"/>
                <w:left w:val="none" w:sz="0" w:space="0" w:color="auto"/>
                <w:bottom w:val="none" w:sz="0" w:space="0" w:color="auto"/>
                <w:right w:val="none" w:sz="0" w:space="0" w:color="auto"/>
              </w:divBdr>
            </w:div>
          </w:divsChild>
        </w:div>
        <w:div w:id="1479960144">
          <w:marLeft w:val="0"/>
          <w:marRight w:val="0"/>
          <w:marTop w:val="0"/>
          <w:marBottom w:val="0"/>
          <w:divBdr>
            <w:top w:val="none" w:sz="0" w:space="0" w:color="auto"/>
            <w:left w:val="none" w:sz="0" w:space="0" w:color="auto"/>
            <w:bottom w:val="none" w:sz="0" w:space="0" w:color="auto"/>
            <w:right w:val="none" w:sz="0" w:space="0" w:color="auto"/>
          </w:divBdr>
          <w:divsChild>
            <w:div w:id="1740012531">
              <w:marLeft w:val="0"/>
              <w:marRight w:val="0"/>
              <w:marTop w:val="0"/>
              <w:marBottom w:val="0"/>
              <w:divBdr>
                <w:top w:val="none" w:sz="0" w:space="0" w:color="auto"/>
                <w:left w:val="none" w:sz="0" w:space="0" w:color="auto"/>
                <w:bottom w:val="none" w:sz="0" w:space="0" w:color="auto"/>
                <w:right w:val="none" w:sz="0" w:space="0" w:color="auto"/>
              </w:divBdr>
            </w:div>
          </w:divsChild>
        </w:div>
        <w:div w:id="1497695737">
          <w:marLeft w:val="0"/>
          <w:marRight w:val="0"/>
          <w:marTop w:val="0"/>
          <w:marBottom w:val="0"/>
          <w:divBdr>
            <w:top w:val="none" w:sz="0" w:space="0" w:color="auto"/>
            <w:left w:val="none" w:sz="0" w:space="0" w:color="auto"/>
            <w:bottom w:val="none" w:sz="0" w:space="0" w:color="auto"/>
            <w:right w:val="none" w:sz="0" w:space="0" w:color="auto"/>
          </w:divBdr>
          <w:divsChild>
            <w:div w:id="1373116326">
              <w:marLeft w:val="0"/>
              <w:marRight w:val="0"/>
              <w:marTop w:val="0"/>
              <w:marBottom w:val="0"/>
              <w:divBdr>
                <w:top w:val="none" w:sz="0" w:space="0" w:color="auto"/>
                <w:left w:val="none" w:sz="0" w:space="0" w:color="auto"/>
                <w:bottom w:val="none" w:sz="0" w:space="0" w:color="auto"/>
                <w:right w:val="none" w:sz="0" w:space="0" w:color="auto"/>
              </w:divBdr>
            </w:div>
          </w:divsChild>
        </w:div>
        <w:div w:id="1501506192">
          <w:marLeft w:val="0"/>
          <w:marRight w:val="0"/>
          <w:marTop w:val="0"/>
          <w:marBottom w:val="0"/>
          <w:divBdr>
            <w:top w:val="none" w:sz="0" w:space="0" w:color="auto"/>
            <w:left w:val="none" w:sz="0" w:space="0" w:color="auto"/>
            <w:bottom w:val="none" w:sz="0" w:space="0" w:color="auto"/>
            <w:right w:val="none" w:sz="0" w:space="0" w:color="auto"/>
          </w:divBdr>
          <w:divsChild>
            <w:div w:id="1938755634">
              <w:marLeft w:val="0"/>
              <w:marRight w:val="0"/>
              <w:marTop w:val="0"/>
              <w:marBottom w:val="0"/>
              <w:divBdr>
                <w:top w:val="none" w:sz="0" w:space="0" w:color="auto"/>
                <w:left w:val="none" w:sz="0" w:space="0" w:color="auto"/>
                <w:bottom w:val="none" w:sz="0" w:space="0" w:color="auto"/>
                <w:right w:val="none" w:sz="0" w:space="0" w:color="auto"/>
              </w:divBdr>
            </w:div>
          </w:divsChild>
        </w:div>
        <w:div w:id="1524901980">
          <w:marLeft w:val="0"/>
          <w:marRight w:val="0"/>
          <w:marTop w:val="0"/>
          <w:marBottom w:val="0"/>
          <w:divBdr>
            <w:top w:val="none" w:sz="0" w:space="0" w:color="auto"/>
            <w:left w:val="none" w:sz="0" w:space="0" w:color="auto"/>
            <w:bottom w:val="none" w:sz="0" w:space="0" w:color="auto"/>
            <w:right w:val="none" w:sz="0" w:space="0" w:color="auto"/>
          </w:divBdr>
          <w:divsChild>
            <w:div w:id="2047220270">
              <w:marLeft w:val="0"/>
              <w:marRight w:val="0"/>
              <w:marTop w:val="0"/>
              <w:marBottom w:val="0"/>
              <w:divBdr>
                <w:top w:val="none" w:sz="0" w:space="0" w:color="auto"/>
                <w:left w:val="none" w:sz="0" w:space="0" w:color="auto"/>
                <w:bottom w:val="none" w:sz="0" w:space="0" w:color="auto"/>
                <w:right w:val="none" w:sz="0" w:space="0" w:color="auto"/>
              </w:divBdr>
            </w:div>
          </w:divsChild>
        </w:div>
        <w:div w:id="1554383883">
          <w:marLeft w:val="0"/>
          <w:marRight w:val="0"/>
          <w:marTop w:val="0"/>
          <w:marBottom w:val="0"/>
          <w:divBdr>
            <w:top w:val="none" w:sz="0" w:space="0" w:color="auto"/>
            <w:left w:val="none" w:sz="0" w:space="0" w:color="auto"/>
            <w:bottom w:val="none" w:sz="0" w:space="0" w:color="auto"/>
            <w:right w:val="none" w:sz="0" w:space="0" w:color="auto"/>
          </w:divBdr>
          <w:divsChild>
            <w:div w:id="1610628553">
              <w:marLeft w:val="0"/>
              <w:marRight w:val="0"/>
              <w:marTop w:val="0"/>
              <w:marBottom w:val="0"/>
              <w:divBdr>
                <w:top w:val="none" w:sz="0" w:space="0" w:color="auto"/>
                <w:left w:val="none" w:sz="0" w:space="0" w:color="auto"/>
                <w:bottom w:val="none" w:sz="0" w:space="0" w:color="auto"/>
                <w:right w:val="none" w:sz="0" w:space="0" w:color="auto"/>
              </w:divBdr>
            </w:div>
          </w:divsChild>
        </w:div>
        <w:div w:id="1591695404">
          <w:marLeft w:val="0"/>
          <w:marRight w:val="0"/>
          <w:marTop w:val="0"/>
          <w:marBottom w:val="0"/>
          <w:divBdr>
            <w:top w:val="none" w:sz="0" w:space="0" w:color="auto"/>
            <w:left w:val="none" w:sz="0" w:space="0" w:color="auto"/>
            <w:bottom w:val="none" w:sz="0" w:space="0" w:color="auto"/>
            <w:right w:val="none" w:sz="0" w:space="0" w:color="auto"/>
          </w:divBdr>
          <w:divsChild>
            <w:div w:id="1944605738">
              <w:marLeft w:val="0"/>
              <w:marRight w:val="0"/>
              <w:marTop w:val="0"/>
              <w:marBottom w:val="0"/>
              <w:divBdr>
                <w:top w:val="none" w:sz="0" w:space="0" w:color="auto"/>
                <w:left w:val="none" w:sz="0" w:space="0" w:color="auto"/>
                <w:bottom w:val="none" w:sz="0" w:space="0" w:color="auto"/>
                <w:right w:val="none" w:sz="0" w:space="0" w:color="auto"/>
              </w:divBdr>
            </w:div>
          </w:divsChild>
        </w:div>
        <w:div w:id="1597790109">
          <w:marLeft w:val="0"/>
          <w:marRight w:val="0"/>
          <w:marTop w:val="0"/>
          <w:marBottom w:val="0"/>
          <w:divBdr>
            <w:top w:val="none" w:sz="0" w:space="0" w:color="auto"/>
            <w:left w:val="none" w:sz="0" w:space="0" w:color="auto"/>
            <w:bottom w:val="none" w:sz="0" w:space="0" w:color="auto"/>
            <w:right w:val="none" w:sz="0" w:space="0" w:color="auto"/>
          </w:divBdr>
          <w:divsChild>
            <w:div w:id="27920350">
              <w:marLeft w:val="0"/>
              <w:marRight w:val="0"/>
              <w:marTop w:val="0"/>
              <w:marBottom w:val="0"/>
              <w:divBdr>
                <w:top w:val="none" w:sz="0" w:space="0" w:color="auto"/>
                <w:left w:val="none" w:sz="0" w:space="0" w:color="auto"/>
                <w:bottom w:val="none" w:sz="0" w:space="0" w:color="auto"/>
                <w:right w:val="none" w:sz="0" w:space="0" w:color="auto"/>
              </w:divBdr>
            </w:div>
          </w:divsChild>
        </w:div>
        <w:div w:id="1601138761">
          <w:marLeft w:val="0"/>
          <w:marRight w:val="0"/>
          <w:marTop w:val="0"/>
          <w:marBottom w:val="0"/>
          <w:divBdr>
            <w:top w:val="none" w:sz="0" w:space="0" w:color="auto"/>
            <w:left w:val="none" w:sz="0" w:space="0" w:color="auto"/>
            <w:bottom w:val="none" w:sz="0" w:space="0" w:color="auto"/>
            <w:right w:val="none" w:sz="0" w:space="0" w:color="auto"/>
          </w:divBdr>
          <w:divsChild>
            <w:div w:id="320934819">
              <w:marLeft w:val="0"/>
              <w:marRight w:val="0"/>
              <w:marTop w:val="0"/>
              <w:marBottom w:val="0"/>
              <w:divBdr>
                <w:top w:val="none" w:sz="0" w:space="0" w:color="auto"/>
                <w:left w:val="none" w:sz="0" w:space="0" w:color="auto"/>
                <w:bottom w:val="none" w:sz="0" w:space="0" w:color="auto"/>
                <w:right w:val="none" w:sz="0" w:space="0" w:color="auto"/>
              </w:divBdr>
            </w:div>
          </w:divsChild>
        </w:div>
        <w:div w:id="1629043664">
          <w:marLeft w:val="0"/>
          <w:marRight w:val="0"/>
          <w:marTop w:val="0"/>
          <w:marBottom w:val="0"/>
          <w:divBdr>
            <w:top w:val="none" w:sz="0" w:space="0" w:color="auto"/>
            <w:left w:val="none" w:sz="0" w:space="0" w:color="auto"/>
            <w:bottom w:val="none" w:sz="0" w:space="0" w:color="auto"/>
            <w:right w:val="none" w:sz="0" w:space="0" w:color="auto"/>
          </w:divBdr>
          <w:divsChild>
            <w:div w:id="942492810">
              <w:marLeft w:val="0"/>
              <w:marRight w:val="0"/>
              <w:marTop w:val="0"/>
              <w:marBottom w:val="0"/>
              <w:divBdr>
                <w:top w:val="none" w:sz="0" w:space="0" w:color="auto"/>
                <w:left w:val="none" w:sz="0" w:space="0" w:color="auto"/>
                <w:bottom w:val="none" w:sz="0" w:space="0" w:color="auto"/>
                <w:right w:val="none" w:sz="0" w:space="0" w:color="auto"/>
              </w:divBdr>
            </w:div>
          </w:divsChild>
        </w:div>
        <w:div w:id="1679891912">
          <w:marLeft w:val="0"/>
          <w:marRight w:val="0"/>
          <w:marTop w:val="0"/>
          <w:marBottom w:val="0"/>
          <w:divBdr>
            <w:top w:val="none" w:sz="0" w:space="0" w:color="auto"/>
            <w:left w:val="none" w:sz="0" w:space="0" w:color="auto"/>
            <w:bottom w:val="none" w:sz="0" w:space="0" w:color="auto"/>
            <w:right w:val="none" w:sz="0" w:space="0" w:color="auto"/>
          </w:divBdr>
          <w:divsChild>
            <w:div w:id="1620987625">
              <w:marLeft w:val="0"/>
              <w:marRight w:val="0"/>
              <w:marTop w:val="0"/>
              <w:marBottom w:val="0"/>
              <w:divBdr>
                <w:top w:val="none" w:sz="0" w:space="0" w:color="auto"/>
                <w:left w:val="none" w:sz="0" w:space="0" w:color="auto"/>
                <w:bottom w:val="none" w:sz="0" w:space="0" w:color="auto"/>
                <w:right w:val="none" w:sz="0" w:space="0" w:color="auto"/>
              </w:divBdr>
            </w:div>
          </w:divsChild>
        </w:div>
        <w:div w:id="1706327213">
          <w:marLeft w:val="0"/>
          <w:marRight w:val="0"/>
          <w:marTop w:val="0"/>
          <w:marBottom w:val="0"/>
          <w:divBdr>
            <w:top w:val="none" w:sz="0" w:space="0" w:color="auto"/>
            <w:left w:val="none" w:sz="0" w:space="0" w:color="auto"/>
            <w:bottom w:val="none" w:sz="0" w:space="0" w:color="auto"/>
            <w:right w:val="none" w:sz="0" w:space="0" w:color="auto"/>
          </w:divBdr>
          <w:divsChild>
            <w:div w:id="821695122">
              <w:marLeft w:val="0"/>
              <w:marRight w:val="0"/>
              <w:marTop w:val="0"/>
              <w:marBottom w:val="0"/>
              <w:divBdr>
                <w:top w:val="none" w:sz="0" w:space="0" w:color="auto"/>
                <w:left w:val="none" w:sz="0" w:space="0" w:color="auto"/>
                <w:bottom w:val="none" w:sz="0" w:space="0" w:color="auto"/>
                <w:right w:val="none" w:sz="0" w:space="0" w:color="auto"/>
              </w:divBdr>
            </w:div>
          </w:divsChild>
        </w:div>
        <w:div w:id="1713194489">
          <w:marLeft w:val="0"/>
          <w:marRight w:val="0"/>
          <w:marTop w:val="0"/>
          <w:marBottom w:val="0"/>
          <w:divBdr>
            <w:top w:val="none" w:sz="0" w:space="0" w:color="auto"/>
            <w:left w:val="none" w:sz="0" w:space="0" w:color="auto"/>
            <w:bottom w:val="none" w:sz="0" w:space="0" w:color="auto"/>
            <w:right w:val="none" w:sz="0" w:space="0" w:color="auto"/>
          </w:divBdr>
          <w:divsChild>
            <w:div w:id="543836705">
              <w:marLeft w:val="0"/>
              <w:marRight w:val="0"/>
              <w:marTop w:val="0"/>
              <w:marBottom w:val="0"/>
              <w:divBdr>
                <w:top w:val="none" w:sz="0" w:space="0" w:color="auto"/>
                <w:left w:val="none" w:sz="0" w:space="0" w:color="auto"/>
                <w:bottom w:val="none" w:sz="0" w:space="0" w:color="auto"/>
                <w:right w:val="none" w:sz="0" w:space="0" w:color="auto"/>
              </w:divBdr>
            </w:div>
          </w:divsChild>
        </w:div>
        <w:div w:id="1739747003">
          <w:marLeft w:val="0"/>
          <w:marRight w:val="0"/>
          <w:marTop w:val="0"/>
          <w:marBottom w:val="0"/>
          <w:divBdr>
            <w:top w:val="none" w:sz="0" w:space="0" w:color="auto"/>
            <w:left w:val="none" w:sz="0" w:space="0" w:color="auto"/>
            <w:bottom w:val="none" w:sz="0" w:space="0" w:color="auto"/>
            <w:right w:val="none" w:sz="0" w:space="0" w:color="auto"/>
          </w:divBdr>
          <w:divsChild>
            <w:div w:id="1090199093">
              <w:marLeft w:val="0"/>
              <w:marRight w:val="0"/>
              <w:marTop w:val="0"/>
              <w:marBottom w:val="0"/>
              <w:divBdr>
                <w:top w:val="none" w:sz="0" w:space="0" w:color="auto"/>
                <w:left w:val="none" w:sz="0" w:space="0" w:color="auto"/>
                <w:bottom w:val="none" w:sz="0" w:space="0" w:color="auto"/>
                <w:right w:val="none" w:sz="0" w:space="0" w:color="auto"/>
              </w:divBdr>
            </w:div>
          </w:divsChild>
        </w:div>
        <w:div w:id="1753626961">
          <w:marLeft w:val="0"/>
          <w:marRight w:val="0"/>
          <w:marTop w:val="0"/>
          <w:marBottom w:val="0"/>
          <w:divBdr>
            <w:top w:val="none" w:sz="0" w:space="0" w:color="auto"/>
            <w:left w:val="none" w:sz="0" w:space="0" w:color="auto"/>
            <w:bottom w:val="none" w:sz="0" w:space="0" w:color="auto"/>
            <w:right w:val="none" w:sz="0" w:space="0" w:color="auto"/>
          </w:divBdr>
          <w:divsChild>
            <w:div w:id="736443142">
              <w:marLeft w:val="0"/>
              <w:marRight w:val="0"/>
              <w:marTop w:val="0"/>
              <w:marBottom w:val="0"/>
              <w:divBdr>
                <w:top w:val="none" w:sz="0" w:space="0" w:color="auto"/>
                <w:left w:val="none" w:sz="0" w:space="0" w:color="auto"/>
                <w:bottom w:val="none" w:sz="0" w:space="0" w:color="auto"/>
                <w:right w:val="none" w:sz="0" w:space="0" w:color="auto"/>
              </w:divBdr>
            </w:div>
            <w:div w:id="907498988">
              <w:marLeft w:val="0"/>
              <w:marRight w:val="0"/>
              <w:marTop w:val="0"/>
              <w:marBottom w:val="0"/>
              <w:divBdr>
                <w:top w:val="none" w:sz="0" w:space="0" w:color="auto"/>
                <w:left w:val="none" w:sz="0" w:space="0" w:color="auto"/>
                <w:bottom w:val="none" w:sz="0" w:space="0" w:color="auto"/>
                <w:right w:val="none" w:sz="0" w:space="0" w:color="auto"/>
              </w:divBdr>
            </w:div>
            <w:div w:id="1344936519">
              <w:marLeft w:val="0"/>
              <w:marRight w:val="0"/>
              <w:marTop w:val="0"/>
              <w:marBottom w:val="0"/>
              <w:divBdr>
                <w:top w:val="none" w:sz="0" w:space="0" w:color="auto"/>
                <w:left w:val="none" w:sz="0" w:space="0" w:color="auto"/>
                <w:bottom w:val="none" w:sz="0" w:space="0" w:color="auto"/>
                <w:right w:val="none" w:sz="0" w:space="0" w:color="auto"/>
              </w:divBdr>
            </w:div>
            <w:div w:id="2063752817">
              <w:marLeft w:val="0"/>
              <w:marRight w:val="0"/>
              <w:marTop w:val="0"/>
              <w:marBottom w:val="0"/>
              <w:divBdr>
                <w:top w:val="none" w:sz="0" w:space="0" w:color="auto"/>
                <w:left w:val="none" w:sz="0" w:space="0" w:color="auto"/>
                <w:bottom w:val="none" w:sz="0" w:space="0" w:color="auto"/>
                <w:right w:val="none" w:sz="0" w:space="0" w:color="auto"/>
              </w:divBdr>
            </w:div>
          </w:divsChild>
        </w:div>
        <w:div w:id="1762411242">
          <w:marLeft w:val="0"/>
          <w:marRight w:val="0"/>
          <w:marTop w:val="0"/>
          <w:marBottom w:val="0"/>
          <w:divBdr>
            <w:top w:val="none" w:sz="0" w:space="0" w:color="auto"/>
            <w:left w:val="none" w:sz="0" w:space="0" w:color="auto"/>
            <w:bottom w:val="none" w:sz="0" w:space="0" w:color="auto"/>
            <w:right w:val="none" w:sz="0" w:space="0" w:color="auto"/>
          </w:divBdr>
          <w:divsChild>
            <w:div w:id="275796377">
              <w:marLeft w:val="0"/>
              <w:marRight w:val="0"/>
              <w:marTop w:val="0"/>
              <w:marBottom w:val="0"/>
              <w:divBdr>
                <w:top w:val="none" w:sz="0" w:space="0" w:color="auto"/>
                <w:left w:val="none" w:sz="0" w:space="0" w:color="auto"/>
                <w:bottom w:val="none" w:sz="0" w:space="0" w:color="auto"/>
                <w:right w:val="none" w:sz="0" w:space="0" w:color="auto"/>
              </w:divBdr>
            </w:div>
          </w:divsChild>
        </w:div>
        <w:div w:id="1890652310">
          <w:marLeft w:val="0"/>
          <w:marRight w:val="0"/>
          <w:marTop w:val="0"/>
          <w:marBottom w:val="0"/>
          <w:divBdr>
            <w:top w:val="none" w:sz="0" w:space="0" w:color="auto"/>
            <w:left w:val="none" w:sz="0" w:space="0" w:color="auto"/>
            <w:bottom w:val="none" w:sz="0" w:space="0" w:color="auto"/>
            <w:right w:val="none" w:sz="0" w:space="0" w:color="auto"/>
          </w:divBdr>
          <w:divsChild>
            <w:div w:id="1772584108">
              <w:marLeft w:val="0"/>
              <w:marRight w:val="0"/>
              <w:marTop w:val="0"/>
              <w:marBottom w:val="0"/>
              <w:divBdr>
                <w:top w:val="none" w:sz="0" w:space="0" w:color="auto"/>
                <w:left w:val="none" w:sz="0" w:space="0" w:color="auto"/>
                <w:bottom w:val="none" w:sz="0" w:space="0" w:color="auto"/>
                <w:right w:val="none" w:sz="0" w:space="0" w:color="auto"/>
              </w:divBdr>
            </w:div>
          </w:divsChild>
        </w:div>
        <w:div w:id="1915894079">
          <w:marLeft w:val="0"/>
          <w:marRight w:val="0"/>
          <w:marTop w:val="0"/>
          <w:marBottom w:val="0"/>
          <w:divBdr>
            <w:top w:val="none" w:sz="0" w:space="0" w:color="auto"/>
            <w:left w:val="none" w:sz="0" w:space="0" w:color="auto"/>
            <w:bottom w:val="none" w:sz="0" w:space="0" w:color="auto"/>
            <w:right w:val="none" w:sz="0" w:space="0" w:color="auto"/>
          </w:divBdr>
          <w:divsChild>
            <w:div w:id="1648170642">
              <w:marLeft w:val="0"/>
              <w:marRight w:val="0"/>
              <w:marTop w:val="0"/>
              <w:marBottom w:val="0"/>
              <w:divBdr>
                <w:top w:val="none" w:sz="0" w:space="0" w:color="auto"/>
                <w:left w:val="none" w:sz="0" w:space="0" w:color="auto"/>
                <w:bottom w:val="none" w:sz="0" w:space="0" w:color="auto"/>
                <w:right w:val="none" w:sz="0" w:space="0" w:color="auto"/>
              </w:divBdr>
            </w:div>
          </w:divsChild>
        </w:div>
        <w:div w:id="1952972876">
          <w:marLeft w:val="0"/>
          <w:marRight w:val="0"/>
          <w:marTop w:val="0"/>
          <w:marBottom w:val="0"/>
          <w:divBdr>
            <w:top w:val="none" w:sz="0" w:space="0" w:color="auto"/>
            <w:left w:val="none" w:sz="0" w:space="0" w:color="auto"/>
            <w:bottom w:val="none" w:sz="0" w:space="0" w:color="auto"/>
            <w:right w:val="none" w:sz="0" w:space="0" w:color="auto"/>
          </w:divBdr>
          <w:divsChild>
            <w:div w:id="551044324">
              <w:marLeft w:val="0"/>
              <w:marRight w:val="0"/>
              <w:marTop w:val="0"/>
              <w:marBottom w:val="0"/>
              <w:divBdr>
                <w:top w:val="none" w:sz="0" w:space="0" w:color="auto"/>
                <w:left w:val="none" w:sz="0" w:space="0" w:color="auto"/>
                <w:bottom w:val="none" w:sz="0" w:space="0" w:color="auto"/>
                <w:right w:val="none" w:sz="0" w:space="0" w:color="auto"/>
              </w:divBdr>
            </w:div>
          </w:divsChild>
        </w:div>
        <w:div w:id="2087416764">
          <w:marLeft w:val="0"/>
          <w:marRight w:val="0"/>
          <w:marTop w:val="0"/>
          <w:marBottom w:val="0"/>
          <w:divBdr>
            <w:top w:val="none" w:sz="0" w:space="0" w:color="auto"/>
            <w:left w:val="none" w:sz="0" w:space="0" w:color="auto"/>
            <w:bottom w:val="none" w:sz="0" w:space="0" w:color="auto"/>
            <w:right w:val="none" w:sz="0" w:space="0" w:color="auto"/>
          </w:divBdr>
          <w:divsChild>
            <w:div w:id="1784500480">
              <w:marLeft w:val="0"/>
              <w:marRight w:val="0"/>
              <w:marTop w:val="0"/>
              <w:marBottom w:val="0"/>
              <w:divBdr>
                <w:top w:val="none" w:sz="0" w:space="0" w:color="auto"/>
                <w:left w:val="none" w:sz="0" w:space="0" w:color="auto"/>
                <w:bottom w:val="none" w:sz="0" w:space="0" w:color="auto"/>
                <w:right w:val="none" w:sz="0" w:space="0" w:color="auto"/>
              </w:divBdr>
            </w:div>
          </w:divsChild>
        </w:div>
        <w:div w:id="2119716228">
          <w:marLeft w:val="0"/>
          <w:marRight w:val="0"/>
          <w:marTop w:val="0"/>
          <w:marBottom w:val="0"/>
          <w:divBdr>
            <w:top w:val="none" w:sz="0" w:space="0" w:color="auto"/>
            <w:left w:val="none" w:sz="0" w:space="0" w:color="auto"/>
            <w:bottom w:val="none" w:sz="0" w:space="0" w:color="auto"/>
            <w:right w:val="none" w:sz="0" w:space="0" w:color="auto"/>
          </w:divBdr>
          <w:divsChild>
            <w:div w:id="212080738">
              <w:marLeft w:val="0"/>
              <w:marRight w:val="0"/>
              <w:marTop w:val="0"/>
              <w:marBottom w:val="0"/>
              <w:divBdr>
                <w:top w:val="none" w:sz="0" w:space="0" w:color="auto"/>
                <w:left w:val="none" w:sz="0" w:space="0" w:color="auto"/>
                <w:bottom w:val="none" w:sz="0" w:space="0" w:color="auto"/>
                <w:right w:val="none" w:sz="0" w:space="0" w:color="auto"/>
              </w:divBdr>
            </w:div>
          </w:divsChild>
        </w:div>
        <w:div w:id="2120374087">
          <w:marLeft w:val="0"/>
          <w:marRight w:val="0"/>
          <w:marTop w:val="0"/>
          <w:marBottom w:val="0"/>
          <w:divBdr>
            <w:top w:val="none" w:sz="0" w:space="0" w:color="auto"/>
            <w:left w:val="none" w:sz="0" w:space="0" w:color="auto"/>
            <w:bottom w:val="none" w:sz="0" w:space="0" w:color="auto"/>
            <w:right w:val="none" w:sz="0" w:space="0" w:color="auto"/>
          </w:divBdr>
          <w:divsChild>
            <w:div w:id="1144858650">
              <w:marLeft w:val="0"/>
              <w:marRight w:val="0"/>
              <w:marTop w:val="0"/>
              <w:marBottom w:val="0"/>
              <w:divBdr>
                <w:top w:val="none" w:sz="0" w:space="0" w:color="auto"/>
                <w:left w:val="none" w:sz="0" w:space="0" w:color="auto"/>
                <w:bottom w:val="none" w:sz="0" w:space="0" w:color="auto"/>
                <w:right w:val="none" w:sz="0" w:space="0" w:color="auto"/>
              </w:divBdr>
            </w:div>
          </w:divsChild>
        </w:div>
        <w:div w:id="2122141050">
          <w:marLeft w:val="0"/>
          <w:marRight w:val="0"/>
          <w:marTop w:val="0"/>
          <w:marBottom w:val="0"/>
          <w:divBdr>
            <w:top w:val="none" w:sz="0" w:space="0" w:color="auto"/>
            <w:left w:val="none" w:sz="0" w:space="0" w:color="auto"/>
            <w:bottom w:val="none" w:sz="0" w:space="0" w:color="auto"/>
            <w:right w:val="none" w:sz="0" w:space="0" w:color="auto"/>
          </w:divBdr>
          <w:divsChild>
            <w:div w:id="735203887">
              <w:marLeft w:val="0"/>
              <w:marRight w:val="0"/>
              <w:marTop w:val="0"/>
              <w:marBottom w:val="0"/>
              <w:divBdr>
                <w:top w:val="none" w:sz="0" w:space="0" w:color="auto"/>
                <w:left w:val="none" w:sz="0" w:space="0" w:color="auto"/>
                <w:bottom w:val="none" w:sz="0" w:space="0" w:color="auto"/>
                <w:right w:val="none" w:sz="0" w:space="0" w:color="auto"/>
              </w:divBdr>
            </w:div>
          </w:divsChild>
        </w:div>
        <w:div w:id="2125690189">
          <w:marLeft w:val="0"/>
          <w:marRight w:val="0"/>
          <w:marTop w:val="0"/>
          <w:marBottom w:val="0"/>
          <w:divBdr>
            <w:top w:val="none" w:sz="0" w:space="0" w:color="auto"/>
            <w:left w:val="none" w:sz="0" w:space="0" w:color="auto"/>
            <w:bottom w:val="none" w:sz="0" w:space="0" w:color="auto"/>
            <w:right w:val="none" w:sz="0" w:space="0" w:color="auto"/>
          </w:divBdr>
          <w:divsChild>
            <w:div w:id="1703431243">
              <w:marLeft w:val="0"/>
              <w:marRight w:val="0"/>
              <w:marTop w:val="0"/>
              <w:marBottom w:val="0"/>
              <w:divBdr>
                <w:top w:val="none" w:sz="0" w:space="0" w:color="auto"/>
                <w:left w:val="none" w:sz="0" w:space="0" w:color="auto"/>
                <w:bottom w:val="none" w:sz="0" w:space="0" w:color="auto"/>
                <w:right w:val="none" w:sz="0" w:space="0" w:color="auto"/>
              </w:divBdr>
            </w:div>
          </w:divsChild>
        </w:div>
        <w:div w:id="2128697620">
          <w:marLeft w:val="0"/>
          <w:marRight w:val="0"/>
          <w:marTop w:val="0"/>
          <w:marBottom w:val="0"/>
          <w:divBdr>
            <w:top w:val="none" w:sz="0" w:space="0" w:color="auto"/>
            <w:left w:val="none" w:sz="0" w:space="0" w:color="auto"/>
            <w:bottom w:val="none" w:sz="0" w:space="0" w:color="auto"/>
            <w:right w:val="none" w:sz="0" w:space="0" w:color="auto"/>
          </w:divBdr>
          <w:divsChild>
            <w:div w:id="34899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367937">
      <w:bodyDiv w:val="1"/>
      <w:marLeft w:val="0"/>
      <w:marRight w:val="0"/>
      <w:marTop w:val="0"/>
      <w:marBottom w:val="0"/>
      <w:divBdr>
        <w:top w:val="none" w:sz="0" w:space="0" w:color="auto"/>
        <w:left w:val="none" w:sz="0" w:space="0" w:color="auto"/>
        <w:bottom w:val="none" w:sz="0" w:space="0" w:color="auto"/>
        <w:right w:val="none" w:sz="0" w:space="0" w:color="auto"/>
      </w:divBdr>
      <w:divsChild>
        <w:div w:id="312567268">
          <w:marLeft w:val="0"/>
          <w:marRight w:val="0"/>
          <w:marTop w:val="0"/>
          <w:marBottom w:val="0"/>
          <w:divBdr>
            <w:top w:val="none" w:sz="0" w:space="0" w:color="auto"/>
            <w:left w:val="none" w:sz="0" w:space="0" w:color="auto"/>
            <w:bottom w:val="none" w:sz="0" w:space="0" w:color="auto"/>
            <w:right w:val="none" w:sz="0" w:space="0" w:color="auto"/>
          </w:divBdr>
        </w:div>
        <w:div w:id="1890846094">
          <w:marLeft w:val="0"/>
          <w:marRight w:val="0"/>
          <w:marTop w:val="0"/>
          <w:marBottom w:val="0"/>
          <w:divBdr>
            <w:top w:val="none" w:sz="0" w:space="0" w:color="auto"/>
            <w:left w:val="none" w:sz="0" w:space="0" w:color="auto"/>
            <w:bottom w:val="none" w:sz="0" w:space="0" w:color="auto"/>
            <w:right w:val="none" w:sz="0" w:space="0" w:color="auto"/>
          </w:divBdr>
        </w:div>
      </w:divsChild>
    </w:div>
    <w:div w:id="740718713">
      <w:bodyDiv w:val="1"/>
      <w:marLeft w:val="0"/>
      <w:marRight w:val="0"/>
      <w:marTop w:val="0"/>
      <w:marBottom w:val="0"/>
      <w:divBdr>
        <w:top w:val="none" w:sz="0" w:space="0" w:color="auto"/>
        <w:left w:val="none" w:sz="0" w:space="0" w:color="auto"/>
        <w:bottom w:val="none" w:sz="0" w:space="0" w:color="auto"/>
        <w:right w:val="none" w:sz="0" w:space="0" w:color="auto"/>
      </w:divBdr>
    </w:div>
    <w:div w:id="853032239">
      <w:bodyDiv w:val="1"/>
      <w:marLeft w:val="0"/>
      <w:marRight w:val="0"/>
      <w:marTop w:val="0"/>
      <w:marBottom w:val="0"/>
      <w:divBdr>
        <w:top w:val="none" w:sz="0" w:space="0" w:color="auto"/>
        <w:left w:val="none" w:sz="0" w:space="0" w:color="auto"/>
        <w:bottom w:val="none" w:sz="0" w:space="0" w:color="auto"/>
        <w:right w:val="none" w:sz="0" w:space="0" w:color="auto"/>
      </w:divBdr>
      <w:divsChild>
        <w:div w:id="292684580">
          <w:marLeft w:val="0"/>
          <w:marRight w:val="0"/>
          <w:marTop w:val="0"/>
          <w:marBottom w:val="0"/>
          <w:divBdr>
            <w:top w:val="none" w:sz="0" w:space="0" w:color="auto"/>
            <w:left w:val="none" w:sz="0" w:space="0" w:color="auto"/>
            <w:bottom w:val="none" w:sz="0" w:space="0" w:color="auto"/>
            <w:right w:val="none" w:sz="0" w:space="0" w:color="auto"/>
          </w:divBdr>
          <w:divsChild>
            <w:div w:id="566188242">
              <w:marLeft w:val="0"/>
              <w:marRight w:val="0"/>
              <w:marTop w:val="0"/>
              <w:marBottom w:val="0"/>
              <w:divBdr>
                <w:top w:val="none" w:sz="0" w:space="0" w:color="auto"/>
                <w:left w:val="none" w:sz="0" w:space="0" w:color="auto"/>
                <w:bottom w:val="none" w:sz="0" w:space="0" w:color="auto"/>
                <w:right w:val="none" w:sz="0" w:space="0" w:color="auto"/>
              </w:divBdr>
            </w:div>
          </w:divsChild>
        </w:div>
        <w:div w:id="1153913755">
          <w:marLeft w:val="0"/>
          <w:marRight w:val="0"/>
          <w:marTop w:val="0"/>
          <w:marBottom w:val="0"/>
          <w:divBdr>
            <w:top w:val="none" w:sz="0" w:space="0" w:color="auto"/>
            <w:left w:val="none" w:sz="0" w:space="0" w:color="auto"/>
            <w:bottom w:val="none" w:sz="0" w:space="0" w:color="auto"/>
            <w:right w:val="none" w:sz="0" w:space="0" w:color="auto"/>
          </w:divBdr>
          <w:divsChild>
            <w:div w:id="1915700714">
              <w:marLeft w:val="0"/>
              <w:marRight w:val="0"/>
              <w:marTop w:val="0"/>
              <w:marBottom w:val="0"/>
              <w:divBdr>
                <w:top w:val="none" w:sz="0" w:space="0" w:color="auto"/>
                <w:left w:val="none" w:sz="0" w:space="0" w:color="auto"/>
                <w:bottom w:val="none" w:sz="0" w:space="0" w:color="auto"/>
                <w:right w:val="none" w:sz="0" w:space="0" w:color="auto"/>
              </w:divBdr>
            </w:div>
          </w:divsChild>
        </w:div>
        <w:div w:id="1694309751">
          <w:marLeft w:val="0"/>
          <w:marRight w:val="0"/>
          <w:marTop w:val="0"/>
          <w:marBottom w:val="0"/>
          <w:divBdr>
            <w:top w:val="none" w:sz="0" w:space="0" w:color="auto"/>
            <w:left w:val="none" w:sz="0" w:space="0" w:color="auto"/>
            <w:bottom w:val="none" w:sz="0" w:space="0" w:color="auto"/>
            <w:right w:val="none" w:sz="0" w:space="0" w:color="auto"/>
          </w:divBdr>
          <w:divsChild>
            <w:div w:id="26715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349092">
      <w:bodyDiv w:val="1"/>
      <w:marLeft w:val="0"/>
      <w:marRight w:val="0"/>
      <w:marTop w:val="0"/>
      <w:marBottom w:val="0"/>
      <w:divBdr>
        <w:top w:val="none" w:sz="0" w:space="0" w:color="auto"/>
        <w:left w:val="none" w:sz="0" w:space="0" w:color="auto"/>
        <w:bottom w:val="none" w:sz="0" w:space="0" w:color="auto"/>
        <w:right w:val="none" w:sz="0" w:space="0" w:color="auto"/>
      </w:divBdr>
      <w:divsChild>
        <w:div w:id="660233755">
          <w:marLeft w:val="0"/>
          <w:marRight w:val="0"/>
          <w:marTop w:val="0"/>
          <w:marBottom w:val="0"/>
          <w:divBdr>
            <w:top w:val="none" w:sz="0" w:space="0" w:color="auto"/>
            <w:left w:val="none" w:sz="0" w:space="0" w:color="auto"/>
            <w:bottom w:val="none" w:sz="0" w:space="0" w:color="auto"/>
            <w:right w:val="none" w:sz="0" w:space="0" w:color="auto"/>
          </w:divBdr>
          <w:divsChild>
            <w:div w:id="2042247767">
              <w:marLeft w:val="0"/>
              <w:marRight w:val="0"/>
              <w:marTop w:val="0"/>
              <w:marBottom w:val="0"/>
              <w:divBdr>
                <w:top w:val="none" w:sz="0" w:space="0" w:color="auto"/>
                <w:left w:val="none" w:sz="0" w:space="0" w:color="auto"/>
                <w:bottom w:val="none" w:sz="0" w:space="0" w:color="auto"/>
                <w:right w:val="none" w:sz="0" w:space="0" w:color="auto"/>
              </w:divBdr>
            </w:div>
          </w:divsChild>
        </w:div>
        <w:div w:id="1159158050">
          <w:marLeft w:val="0"/>
          <w:marRight w:val="0"/>
          <w:marTop w:val="0"/>
          <w:marBottom w:val="0"/>
          <w:divBdr>
            <w:top w:val="none" w:sz="0" w:space="0" w:color="auto"/>
            <w:left w:val="none" w:sz="0" w:space="0" w:color="auto"/>
            <w:bottom w:val="none" w:sz="0" w:space="0" w:color="auto"/>
            <w:right w:val="none" w:sz="0" w:space="0" w:color="auto"/>
          </w:divBdr>
          <w:divsChild>
            <w:div w:id="579604286">
              <w:marLeft w:val="0"/>
              <w:marRight w:val="0"/>
              <w:marTop w:val="0"/>
              <w:marBottom w:val="0"/>
              <w:divBdr>
                <w:top w:val="none" w:sz="0" w:space="0" w:color="auto"/>
                <w:left w:val="none" w:sz="0" w:space="0" w:color="auto"/>
                <w:bottom w:val="none" w:sz="0" w:space="0" w:color="auto"/>
                <w:right w:val="none" w:sz="0" w:space="0" w:color="auto"/>
              </w:divBdr>
            </w:div>
          </w:divsChild>
        </w:div>
        <w:div w:id="1183014016">
          <w:marLeft w:val="0"/>
          <w:marRight w:val="0"/>
          <w:marTop w:val="0"/>
          <w:marBottom w:val="0"/>
          <w:divBdr>
            <w:top w:val="none" w:sz="0" w:space="0" w:color="auto"/>
            <w:left w:val="none" w:sz="0" w:space="0" w:color="auto"/>
            <w:bottom w:val="none" w:sz="0" w:space="0" w:color="auto"/>
            <w:right w:val="none" w:sz="0" w:space="0" w:color="auto"/>
          </w:divBdr>
          <w:divsChild>
            <w:div w:id="1663698946">
              <w:marLeft w:val="0"/>
              <w:marRight w:val="0"/>
              <w:marTop w:val="0"/>
              <w:marBottom w:val="0"/>
              <w:divBdr>
                <w:top w:val="none" w:sz="0" w:space="0" w:color="auto"/>
                <w:left w:val="none" w:sz="0" w:space="0" w:color="auto"/>
                <w:bottom w:val="none" w:sz="0" w:space="0" w:color="auto"/>
                <w:right w:val="none" w:sz="0" w:space="0" w:color="auto"/>
              </w:divBdr>
            </w:div>
          </w:divsChild>
        </w:div>
        <w:div w:id="1209681374">
          <w:marLeft w:val="0"/>
          <w:marRight w:val="0"/>
          <w:marTop w:val="0"/>
          <w:marBottom w:val="0"/>
          <w:divBdr>
            <w:top w:val="none" w:sz="0" w:space="0" w:color="auto"/>
            <w:left w:val="none" w:sz="0" w:space="0" w:color="auto"/>
            <w:bottom w:val="none" w:sz="0" w:space="0" w:color="auto"/>
            <w:right w:val="none" w:sz="0" w:space="0" w:color="auto"/>
          </w:divBdr>
          <w:divsChild>
            <w:div w:id="211967214">
              <w:marLeft w:val="0"/>
              <w:marRight w:val="0"/>
              <w:marTop w:val="0"/>
              <w:marBottom w:val="0"/>
              <w:divBdr>
                <w:top w:val="none" w:sz="0" w:space="0" w:color="auto"/>
                <w:left w:val="none" w:sz="0" w:space="0" w:color="auto"/>
                <w:bottom w:val="none" w:sz="0" w:space="0" w:color="auto"/>
                <w:right w:val="none" w:sz="0" w:space="0" w:color="auto"/>
              </w:divBdr>
            </w:div>
          </w:divsChild>
        </w:div>
        <w:div w:id="1970477891">
          <w:marLeft w:val="0"/>
          <w:marRight w:val="0"/>
          <w:marTop w:val="0"/>
          <w:marBottom w:val="0"/>
          <w:divBdr>
            <w:top w:val="none" w:sz="0" w:space="0" w:color="auto"/>
            <w:left w:val="none" w:sz="0" w:space="0" w:color="auto"/>
            <w:bottom w:val="none" w:sz="0" w:space="0" w:color="auto"/>
            <w:right w:val="none" w:sz="0" w:space="0" w:color="auto"/>
          </w:divBdr>
          <w:divsChild>
            <w:div w:id="379596453">
              <w:marLeft w:val="0"/>
              <w:marRight w:val="0"/>
              <w:marTop w:val="0"/>
              <w:marBottom w:val="0"/>
              <w:divBdr>
                <w:top w:val="none" w:sz="0" w:space="0" w:color="auto"/>
                <w:left w:val="none" w:sz="0" w:space="0" w:color="auto"/>
                <w:bottom w:val="none" w:sz="0" w:space="0" w:color="auto"/>
                <w:right w:val="none" w:sz="0" w:space="0" w:color="auto"/>
              </w:divBdr>
            </w:div>
          </w:divsChild>
        </w:div>
        <w:div w:id="2100440988">
          <w:marLeft w:val="0"/>
          <w:marRight w:val="0"/>
          <w:marTop w:val="0"/>
          <w:marBottom w:val="0"/>
          <w:divBdr>
            <w:top w:val="none" w:sz="0" w:space="0" w:color="auto"/>
            <w:left w:val="none" w:sz="0" w:space="0" w:color="auto"/>
            <w:bottom w:val="none" w:sz="0" w:space="0" w:color="auto"/>
            <w:right w:val="none" w:sz="0" w:space="0" w:color="auto"/>
          </w:divBdr>
          <w:divsChild>
            <w:div w:id="133637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210179">
      <w:bodyDiv w:val="1"/>
      <w:marLeft w:val="0"/>
      <w:marRight w:val="0"/>
      <w:marTop w:val="0"/>
      <w:marBottom w:val="0"/>
      <w:divBdr>
        <w:top w:val="none" w:sz="0" w:space="0" w:color="auto"/>
        <w:left w:val="none" w:sz="0" w:space="0" w:color="auto"/>
        <w:bottom w:val="none" w:sz="0" w:space="0" w:color="auto"/>
        <w:right w:val="none" w:sz="0" w:space="0" w:color="auto"/>
      </w:divBdr>
      <w:divsChild>
        <w:div w:id="1638757098">
          <w:marLeft w:val="0"/>
          <w:marRight w:val="0"/>
          <w:marTop w:val="0"/>
          <w:marBottom w:val="0"/>
          <w:divBdr>
            <w:top w:val="none" w:sz="0" w:space="0" w:color="auto"/>
            <w:left w:val="none" w:sz="0" w:space="0" w:color="auto"/>
            <w:bottom w:val="none" w:sz="0" w:space="0" w:color="auto"/>
            <w:right w:val="none" w:sz="0" w:space="0" w:color="auto"/>
          </w:divBdr>
          <w:divsChild>
            <w:div w:id="112604046">
              <w:marLeft w:val="0"/>
              <w:marRight w:val="0"/>
              <w:marTop w:val="0"/>
              <w:marBottom w:val="0"/>
              <w:divBdr>
                <w:top w:val="none" w:sz="0" w:space="0" w:color="auto"/>
                <w:left w:val="none" w:sz="0" w:space="0" w:color="auto"/>
                <w:bottom w:val="none" w:sz="0" w:space="0" w:color="auto"/>
                <w:right w:val="none" w:sz="0" w:space="0" w:color="auto"/>
              </w:divBdr>
            </w:div>
          </w:divsChild>
        </w:div>
        <w:div w:id="1707634164">
          <w:marLeft w:val="0"/>
          <w:marRight w:val="0"/>
          <w:marTop w:val="0"/>
          <w:marBottom w:val="0"/>
          <w:divBdr>
            <w:top w:val="none" w:sz="0" w:space="0" w:color="auto"/>
            <w:left w:val="none" w:sz="0" w:space="0" w:color="auto"/>
            <w:bottom w:val="none" w:sz="0" w:space="0" w:color="auto"/>
            <w:right w:val="none" w:sz="0" w:space="0" w:color="auto"/>
          </w:divBdr>
          <w:divsChild>
            <w:div w:id="1282375174">
              <w:marLeft w:val="0"/>
              <w:marRight w:val="0"/>
              <w:marTop w:val="0"/>
              <w:marBottom w:val="0"/>
              <w:divBdr>
                <w:top w:val="none" w:sz="0" w:space="0" w:color="auto"/>
                <w:left w:val="none" w:sz="0" w:space="0" w:color="auto"/>
                <w:bottom w:val="none" w:sz="0" w:space="0" w:color="auto"/>
                <w:right w:val="none" w:sz="0" w:space="0" w:color="auto"/>
              </w:divBdr>
            </w:div>
          </w:divsChild>
        </w:div>
        <w:div w:id="2014070147">
          <w:marLeft w:val="0"/>
          <w:marRight w:val="0"/>
          <w:marTop w:val="0"/>
          <w:marBottom w:val="0"/>
          <w:divBdr>
            <w:top w:val="none" w:sz="0" w:space="0" w:color="auto"/>
            <w:left w:val="none" w:sz="0" w:space="0" w:color="auto"/>
            <w:bottom w:val="none" w:sz="0" w:space="0" w:color="auto"/>
            <w:right w:val="none" w:sz="0" w:space="0" w:color="auto"/>
          </w:divBdr>
          <w:divsChild>
            <w:div w:id="44797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022788">
      <w:bodyDiv w:val="1"/>
      <w:marLeft w:val="0"/>
      <w:marRight w:val="0"/>
      <w:marTop w:val="0"/>
      <w:marBottom w:val="0"/>
      <w:divBdr>
        <w:top w:val="none" w:sz="0" w:space="0" w:color="auto"/>
        <w:left w:val="none" w:sz="0" w:space="0" w:color="auto"/>
        <w:bottom w:val="none" w:sz="0" w:space="0" w:color="auto"/>
        <w:right w:val="none" w:sz="0" w:space="0" w:color="auto"/>
      </w:divBdr>
      <w:divsChild>
        <w:div w:id="526453811">
          <w:marLeft w:val="0"/>
          <w:marRight w:val="0"/>
          <w:marTop w:val="0"/>
          <w:marBottom w:val="0"/>
          <w:divBdr>
            <w:top w:val="none" w:sz="0" w:space="0" w:color="auto"/>
            <w:left w:val="none" w:sz="0" w:space="0" w:color="auto"/>
            <w:bottom w:val="none" w:sz="0" w:space="0" w:color="auto"/>
            <w:right w:val="none" w:sz="0" w:space="0" w:color="auto"/>
          </w:divBdr>
          <w:divsChild>
            <w:div w:id="633489497">
              <w:marLeft w:val="0"/>
              <w:marRight w:val="0"/>
              <w:marTop w:val="0"/>
              <w:marBottom w:val="0"/>
              <w:divBdr>
                <w:top w:val="none" w:sz="0" w:space="0" w:color="auto"/>
                <w:left w:val="none" w:sz="0" w:space="0" w:color="auto"/>
                <w:bottom w:val="none" w:sz="0" w:space="0" w:color="auto"/>
                <w:right w:val="none" w:sz="0" w:space="0" w:color="auto"/>
              </w:divBdr>
            </w:div>
          </w:divsChild>
        </w:div>
        <w:div w:id="1861159007">
          <w:marLeft w:val="0"/>
          <w:marRight w:val="0"/>
          <w:marTop w:val="0"/>
          <w:marBottom w:val="0"/>
          <w:divBdr>
            <w:top w:val="none" w:sz="0" w:space="0" w:color="auto"/>
            <w:left w:val="none" w:sz="0" w:space="0" w:color="auto"/>
            <w:bottom w:val="none" w:sz="0" w:space="0" w:color="auto"/>
            <w:right w:val="none" w:sz="0" w:space="0" w:color="auto"/>
          </w:divBdr>
          <w:divsChild>
            <w:div w:id="132674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712931">
      <w:bodyDiv w:val="1"/>
      <w:marLeft w:val="0"/>
      <w:marRight w:val="0"/>
      <w:marTop w:val="0"/>
      <w:marBottom w:val="0"/>
      <w:divBdr>
        <w:top w:val="none" w:sz="0" w:space="0" w:color="auto"/>
        <w:left w:val="none" w:sz="0" w:space="0" w:color="auto"/>
        <w:bottom w:val="none" w:sz="0" w:space="0" w:color="auto"/>
        <w:right w:val="none" w:sz="0" w:space="0" w:color="auto"/>
      </w:divBdr>
    </w:div>
    <w:div w:id="1373844463">
      <w:bodyDiv w:val="1"/>
      <w:marLeft w:val="0"/>
      <w:marRight w:val="0"/>
      <w:marTop w:val="0"/>
      <w:marBottom w:val="0"/>
      <w:divBdr>
        <w:top w:val="none" w:sz="0" w:space="0" w:color="auto"/>
        <w:left w:val="none" w:sz="0" w:space="0" w:color="auto"/>
        <w:bottom w:val="none" w:sz="0" w:space="0" w:color="auto"/>
        <w:right w:val="none" w:sz="0" w:space="0" w:color="auto"/>
      </w:divBdr>
    </w:div>
    <w:div w:id="1376930003">
      <w:marLeft w:val="0"/>
      <w:marRight w:val="0"/>
      <w:marTop w:val="0"/>
      <w:marBottom w:val="0"/>
      <w:divBdr>
        <w:top w:val="none" w:sz="0" w:space="0" w:color="auto"/>
        <w:left w:val="none" w:sz="0" w:space="0" w:color="auto"/>
        <w:bottom w:val="none" w:sz="0" w:space="0" w:color="auto"/>
        <w:right w:val="none" w:sz="0" w:space="0" w:color="auto"/>
      </w:divBdr>
      <w:divsChild>
        <w:div w:id="1528636687">
          <w:marLeft w:val="0"/>
          <w:marRight w:val="0"/>
          <w:marTop w:val="0"/>
          <w:marBottom w:val="0"/>
          <w:divBdr>
            <w:top w:val="none" w:sz="0" w:space="0" w:color="auto"/>
            <w:left w:val="none" w:sz="0" w:space="0" w:color="auto"/>
            <w:bottom w:val="none" w:sz="0" w:space="0" w:color="auto"/>
            <w:right w:val="none" w:sz="0" w:space="0" w:color="auto"/>
          </w:divBdr>
        </w:div>
      </w:divsChild>
    </w:div>
    <w:div w:id="1394426272">
      <w:bodyDiv w:val="1"/>
      <w:marLeft w:val="0"/>
      <w:marRight w:val="0"/>
      <w:marTop w:val="0"/>
      <w:marBottom w:val="0"/>
      <w:divBdr>
        <w:top w:val="none" w:sz="0" w:space="0" w:color="auto"/>
        <w:left w:val="none" w:sz="0" w:space="0" w:color="auto"/>
        <w:bottom w:val="none" w:sz="0" w:space="0" w:color="auto"/>
        <w:right w:val="none" w:sz="0" w:space="0" w:color="auto"/>
      </w:divBdr>
    </w:div>
    <w:div w:id="1432244223">
      <w:marLeft w:val="0"/>
      <w:marRight w:val="0"/>
      <w:marTop w:val="0"/>
      <w:marBottom w:val="0"/>
      <w:divBdr>
        <w:top w:val="none" w:sz="0" w:space="0" w:color="auto"/>
        <w:left w:val="none" w:sz="0" w:space="0" w:color="auto"/>
        <w:bottom w:val="none" w:sz="0" w:space="0" w:color="auto"/>
        <w:right w:val="none" w:sz="0" w:space="0" w:color="auto"/>
      </w:divBdr>
    </w:div>
    <w:div w:id="1809124610">
      <w:bodyDiv w:val="1"/>
      <w:marLeft w:val="0"/>
      <w:marRight w:val="0"/>
      <w:marTop w:val="0"/>
      <w:marBottom w:val="0"/>
      <w:divBdr>
        <w:top w:val="none" w:sz="0" w:space="0" w:color="auto"/>
        <w:left w:val="none" w:sz="0" w:space="0" w:color="auto"/>
        <w:bottom w:val="none" w:sz="0" w:space="0" w:color="auto"/>
        <w:right w:val="none" w:sz="0" w:space="0" w:color="auto"/>
      </w:divBdr>
      <w:divsChild>
        <w:div w:id="211961301">
          <w:marLeft w:val="274"/>
          <w:marRight w:val="0"/>
          <w:marTop w:val="0"/>
          <w:marBottom w:val="220"/>
          <w:divBdr>
            <w:top w:val="none" w:sz="0" w:space="0" w:color="auto"/>
            <w:left w:val="none" w:sz="0" w:space="0" w:color="auto"/>
            <w:bottom w:val="none" w:sz="0" w:space="0" w:color="auto"/>
            <w:right w:val="none" w:sz="0" w:space="0" w:color="auto"/>
          </w:divBdr>
        </w:div>
        <w:div w:id="525213380">
          <w:marLeft w:val="274"/>
          <w:marRight w:val="0"/>
          <w:marTop w:val="0"/>
          <w:marBottom w:val="220"/>
          <w:divBdr>
            <w:top w:val="none" w:sz="0" w:space="0" w:color="auto"/>
            <w:left w:val="none" w:sz="0" w:space="0" w:color="auto"/>
            <w:bottom w:val="none" w:sz="0" w:space="0" w:color="auto"/>
            <w:right w:val="none" w:sz="0" w:space="0" w:color="auto"/>
          </w:divBdr>
        </w:div>
        <w:div w:id="791363787">
          <w:marLeft w:val="274"/>
          <w:marRight w:val="0"/>
          <w:marTop w:val="0"/>
          <w:marBottom w:val="220"/>
          <w:divBdr>
            <w:top w:val="none" w:sz="0" w:space="0" w:color="auto"/>
            <w:left w:val="none" w:sz="0" w:space="0" w:color="auto"/>
            <w:bottom w:val="none" w:sz="0" w:space="0" w:color="auto"/>
            <w:right w:val="none" w:sz="0" w:space="0" w:color="auto"/>
          </w:divBdr>
        </w:div>
        <w:div w:id="953561712">
          <w:marLeft w:val="274"/>
          <w:marRight w:val="0"/>
          <w:marTop w:val="0"/>
          <w:marBottom w:val="220"/>
          <w:divBdr>
            <w:top w:val="none" w:sz="0" w:space="0" w:color="auto"/>
            <w:left w:val="none" w:sz="0" w:space="0" w:color="auto"/>
            <w:bottom w:val="none" w:sz="0" w:space="0" w:color="auto"/>
            <w:right w:val="none" w:sz="0" w:space="0" w:color="auto"/>
          </w:divBdr>
        </w:div>
        <w:div w:id="1122966496">
          <w:marLeft w:val="274"/>
          <w:marRight w:val="0"/>
          <w:marTop w:val="0"/>
          <w:marBottom w:val="220"/>
          <w:divBdr>
            <w:top w:val="none" w:sz="0" w:space="0" w:color="auto"/>
            <w:left w:val="none" w:sz="0" w:space="0" w:color="auto"/>
            <w:bottom w:val="none" w:sz="0" w:space="0" w:color="auto"/>
            <w:right w:val="none" w:sz="0" w:space="0" w:color="auto"/>
          </w:divBdr>
        </w:div>
        <w:div w:id="1257859384">
          <w:marLeft w:val="274"/>
          <w:marRight w:val="0"/>
          <w:marTop w:val="0"/>
          <w:marBottom w:val="220"/>
          <w:divBdr>
            <w:top w:val="none" w:sz="0" w:space="0" w:color="auto"/>
            <w:left w:val="none" w:sz="0" w:space="0" w:color="auto"/>
            <w:bottom w:val="none" w:sz="0" w:space="0" w:color="auto"/>
            <w:right w:val="none" w:sz="0" w:space="0" w:color="auto"/>
          </w:divBdr>
        </w:div>
        <w:div w:id="1328242373">
          <w:marLeft w:val="274"/>
          <w:marRight w:val="0"/>
          <w:marTop w:val="0"/>
          <w:marBottom w:val="220"/>
          <w:divBdr>
            <w:top w:val="none" w:sz="0" w:space="0" w:color="auto"/>
            <w:left w:val="none" w:sz="0" w:space="0" w:color="auto"/>
            <w:bottom w:val="none" w:sz="0" w:space="0" w:color="auto"/>
            <w:right w:val="none" w:sz="0" w:space="0" w:color="auto"/>
          </w:divBdr>
        </w:div>
        <w:div w:id="1456945121">
          <w:marLeft w:val="274"/>
          <w:marRight w:val="0"/>
          <w:marTop w:val="0"/>
          <w:marBottom w:val="220"/>
          <w:divBdr>
            <w:top w:val="none" w:sz="0" w:space="0" w:color="auto"/>
            <w:left w:val="none" w:sz="0" w:space="0" w:color="auto"/>
            <w:bottom w:val="none" w:sz="0" w:space="0" w:color="auto"/>
            <w:right w:val="none" w:sz="0" w:space="0" w:color="auto"/>
          </w:divBdr>
        </w:div>
        <w:div w:id="1542788550">
          <w:marLeft w:val="274"/>
          <w:marRight w:val="0"/>
          <w:marTop w:val="0"/>
          <w:marBottom w:val="220"/>
          <w:divBdr>
            <w:top w:val="none" w:sz="0" w:space="0" w:color="auto"/>
            <w:left w:val="none" w:sz="0" w:space="0" w:color="auto"/>
            <w:bottom w:val="none" w:sz="0" w:space="0" w:color="auto"/>
            <w:right w:val="none" w:sz="0" w:space="0" w:color="auto"/>
          </w:divBdr>
        </w:div>
        <w:div w:id="2031956721">
          <w:marLeft w:val="274"/>
          <w:marRight w:val="0"/>
          <w:marTop w:val="0"/>
          <w:marBottom w:val="220"/>
          <w:divBdr>
            <w:top w:val="none" w:sz="0" w:space="0" w:color="auto"/>
            <w:left w:val="none" w:sz="0" w:space="0" w:color="auto"/>
            <w:bottom w:val="none" w:sz="0" w:space="0" w:color="auto"/>
            <w:right w:val="none" w:sz="0" w:space="0" w:color="auto"/>
          </w:divBdr>
        </w:div>
      </w:divsChild>
    </w:div>
    <w:div w:id="1841698735">
      <w:bodyDiv w:val="1"/>
      <w:marLeft w:val="0"/>
      <w:marRight w:val="0"/>
      <w:marTop w:val="0"/>
      <w:marBottom w:val="0"/>
      <w:divBdr>
        <w:top w:val="none" w:sz="0" w:space="0" w:color="auto"/>
        <w:left w:val="none" w:sz="0" w:space="0" w:color="auto"/>
        <w:bottom w:val="none" w:sz="0" w:space="0" w:color="auto"/>
        <w:right w:val="none" w:sz="0" w:space="0" w:color="auto"/>
      </w:divBdr>
      <w:divsChild>
        <w:div w:id="1448355311">
          <w:marLeft w:val="0"/>
          <w:marRight w:val="0"/>
          <w:marTop w:val="0"/>
          <w:marBottom w:val="0"/>
          <w:divBdr>
            <w:top w:val="none" w:sz="0" w:space="0" w:color="auto"/>
            <w:left w:val="none" w:sz="0" w:space="0" w:color="auto"/>
            <w:bottom w:val="none" w:sz="0" w:space="0" w:color="auto"/>
            <w:right w:val="none" w:sz="0" w:space="0" w:color="auto"/>
          </w:divBdr>
        </w:div>
        <w:div w:id="1537231656">
          <w:marLeft w:val="0"/>
          <w:marRight w:val="0"/>
          <w:marTop w:val="0"/>
          <w:marBottom w:val="0"/>
          <w:divBdr>
            <w:top w:val="none" w:sz="0" w:space="0" w:color="auto"/>
            <w:left w:val="none" w:sz="0" w:space="0" w:color="auto"/>
            <w:bottom w:val="none" w:sz="0" w:space="0" w:color="auto"/>
            <w:right w:val="none" w:sz="0" w:space="0" w:color="auto"/>
          </w:divBdr>
        </w:div>
      </w:divsChild>
    </w:div>
    <w:div w:id="1850288924">
      <w:marLeft w:val="0"/>
      <w:marRight w:val="0"/>
      <w:marTop w:val="0"/>
      <w:marBottom w:val="0"/>
      <w:divBdr>
        <w:top w:val="none" w:sz="0" w:space="0" w:color="auto"/>
        <w:left w:val="none" w:sz="0" w:space="0" w:color="auto"/>
        <w:bottom w:val="none" w:sz="0" w:space="0" w:color="auto"/>
        <w:right w:val="none" w:sz="0" w:space="0" w:color="auto"/>
      </w:divBdr>
      <w:divsChild>
        <w:div w:id="129711718">
          <w:marLeft w:val="0"/>
          <w:marRight w:val="0"/>
          <w:marTop w:val="0"/>
          <w:marBottom w:val="0"/>
          <w:divBdr>
            <w:top w:val="none" w:sz="0" w:space="0" w:color="auto"/>
            <w:left w:val="none" w:sz="0" w:space="0" w:color="auto"/>
            <w:bottom w:val="none" w:sz="0" w:space="0" w:color="auto"/>
            <w:right w:val="none" w:sz="0" w:space="0" w:color="auto"/>
          </w:divBdr>
        </w:div>
      </w:divsChild>
    </w:div>
    <w:div w:id="1924752335">
      <w:bodyDiv w:val="1"/>
      <w:marLeft w:val="0"/>
      <w:marRight w:val="0"/>
      <w:marTop w:val="0"/>
      <w:marBottom w:val="0"/>
      <w:divBdr>
        <w:top w:val="none" w:sz="0" w:space="0" w:color="auto"/>
        <w:left w:val="none" w:sz="0" w:space="0" w:color="auto"/>
        <w:bottom w:val="none" w:sz="0" w:space="0" w:color="auto"/>
        <w:right w:val="none" w:sz="0" w:space="0" w:color="auto"/>
      </w:divBdr>
    </w:div>
    <w:div w:id="1943489863">
      <w:bodyDiv w:val="1"/>
      <w:marLeft w:val="0"/>
      <w:marRight w:val="0"/>
      <w:marTop w:val="0"/>
      <w:marBottom w:val="0"/>
      <w:divBdr>
        <w:top w:val="none" w:sz="0" w:space="0" w:color="auto"/>
        <w:left w:val="none" w:sz="0" w:space="0" w:color="auto"/>
        <w:bottom w:val="none" w:sz="0" w:space="0" w:color="auto"/>
        <w:right w:val="none" w:sz="0" w:space="0" w:color="auto"/>
      </w:divBdr>
    </w:div>
    <w:div w:id="1965772815">
      <w:bodyDiv w:val="1"/>
      <w:marLeft w:val="0"/>
      <w:marRight w:val="0"/>
      <w:marTop w:val="0"/>
      <w:marBottom w:val="0"/>
      <w:divBdr>
        <w:top w:val="none" w:sz="0" w:space="0" w:color="auto"/>
        <w:left w:val="none" w:sz="0" w:space="0" w:color="auto"/>
        <w:bottom w:val="none" w:sz="0" w:space="0" w:color="auto"/>
        <w:right w:val="none" w:sz="0" w:space="0" w:color="auto"/>
      </w:divBdr>
      <w:divsChild>
        <w:div w:id="353456016">
          <w:marLeft w:val="0"/>
          <w:marRight w:val="0"/>
          <w:marTop w:val="0"/>
          <w:marBottom w:val="0"/>
          <w:divBdr>
            <w:top w:val="none" w:sz="0" w:space="0" w:color="auto"/>
            <w:left w:val="none" w:sz="0" w:space="0" w:color="auto"/>
            <w:bottom w:val="none" w:sz="0" w:space="0" w:color="auto"/>
            <w:right w:val="none" w:sz="0" w:space="0" w:color="auto"/>
          </w:divBdr>
        </w:div>
        <w:div w:id="1692416067">
          <w:marLeft w:val="0"/>
          <w:marRight w:val="0"/>
          <w:marTop w:val="0"/>
          <w:marBottom w:val="0"/>
          <w:divBdr>
            <w:top w:val="none" w:sz="0" w:space="0" w:color="auto"/>
            <w:left w:val="none" w:sz="0" w:space="0" w:color="auto"/>
            <w:bottom w:val="none" w:sz="0" w:space="0" w:color="auto"/>
            <w:right w:val="none" w:sz="0" w:space="0" w:color="auto"/>
          </w:divBdr>
        </w:div>
      </w:divsChild>
    </w:div>
    <w:div w:id="1966883150">
      <w:bodyDiv w:val="1"/>
      <w:marLeft w:val="0"/>
      <w:marRight w:val="0"/>
      <w:marTop w:val="0"/>
      <w:marBottom w:val="0"/>
      <w:divBdr>
        <w:top w:val="none" w:sz="0" w:space="0" w:color="auto"/>
        <w:left w:val="none" w:sz="0" w:space="0" w:color="auto"/>
        <w:bottom w:val="none" w:sz="0" w:space="0" w:color="auto"/>
        <w:right w:val="none" w:sz="0" w:space="0" w:color="auto"/>
      </w:divBdr>
    </w:div>
    <w:div w:id="2014527559">
      <w:bodyDiv w:val="1"/>
      <w:marLeft w:val="0"/>
      <w:marRight w:val="0"/>
      <w:marTop w:val="0"/>
      <w:marBottom w:val="0"/>
      <w:divBdr>
        <w:top w:val="none" w:sz="0" w:space="0" w:color="auto"/>
        <w:left w:val="none" w:sz="0" w:space="0" w:color="auto"/>
        <w:bottom w:val="none" w:sz="0" w:space="0" w:color="auto"/>
        <w:right w:val="none" w:sz="0" w:space="0" w:color="auto"/>
      </w:divBdr>
      <w:divsChild>
        <w:div w:id="740058184">
          <w:marLeft w:val="0"/>
          <w:marRight w:val="0"/>
          <w:marTop w:val="0"/>
          <w:marBottom w:val="0"/>
          <w:divBdr>
            <w:top w:val="none" w:sz="0" w:space="0" w:color="auto"/>
            <w:left w:val="none" w:sz="0" w:space="0" w:color="auto"/>
            <w:bottom w:val="none" w:sz="0" w:space="0" w:color="auto"/>
            <w:right w:val="none" w:sz="0" w:space="0" w:color="auto"/>
          </w:divBdr>
          <w:divsChild>
            <w:div w:id="814488005">
              <w:marLeft w:val="0"/>
              <w:marRight w:val="0"/>
              <w:marTop w:val="0"/>
              <w:marBottom w:val="0"/>
              <w:divBdr>
                <w:top w:val="none" w:sz="0" w:space="0" w:color="auto"/>
                <w:left w:val="none" w:sz="0" w:space="0" w:color="auto"/>
                <w:bottom w:val="none" w:sz="0" w:space="0" w:color="auto"/>
                <w:right w:val="none" w:sz="0" w:space="0" w:color="auto"/>
              </w:divBdr>
            </w:div>
          </w:divsChild>
        </w:div>
        <w:div w:id="1835796347">
          <w:marLeft w:val="0"/>
          <w:marRight w:val="0"/>
          <w:marTop w:val="0"/>
          <w:marBottom w:val="0"/>
          <w:divBdr>
            <w:top w:val="none" w:sz="0" w:space="0" w:color="auto"/>
            <w:left w:val="none" w:sz="0" w:space="0" w:color="auto"/>
            <w:bottom w:val="none" w:sz="0" w:space="0" w:color="auto"/>
            <w:right w:val="none" w:sz="0" w:space="0" w:color="auto"/>
          </w:divBdr>
          <w:divsChild>
            <w:div w:id="1100100024">
              <w:marLeft w:val="0"/>
              <w:marRight w:val="0"/>
              <w:marTop w:val="0"/>
              <w:marBottom w:val="0"/>
              <w:divBdr>
                <w:top w:val="none" w:sz="0" w:space="0" w:color="auto"/>
                <w:left w:val="none" w:sz="0" w:space="0" w:color="auto"/>
                <w:bottom w:val="none" w:sz="0" w:space="0" w:color="auto"/>
                <w:right w:val="none" w:sz="0" w:space="0" w:color="auto"/>
              </w:divBdr>
            </w:div>
          </w:divsChild>
        </w:div>
        <w:div w:id="1917126026">
          <w:marLeft w:val="0"/>
          <w:marRight w:val="0"/>
          <w:marTop w:val="0"/>
          <w:marBottom w:val="0"/>
          <w:divBdr>
            <w:top w:val="none" w:sz="0" w:space="0" w:color="auto"/>
            <w:left w:val="none" w:sz="0" w:space="0" w:color="auto"/>
            <w:bottom w:val="none" w:sz="0" w:space="0" w:color="auto"/>
            <w:right w:val="none" w:sz="0" w:space="0" w:color="auto"/>
          </w:divBdr>
          <w:divsChild>
            <w:div w:id="197545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128933">
      <w:bodyDiv w:val="1"/>
      <w:marLeft w:val="0"/>
      <w:marRight w:val="0"/>
      <w:marTop w:val="0"/>
      <w:marBottom w:val="0"/>
      <w:divBdr>
        <w:top w:val="none" w:sz="0" w:space="0" w:color="auto"/>
        <w:left w:val="none" w:sz="0" w:space="0" w:color="auto"/>
        <w:bottom w:val="none" w:sz="0" w:space="0" w:color="auto"/>
        <w:right w:val="none" w:sz="0" w:space="0" w:color="auto"/>
      </w:divBdr>
    </w:div>
    <w:div w:id="2098288885">
      <w:bodyDiv w:val="1"/>
      <w:marLeft w:val="0"/>
      <w:marRight w:val="0"/>
      <w:marTop w:val="0"/>
      <w:marBottom w:val="0"/>
      <w:divBdr>
        <w:top w:val="none" w:sz="0" w:space="0" w:color="auto"/>
        <w:left w:val="none" w:sz="0" w:space="0" w:color="auto"/>
        <w:bottom w:val="none" w:sz="0" w:space="0" w:color="auto"/>
        <w:right w:val="none" w:sz="0" w:space="0" w:color="auto"/>
      </w:divBdr>
      <w:divsChild>
        <w:div w:id="18625636">
          <w:marLeft w:val="0"/>
          <w:marRight w:val="0"/>
          <w:marTop w:val="0"/>
          <w:marBottom w:val="0"/>
          <w:divBdr>
            <w:top w:val="none" w:sz="0" w:space="0" w:color="auto"/>
            <w:left w:val="none" w:sz="0" w:space="0" w:color="auto"/>
            <w:bottom w:val="none" w:sz="0" w:space="0" w:color="auto"/>
            <w:right w:val="none" w:sz="0" w:space="0" w:color="auto"/>
          </w:divBdr>
        </w:div>
        <w:div w:id="189880156">
          <w:marLeft w:val="0"/>
          <w:marRight w:val="0"/>
          <w:marTop w:val="0"/>
          <w:marBottom w:val="0"/>
          <w:divBdr>
            <w:top w:val="none" w:sz="0" w:space="0" w:color="auto"/>
            <w:left w:val="none" w:sz="0" w:space="0" w:color="auto"/>
            <w:bottom w:val="none" w:sz="0" w:space="0" w:color="auto"/>
            <w:right w:val="none" w:sz="0" w:space="0" w:color="auto"/>
          </w:divBdr>
        </w:div>
        <w:div w:id="192697651">
          <w:marLeft w:val="0"/>
          <w:marRight w:val="0"/>
          <w:marTop w:val="0"/>
          <w:marBottom w:val="0"/>
          <w:divBdr>
            <w:top w:val="none" w:sz="0" w:space="0" w:color="auto"/>
            <w:left w:val="none" w:sz="0" w:space="0" w:color="auto"/>
            <w:bottom w:val="none" w:sz="0" w:space="0" w:color="auto"/>
            <w:right w:val="none" w:sz="0" w:space="0" w:color="auto"/>
          </w:divBdr>
        </w:div>
        <w:div w:id="223225975">
          <w:marLeft w:val="0"/>
          <w:marRight w:val="0"/>
          <w:marTop w:val="0"/>
          <w:marBottom w:val="0"/>
          <w:divBdr>
            <w:top w:val="none" w:sz="0" w:space="0" w:color="auto"/>
            <w:left w:val="none" w:sz="0" w:space="0" w:color="auto"/>
            <w:bottom w:val="none" w:sz="0" w:space="0" w:color="auto"/>
            <w:right w:val="none" w:sz="0" w:space="0" w:color="auto"/>
          </w:divBdr>
        </w:div>
        <w:div w:id="315112880">
          <w:marLeft w:val="0"/>
          <w:marRight w:val="0"/>
          <w:marTop w:val="0"/>
          <w:marBottom w:val="0"/>
          <w:divBdr>
            <w:top w:val="none" w:sz="0" w:space="0" w:color="auto"/>
            <w:left w:val="none" w:sz="0" w:space="0" w:color="auto"/>
            <w:bottom w:val="none" w:sz="0" w:space="0" w:color="auto"/>
            <w:right w:val="none" w:sz="0" w:space="0" w:color="auto"/>
          </w:divBdr>
        </w:div>
        <w:div w:id="408960974">
          <w:marLeft w:val="0"/>
          <w:marRight w:val="0"/>
          <w:marTop w:val="0"/>
          <w:marBottom w:val="0"/>
          <w:divBdr>
            <w:top w:val="none" w:sz="0" w:space="0" w:color="auto"/>
            <w:left w:val="none" w:sz="0" w:space="0" w:color="auto"/>
            <w:bottom w:val="none" w:sz="0" w:space="0" w:color="auto"/>
            <w:right w:val="none" w:sz="0" w:space="0" w:color="auto"/>
          </w:divBdr>
        </w:div>
        <w:div w:id="475494677">
          <w:marLeft w:val="0"/>
          <w:marRight w:val="0"/>
          <w:marTop w:val="0"/>
          <w:marBottom w:val="0"/>
          <w:divBdr>
            <w:top w:val="none" w:sz="0" w:space="0" w:color="auto"/>
            <w:left w:val="none" w:sz="0" w:space="0" w:color="auto"/>
            <w:bottom w:val="none" w:sz="0" w:space="0" w:color="auto"/>
            <w:right w:val="none" w:sz="0" w:space="0" w:color="auto"/>
          </w:divBdr>
        </w:div>
        <w:div w:id="486289093">
          <w:marLeft w:val="0"/>
          <w:marRight w:val="0"/>
          <w:marTop w:val="0"/>
          <w:marBottom w:val="0"/>
          <w:divBdr>
            <w:top w:val="none" w:sz="0" w:space="0" w:color="auto"/>
            <w:left w:val="none" w:sz="0" w:space="0" w:color="auto"/>
            <w:bottom w:val="none" w:sz="0" w:space="0" w:color="auto"/>
            <w:right w:val="none" w:sz="0" w:space="0" w:color="auto"/>
          </w:divBdr>
        </w:div>
        <w:div w:id="546599652">
          <w:marLeft w:val="0"/>
          <w:marRight w:val="0"/>
          <w:marTop w:val="0"/>
          <w:marBottom w:val="0"/>
          <w:divBdr>
            <w:top w:val="none" w:sz="0" w:space="0" w:color="auto"/>
            <w:left w:val="none" w:sz="0" w:space="0" w:color="auto"/>
            <w:bottom w:val="none" w:sz="0" w:space="0" w:color="auto"/>
            <w:right w:val="none" w:sz="0" w:space="0" w:color="auto"/>
          </w:divBdr>
        </w:div>
        <w:div w:id="608507891">
          <w:marLeft w:val="0"/>
          <w:marRight w:val="0"/>
          <w:marTop w:val="0"/>
          <w:marBottom w:val="0"/>
          <w:divBdr>
            <w:top w:val="none" w:sz="0" w:space="0" w:color="auto"/>
            <w:left w:val="none" w:sz="0" w:space="0" w:color="auto"/>
            <w:bottom w:val="none" w:sz="0" w:space="0" w:color="auto"/>
            <w:right w:val="none" w:sz="0" w:space="0" w:color="auto"/>
          </w:divBdr>
        </w:div>
        <w:div w:id="713774970">
          <w:marLeft w:val="0"/>
          <w:marRight w:val="0"/>
          <w:marTop w:val="0"/>
          <w:marBottom w:val="0"/>
          <w:divBdr>
            <w:top w:val="none" w:sz="0" w:space="0" w:color="auto"/>
            <w:left w:val="none" w:sz="0" w:space="0" w:color="auto"/>
            <w:bottom w:val="none" w:sz="0" w:space="0" w:color="auto"/>
            <w:right w:val="none" w:sz="0" w:space="0" w:color="auto"/>
          </w:divBdr>
        </w:div>
        <w:div w:id="781657509">
          <w:marLeft w:val="0"/>
          <w:marRight w:val="0"/>
          <w:marTop w:val="0"/>
          <w:marBottom w:val="0"/>
          <w:divBdr>
            <w:top w:val="none" w:sz="0" w:space="0" w:color="auto"/>
            <w:left w:val="none" w:sz="0" w:space="0" w:color="auto"/>
            <w:bottom w:val="none" w:sz="0" w:space="0" w:color="auto"/>
            <w:right w:val="none" w:sz="0" w:space="0" w:color="auto"/>
          </w:divBdr>
        </w:div>
        <w:div w:id="798914727">
          <w:marLeft w:val="0"/>
          <w:marRight w:val="0"/>
          <w:marTop w:val="0"/>
          <w:marBottom w:val="0"/>
          <w:divBdr>
            <w:top w:val="none" w:sz="0" w:space="0" w:color="auto"/>
            <w:left w:val="none" w:sz="0" w:space="0" w:color="auto"/>
            <w:bottom w:val="none" w:sz="0" w:space="0" w:color="auto"/>
            <w:right w:val="none" w:sz="0" w:space="0" w:color="auto"/>
          </w:divBdr>
        </w:div>
        <w:div w:id="907806563">
          <w:marLeft w:val="0"/>
          <w:marRight w:val="0"/>
          <w:marTop w:val="0"/>
          <w:marBottom w:val="0"/>
          <w:divBdr>
            <w:top w:val="none" w:sz="0" w:space="0" w:color="auto"/>
            <w:left w:val="none" w:sz="0" w:space="0" w:color="auto"/>
            <w:bottom w:val="none" w:sz="0" w:space="0" w:color="auto"/>
            <w:right w:val="none" w:sz="0" w:space="0" w:color="auto"/>
          </w:divBdr>
        </w:div>
        <w:div w:id="912081589">
          <w:marLeft w:val="0"/>
          <w:marRight w:val="0"/>
          <w:marTop w:val="0"/>
          <w:marBottom w:val="0"/>
          <w:divBdr>
            <w:top w:val="none" w:sz="0" w:space="0" w:color="auto"/>
            <w:left w:val="none" w:sz="0" w:space="0" w:color="auto"/>
            <w:bottom w:val="none" w:sz="0" w:space="0" w:color="auto"/>
            <w:right w:val="none" w:sz="0" w:space="0" w:color="auto"/>
          </w:divBdr>
        </w:div>
        <w:div w:id="927226877">
          <w:marLeft w:val="0"/>
          <w:marRight w:val="0"/>
          <w:marTop w:val="0"/>
          <w:marBottom w:val="0"/>
          <w:divBdr>
            <w:top w:val="none" w:sz="0" w:space="0" w:color="auto"/>
            <w:left w:val="none" w:sz="0" w:space="0" w:color="auto"/>
            <w:bottom w:val="none" w:sz="0" w:space="0" w:color="auto"/>
            <w:right w:val="none" w:sz="0" w:space="0" w:color="auto"/>
          </w:divBdr>
        </w:div>
        <w:div w:id="1157651478">
          <w:marLeft w:val="0"/>
          <w:marRight w:val="0"/>
          <w:marTop w:val="0"/>
          <w:marBottom w:val="0"/>
          <w:divBdr>
            <w:top w:val="none" w:sz="0" w:space="0" w:color="auto"/>
            <w:left w:val="none" w:sz="0" w:space="0" w:color="auto"/>
            <w:bottom w:val="none" w:sz="0" w:space="0" w:color="auto"/>
            <w:right w:val="none" w:sz="0" w:space="0" w:color="auto"/>
          </w:divBdr>
        </w:div>
        <w:div w:id="1205874155">
          <w:marLeft w:val="0"/>
          <w:marRight w:val="0"/>
          <w:marTop w:val="0"/>
          <w:marBottom w:val="0"/>
          <w:divBdr>
            <w:top w:val="none" w:sz="0" w:space="0" w:color="auto"/>
            <w:left w:val="none" w:sz="0" w:space="0" w:color="auto"/>
            <w:bottom w:val="none" w:sz="0" w:space="0" w:color="auto"/>
            <w:right w:val="none" w:sz="0" w:space="0" w:color="auto"/>
          </w:divBdr>
        </w:div>
        <w:div w:id="1223977556">
          <w:marLeft w:val="0"/>
          <w:marRight w:val="0"/>
          <w:marTop w:val="0"/>
          <w:marBottom w:val="0"/>
          <w:divBdr>
            <w:top w:val="none" w:sz="0" w:space="0" w:color="auto"/>
            <w:left w:val="none" w:sz="0" w:space="0" w:color="auto"/>
            <w:bottom w:val="none" w:sz="0" w:space="0" w:color="auto"/>
            <w:right w:val="none" w:sz="0" w:space="0" w:color="auto"/>
          </w:divBdr>
        </w:div>
        <w:div w:id="1309749944">
          <w:marLeft w:val="0"/>
          <w:marRight w:val="0"/>
          <w:marTop w:val="0"/>
          <w:marBottom w:val="0"/>
          <w:divBdr>
            <w:top w:val="none" w:sz="0" w:space="0" w:color="auto"/>
            <w:left w:val="none" w:sz="0" w:space="0" w:color="auto"/>
            <w:bottom w:val="none" w:sz="0" w:space="0" w:color="auto"/>
            <w:right w:val="none" w:sz="0" w:space="0" w:color="auto"/>
          </w:divBdr>
        </w:div>
        <w:div w:id="1417479664">
          <w:marLeft w:val="0"/>
          <w:marRight w:val="0"/>
          <w:marTop w:val="0"/>
          <w:marBottom w:val="0"/>
          <w:divBdr>
            <w:top w:val="none" w:sz="0" w:space="0" w:color="auto"/>
            <w:left w:val="none" w:sz="0" w:space="0" w:color="auto"/>
            <w:bottom w:val="none" w:sz="0" w:space="0" w:color="auto"/>
            <w:right w:val="none" w:sz="0" w:space="0" w:color="auto"/>
          </w:divBdr>
        </w:div>
        <w:div w:id="1669821122">
          <w:marLeft w:val="0"/>
          <w:marRight w:val="0"/>
          <w:marTop w:val="0"/>
          <w:marBottom w:val="0"/>
          <w:divBdr>
            <w:top w:val="none" w:sz="0" w:space="0" w:color="auto"/>
            <w:left w:val="none" w:sz="0" w:space="0" w:color="auto"/>
            <w:bottom w:val="none" w:sz="0" w:space="0" w:color="auto"/>
            <w:right w:val="none" w:sz="0" w:space="0" w:color="auto"/>
          </w:divBdr>
        </w:div>
        <w:div w:id="1679429517">
          <w:marLeft w:val="0"/>
          <w:marRight w:val="0"/>
          <w:marTop w:val="0"/>
          <w:marBottom w:val="0"/>
          <w:divBdr>
            <w:top w:val="none" w:sz="0" w:space="0" w:color="auto"/>
            <w:left w:val="none" w:sz="0" w:space="0" w:color="auto"/>
            <w:bottom w:val="none" w:sz="0" w:space="0" w:color="auto"/>
            <w:right w:val="none" w:sz="0" w:space="0" w:color="auto"/>
          </w:divBdr>
        </w:div>
        <w:div w:id="1853300724">
          <w:marLeft w:val="0"/>
          <w:marRight w:val="0"/>
          <w:marTop w:val="0"/>
          <w:marBottom w:val="0"/>
          <w:divBdr>
            <w:top w:val="none" w:sz="0" w:space="0" w:color="auto"/>
            <w:left w:val="none" w:sz="0" w:space="0" w:color="auto"/>
            <w:bottom w:val="none" w:sz="0" w:space="0" w:color="auto"/>
            <w:right w:val="none" w:sz="0" w:space="0" w:color="auto"/>
          </w:divBdr>
        </w:div>
        <w:div w:id="1969512490">
          <w:marLeft w:val="0"/>
          <w:marRight w:val="0"/>
          <w:marTop w:val="0"/>
          <w:marBottom w:val="0"/>
          <w:divBdr>
            <w:top w:val="none" w:sz="0" w:space="0" w:color="auto"/>
            <w:left w:val="none" w:sz="0" w:space="0" w:color="auto"/>
            <w:bottom w:val="none" w:sz="0" w:space="0" w:color="auto"/>
            <w:right w:val="none" w:sz="0" w:space="0" w:color="auto"/>
          </w:divBdr>
        </w:div>
      </w:divsChild>
    </w:div>
    <w:div w:id="2123261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image" Target="media/image24.jpg"/><Relationship Id="rId21" Type="http://schemas.openxmlformats.org/officeDocument/2006/relationships/footer" Target="footer5.xm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eader" Target="header6.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13.png"/><Relationship Id="rId33" Type="http://schemas.openxmlformats.org/officeDocument/2006/relationships/header" Target="header5.xml"/><Relationship Id="rId38" Type="http://schemas.openxmlformats.org/officeDocument/2006/relationships/image" Target="media/image23.gif"/><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9.png"/><Relationship Id="rId29" Type="http://schemas.openxmlformats.org/officeDocument/2006/relationships/image" Target="media/image16.png"/><Relationship Id="rId41" Type="http://schemas.openxmlformats.org/officeDocument/2006/relationships/image" Target="media/image26.pn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2.jp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jpg"/><Relationship Id="rId49" Type="http://schemas.openxmlformats.org/officeDocument/2006/relationships/image" Target="media/image34.png"/><Relationship Id="rId10" Type="http://schemas.openxmlformats.org/officeDocument/2006/relationships/footer" Target="footer1.xml"/><Relationship Id="rId19" Type="http://schemas.openxmlformats.org/officeDocument/2006/relationships/image" Target="media/image8.jpg"/><Relationship Id="rId31" Type="http://schemas.openxmlformats.org/officeDocument/2006/relationships/hyperlink" Target="https://cac-word-edit.officeapps.live.com/we/wordeditorframe.aspx?ui=en-gb&amp;rs=en-US&amp;wopisrc=https%3A%2F%2Faintl.sharepoint.com%2Fsites%2FAustralia-ACCESSEvaluationDesign%2F_vti_bin%2Fwopi.ashx%2Ffiles%2Fb925581ca7384132b7353b8e4a04427a&amp;wdenableroaming=1&amp;mscc=1&amp;hid=1ee107fd-138f-46f4-871d-2a94feb2fde1.0&amp;uih=teams&amp;uiembed=1&amp;jsapi=1&amp;jsapiver=v2&amp;corrid=7d711bb5-ee33-4f7d-a098-009eb81be641&amp;usid=7d711bb5-ee33-4f7d-a098-009eb81be641&amp;newsession=1&amp;sftc=1&amp;uihit=UnifiedUiHostTeams&amp;muv=v1&amp;accloop=1&amp;sdr=6&amp;scnd=1&amp;sat=1&amp;rat=1&amp;sams=1&amp;mtf=1&amp;sfp=1&amp;halh=1&amp;hch=1&amp;hmh=1&amp;hsh=1&amp;hwfh=1&amp;hsth=1&amp;sih=1&amp;unh=1&amp;onw=1&amp;dchat=1&amp;sc=%7B%22pmo%22%3A%22https%3A%2F%2Fwww.office.com%22%2C%22pmshare%22%3Atrue%7D&amp;wdlcid=en-gb&amp;ctp=LeastProtected&amp;rct=Medium&amp;wdorigin=TEAMS.UNIFIEDUIHOST.REBOOT&amp;wdhostclicktime=1665388693843&amp;wdprevioussession=77b8829a-dcd0-455a-9595-f7edce12bded&amp;instantedit=1&amp;wopicomplete=1&amp;wdredirectionreason=Unified_SingleFlush" TargetMode="External"/><Relationship Id="rId44" Type="http://schemas.openxmlformats.org/officeDocument/2006/relationships/image" Target="media/image29.jpeg"/><Relationship Id="rId52"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image" Target="media/image10.jpeg"/><Relationship Id="rId27" Type="http://schemas.openxmlformats.org/officeDocument/2006/relationships/hyperlink" Target="https://cac-word-edit.officeapps.live.com/we/wordeditorframe.aspx?ui=en-gb&amp;rs=en-US&amp;wopisrc=https%3A%2F%2Faintl.sharepoint.com%2Fsites%2FAustralia-ACCESSEvaluationDesign%2F_vti_bin%2Fwopi.ashx%2Ffiles%2Fb925581ca7384132b7353b8e4a04427a&amp;wdenableroaming=1&amp;mscc=1&amp;hid=1ee107fd-138f-46f4-871d-2a94feb2fde1.0&amp;uih=teams&amp;uiembed=1&amp;jsapi=1&amp;jsapiver=v2&amp;corrid=7d711bb5-ee33-4f7d-a098-009eb81be641&amp;usid=7d711bb5-ee33-4f7d-a098-009eb81be641&amp;newsession=1&amp;sftc=1&amp;uihit=UnifiedUiHostTeams&amp;muv=v1&amp;accloop=1&amp;sdr=6&amp;scnd=1&amp;sat=1&amp;rat=1&amp;sams=1&amp;mtf=1&amp;sfp=1&amp;halh=1&amp;hch=1&amp;hmh=1&amp;hsh=1&amp;hwfh=1&amp;hsth=1&amp;sih=1&amp;unh=1&amp;onw=1&amp;dchat=1&amp;sc=%7B%22pmo%22%3A%22https%3A%2F%2Fwww.office.com%22%2C%22pmshare%22%3Atrue%7D&amp;wdlcid=en-gb&amp;ctp=LeastProtected&amp;rct=Medium&amp;wdorigin=TEAMS.UNIFIEDUIHOST.REBOOT&amp;wdhostclicktime=1665388693843&amp;wdprevioussession=77b8829a-dcd0-455a-9595-f7edce12bded&amp;instantedit=1&amp;wopicomplete=1&amp;wdredirectionreason=Unified_SingleFlush" TargetMode="External"/><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2" Type="http://schemas.openxmlformats.org/officeDocument/2006/relationships/hyperlink" Target="https://gsdrc.org/document-library/triple-jeopardy-gender-based-violence-and-human-rights-violations-experienced-by-women-with-disabilities-in-cambodia/" TargetMode="External"/><Relationship Id="rId1" Type="http://schemas.openxmlformats.org/officeDocument/2006/relationships/hyperlink" Target="https://cambodia.un.org/sites/default/files/2022-03/Gender%20Deep%20Dive%20-%20CCA%20Cambodia_V6_010322_LQ.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6.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_rels/header7.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3072C33702148039A3108086FF4FD7D"/>
        <w:category>
          <w:name w:val="General"/>
          <w:gallery w:val="placeholder"/>
        </w:category>
        <w:types>
          <w:type w:val="bbPlcHdr"/>
        </w:types>
        <w:behaviors>
          <w:behavior w:val="content"/>
        </w:behaviors>
        <w:guid w:val="{B3C7B612-CBD9-4FA1-A8E0-5CFE5DB3428B}"/>
      </w:docPartPr>
      <w:docPartBody>
        <w:p w:rsidR="002A433F" w:rsidRDefault="001409C3" w:rsidP="001409C3">
          <w:pPr>
            <w:pStyle w:val="33072C33702148039A3108086FF4FD7D"/>
          </w:pPr>
          <w:r w:rsidRPr="003725EF">
            <w:rPr>
              <w:rStyle w:val="PlaceholderText"/>
            </w:rPr>
            <w:t>Click or tap here to enter text.</w:t>
          </w:r>
        </w:p>
      </w:docPartBody>
    </w:docPart>
    <w:docPart>
      <w:docPartPr>
        <w:name w:val="626E32B1EFA5425780D29F502314FE7A"/>
        <w:category>
          <w:name w:val="General"/>
          <w:gallery w:val="placeholder"/>
        </w:category>
        <w:types>
          <w:type w:val="bbPlcHdr"/>
        </w:types>
        <w:behaviors>
          <w:behavior w:val="content"/>
        </w:behaviors>
        <w:guid w:val="{1A00ED71-C49F-44D9-962C-12DC658A312F}"/>
      </w:docPartPr>
      <w:docPartBody>
        <w:p w:rsidR="00893D94" w:rsidRDefault="007D5A77">
          <w:pPr>
            <w:pStyle w:val="626E32B1EFA5425780D29F502314FE7A"/>
          </w:pPr>
          <w:r w:rsidRPr="003725EF">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quot;Arial&quot;,sans-serif">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quot;Courier New&quot;">
    <w:altName w:val="Cambria"/>
    <w:panose1 w:val="00000000000000000000"/>
    <w:charset w:val="00"/>
    <w:family w:val="roman"/>
    <w:notTrueType/>
    <w:pitch w:val="default"/>
  </w:font>
  <w:font w:name="Century Gothic">
    <w:altName w:val="Calibri"/>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rpid C1 SCd Regular">
    <w:altName w:val="Arial"/>
    <w:charset w:val="00"/>
    <w:family w:val="swiss"/>
    <w:pitch w:val="variable"/>
    <w:sig w:usb0="A00000EF" w:usb1="5000205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A77"/>
    <w:rsid w:val="00066745"/>
    <w:rsid w:val="0007001F"/>
    <w:rsid w:val="000A3627"/>
    <w:rsid w:val="000A6EEC"/>
    <w:rsid w:val="000B735A"/>
    <w:rsid w:val="000D3C77"/>
    <w:rsid w:val="0013304A"/>
    <w:rsid w:val="00133E63"/>
    <w:rsid w:val="001409C3"/>
    <w:rsid w:val="0014498F"/>
    <w:rsid w:val="001869E5"/>
    <w:rsid w:val="001E2529"/>
    <w:rsid w:val="001F6881"/>
    <w:rsid w:val="00292EDA"/>
    <w:rsid w:val="002A05C8"/>
    <w:rsid w:val="002A433F"/>
    <w:rsid w:val="002C0413"/>
    <w:rsid w:val="002D3EEA"/>
    <w:rsid w:val="002E72D4"/>
    <w:rsid w:val="00320683"/>
    <w:rsid w:val="0033110B"/>
    <w:rsid w:val="00357608"/>
    <w:rsid w:val="00367D4E"/>
    <w:rsid w:val="00377A2C"/>
    <w:rsid w:val="00386E16"/>
    <w:rsid w:val="003E2FAF"/>
    <w:rsid w:val="004238D4"/>
    <w:rsid w:val="00443F58"/>
    <w:rsid w:val="00447309"/>
    <w:rsid w:val="0045788A"/>
    <w:rsid w:val="00462ADF"/>
    <w:rsid w:val="00516721"/>
    <w:rsid w:val="005408D6"/>
    <w:rsid w:val="00574A5F"/>
    <w:rsid w:val="00585B43"/>
    <w:rsid w:val="005E7243"/>
    <w:rsid w:val="005F22FB"/>
    <w:rsid w:val="00607EA7"/>
    <w:rsid w:val="00627E11"/>
    <w:rsid w:val="00657E84"/>
    <w:rsid w:val="00666682"/>
    <w:rsid w:val="006824FE"/>
    <w:rsid w:val="00694905"/>
    <w:rsid w:val="006A7AE5"/>
    <w:rsid w:val="006B62CD"/>
    <w:rsid w:val="006F5567"/>
    <w:rsid w:val="0070064C"/>
    <w:rsid w:val="0072553A"/>
    <w:rsid w:val="007369CA"/>
    <w:rsid w:val="007455DF"/>
    <w:rsid w:val="00757B29"/>
    <w:rsid w:val="007A11DE"/>
    <w:rsid w:val="007C0FD6"/>
    <w:rsid w:val="007D5A77"/>
    <w:rsid w:val="007F29B9"/>
    <w:rsid w:val="0089014C"/>
    <w:rsid w:val="00893D94"/>
    <w:rsid w:val="008D27F9"/>
    <w:rsid w:val="008F2E34"/>
    <w:rsid w:val="00927619"/>
    <w:rsid w:val="009C2C61"/>
    <w:rsid w:val="009C3346"/>
    <w:rsid w:val="00A06E0E"/>
    <w:rsid w:val="00A11237"/>
    <w:rsid w:val="00A5522B"/>
    <w:rsid w:val="00A672A2"/>
    <w:rsid w:val="00A92CEB"/>
    <w:rsid w:val="00AB2E8E"/>
    <w:rsid w:val="00B14F2B"/>
    <w:rsid w:val="00BB5225"/>
    <w:rsid w:val="00BE0B3C"/>
    <w:rsid w:val="00C02337"/>
    <w:rsid w:val="00C156BC"/>
    <w:rsid w:val="00C41049"/>
    <w:rsid w:val="00C41980"/>
    <w:rsid w:val="00C54985"/>
    <w:rsid w:val="00C62CAF"/>
    <w:rsid w:val="00CE5D93"/>
    <w:rsid w:val="00D43D59"/>
    <w:rsid w:val="00D606A4"/>
    <w:rsid w:val="00EA0A53"/>
    <w:rsid w:val="00EC377D"/>
    <w:rsid w:val="00F04647"/>
    <w:rsid w:val="00F17E07"/>
    <w:rsid w:val="00F572CD"/>
    <w:rsid w:val="00F72493"/>
    <w:rsid w:val="00F969A4"/>
    <w:rsid w:val="00FA4188"/>
    <w:rsid w:val="00FD48C4"/>
    <w:rsid w:val="00FD6AE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48E76ED3"/>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409C3"/>
    <w:rPr>
      <w:vanish w:val="0"/>
      <w:color w:val="FF0000"/>
    </w:rPr>
  </w:style>
  <w:style w:type="paragraph" w:customStyle="1" w:styleId="33072C33702148039A3108086FF4FD7D">
    <w:name w:val="33072C33702148039A3108086FF4FD7D"/>
    <w:rsid w:val="001409C3"/>
  </w:style>
  <w:style w:type="paragraph" w:customStyle="1" w:styleId="626E32B1EFA5425780D29F502314FE7A">
    <w:name w:val="626E32B1EFA5425780D29F502314FE7A"/>
    <w:rPr>
      <w:lang w:val="en-NZ" w:eastAsia="en-NZ"/>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51">
      <a:dk1>
        <a:srgbClr val="000000"/>
      </a:dk1>
      <a:lt1>
        <a:srgbClr val="FFFFFF"/>
      </a:lt1>
      <a:dk2>
        <a:srgbClr val="585858"/>
      </a:dk2>
      <a:lt2>
        <a:srgbClr val="1D336D"/>
      </a:lt2>
      <a:accent1>
        <a:srgbClr val="63D0DF"/>
      </a:accent1>
      <a:accent2>
        <a:srgbClr val="C9C9CA"/>
      </a:accent2>
      <a:accent3>
        <a:srgbClr val="63D0DF"/>
      </a:accent3>
      <a:accent4>
        <a:srgbClr val="A1A1A1"/>
      </a:accent4>
      <a:accent5>
        <a:srgbClr val="63D0DF"/>
      </a:accent5>
      <a:accent6>
        <a:srgbClr val="A1A1A1"/>
      </a:accent6>
      <a:hlink>
        <a:srgbClr val="000000"/>
      </a:hlink>
      <a:folHlink>
        <a:srgbClr val="FFFFFF"/>
      </a:folHlink>
    </a:clrScheme>
    <a:fontScheme name="a">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EB4C25D3-CF97-4309-855D-EE60A5384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23049</Words>
  <Characters>130229</Characters>
  <Application>Microsoft Office Word</Application>
  <DocSecurity>0</DocSecurity>
  <Lines>2504</Lines>
  <Paragraphs>1226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Australia-Cambodia Cooperation for Equitable Sustainable Services (ACCESS) End of program evaluation</dc:title>
  <dc:subject/>
  <dc:creator/>
  <cp:keywords>[SEC=OFFICIAL]</cp:keywords>
  <dc:description/>
  <cp:lastModifiedBy/>
  <cp:revision>1</cp:revision>
  <dcterms:created xsi:type="dcterms:W3CDTF">2023-01-03T22:45:00Z</dcterms:created>
  <dcterms:modified xsi:type="dcterms:W3CDTF">2023-01-03T22:45:00Z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Caveats_Count">
    <vt:lpwstr>0</vt:lpwstr>
  </property>
  <property fmtid="{D5CDD505-2E9C-101B-9397-08002B2CF9AE}" pid="3" name="PM_ProtectiveMarkingImage_Header">
    <vt:lpwstr>C:\Program Files (x86)\Common Files\janusNET Shared\janusSEAL\Images\DocumentSlashBlue.png</vt:lpwstr>
  </property>
  <property fmtid="{D5CDD505-2E9C-101B-9397-08002B2CF9AE}" pid="4" name="PM_SecurityClassification">
    <vt:lpwstr>OFFICIAL</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260D391A355C0F7895D53005377AC1700003BFA9</vt:lpwstr>
  </property>
  <property fmtid="{D5CDD505-2E9C-101B-9397-08002B2CF9AE}" pid="9" name="PM_Originating_FileId">
    <vt:lpwstr>085296572FE1462B9B1CE990756AE1F1</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2023-01-03T22:45:44Z</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C117EDE4C7DC40A2DEF58592A28E8C87</vt:lpwstr>
  </property>
  <property fmtid="{D5CDD505-2E9C-101B-9397-08002B2CF9AE}" pid="21" name="PM_Hash_Salt">
    <vt:lpwstr>76D0AA7059DCC26E164BBE637399BA7B</vt:lpwstr>
  </property>
  <property fmtid="{D5CDD505-2E9C-101B-9397-08002B2CF9AE}" pid="22" name="PM_Hash_SHA1">
    <vt:lpwstr>60BBBE24474AF1A91AF7C896DBC91CCEE086D871</vt:lpwstr>
  </property>
  <property fmtid="{D5CDD505-2E9C-101B-9397-08002B2CF9AE}" pid="23" name="PM_OriginatorUserAccountName_SHA256">
    <vt:lpwstr>3F6D732A650B4EC715B623E0D837FB2B96AB69551124ACFE30889A7938FDE719</vt:lpwstr>
  </property>
  <property fmtid="{D5CDD505-2E9C-101B-9397-08002B2CF9AE}" pid="24" name="PM_OriginatorDomainName_SHA256">
    <vt:lpwstr>6F3591835F3B2A8A025B00B5BA6418010DA3A17C9C26EA9C049FFD28039489A2</vt:lpwstr>
  </property>
  <property fmtid="{D5CDD505-2E9C-101B-9397-08002B2CF9AE}" pid="25" name="PM_MinimumSecurityClassification">
    <vt:lpwstr/>
  </property>
  <property fmtid="{D5CDD505-2E9C-101B-9397-08002B2CF9AE}" pid="26" name="PM_SecurityClassification_Prev">
    <vt:lpwstr>OFFICIAL</vt:lpwstr>
  </property>
  <property fmtid="{D5CDD505-2E9C-101B-9397-08002B2CF9AE}" pid="27" name="PM_Qualifier_Prev">
    <vt:lpwstr/>
  </property>
  <property fmtid="{D5CDD505-2E9C-101B-9397-08002B2CF9AE}" pid="28" name="PMUuid">
    <vt:lpwstr>ABBFF5E2-9674-55C9-B08D-C9980002FD58</vt:lpwstr>
  </property>
  <property fmtid="{D5CDD505-2E9C-101B-9397-08002B2CF9AE}" pid="29" name="PMUuidVer">
    <vt:lpwstr>2022.1</vt:lpwstr>
  </property>
</Properties>
</file>