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92B" w:rsidRDefault="0084592B">
      <w:pPr>
        <w:pStyle w:val="BodyText"/>
        <w:rPr>
          <w:rFonts w:ascii="Times New Roman"/>
        </w:rPr>
      </w:pPr>
      <w:bookmarkStart w:id="0" w:name="_GoBack"/>
      <w:bookmarkEnd w:id="0"/>
    </w:p>
    <w:p w:rsidR="0084592B" w:rsidRDefault="0084592B">
      <w:pPr>
        <w:pStyle w:val="BodyText"/>
        <w:rPr>
          <w:rFonts w:ascii="Times New Roman"/>
          <w:sz w:val="18"/>
        </w:rPr>
      </w:pPr>
    </w:p>
    <w:p w:rsidR="0084592B" w:rsidRDefault="00310C78">
      <w:pPr>
        <w:spacing w:before="95" w:line="511" w:lineRule="auto"/>
        <w:ind w:left="3517" w:right="3501"/>
        <w:jc w:val="center"/>
        <w:rPr>
          <w:b/>
          <w:sz w:val="18"/>
        </w:rPr>
      </w:pPr>
      <w:r>
        <w:rPr>
          <w:b/>
          <w:sz w:val="18"/>
        </w:rPr>
        <w:t>AECF Mid-Term Evaluation Management Response</w:t>
      </w:r>
    </w:p>
    <w:p w:rsidR="0084592B" w:rsidRDefault="00310C78">
      <w:pPr>
        <w:pStyle w:val="BodyText"/>
        <w:spacing w:line="210" w:lineRule="exact"/>
        <w:ind w:left="111"/>
      </w:pPr>
      <w:r>
        <w:t>The AECF management team finds this mid-term evaluation report, conducted by the Ecorys and</w:t>
      </w:r>
    </w:p>
    <w:p w:rsidR="0084592B" w:rsidRDefault="00310C78">
      <w:pPr>
        <w:pStyle w:val="BodyText"/>
        <w:spacing w:before="51" w:line="292" w:lineRule="auto"/>
        <w:ind w:left="105" w:right="102" w:firstLine="7"/>
        <w:jc w:val="both"/>
      </w:pPr>
      <w:r>
        <w:t>Carnegie Consult team, useful as it highlights and brings to attention, in a formal way, a number of strategic issues. At the same time we observe that certain aspects of AECF that the consultants have analysed may require more in-depth study, or a differe</w:t>
      </w:r>
      <w:r>
        <w:t>nt approach. Below follows a set of reflections on the MTE findings.</w:t>
      </w:r>
    </w:p>
    <w:p w:rsidR="0084592B" w:rsidRDefault="00310C78">
      <w:pPr>
        <w:spacing w:before="181"/>
        <w:ind w:left="105"/>
        <w:rPr>
          <w:b/>
          <w:sz w:val="18"/>
        </w:rPr>
      </w:pPr>
      <w:r>
        <w:rPr>
          <w:b/>
          <w:w w:val="105"/>
          <w:sz w:val="18"/>
        </w:rPr>
        <w:t>The main objectives of the AECF</w:t>
      </w:r>
    </w:p>
    <w:p w:rsidR="0084592B" w:rsidRDefault="0084592B">
      <w:pPr>
        <w:pStyle w:val="BodyText"/>
        <w:spacing w:before="3"/>
        <w:rPr>
          <w:b/>
          <w:sz w:val="19"/>
        </w:rPr>
      </w:pPr>
    </w:p>
    <w:p w:rsidR="0084592B" w:rsidRDefault="00310C78">
      <w:pPr>
        <w:pStyle w:val="BodyText"/>
        <w:spacing w:line="295" w:lineRule="auto"/>
        <w:ind w:left="813" w:right="108" w:hanging="7"/>
        <w:jc w:val="both"/>
      </w:pPr>
      <w:r>
        <w:rPr>
          <w:i/>
          <w:sz w:val="19"/>
        </w:rPr>
        <w:t xml:space="preserve">There appears to be some ambiguity concerning the vision and mandate of AECF' {p15). </w:t>
      </w:r>
      <w:r>
        <w:t>While there has always been spirited discussion on the direction of A</w:t>
      </w:r>
      <w:r>
        <w:t>ECF, and this is expected to intensify in the strategic review process in 2016, we don't believe its fundamental purpose is ambiguous.</w:t>
      </w:r>
      <w:r>
        <w:rPr>
          <w:spacing w:val="-5"/>
        </w:rPr>
        <w:t xml:space="preserve"> </w:t>
      </w:r>
      <w:r>
        <w:t>The</w:t>
      </w:r>
      <w:r>
        <w:rPr>
          <w:spacing w:val="-12"/>
        </w:rPr>
        <w:t xml:space="preserve"> </w:t>
      </w:r>
      <w:r>
        <w:t>Fund,</w:t>
      </w:r>
      <w:r>
        <w:rPr>
          <w:spacing w:val="-21"/>
        </w:rPr>
        <w:t xml:space="preserve"> </w:t>
      </w:r>
      <w:r>
        <w:t>since</w:t>
      </w:r>
      <w:r>
        <w:rPr>
          <w:spacing w:val="-11"/>
        </w:rPr>
        <w:t xml:space="preserve"> </w:t>
      </w:r>
      <w:r>
        <w:t>its</w:t>
      </w:r>
      <w:r>
        <w:rPr>
          <w:spacing w:val="-19"/>
        </w:rPr>
        <w:t xml:space="preserve"> </w:t>
      </w:r>
      <w:r>
        <w:t>inception,</w:t>
      </w:r>
      <w:r>
        <w:rPr>
          <w:spacing w:val="-3"/>
        </w:rPr>
        <w:t xml:space="preserve"> </w:t>
      </w:r>
      <w:r>
        <w:t>has</w:t>
      </w:r>
      <w:r>
        <w:rPr>
          <w:spacing w:val="-16"/>
        </w:rPr>
        <w:t xml:space="preserve"> </w:t>
      </w:r>
      <w:r>
        <w:t>provided</w:t>
      </w:r>
      <w:r>
        <w:rPr>
          <w:spacing w:val="-2"/>
        </w:rPr>
        <w:t xml:space="preserve"> </w:t>
      </w:r>
      <w:r>
        <w:t>financial support</w:t>
      </w:r>
      <w:r>
        <w:rPr>
          <w:spacing w:val="-10"/>
        </w:rPr>
        <w:t xml:space="preserve"> </w:t>
      </w:r>
      <w:r>
        <w:t>to</w:t>
      </w:r>
      <w:r>
        <w:rPr>
          <w:spacing w:val="5"/>
        </w:rPr>
        <w:t xml:space="preserve"> </w:t>
      </w:r>
      <w:r>
        <w:t>innovative,</w:t>
      </w:r>
      <w:r>
        <w:rPr>
          <w:spacing w:val="-10"/>
        </w:rPr>
        <w:t xml:space="preserve"> </w:t>
      </w:r>
      <w:r>
        <w:t>inclusive businesses</w:t>
      </w:r>
      <w:r>
        <w:rPr>
          <w:spacing w:val="-17"/>
        </w:rPr>
        <w:t xml:space="preserve"> </w:t>
      </w:r>
      <w:r>
        <w:t>that</w:t>
      </w:r>
      <w:r>
        <w:rPr>
          <w:spacing w:val="-20"/>
        </w:rPr>
        <w:t xml:space="preserve"> </w:t>
      </w:r>
      <w:r>
        <w:t>engage</w:t>
      </w:r>
      <w:r>
        <w:rPr>
          <w:spacing w:val="-20"/>
        </w:rPr>
        <w:t xml:space="preserve"> </w:t>
      </w:r>
      <w:r>
        <w:t>low</w:t>
      </w:r>
      <w:r>
        <w:rPr>
          <w:spacing w:val="-18"/>
        </w:rPr>
        <w:t xml:space="preserve"> </w:t>
      </w:r>
      <w:r>
        <w:t>income</w:t>
      </w:r>
      <w:r>
        <w:rPr>
          <w:spacing w:val="-20"/>
        </w:rPr>
        <w:t xml:space="preserve"> </w:t>
      </w:r>
      <w:r>
        <w:t>individuals</w:t>
      </w:r>
      <w:r>
        <w:rPr>
          <w:spacing w:val="-19"/>
        </w:rPr>
        <w:t xml:space="preserve"> </w:t>
      </w:r>
      <w:r>
        <w:t>in</w:t>
      </w:r>
      <w:r>
        <w:rPr>
          <w:spacing w:val="-4"/>
        </w:rPr>
        <w:t xml:space="preserve"> </w:t>
      </w:r>
      <w:r>
        <w:t>rural</w:t>
      </w:r>
      <w:r>
        <w:rPr>
          <w:spacing w:val="-22"/>
        </w:rPr>
        <w:t xml:space="preserve"> </w:t>
      </w:r>
      <w:r>
        <w:t>areas.</w:t>
      </w:r>
      <w:r>
        <w:rPr>
          <w:spacing w:val="-18"/>
        </w:rPr>
        <w:t xml:space="preserve"> </w:t>
      </w:r>
      <w:r>
        <w:t>The</w:t>
      </w:r>
      <w:r>
        <w:rPr>
          <w:spacing w:val="-16"/>
        </w:rPr>
        <w:t xml:space="preserve"> </w:t>
      </w:r>
      <w:r>
        <w:t>vision</w:t>
      </w:r>
      <w:r>
        <w:rPr>
          <w:spacing w:val="-19"/>
        </w:rPr>
        <w:t xml:space="preserve"> </w:t>
      </w:r>
      <w:r>
        <w:t>and</w:t>
      </w:r>
      <w:r>
        <w:rPr>
          <w:spacing w:val="-18"/>
        </w:rPr>
        <w:t xml:space="preserve"> </w:t>
      </w:r>
      <w:r>
        <w:t>mandate</w:t>
      </w:r>
      <w:r>
        <w:rPr>
          <w:spacing w:val="-6"/>
        </w:rPr>
        <w:t xml:space="preserve"> </w:t>
      </w:r>
      <w:r>
        <w:t>are</w:t>
      </w:r>
      <w:r>
        <w:rPr>
          <w:spacing w:val="-20"/>
        </w:rPr>
        <w:t xml:space="preserve"> </w:t>
      </w:r>
      <w:r>
        <w:t>clearly stated in foundation documents of the</w:t>
      </w:r>
      <w:r>
        <w:rPr>
          <w:spacing w:val="-25"/>
        </w:rPr>
        <w:t xml:space="preserve"> </w:t>
      </w:r>
      <w:r>
        <w:t>AECF.</w:t>
      </w:r>
    </w:p>
    <w:p w:rsidR="0084592B" w:rsidRDefault="00310C78">
      <w:pPr>
        <w:spacing w:before="176"/>
        <w:ind w:left="111"/>
        <w:rPr>
          <w:b/>
          <w:sz w:val="18"/>
        </w:rPr>
      </w:pPr>
      <w:r>
        <w:rPr>
          <w:b/>
          <w:w w:val="105"/>
          <w:sz w:val="18"/>
        </w:rPr>
        <w:t>Investigating individual projects rather than the entire portfolio as a whole</w:t>
      </w:r>
    </w:p>
    <w:p w:rsidR="0084592B" w:rsidRDefault="0084592B">
      <w:pPr>
        <w:pStyle w:val="BodyText"/>
        <w:spacing w:before="7"/>
        <w:rPr>
          <w:b/>
          <w:sz w:val="18"/>
        </w:rPr>
      </w:pPr>
    </w:p>
    <w:p w:rsidR="0084592B" w:rsidRDefault="00310C78">
      <w:pPr>
        <w:pStyle w:val="BodyText"/>
        <w:spacing w:before="1" w:line="295" w:lineRule="auto"/>
        <w:ind w:left="812" w:right="109" w:hanging="2"/>
        <w:jc w:val="both"/>
      </w:pPr>
      <w:r>
        <w:t xml:space="preserve">The analysis </w:t>
      </w:r>
      <w:r>
        <w:rPr>
          <w:b/>
          <w:sz w:val="18"/>
        </w:rPr>
        <w:t xml:space="preserve">in </w:t>
      </w:r>
      <w:r>
        <w:t>the MTE focuses a great deal on evaluating a sample of</w:t>
      </w:r>
      <w:r>
        <w:t xml:space="preserve"> individual project case studies and deriving conclusions from these about the effectiveness of the AECF as a whole. Greater</w:t>
      </w:r>
      <w:r>
        <w:rPr>
          <w:spacing w:val="-9"/>
        </w:rPr>
        <w:t xml:space="preserve"> </w:t>
      </w:r>
      <w:r>
        <w:t>consideration</w:t>
      </w:r>
      <w:r>
        <w:rPr>
          <w:spacing w:val="-11"/>
        </w:rPr>
        <w:t xml:space="preserve"> </w:t>
      </w:r>
      <w:r>
        <w:t>of</w:t>
      </w:r>
      <w:r>
        <w:rPr>
          <w:spacing w:val="-21"/>
        </w:rPr>
        <w:t xml:space="preserve"> </w:t>
      </w:r>
      <w:r>
        <w:t>the</w:t>
      </w:r>
      <w:r>
        <w:rPr>
          <w:spacing w:val="-16"/>
        </w:rPr>
        <w:t xml:space="preserve"> </w:t>
      </w:r>
      <w:r>
        <w:t>various</w:t>
      </w:r>
      <w:r>
        <w:rPr>
          <w:spacing w:val="-12"/>
        </w:rPr>
        <w:t xml:space="preserve"> </w:t>
      </w:r>
      <w:r>
        <w:t>processes</w:t>
      </w:r>
      <w:r>
        <w:rPr>
          <w:spacing w:val="-18"/>
        </w:rPr>
        <w:t xml:space="preserve"> </w:t>
      </w:r>
      <w:r>
        <w:t>that</w:t>
      </w:r>
      <w:r>
        <w:rPr>
          <w:spacing w:val="-13"/>
        </w:rPr>
        <w:t xml:space="preserve"> </w:t>
      </w:r>
      <w:r>
        <w:t>AECF</w:t>
      </w:r>
      <w:r>
        <w:rPr>
          <w:spacing w:val="-16"/>
        </w:rPr>
        <w:t xml:space="preserve"> </w:t>
      </w:r>
      <w:r>
        <w:t>uses</w:t>
      </w:r>
      <w:r>
        <w:rPr>
          <w:spacing w:val="-16"/>
        </w:rPr>
        <w:t xml:space="preserve"> </w:t>
      </w:r>
      <w:r>
        <w:t>to</w:t>
      </w:r>
      <w:r>
        <w:rPr>
          <w:spacing w:val="13"/>
        </w:rPr>
        <w:t xml:space="preserve"> </w:t>
      </w:r>
      <w:r>
        <w:t>measure</w:t>
      </w:r>
      <w:r>
        <w:rPr>
          <w:spacing w:val="-12"/>
        </w:rPr>
        <w:t xml:space="preserve"> </w:t>
      </w:r>
      <w:r>
        <w:t>impact</w:t>
      </w:r>
      <w:r>
        <w:rPr>
          <w:spacing w:val="-6"/>
        </w:rPr>
        <w:t xml:space="preserve"> </w:t>
      </w:r>
      <w:r>
        <w:t>of</w:t>
      </w:r>
      <w:r>
        <w:rPr>
          <w:spacing w:val="-9"/>
        </w:rPr>
        <w:t xml:space="preserve"> </w:t>
      </w:r>
      <w:r>
        <w:t>AECF</w:t>
      </w:r>
      <w:r>
        <w:rPr>
          <w:spacing w:val="-13"/>
        </w:rPr>
        <w:t xml:space="preserve"> </w:t>
      </w:r>
      <w:r>
        <w:t>as</w:t>
      </w:r>
      <w:r>
        <w:rPr>
          <w:spacing w:val="-13"/>
        </w:rPr>
        <w:t xml:space="preserve"> </w:t>
      </w:r>
      <w:r>
        <w:t>a portfolio of projects could have provided for a more balanced approach. AECF is very much an innovation fund and failures are to be expected. It is to be expected that the majority of the impact is achieved by a minority of projects (the so called Pareto</w:t>
      </w:r>
      <w:r>
        <w:t xml:space="preserve"> principle), and a limited sampling</w:t>
      </w:r>
      <w:r>
        <w:rPr>
          <w:spacing w:val="-12"/>
        </w:rPr>
        <w:t xml:space="preserve"> </w:t>
      </w:r>
      <w:r>
        <w:t>of</w:t>
      </w:r>
      <w:r>
        <w:rPr>
          <w:spacing w:val="-17"/>
        </w:rPr>
        <w:t xml:space="preserve"> </w:t>
      </w:r>
      <w:r>
        <w:t>individual</w:t>
      </w:r>
      <w:r>
        <w:rPr>
          <w:spacing w:val="-7"/>
        </w:rPr>
        <w:t xml:space="preserve"> </w:t>
      </w:r>
      <w:r>
        <w:t>projects</w:t>
      </w:r>
      <w:r>
        <w:rPr>
          <w:spacing w:val="-8"/>
        </w:rPr>
        <w:t xml:space="preserve"> </w:t>
      </w:r>
      <w:r>
        <w:t>risks</w:t>
      </w:r>
      <w:r>
        <w:rPr>
          <w:spacing w:val="-12"/>
        </w:rPr>
        <w:t xml:space="preserve"> </w:t>
      </w:r>
      <w:r>
        <w:t>missing</w:t>
      </w:r>
      <w:r>
        <w:rPr>
          <w:spacing w:val="-16"/>
        </w:rPr>
        <w:t xml:space="preserve"> </w:t>
      </w:r>
      <w:r>
        <w:t>this.</w:t>
      </w:r>
    </w:p>
    <w:p w:rsidR="0084592B" w:rsidRDefault="00310C78">
      <w:pPr>
        <w:spacing w:before="174"/>
        <w:ind w:left="103"/>
        <w:rPr>
          <w:b/>
          <w:sz w:val="18"/>
        </w:rPr>
      </w:pPr>
      <w:r>
        <w:rPr>
          <w:b/>
          <w:w w:val="105"/>
          <w:sz w:val="18"/>
        </w:rPr>
        <w:t>Projected impact</w:t>
      </w:r>
    </w:p>
    <w:p w:rsidR="0084592B" w:rsidRDefault="0084592B">
      <w:pPr>
        <w:pStyle w:val="BodyText"/>
        <w:spacing w:before="7"/>
        <w:rPr>
          <w:b/>
          <w:sz w:val="18"/>
        </w:rPr>
      </w:pPr>
    </w:p>
    <w:p w:rsidR="0084592B" w:rsidRDefault="00310C78">
      <w:pPr>
        <w:pStyle w:val="BodyText"/>
        <w:spacing w:line="295" w:lineRule="auto"/>
        <w:ind w:left="739" w:right="113"/>
        <w:jc w:val="both"/>
      </w:pPr>
      <w:r>
        <w:t>The report notes that projected impact by applicant businesses is frequently overrated (p.69). This</w:t>
      </w:r>
      <w:r>
        <w:rPr>
          <w:spacing w:val="-17"/>
        </w:rPr>
        <w:t xml:space="preserve"> </w:t>
      </w:r>
      <w:r>
        <w:t>is</w:t>
      </w:r>
      <w:r>
        <w:rPr>
          <w:spacing w:val="-23"/>
        </w:rPr>
        <w:t xml:space="preserve"> </w:t>
      </w:r>
      <w:r>
        <w:t>to</w:t>
      </w:r>
      <w:r>
        <w:rPr>
          <w:spacing w:val="11"/>
        </w:rPr>
        <w:t xml:space="preserve"> </w:t>
      </w:r>
      <w:r>
        <w:t>be</w:t>
      </w:r>
      <w:r>
        <w:rPr>
          <w:spacing w:val="-4"/>
        </w:rPr>
        <w:t xml:space="preserve"> </w:t>
      </w:r>
      <w:r>
        <w:t>expected, as</w:t>
      </w:r>
      <w:r>
        <w:rPr>
          <w:spacing w:val="-15"/>
        </w:rPr>
        <w:t xml:space="preserve"> </w:t>
      </w:r>
      <w:r>
        <w:t>was</w:t>
      </w:r>
      <w:r>
        <w:rPr>
          <w:spacing w:val="-15"/>
        </w:rPr>
        <w:t xml:space="preserve"> </w:t>
      </w:r>
      <w:r>
        <w:t>pointed</w:t>
      </w:r>
      <w:r>
        <w:rPr>
          <w:spacing w:val="-2"/>
        </w:rPr>
        <w:t xml:space="preserve"> </w:t>
      </w:r>
      <w:r>
        <w:t>out</w:t>
      </w:r>
      <w:r>
        <w:rPr>
          <w:spacing w:val="-11"/>
        </w:rPr>
        <w:t xml:space="preserve"> </w:t>
      </w:r>
      <w:r>
        <w:t>by</w:t>
      </w:r>
      <w:r>
        <w:rPr>
          <w:spacing w:val="-19"/>
        </w:rPr>
        <w:t xml:space="preserve"> </w:t>
      </w:r>
      <w:r>
        <w:t>the</w:t>
      </w:r>
      <w:r>
        <w:rPr>
          <w:spacing w:val="-9"/>
        </w:rPr>
        <w:t xml:space="preserve"> </w:t>
      </w:r>
      <w:r>
        <w:t>review.</w:t>
      </w:r>
      <w:r>
        <w:rPr>
          <w:spacing w:val="38"/>
        </w:rPr>
        <w:t xml:space="preserve"> </w:t>
      </w:r>
      <w:r>
        <w:t>However,</w:t>
      </w:r>
      <w:r>
        <w:rPr>
          <w:spacing w:val="-9"/>
        </w:rPr>
        <w:t xml:space="preserve"> </w:t>
      </w:r>
      <w:r>
        <w:t>these</w:t>
      </w:r>
      <w:r>
        <w:rPr>
          <w:spacing w:val="-7"/>
        </w:rPr>
        <w:t xml:space="preserve"> </w:t>
      </w:r>
      <w:r>
        <w:t>figures</w:t>
      </w:r>
      <w:r>
        <w:rPr>
          <w:spacing w:val="-11"/>
        </w:rPr>
        <w:t xml:space="preserve"> </w:t>
      </w:r>
      <w:r>
        <w:t>are</w:t>
      </w:r>
      <w:r>
        <w:rPr>
          <w:spacing w:val="-13"/>
        </w:rPr>
        <w:t xml:space="preserve"> </w:t>
      </w:r>
      <w:r>
        <w:t>not</w:t>
      </w:r>
      <w:r>
        <w:rPr>
          <w:spacing w:val="-17"/>
        </w:rPr>
        <w:t xml:space="preserve"> </w:t>
      </w:r>
      <w:r>
        <w:t>taken</w:t>
      </w:r>
      <w:r>
        <w:rPr>
          <w:spacing w:val="-13"/>
        </w:rPr>
        <w:t xml:space="preserve"> </w:t>
      </w:r>
      <w:r>
        <w:t>at face value, and over time the FM and IC have become more experienced at reassessing the potential impact targets and making them more realistic. A more thorough and rigorous review of</w:t>
      </w:r>
      <w:r>
        <w:rPr>
          <w:spacing w:val="-12"/>
        </w:rPr>
        <w:t xml:space="preserve"> </w:t>
      </w:r>
      <w:r>
        <w:t>anticipated</w:t>
      </w:r>
      <w:r>
        <w:rPr>
          <w:spacing w:val="-7"/>
        </w:rPr>
        <w:t xml:space="preserve"> </w:t>
      </w:r>
      <w:r>
        <w:t>impact</w:t>
      </w:r>
      <w:r>
        <w:rPr>
          <w:spacing w:val="-6"/>
        </w:rPr>
        <w:t xml:space="preserve"> </w:t>
      </w:r>
      <w:r>
        <w:t>should</w:t>
      </w:r>
      <w:r>
        <w:rPr>
          <w:spacing w:val="-6"/>
        </w:rPr>
        <w:t xml:space="preserve"> </w:t>
      </w:r>
      <w:r>
        <w:t>contin</w:t>
      </w:r>
      <w:r>
        <w:t>ue</w:t>
      </w:r>
      <w:r>
        <w:rPr>
          <w:spacing w:val="-1"/>
        </w:rPr>
        <w:t xml:space="preserve"> </w:t>
      </w:r>
      <w:r>
        <w:t>as</w:t>
      </w:r>
      <w:r>
        <w:rPr>
          <w:spacing w:val="-15"/>
        </w:rPr>
        <w:t xml:space="preserve"> </w:t>
      </w:r>
      <w:r>
        <w:t>part</w:t>
      </w:r>
      <w:r>
        <w:rPr>
          <w:spacing w:val="-6"/>
        </w:rPr>
        <w:t xml:space="preserve"> </w:t>
      </w:r>
      <w:r>
        <w:t>of</w:t>
      </w:r>
      <w:r>
        <w:rPr>
          <w:spacing w:val="-15"/>
        </w:rPr>
        <w:t xml:space="preserve"> </w:t>
      </w:r>
      <w:r>
        <w:t>the</w:t>
      </w:r>
      <w:r>
        <w:rPr>
          <w:spacing w:val="-17"/>
        </w:rPr>
        <w:t xml:space="preserve"> </w:t>
      </w:r>
      <w:r>
        <w:t>business</w:t>
      </w:r>
      <w:r>
        <w:rPr>
          <w:spacing w:val="-10"/>
        </w:rPr>
        <w:t xml:space="preserve"> </w:t>
      </w:r>
      <w:r>
        <w:t>planning</w:t>
      </w:r>
      <w:r>
        <w:rPr>
          <w:spacing w:val="-8"/>
        </w:rPr>
        <w:t xml:space="preserve"> </w:t>
      </w:r>
      <w:r>
        <w:t>process.</w:t>
      </w:r>
    </w:p>
    <w:p w:rsidR="0084592B" w:rsidRDefault="00310C78">
      <w:pPr>
        <w:spacing w:before="178"/>
        <w:ind w:left="101"/>
        <w:rPr>
          <w:b/>
          <w:sz w:val="18"/>
        </w:rPr>
      </w:pPr>
      <w:r>
        <w:rPr>
          <w:b/>
          <w:w w:val="105"/>
          <w:sz w:val="18"/>
        </w:rPr>
        <w:t>Additionality</w:t>
      </w:r>
    </w:p>
    <w:p w:rsidR="0084592B" w:rsidRDefault="0084592B">
      <w:pPr>
        <w:pStyle w:val="BodyText"/>
        <w:spacing w:before="7"/>
        <w:rPr>
          <w:b/>
          <w:sz w:val="18"/>
        </w:rPr>
      </w:pPr>
    </w:p>
    <w:p w:rsidR="0084592B" w:rsidRDefault="00310C78">
      <w:pPr>
        <w:pStyle w:val="BodyText"/>
        <w:spacing w:line="295" w:lineRule="auto"/>
        <w:ind w:left="808" w:right="114" w:firstLine="8"/>
        <w:jc w:val="both"/>
      </w:pPr>
      <w:r>
        <w:t>Additionality</w:t>
      </w:r>
      <w:r>
        <w:rPr>
          <w:spacing w:val="2"/>
        </w:rPr>
        <w:t xml:space="preserve"> </w:t>
      </w:r>
      <w:r>
        <w:t>is</w:t>
      </w:r>
      <w:r>
        <w:rPr>
          <w:spacing w:val="-16"/>
        </w:rPr>
        <w:t xml:space="preserve"> </w:t>
      </w:r>
      <w:r>
        <w:t>questioned</w:t>
      </w:r>
      <w:r>
        <w:rPr>
          <w:spacing w:val="-1"/>
        </w:rPr>
        <w:t xml:space="preserve"> </w:t>
      </w:r>
      <w:r>
        <w:t>in</w:t>
      </w:r>
      <w:r>
        <w:rPr>
          <w:spacing w:val="3"/>
        </w:rPr>
        <w:t xml:space="preserve"> </w:t>
      </w:r>
      <w:r>
        <w:t>50%</w:t>
      </w:r>
      <w:r>
        <w:rPr>
          <w:spacing w:val="-13"/>
        </w:rPr>
        <w:t xml:space="preserve"> </w:t>
      </w:r>
      <w:r>
        <w:t>of</w:t>
      </w:r>
      <w:r>
        <w:rPr>
          <w:spacing w:val="-20"/>
        </w:rPr>
        <w:t xml:space="preserve"> </w:t>
      </w:r>
      <w:r>
        <w:t>the</w:t>
      </w:r>
      <w:r>
        <w:rPr>
          <w:spacing w:val="-16"/>
        </w:rPr>
        <w:t xml:space="preserve"> </w:t>
      </w:r>
      <w:r>
        <w:t>cases</w:t>
      </w:r>
      <w:r>
        <w:rPr>
          <w:spacing w:val="-8"/>
        </w:rPr>
        <w:t xml:space="preserve"> </w:t>
      </w:r>
      <w:r>
        <w:t>{p.</w:t>
      </w:r>
      <w:r>
        <w:rPr>
          <w:spacing w:val="-17"/>
        </w:rPr>
        <w:t xml:space="preserve"> </w:t>
      </w:r>
      <w:r>
        <w:t>77-78)</w:t>
      </w:r>
      <w:r>
        <w:rPr>
          <w:spacing w:val="-10"/>
        </w:rPr>
        <w:t xml:space="preserve"> </w:t>
      </w:r>
      <w:r>
        <w:t>that</w:t>
      </w:r>
      <w:r>
        <w:rPr>
          <w:spacing w:val="-11"/>
        </w:rPr>
        <w:t xml:space="preserve"> </w:t>
      </w:r>
      <w:r>
        <w:t>the</w:t>
      </w:r>
      <w:r>
        <w:rPr>
          <w:spacing w:val="-8"/>
        </w:rPr>
        <w:t xml:space="preserve"> </w:t>
      </w:r>
      <w:r>
        <w:t>consultants</w:t>
      </w:r>
      <w:r>
        <w:rPr>
          <w:spacing w:val="-1"/>
        </w:rPr>
        <w:t xml:space="preserve"> </w:t>
      </w:r>
      <w:r>
        <w:t>have evaluated.</w:t>
      </w:r>
      <w:r>
        <w:rPr>
          <w:spacing w:val="-5"/>
        </w:rPr>
        <w:t xml:space="preserve"> </w:t>
      </w:r>
      <w:r>
        <w:t>It is further proposed that an interest-bearing loan could have been a more appropriate financial in</w:t>
      </w:r>
      <w:r>
        <w:t xml:space="preserve">strument to use. While the discussion on interest bearing loans is welcome, we feel that there is a difference between whether a company </w:t>
      </w:r>
      <w:r>
        <w:rPr>
          <w:i/>
          <w:sz w:val="19"/>
        </w:rPr>
        <w:t xml:space="preserve">could have </w:t>
      </w:r>
      <w:r>
        <w:t xml:space="preserve">implemented a project without AECF support and whether it </w:t>
      </w:r>
      <w:r>
        <w:rPr>
          <w:i/>
          <w:sz w:val="19"/>
        </w:rPr>
        <w:t xml:space="preserve">would have </w:t>
      </w:r>
      <w:r>
        <w:t xml:space="preserve">implemented the project. AECF serves a </w:t>
      </w:r>
      <w:r>
        <w:t>catalytic function and we do not see enough evidence in the report to suggest that in 50% of the investigated cases AECF's additionality could be questioned. That said, AECF will continue to refine its consideration</w:t>
      </w:r>
      <w:r>
        <w:rPr>
          <w:spacing w:val="6"/>
        </w:rPr>
        <w:t xml:space="preserve"> </w:t>
      </w:r>
      <w:r>
        <w:t>the</w:t>
      </w:r>
      <w:r>
        <w:rPr>
          <w:spacing w:val="-10"/>
        </w:rPr>
        <w:t xml:space="preserve"> </w:t>
      </w:r>
      <w:r>
        <w:t>additionality</w:t>
      </w:r>
      <w:r>
        <w:rPr>
          <w:spacing w:val="-3"/>
        </w:rPr>
        <w:t xml:space="preserve"> </w:t>
      </w:r>
      <w:r>
        <w:t>of</w:t>
      </w:r>
      <w:r>
        <w:rPr>
          <w:spacing w:val="-17"/>
        </w:rPr>
        <w:t xml:space="preserve"> </w:t>
      </w:r>
      <w:r>
        <w:t>its</w:t>
      </w:r>
      <w:r>
        <w:rPr>
          <w:spacing w:val="-19"/>
        </w:rPr>
        <w:t xml:space="preserve"> </w:t>
      </w:r>
      <w:r>
        <w:t>support</w:t>
      </w:r>
      <w:r>
        <w:rPr>
          <w:spacing w:val="-3"/>
        </w:rPr>
        <w:t xml:space="preserve"> </w:t>
      </w:r>
      <w:r>
        <w:t>based</w:t>
      </w:r>
      <w:r>
        <w:rPr>
          <w:spacing w:val="-7"/>
        </w:rPr>
        <w:t xml:space="preserve"> </w:t>
      </w:r>
      <w:r>
        <w:t>on</w:t>
      </w:r>
      <w:r>
        <w:rPr>
          <w:spacing w:val="-17"/>
        </w:rPr>
        <w:t xml:space="preserve"> </w:t>
      </w:r>
      <w:r>
        <w:t>its</w:t>
      </w:r>
      <w:r>
        <w:rPr>
          <w:spacing w:val="-13"/>
        </w:rPr>
        <w:t xml:space="preserve"> </w:t>
      </w:r>
      <w:r>
        <w:t>experience</w:t>
      </w:r>
      <w:r>
        <w:rPr>
          <w:spacing w:val="-5"/>
        </w:rPr>
        <w:t xml:space="preserve"> </w:t>
      </w:r>
      <w:r>
        <w:t>to</w:t>
      </w:r>
      <w:r>
        <w:rPr>
          <w:spacing w:val="20"/>
        </w:rPr>
        <w:t xml:space="preserve"> </w:t>
      </w:r>
      <w:r>
        <w:t>date</w:t>
      </w:r>
    </w:p>
    <w:p w:rsidR="0084592B" w:rsidRDefault="0084592B">
      <w:pPr>
        <w:spacing w:line="295" w:lineRule="auto"/>
        <w:jc w:val="both"/>
        <w:sectPr w:rsidR="0084592B">
          <w:headerReference w:type="even" r:id="rId7"/>
          <w:headerReference w:type="default" r:id="rId8"/>
          <w:footerReference w:type="even" r:id="rId9"/>
          <w:footerReference w:type="default" r:id="rId10"/>
          <w:headerReference w:type="first" r:id="rId11"/>
          <w:footerReference w:type="first" r:id="rId12"/>
          <w:type w:val="continuous"/>
          <w:pgSz w:w="11910" w:h="16850"/>
          <w:pgMar w:top="1600" w:right="1220" w:bottom="280" w:left="1320" w:header="720" w:footer="720" w:gutter="0"/>
          <w:cols w:space="720"/>
        </w:sectPr>
      </w:pPr>
    </w:p>
    <w:p w:rsidR="0084592B" w:rsidRDefault="0084592B">
      <w:pPr>
        <w:pStyle w:val="BodyText"/>
      </w:pPr>
    </w:p>
    <w:p w:rsidR="0084592B" w:rsidRDefault="0084592B">
      <w:pPr>
        <w:pStyle w:val="BodyText"/>
      </w:pPr>
    </w:p>
    <w:p w:rsidR="0084592B" w:rsidRDefault="0084592B">
      <w:pPr>
        <w:pStyle w:val="BodyText"/>
        <w:spacing w:before="10"/>
        <w:rPr>
          <w:sz w:val="21"/>
        </w:rPr>
      </w:pPr>
    </w:p>
    <w:p w:rsidR="0084592B" w:rsidRDefault="00310C78">
      <w:pPr>
        <w:spacing w:before="95"/>
        <w:ind w:left="132"/>
        <w:rPr>
          <w:b/>
          <w:sz w:val="18"/>
        </w:rPr>
      </w:pPr>
      <w:r>
        <w:rPr>
          <w:b/>
          <w:w w:val="105"/>
          <w:sz w:val="18"/>
        </w:rPr>
        <w:t>Matching funds</w:t>
      </w:r>
    </w:p>
    <w:p w:rsidR="0084592B" w:rsidRDefault="0084592B">
      <w:pPr>
        <w:pStyle w:val="BodyText"/>
        <w:spacing w:before="6"/>
        <w:rPr>
          <w:b/>
          <w:sz w:val="18"/>
        </w:rPr>
      </w:pPr>
    </w:p>
    <w:p w:rsidR="0084592B" w:rsidRDefault="00310C78">
      <w:pPr>
        <w:pStyle w:val="Heading1"/>
        <w:spacing w:line="278" w:lineRule="auto"/>
        <w:ind w:left="835" w:right="102" w:firstLine="3"/>
      </w:pPr>
      <w:r>
        <w:t>The aspect of matching funds is raised on several occasions  (p. 43, 46) and  the  conclusion  that the report seems to arrive at is that AECF tended to be too lenient on this requirement. On the</w:t>
      </w:r>
      <w:r>
        <w:t xml:space="preserve"> contrary, we believe that that the condition of the grantees </w:t>
      </w:r>
      <w:r>
        <w:rPr>
          <w:i/>
          <w:sz w:val="22"/>
        </w:rPr>
        <w:t xml:space="preserve">having skin in the  game  </w:t>
      </w:r>
      <w:r>
        <w:t>remains central to the selection process - but that this can be interpreted  in  a  number  of  ways.  What AECF does do is to take into account various market and comp</w:t>
      </w:r>
      <w:r>
        <w:t>any-specific constraints which means that not only equity is accepted as matching funds but also equipment or land (when it is warranted by the nature of the business) which had been recently</w:t>
      </w:r>
      <w:r>
        <w:rPr>
          <w:spacing w:val="8"/>
        </w:rPr>
        <w:t xml:space="preserve"> </w:t>
      </w:r>
      <w:r>
        <w:t>acquired.</w:t>
      </w:r>
    </w:p>
    <w:p w:rsidR="0084592B" w:rsidRDefault="00310C78">
      <w:pPr>
        <w:spacing w:before="196"/>
        <w:ind w:left="124"/>
        <w:rPr>
          <w:b/>
          <w:sz w:val="18"/>
        </w:rPr>
      </w:pPr>
      <w:r>
        <w:rPr>
          <w:b/>
          <w:w w:val="105"/>
          <w:sz w:val="18"/>
        </w:rPr>
        <w:t>Repayment of loans</w:t>
      </w:r>
    </w:p>
    <w:p w:rsidR="0084592B" w:rsidRDefault="0084592B">
      <w:pPr>
        <w:pStyle w:val="BodyText"/>
        <w:spacing w:before="3"/>
        <w:rPr>
          <w:b/>
          <w:sz w:val="17"/>
        </w:rPr>
      </w:pPr>
    </w:p>
    <w:p w:rsidR="0084592B" w:rsidRDefault="00310C78">
      <w:pPr>
        <w:pStyle w:val="Heading1"/>
        <w:spacing w:line="280" w:lineRule="auto"/>
        <w:ind w:left="829" w:right="108" w:firstLine="19"/>
      </w:pPr>
      <w:r>
        <w:rPr>
          <w:w w:val="105"/>
        </w:rPr>
        <w:t>Repayment</w:t>
      </w:r>
      <w:r>
        <w:rPr>
          <w:spacing w:val="-4"/>
          <w:w w:val="105"/>
        </w:rPr>
        <w:t xml:space="preserve"> </w:t>
      </w:r>
      <w:r>
        <w:rPr>
          <w:w w:val="105"/>
        </w:rPr>
        <w:t>of</w:t>
      </w:r>
      <w:r>
        <w:rPr>
          <w:spacing w:val="-5"/>
          <w:w w:val="105"/>
        </w:rPr>
        <w:t xml:space="preserve"> </w:t>
      </w:r>
      <w:r>
        <w:rPr>
          <w:w w:val="105"/>
        </w:rPr>
        <w:t>loans</w:t>
      </w:r>
      <w:r>
        <w:rPr>
          <w:spacing w:val="-9"/>
          <w:w w:val="105"/>
        </w:rPr>
        <w:t xml:space="preserve"> </w:t>
      </w:r>
      <w:r>
        <w:rPr>
          <w:w w:val="105"/>
        </w:rPr>
        <w:t>is</w:t>
      </w:r>
      <w:r>
        <w:rPr>
          <w:spacing w:val="-18"/>
          <w:w w:val="105"/>
        </w:rPr>
        <w:t xml:space="preserve"> </w:t>
      </w:r>
      <w:r>
        <w:rPr>
          <w:w w:val="105"/>
        </w:rPr>
        <w:t>singled</w:t>
      </w:r>
      <w:r>
        <w:rPr>
          <w:spacing w:val="-2"/>
          <w:w w:val="105"/>
        </w:rPr>
        <w:t xml:space="preserve"> </w:t>
      </w:r>
      <w:r>
        <w:rPr>
          <w:w w:val="105"/>
        </w:rPr>
        <w:t>out</w:t>
      </w:r>
      <w:r>
        <w:rPr>
          <w:spacing w:val="-13"/>
          <w:w w:val="105"/>
        </w:rPr>
        <w:t xml:space="preserve"> </w:t>
      </w:r>
      <w:r>
        <w:rPr>
          <w:w w:val="105"/>
        </w:rPr>
        <w:t>as</w:t>
      </w:r>
      <w:r>
        <w:rPr>
          <w:spacing w:val="-21"/>
          <w:w w:val="105"/>
        </w:rPr>
        <w:t xml:space="preserve"> </w:t>
      </w:r>
      <w:r>
        <w:rPr>
          <w:w w:val="105"/>
        </w:rPr>
        <w:t>one</w:t>
      </w:r>
      <w:r>
        <w:rPr>
          <w:spacing w:val="-12"/>
          <w:w w:val="105"/>
        </w:rPr>
        <w:t xml:space="preserve"> </w:t>
      </w:r>
      <w:r>
        <w:rPr>
          <w:w w:val="105"/>
        </w:rPr>
        <w:t>of</w:t>
      </w:r>
      <w:r>
        <w:rPr>
          <w:spacing w:val="-5"/>
          <w:w w:val="105"/>
        </w:rPr>
        <w:t xml:space="preserve"> </w:t>
      </w:r>
      <w:r>
        <w:rPr>
          <w:w w:val="105"/>
        </w:rPr>
        <w:t>the</w:t>
      </w:r>
      <w:r>
        <w:rPr>
          <w:spacing w:val="26"/>
          <w:w w:val="105"/>
        </w:rPr>
        <w:t xml:space="preserve"> </w:t>
      </w:r>
      <w:r>
        <w:rPr>
          <w:w w:val="105"/>
        </w:rPr>
        <w:t>problems</w:t>
      </w:r>
      <w:r>
        <w:rPr>
          <w:spacing w:val="-21"/>
          <w:w w:val="105"/>
        </w:rPr>
        <w:t xml:space="preserve"> </w:t>
      </w:r>
      <w:r>
        <w:rPr>
          <w:w w:val="105"/>
        </w:rPr>
        <w:t>that</w:t>
      </w:r>
      <w:r>
        <w:rPr>
          <w:spacing w:val="-7"/>
          <w:w w:val="105"/>
        </w:rPr>
        <w:t xml:space="preserve"> </w:t>
      </w:r>
      <w:r>
        <w:rPr>
          <w:w w:val="105"/>
        </w:rPr>
        <w:t>AECF</w:t>
      </w:r>
      <w:r>
        <w:rPr>
          <w:spacing w:val="-27"/>
          <w:w w:val="105"/>
        </w:rPr>
        <w:t xml:space="preserve"> </w:t>
      </w:r>
      <w:r>
        <w:rPr>
          <w:w w:val="105"/>
        </w:rPr>
        <w:t>faces</w:t>
      </w:r>
      <w:r>
        <w:rPr>
          <w:spacing w:val="-11"/>
          <w:w w:val="105"/>
        </w:rPr>
        <w:t xml:space="preserve"> </w:t>
      </w:r>
      <w:r>
        <w:rPr>
          <w:w w:val="105"/>
        </w:rPr>
        <w:t>(p.</w:t>
      </w:r>
      <w:r>
        <w:rPr>
          <w:spacing w:val="-22"/>
          <w:w w:val="105"/>
        </w:rPr>
        <w:t xml:space="preserve"> </w:t>
      </w:r>
      <w:r>
        <w:rPr>
          <w:w w:val="105"/>
        </w:rPr>
        <w:t>64).</w:t>
      </w:r>
      <w:r>
        <w:rPr>
          <w:spacing w:val="-21"/>
          <w:w w:val="105"/>
        </w:rPr>
        <w:t xml:space="preserve"> </w:t>
      </w:r>
      <w:r>
        <w:rPr>
          <w:w w:val="105"/>
        </w:rPr>
        <w:t>We</w:t>
      </w:r>
      <w:r>
        <w:rPr>
          <w:spacing w:val="-15"/>
          <w:w w:val="105"/>
        </w:rPr>
        <w:t xml:space="preserve"> </w:t>
      </w:r>
      <w:r>
        <w:rPr>
          <w:w w:val="105"/>
        </w:rPr>
        <w:t>agree</w:t>
      </w:r>
      <w:r>
        <w:rPr>
          <w:spacing w:val="-19"/>
          <w:w w:val="105"/>
        </w:rPr>
        <w:t xml:space="preserve"> </w:t>
      </w:r>
      <w:r>
        <w:rPr>
          <w:w w:val="105"/>
        </w:rPr>
        <w:t>that it is indeed an issue that AECF needs to address and resolve. It is worth noting, however, that while the loan element was, and still is, meant to stimulate a business-mindset in the grantee com</w:t>
      </w:r>
      <w:r>
        <w:rPr>
          <w:w w:val="105"/>
        </w:rPr>
        <w:t>pany,</w:t>
      </w:r>
      <w:r>
        <w:rPr>
          <w:spacing w:val="-9"/>
          <w:w w:val="105"/>
        </w:rPr>
        <w:t xml:space="preserve"> </w:t>
      </w:r>
      <w:r>
        <w:rPr>
          <w:w w:val="105"/>
        </w:rPr>
        <w:t>and</w:t>
      </w:r>
      <w:r>
        <w:rPr>
          <w:spacing w:val="-2"/>
          <w:w w:val="105"/>
        </w:rPr>
        <w:t xml:space="preserve"> </w:t>
      </w:r>
      <w:r>
        <w:rPr>
          <w:w w:val="105"/>
        </w:rPr>
        <w:t>possibly</w:t>
      </w:r>
      <w:r>
        <w:rPr>
          <w:spacing w:val="-15"/>
          <w:w w:val="105"/>
        </w:rPr>
        <w:t xml:space="preserve"> </w:t>
      </w:r>
      <w:r>
        <w:rPr>
          <w:w w:val="105"/>
        </w:rPr>
        <w:t>make</w:t>
      </w:r>
      <w:r>
        <w:rPr>
          <w:spacing w:val="-15"/>
          <w:w w:val="105"/>
        </w:rPr>
        <w:t xml:space="preserve"> </w:t>
      </w:r>
      <w:r>
        <w:rPr>
          <w:w w:val="105"/>
        </w:rPr>
        <w:t>the long</w:t>
      </w:r>
      <w:r>
        <w:rPr>
          <w:spacing w:val="-21"/>
          <w:w w:val="105"/>
        </w:rPr>
        <w:t xml:space="preserve"> </w:t>
      </w:r>
      <w:r>
        <w:rPr>
          <w:w w:val="105"/>
        </w:rPr>
        <w:t>term</w:t>
      </w:r>
      <w:r>
        <w:rPr>
          <w:spacing w:val="-13"/>
          <w:w w:val="105"/>
        </w:rPr>
        <w:t xml:space="preserve"> </w:t>
      </w:r>
      <w:r>
        <w:rPr>
          <w:w w:val="105"/>
        </w:rPr>
        <w:t>financ.ing</w:t>
      </w:r>
      <w:r>
        <w:rPr>
          <w:spacing w:val="-13"/>
          <w:w w:val="105"/>
        </w:rPr>
        <w:t xml:space="preserve"> </w:t>
      </w:r>
      <w:r>
        <w:rPr>
          <w:w w:val="105"/>
        </w:rPr>
        <w:t>of</w:t>
      </w:r>
      <w:r>
        <w:rPr>
          <w:spacing w:val="-10"/>
          <w:w w:val="105"/>
        </w:rPr>
        <w:t xml:space="preserve"> </w:t>
      </w:r>
      <w:r>
        <w:rPr>
          <w:w w:val="105"/>
        </w:rPr>
        <w:t>AECF</w:t>
      </w:r>
      <w:r>
        <w:rPr>
          <w:spacing w:val="-18"/>
          <w:w w:val="105"/>
        </w:rPr>
        <w:t xml:space="preserve"> </w:t>
      </w:r>
      <w:r>
        <w:rPr>
          <w:w w:val="105"/>
        </w:rPr>
        <w:t>more</w:t>
      </w:r>
      <w:r>
        <w:rPr>
          <w:spacing w:val="-14"/>
          <w:w w:val="105"/>
        </w:rPr>
        <w:t xml:space="preserve"> </w:t>
      </w:r>
      <w:r>
        <w:rPr>
          <w:w w:val="105"/>
        </w:rPr>
        <w:t>sustainable,</w:t>
      </w:r>
      <w:r>
        <w:rPr>
          <w:spacing w:val="-7"/>
          <w:w w:val="105"/>
        </w:rPr>
        <w:t xml:space="preserve"> </w:t>
      </w:r>
      <w:r>
        <w:rPr>
          <w:w w:val="105"/>
        </w:rPr>
        <w:t>the</w:t>
      </w:r>
      <w:r>
        <w:rPr>
          <w:spacing w:val="1"/>
          <w:w w:val="105"/>
        </w:rPr>
        <w:t xml:space="preserve"> </w:t>
      </w:r>
      <w:r>
        <w:rPr>
          <w:w w:val="105"/>
        </w:rPr>
        <w:t>AECF</w:t>
      </w:r>
      <w:r>
        <w:rPr>
          <w:spacing w:val="-26"/>
          <w:w w:val="105"/>
        </w:rPr>
        <w:t xml:space="preserve"> </w:t>
      </w:r>
      <w:r>
        <w:rPr>
          <w:w w:val="105"/>
        </w:rPr>
        <w:t xml:space="preserve">was not set up to be able to recover loans. The AECF Board will need to look into a number of options with regard to encouraging a more entrepreneurial mind-set among the </w:t>
      </w:r>
      <w:r>
        <w:rPr>
          <w:w w:val="105"/>
        </w:rPr>
        <w:t>grantees</w:t>
      </w:r>
      <w:r>
        <w:rPr>
          <w:spacing w:val="12"/>
          <w:w w:val="105"/>
        </w:rPr>
        <w:t xml:space="preserve"> </w:t>
      </w:r>
      <w:r>
        <w:rPr>
          <w:w w:val="105"/>
        </w:rPr>
        <w:t>as</w:t>
      </w:r>
    </w:p>
    <w:p w:rsidR="0084592B" w:rsidRDefault="00310C78">
      <w:pPr>
        <w:pStyle w:val="ListParagraph"/>
        <w:numPr>
          <w:ilvl w:val="0"/>
          <w:numId w:val="1"/>
        </w:numPr>
        <w:tabs>
          <w:tab w:val="left" w:pos="830"/>
        </w:tabs>
        <w:rPr>
          <w:sz w:val="21"/>
        </w:rPr>
      </w:pPr>
      <w:r>
        <w:rPr>
          <w:sz w:val="21"/>
        </w:rPr>
        <w:t>well as boosting the financing sustainability of the</w:t>
      </w:r>
      <w:r>
        <w:rPr>
          <w:spacing w:val="18"/>
          <w:sz w:val="21"/>
        </w:rPr>
        <w:t xml:space="preserve"> </w:t>
      </w:r>
      <w:r>
        <w:rPr>
          <w:sz w:val="21"/>
        </w:rPr>
        <w:t>Fund.</w:t>
      </w:r>
    </w:p>
    <w:p w:rsidR="0084592B" w:rsidRDefault="0084592B">
      <w:pPr>
        <w:pStyle w:val="BodyText"/>
        <w:spacing w:before="8"/>
        <w:rPr>
          <w:rFonts w:ascii="Times New Roman"/>
          <w:sz w:val="19"/>
        </w:rPr>
      </w:pPr>
    </w:p>
    <w:p w:rsidR="0084592B" w:rsidRDefault="00310C78">
      <w:pPr>
        <w:ind w:left="117"/>
        <w:rPr>
          <w:b/>
          <w:sz w:val="18"/>
        </w:rPr>
      </w:pPr>
      <w:r>
        <w:rPr>
          <w:b/>
          <w:w w:val="105"/>
          <w:sz w:val="18"/>
        </w:rPr>
        <w:t>Supporting the extremely poor</w:t>
      </w:r>
    </w:p>
    <w:p w:rsidR="0084592B" w:rsidRDefault="0084592B">
      <w:pPr>
        <w:pStyle w:val="BodyText"/>
        <w:spacing w:before="10"/>
        <w:rPr>
          <w:b/>
          <w:sz w:val="17"/>
        </w:rPr>
      </w:pPr>
    </w:p>
    <w:p w:rsidR="0084592B" w:rsidRDefault="00310C78">
      <w:pPr>
        <w:pStyle w:val="Heading1"/>
        <w:spacing w:line="283" w:lineRule="auto"/>
        <w:ind w:right="109" w:hanging="8"/>
      </w:pPr>
      <w:r>
        <w:t>The report states on p.55 that  it</w:t>
      </w:r>
      <w:r>
        <w:t xml:space="preserve"> is questionable  whether AECF grantees truly  benefit  individuals in rural areas who live on USD 2/ day or less. This is a valid observation, and while the extremely poor are certainly benefiting from AECF projects as well, the question which, in effect,</w:t>
      </w:r>
      <w:r>
        <w:rPr>
          <w:spacing w:val="15"/>
        </w:rPr>
        <w:t xml:space="preserve"> </w:t>
      </w:r>
      <w:r>
        <w:t>is</w:t>
      </w:r>
    </w:p>
    <w:p w:rsidR="0084592B" w:rsidRDefault="00310C78">
      <w:pPr>
        <w:spacing w:line="280" w:lineRule="auto"/>
        <w:ind w:left="824" w:right="134" w:hanging="62"/>
        <w:jc w:val="both"/>
        <w:rPr>
          <w:rFonts w:ascii="Times New Roman" w:hAnsi="Times New Roman"/>
          <w:sz w:val="21"/>
        </w:rPr>
      </w:pPr>
      <w:r>
        <w:rPr>
          <w:rFonts w:ascii="Times New Roman" w:hAnsi="Times New Roman"/>
          <w:w w:val="105"/>
          <w:sz w:val="21"/>
        </w:rPr>
        <w:t>·introduced here is whether a challenge fund mechanism is the most suitable tool to support and increase the incomes of truly the poorest people in rural areas.</w:t>
      </w:r>
    </w:p>
    <w:p w:rsidR="0084592B" w:rsidRDefault="00310C78">
      <w:pPr>
        <w:spacing w:before="181"/>
        <w:ind w:left="110"/>
        <w:rPr>
          <w:b/>
          <w:sz w:val="18"/>
        </w:rPr>
      </w:pPr>
      <w:r>
        <w:rPr>
          <w:b/>
          <w:w w:val="105"/>
          <w:sz w:val="18"/>
        </w:rPr>
        <w:t>Negative side effects</w:t>
      </w:r>
    </w:p>
    <w:p w:rsidR="0084592B" w:rsidRDefault="0084592B">
      <w:pPr>
        <w:pStyle w:val="BodyText"/>
        <w:spacing w:before="10"/>
        <w:rPr>
          <w:b/>
          <w:sz w:val="17"/>
        </w:rPr>
      </w:pPr>
    </w:p>
    <w:p w:rsidR="0084592B" w:rsidRDefault="00310C78">
      <w:pPr>
        <w:pStyle w:val="Heading1"/>
        <w:spacing w:line="273" w:lineRule="auto"/>
        <w:ind w:left="814" w:right="132" w:firstLine="6"/>
      </w:pPr>
      <w:r>
        <w:t xml:space="preserve">We are very pleased to note that the evaluation  has  not  recorded </w:t>
      </w:r>
      <w:r>
        <w:t xml:space="preserve"> any  negative  side  effects  of the AECF activity</w:t>
      </w:r>
      <w:r>
        <w:rPr>
          <w:spacing w:val="-25"/>
        </w:rPr>
        <w:t xml:space="preserve"> </w:t>
      </w:r>
      <w:r>
        <w:t>(p.57).</w:t>
      </w:r>
    </w:p>
    <w:p w:rsidR="0084592B" w:rsidRDefault="00310C78">
      <w:pPr>
        <w:spacing w:before="191"/>
        <w:ind w:left="110"/>
        <w:rPr>
          <w:b/>
          <w:sz w:val="18"/>
        </w:rPr>
      </w:pPr>
      <w:r>
        <w:rPr>
          <w:b/>
          <w:w w:val="105"/>
          <w:sz w:val="18"/>
        </w:rPr>
        <w:t>Monitoring and Evaluation</w:t>
      </w:r>
    </w:p>
    <w:p w:rsidR="0084592B" w:rsidRDefault="0084592B">
      <w:pPr>
        <w:pStyle w:val="BodyText"/>
        <w:spacing w:before="10"/>
        <w:rPr>
          <w:b/>
          <w:sz w:val="17"/>
        </w:rPr>
      </w:pPr>
    </w:p>
    <w:p w:rsidR="0084592B" w:rsidRDefault="00310C78">
      <w:pPr>
        <w:spacing w:line="276" w:lineRule="auto"/>
        <w:ind w:left="804" w:right="121" w:firstLine="22"/>
        <w:jc w:val="both"/>
        <w:rPr>
          <w:rFonts w:ascii="Times New Roman"/>
          <w:sz w:val="21"/>
        </w:rPr>
      </w:pPr>
      <w:r>
        <w:rPr>
          <w:rFonts w:ascii="Times New Roman"/>
          <w:w w:val="105"/>
          <w:sz w:val="21"/>
        </w:rPr>
        <w:t xml:space="preserve">Despite improvements the MTE report indicates that M&amp;E remains an area that should be further strengthened. </w:t>
      </w:r>
      <w:r>
        <w:rPr>
          <w:rFonts w:ascii="Times New Roman"/>
          <w:i/>
          <w:w w:val="105"/>
        </w:rPr>
        <w:t>Based on our assessment to date, the M&amp;E system has definitel</w:t>
      </w:r>
      <w:r>
        <w:rPr>
          <w:rFonts w:ascii="Times New Roman"/>
          <w:i/>
          <w:w w:val="105"/>
        </w:rPr>
        <w:t xml:space="preserve">y improved, but is still variable across the portfolio and the system is not (yet) delivering the expected results </w:t>
      </w:r>
      <w:r>
        <w:rPr>
          <w:rFonts w:ascii="Times New Roman"/>
          <w:w w:val="105"/>
          <w:sz w:val="21"/>
        </w:rPr>
        <w:t xml:space="preserve">(p.65). We tend to agree with the above statement. Impact figures do still rely to a significant extent on information provided by the </w:t>
      </w:r>
      <w:r>
        <w:rPr>
          <w:rFonts w:ascii="Times New Roman"/>
          <w:w w:val="105"/>
          <w:sz w:val="21"/>
        </w:rPr>
        <w:t>grantees and on very small samples of beneficiaries. However, this is an issue for most challenge funds - and other private sector development</w:t>
      </w:r>
      <w:r>
        <w:rPr>
          <w:rFonts w:ascii="Times New Roman"/>
          <w:spacing w:val="-5"/>
          <w:w w:val="105"/>
          <w:sz w:val="21"/>
        </w:rPr>
        <w:t xml:space="preserve"> </w:t>
      </w:r>
      <w:r>
        <w:rPr>
          <w:rFonts w:ascii="Times New Roman"/>
          <w:w w:val="105"/>
          <w:sz w:val="21"/>
        </w:rPr>
        <w:t>approaches</w:t>
      </w:r>
      <w:r>
        <w:rPr>
          <w:rFonts w:ascii="Times New Roman"/>
          <w:spacing w:val="-12"/>
          <w:w w:val="105"/>
          <w:sz w:val="21"/>
        </w:rPr>
        <w:t xml:space="preserve"> </w:t>
      </w:r>
      <w:r>
        <w:rPr>
          <w:rFonts w:ascii="Times New Roman"/>
          <w:w w:val="105"/>
          <w:sz w:val="21"/>
        </w:rPr>
        <w:t>-</w:t>
      </w:r>
      <w:r>
        <w:rPr>
          <w:rFonts w:ascii="Times New Roman"/>
          <w:spacing w:val="15"/>
          <w:w w:val="105"/>
          <w:sz w:val="21"/>
        </w:rPr>
        <w:t xml:space="preserve"> </w:t>
      </w:r>
      <w:r>
        <w:rPr>
          <w:rFonts w:ascii="Times New Roman"/>
          <w:w w:val="105"/>
          <w:sz w:val="21"/>
        </w:rPr>
        <w:t>and</w:t>
      </w:r>
      <w:r>
        <w:rPr>
          <w:rFonts w:ascii="Times New Roman"/>
          <w:spacing w:val="-8"/>
          <w:w w:val="105"/>
          <w:sz w:val="21"/>
        </w:rPr>
        <w:t xml:space="preserve"> </w:t>
      </w:r>
      <w:r>
        <w:rPr>
          <w:rFonts w:ascii="Times New Roman"/>
          <w:w w:val="105"/>
          <w:sz w:val="21"/>
        </w:rPr>
        <w:t>we</w:t>
      </w:r>
      <w:r>
        <w:rPr>
          <w:rFonts w:ascii="Times New Roman"/>
          <w:spacing w:val="-2"/>
          <w:w w:val="105"/>
          <w:sz w:val="21"/>
        </w:rPr>
        <w:t xml:space="preserve"> </w:t>
      </w:r>
      <w:r>
        <w:rPr>
          <w:rFonts w:ascii="Times New Roman"/>
          <w:w w:val="105"/>
          <w:sz w:val="21"/>
        </w:rPr>
        <w:t>believe</w:t>
      </w:r>
      <w:r>
        <w:rPr>
          <w:rFonts w:ascii="Times New Roman"/>
          <w:spacing w:val="-16"/>
          <w:w w:val="105"/>
          <w:sz w:val="21"/>
        </w:rPr>
        <w:t xml:space="preserve"> </w:t>
      </w:r>
      <w:r>
        <w:rPr>
          <w:rFonts w:ascii="Times New Roman"/>
          <w:w w:val="105"/>
          <w:sz w:val="21"/>
        </w:rPr>
        <w:t>that</w:t>
      </w:r>
      <w:r>
        <w:rPr>
          <w:rFonts w:ascii="Times New Roman"/>
          <w:spacing w:val="-13"/>
          <w:w w:val="105"/>
          <w:sz w:val="21"/>
        </w:rPr>
        <w:t xml:space="preserve"> </w:t>
      </w:r>
      <w:r>
        <w:rPr>
          <w:rFonts w:ascii="Times New Roman"/>
          <w:w w:val="105"/>
          <w:sz w:val="21"/>
        </w:rPr>
        <w:t>AECF</w:t>
      </w:r>
      <w:r>
        <w:rPr>
          <w:rFonts w:ascii="Times New Roman"/>
          <w:spacing w:val="-18"/>
          <w:w w:val="105"/>
          <w:sz w:val="21"/>
        </w:rPr>
        <w:t xml:space="preserve"> </w:t>
      </w:r>
      <w:r>
        <w:rPr>
          <w:rFonts w:ascii="Times New Roman"/>
          <w:w w:val="105"/>
          <w:sz w:val="21"/>
        </w:rPr>
        <w:t>has</w:t>
      </w:r>
      <w:r>
        <w:rPr>
          <w:rFonts w:ascii="Times New Roman"/>
          <w:spacing w:val="-18"/>
          <w:w w:val="105"/>
          <w:sz w:val="21"/>
        </w:rPr>
        <w:t xml:space="preserve"> </w:t>
      </w:r>
      <w:r>
        <w:rPr>
          <w:rFonts w:ascii="Times New Roman"/>
          <w:w w:val="105"/>
          <w:sz w:val="21"/>
        </w:rPr>
        <w:t>invested</w:t>
      </w:r>
      <w:r>
        <w:rPr>
          <w:rFonts w:ascii="Times New Roman"/>
          <w:spacing w:val="6"/>
          <w:w w:val="105"/>
          <w:sz w:val="21"/>
        </w:rPr>
        <w:t xml:space="preserve"> </w:t>
      </w:r>
      <w:r>
        <w:rPr>
          <w:rFonts w:ascii="Times New Roman"/>
          <w:w w:val="105"/>
          <w:sz w:val="21"/>
        </w:rPr>
        <w:t>more</w:t>
      </w:r>
      <w:r>
        <w:rPr>
          <w:rFonts w:ascii="Times New Roman"/>
          <w:spacing w:val="-18"/>
          <w:w w:val="105"/>
          <w:sz w:val="21"/>
        </w:rPr>
        <w:t xml:space="preserve"> </w:t>
      </w:r>
      <w:r>
        <w:rPr>
          <w:rFonts w:ascii="Times New Roman"/>
          <w:w w:val="105"/>
          <w:sz w:val="21"/>
        </w:rPr>
        <w:t>than</w:t>
      </w:r>
      <w:r>
        <w:rPr>
          <w:rFonts w:ascii="Times New Roman"/>
          <w:spacing w:val="1"/>
          <w:w w:val="105"/>
          <w:sz w:val="21"/>
        </w:rPr>
        <w:t xml:space="preserve"> </w:t>
      </w:r>
      <w:r>
        <w:rPr>
          <w:rFonts w:ascii="Times New Roman"/>
          <w:w w:val="105"/>
          <w:sz w:val="21"/>
        </w:rPr>
        <w:t>most</w:t>
      </w:r>
      <w:r>
        <w:rPr>
          <w:rFonts w:ascii="Times New Roman"/>
          <w:spacing w:val="-3"/>
          <w:w w:val="105"/>
          <w:sz w:val="21"/>
        </w:rPr>
        <w:t xml:space="preserve"> </w:t>
      </w:r>
      <w:r>
        <w:rPr>
          <w:rFonts w:ascii="Times New Roman"/>
          <w:w w:val="105"/>
          <w:sz w:val="21"/>
        </w:rPr>
        <w:t>in</w:t>
      </w:r>
      <w:r>
        <w:rPr>
          <w:rFonts w:ascii="Times New Roman"/>
          <w:spacing w:val="-12"/>
          <w:w w:val="105"/>
          <w:sz w:val="21"/>
        </w:rPr>
        <w:t xml:space="preserve"> </w:t>
      </w:r>
      <w:r>
        <w:rPr>
          <w:rFonts w:ascii="Times New Roman"/>
          <w:w w:val="105"/>
          <w:sz w:val="21"/>
        </w:rPr>
        <w:t>improving this aspect of the program. Activi</w:t>
      </w:r>
      <w:r>
        <w:rPr>
          <w:rFonts w:ascii="Times New Roman"/>
          <w:w w:val="105"/>
          <w:sz w:val="21"/>
        </w:rPr>
        <w:t>ty in monitoring and results measurement (MRM) and in learning across the portfolio, has stepped up markedly in from the second half of</w:t>
      </w:r>
      <w:r>
        <w:rPr>
          <w:rFonts w:ascii="Times New Roman"/>
          <w:spacing w:val="-30"/>
          <w:w w:val="105"/>
          <w:sz w:val="21"/>
        </w:rPr>
        <w:t xml:space="preserve"> </w:t>
      </w:r>
      <w:r>
        <w:rPr>
          <w:rFonts w:ascii="Times New Roman"/>
          <w:w w:val="105"/>
          <w:sz w:val="21"/>
        </w:rPr>
        <w:t>2015.</w:t>
      </w:r>
    </w:p>
    <w:p w:rsidR="0084592B" w:rsidRDefault="00310C78">
      <w:pPr>
        <w:spacing w:before="194"/>
        <w:ind w:left="110"/>
        <w:rPr>
          <w:b/>
          <w:sz w:val="18"/>
        </w:rPr>
      </w:pPr>
      <w:r>
        <w:rPr>
          <w:b/>
          <w:w w:val="105"/>
          <w:sz w:val="18"/>
        </w:rPr>
        <w:t>Presence outside of Anglophone Africa</w:t>
      </w:r>
    </w:p>
    <w:sectPr w:rsidR="0084592B">
      <w:pgSz w:w="11910" w:h="16850"/>
      <w:pgMar w:top="1600" w:right="12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C78" w:rsidRDefault="00310C78" w:rsidP="00310C78">
      <w:r>
        <w:separator/>
      </w:r>
    </w:p>
  </w:endnote>
  <w:endnote w:type="continuationSeparator" w:id="0">
    <w:p w:rsidR="00310C78" w:rsidRDefault="00310C78" w:rsidP="00310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C78" w:rsidRDefault="00310C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C78" w:rsidRDefault="00310C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C78" w:rsidRDefault="00310C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C78" w:rsidRDefault="00310C78" w:rsidP="00310C78">
      <w:r>
        <w:separator/>
      </w:r>
    </w:p>
  </w:footnote>
  <w:footnote w:type="continuationSeparator" w:id="0">
    <w:p w:rsidR="00310C78" w:rsidRDefault="00310C78" w:rsidP="00310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C78" w:rsidRDefault="00310C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C78" w:rsidRDefault="00310C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C78" w:rsidRDefault="00310C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56573B"/>
    <w:multiLevelType w:val="hybridMultilevel"/>
    <w:tmpl w:val="80104A1C"/>
    <w:lvl w:ilvl="0" w:tplc="62C455C8">
      <w:numFmt w:val="bullet"/>
      <w:lvlText w:val="·"/>
      <w:lvlJc w:val="left"/>
      <w:pPr>
        <w:ind w:left="829" w:hanging="214"/>
      </w:pPr>
      <w:rPr>
        <w:rFonts w:ascii="Times New Roman" w:eastAsia="Times New Roman" w:hAnsi="Times New Roman" w:cs="Times New Roman" w:hint="default"/>
        <w:w w:val="65"/>
        <w:sz w:val="21"/>
        <w:szCs w:val="21"/>
      </w:rPr>
    </w:lvl>
    <w:lvl w:ilvl="1" w:tplc="3FDA1152">
      <w:numFmt w:val="bullet"/>
      <w:lvlText w:val="•"/>
      <w:lvlJc w:val="left"/>
      <w:pPr>
        <w:ind w:left="1674" w:hanging="214"/>
      </w:pPr>
      <w:rPr>
        <w:rFonts w:hint="default"/>
      </w:rPr>
    </w:lvl>
    <w:lvl w:ilvl="2" w:tplc="C2362B18">
      <w:numFmt w:val="bullet"/>
      <w:lvlText w:val="•"/>
      <w:lvlJc w:val="left"/>
      <w:pPr>
        <w:ind w:left="2529" w:hanging="214"/>
      </w:pPr>
      <w:rPr>
        <w:rFonts w:hint="default"/>
      </w:rPr>
    </w:lvl>
    <w:lvl w:ilvl="3" w:tplc="9506B5C2">
      <w:numFmt w:val="bullet"/>
      <w:lvlText w:val="•"/>
      <w:lvlJc w:val="left"/>
      <w:pPr>
        <w:ind w:left="3384" w:hanging="214"/>
      </w:pPr>
      <w:rPr>
        <w:rFonts w:hint="default"/>
      </w:rPr>
    </w:lvl>
    <w:lvl w:ilvl="4" w:tplc="5500448C">
      <w:numFmt w:val="bullet"/>
      <w:lvlText w:val="•"/>
      <w:lvlJc w:val="left"/>
      <w:pPr>
        <w:ind w:left="4239" w:hanging="214"/>
      </w:pPr>
      <w:rPr>
        <w:rFonts w:hint="default"/>
      </w:rPr>
    </w:lvl>
    <w:lvl w:ilvl="5" w:tplc="1B2EFF2A">
      <w:numFmt w:val="bullet"/>
      <w:lvlText w:val="•"/>
      <w:lvlJc w:val="left"/>
      <w:pPr>
        <w:ind w:left="5094" w:hanging="214"/>
      </w:pPr>
      <w:rPr>
        <w:rFonts w:hint="default"/>
      </w:rPr>
    </w:lvl>
    <w:lvl w:ilvl="6" w:tplc="8BEC56F4">
      <w:numFmt w:val="bullet"/>
      <w:lvlText w:val="•"/>
      <w:lvlJc w:val="left"/>
      <w:pPr>
        <w:ind w:left="5949" w:hanging="214"/>
      </w:pPr>
      <w:rPr>
        <w:rFonts w:hint="default"/>
      </w:rPr>
    </w:lvl>
    <w:lvl w:ilvl="7" w:tplc="377E60F8">
      <w:numFmt w:val="bullet"/>
      <w:lvlText w:val="•"/>
      <w:lvlJc w:val="left"/>
      <w:pPr>
        <w:ind w:left="6804" w:hanging="214"/>
      </w:pPr>
      <w:rPr>
        <w:rFonts w:hint="default"/>
      </w:rPr>
    </w:lvl>
    <w:lvl w:ilvl="8" w:tplc="866C71FC">
      <w:numFmt w:val="bullet"/>
      <w:lvlText w:val="•"/>
      <w:lvlJc w:val="left"/>
      <w:pPr>
        <w:ind w:left="7659" w:hanging="21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92B"/>
    <w:rsid w:val="00310C78"/>
    <w:rsid w:val="0084592B"/>
    <w:rsid w:val="009D1A61"/>
    <w:rsid w:val="00D301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824" w:hanging="214"/>
      <w:jc w:val="both"/>
      <w:outlineLvl w:val="0"/>
    </w:pPr>
    <w:rPr>
      <w:rFonts w:ascii="Times New Roman" w:eastAsia="Times New Roman" w:hAnsi="Times New Roman" w:cs="Times New Roman"/>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29" w:hanging="214"/>
    </w:pPr>
    <w:rPr>
      <w:rFonts w:ascii="Times New Roman" w:eastAsia="Times New Roman" w:hAnsi="Times New Roman" w:cs="Times New Roman"/>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10C78"/>
    <w:pPr>
      <w:tabs>
        <w:tab w:val="center" w:pos="4513"/>
        <w:tab w:val="right" w:pos="9026"/>
      </w:tabs>
    </w:pPr>
  </w:style>
  <w:style w:type="character" w:customStyle="1" w:styleId="HeaderChar">
    <w:name w:val="Header Char"/>
    <w:basedOn w:val="DefaultParagraphFont"/>
    <w:link w:val="Header"/>
    <w:uiPriority w:val="99"/>
    <w:rsid w:val="00310C78"/>
    <w:rPr>
      <w:rFonts w:ascii="Arial" w:eastAsia="Arial" w:hAnsi="Arial" w:cs="Arial"/>
    </w:rPr>
  </w:style>
  <w:style w:type="paragraph" w:styleId="Footer">
    <w:name w:val="footer"/>
    <w:basedOn w:val="Normal"/>
    <w:link w:val="FooterChar"/>
    <w:uiPriority w:val="99"/>
    <w:unhideWhenUsed/>
    <w:rsid w:val="00310C78"/>
    <w:pPr>
      <w:tabs>
        <w:tab w:val="center" w:pos="4513"/>
        <w:tab w:val="right" w:pos="9026"/>
      </w:tabs>
    </w:pPr>
  </w:style>
  <w:style w:type="character" w:customStyle="1" w:styleId="FooterChar">
    <w:name w:val="Footer Char"/>
    <w:basedOn w:val="DefaultParagraphFont"/>
    <w:link w:val="Footer"/>
    <w:uiPriority w:val="99"/>
    <w:rsid w:val="00310C7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9E4E5DA-5522-4544-82B2-6033BA3D81B3}"/>
</file>

<file path=customXml/itemProps2.xml><?xml version="1.0" encoding="utf-8"?>
<ds:datastoreItem xmlns:ds="http://schemas.openxmlformats.org/officeDocument/2006/customXml" ds:itemID="{9F32ACB8-55DF-43FF-A26D-96CAD4864F52}"/>
</file>

<file path=customXml/itemProps3.xml><?xml version="1.0" encoding="utf-8"?>
<ds:datastoreItem xmlns:ds="http://schemas.openxmlformats.org/officeDocument/2006/customXml" ds:itemID="{38BDE4A4-17AD-45CA-BBFB-DA640C2BAEE6}"/>
</file>

<file path=docProps/app.xml><?xml version="1.0" encoding="utf-8"?>
<Properties xmlns="http://schemas.openxmlformats.org/officeDocument/2006/extended-properties" xmlns:vt="http://schemas.openxmlformats.org/officeDocument/2006/docPropsVTypes">
  <Template>Normal.dotm</Template>
  <TotalTime>0</TotalTime>
  <Pages>2</Pages>
  <Words>858</Words>
  <Characters>4897</Characters>
  <Application>Microsoft Office Word</Application>
  <DocSecurity>0</DocSecurity>
  <Lines>40</Lines>
  <Paragraphs>11</Paragraphs>
  <ScaleCrop>false</ScaleCrop>
  <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2019-04-16T03:23:00Z</dcterms:created>
  <dcterms:modified xsi:type="dcterms:W3CDTF">2019-04-16T03:23:00Z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41733d2e-9cd9-42e7-9045-dad6c8b41356</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1237200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