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0D9D" w14:textId="77777777" w:rsidR="002544E4" w:rsidRPr="00B67B4F" w:rsidRDefault="002544E4" w:rsidP="00033DA0">
      <w:pPr>
        <w:spacing w:before="0"/>
        <w:jc w:val="center"/>
        <w:rPr>
          <w:rFonts w:asciiTheme="majorHAnsi" w:hAnsiTheme="majorHAnsi" w:cstheme="majorHAnsi"/>
          <w:b/>
          <w:bCs/>
          <w:sz w:val="24"/>
        </w:rPr>
      </w:pPr>
      <w:r w:rsidRPr="00B67B4F">
        <w:rPr>
          <w:rFonts w:asciiTheme="majorHAnsi" w:hAnsiTheme="majorHAnsi" w:cstheme="majorHAnsi"/>
          <w:b/>
          <w:bCs/>
          <w:sz w:val="24"/>
        </w:rPr>
        <w:t>Australia-World Bank Growth and Prosperity in the Philippines (</w:t>
      </w:r>
      <w:proofErr w:type="spellStart"/>
      <w:r w:rsidRPr="00B67B4F">
        <w:rPr>
          <w:rFonts w:asciiTheme="majorHAnsi" w:hAnsiTheme="majorHAnsi" w:cstheme="majorHAnsi"/>
          <w:b/>
          <w:bCs/>
          <w:sz w:val="24"/>
        </w:rPr>
        <w:t>AGaP</w:t>
      </w:r>
      <w:proofErr w:type="spellEnd"/>
      <w:r w:rsidRPr="00B67B4F">
        <w:rPr>
          <w:rFonts w:asciiTheme="majorHAnsi" w:hAnsiTheme="majorHAnsi" w:cstheme="majorHAnsi"/>
          <w:b/>
          <w:bCs/>
          <w:sz w:val="24"/>
        </w:rPr>
        <w:t>) Trust Fund</w:t>
      </w:r>
    </w:p>
    <w:p w14:paraId="3DAD0CE9" w14:textId="77777777" w:rsidR="002544E4" w:rsidRPr="00B67B4F" w:rsidRDefault="002544E4" w:rsidP="00033DA0">
      <w:pPr>
        <w:spacing w:before="0"/>
        <w:jc w:val="center"/>
        <w:rPr>
          <w:rFonts w:asciiTheme="majorHAnsi" w:hAnsiTheme="majorHAnsi" w:cstheme="majorHAnsi"/>
          <w:b/>
          <w:bCs/>
          <w:sz w:val="24"/>
        </w:rPr>
      </w:pPr>
      <w:r w:rsidRPr="00B67B4F">
        <w:rPr>
          <w:rFonts w:asciiTheme="majorHAnsi" w:hAnsiTheme="majorHAnsi" w:cstheme="majorHAnsi"/>
          <w:b/>
          <w:bCs/>
          <w:sz w:val="24"/>
        </w:rPr>
        <w:t>Independent Midterm Review</w:t>
      </w:r>
    </w:p>
    <w:p w14:paraId="32D52E6C" w14:textId="77777777" w:rsidR="002544E4" w:rsidRPr="00B67B4F" w:rsidRDefault="002544E4" w:rsidP="00033DA0">
      <w:pPr>
        <w:spacing w:before="0"/>
        <w:jc w:val="center"/>
        <w:rPr>
          <w:rFonts w:asciiTheme="majorHAnsi" w:hAnsiTheme="majorHAnsi" w:cstheme="majorHAnsi"/>
          <w:b/>
          <w:bCs/>
          <w:sz w:val="24"/>
        </w:rPr>
      </w:pPr>
      <w:r w:rsidRPr="00B67B4F">
        <w:rPr>
          <w:rFonts w:asciiTheme="majorHAnsi" w:hAnsiTheme="majorHAnsi" w:cstheme="majorHAnsi"/>
          <w:b/>
          <w:bCs/>
          <w:sz w:val="24"/>
        </w:rPr>
        <w:t>(March 2019 – December 2021)</w:t>
      </w:r>
    </w:p>
    <w:p w14:paraId="3762AEAA" w14:textId="77777777" w:rsidR="002544E4" w:rsidRPr="00B67B4F" w:rsidRDefault="002544E4" w:rsidP="00033DA0">
      <w:pPr>
        <w:spacing w:before="0"/>
        <w:jc w:val="center"/>
        <w:rPr>
          <w:rFonts w:asciiTheme="majorHAnsi" w:hAnsiTheme="majorHAnsi" w:cstheme="majorHAnsi"/>
          <w:b/>
          <w:bCs/>
          <w:sz w:val="24"/>
        </w:rPr>
      </w:pPr>
    </w:p>
    <w:p w14:paraId="5FD389E5" w14:textId="77777777" w:rsidR="002544E4" w:rsidRPr="00B67B4F" w:rsidRDefault="002544E4" w:rsidP="00033DA0">
      <w:pPr>
        <w:spacing w:before="0"/>
        <w:jc w:val="center"/>
        <w:rPr>
          <w:rFonts w:asciiTheme="majorHAnsi" w:hAnsiTheme="majorHAnsi" w:cstheme="majorHAnsi"/>
          <w:b/>
          <w:bCs/>
          <w:sz w:val="24"/>
        </w:rPr>
      </w:pPr>
      <w:r w:rsidRPr="00B67B4F">
        <w:rPr>
          <w:rFonts w:asciiTheme="majorHAnsi" w:hAnsiTheme="majorHAnsi" w:cstheme="majorHAnsi"/>
          <w:b/>
          <w:bCs/>
          <w:sz w:val="24"/>
        </w:rPr>
        <w:t>DFAT Management Response</w:t>
      </w:r>
    </w:p>
    <w:p w14:paraId="515E03BC" w14:textId="77777777" w:rsidR="002544E4" w:rsidRPr="00B67B4F" w:rsidRDefault="002544E4" w:rsidP="00033DA0">
      <w:pPr>
        <w:spacing w:before="0"/>
        <w:rPr>
          <w:rFonts w:asciiTheme="majorHAnsi" w:hAnsiTheme="majorHAnsi" w:cstheme="majorHAnsi"/>
        </w:rPr>
      </w:pPr>
    </w:p>
    <w:p w14:paraId="1EC23291" w14:textId="77777777" w:rsidR="002544E4" w:rsidRPr="00B67B4F" w:rsidRDefault="002544E4" w:rsidP="00033DA0">
      <w:pPr>
        <w:spacing w:before="0"/>
        <w:rPr>
          <w:rFonts w:asciiTheme="majorHAnsi" w:hAnsiTheme="majorHAnsi" w:cstheme="majorHAnsi"/>
          <w:sz w:val="24"/>
        </w:rPr>
      </w:pPr>
      <w:r w:rsidRPr="00B67B4F">
        <w:rPr>
          <w:rFonts w:asciiTheme="majorHAnsi" w:hAnsiTheme="majorHAnsi" w:cstheme="majorHAnsi"/>
          <w:sz w:val="24"/>
        </w:rPr>
        <w:t>DFAT thanks the World Bank Office in Manila for commissioning the Independent Midterm Review (MTR) of the Australia-World Bank Growth and Prosperity in the Philippines (</w:t>
      </w:r>
      <w:proofErr w:type="spellStart"/>
      <w:r w:rsidRPr="00B67B4F">
        <w:rPr>
          <w:rFonts w:asciiTheme="majorHAnsi" w:hAnsiTheme="majorHAnsi" w:cstheme="majorHAnsi"/>
          <w:sz w:val="24"/>
        </w:rPr>
        <w:t>AGaP</w:t>
      </w:r>
      <w:proofErr w:type="spellEnd"/>
      <w:r w:rsidRPr="00B67B4F">
        <w:rPr>
          <w:rFonts w:asciiTheme="majorHAnsi" w:hAnsiTheme="majorHAnsi" w:cstheme="majorHAnsi"/>
          <w:sz w:val="24"/>
        </w:rPr>
        <w:t>). The review was led by Beth Elson, an independent evaluator, supported by Moira Enerva as co-evaluator.</w:t>
      </w:r>
    </w:p>
    <w:p w14:paraId="1B1AB467" w14:textId="77777777" w:rsidR="002544E4" w:rsidRPr="00B67B4F" w:rsidRDefault="002544E4" w:rsidP="00033DA0">
      <w:pPr>
        <w:spacing w:before="0"/>
        <w:rPr>
          <w:rFonts w:asciiTheme="majorHAnsi" w:hAnsiTheme="majorHAnsi" w:cstheme="majorHAnsi"/>
          <w:sz w:val="24"/>
        </w:rPr>
      </w:pPr>
    </w:p>
    <w:p w14:paraId="6A879115" w14:textId="129DA116" w:rsidR="002544E4" w:rsidRPr="00B67B4F" w:rsidRDefault="002544E4" w:rsidP="00033DA0">
      <w:pPr>
        <w:spacing w:before="0"/>
        <w:rPr>
          <w:rFonts w:asciiTheme="majorHAnsi" w:hAnsiTheme="majorHAnsi" w:cstheme="majorHAnsi"/>
          <w:sz w:val="24"/>
        </w:rPr>
      </w:pPr>
      <w:r w:rsidRPr="00B67B4F">
        <w:rPr>
          <w:rFonts w:asciiTheme="majorHAnsi" w:hAnsiTheme="majorHAnsi" w:cstheme="majorHAnsi"/>
          <w:sz w:val="24"/>
        </w:rPr>
        <w:t xml:space="preserve">The </w:t>
      </w:r>
      <w:r w:rsidR="007A5194" w:rsidRPr="00B67B4F">
        <w:rPr>
          <w:rFonts w:asciiTheme="majorHAnsi" w:hAnsiTheme="majorHAnsi" w:cstheme="majorHAnsi"/>
          <w:sz w:val="24"/>
        </w:rPr>
        <w:t>Australia-World Bank Growth and Prosperity in the Philippines (</w:t>
      </w:r>
      <w:proofErr w:type="spellStart"/>
      <w:r w:rsidR="007A5194" w:rsidRPr="00B67B4F">
        <w:rPr>
          <w:rFonts w:asciiTheme="majorHAnsi" w:hAnsiTheme="majorHAnsi" w:cstheme="majorHAnsi"/>
          <w:sz w:val="24"/>
        </w:rPr>
        <w:t>AGaP</w:t>
      </w:r>
      <w:proofErr w:type="spellEnd"/>
      <w:r w:rsidR="007A5194" w:rsidRPr="00B67B4F">
        <w:rPr>
          <w:rFonts w:asciiTheme="majorHAnsi" w:hAnsiTheme="majorHAnsi" w:cstheme="majorHAnsi"/>
          <w:sz w:val="24"/>
        </w:rPr>
        <w:t>)</w:t>
      </w:r>
      <w:r w:rsidR="007A5194">
        <w:rPr>
          <w:rFonts w:asciiTheme="majorHAnsi" w:hAnsiTheme="majorHAnsi" w:cstheme="majorHAnsi"/>
          <w:sz w:val="24"/>
        </w:rPr>
        <w:t xml:space="preserve"> </w:t>
      </w:r>
      <w:r w:rsidRPr="00B67B4F">
        <w:rPr>
          <w:rFonts w:asciiTheme="majorHAnsi" w:hAnsiTheme="majorHAnsi" w:cstheme="majorHAnsi"/>
          <w:sz w:val="24"/>
        </w:rPr>
        <w:t xml:space="preserve">is a strategic partnership between Australia, through the Australian Embassy to the Philippines, and the World Bank, through its Philippines Country Office. The Trust Fund provides funds and technical expertise to facilitate knowledge exchange that will assist the Government of the Philippines (GOP) in the design and implementation of policy reforms and programs.  </w:t>
      </w:r>
    </w:p>
    <w:p w14:paraId="6DD5BF46" w14:textId="77777777" w:rsidR="002544E4" w:rsidRPr="00B67B4F" w:rsidRDefault="002544E4" w:rsidP="00033DA0">
      <w:pPr>
        <w:spacing w:before="0"/>
        <w:rPr>
          <w:rFonts w:asciiTheme="majorHAnsi" w:hAnsiTheme="majorHAnsi" w:cstheme="majorHAnsi"/>
          <w:sz w:val="24"/>
        </w:rPr>
      </w:pPr>
      <w:r w:rsidRPr="00B67B4F">
        <w:rPr>
          <w:rFonts w:asciiTheme="majorHAnsi" w:hAnsiTheme="majorHAnsi" w:cstheme="majorHAnsi"/>
          <w:sz w:val="24"/>
        </w:rPr>
        <w:t xml:space="preserve"> </w:t>
      </w:r>
    </w:p>
    <w:p w14:paraId="3C17C8CE" w14:textId="77777777" w:rsidR="002544E4" w:rsidRPr="00B67B4F" w:rsidRDefault="002544E4" w:rsidP="00033DA0">
      <w:pPr>
        <w:spacing w:before="0"/>
        <w:rPr>
          <w:rFonts w:asciiTheme="majorHAnsi" w:hAnsiTheme="majorHAnsi" w:cstheme="majorHAnsi"/>
          <w:sz w:val="24"/>
        </w:rPr>
      </w:pPr>
      <w:proofErr w:type="spellStart"/>
      <w:r w:rsidRPr="00B67B4F">
        <w:rPr>
          <w:rFonts w:asciiTheme="majorHAnsi" w:hAnsiTheme="majorHAnsi" w:cstheme="majorHAnsi"/>
          <w:sz w:val="24"/>
        </w:rPr>
        <w:t>AGaP</w:t>
      </w:r>
      <w:proofErr w:type="spellEnd"/>
      <w:r w:rsidRPr="00B67B4F">
        <w:rPr>
          <w:rFonts w:asciiTheme="majorHAnsi" w:hAnsiTheme="majorHAnsi" w:cstheme="majorHAnsi"/>
          <w:sz w:val="24"/>
        </w:rPr>
        <w:t xml:space="preserve"> forms part of Advancing Multilateral Partnerships for Economic Development (AMPED), DFAT’s broader economic governance investment in the Philippines. AMPED is managed by the Australian Embassy as a single aid investment to ensure coherence of activity selection across a range of multilateral partnerships to contribute to the Philippines’ rapid, sustainable, and inclusive economic growth.</w:t>
      </w:r>
    </w:p>
    <w:p w14:paraId="777F61B9" w14:textId="77777777" w:rsidR="002544E4" w:rsidRPr="00B67B4F" w:rsidRDefault="002544E4" w:rsidP="00033DA0">
      <w:pPr>
        <w:spacing w:before="0"/>
        <w:rPr>
          <w:rFonts w:asciiTheme="majorHAnsi" w:hAnsiTheme="majorHAnsi" w:cstheme="majorHAnsi"/>
          <w:sz w:val="24"/>
        </w:rPr>
      </w:pPr>
    </w:p>
    <w:p w14:paraId="6CD4DCB5" w14:textId="77777777" w:rsidR="002544E4" w:rsidRPr="00B67B4F" w:rsidRDefault="002544E4" w:rsidP="00033DA0">
      <w:pPr>
        <w:spacing w:before="0"/>
        <w:rPr>
          <w:rFonts w:asciiTheme="majorHAnsi" w:hAnsiTheme="majorHAnsi" w:cstheme="majorHAnsi"/>
          <w:sz w:val="24"/>
          <w:lang w:val="en" w:eastAsia="en-US"/>
        </w:rPr>
      </w:pPr>
      <w:r w:rsidRPr="00B67B4F">
        <w:rPr>
          <w:rFonts w:asciiTheme="majorHAnsi" w:hAnsiTheme="majorHAnsi" w:cstheme="majorHAnsi"/>
          <w:sz w:val="24"/>
        </w:rPr>
        <w:t xml:space="preserve">This review captured </w:t>
      </w:r>
      <w:proofErr w:type="spellStart"/>
      <w:r w:rsidRPr="00B67B4F">
        <w:rPr>
          <w:rFonts w:asciiTheme="majorHAnsi" w:hAnsiTheme="majorHAnsi" w:cstheme="majorHAnsi"/>
          <w:sz w:val="24"/>
        </w:rPr>
        <w:t>AGaP</w:t>
      </w:r>
      <w:proofErr w:type="spellEnd"/>
      <w:r w:rsidRPr="00B67B4F">
        <w:rPr>
          <w:rFonts w:asciiTheme="majorHAnsi" w:hAnsiTheme="majorHAnsi" w:cstheme="majorHAnsi"/>
          <w:sz w:val="24"/>
        </w:rPr>
        <w:t xml:space="preserve"> implementation and results achieved from March 2019 through December 2021 covering seven </w:t>
      </w:r>
      <w:proofErr w:type="spellStart"/>
      <w:r w:rsidRPr="00B67B4F">
        <w:rPr>
          <w:rFonts w:asciiTheme="majorHAnsi" w:hAnsiTheme="majorHAnsi" w:cstheme="majorHAnsi"/>
          <w:sz w:val="24"/>
        </w:rPr>
        <w:t>AGaP</w:t>
      </w:r>
      <w:proofErr w:type="spellEnd"/>
      <w:r w:rsidRPr="00B67B4F">
        <w:rPr>
          <w:rFonts w:asciiTheme="majorHAnsi" w:hAnsiTheme="majorHAnsi" w:cstheme="majorHAnsi"/>
          <w:sz w:val="24"/>
        </w:rPr>
        <w:t xml:space="preserve">-funded projects. It identified key findings and lessons regarding the implementation of the </w:t>
      </w:r>
      <w:proofErr w:type="spellStart"/>
      <w:r w:rsidRPr="00B67B4F">
        <w:rPr>
          <w:rFonts w:asciiTheme="majorHAnsi" w:hAnsiTheme="majorHAnsi" w:cstheme="majorHAnsi"/>
          <w:sz w:val="24"/>
        </w:rPr>
        <w:t>AGaP</w:t>
      </w:r>
      <w:proofErr w:type="spellEnd"/>
      <w:r w:rsidRPr="00B67B4F">
        <w:rPr>
          <w:rFonts w:asciiTheme="majorHAnsi" w:hAnsiTheme="majorHAnsi" w:cstheme="majorHAnsi"/>
          <w:sz w:val="24"/>
        </w:rPr>
        <w:t xml:space="preserve"> during the covered review period. This included reviewing the trust fund’s response to the COVID-19 pandemic. It provided recommendations on how to improve the governance and implementation of the Trust Fund.  DFAT has reflected on the findings and recommendations presented by the midterm review.  This document provides DFAT’s responses to the relevant recommendations.</w:t>
      </w:r>
    </w:p>
    <w:p w14:paraId="3D23F82D" w14:textId="77777777" w:rsidR="002544E4" w:rsidRPr="00B67B4F" w:rsidRDefault="002544E4" w:rsidP="00033DA0">
      <w:pPr>
        <w:spacing w:before="0" w:line="259" w:lineRule="auto"/>
        <w:rPr>
          <w:rFonts w:asciiTheme="majorHAnsi" w:hAnsiTheme="majorHAnsi" w:cstheme="majorHAnsi"/>
        </w:rPr>
      </w:pPr>
    </w:p>
    <w:p w14:paraId="27F4A9E5" w14:textId="77777777" w:rsidR="002544E4" w:rsidRPr="00B67B4F" w:rsidRDefault="002544E4" w:rsidP="00033DA0">
      <w:pPr>
        <w:spacing w:before="0" w:line="259" w:lineRule="auto"/>
        <w:rPr>
          <w:rFonts w:asciiTheme="majorHAnsi" w:hAnsiTheme="majorHAnsi" w:cstheme="majorHAnsi"/>
        </w:rPr>
      </w:pPr>
    </w:p>
    <w:p w14:paraId="70267DF8" w14:textId="77777777" w:rsidR="002544E4" w:rsidRPr="00B67B4F" w:rsidRDefault="002544E4" w:rsidP="00033DA0">
      <w:pPr>
        <w:spacing w:before="0" w:line="259" w:lineRule="auto"/>
        <w:rPr>
          <w:rFonts w:asciiTheme="majorHAnsi" w:hAnsiTheme="majorHAnsi" w:cstheme="majorHAnsi"/>
        </w:rPr>
      </w:pPr>
    </w:p>
    <w:p w14:paraId="1BDC0685" w14:textId="0FBB93C0" w:rsidR="00334626" w:rsidRPr="00B67B4F" w:rsidRDefault="002544E4" w:rsidP="00033DA0">
      <w:pPr>
        <w:spacing w:before="0"/>
        <w:rPr>
          <w:rFonts w:asciiTheme="majorHAnsi" w:hAnsiTheme="majorHAnsi" w:cstheme="majorHAnsi"/>
          <w:b/>
          <w:bCs/>
        </w:rPr>
      </w:pPr>
      <w:r w:rsidRPr="00B67B4F">
        <w:rPr>
          <w:rFonts w:asciiTheme="majorHAnsi" w:hAnsiTheme="majorHAnsi" w:cstheme="majorHAnsi"/>
        </w:rPr>
        <w:t>March 2023</w:t>
      </w:r>
    </w:p>
    <w:p w14:paraId="6BB08196" w14:textId="77777777" w:rsidR="00334626" w:rsidRPr="00B67B4F" w:rsidRDefault="00334626" w:rsidP="00033DA0">
      <w:pPr>
        <w:spacing w:before="0" w:line="259" w:lineRule="auto"/>
        <w:rPr>
          <w:rFonts w:asciiTheme="majorHAnsi" w:hAnsiTheme="majorHAnsi" w:cstheme="majorHAnsi"/>
        </w:rPr>
      </w:pPr>
      <w:r w:rsidRPr="00B67B4F">
        <w:rPr>
          <w:rFonts w:asciiTheme="majorHAnsi" w:hAnsiTheme="majorHAnsi" w:cstheme="majorHAnsi"/>
        </w:rPr>
        <w:br w:type="page"/>
      </w:r>
    </w:p>
    <w:p w14:paraId="45B47F0D" w14:textId="77777777" w:rsidR="00334626" w:rsidRPr="00B67B4F" w:rsidRDefault="00334626" w:rsidP="00033DA0">
      <w:pPr>
        <w:spacing w:before="0"/>
        <w:rPr>
          <w:rFonts w:asciiTheme="majorHAnsi" w:hAnsiTheme="majorHAnsi" w:cstheme="majorHAnsi"/>
        </w:rPr>
        <w:sectPr w:rsidR="00334626" w:rsidRPr="00B67B4F">
          <w:pgSz w:w="11906" w:h="16838"/>
          <w:pgMar w:top="1440" w:right="1440" w:bottom="1440" w:left="1440" w:header="708" w:footer="708" w:gutter="0"/>
          <w:cols w:space="708"/>
          <w:docGrid w:linePitch="360"/>
        </w:sectPr>
      </w:pPr>
    </w:p>
    <w:p w14:paraId="6E7A2666" w14:textId="06D56728" w:rsidR="00334626" w:rsidRPr="00B67B4F" w:rsidRDefault="00E174E7" w:rsidP="00033DA0">
      <w:pPr>
        <w:spacing w:before="0"/>
        <w:rPr>
          <w:rFonts w:asciiTheme="majorHAnsi" w:hAnsiTheme="majorHAnsi" w:cstheme="majorHAnsi"/>
          <w:i/>
          <w:iCs/>
        </w:rPr>
      </w:pPr>
      <w:r w:rsidRPr="00B67B4F">
        <w:rPr>
          <w:rFonts w:asciiTheme="majorHAnsi" w:hAnsiTheme="majorHAnsi" w:cstheme="majorHAnsi"/>
          <w:i/>
          <w:iCs/>
        </w:rPr>
        <w:lastRenderedPageBreak/>
        <w:t xml:space="preserve">The </w:t>
      </w:r>
      <w:proofErr w:type="spellStart"/>
      <w:r w:rsidRPr="00B67B4F">
        <w:rPr>
          <w:rFonts w:asciiTheme="majorHAnsi" w:hAnsiTheme="majorHAnsi" w:cstheme="majorHAnsi"/>
          <w:i/>
          <w:iCs/>
        </w:rPr>
        <w:t>AGaP</w:t>
      </w:r>
      <w:proofErr w:type="spellEnd"/>
      <w:r w:rsidRPr="00B67B4F">
        <w:rPr>
          <w:rFonts w:asciiTheme="majorHAnsi" w:hAnsiTheme="majorHAnsi" w:cstheme="majorHAnsi"/>
          <w:i/>
          <w:iCs/>
        </w:rPr>
        <w:t xml:space="preserve"> Midterm Review </w:t>
      </w:r>
      <w:r w:rsidR="000641E2" w:rsidRPr="00B67B4F">
        <w:rPr>
          <w:rFonts w:asciiTheme="majorHAnsi" w:hAnsiTheme="majorHAnsi" w:cstheme="majorHAnsi"/>
          <w:i/>
          <w:iCs/>
        </w:rPr>
        <w:t xml:space="preserve">provided </w:t>
      </w:r>
      <w:r w:rsidR="00547474" w:rsidRPr="00B67B4F">
        <w:rPr>
          <w:rFonts w:asciiTheme="majorHAnsi" w:hAnsiTheme="majorHAnsi" w:cstheme="majorHAnsi"/>
          <w:i/>
          <w:iCs/>
        </w:rPr>
        <w:t xml:space="preserve">the following </w:t>
      </w:r>
      <w:r w:rsidR="000641E2" w:rsidRPr="00B67B4F">
        <w:rPr>
          <w:rFonts w:asciiTheme="majorHAnsi" w:hAnsiTheme="majorHAnsi" w:cstheme="majorHAnsi"/>
          <w:i/>
          <w:iCs/>
        </w:rPr>
        <w:t xml:space="preserve">recommendations </w:t>
      </w:r>
      <w:r w:rsidRPr="00B67B4F">
        <w:rPr>
          <w:rFonts w:asciiTheme="majorHAnsi" w:hAnsiTheme="majorHAnsi" w:cstheme="majorHAnsi"/>
          <w:i/>
          <w:iCs/>
        </w:rPr>
        <w:t>for DFAT</w:t>
      </w:r>
      <w:r w:rsidR="00135E0D" w:rsidRPr="00B67B4F">
        <w:rPr>
          <w:rFonts w:asciiTheme="majorHAnsi" w:hAnsiTheme="majorHAnsi" w:cstheme="majorHAnsi"/>
          <w:i/>
          <w:iCs/>
        </w:rPr>
        <w:t>’s</w:t>
      </w:r>
      <w:r w:rsidRPr="00B67B4F">
        <w:rPr>
          <w:rFonts w:asciiTheme="majorHAnsi" w:hAnsiTheme="majorHAnsi" w:cstheme="majorHAnsi"/>
          <w:i/>
          <w:iCs/>
        </w:rPr>
        <w:t xml:space="preserve"> and</w:t>
      </w:r>
      <w:r w:rsidR="000641E2" w:rsidRPr="00B67B4F">
        <w:rPr>
          <w:rFonts w:asciiTheme="majorHAnsi" w:hAnsiTheme="majorHAnsi" w:cstheme="majorHAnsi"/>
          <w:i/>
          <w:iCs/>
        </w:rPr>
        <w:t xml:space="preserve"> World </w:t>
      </w:r>
      <w:proofErr w:type="gramStart"/>
      <w:r w:rsidR="000641E2" w:rsidRPr="00B67B4F">
        <w:rPr>
          <w:rFonts w:asciiTheme="majorHAnsi" w:hAnsiTheme="majorHAnsi" w:cstheme="majorHAnsi"/>
          <w:i/>
          <w:iCs/>
        </w:rPr>
        <w:t>Bank</w:t>
      </w:r>
      <w:r w:rsidR="00135E0D" w:rsidRPr="00B67B4F">
        <w:rPr>
          <w:rFonts w:asciiTheme="majorHAnsi" w:hAnsiTheme="majorHAnsi" w:cstheme="majorHAnsi"/>
          <w:i/>
          <w:iCs/>
        </w:rPr>
        <w:t xml:space="preserve">  consideration</w:t>
      </w:r>
      <w:proofErr w:type="gramEnd"/>
      <w:r w:rsidRPr="00B67B4F">
        <w:rPr>
          <w:rFonts w:asciiTheme="majorHAnsi" w:hAnsiTheme="majorHAnsi" w:cstheme="majorHAnsi"/>
          <w:i/>
          <w:iCs/>
        </w:rPr>
        <w:t xml:space="preserve">. </w:t>
      </w:r>
      <w:r w:rsidR="00A528E4" w:rsidRPr="00B67B4F">
        <w:rPr>
          <w:rFonts w:asciiTheme="majorHAnsi" w:hAnsiTheme="majorHAnsi" w:cstheme="majorHAnsi"/>
          <w:i/>
          <w:iCs/>
        </w:rPr>
        <w:t xml:space="preserve">DFAT management responses are provided </w:t>
      </w:r>
      <w:r w:rsidR="00DB3B7A" w:rsidRPr="00B67B4F">
        <w:rPr>
          <w:rFonts w:asciiTheme="majorHAnsi" w:hAnsiTheme="majorHAnsi" w:cstheme="majorHAnsi"/>
          <w:i/>
          <w:iCs/>
        </w:rPr>
        <w:t xml:space="preserve">for </w:t>
      </w:r>
      <w:r w:rsidR="00A528E4" w:rsidRPr="00B67B4F">
        <w:rPr>
          <w:rFonts w:asciiTheme="majorHAnsi" w:hAnsiTheme="majorHAnsi" w:cstheme="majorHAnsi"/>
          <w:i/>
          <w:iCs/>
        </w:rPr>
        <w:t xml:space="preserve">those that </w:t>
      </w:r>
      <w:r w:rsidR="00DB3B7A" w:rsidRPr="00B67B4F">
        <w:rPr>
          <w:rFonts w:asciiTheme="majorHAnsi" w:hAnsiTheme="majorHAnsi" w:cstheme="majorHAnsi"/>
          <w:i/>
          <w:iCs/>
        </w:rPr>
        <w:t xml:space="preserve">are </w:t>
      </w:r>
      <w:r w:rsidR="00A528E4" w:rsidRPr="00B67B4F">
        <w:rPr>
          <w:rFonts w:asciiTheme="majorHAnsi" w:hAnsiTheme="majorHAnsi" w:cstheme="majorHAnsi"/>
          <w:i/>
          <w:iCs/>
        </w:rPr>
        <w:t xml:space="preserve">either addressed to DFAT </w:t>
      </w:r>
      <w:r w:rsidR="00014754" w:rsidRPr="00B67B4F">
        <w:rPr>
          <w:rFonts w:asciiTheme="majorHAnsi" w:hAnsiTheme="majorHAnsi" w:cstheme="majorHAnsi"/>
          <w:i/>
          <w:iCs/>
        </w:rPr>
        <w:t xml:space="preserve">or </w:t>
      </w:r>
      <w:r w:rsidR="00A92CED" w:rsidRPr="00B67B4F">
        <w:rPr>
          <w:rFonts w:asciiTheme="majorHAnsi" w:hAnsiTheme="majorHAnsi" w:cstheme="majorHAnsi"/>
          <w:i/>
          <w:iCs/>
        </w:rPr>
        <w:t xml:space="preserve">both </w:t>
      </w:r>
      <w:r w:rsidR="00014754" w:rsidRPr="00B67B4F">
        <w:rPr>
          <w:rFonts w:asciiTheme="majorHAnsi" w:hAnsiTheme="majorHAnsi" w:cstheme="majorHAnsi"/>
          <w:i/>
          <w:iCs/>
        </w:rPr>
        <w:t>DFAT and WB.</w:t>
      </w:r>
    </w:p>
    <w:p w14:paraId="645576BC" w14:textId="77777777" w:rsidR="00EA67DB" w:rsidRPr="00B67B4F" w:rsidRDefault="00EA67DB" w:rsidP="00033DA0">
      <w:pPr>
        <w:spacing w:before="0"/>
        <w:rPr>
          <w:rFonts w:asciiTheme="majorHAnsi" w:hAnsiTheme="majorHAnsi" w:cstheme="majorHAnsi"/>
          <w:sz w:val="28"/>
        </w:rPr>
      </w:pPr>
      <w:bookmarkStart w:id="0" w:name="_Toc119768479"/>
    </w:p>
    <w:p w14:paraId="72699346" w14:textId="578D54D0" w:rsidR="00FD76CC" w:rsidRDefault="00FD76CC" w:rsidP="00033DA0">
      <w:pPr>
        <w:spacing w:before="0"/>
        <w:rPr>
          <w:rFonts w:asciiTheme="majorHAnsi" w:hAnsiTheme="majorHAnsi" w:cstheme="majorHAnsi"/>
          <w:sz w:val="28"/>
        </w:rPr>
      </w:pPr>
      <w:r w:rsidRPr="00B67B4F">
        <w:rPr>
          <w:rFonts w:asciiTheme="majorHAnsi" w:hAnsiTheme="majorHAnsi" w:cstheme="majorHAnsi"/>
          <w:sz w:val="28"/>
        </w:rPr>
        <w:t>Recommendations</w:t>
      </w:r>
      <w:bookmarkEnd w:id="0"/>
    </w:p>
    <w:p w14:paraId="63FB868D" w14:textId="77777777" w:rsidR="00033DA0" w:rsidRPr="00BF77DE" w:rsidRDefault="00033DA0" w:rsidP="00033DA0">
      <w:pPr>
        <w:spacing w:before="0"/>
        <w:rPr>
          <w:rFonts w:asciiTheme="majorHAnsi" w:hAnsiTheme="majorHAnsi" w:cstheme="majorHAnsi"/>
          <w:szCs w:val="20"/>
        </w:rPr>
      </w:pPr>
    </w:p>
    <w:p w14:paraId="3FA6AB44" w14:textId="1EA5191E" w:rsidR="008C5F98" w:rsidRPr="00B67B4F" w:rsidRDefault="00D67217" w:rsidP="00033DA0">
      <w:pPr>
        <w:pStyle w:val="Heading5"/>
        <w:numPr>
          <w:ilvl w:val="0"/>
          <w:numId w:val="8"/>
        </w:numPr>
        <w:spacing w:before="0"/>
        <w:rPr>
          <w:rFonts w:cstheme="majorHAnsi"/>
          <w:b/>
          <w:bCs/>
          <w:color w:val="auto"/>
        </w:rPr>
      </w:pPr>
      <w:bookmarkStart w:id="1" w:name="_Toc119768480"/>
      <w:r w:rsidRPr="00B67B4F">
        <w:rPr>
          <w:rFonts w:cstheme="majorHAnsi"/>
          <w:b/>
          <w:bCs/>
          <w:color w:val="auto"/>
        </w:rPr>
        <w:t>On Gender Equality</w:t>
      </w:r>
      <w:r w:rsidR="00732AE8">
        <w:rPr>
          <w:rFonts w:cstheme="majorHAnsi"/>
          <w:b/>
          <w:bCs/>
          <w:color w:val="auto"/>
        </w:rPr>
        <w:t xml:space="preserve"> </w:t>
      </w:r>
      <w:r w:rsidR="00732AE8" w:rsidRPr="00B67B4F">
        <w:rPr>
          <w:rFonts w:cstheme="majorHAnsi"/>
          <w:b/>
          <w:bCs/>
          <w:color w:val="auto"/>
        </w:rPr>
        <w:t>[for DFAT and WB]</w:t>
      </w:r>
    </w:p>
    <w:bookmarkEnd w:id="1"/>
    <w:p w14:paraId="1243DD3F" w14:textId="64007AE8" w:rsidR="00D67217" w:rsidRDefault="00B67B4F" w:rsidP="00033DA0">
      <w:pPr>
        <w:pStyle w:val="ListParagraph"/>
        <w:numPr>
          <w:ilvl w:val="0"/>
          <w:numId w:val="7"/>
        </w:numPr>
        <w:spacing w:before="0" w:after="0"/>
        <w:rPr>
          <w:rFonts w:asciiTheme="majorHAnsi" w:hAnsiTheme="majorHAnsi" w:cstheme="majorHAnsi"/>
          <w:color w:val="auto"/>
          <w:lang w:val="en"/>
        </w:rPr>
      </w:pPr>
      <w:r w:rsidRPr="00197E49">
        <w:rPr>
          <w:rFonts w:asciiTheme="majorHAnsi" w:hAnsiTheme="majorHAnsi" w:cstheme="majorHAnsi"/>
          <w:color w:val="auto"/>
          <w:lang w:val="en"/>
        </w:rPr>
        <w:t>Revise the Trust Fund Operations manual to include clearer expectations on gender equality and women’s economic empowerment</w:t>
      </w:r>
      <w:r w:rsidR="00197E49" w:rsidRPr="00197E49">
        <w:rPr>
          <w:rFonts w:asciiTheme="majorHAnsi" w:hAnsiTheme="majorHAnsi" w:cstheme="majorHAnsi"/>
          <w:color w:val="auto"/>
          <w:lang w:val="en"/>
        </w:rPr>
        <w:t xml:space="preserve">, and the </w:t>
      </w:r>
      <w:proofErr w:type="spellStart"/>
      <w:r w:rsidRPr="00197E49">
        <w:rPr>
          <w:rFonts w:asciiTheme="majorHAnsi" w:hAnsiTheme="majorHAnsi" w:cstheme="majorHAnsi"/>
          <w:color w:val="auto"/>
          <w:lang w:val="en"/>
        </w:rPr>
        <w:t>AGaP</w:t>
      </w:r>
      <w:proofErr w:type="spellEnd"/>
      <w:r w:rsidRPr="00197E49">
        <w:rPr>
          <w:rFonts w:asciiTheme="majorHAnsi" w:hAnsiTheme="majorHAnsi" w:cstheme="majorHAnsi"/>
          <w:color w:val="auto"/>
          <w:lang w:val="en"/>
        </w:rPr>
        <w:t xml:space="preserve"> results framework to include gender as a cross-cutting theme, consistent with the grant proposals and reporting templates.</w:t>
      </w:r>
    </w:p>
    <w:p w14:paraId="0177F4C5" w14:textId="77777777" w:rsidR="00033DA0" w:rsidRPr="00197E49" w:rsidRDefault="00033DA0" w:rsidP="00033DA0">
      <w:pPr>
        <w:pStyle w:val="ListParagraph"/>
        <w:spacing w:before="0" w:after="0"/>
        <w:rPr>
          <w:rFonts w:asciiTheme="majorHAnsi" w:hAnsiTheme="majorHAnsi" w:cstheme="majorHAnsi"/>
          <w:color w:val="auto"/>
          <w:lang w:val="en"/>
        </w:rPr>
      </w:pPr>
    </w:p>
    <w:p w14:paraId="50BE1A64" w14:textId="082F59BA" w:rsidR="0048513B" w:rsidRDefault="000E3349" w:rsidP="00033DA0">
      <w:pPr>
        <w:spacing w:before="0"/>
        <w:ind w:left="1418" w:right="1088"/>
        <w:rPr>
          <w:rFonts w:asciiTheme="majorHAnsi" w:hAnsiTheme="majorHAnsi" w:cstheme="majorHAnsi"/>
          <w:i/>
          <w:iCs/>
        </w:rPr>
      </w:pPr>
      <w:r w:rsidRPr="00B67B4F">
        <w:rPr>
          <w:rFonts w:asciiTheme="majorHAnsi" w:hAnsiTheme="majorHAnsi" w:cstheme="majorHAnsi"/>
          <w:i/>
          <w:iCs/>
        </w:rPr>
        <w:t>DFAT a</w:t>
      </w:r>
      <w:r w:rsidR="00BF665F" w:rsidRPr="00B67B4F">
        <w:rPr>
          <w:rFonts w:asciiTheme="majorHAnsi" w:hAnsiTheme="majorHAnsi" w:cstheme="majorHAnsi"/>
          <w:i/>
          <w:iCs/>
        </w:rPr>
        <w:t>gree</w:t>
      </w:r>
      <w:r w:rsidRPr="00B67B4F">
        <w:rPr>
          <w:rFonts w:asciiTheme="majorHAnsi" w:hAnsiTheme="majorHAnsi" w:cstheme="majorHAnsi"/>
          <w:i/>
          <w:iCs/>
        </w:rPr>
        <w:t>s</w:t>
      </w:r>
      <w:r w:rsidR="00BF665F" w:rsidRPr="00B67B4F">
        <w:rPr>
          <w:rFonts w:asciiTheme="majorHAnsi" w:hAnsiTheme="majorHAnsi" w:cstheme="majorHAnsi"/>
          <w:i/>
          <w:iCs/>
        </w:rPr>
        <w:t xml:space="preserve">. </w:t>
      </w:r>
      <w:r w:rsidR="0048513B">
        <w:rPr>
          <w:rFonts w:asciiTheme="majorHAnsi" w:hAnsiTheme="majorHAnsi" w:cstheme="majorHAnsi"/>
          <w:i/>
          <w:iCs/>
        </w:rPr>
        <w:t xml:space="preserve">DFAT will work with </w:t>
      </w:r>
      <w:r w:rsidR="005B3589">
        <w:rPr>
          <w:rFonts w:asciiTheme="majorHAnsi" w:hAnsiTheme="majorHAnsi" w:cstheme="majorHAnsi"/>
          <w:i/>
          <w:iCs/>
        </w:rPr>
        <w:t xml:space="preserve">the </w:t>
      </w:r>
      <w:r w:rsidR="0048513B">
        <w:rPr>
          <w:rFonts w:asciiTheme="majorHAnsi" w:hAnsiTheme="majorHAnsi" w:cstheme="majorHAnsi"/>
          <w:i/>
          <w:iCs/>
        </w:rPr>
        <w:t xml:space="preserve">World Bank to revise the Trust Fund Operations manual to ensure that </w:t>
      </w:r>
      <w:r w:rsidR="0048513B" w:rsidRPr="00033DA0">
        <w:rPr>
          <w:rFonts w:asciiTheme="majorHAnsi" w:hAnsiTheme="majorHAnsi" w:cstheme="majorHAnsi"/>
          <w:i/>
          <w:iCs/>
        </w:rPr>
        <w:t>reporting on gender equality and women’s empowerment progress and results is explicit and visible in six-monthly and annual reports. For new proposals to be supported under the Trust Fund, increased effort will be made to develop gender equality indicators, which will assist the program to improve reporting on gender, and lessons learned.</w:t>
      </w:r>
    </w:p>
    <w:p w14:paraId="360A5841" w14:textId="59A60207" w:rsidR="00F068F0" w:rsidRPr="00B67B4F" w:rsidRDefault="00F068F0" w:rsidP="00033DA0">
      <w:pPr>
        <w:spacing w:before="0"/>
        <w:ind w:left="1418" w:right="1088"/>
        <w:rPr>
          <w:rFonts w:asciiTheme="majorHAnsi" w:hAnsiTheme="majorHAnsi" w:cstheme="majorHAnsi"/>
          <w:i/>
          <w:iCs/>
        </w:rPr>
      </w:pPr>
    </w:p>
    <w:p w14:paraId="382A73D0" w14:textId="77777777" w:rsidR="00B84170" w:rsidRPr="00B67B4F" w:rsidRDefault="00B84170" w:rsidP="00033DA0">
      <w:pPr>
        <w:spacing w:before="0"/>
        <w:ind w:left="1418" w:right="1088"/>
        <w:rPr>
          <w:rFonts w:asciiTheme="majorHAnsi" w:hAnsiTheme="majorHAnsi" w:cstheme="majorHAnsi"/>
          <w:i/>
          <w:iCs/>
        </w:rPr>
      </w:pPr>
    </w:p>
    <w:p w14:paraId="07329348" w14:textId="1785C36E" w:rsidR="00C0689F" w:rsidRPr="00570AD5" w:rsidRDefault="00C0689F" w:rsidP="00C0689F">
      <w:pPr>
        <w:pStyle w:val="Heading5"/>
        <w:numPr>
          <w:ilvl w:val="0"/>
          <w:numId w:val="8"/>
        </w:numPr>
        <w:spacing w:before="0"/>
        <w:rPr>
          <w:rFonts w:eastAsiaTheme="minorHAnsi" w:cstheme="majorHAnsi"/>
          <w:b/>
          <w:bCs/>
          <w:color w:val="auto"/>
        </w:rPr>
      </w:pPr>
      <w:r>
        <w:rPr>
          <w:rFonts w:eastAsiaTheme="minorHAnsi" w:cstheme="majorHAnsi"/>
          <w:b/>
          <w:bCs/>
          <w:color w:val="auto"/>
        </w:rPr>
        <w:t xml:space="preserve">On </w:t>
      </w:r>
      <w:r w:rsidRPr="00570AD5">
        <w:rPr>
          <w:rFonts w:eastAsiaTheme="minorHAnsi" w:cstheme="majorHAnsi"/>
          <w:b/>
          <w:bCs/>
          <w:color w:val="auto"/>
        </w:rPr>
        <w:t>Disability</w:t>
      </w:r>
      <w:r w:rsidR="00732AE8">
        <w:rPr>
          <w:rFonts w:eastAsiaTheme="minorHAnsi" w:cstheme="majorHAnsi"/>
          <w:b/>
          <w:bCs/>
          <w:color w:val="auto"/>
        </w:rPr>
        <w:t xml:space="preserve"> </w:t>
      </w:r>
      <w:r w:rsidR="00732AE8" w:rsidRPr="00B67B4F">
        <w:rPr>
          <w:rFonts w:cstheme="majorHAnsi"/>
          <w:b/>
          <w:bCs/>
          <w:color w:val="auto"/>
        </w:rPr>
        <w:t>[for DFAT and WB]</w:t>
      </w:r>
    </w:p>
    <w:p w14:paraId="178F192C" w14:textId="5D08DA4C" w:rsidR="00C0689F" w:rsidRDefault="006A74C0" w:rsidP="00C0689F">
      <w:pPr>
        <w:pStyle w:val="ListParagraph"/>
        <w:numPr>
          <w:ilvl w:val="0"/>
          <w:numId w:val="10"/>
        </w:numPr>
        <w:rPr>
          <w:rFonts w:asciiTheme="majorHAnsi" w:hAnsiTheme="majorHAnsi" w:cstheme="majorHAnsi"/>
          <w:color w:val="auto"/>
        </w:rPr>
      </w:pPr>
      <w:r w:rsidRPr="00570AD5">
        <w:rPr>
          <w:rFonts w:asciiTheme="majorHAnsi" w:hAnsiTheme="majorHAnsi" w:cstheme="majorHAnsi"/>
          <w:color w:val="auto"/>
        </w:rPr>
        <w:t>Revise the Operations Manual to include clearer expectations on disability, and social inclusion considerations more broadly.</w:t>
      </w:r>
    </w:p>
    <w:p w14:paraId="591CDE7A" w14:textId="77777777" w:rsidR="00104D60" w:rsidRDefault="00104D60" w:rsidP="00A56A8C">
      <w:pPr>
        <w:pStyle w:val="ListParagraph"/>
        <w:ind w:left="1418" w:right="1088"/>
        <w:rPr>
          <w:rFonts w:asciiTheme="majorHAnsi" w:hAnsiTheme="majorHAnsi" w:cstheme="majorHAnsi"/>
          <w:i/>
          <w:iCs/>
          <w:color w:val="auto"/>
        </w:rPr>
      </w:pPr>
    </w:p>
    <w:p w14:paraId="0C902321" w14:textId="4D42BE42" w:rsidR="0048513B" w:rsidRPr="00A56A8C" w:rsidRDefault="00A56A8C" w:rsidP="0048513B">
      <w:pPr>
        <w:pStyle w:val="ListParagraph"/>
        <w:ind w:left="1418" w:right="1088"/>
        <w:rPr>
          <w:rFonts w:asciiTheme="majorHAnsi" w:hAnsiTheme="majorHAnsi" w:cstheme="majorHAnsi"/>
          <w:i/>
          <w:iCs/>
          <w:color w:val="auto"/>
        </w:rPr>
      </w:pPr>
      <w:r>
        <w:rPr>
          <w:rFonts w:asciiTheme="majorHAnsi" w:hAnsiTheme="majorHAnsi" w:cstheme="majorHAnsi"/>
          <w:i/>
          <w:iCs/>
          <w:color w:val="auto"/>
        </w:rPr>
        <w:t xml:space="preserve">DFAT agrees. </w:t>
      </w:r>
      <w:r w:rsidR="0048513B" w:rsidRPr="00A56A8C">
        <w:rPr>
          <w:rFonts w:asciiTheme="majorHAnsi" w:hAnsiTheme="majorHAnsi" w:cstheme="majorHAnsi"/>
          <w:i/>
          <w:iCs/>
          <w:color w:val="auto"/>
        </w:rPr>
        <w:t>For new proposals to be supported under the Trust Fund, increased effort will be made to develop disability inclusion objectives.</w:t>
      </w:r>
      <w:r w:rsidR="0048513B">
        <w:rPr>
          <w:rFonts w:asciiTheme="majorHAnsi" w:hAnsiTheme="majorHAnsi" w:cstheme="majorHAnsi"/>
          <w:i/>
          <w:iCs/>
          <w:color w:val="auto"/>
        </w:rPr>
        <w:t xml:space="preserve"> DFAT will continuously work with the </w:t>
      </w:r>
      <w:proofErr w:type="spellStart"/>
      <w:r w:rsidR="0048513B">
        <w:rPr>
          <w:rFonts w:asciiTheme="majorHAnsi" w:hAnsiTheme="majorHAnsi" w:cstheme="majorHAnsi"/>
          <w:i/>
          <w:iCs/>
          <w:color w:val="auto"/>
        </w:rPr>
        <w:t>AGaP</w:t>
      </w:r>
      <w:proofErr w:type="spellEnd"/>
      <w:r w:rsidR="0048513B">
        <w:rPr>
          <w:rFonts w:asciiTheme="majorHAnsi" w:hAnsiTheme="majorHAnsi" w:cstheme="majorHAnsi"/>
          <w:i/>
          <w:iCs/>
          <w:color w:val="auto"/>
        </w:rPr>
        <w:t xml:space="preserve"> Operations Secretariat to ensure that disability-inclusion objectives are developed where it makes sense. As part of the revision of the Trust Fund Operations Manual, disability reporting will be made explicit and visible in the reports to be submitted to DFAT. </w:t>
      </w:r>
      <w:r w:rsidR="007A5194" w:rsidRPr="00A56A8C">
        <w:rPr>
          <w:rFonts w:asciiTheme="majorHAnsi" w:hAnsiTheme="majorHAnsi" w:cstheme="majorHAnsi"/>
          <w:i/>
          <w:iCs/>
          <w:color w:val="auto"/>
        </w:rPr>
        <w:t xml:space="preserve">This includes reporting and analysis on the extent to which investments </w:t>
      </w:r>
      <w:r w:rsidR="005B3589">
        <w:rPr>
          <w:rFonts w:asciiTheme="majorHAnsi" w:hAnsiTheme="majorHAnsi" w:cstheme="majorHAnsi"/>
          <w:i/>
          <w:iCs/>
          <w:color w:val="auto"/>
        </w:rPr>
        <w:t xml:space="preserve">have </w:t>
      </w:r>
      <w:r w:rsidR="007A5194" w:rsidRPr="00A56A8C">
        <w:rPr>
          <w:rFonts w:asciiTheme="majorHAnsi" w:hAnsiTheme="majorHAnsi" w:cstheme="majorHAnsi"/>
          <w:i/>
          <w:iCs/>
          <w:color w:val="auto"/>
        </w:rPr>
        <w:t>actively involved people with disabilities and/or disabled people’s</w:t>
      </w:r>
      <w:r w:rsidR="007A5194">
        <w:rPr>
          <w:rFonts w:asciiTheme="majorHAnsi" w:hAnsiTheme="majorHAnsi" w:cstheme="majorHAnsi"/>
          <w:i/>
          <w:iCs/>
          <w:color w:val="auto"/>
        </w:rPr>
        <w:t xml:space="preserve"> </w:t>
      </w:r>
      <w:r w:rsidR="007A5194" w:rsidRPr="00A56A8C">
        <w:rPr>
          <w:rFonts w:asciiTheme="majorHAnsi" w:hAnsiTheme="majorHAnsi" w:cstheme="majorHAnsi"/>
          <w:i/>
          <w:iCs/>
          <w:color w:val="auto"/>
        </w:rPr>
        <w:t xml:space="preserve">organisations in planning, implementing, </w:t>
      </w:r>
      <w:proofErr w:type="gramStart"/>
      <w:r w:rsidR="007A5194" w:rsidRPr="00A56A8C">
        <w:rPr>
          <w:rFonts w:asciiTheme="majorHAnsi" w:hAnsiTheme="majorHAnsi" w:cstheme="majorHAnsi"/>
          <w:i/>
          <w:iCs/>
          <w:color w:val="auto"/>
        </w:rPr>
        <w:t>monitoring</w:t>
      </w:r>
      <w:proofErr w:type="gramEnd"/>
      <w:r w:rsidR="007A5194" w:rsidRPr="00A56A8C">
        <w:rPr>
          <w:rFonts w:asciiTheme="majorHAnsi" w:hAnsiTheme="majorHAnsi" w:cstheme="majorHAnsi"/>
          <w:i/>
          <w:iCs/>
          <w:color w:val="auto"/>
        </w:rPr>
        <w:t xml:space="preserve"> and evaluating the program’s impact on people with disabilities and to what extent barriers and opportunities</w:t>
      </w:r>
      <w:r w:rsidR="005558B6">
        <w:rPr>
          <w:rFonts w:asciiTheme="majorHAnsi" w:hAnsiTheme="majorHAnsi" w:cstheme="majorHAnsi"/>
          <w:i/>
          <w:iCs/>
          <w:color w:val="auto"/>
        </w:rPr>
        <w:t xml:space="preserve"> have</w:t>
      </w:r>
      <w:r w:rsidR="007A5194" w:rsidRPr="00A56A8C">
        <w:rPr>
          <w:rFonts w:asciiTheme="majorHAnsi" w:hAnsiTheme="majorHAnsi" w:cstheme="majorHAnsi"/>
          <w:i/>
          <w:iCs/>
          <w:color w:val="auto"/>
        </w:rPr>
        <w:t xml:space="preserve"> been identified and addressed for</w:t>
      </w:r>
      <w:r w:rsidR="007A5194">
        <w:rPr>
          <w:rFonts w:asciiTheme="majorHAnsi" w:hAnsiTheme="majorHAnsi" w:cstheme="majorHAnsi"/>
          <w:i/>
          <w:iCs/>
          <w:color w:val="auto"/>
        </w:rPr>
        <w:t xml:space="preserve"> </w:t>
      </w:r>
      <w:r w:rsidR="007A5194" w:rsidRPr="00A56A8C">
        <w:rPr>
          <w:rFonts w:asciiTheme="majorHAnsi" w:hAnsiTheme="majorHAnsi" w:cstheme="majorHAnsi"/>
          <w:i/>
          <w:iCs/>
          <w:color w:val="auto"/>
        </w:rPr>
        <w:t>people with disabilities to enable them to benefit equally.</w:t>
      </w:r>
    </w:p>
    <w:p w14:paraId="7604EC06" w14:textId="10A06C94" w:rsidR="0048513B" w:rsidRDefault="0048513B" w:rsidP="00A56A8C">
      <w:pPr>
        <w:pStyle w:val="ListParagraph"/>
        <w:ind w:left="1418" w:right="1088"/>
        <w:rPr>
          <w:rFonts w:asciiTheme="majorHAnsi" w:hAnsiTheme="majorHAnsi" w:cstheme="majorHAnsi"/>
          <w:i/>
          <w:iCs/>
          <w:color w:val="auto"/>
        </w:rPr>
      </w:pPr>
    </w:p>
    <w:p w14:paraId="637D240F" w14:textId="77777777" w:rsidR="0048513B" w:rsidRDefault="0048513B" w:rsidP="00A56A8C">
      <w:pPr>
        <w:pStyle w:val="ListParagraph"/>
        <w:ind w:left="1418" w:right="1088"/>
        <w:rPr>
          <w:rFonts w:asciiTheme="majorHAnsi" w:hAnsiTheme="majorHAnsi" w:cstheme="majorHAnsi"/>
          <w:i/>
          <w:iCs/>
          <w:color w:val="auto"/>
        </w:rPr>
      </w:pPr>
    </w:p>
    <w:p w14:paraId="27811BAF" w14:textId="0596979F" w:rsidR="00D54463" w:rsidRPr="00B67B4F" w:rsidRDefault="00D54463" w:rsidP="00033DA0">
      <w:pPr>
        <w:pStyle w:val="Heading5"/>
        <w:numPr>
          <w:ilvl w:val="0"/>
          <w:numId w:val="8"/>
        </w:numPr>
        <w:spacing w:before="0"/>
        <w:rPr>
          <w:rFonts w:eastAsiaTheme="minorHAnsi" w:cstheme="majorHAnsi"/>
          <w:b/>
          <w:bCs/>
          <w:color w:val="auto"/>
        </w:rPr>
      </w:pPr>
      <w:r w:rsidRPr="00B67B4F">
        <w:rPr>
          <w:rFonts w:eastAsiaTheme="minorHAnsi" w:cstheme="majorHAnsi"/>
          <w:b/>
          <w:bCs/>
          <w:color w:val="auto"/>
        </w:rPr>
        <w:t xml:space="preserve">On </w:t>
      </w:r>
      <w:r w:rsidR="007D17E6" w:rsidRPr="00B67B4F">
        <w:rPr>
          <w:rFonts w:eastAsiaTheme="minorHAnsi" w:cstheme="majorHAnsi"/>
          <w:b/>
          <w:bCs/>
          <w:color w:val="auto"/>
        </w:rPr>
        <w:t>Sustainability</w:t>
      </w:r>
      <w:r w:rsidR="00732AE8">
        <w:rPr>
          <w:rFonts w:eastAsiaTheme="minorHAnsi" w:cstheme="majorHAnsi"/>
          <w:b/>
          <w:bCs/>
          <w:color w:val="auto"/>
        </w:rPr>
        <w:t xml:space="preserve"> </w:t>
      </w:r>
      <w:r w:rsidR="00D548FF">
        <w:rPr>
          <w:rFonts w:eastAsiaTheme="minorHAnsi" w:cstheme="majorHAnsi"/>
          <w:b/>
          <w:bCs/>
          <w:color w:val="auto"/>
        </w:rPr>
        <w:t>[for DFAT]</w:t>
      </w:r>
    </w:p>
    <w:p w14:paraId="00C639FE" w14:textId="7D43635C" w:rsidR="007D17E6" w:rsidRPr="00B67B4F" w:rsidRDefault="007D17E6" w:rsidP="00033DA0">
      <w:pPr>
        <w:pStyle w:val="ListParagraph"/>
        <w:numPr>
          <w:ilvl w:val="0"/>
          <w:numId w:val="7"/>
        </w:numPr>
        <w:spacing w:before="0" w:after="0"/>
        <w:rPr>
          <w:rFonts w:asciiTheme="majorHAnsi" w:hAnsiTheme="majorHAnsi" w:cstheme="majorHAnsi"/>
          <w:color w:val="auto"/>
        </w:rPr>
      </w:pPr>
      <w:r w:rsidRPr="00B67B4F">
        <w:rPr>
          <w:rFonts w:asciiTheme="majorHAnsi" w:hAnsiTheme="majorHAnsi" w:cstheme="majorHAnsi"/>
          <w:color w:val="auto"/>
        </w:rPr>
        <w:t xml:space="preserve">The partnership should better utilise resources and diplomacy from DFAT, </w:t>
      </w:r>
      <w:proofErr w:type="gramStart"/>
      <w:r w:rsidRPr="00B67B4F">
        <w:rPr>
          <w:rFonts w:asciiTheme="majorHAnsi" w:hAnsiTheme="majorHAnsi" w:cstheme="majorHAnsi"/>
          <w:color w:val="auto"/>
        </w:rPr>
        <w:t>in particular the</w:t>
      </w:r>
      <w:proofErr w:type="gramEnd"/>
      <w:r w:rsidRPr="00B67B4F">
        <w:rPr>
          <w:rFonts w:asciiTheme="majorHAnsi" w:hAnsiTheme="majorHAnsi" w:cstheme="majorHAnsi"/>
          <w:color w:val="auto"/>
        </w:rPr>
        <w:t xml:space="preserve"> Ambassador, to improve the sustainability of </w:t>
      </w:r>
      <w:proofErr w:type="spellStart"/>
      <w:r w:rsidRPr="00B67B4F">
        <w:rPr>
          <w:rFonts w:asciiTheme="majorHAnsi" w:hAnsiTheme="majorHAnsi" w:cstheme="majorHAnsi"/>
          <w:color w:val="auto"/>
        </w:rPr>
        <w:t>AGaP</w:t>
      </w:r>
      <w:proofErr w:type="spellEnd"/>
      <w:r w:rsidRPr="00B67B4F">
        <w:rPr>
          <w:rFonts w:asciiTheme="majorHAnsi" w:hAnsiTheme="majorHAnsi" w:cstheme="majorHAnsi"/>
          <w:color w:val="auto"/>
        </w:rPr>
        <w:t xml:space="preserve">. </w:t>
      </w:r>
    </w:p>
    <w:p w14:paraId="3FAE9D86" w14:textId="77777777" w:rsidR="0048513B" w:rsidRDefault="0048513B" w:rsidP="00033DA0">
      <w:pPr>
        <w:spacing w:before="0"/>
        <w:ind w:left="1418" w:right="1088"/>
        <w:rPr>
          <w:rFonts w:asciiTheme="majorHAnsi" w:eastAsiaTheme="minorHAnsi" w:hAnsiTheme="majorHAnsi" w:cstheme="majorHAnsi"/>
          <w:i/>
          <w:iCs/>
        </w:rPr>
      </w:pPr>
    </w:p>
    <w:p w14:paraId="781789C8" w14:textId="74780E13" w:rsidR="007D17E6" w:rsidRPr="00B67B4F" w:rsidRDefault="008710E4" w:rsidP="00033DA0">
      <w:pPr>
        <w:spacing w:before="0"/>
        <w:ind w:left="1418" w:right="1088"/>
        <w:rPr>
          <w:rFonts w:asciiTheme="majorHAnsi" w:eastAsiaTheme="minorHAnsi" w:hAnsiTheme="majorHAnsi" w:cstheme="majorHAnsi"/>
          <w:i/>
          <w:iCs/>
        </w:rPr>
      </w:pPr>
      <w:r w:rsidRPr="00B67B4F">
        <w:rPr>
          <w:rFonts w:asciiTheme="majorHAnsi" w:eastAsiaTheme="minorHAnsi" w:hAnsiTheme="majorHAnsi" w:cstheme="majorHAnsi"/>
          <w:i/>
          <w:iCs/>
        </w:rPr>
        <w:t xml:space="preserve">DFAT </w:t>
      </w:r>
      <w:r w:rsidR="00722906" w:rsidRPr="00B67B4F">
        <w:rPr>
          <w:rFonts w:asciiTheme="majorHAnsi" w:eastAsiaTheme="minorHAnsi" w:hAnsiTheme="majorHAnsi" w:cstheme="majorHAnsi"/>
          <w:i/>
          <w:iCs/>
        </w:rPr>
        <w:t xml:space="preserve">partially </w:t>
      </w:r>
      <w:r w:rsidRPr="00B67B4F">
        <w:rPr>
          <w:rFonts w:asciiTheme="majorHAnsi" w:eastAsiaTheme="minorHAnsi" w:hAnsiTheme="majorHAnsi" w:cstheme="majorHAnsi"/>
          <w:i/>
          <w:iCs/>
        </w:rPr>
        <w:t>agrees</w:t>
      </w:r>
      <w:r w:rsidR="000E3349" w:rsidRPr="00B67B4F">
        <w:rPr>
          <w:rFonts w:asciiTheme="majorHAnsi" w:eastAsiaTheme="minorHAnsi" w:hAnsiTheme="majorHAnsi" w:cstheme="majorHAnsi"/>
          <w:i/>
          <w:iCs/>
        </w:rPr>
        <w:t xml:space="preserve">. </w:t>
      </w:r>
      <w:r w:rsidR="005F550C" w:rsidRPr="005F550C">
        <w:rPr>
          <w:rFonts w:asciiTheme="majorHAnsi" w:eastAsiaTheme="minorHAnsi" w:hAnsiTheme="majorHAnsi" w:cstheme="majorHAnsi"/>
          <w:i/>
          <w:iCs/>
        </w:rPr>
        <w:t xml:space="preserve">Future activities under the trust fund should reference the objectives laid out in the recently released Philippines Development Plan 2023-28. DFAT will seek to improve engagement with Philippine counterparts and involvement in policy reform discussions to strengthen visibility and impact of our development assistance, as well as broader coherence with other bilateral assistance. DFAT will </w:t>
      </w:r>
      <w:r w:rsidR="005558B6">
        <w:rPr>
          <w:rFonts w:asciiTheme="majorHAnsi" w:eastAsiaTheme="minorHAnsi" w:hAnsiTheme="majorHAnsi" w:cstheme="majorHAnsi"/>
          <w:i/>
          <w:iCs/>
        </w:rPr>
        <w:t>seek</w:t>
      </w:r>
      <w:r w:rsidR="005F550C" w:rsidRPr="005F550C">
        <w:rPr>
          <w:rFonts w:asciiTheme="majorHAnsi" w:eastAsiaTheme="minorHAnsi" w:hAnsiTheme="majorHAnsi" w:cstheme="majorHAnsi"/>
          <w:i/>
          <w:iCs/>
        </w:rPr>
        <w:t xml:space="preserve"> opportunities to involve senior officers, including the Head of the Mission (Ambassador).  DFAT will seek opportunities to communicate </w:t>
      </w:r>
      <w:r w:rsidR="005F550C" w:rsidRPr="005F550C">
        <w:rPr>
          <w:rFonts w:asciiTheme="majorHAnsi" w:eastAsiaTheme="minorHAnsi" w:hAnsiTheme="majorHAnsi" w:cstheme="majorHAnsi"/>
          <w:i/>
          <w:iCs/>
        </w:rPr>
        <w:lastRenderedPageBreak/>
        <w:t xml:space="preserve">achievements and share knowledge gained under the Trust Fund with Philippine partners, development partners and Australian stakeholders by developing a joint communications plan for the </w:t>
      </w:r>
      <w:proofErr w:type="spellStart"/>
      <w:r w:rsidR="005F550C" w:rsidRPr="005F550C">
        <w:rPr>
          <w:rFonts w:asciiTheme="majorHAnsi" w:eastAsiaTheme="minorHAnsi" w:hAnsiTheme="majorHAnsi" w:cstheme="majorHAnsi"/>
          <w:i/>
          <w:iCs/>
        </w:rPr>
        <w:t>AGaP</w:t>
      </w:r>
      <w:proofErr w:type="spellEnd"/>
      <w:r w:rsidR="005F550C" w:rsidRPr="005F550C">
        <w:rPr>
          <w:rFonts w:asciiTheme="majorHAnsi" w:eastAsiaTheme="minorHAnsi" w:hAnsiTheme="majorHAnsi" w:cstheme="majorHAnsi"/>
          <w:i/>
          <w:iCs/>
        </w:rPr>
        <w:t xml:space="preserve"> Trust Fund with the World Bank</w:t>
      </w:r>
      <w:r w:rsidR="00DC0988">
        <w:rPr>
          <w:rFonts w:asciiTheme="majorHAnsi" w:eastAsiaTheme="minorHAnsi" w:hAnsiTheme="majorHAnsi" w:cstheme="majorHAnsi"/>
          <w:i/>
          <w:iCs/>
        </w:rPr>
        <w:t>.</w:t>
      </w:r>
      <w:r w:rsidR="005F550C" w:rsidRPr="005F550C">
        <w:rPr>
          <w:rFonts w:asciiTheme="majorHAnsi" w:eastAsiaTheme="minorHAnsi" w:hAnsiTheme="majorHAnsi" w:cstheme="majorHAnsi"/>
          <w:i/>
          <w:iCs/>
        </w:rPr>
        <w:t xml:space="preserve"> </w:t>
      </w:r>
    </w:p>
    <w:p w14:paraId="29D0AEC0" w14:textId="3EAFA47C" w:rsidR="00B74453" w:rsidRDefault="00B74453" w:rsidP="00033DA0">
      <w:pPr>
        <w:spacing w:before="0"/>
        <w:ind w:left="1418" w:right="1088"/>
        <w:rPr>
          <w:rFonts w:asciiTheme="majorHAnsi" w:eastAsiaTheme="minorHAnsi" w:hAnsiTheme="majorHAnsi" w:cstheme="majorHAnsi"/>
          <w:i/>
          <w:iCs/>
        </w:rPr>
      </w:pPr>
    </w:p>
    <w:p w14:paraId="6AE3CC04" w14:textId="77777777" w:rsidR="0048513B" w:rsidRPr="00B67B4F" w:rsidRDefault="0048513B" w:rsidP="00033DA0">
      <w:pPr>
        <w:spacing w:before="0"/>
        <w:ind w:left="1418" w:right="1088"/>
        <w:rPr>
          <w:rFonts w:asciiTheme="majorHAnsi" w:eastAsiaTheme="minorHAnsi" w:hAnsiTheme="majorHAnsi" w:cstheme="majorHAnsi"/>
          <w:i/>
          <w:iCs/>
        </w:rPr>
      </w:pPr>
    </w:p>
    <w:p w14:paraId="1BEF10B1" w14:textId="5837C7E0" w:rsidR="007D17E6" w:rsidRPr="00B67B4F" w:rsidRDefault="00D54463" w:rsidP="00033DA0">
      <w:pPr>
        <w:pStyle w:val="Heading5"/>
        <w:numPr>
          <w:ilvl w:val="0"/>
          <w:numId w:val="8"/>
        </w:numPr>
        <w:spacing w:before="0"/>
        <w:rPr>
          <w:rFonts w:eastAsiaTheme="minorHAnsi" w:cstheme="majorHAnsi"/>
          <w:b/>
          <w:bCs/>
          <w:color w:val="auto"/>
        </w:rPr>
      </w:pPr>
      <w:r w:rsidRPr="00B67B4F">
        <w:rPr>
          <w:rFonts w:cstheme="majorHAnsi"/>
          <w:b/>
          <w:bCs/>
          <w:color w:val="auto"/>
        </w:rPr>
        <w:t xml:space="preserve">On </w:t>
      </w:r>
      <w:r w:rsidR="007D17E6" w:rsidRPr="00B67B4F">
        <w:rPr>
          <w:rFonts w:cstheme="majorHAnsi"/>
          <w:b/>
          <w:bCs/>
          <w:color w:val="auto"/>
        </w:rPr>
        <w:t>Monitoring</w:t>
      </w:r>
      <w:r w:rsidR="007D17E6" w:rsidRPr="00B67B4F">
        <w:rPr>
          <w:rFonts w:eastAsiaTheme="minorHAnsi" w:cstheme="majorHAnsi"/>
          <w:b/>
          <w:bCs/>
          <w:color w:val="auto"/>
        </w:rPr>
        <w:t xml:space="preserve">, </w:t>
      </w:r>
      <w:proofErr w:type="gramStart"/>
      <w:r w:rsidR="007D17E6" w:rsidRPr="00B67B4F">
        <w:rPr>
          <w:rFonts w:eastAsiaTheme="minorHAnsi" w:cstheme="majorHAnsi"/>
          <w:b/>
          <w:bCs/>
          <w:color w:val="auto"/>
        </w:rPr>
        <w:t>evaluation</w:t>
      </w:r>
      <w:proofErr w:type="gramEnd"/>
      <w:r w:rsidR="007D17E6" w:rsidRPr="00B67B4F">
        <w:rPr>
          <w:rFonts w:eastAsiaTheme="minorHAnsi" w:cstheme="majorHAnsi"/>
          <w:b/>
          <w:bCs/>
          <w:color w:val="auto"/>
        </w:rPr>
        <w:t xml:space="preserve"> and reporting </w:t>
      </w:r>
    </w:p>
    <w:p w14:paraId="3D600761" w14:textId="5DF4F4ED" w:rsidR="007D17E6" w:rsidRPr="00B67B4F" w:rsidRDefault="007D17E6" w:rsidP="00033DA0">
      <w:pPr>
        <w:pStyle w:val="ListParagraph"/>
        <w:numPr>
          <w:ilvl w:val="0"/>
          <w:numId w:val="7"/>
        </w:numPr>
        <w:spacing w:before="0" w:after="0"/>
        <w:rPr>
          <w:rFonts w:asciiTheme="majorHAnsi" w:hAnsiTheme="majorHAnsi" w:cstheme="majorHAnsi"/>
          <w:color w:val="auto"/>
        </w:rPr>
      </w:pPr>
      <w:r w:rsidRPr="00B67B4F">
        <w:rPr>
          <w:rFonts w:asciiTheme="majorHAnsi" w:hAnsiTheme="majorHAnsi" w:cstheme="majorHAnsi"/>
          <w:color w:val="auto"/>
        </w:rPr>
        <w:t>Discuss and agree in the Operations Committee allocation of sufficient M&amp;E resources and costing, including a clear process and frequency for updating the M&amp;E Plan.</w:t>
      </w:r>
      <w:r w:rsidRPr="008006A3">
        <w:rPr>
          <w:rFonts w:asciiTheme="majorHAnsi" w:hAnsiTheme="majorHAnsi" w:cstheme="majorHAnsi"/>
          <w:color w:val="auto"/>
          <w:vertAlign w:val="superscript"/>
        </w:rPr>
        <w:footnoteReference w:id="1"/>
      </w:r>
      <w:r w:rsidR="003B4B01" w:rsidRPr="008006A3">
        <w:rPr>
          <w:rFonts w:asciiTheme="majorHAnsi" w:hAnsiTheme="majorHAnsi" w:cstheme="majorHAnsi"/>
          <w:color w:val="auto"/>
          <w:vertAlign w:val="superscript"/>
        </w:rPr>
        <w:t xml:space="preserve"> </w:t>
      </w:r>
      <w:r w:rsidR="003B4B01" w:rsidRPr="00B67B4F">
        <w:rPr>
          <w:rFonts w:asciiTheme="majorHAnsi" w:hAnsiTheme="majorHAnsi" w:cstheme="majorHAnsi"/>
          <w:b/>
          <w:bCs/>
          <w:color w:val="auto"/>
        </w:rPr>
        <w:t>[for DFAT and WB]</w:t>
      </w:r>
    </w:p>
    <w:p w14:paraId="65B86322" w14:textId="77777777" w:rsidR="0048513B" w:rsidRDefault="0048513B" w:rsidP="00033DA0">
      <w:pPr>
        <w:spacing w:before="0"/>
        <w:ind w:left="1418" w:right="1088"/>
        <w:rPr>
          <w:rFonts w:asciiTheme="majorHAnsi" w:hAnsiTheme="majorHAnsi" w:cstheme="majorHAnsi"/>
          <w:i/>
          <w:iCs/>
        </w:rPr>
      </w:pPr>
    </w:p>
    <w:p w14:paraId="196513B3" w14:textId="1266DD66" w:rsidR="00FF5E88" w:rsidRDefault="00FC2397" w:rsidP="00033DA0">
      <w:pPr>
        <w:spacing w:before="0"/>
        <w:ind w:left="1418" w:right="1088"/>
        <w:rPr>
          <w:rFonts w:asciiTheme="majorHAnsi" w:hAnsiTheme="majorHAnsi" w:cstheme="majorHAnsi"/>
          <w:i/>
          <w:iCs/>
        </w:rPr>
      </w:pPr>
      <w:r w:rsidRPr="00B67B4F">
        <w:rPr>
          <w:rFonts w:asciiTheme="majorHAnsi" w:hAnsiTheme="majorHAnsi" w:cstheme="majorHAnsi"/>
          <w:i/>
          <w:iCs/>
        </w:rPr>
        <w:t>DFAT agrees.</w:t>
      </w:r>
      <w:r w:rsidR="0048513B" w:rsidRPr="006329EF">
        <w:rPr>
          <w:rFonts w:asciiTheme="majorHAnsi" w:hAnsiTheme="majorHAnsi" w:cstheme="majorHAnsi"/>
          <w:i/>
          <w:iCs/>
        </w:rPr>
        <w:t xml:space="preserve"> Clear process and guidance on updating </w:t>
      </w:r>
      <w:r w:rsidR="00DC0988">
        <w:rPr>
          <w:rFonts w:asciiTheme="majorHAnsi" w:hAnsiTheme="majorHAnsi" w:cstheme="majorHAnsi"/>
          <w:i/>
          <w:iCs/>
        </w:rPr>
        <w:t xml:space="preserve">the </w:t>
      </w:r>
      <w:r w:rsidR="0048513B" w:rsidRPr="006329EF">
        <w:rPr>
          <w:rFonts w:asciiTheme="majorHAnsi" w:hAnsiTheme="majorHAnsi" w:cstheme="majorHAnsi"/>
          <w:i/>
          <w:iCs/>
        </w:rPr>
        <w:t xml:space="preserve">M&amp;E Plan will also be covered in the planned updating of the Operations Manual. </w:t>
      </w:r>
    </w:p>
    <w:p w14:paraId="4149B6CD" w14:textId="77777777" w:rsidR="006329EF" w:rsidRPr="00B67B4F" w:rsidRDefault="006329EF" w:rsidP="00033DA0">
      <w:pPr>
        <w:spacing w:before="0"/>
        <w:ind w:left="1418" w:right="1088"/>
        <w:rPr>
          <w:rFonts w:asciiTheme="majorHAnsi" w:hAnsiTheme="majorHAnsi" w:cstheme="majorHAnsi"/>
          <w:i/>
          <w:iCs/>
        </w:rPr>
      </w:pPr>
    </w:p>
    <w:p w14:paraId="3B0DC330" w14:textId="77777777" w:rsidR="00E047D5" w:rsidRPr="00B67B4F" w:rsidRDefault="00E047D5" w:rsidP="00033DA0">
      <w:pPr>
        <w:spacing w:before="0"/>
        <w:rPr>
          <w:rFonts w:asciiTheme="majorHAnsi" w:hAnsiTheme="majorHAnsi" w:cstheme="majorHAnsi"/>
          <w:b/>
          <w:bCs/>
        </w:rPr>
      </w:pPr>
    </w:p>
    <w:p w14:paraId="2BE6D899" w14:textId="7E7C3B34" w:rsidR="00FD76CC" w:rsidRPr="00B67B4F" w:rsidRDefault="00FD76CC" w:rsidP="00033DA0">
      <w:pPr>
        <w:pStyle w:val="Heading5"/>
        <w:numPr>
          <w:ilvl w:val="0"/>
          <w:numId w:val="8"/>
        </w:numPr>
        <w:spacing w:before="0"/>
        <w:rPr>
          <w:rFonts w:cstheme="majorHAnsi"/>
          <w:b/>
          <w:bCs/>
          <w:color w:val="auto"/>
        </w:rPr>
      </w:pPr>
      <w:r w:rsidRPr="00B67B4F">
        <w:rPr>
          <w:rFonts w:cstheme="majorHAnsi"/>
          <w:b/>
          <w:bCs/>
          <w:color w:val="auto"/>
        </w:rPr>
        <w:t>The future</w:t>
      </w:r>
      <w:r w:rsidR="00D07B35" w:rsidRPr="00B67B4F">
        <w:rPr>
          <w:rFonts w:cstheme="majorHAnsi"/>
          <w:b/>
          <w:bCs/>
          <w:color w:val="auto"/>
        </w:rPr>
        <w:t xml:space="preserve"> </w:t>
      </w:r>
      <w:r w:rsidR="00BB7511">
        <w:rPr>
          <w:rFonts w:cstheme="majorHAnsi"/>
          <w:b/>
          <w:bCs/>
          <w:color w:val="auto"/>
        </w:rPr>
        <w:t xml:space="preserve">of </w:t>
      </w:r>
      <w:proofErr w:type="spellStart"/>
      <w:r w:rsidR="00BB7511">
        <w:rPr>
          <w:rFonts w:cstheme="majorHAnsi"/>
          <w:b/>
          <w:bCs/>
          <w:color w:val="auto"/>
        </w:rPr>
        <w:t>AGaP</w:t>
      </w:r>
      <w:proofErr w:type="spellEnd"/>
      <w:r w:rsidR="00BB7511">
        <w:rPr>
          <w:rFonts w:cstheme="majorHAnsi"/>
          <w:b/>
          <w:bCs/>
          <w:color w:val="auto"/>
        </w:rPr>
        <w:t xml:space="preserve"> </w:t>
      </w:r>
      <w:r w:rsidR="007F733F" w:rsidRPr="00B67B4F">
        <w:rPr>
          <w:rFonts w:cstheme="majorHAnsi"/>
          <w:b/>
          <w:bCs/>
          <w:color w:val="auto"/>
        </w:rPr>
        <w:t>[for DFAT and WB]</w:t>
      </w:r>
    </w:p>
    <w:p w14:paraId="52103C6C" w14:textId="4C96E1D4" w:rsidR="00FD76CC" w:rsidRPr="00B67B4F" w:rsidRDefault="00FD76CC" w:rsidP="00033DA0">
      <w:pPr>
        <w:numPr>
          <w:ilvl w:val="0"/>
          <w:numId w:val="4"/>
        </w:numPr>
        <w:spacing w:before="0"/>
        <w:rPr>
          <w:rFonts w:asciiTheme="majorHAnsi" w:hAnsiTheme="majorHAnsi" w:cstheme="majorHAnsi"/>
          <w:lang w:eastAsia="en-US"/>
        </w:rPr>
      </w:pPr>
      <w:proofErr w:type="spellStart"/>
      <w:r w:rsidRPr="00B67B4F">
        <w:rPr>
          <w:rFonts w:asciiTheme="majorHAnsi" w:hAnsiTheme="majorHAnsi" w:cstheme="majorHAnsi"/>
          <w:lang w:eastAsia="en-US"/>
        </w:rPr>
        <w:t>AGaP</w:t>
      </w:r>
      <w:proofErr w:type="spellEnd"/>
      <w:r w:rsidRPr="00B67B4F">
        <w:rPr>
          <w:rFonts w:asciiTheme="majorHAnsi" w:hAnsiTheme="majorHAnsi" w:cstheme="majorHAnsi"/>
          <w:lang w:eastAsia="en-US"/>
        </w:rPr>
        <w:t xml:space="preserve"> should continue as a single donor programmatic Trust Fund beyond its current end date (30 June 2024).</w:t>
      </w:r>
      <w:r w:rsidR="000955FC" w:rsidRPr="00B67B4F">
        <w:rPr>
          <w:rFonts w:asciiTheme="majorHAnsi" w:hAnsiTheme="majorHAnsi" w:cstheme="majorHAnsi"/>
          <w:lang w:eastAsia="en-US"/>
        </w:rPr>
        <w:t xml:space="preserve"> </w:t>
      </w:r>
    </w:p>
    <w:p w14:paraId="53EAE914" w14:textId="2568D4B6" w:rsidR="00FD76CC" w:rsidRPr="00B67B4F" w:rsidRDefault="00FD76CC" w:rsidP="00033DA0">
      <w:pPr>
        <w:numPr>
          <w:ilvl w:val="0"/>
          <w:numId w:val="4"/>
        </w:numPr>
        <w:spacing w:before="0"/>
        <w:rPr>
          <w:rFonts w:asciiTheme="majorHAnsi" w:hAnsiTheme="majorHAnsi" w:cstheme="majorHAnsi"/>
          <w:lang w:val="en" w:eastAsia="en-US"/>
        </w:rPr>
      </w:pPr>
      <w:proofErr w:type="spellStart"/>
      <w:r w:rsidRPr="00B67B4F">
        <w:rPr>
          <w:rFonts w:asciiTheme="majorHAnsi" w:hAnsiTheme="majorHAnsi" w:cstheme="majorHAnsi"/>
          <w:lang w:eastAsia="en-US"/>
        </w:rPr>
        <w:t>AGaP</w:t>
      </w:r>
      <w:proofErr w:type="spellEnd"/>
      <w:r w:rsidRPr="00B67B4F">
        <w:rPr>
          <w:rFonts w:asciiTheme="majorHAnsi" w:hAnsiTheme="majorHAnsi" w:cstheme="majorHAnsi"/>
          <w:lang w:eastAsia="en-US"/>
        </w:rPr>
        <w:t xml:space="preserve"> should facilitate a deeper examination of the types of economic reforms that can facilitate poverty reduction to improve the quality and resilience of economic growth. This should include agreeing gender-related targets for the next phase of </w:t>
      </w:r>
      <w:proofErr w:type="spellStart"/>
      <w:r w:rsidRPr="00B67B4F">
        <w:rPr>
          <w:rFonts w:asciiTheme="majorHAnsi" w:hAnsiTheme="majorHAnsi" w:cstheme="majorHAnsi"/>
          <w:lang w:eastAsia="en-US"/>
        </w:rPr>
        <w:t>AGaP</w:t>
      </w:r>
      <w:proofErr w:type="spellEnd"/>
      <w:r w:rsidRPr="00B67B4F">
        <w:rPr>
          <w:rFonts w:asciiTheme="majorHAnsi" w:hAnsiTheme="majorHAnsi" w:cstheme="majorHAnsi"/>
          <w:lang w:eastAsia="en-US"/>
        </w:rPr>
        <w:t xml:space="preserve"> and examining the correlations between poverty and Indigenous Peoples.</w:t>
      </w:r>
      <w:r w:rsidR="00B74453" w:rsidRPr="00B67B4F">
        <w:rPr>
          <w:rFonts w:asciiTheme="majorHAnsi" w:hAnsiTheme="majorHAnsi" w:cstheme="majorHAnsi"/>
        </w:rPr>
        <w:t xml:space="preserve"> </w:t>
      </w:r>
    </w:p>
    <w:p w14:paraId="75FC890B" w14:textId="41B5174B" w:rsidR="00FD76CC" w:rsidRPr="00B67B4F" w:rsidRDefault="00FD76CC" w:rsidP="00033DA0">
      <w:pPr>
        <w:numPr>
          <w:ilvl w:val="0"/>
          <w:numId w:val="4"/>
        </w:numPr>
        <w:spacing w:before="0"/>
        <w:rPr>
          <w:rFonts w:asciiTheme="majorHAnsi" w:hAnsiTheme="majorHAnsi" w:cstheme="majorHAnsi"/>
          <w:lang w:val="en"/>
        </w:rPr>
      </w:pPr>
      <w:proofErr w:type="spellStart"/>
      <w:r w:rsidRPr="00B67B4F">
        <w:rPr>
          <w:rFonts w:asciiTheme="majorHAnsi" w:hAnsiTheme="majorHAnsi" w:cstheme="majorHAnsi"/>
          <w:lang w:eastAsia="en-US"/>
        </w:rPr>
        <w:t>AGaP</w:t>
      </w:r>
      <w:proofErr w:type="spellEnd"/>
      <w:r w:rsidRPr="00B67B4F">
        <w:rPr>
          <w:rFonts w:asciiTheme="majorHAnsi" w:hAnsiTheme="majorHAnsi" w:cstheme="majorHAnsi"/>
        </w:rPr>
        <w:t xml:space="preserve"> should strengthen considerations of climate change, and its integration with disaster resilience, in its policy work. For example, infrastructure, energy transition, digitisation, and natural resource stewardship.</w:t>
      </w:r>
      <w:r w:rsidR="00B74453" w:rsidRPr="00B67B4F">
        <w:rPr>
          <w:rFonts w:asciiTheme="majorHAnsi" w:hAnsiTheme="majorHAnsi" w:cstheme="majorHAnsi"/>
        </w:rPr>
        <w:t xml:space="preserve"> </w:t>
      </w:r>
    </w:p>
    <w:p w14:paraId="226F0926" w14:textId="77777777" w:rsidR="00B74453" w:rsidRPr="00B67B4F" w:rsidRDefault="00B74453" w:rsidP="00033DA0">
      <w:pPr>
        <w:spacing w:before="0"/>
        <w:ind w:left="1418" w:right="1088"/>
        <w:rPr>
          <w:rFonts w:asciiTheme="majorHAnsi" w:hAnsiTheme="majorHAnsi" w:cstheme="majorHAnsi"/>
          <w:i/>
          <w:iCs/>
        </w:rPr>
      </w:pPr>
    </w:p>
    <w:p w14:paraId="17D5C9BD" w14:textId="4D8035A7" w:rsidR="004E599C" w:rsidRPr="004E599C" w:rsidRDefault="004E599C" w:rsidP="004E599C">
      <w:pPr>
        <w:spacing w:before="0"/>
        <w:ind w:left="1418" w:right="1088"/>
        <w:rPr>
          <w:rFonts w:asciiTheme="majorHAnsi" w:hAnsiTheme="majorHAnsi" w:cstheme="majorHAnsi"/>
          <w:i/>
          <w:iCs/>
        </w:rPr>
      </w:pPr>
      <w:r w:rsidRPr="004E599C">
        <w:rPr>
          <w:rFonts w:asciiTheme="majorHAnsi" w:hAnsiTheme="majorHAnsi" w:cstheme="majorHAnsi"/>
          <w:i/>
          <w:iCs/>
        </w:rPr>
        <w:t xml:space="preserve">DFAT agrees in principle that continuing </w:t>
      </w:r>
      <w:proofErr w:type="spellStart"/>
      <w:r w:rsidRPr="004E599C">
        <w:rPr>
          <w:rFonts w:asciiTheme="majorHAnsi" w:hAnsiTheme="majorHAnsi" w:cstheme="majorHAnsi"/>
          <w:i/>
          <w:iCs/>
        </w:rPr>
        <w:t>AGaP</w:t>
      </w:r>
      <w:proofErr w:type="spellEnd"/>
      <w:r w:rsidRPr="004E599C">
        <w:rPr>
          <w:rFonts w:asciiTheme="majorHAnsi" w:hAnsiTheme="majorHAnsi" w:cstheme="majorHAnsi"/>
          <w:i/>
          <w:iCs/>
        </w:rPr>
        <w:t xml:space="preserve"> as a single donor programmatic Trust Fund will provide the flexibility </w:t>
      </w:r>
      <w:r w:rsidR="008F55E8">
        <w:rPr>
          <w:rFonts w:asciiTheme="majorHAnsi" w:hAnsiTheme="majorHAnsi" w:cstheme="majorHAnsi"/>
          <w:i/>
          <w:iCs/>
        </w:rPr>
        <w:t>needed</w:t>
      </w:r>
      <w:r w:rsidRPr="004E599C">
        <w:rPr>
          <w:rFonts w:asciiTheme="majorHAnsi" w:hAnsiTheme="majorHAnsi" w:cstheme="majorHAnsi"/>
          <w:i/>
          <w:iCs/>
        </w:rPr>
        <w:t xml:space="preserve"> to achieve </w:t>
      </w:r>
      <w:proofErr w:type="spellStart"/>
      <w:r w:rsidRPr="004E599C">
        <w:rPr>
          <w:rFonts w:asciiTheme="majorHAnsi" w:hAnsiTheme="majorHAnsi" w:cstheme="majorHAnsi"/>
          <w:i/>
          <w:iCs/>
        </w:rPr>
        <w:t>AGaP’s</w:t>
      </w:r>
      <w:proofErr w:type="spellEnd"/>
      <w:r w:rsidRPr="004E599C">
        <w:rPr>
          <w:rFonts w:asciiTheme="majorHAnsi" w:hAnsiTheme="majorHAnsi" w:cstheme="majorHAnsi"/>
          <w:i/>
          <w:iCs/>
        </w:rPr>
        <w:t xml:space="preserve"> intended outcomes.  However, decisions on the future of </w:t>
      </w:r>
      <w:proofErr w:type="spellStart"/>
      <w:r w:rsidRPr="004E599C">
        <w:rPr>
          <w:rFonts w:asciiTheme="majorHAnsi" w:hAnsiTheme="majorHAnsi" w:cstheme="majorHAnsi"/>
          <w:i/>
          <w:iCs/>
        </w:rPr>
        <w:t>AGaP</w:t>
      </w:r>
      <w:proofErr w:type="spellEnd"/>
      <w:r w:rsidRPr="004E599C">
        <w:rPr>
          <w:rFonts w:asciiTheme="majorHAnsi" w:hAnsiTheme="majorHAnsi" w:cstheme="majorHAnsi"/>
          <w:i/>
          <w:iCs/>
        </w:rPr>
        <w:t xml:space="preserve"> will be made in the context of the upcoming review of all partnerships under our Advancing Multilateral Partnerships for Economic Development (AMPED) investment. We will </w:t>
      </w:r>
      <w:r w:rsidR="00DC0988">
        <w:rPr>
          <w:rFonts w:asciiTheme="majorHAnsi" w:hAnsiTheme="majorHAnsi" w:cstheme="majorHAnsi"/>
          <w:i/>
          <w:iCs/>
        </w:rPr>
        <w:t>make</w:t>
      </w:r>
      <w:r w:rsidRPr="004E599C">
        <w:rPr>
          <w:rFonts w:asciiTheme="majorHAnsi" w:hAnsiTheme="majorHAnsi" w:cstheme="majorHAnsi"/>
          <w:i/>
          <w:iCs/>
        </w:rPr>
        <w:t xml:space="preserve"> decisions on another phase through that process. </w:t>
      </w:r>
    </w:p>
    <w:p w14:paraId="7FA91E04" w14:textId="77777777" w:rsidR="004E599C" w:rsidRPr="004E599C" w:rsidRDefault="004E599C" w:rsidP="004E599C">
      <w:pPr>
        <w:spacing w:before="0"/>
        <w:ind w:left="1418" w:right="1088"/>
        <w:rPr>
          <w:rFonts w:asciiTheme="majorHAnsi" w:hAnsiTheme="majorHAnsi" w:cstheme="majorHAnsi"/>
          <w:i/>
          <w:iCs/>
        </w:rPr>
      </w:pPr>
    </w:p>
    <w:p w14:paraId="5925AB97" w14:textId="17EBEF36" w:rsidR="00FD76CC" w:rsidRDefault="004E599C" w:rsidP="004E599C">
      <w:pPr>
        <w:spacing w:before="0"/>
        <w:ind w:left="1418" w:right="1088"/>
        <w:rPr>
          <w:rFonts w:asciiTheme="majorHAnsi" w:hAnsiTheme="majorHAnsi" w:cstheme="majorHAnsi"/>
          <w:i/>
          <w:iCs/>
        </w:rPr>
      </w:pPr>
      <w:r w:rsidRPr="004E599C">
        <w:rPr>
          <w:rFonts w:asciiTheme="majorHAnsi" w:hAnsiTheme="majorHAnsi" w:cstheme="majorHAnsi"/>
          <w:i/>
          <w:iCs/>
        </w:rPr>
        <w:t>DFAT will discuss this further</w:t>
      </w:r>
      <w:r w:rsidR="00605879">
        <w:rPr>
          <w:rFonts w:asciiTheme="majorHAnsi" w:hAnsiTheme="majorHAnsi" w:cstheme="majorHAnsi"/>
          <w:i/>
          <w:iCs/>
        </w:rPr>
        <w:t xml:space="preserve"> with</w:t>
      </w:r>
      <w:r w:rsidRPr="004E599C">
        <w:rPr>
          <w:rFonts w:asciiTheme="majorHAnsi" w:hAnsiTheme="majorHAnsi" w:cstheme="majorHAnsi"/>
          <w:i/>
          <w:iCs/>
        </w:rPr>
        <w:t xml:space="preserve"> the World Bank once the results of the review are available. Nevertheless, the suggested sectors for consideration under the Trust Fund that need further strengthening are well noted and will be taken onboard in future discussions.</w:t>
      </w:r>
    </w:p>
    <w:p w14:paraId="3225B83B" w14:textId="14748E9D" w:rsidR="00732AE8" w:rsidRDefault="00732AE8" w:rsidP="00732AE8">
      <w:pPr>
        <w:spacing w:before="0"/>
        <w:ind w:right="1088"/>
        <w:rPr>
          <w:rFonts w:asciiTheme="majorHAnsi" w:hAnsiTheme="majorHAnsi" w:cstheme="majorHAnsi"/>
          <w:i/>
          <w:iCs/>
        </w:rPr>
      </w:pPr>
    </w:p>
    <w:p w14:paraId="568FE1D1" w14:textId="68D70563" w:rsidR="00732AE8" w:rsidRDefault="00732AE8" w:rsidP="00732AE8">
      <w:pPr>
        <w:spacing w:before="0"/>
        <w:ind w:right="1088"/>
        <w:rPr>
          <w:rFonts w:asciiTheme="majorHAnsi" w:hAnsiTheme="majorHAnsi" w:cstheme="majorHAnsi"/>
          <w:i/>
          <w:iCs/>
        </w:rPr>
      </w:pPr>
    </w:p>
    <w:p w14:paraId="1BF6877A" w14:textId="10367735" w:rsidR="00732AE8" w:rsidRPr="00B67B4F" w:rsidRDefault="00356CA1" w:rsidP="00732AE8">
      <w:pPr>
        <w:spacing w:before="0"/>
        <w:ind w:right="-46"/>
        <w:rPr>
          <w:rFonts w:asciiTheme="majorHAnsi" w:hAnsiTheme="majorHAnsi" w:cstheme="majorHAnsi"/>
          <w:i/>
          <w:iCs/>
        </w:rPr>
      </w:pPr>
      <w:r>
        <w:rPr>
          <w:rFonts w:asciiTheme="majorHAnsi" w:hAnsiTheme="majorHAnsi" w:cstheme="majorHAnsi"/>
          <w:i/>
          <w:iCs/>
        </w:rPr>
        <w:t>T</w:t>
      </w:r>
      <w:r w:rsidR="0048513B">
        <w:rPr>
          <w:rFonts w:asciiTheme="majorHAnsi" w:hAnsiTheme="majorHAnsi" w:cstheme="majorHAnsi"/>
          <w:i/>
          <w:iCs/>
        </w:rPr>
        <w:t>he revision of</w:t>
      </w:r>
      <w:r w:rsidR="00732AE8" w:rsidRPr="00732AE8">
        <w:rPr>
          <w:rFonts w:asciiTheme="majorHAnsi" w:hAnsiTheme="majorHAnsi" w:cstheme="majorHAnsi"/>
          <w:i/>
          <w:iCs/>
        </w:rPr>
        <w:t xml:space="preserve"> the Operations Manual </w:t>
      </w:r>
      <w:r w:rsidR="0048513B">
        <w:rPr>
          <w:rFonts w:asciiTheme="majorHAnsi" w:hAnsiTheme="majorHAnsi" w:cstheme="majorHAnsi"/>
          <w:i/>
          <w:iCs/>
        </w:rPr>
        <w:t>will</w:t>
      </w:r>
      <w:r w:rsidR="0048513B" w:rsidRPr="00732AE8">
        <w:rPr>
          <w:rFonts w:asciiTheme="majorHAnsi" w:hAnsiTheme="majorHAnsi" w:cstheme="majorHAnsi"/>
          <w:i/>
          <w:iCs/>
        </w:rPr>
        <w:t xml:space="preserve"> </w:t>
      </w:r>
      <w:r w:rsidR="00732AE8" w:rsidRPr="00732AE8">
        <w:rPr>
          <w:rFonts w:asciiTheme="majorHAnsi" w:hAnsiTheme="majorHAnsi" w:cstheme="majorHAnsi"/>
          <w:i/>
          <w:iCs/>
        </w:rPr>
        <w:t xml:space="preserve">provide more clarity and guidance on expectations in terms of quality and financial reporting, narrative on priority policies (e.g., GEDSI) as well as on communications.  The exercise will also provide an opportunity to revisit the processes involved in the implementation of the Trust Fund and streamline the respective roles and responsibilities of both DFAT and </w:t>
      </w:r>
      <w:r w:rsidR="00605879">
        <w:rPr>
          <w:rFonts w:asciiTheme="majorHAnsi" w:hAnsiTheme="majorHAnsi" w:cstheme="majorHAnsi"/>
          <w:i/>
          <w:iCs/>
        </w:rPr>
        <w:t xml:space="preserve">the </w:t>
      </w:r>
      <w:r w:rsidR="00732AE8" w:rsidRPr="00732AE8">
        <w:rPr>
          <w:rFonts w:asciiTheme="majorHAnsi" w:hAnsiTheme="majorHAnsi" w:cstheme="majorHAnsi"/>
          <w:i/>
          <w:iCs/>
        </w:rPr>
        <w:t xml:space="preserve">World Bank in program management.  </w:t>
      </w:r>
    </w:p>
    <w:sectPr w:rsidR="00732AE8" w:rsidRPr="00B67B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6085" w14:textId="77777777" w:rsidR="004E010C" w:rsidRDefault="004E010C" w:rsidP="00FD76CC">
      <w:pPr>
        <w:spacing w:before="0"/>
      </w:pPr>
      <w:r>
        <w:separator/>
      </w:r>
    </w:p>
  </w:endnote>
  <w:endnote w:type="continuationSeparator" w:id="0">
    <w:p w14:paraId="76ABACBF" w14:textId="77777777" w:rsidR="004E010C" w:rsidRDefault="004E010C" w:rsidP="00FD76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F90F" w14:textId="77777777" w:rsidR="004E010C" w:rsidRDefault="004E010C" w:rsidP="00FD76CC">
      <w:pPr>
        <w:spacing w:before="0"/>
      </w:pPr>
      <w:r>
        <w:separator/>
      </w:r>
    </w:p>
  </w:footnote>
  <w:footnote w:type="continuationSeparator" w:id="0">
    <w:p w14:paraId="79AD076E" w14:textId="77777777" w:rsidR="004E010C" w:rsidRDefault="004E010C" w:rsidP="00FD76CC">
      <w:pPr>
        <w:spacing w:before="0"/>
      </w:pPr>
      <w:r>
        <w:continuationSeparator/>
      </w:r>
    </w:p>
  </w:footnote>
  <w:footnote w:id="1">
    <w:p w14:paraId="4FF06F5B" w14:textId="77777777" w:rsidR="007D17E6" w:rsidRPr="006F738B" w:rsidRDefault="007D17E6" w:rsidP="007D17E6">
      <w:pPr>
        <w:pStyle w:val="FootnoteText"/>
        <w:rPr>
          <w:lang w:val="en-GB"/>
        </w:rPr>
      </w:pPr>
      <w:r w:rsidRPr="00E047D5">
        <w:rPr>
          <w:rStyle w:val="FootnoteReference"/>
          <w:sz w:val="18"/>
          <w:szCs w:val="18"/>
        </w:rPr>
        <w:footnoteRef/>
      </w:r>
      <w:r w:rsidRPr="00E047D5">
        <w:rPr>
          <w:sz w:val="18"/>
          <w:szCs w:val="18"/>
        </w:rPr>
        <w:t xml:space="preserve"> For reference </w:t>
      </w:r>
      <w:r w:rsidRPr="00E047D5">
        <w:rPr>
          <w:sz w:val="18"/>
          <w:szCs w:val="18"/>
          <w:lang w:val="en-GB"/>
        </w:rPr>
        <w:t>DFAT’s Design and Monitoring &amp; Evaluation Standards provide a guideline that 4-7% of budget is allocated for M&amp;E.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7A1"/>
    <w:multiLevelType w:val="hybridMultilevel"/>
    <w:tmpl w:val="A70ABDAA"/>
    <w:lvl w:ilvl="0" w:tplc="B1967C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850AF"/>
    <w:multiLevelType w:val="multilevel"/>
    <w:tmpl w:val="F9F01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8666D2"/>
    <w:multiLevelType w:val="hybridMultilevel"/>
    <w:tmpl w:val="5E8C8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EA67F7"/>
    <w:multiLevelType w:val="hybridMultilevel"/>
    <w:tmpl w:val="55FC27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A4F3238"/>
    <w:multiLevelType w:val="hybridMultilevel"/>
    <w:tmpl w:val="387693C0"/>
    <w:lvl w:ilvl="0" w:tplc="950ED9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D05E6B"/>
    <w:multiLevelType w:val="hybridMultilevel"/>
    <w:tmpl w:val="9C9A621A"/>
    <w:lvl w:ilvl="0" w:tplc="92184AB0">
      <w:numFmt w:val="bullet"/>
      <w:lvlText w:val="-"/>
      <w:lvlJc w:val="left"/>
      <w:pPr>
        <w:ind w:left="1778" w:hanging="360"/>
      </w:pPr>
      <w:rPr>
        <w:rFonts w:ascii="Calibri Light" w:eastAsia="Times New Roman" w:hAnsi="Calibri Light" w:cs="Calibri Light"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6" w15:restartNumberingAfterBreak="0">
    <w:nsid w:val="4C5236C5"/>
    <w:multiLevelType w:val="hybridMultilevel"/>
    <w:tmpl w:val="CAEE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1389A"/>
    <w:multiLevelType w:val="multilevel"/>
    <w:tmpl w:val="465C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E19B2"/>
    <w:multiLevelType w:val="multilevel"/>
    <w:tmpl w:val="449C8E46"/>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71DB2511"/>
    <w:multiLevelType w:val="multilevel"/>
    <w:tmpl w:val="2FBA461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642947">
    <w:abstractNumId w:val="9"/>
  </w:num>
  <w:num w:numId="2" w16cid:durableId="2006011340">
    <w:abstractNumId w:val="8"/>
  </w:num>
  <w:num w:numId="3" w16cid:durableId="1853715028">
    <w:abstractNumId w:val="7"/>
  </w:num>
  <w:num w:numId="4" w16cid:durableId="1601451323">
    <w:abstractNumId w:val="1"/>
  </w:num>
  <w:num w:numId="5" w16cid:durableId="1175151769">
    <w:abstractNumId w:val="6"/>
  </w:num>
  <w:num w:numId="6" w16cid:durableId="515656298">
    <w:abstractNumId w:val="2"/>
  </w:num>
  <w:num w:numId="7" w16cid:durableId="33700634">
    <w:abstractNumId w:val="0"/>
  </w:num>
  <w:num w:numId="8" w16cid:durableId="1583300238">
    <w:abstractNumId w:val="3"/>
  </w:num>
  <w:num w:numId="9" w16cid:durableId="1486509192">
    <w:abstractNumId w:val="5"/>
  </w:num>
  <w:num w:numId="10" w16cid:durableId="1663774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CC"/>
    <w:rsid w:val="00007CD8"/>
    <w:rsid w:val="00014754"/>
    <w:rsid w:val="00033DA0"/>
    <w:rsid w:val="000421C7"/>
    <w:rsid w:val="00042E7C"/>
    <w:rsid w:val="00060647"/>
    <w:rsid w:val="000641E2"/>
    <w:rsid w:val="000822EE"/>
    <w:rsid w:val="000955FC"/>
    <w:rsid w:val="000B0C31"/>
    <w:rsid w:val="000C11AE"/>
    <w:rsid w:val="000E3349"/>
    <w:rsid w:val="000F3BAA"/>
    <w:rsid w:val="00104D60"/>
    <w:rsid w:val="00107588"/>
    <w:rsid w:val="00135E0D"/>
    <w:rsid w:val="0014435D"/>
    <w:rsid w:val="00150593"/>
    <w:rsid w:val="001924BE"/>
    <w:rsid w:val="00197E49"/>
    <w:rsid w:val="001C2A6C"/>
    <w:rsid w:val="001C3D96"/>
    <w:rsid w:val="001D5A0A"/>
    <w:rsid w:val="002031D2"/>
    <w:rsid w:val="00224C2C"/>
    <w:rsid w:val="002544E4"/>
    <w:rsid w:val="002B39F9"/>
    <w:rsid w:val="002D2383"/>
    <w:rsid w:val="002D3000"/>
    <w:rsid w:val="00306CD6"/>
    <w:rsid w:val="00313FCD"/>
    <w:rsid w:val="00334626"/>
    <w:rsid w:val="00351F36"/>
    <w:rsid w:val="00356CA1"/>
    <w:rsid w:val="003652D8"/>
    <w:rsid w:val="00370D47"/>
    <w:rsid w:val="00377DFE"/>
    <w:rsid w:val="003B4B01"/>
    <w:rsid w:val="00405AB8"/>
    <w:rsid w:val="004842B9"/>
    <w:rsid w:val="0048513B"/>
    <w:rsid w:val="004937C2"/>
    <w:rsid w:val="00495294"/>
    <w:rsid w:val="004C66F3"/>
    <w:rsid w:val="004E010C"/>
    <w:rsid w:val="004E0B69"/>
    <w:rsid w:val="004E599C"/>
    <w:rsid w:val="005459DF"/>
    <w:rsid w:val="00547474"/>
    <w:rsid w:val="005558B6"/>
    <w:rsid w:val="00557611"/>
    <w:rsid w:val="00570AD5"/>
    <w:rsid w:val="00571122"/>
    <w:rsid w:val="00574068"/>
    <w:rsid w:val="005A6533"/>
    <w:rsid w:val="005B3589"/>
    <w:rsid w:val="005B6873"/>
    <w:rsid w:val="005D720B"/>
    <w:rsid w:val="005F4BAC"/>
    <w:rsid w:val="005F550C"/>
    <w:rsid w:val="00600DCB"/>
    <w:rsid w:val="00605879"/>
    <w:rsid w:val="006242B4"/>
    <w:rsid w:val="006329EF"/>
    <w:rsid w:val="0063364E"/>
    <w:rsid w:val="006346C2"/>
    <w:rsid w:val="00650E9F"/>
    <w:rsid w:val="00674E27"/>
    <w:rsid w:val="006A74C0"/>
    <w:rsid w:val="006B789B"/>
    <w:rsid w:val="006F05AF"/>
    <w:rsid w:val="0071250D"/>
    <w:rsid w:val="00722906"/>
    <w:rsid w:val="0072693D"/>
    <w:rsid w:val="00732AE8"/>
    <w:rsid w:val="007447F7"/>
    <w:rsid w:val="00756FDC"/>
    <w:rsid w:val="007645EF"/>
    <w:rsid w:val="00786E63"/>
    <w:rsid w:val="00794665"/>
    <w:rsid w:val="007A5194"/>
    <w:rsid w:val="007B5701"/>
    <w:rsid w:val="007B591B"/>
    <w:rsid w:val="007C35BC"/>
    <w:rsid w:val="007C588B"/>
    <w:rsid w:val="007D17E6"/>
    <w:rsid w:val="007E3673"/>
    <w:rsid w:val="007F733F"/>
    <w:rsid w:val="008006A3"/>
    <w:rsid w:val="00830267"/>
    <w:rsid w:val="00852999"/>
    <w:rsid w:val="008710E4"/>
    <w:rsid w:val="00873C62"/>
    <w:rsid w:val="0088297C"/>
    <w:rsid w:val="008847E9"/>
    <w:rsid w:val="008A16BC"/>
    <w:rsid w:val="008B6008"/>
    <w:rsid w:val="008B7D95"/>
    <w:rsid w:val="008C5F98"/>
    <w:rsid w:val="008D0749"/>
    <w:rsid w:val="008F55E8"/>
    <w:rsid w:val="00914F40"/>
    <w:rsid w:val="00933C7E"/>
    <w:rsid w:val="00946DDA"/>
    <w:rsid w:val="009520B2"/>
    <w:rsid w:val="0095420A"/>
    <w:rsid w:val="00976730"/>
    <w:rsid w:val="009A0FEF"/>
    <w:rsid w:val="00A0459A"/>
    <w:rsid w:val="00A22373"/>
    <w:rsid w:val="00A26539"/>
    <w:rsid w:val="00A528E4"/>
    <w:rsid w:val="00A56A8C"/>
    <w:rsid w:val="00A7438D"/>
    <w:rsid w:val="00A92CED"/>
    <w:rsid w:val="00AB088B"/>
    <w:rsid w:val="00AC73B2"/>
    <w:rsid w:val="00B142B0"/>
    <w:rsid w:val="00B545CF"/>
    <w:rsid w:val="00B67B4F"/>
    <w:rsid w:val="00B74453"/>
    <w:rsid w:val="00B84170"/>
    <w:rsid w:val="00B95389"/>
    <w:rsid w:val="00BB7511"/>
    <w:rsid w:val="00BD6E5F"/>
    <w:rsid w:val="00BF059A"/>
    <w:rsid w:val="00BF665F"/>
    <w:rsid w:val="00BF77DE"/>
    <w:rsid w:val="00C0517B"/>
    <w:rsid w:val="00C0689F"/>
    <w:rsid w:val="00C22E45"/>
    <w:rsid w:val="00C666A6"/>
    <w:rsid w:val="00C7673F"/>
    <w:rsid w:val="00C91FAD"/>
    <w:rsid w:val="00C9523C"/>
    <w:rsid w:val="00CA55C4"/>
    <w:rsid w:val="00CA7F2B"/>
    <w:rsid w:val="00CB7F79"/>
    <w:rsid w:val="00CC2A1C"/>
    <w:rsid w:val="00CD2359"/>
    <w:rsid w:val="00CD6210"/>
    <w:rsid w:val="00CE1356"/>
    <w:rsid w:val="00CE1EE1"/>
    <w:rsid w:val="00CE7594"/>
    <w:rsid w:val="00D07B35"/>
    <w:rsid w:val="00D16A67"/>
    <w:rsid w:val="00D515F2"/>
    <w:rsid w:val="00D54463"/>
    <w:rsid w:val="00D5448E"/>
    <w:rsid w:val="00D548FF"/>
    <w:rsid w:val="00D65ADF"/>
    <w:rsid w:val="00D67217"/>
    <w:rsid w:val="00D77BC5"/>
    <w:rsid w:val="00DA024D"/>
    <w:rsid w:val="00DB3B7A"/>
    <w:rsid w:val="00DC0988"/>
    <w:rsid w:val="00DE0000"/>
    <w:rsid w:val="00DF12A7"/>
    <w:rsid w:val="00DF616D"/>
    <w:rsid w:val="00DF6D42"/>
    <w:rsid w:val="00E047D5"/>
    <w:rsid w:val="00E174E7"/>
    <w:rsid w:val="00E17D37"/>
    <w:rsid w:val="00E55CB0"/>
    <w:rsid w:val="00E60E00"/>
    <w:rsid w:val="00E82BEB"/>
    <w:rsid w:val="00EA67DB"/>
    <w:rsid w:val="00EB3F00"/>
    <w:rsid w:val="00F068F0"/>
    <w:rsid w:val="00F233B7"/>
    <w:rsid w:val="00F518B2"/>
    <w:rsid w:val="00F56481"/>
    <w:rsid w:val="00F6007F"/>
    <w:rsid w:val="00F64B61"/>
    <w:rsid w:val="00F71B32"/>
    <w:rsid w:val="00F923D4"/>
    <w:rsid w:val="00FA3341"/>
    <w:rsid w:val="00FA7A3E"/>
    <w:rsid w:val="00FC2397"/>
    <w:rsid w:val="00FD28EC"/>
    <w:rsid w:val="00FD76CC"/>
    <w:rsid w:val="00FF5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20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E6"/>
    <w:pPr>
      <w:spacing w:before="100" w:after="0" w:line="240" w:lineRule="auto"/>
    </w:pPr>
    <w:rPr>
      <w:rFonts w:eastAsia="Times New Roman" w:cs="Times New Roman"/>
      <w:szCs w:val="24"/>
      <w:lang w:val="en-GB" w:eastAsia="en-GB"/>
    </w:rPr>
  </w:style>
  <w:style w:type="paragraph" w:styleId="Heading2">
    <w:name w:val="heading 2"/>
    <w:basedOn w:val="Normal"/>
    <w:next w:val="Normal"/>
    <w:link w:val="Heading2Char"/>
    <w:uiPriority w:val="9"/>
    <w:unhideWhenUsed/>
    <w:qFormat/>
    <w:rsid w:val="00FD76CC"/>
    <w:pPr>
      <w:keepNext/>
      <w:keepLines/>
      <w:suppressAutoHyphens/>
      <w:spacing w:before="160" w:line="260" w:lineRule="atLeast"/>
      <w:outlineLvl w:val="1"/>
    </w:pPr>
    <w:rPr>
      <w:rFonts w:asciiTheme="majorHAnsi" w:eastAsiaTheme="majorEastAsia" w:hAnsiTheme="majorHAnsi" w:cstheme="majorBidi"/>
      <w:color w:val="2F5496" w:themeColor="accent1" w:themeShade="BF"/>
      <w:sz w:val="28"/>
      <w:szCs w:val="28"/>
      <w:lang w:eastAsia="en-US"/>
    </w:rPr>
  </w:style>
  <w:style w:type="paragraph" w:styleId="Heading3">
    <w:name w:val="heading 3"/>
    <w:basedOn w:val="Normal"/>
    <w:next w:val="Normal"/>
    <w:link w:val="Heading3Char"/>
    <w:uiPriority w:val="9"/>
    <w:unhideWhenUsed/>
    <w:qFormat/>
    <w:rsid w:val="00FD76CC"/>
    <w:pPr>
      <w:keepNext/>
      <w:keepLines/>
      <w:suppressAutoHyphens/>
      <w:spacing w:before="160" w:line="260" w:lineRule="atLeast"/>
      <w:outlineLvl w:val="2"/>
    </w:pPr>
    <w:rPr>
      <w:rFonts w:asciiTheme="majorHAnsi" w:eastAsiaTheme="majorEastAsia" w:hAnsiTheme="majorHAnsi" w:cstheme="majorBidi"/>
      <w:color w:val="5B9BD5" w:themeColor="accent5"/>
      <w:lang w:eastAsia="en-US"/>
    </w:rPr>
  </w:style>
  <w:style w:type="paragraph" w:styleId="Heading4">
    <w:name w:val="heading 4"/>
    <w:basedOn w:val="Normal"/>
    <w:next w:val="Normal"/>
    <w:link w:val="Heading4Char"/>
    <w:uiPriority w:val="9"/>
    <w:unhideWhenUsed/>
    <w:qFormat/>
    <w:rsid w:val="00007CD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D76CC"/>
    <w:pPr>
      <w:keepNext/>
      <w:keepLines/>
      <w:suppressAutoHyphens/>
      <w:spacing w:before="40" w:line="260" w:lineRule="atLeast"/>
      <w:outlineLvl w:val="4"/>
    </w:pPr>
    <w:rPr>
      <w:rFonts w:asciiTheme="majorHAnsi" w:eastAsiaTheme="majorEastAsia" w:hAnsiTheme="majorHAnsi" w:cstheme="majorBidi"/>
      <w:color w:val="2F5496" w:themeColor="accent1" w:themeShade="B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6CC"/>
    <w:rPr>
      <w:rFonts w:asciiTheme="majorHAnsi" w:eastAsiaTheme="majorEastAsia" w:hAnsiTheme="majorHAnsi" w:cstheme="majorBidi"/>
      <w:color w:val="2F5496" w:themeColor="accent1" w:themeShade="BF"/>
      <w:sz w:val="28"/>
      <w:szCs w:val="28"/>
      <w:lang w:val="en-GB"/>
    </w:rPr>
  </w:style>
  <w:style w:type="character" w:customStyle="1" w:styleId="Heading3Char">
    <w:name w:val="Heading 3 Char"/>
    <w:basedOn w:val="DefaultParagraphFont"/>
    <w:link w:val="Heading3"/>
    <w:uiPriority w:val="9"/>
    <w:rsid w:val="00FD76CC"/>
    <w:rPr>
      <w:rFonts w:asciiTheme="majorHAnsi" w:eastAsiaTheme="majorEastAsia" w:hAnsiTheme="majorHAnsi" w:cstheme="majorBidi"/>
      <w:color w:val="5B9BD5" w:themeColor="accent5"/>
      <w:szCs w:val="24"/>
      <w:lang w:val="en-GB"/>
    </w:rPr>
  </w:style>
  <w:style w:type="character" w:customStyle="1" w:styleId="Heading5Char">
    <w:name w:val="Heading 5 Char"/>
    <w:basedOn w:val="DefaultParagraphFont"/>
    <w:link w:val="Heading5"/>
    <w:uiPriority w:val="9"/>
    <w:rsid w:val="00FD76CC"/>
    <w:rPr>
      <w:rFonts w:asciiTheme="majorHAnsi" w:eastAsiaTheme="majorEastAsia" w:hAnsiTheme="majorHAnsi" w:cstheme="majorBidi"/>
      <w:color w:val="2F5496" w:themeColor="accent1" w:themeShade="BF"/>
      <w:lang w:val="en-GB"/>
    </w:rPr>
  </w:style>
  <w:style w:type="paragraph" w:styleId="ListParagraph">
    <w:name w:val="List Paragraph"/>
    <w:aliases w:val="1st level - Bullet List Paragraph,Bullet list,Citation List,Graphic,Ha,Lettre d'introduction,List Paragraph (numbered (a)),List Paragraph1,List_Paragraph,Multilevel para_II,Paragrafo elenco,References,Resume Title,Use Case List Paragraph"/>
    <w:basedOn w:val="Normal"/>
    <w:link w:val="ListParagraphChar"/>
    <w:uiPriority w:val="34"/>
    <w:qFormat/>
    <w:rsid w:val="00FD76CC"/>
    <w:pPr>
      <w:suppressAutoHyphens/>
      <w:spacing w:before="120" w:after="60" w:line="260" w:lineRule="atLeast"/>
      <w:ind w:left="720"/>
      <w:contextualSpacing/>
    </w:pPr>
    <w:rPr>
      <w:rFonts w:eastAsiaTheme="minorHAnsi" w:cstheme="minorBidi"/>
      <w:color w:val="44546A" w:themeColor="text2"/>
      <w:szCs w:val="22"/>
      <w:lang w:eastAsia="en-US"/>
    </w:rPr>
  </w:style>
  <w:style w:type="character" w:styleId="CommentReference">
    <w:name w:val="annotation reference"/>
    <w:basedOn w:val="DefaultParagraphFont"/>
    <w:uiPriority w:val="99"/>
    <w:semiHidden/>
    <w:unhideWhenUsed/>
    <w:rsid w:val="00FD76CC"/>
    <w:rPr>
      <w:sz w:val="16"/>
      <w:szCs w:val="16"/>
    </w:rPr>
  </w:style>
  <w:style w:type="paragraph" w:styleId="CommentText">
    <w:name w:val="annotation text"/>
    <w:basedOn w:val="Normal"/>
    <w:link w:val="CommentTextChar"/>
    <w:uiPriority w:val="99"/>
    <w:unhideWhenUsed/>
    <w:rsid w:val="00FD76CC"/>
    <w:pPr>
      <w:spacing w:before="160"/>
    </w:pPr>
    <w:rPr>
      <w:rFonts w:eastAsiaTheme="minorHAnsi" w:cstheme="minorBidi"/>
      <w:sz w:val="20"/>
      <w:szCs w:val="20"/>
      <w:lang w:val="en-US" w:eastAsia="en-US"/>
    </w:rPr>
  </w:style>
  <w:style w:type="character" w:customStyle="1" w:styleId="CommentTextChar">
    <w:name w:val="Comment Text Char"/>
    <w:basedOn w:val="DefaultParagraphFont"/>
    <w:link w:val="CommentText"/>
    <w:uiPriority w:val="99"/>
    <w:rsid w:val="00FD76CC"/>
    <w:rPr>
      <w:sz w:val="20"/>
      <w:szCs w:val="20"/>
      <w:lang w:val="en-US"/>
    </w:rPr>
  </w:style>
  <w:style w:type="character" w:customStyle="1" w:styleId="ListParagraphChar">
    <w:name w:val="List Paragraph Char"/>
    <w:aliases w:val="1st level - Bullet List Paragraph Char,Bullet list Char,Citation List Char,Graphic Char,Ha Char,Lettre d'introduction Char,List Paragraph (numbered (a)) Char,List Paragraph1 Char,List_Paragraph Char,Multilevel para_II Char"/>
    <w:basedOn w:val="DefaultParagraphFont"/>
    <w:link w:val="ListParagraph"/>
    <w:uiPriority w:val="34"/>
    <w:qFormat/>
    <w:locked/>
    <w:rsid w:val="00FD76CC"/>
    <w:rPr>
      <w:color w:val="44546A" w:themeColor="text2"/>
      <w:lang w:val="en-GB"/>
    </w:rPr>
  </w:style>
  <w:style w:type="paragraph" w:styleId="FootnoteText">
    <w:name w:val="footnote text"/>
    <w:basedOn w:val="Normal"/>
    <w:link w:val="FootnoteTextChar"/>
    <w:uiPriority w:val="99"/>
    <w:unhideWhenUsed/>
    <w:rsid w:val="00FD76CC"/>
    <w:pPr>
      <w:spacing w:before="0"/>
    </w:pPr>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rsid w:val="00FD76CC"/>
    <w:rPr>
      <w:sz w:val="20"/>
      <w:szCs w:val="20"/>
      <w:lang w:val="en-US"/>
    </w:rPr>
  </w:style>
  <w:style w:type="character" w:styleId="FootnoteReference">
    <w:name w:val="footnote reference"/>
    <w:basedOn w:val="DefaultParagraphFont"/>
    <w:uiPriority w:val="99"/>
    <w:unhideWhenUsed/>
    <w:rsid w:val="00FD76CC"/>
    <w:rPr>
      <w:vertAlign w:val="superscript"/>
    </w:rPr>
  </w:style>
  <w:style w:type="paragraph" w:styleId="CommentSubject">
    <w:name w:val="annotation subject"/>
    <w:basedOn w:val="CommentText"/>
    <w:next w:val="CommentText"/>
    <w:link w:val="CommentSubjectChar"/>
    <w:uiPriority w:val="99"/>
    <w:semiHidden/>
    <w:unhideWhenUsed/>
    <w:rsid w:val="00914F40"/>
    <w:pPr>
      <w:spacing w:before="100"/>
    </w:pPr>
    <w:rPr>
      <w:rFonts w:eastAsia="Times New Roman" w:cs="Times New Roman"/>
      <w:b/>
      <w:bCs/>
      <w:lang w:val="en-GB" w:eastAsia="en-GB"/>
    </w:rPr>
  </w:style>
  <w:style w:type="character" w:customStyle="1" w:styleId="CommentSubjectChar">
    <w:name w:val="Comment Subject Char"/>
    <w:basedOn w:val="CommentTextChar"/>
    <w:link w:val="CommentSubject"/>
    <w:uiPriority w:val="99"/>
    <w:semiHidden/>
    <w:rsid w:val="00914F40"/>
    <w:rPr>
      <w:rFonts w:eastAsia="Times New Roman" w:cs="Times New Roman"/>
      <w:b/>
      <w:bCs/>
      <w:sz w:val="20"/>
      <w:szCs w:val="20"/>
      <w:lang w:val="en-GB" w:eastAsia="en-GB"/>
    </w:rPr>
  </w:style>
  <w:style w:type="character" w:customStyle="1" w:styleId="Heading4Char">
    <w:name w:val="Heading 4 Char"/>
    <w:basedOn w:val="DefaultParagraphFont"/>
    <w:link w:val="Heading4"/>
    <w:uiPriority w:val="9"/>
    <w:rsid w:val="00007CD8"/>
    <w:rPr>
      <w:rFonts w:asciiTheme="majorHAnsi" w:eastAsiaTheme="majorEastAsia" w:hAnsiTheme="majorHAnsi" w:cstheme="majorBidi"/>
      <w:i/>
      <w:iCs/>
      <w:color w:val="2F5496" w:themeColor="accent1" w:themeShade="BF"/>
      <w:szCs w:val="24"/>
      <w:lang w:val="en-GB" w:eastAsia="en-GB"/>
    </w:rPr>
  </w:style>
  <w:style w:type="character" w:styleId="Hyperlink">
    <w:name w:val="Hyperlink"/>
    <w:basedOn w:val="DefaultParagraphFont"/>
    <w:uiPriority w:val="99"/>
    <w:unhideWhenUsed/>
    <w:rsid w:val="00C22E45"/>
    <w:rPr>
      <w:color w:val="0000FF"/>
      <w:u w:val="single"/>
    </w:rPr>
  </w:style>
  <w:style w:type="character" w:styleId="UnresolvedMention">
    <w:name w:val="Unresolved Mention"/>
    <w:basedOn w:val="DefaultParagraphFont"/>
    <w:uiPriority w:val="99"/>
    <w:semiHidden/>
    <w:unhideWhenUsed/>
    <w:rsid w:val="00F56481"/>
    <w:rPr>
      <w:color w:val="605E5C"/>
      <w:shd w:val="clear" w:color="auto" w:fill="E1DFDD"/>
    </w:rPr>
  </w:style>
  <w:style w:type="paragraph" w:styleId="Revision">
    <w:name w:val="Revision"/>
    <w:hidden/>
    <w:uiPriority w:val="99"/>
    <w:semiHidden/>
    <w:rsid w:val="005B6873"/>
    <w:pPr>
      <w:spacing w:after="0" w:line="240" w:lineRule="auto"/>
    </w:pPr>
    <w:rPr>
      <w:rFonts w:eastAsia="Times New Roman" w:cs="Times New Roman"/>
      <w:szCs w:val="24"/>
      <w:lang w:val="en-GB" w:eastAsia="en-GB"/>
    </w:rPr>
  </w:style>
  <w:style w:type="paragraph" w:styleId="Header">
    <w:name w:val="header"/>
    <w:basedOn w:val="Normal"/>
    <w:link w:val="HeaderChar"/>
    <w:uiPriority w:val="99"/>
    <w:unhideWhenUsed/>
    <w:rsid w:val="009520B2"/>
    <w:pPr>
      <w:tabs>
        <w:tab w:val="center" w:pos="4513"/>
        <w:tab w:val="right" w:pos="9026"/>
      </w:tabs>
      <w:spacing w:before="0"/>
    </w:pPr>
  </w:style>
  <w:style w:type="character" w:customStyle="1" w:styleId="HeaderChar">
    <w:name w:val="Header Char"/>
    <w:basedOn w:val="DefaultParagraphFont"/>
    <w:link w:val="Header"/>
    <w:uiPriority w:val="99"/>
    <w:rsid w:val="009520B2"/>
    <w:rPr>
      <w:rFonts w:eastAsia="Times New Roman" w:cs="Times New Roman"/>
      <w:szCs w:val="24"/>
      <w:lang w:val="en-GB" w:eastAsia="en-GB"/>
    </w:rPr>
  </w:style>
  <w:style w:type="paragraph" w:styleId="Footer">
    <w:name w:val="footer"/>
    <w:basedOn w:val="Normal"/>
    <w:link w:val="FooterChar"/>
    <w:uiPriority w:val="99"/>
    <w:unhideWhenUsed/>
    <w:rsid w:val="009520B2"/>
    <w:pPr>
      <w:tabs>
        <w:tab w:val="center" w:pos="4513"/>
        <w:tab w:val="right" w:pos="9026"/>
      </w:tabs>
      <w:spacing w:before="0"/>
    </w:pPr>
  </w:style>
  <w:style w:type="character" w:customStyle="1" w:styleId="FooterChar">
    <w:name w:val="Footer Char"/>
    <w:basedOn w:val="DefaultParagraphFont"/>
    <w:link w:val="Footer"/>
    <w:uiPriority w:val="99"/>
    <w:rsid w:val="009520B2"/>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5999</Characters>
  <Application>Microsoft Office Word</Application>
  <DocSecurity>0</DocSecurity>
  <Lines>133</Lines>
  <Paragraphs>35</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Australia-World Bank Growth and Prosperity in the Philippines (AGaP) Trust Fund</dc:title>
  <dc:subject/>
  <dc:creator/>
  <cp:keywords>[SEC=OFFICIAL]</cp:keywords>
  <dc:description/>
  <cp:lastModifiedBy/>
  <cp:revision>1</cp:revision>
  <dcterms:created xsi:type="dcterms:W3CDTF">2023-03-29T22:21:00Z</dcterms:created>
  <dcterms:modified xsi:type="dcterms:W3CDTF">2023-03-29T22:21:00Z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C67F40CFBDD545EDBCF779D153E54FBF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2023-03-29T22:21:49Z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EAFE9323F7CCFD2CDBDC2EDAC7232D02</vt:lpwstr>
  </property>
  <property fmtid="{D5CDD505-2E9C-101B-9397-08002B2CF9AE}" pid="21" name="PM_Hash_Salt">
    <vt:lpwstr>02D359468821BF51989509C46D17F227</vt:lpwstr>
  </property>
  <property fmtid="{D5CDD505-2E9C-101B-9397-08002B2CF9AE}" pid="22" name="PM_Hash_SHA1">
    <vt:lpwstr>8E3C0F094AB45CAFCD691FED4AB5291A5C0ED8D9</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